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56" w:rsidRPr="00F85781" w:rsidRDefault="004A4156" w:rsidP="004A4156">
      <w:pPr>
        <w:rPr>
          <w:b/>
          <w:i/>
          <w:sz w:val="22"/>
        </w:rPr>
      </w:pPr>
      <w:bookmarkStart w:id="0" w:name="_GoBack"/>
      <w:r w:rsidRPr="00F85781">
        <w:rPr>
          <w:sz w:val="26"/>
          <w:szCs w:val="26"/>
        </w:rPr>
        <w:t xml:space="preserve">Budžeta un finanšu (nodokļu) komisija </w:t>
      </w:r>
    </w:p>
    <w:p w:rsidR="004A4156" w:rsidRPr="00F85781" w:rsidRDefault="004A4156" w:rsidP="004A4156">
      <w:pPr>
        <w:pStyle w:val="Title"/>
        <w:jc w:val="right"/>
        <w:rPr>
          <w:b w:val="0"/>
          <w:sz w:val="26"/>
          <w:szCs w:val="26"/>
        </w:rPr>
      </w:pPr>
      <w:r w:rsidRPr="00F85781">
        <w:rPr>
          <w:b w:val="0"/>
          <w:sz w:val="26"/>
          <w:szCs w:val="26"/>
        </w:rPr>
        <w:t xml:space="preserve">Likumprojekts </w:t>
      </w:r>
      <w:proofErr w:type="gramStart"/>
      <w:r w:rsidRPr="00F85781">
        <w:rPr>
          <w:b w:val="0"/>
          <w:sz w:val="26"/>
          <w:szCs w:val="26"/>
        </w:rPr>
        <w:t>(steidzams) otrajam lasījumam</w:t>
      </w:r>
      <w:proofErr w:type="gramEnd"/>
    </w:p>
    <w:p w:rsidR="004A4156" w:rsidRPr="00F85781" w:rsidRDefault="004A4156" w:rsidP="004A4156">
      <w:pPr>
        <w:jc w:val="center"/>
        <w:rPr>
          <w:rStyle w:val="Emphasis"/>
          <w:b/>
          <w:i w:val="0"/>
          <w:sz w:val="28"/>
          <w:szCs w:val="28"/>
        </w:rPr>
      </w:pPr>
    </w:p>
    <w:p w:rsidR="004A4156" w:rsidRPr="00F85781" w:rsidRDefault="004A4156" w:rsidP="004A4156">
      <w:pPr>
        <w:jc w:val="center"/>
        <w:rPr>
          <w:b/>
          <w:sz w:val="28"/>
          <w:szCs w:val="28"/>
        </w:rPr>
      </w:pPr>
      <w:r w:rsidRPr="00F85781">
        <w:rPr>
          <w:b/>
          <w:sz w:val="28"/>
          <w:szCs w:val="28"/>
        </w:rPr>
        <w:t>Grozījumi Bērnu tiesību aizsardzības likumā</w:t>
      </w:r>
    </w:p>
    <w:p w:rsidR="004A4156" w:rsidRPr="00F85781" w:rsidRDefault="004A4156" w:rsidP="004A4156">
      <w:pPr>
        <w:jc w:val="center"/>
        <w:rPr>
          <w:rStyle w:val="Emphasis"/>
          <w:b/>
          <w:sz w:val="28"/>
          <w:szCs w:val="28"/>
        </w:rPr>
      </w:pPr>
      <w:r w:rsidRPr="00F85781">
        <w:rPr>
          <w:rStyle w:val="Emphasis"/>
          <w:b/>
          <w:sz w:val="28"/>
          <w:szCs w:val="28"/>
        </w:rPr>
        <w:t xml:space="preserve"> (Nr. 434/Lp13) </w:t>
      </w:r>
    </w:p>
    <w:p w:rsidR="004A4156" w:rsidRPr="00F85781" w:rsidRDefault="004A4156" w:rsidP="004A4156">
      <w:pPr>
        <w:jc w:val="center"/>
        <w:rPr>
          <w:rStyle w:val="Emphasis"/>
          <w:b/>
          <w:sz w:val="26"/>
          <w:szCs w:val="26"/>
        </w:rPr>
      </w:pPr>
    </w:p>
    <w:tbl>
      <w:tblPr>
        <w:tblW w:w="1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8"/>
        <w:gridCol w:w="3798"/>
        <w:gridCol w:w="545"/>
        <w:gridCol w:w="3798"/>
        <w:gridCol w:w="1417"/>
        <w:gridCol w:w="1417"/>
      </w:tblGrid>
      <w:tr w:rsidR="00F85781" w:rsidRPr="00F85781" w:rsidTr="004A4156">
        <w:tc>
          <w:tcPr>
            <w:tcW w:w="3798" w:type="dxa"/>
            <w:shd w:val="clear" w:color="auto" w:fill="auto"/>
            <w:vAlign w:val="center"/>
          </w:tcPr>
          <w:p w:rsidR="004A4156" w:rsidRPr="00F85781" w:rsidRDefault="004A4156" w:rsidP="004A4156">
            <w:pPr>
              <w:jc w:val="center"/>
              <w:rPr>
                <w:b/>
                <w:bCs/>
                <w:iCs/>
              </w:rPr>
            </w:pPr>
            <w:r w:rsidRPr="00F85781">
              <w:rPr>
                <w:b/>
              </w:rPr>
              <w:t>Spēkā esošā redakcija</w:t>
            </w:r>
          </w:p>
        </w:tc>
        <w:tc>
          <w:tcPr>
            <w:tcW w:w="3798" w:type="dxa"/>
            <w:shd w:val="clear" w:color="auto" w:fill="auto"/>
            <w:vAlign w:val="center"/>
          </w:tcPr>
          <w:p w:rsidR="004A4156" w:rsidRPr="00F85781" w:rsidRDefault="004A4156" w:rsidP="004A4156">
            <w:pPr>
              <w:jc w:val="center"/>
              <w:rPr>
                <w:b/>
              </w:rPr>
            </w:pPr>
            <w:r w:rsidRPr="00F85781">
              <w:rPr>
                <w:b/>
              </w:rPr>
              <w:t>Pirmā lasījuma redakcija</w:t>
            </w:r>
          </w:p>
        </w:tc>
        <w:tc>
          <w:tcPr>
            <w:tcW w:w="545" w:type="dxa"/>
            <w:vAlign w:val="center"/>
          </w:tcPr>
          <w:p w:rsidR="004A4156" w:rsidRPr="00F85781" w:rsidRDefault="004A4156" w:rsidP="007D33A1">
            <w:pPr>
              <w:jc w:val="center"/>
              <w:rPr>
                <w:b/>
                <w:sz w:val="22"/>
              </w:rPr>
            </w:pPr>
            <w:r w:rsidRPr="00F85781">
              <w:rPr>
                <w:b/>
                <w:sz w:val="22"/>
              </w:rPr>
              <w:t>Nr.</w:t>
            </w:r>
          </w:p>
        </w:tc>
        <w:tc>
          <w:tcPr>
            <w:tcW w:w="3798" w:type="dxa"/>
            <w:vAlign w:val="center"/>
          </w:tcPr>
          <w:p w:rsidR="004A4156" w:rsidRPr="00F85781" w:rsidRDefault="004A4156" w:rsidP="004A4156">
            <w:pPr>
              <w:jc w:val="center"/>
              <w:rPr>
                <w:b/>
              </w:rPr>
            </w:pPr>
            <w:r w:rsidRPr="00F85781">
              <w:rPr>
                <w:b/>
              </w:rPr>
              <w:t>Priekšlikumi</w:t>
            </w:r>
          </w:p>
          <w:p w:rsidR="004A4156" w:rsidRPr="00F85781" w:rsidRDefault="004A4156" w:rsidP="00846430">
            <w:pPr>
              <w:jc w:val="center"/>
              <w:rPr>
                <w:b/>
              </w:rPr>
            </w:pPr>
            <w:r w:rsidRPr="00F85781">
              <w:rPr>
                <w:b/>
              </w:rPr>
              <w:t>(</w:t>
            </w:r>
            <w:r w:rsidR="0083675F" w:rsidRPr="00F85781">
              <w:rPr>
                <w:b/>
              </w:rPr>
              <w:t>8</w:t>
            </w:r>
            <w:r w:rsidR="00846430" w:rsidRPr="00F85781">
              <w:rPr>
                <w:b/>
              </w:rPr>
              <w:t>)</w:t>
            </w:r>
          </w:p>
        </w:tc>
        <w:tc>
          <w:tcPr>
            <w:tcW w:w="1417" w:type="dxa"/>
            <w:vAlign w:val="center"/>
          </w:tcPr>
          <w:p w:rsidR="004A4156" w:rsidRPr="00F85781" w:rsidRDefault="004A4156" w:rsidP="004A4156">
            <w:pPr>
              <w:jc w:val="center"/>
              <w:rPr>
                <w:b/>
              </w:rPr>
            </w:pPr>
            <w:r w:rsidRPr="00F85781">
              <w:rPr>
                <w:b/>
                <w:bCs/>
                <w:iCs/>
              </w:rPr>
              <w:t>Ministru kabineta atzinums</w:t>
            </w:r>
          </w:p>
        </w:tc>
        <w:tc>
          <w:tcPr>
            <w:tcW w:w="1417" w:type="dxa"/>
            <w:vAlign w:val="center"/>
          </w:tcPr>
          <w:p w:rsidR="004A4156" w:rsidRPr="00F85781" w:rsidRDefault="004A4156" w:rsidP="004A4156">
            <w:pPr>
              <w:jc w:val="center"/>
              <w:rPr>
                <w:b/>
              </w:rPr>
            </w:pPr>
            <w:r w:rsidRPr="00F85781">
              <w:rPr>
                <w:b/>
                <w:bCs/>
                <w:iCs/>
              </w:rPr>
              <w:t>Komisijas atzinums</w:t>
            </w:r>
          </w:p>
        </w:tc>
      </w:tr>
      <w:tr w:rsidR="00F85781" w:rsidRPr="00F85781" w:rsidTr="004A4156">
        <w:tc>
          <w:tcPr>
            <w:tcW w:w="3798" w:type="dxa"/>
            <w:shd w:val="clear" w:color="auto" w:fill="auto"/>
          </w:tcPr>
          <w:p w:rsidR="004A4156" w:rsidRPr="00F85781" w:rsidRDefault="004A4156" w:rsidP="00F94FBC">
            <w:pPr>
              <w:jc w:val="center"/>
              <w:rPr>
                <w:b/>
              </w:rPr>
            </w:pPr>
          </w:p>
        </w:tc>
        <w:tc>
          <w:tcPr>
            <w:tcW w:w="3798" w:type="dxa"/>
            <w:shd w:val="clear" w:color="auto" w:fill="auto"/>
          </w:tcPr>
          <w:p w:rsidR="004A4156" w:rsidRPr="00F85781" w:rsidRDefault="004A4156" w:rsidP="00F94FBC">
            <w:pPr>
              <w:shd w:val="clear" w:color="auto" w:fill="FFFFFF"/>
              <w:ind w:firstLine="709"/>
              <w:jc w:val="both"/>
              <w:rPr>
                <w:rFonts w:eastAsia="Times New Roman"/>
                <w:sz w:val="22"/>
                <w:lang w:eastAsia="lv-LV"/>
              </w:rPr>
            </w:pPr>
            <w:r w:rsidRPr="00F85781">
              <w:rPr>
                <w:sz w:val="22"/>
                <w:shd w:val="clear" w:color="auto" w:fill="FFFFFF"/>
              </w:rPr>
              <w:t xml:space="preserve">Izdarīt Bērnu tiesību aizsardzības likumā </w:t>
            </w:r>
            <w:proofErr w:type="gramStart"/>
            <w:r w:rsidRPr="00F85781">
              <w:rPr>
                <w:sz w:val="22"/>
                <w:shd w:val="clear" w:color="auto" w:fill="FFFFFF"/>
              </w:rPr>
              <w:t>(</w:t>
            </w:r>
            <w:proofErr w:type="gramEnd"/>
            <w:r w:rsidRPr="00F85781">
              <w:rPr>
                <w:sz w:val="22"/>
                <w:shd w:val="clear" w:color="auto" w:fill="FFFFFF"/>
              </w:rPr>
              <w:t>Latvijas Republikas Saeimas un Ministru Kabineta Ziņotājs, 1998, 15. nr.; 2000, 8., 12. nr.; 2001, 24. nr.; 2002, 23. nr.; 2003, 12. nr.; 2004, 12. nr.; 2005, 8. nr.; 2006, 22. nr.; 2007, 9. nr.; 2008, 15. nr.; 2009, 14., 23. nr.; Latvijas Vēstnesis, 2009, 193. nr.; 2010, 47., 205. nr.; 2011, 112., 132. nr.; 2013, 118. nr.; 2014, 51., 60. nr.; 2015, 245. nr.; 2016, 241. nr.; 2017, 54., 242. nr.; 2018, 97. nr.) šādus grozījumus:</w:t>
            </w:r>
          </w:p>
        </w:tc>
        <w:tc>
          <w:tcPr>
            <w:tcW w:w="545" w:type="dxa"/>
          </w:tcPr>
          <w:p w:rsidR="004A4156" w:rsidRPr="00F85781" w:rsidRDefault="004A4156" w:rsidP="007D33A1">
            <w:pPr>
              <w:shd w:val="clear" w:color="auto" w:fill="FFFFFF"/>
              <w:jc w:val="center"/>
              <w:rPr>
                <w:sz w:val="22"/>
                <w:shd w:val="clear" w:color="auto" w:fill="FFFFFF"/>
              </w:rPr>
            </w:pPr>
          </w:p>
        </w:tc>
        <w:tc>
          <w:tcPr>
            <w:tcW w:w="3798" w:type="dxa"/>
          </w:tcPr>
          <w:p w:rsidR="004A4156" w:rsidRPr="00F85781" w:rsidRDefault="004A4156" w:rsidP="00F94FBC">
            <w:pPr>
              <w:shd w:val="clear" w:color="auto" w:fill="FFFFFF"/>
              <w:ind w:firstLine="709"/>
              <w:jc w:val="both"/>
              <w:rPr>
                <w:sz w:val="22"/>
                <w:shd w:val="clear" w:color="auto" w:fill="FFFFFF"/>
              </w:rPr>
            </w:pPr>
          </w:p>
        </w:tc>
        <w:tc>
          <w:tcPr>
            <w:tcW w:w="1417" w:type="dxa"/>
          </w:tcPr>
          <w:p w:rsidR="004A4156" w:rsidRPr="00F85781" w:rsidRDefault="004A4156" w:rsidP="00F94FBC">
            <w:pPr>
              <w:shd w:val="clear" w:color="auto" w:fill="FFFFFF"/>
              <w:ind w:firstLine="709"/>
              <w:jc w:val="both"/>
              <w:rPr>
                <w:sz w:val="22"/>
                <w:shd w:val="clear" w:color="auto" w:fill="FFFFFF"/>
              </w:rPr>
            </w:pPr>
          </w:p>
        </w:tc>
        <w:tc>
          <w:tcPr>
            <w:tcW w:w="1417" w:type="dxa"/>
          </w:tcPr>
          <w:p w:rsidR="004A4156" w:rsidRPr="00F85781" w:rsidRDefault="004A4156" w:rsidP="00F94FBC">
            <w:pPr>
              <w:shd w:val="clear" w:color="auto" w:fill="FFFFFF"/>
              <w:ind w:firstLine="709"/>
              <w:jc w:val="both"/>
              <w:rPr>
                <w:sz w:val="22"/>
                <w:shd w:val="clear" w:color="auto" w:fill="FFFFFF"/>
              </w:rPr>
            </w:pPr>
          </w:p>
        </w:tc>
      </w:tr>
      <w:tr w:rsidR="00F85781" w:rsidRPr="00F85781" w:rsidTr="004A4156">
        <w:tc>
          <w:tcPr>
            <w:tcW w:w="3798" w:type="dxa"/>
            <w:shd w:val="clear" w:color="auto" w:fill="auto"/>
          </w:tcPr>
          <w:p w:rsidR="004A4156" w:rsidRPr="00F85781" w:rsidRDefault="004A4156" w:rsidP="00F94FBC">
            <w:pPr>
              <w:pStyle w:val="tv213"/>
              <w:spacing w:before="0" w:beforeAutospacing="0" w:after="0" w:afterAutospacing="0"/>
              <w:ind w:firstLine="567"/>
              <w:jc w:val="both"/>
              <w:rPr>
                <w:sz w:val="22"/>
                <w:szCs w:val="22"/>
              </w:rPr>
            </w:pPr>
            <w:proofErr w:type="gramStart"/>
            <w:r w:rsidRPr="00F85781">
              <w:rPr>
                <w:b/>
                <w:bCs/>
                <w:sz w:val="22"/>
                <w:szCs w:val="22"/>
              </w:rPr>
              <w:t>36.pants</w:t>
            </w:r>
            <w:proofErr w:type="gramEnd"/>
            <w:r w:rsidRPr="00F85781">
              <w:rPr>
                <w:b/>
                <w:bCs/>
                <w:sz w:val="22"/>
                <w:szCs w:val="22"/>
              </w:rPr>
              <w:t xml:space="preserve">. Bērna aprūpe audžuģimenē </w:t>
            </w:r>
          </w:p>
          <w:p w:rsidR="004A4156" w:rsidRPr="00F85781" w:rsidRDefault="004A4156" w:rsidP="00F94FBC">
            <w:pPr>
              <w:pStyle w:val="tv213"/>
              <w:spacing w:before="0" w:beforeAutospacing="0" w:after="0" w:afterAutospacing="0"/>
              <w:ind w:firstLine="567"/>
              <w:jc w:val="both"/>
              <w:rPr>
                <w:sz w:val="22"/>
                <w:szCs w:val="22"/>
              </w:rPr>
            </w:pPr>
            <w:r w:rsidRPr="00F85781">
              <w:rPr>
                <w:sz w:val="22"/>
                <w:szCs w:val="22"/>
              </w:rPr>
              <w:t xml:space="preserve">(2) Pašvaldība palīdz audžuģimenēm bērnu audzināšanā un nodrošina nepieciešamos sociālos pakalpojumus. Audžuģimenei ir tiesības saņemt līdzekļus bērna uzturam. Šo līdzekļu apmērs nedrīkst būt mazāks par apmēru, kādu, pamatojoties uz Civillikuma </w:t>
            </w:r>
            <w:proofErr w:type="gramStart"/>
            <w:r w:rsidRPr="00F85781">
              <w:rPr>
                <w:sz w:val="22"/>
                <w:szCs w:val="22"/>
              </w:rPr>
              <w:t>179.panta</w:t>
            </w:r>
            <w:proofErr w:type="gramEnd"/>
            <w:r w:rsidRPr="00F85781">
              <w:rPr>
                <w:sz w:val="22"/>
                <w:szCs w:val="22"/>
              </w:rPr>
              <w:t xml:space="preserve"> piekto daļu, noteicis Ministru kabinets.</w:t>
            </w:r>
          </w:p>
          <w:p w:rsidR="003C797F" w:rsidRPr="00F85781" w:rsidRDefault="003C797F" w:rsidP="00F94FBC">
            <w:pPr>
              <w:pStyle w:val="tv213"/>
              <w:spacing w:before="0" w:beforeAutospacing="0" w:after="0" w:afterAutospacing="0"/>
              <w:ind w:firstLine="567"/>
              <w:jc w:val="both"/>
              <w:rPr>
                <w:sz w:val="22"/>
                <w:szCs w:val="22"/>
              </w:rPr>
            </w:pPr>
          </w:p>
          <w:p w:rsidR="003C797F" w:rsidRPr="00F85781" w:rsidRDefault="003C797F" w:rsidP="00F94FBC">
            <w:pPr>
              <w:pStyle w:val="tv213"/>
              <w:spacing w:before="0" w:beforeAutospacing="0" w:after="0" w:afterAutospacing="0"/>
              <w:ind w:firstLine="567"/>
              <w:jc w:val="both"/>
              <w:rPr>
                <w:sz w:val="22"/>
                <w:szCs w:val="22"/>
              </w:rPr>
            </w:pPr>
          </w:p>
          <w:p w:rsidR="003C797F" w:rsidRPr="00F85781" w:rsidRDefault="003C797F" w:rsidP="00F94FBC">
            <w:pPr>
              <w:pStyle w:val="tv213"/>
              <w:spacing w:before="0" w:beforeAutospacing="0" w:after="0" w:afterAutospacing="0"/>
              <w:ind w:firstLine="567"/>
              <w:jc w:val="both"/>
              <w:rPr>
                <w:sz w:val="22"/>
                <w:szCs w:val="22"/>
              </w:rPr>
            </w:pPr>
          </w:p>
        </w:tc>
        <w:tc>
          <w:tcPr>
            <w:tcW w:w="3798" w:type="dxa"/>
            <w:shd w:val="clear" w:color="auto" w:fill="auto"/>
          </w:tcPr>
          <w:p w:rsidR="004A4156" w:rsidRPr="00F85781" w:rsidRDefault="004A4156" w:rsidP="00F94FBC">
            <w:pPr>
              <w:ind w:left="709"/>
              <w:jc w:val="both"/>
              <w:rPr>
                <w:sz w:val="22"/>
                <w:shd w:val="clear" w:color="auto" w:fill="FFFFFF"/>
              </w:rPr>
            </w:pPr>
            <w:r w:rsidRPr="00F85781">
              <w:rPr>
                <w:sz w:val="22"/>
                <w:shd w:val="clear" w:color="auto" w:fill="FFFFFF"/>
              </w:rPr>
              <w:t>1. Izteikt 36. panta otrās daļas trešo teikumu šādā redakcijā:</w:t>
            </w:r>
          </w:p>
          <w:p w:rsidR="004A4156" w:rsidRPr="00F85781" w:rsidRDefault="004A4156" w:rsidP="00F94FBC">
            <w:pPr>
              <w:pStyle w:val="ListParagraph"/>
              <w:spacing w:after="0" w:line="240" w:lineRule="auto"/>
              <w:ind w:left="0" w:firstLine="709"/>
              <w:jc w:val="both"/>
              <w:rPr>
                <w:rFonts w:ascii="Times New Roman" w:hAnsi="Times New Roman"/>
                <w:shd w:val="clear" w:color="auto" w:fill="FFFFFF"/>
              </w:rPr>
            </w:pPr>
            <w:r w:rsidRPr="00F85781">
              <w:rPr>
                <w:rFonts w:ascii="Times New Roman" w:hAnsi="Times New Roman"/>
                <w:shd w:val="clear" w:color="auto" w:fill="FFFFFF"/>
              </w:rPr>
              <w:t>"Ministru kabinets nosaka līdzekļu apmēru bērna uzturam."</w:t>
            </w:r>
          </w:p>
        </w:tc>
        <w:tc>
          <w:tcPr>
            <w:tcW w:w="545" w:type="dxa"/>
          </w:tcPr>
          <w:p w:rsidR="004A4156" w:rsidRPr="00F85781" w:rsidRDefault="007D33A1" w:rsidP="007D33A1">
            <w:pPr>
              <w:jc w:val="center"/>
              <w:rPr>
                <w:b/>
                <w:sz w:val="22"/>
                <w:shd w:val="clear" w:color="auto" w:fill="FFFFFF"/>
              </w:rPr>
            </w:pPr>
            <w:r w:rsidRPr="00F85781">
              <w:rPr>
                <w:b/>
                <w:sz w:val="22"/>
                <w:shd w:val="clear" w:color="auto" w:fill="FFFFFF"/>
              </w:rPr>
              <w:t>1</w:t>
            </w: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r w:rsidRPr="00F85781">
              <w:rPr>
                <w:b/>
                <w:sz w:val="22"/>
                <w:shd w:val="clear" w:color="auto" w:fill="FFFFFF"/>
              </w:rPr>
              <w:lastRenderedPageBreak/>
              <w:t>2</w:t>
            </w: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7D33A1" w:rsidRPr="00F85781" w:rsidRDefault="007D33A1" w:rsidP="007D33A1">
            <w:pPr>
              <w:jc w:val="center"/>
              <w:rPr>
                <w:b/>
                <w:sz w:val="22"/>
                <w:shd w:val="clear" w:color="auto" w:fill="FFFFFF"/>
              </w:rPr>
            </w:pPr>
          </w:p>
          <w:p w:rsidR="00846430" w:rsidRPr="00F85781" w:rsidRDefault="00846430" w:rsidP="007D33A1">
            <w:pPr>
              <w:jc w:val="center"/>
              <w:rPr>
                <w:b/>
                <w:sz w:val="22"/>
                <w:shd w:val="clear" w:color="auto" w:fill="FFFFFF"/>
              </w:rPr>
            </w:pPr>
          </w:p>
          <w:p w:rsidR="00846430" w:rsidRPr="00F85781" w:rsidRDefault="00846430" w:rsidP="007D33A1">
            <w:pPr>
              <w:jc w:val="center"/>
              <w:rPr>
                <w:b/>
                <w:sz w:val="22"/>
                <w:shd w:val="clear" w:color="auto" w:fill="FFFFFF"/>
              </w:rPr>
            </w:pPr>
            <w:r w:rsidRPr="00F85781">
              <w:rPr>
                <w:b/>
                <w:sz w:val="22"/>
                <w:shd w:val="clear" w:color="auto" w:fill="FFFFFF"/>
              </w:rPr>
              <w:t>3</w:t>
            </w:r>
          </w:p>
        </w:tc>
        <w:tc>
          <w:tcPr>
            <w:tcW w:w="3798" w:type="dxa"/>
          </w:tcPr>
          <w:p w:rsidR="004A4156" w:rsidRPr="00F85781" w:rsidRDefault="005175DE" w:rsidP="005175DE">
            <w:pPr>
              <w:ind w:firstLine="567"/>
              <w:jc w:val="both"/>
              <w:rPr>
                <w:b/>
                <w:sz w:val="22"/>
                <w:u w:val="single"/>
                <w:shd w:val="clear" w:color="auto" w:fill="FFFFFF"/>
              </w:rPr>
            </w:pPr>
            <w:r w:rsidRPr="00F85781">
              <w:rPr>
                <w:b/>
                <w:sz w:val="22"/>
                <w:u w:val="single"/>
                <w:shd w:val="clear" w:color="auto" w:fill="FFFFFF"/>
              </w:rPr>
              <w:lastRenderedPageBreak/>
              <w:t>Juridiskais birojs</w:t>
            </w:r>
          </w:p>
          <w:p w:rsidR="005175DE" w:rsidRPr="00F85781" w:rsidRDefault="005175DE" w:rsidP="005175DE">
            <w:pPr>
              <w:ind w:firstLine="567"/>
              <w:jc w:val="both"/>
              <w:rPr>
                <w:sz w:val="22"/>
              </w:rPr>
            </w:pPr>
            <w:r w:rsidRPr="00F85781">
              <w:rPr>
                <w:sz w:val="22"/>
              </w:rPr>
              <w:t>Izslēgt likumprojekta 1. pantu.</w:t>
            </w:r>
          </w:p>
          <w:p w:rsidR="005175DE" w:rsidRPr="00F85781" w:rsidRDefault="005175DE" w:rsidP="005175DE">
            <w:pPr>
              <w:ind w:firstLine="567"/>
              <w:jc w:val="both"/>
              <w:rPr>
                <w:i/>
                <w:sz w:val="22"/>
              </w:rPr>
            </w:pPr>
            <w:r w:rsidRPr="00F85781">
              <w:rPr>
                <w:i/>
                <w:sz w:val="22"/>
              </w:rPr>
              <w:t xml:space="preserve">Likumdevējam ir tiesības un tai pašā laikā arī pienākums valsts budžeta likumā un to pavadošo likumu paketē iekļaut vienīgi tādus jautājumus, kas attiecas uz konkrēto saimniecisko gadu un ir cieši saistīti ar valsts finanšu līdzekļu izlietojumu </w:t>
            </w:r>
            <w:proofErr w:type="gramStart"/>
            <w:r w:rsidRPr="00F85781">
              <w:rPr>
                <w:i/>
                <w:sz w:val="22"/>
              </w:rPr>
              <w:t>(</w:t>
            </w:r>
            <w:proofErr w:type="gramEnd"/>
            <w:r w:rsidRPr="00F85781">
              <w:rPr>
                <w:i/>
                <w:sz w:val="22"/>
              </w:rPr>
              <w:t xml:space="preserve">sk. Satversmes tiesas 2011. gada 19. decembra sprieduma lietā Nr. 2011-03-01 18. punktu). Satversmes tiesa ir secinājusi, ka, ņemot vērā īpašo budžeta likumprojektu paketes izskatīšanai noteikto kārtību, Saeimai ir jāizvērtē arī tas, vai visi Ministru kabineta iesniegtie </w:t>
            </w:r>
            <w:r w:rsidRPr="00F85781">
              <w:rPr>
                <w:i/>
                <w:sz w:val="22"/>
              </w:rPr>
              <w:lastRenderedPageBreak/>
              <w:t>valsts budžeta paketes likumprojekti vai tajos iekļautās normas atbilst Saeimas kārtības ruļļa 87.</w:t>
            </w:r>
            <w:r w:rsidRPr="00F85781">
              <w:rPr>
                <w:i/>
                <w:sz w:val="22"/>
                <w:vertAlign w:val="superscript"/>
              </w:rPr>
              <w:t>1</w:t>
            </w:r>
            <w:r w:rsidRPr="00F85781">
              <w:rPr>
                <w:i/>
                <w:sz w:val="22"/>
              </w:rPr>
              <w:t> pantā norādītajiem kritērijiem. Ja kāds likumprojekts vai konkrētā norma šiem kritērijiem neatbilst, Saeimai tas jāizslēdz no likuma “Par valsts budžetu 2020. gada“ projektu pavadošo likumprojektu paketes.</w:t>
            </w:r>
          </w:p>
          <w:p w:rsidR="005175DE" w:rsidRPr="00F85781" w:rsidRDefault="005175DE" w:rsidP="005175DE">
            <w:pPr>
              <w:ind w:firstLine="567"/>
              <w:jc w:val="both"/>
              <w:rPr>
                <w:i/>
                <w:sz w:val="22"/>
              </w:rPr>
            </w:pPr>
            <w:r w:rsidRPr="00F85781">
              <w:rPr>
                <w:i/>
                <w:sz w:val="22"/>
              </w:rPr>
              <w:t xml:space="preserve">Saskaņā ar likumprojekta sākotnējās ietekmes novērtējuma ziņojumu (anotāciju), likumprojekta 1. pants izstrādāts, lai noteiktu, ka valsts budžeta izdevumi, kas ir tieši saistīti ar minimālo algu, ar 2020. gada 1. janvāri netiek piesaistīti minimālās algas apmēram. Likumprojektā piedāvāts grozīt likuma 36. pantu, kurā noteikts, ka līdzekļu apmēru audžuģimenē ievietota bērna uzturam nosaka Ministru kabinets. Kā norādīts anotācijā, tad “līdzekļu apmērs audžuģimenē ievietotajam bērnam ar 2020. gada 1. janvāri nesamazināsies” (sk. 7. lpp), kā arī tas, ka iespējamais minimālās darba algas paaugstinājums līdzekļa apmēru bērna uzturam varētu ietekmēt, tikai sākot ar 2021. gadu. </w:t>
            </w:r>
          </w:p>
          <w:p w:rsidR="005175DE" w:rsidRPr="00F85781" w:rsidRDefault="005175DE" w:rsidP="005175DE">
            <w:pPr>
              <w:ind w:firstLine="567"/>
              <w:jc w:val="both"/>
              <w:rPr>
                <w:i/>
                <w:sz w:val="22"/>
                <w:u w:val="single"/>
              </w:rPr>
            </w:pPr>
            <w:r w:rsidRPr="00F85781">
              <w:rPr>
                <w:i/>
                <w:sz w:val="22"/>
              </w:rPr>
              <w:t xml:space="preserve">Līdz ar to secināms, ka </w:t>
            </w:r>
            <w:r w:rsidRPr="00F85781">
              <w:rPr>
                <w:i/>
                <w:sz w:val="22"/>
                <w:u w:val="single"/>
              </w:rPr>
              <w:t>Ministru kabineta noteikumos līdzekļu apmērs audžuģimenē ievietota bērna uzturam būtu identisks tam, ko jau nodrošina spēkā esošie normatīvie akti 2020. gadam.</w:t>
            </w:r>
          </w:p>
          <w:p w:rsidR="005175DE" w:rsidRPr="00F85781" w:rsidRDefault="005175DE" w:rsidP="005175DE">
            <w:pPr>
              <w:ind w:firstLine="567"/>
              <w:jc w:val="both"/>
              <w:rPr>
                <w:i/>
                <w:sz w:val="22"/>
                <w:u w:val="single"/>
              </w:rPr>
            </w:pPr>
          </w:p>
          <w:p w:rsidR="005175DE" w:rsidRPr="00F85781" w:rsidRDefault="005175DE" w:rsidP="005175DE">
            <w:pPr>
              <w:ind w:firstLine="567"/>
              <w:jc w:val="both"/>
              <w:rPr>
                <w:i/>
                <w:sz w:val="22"/>
                <w:u w:val="single"/>
              </w:rPr>
            </w:pPr>
          </w:p>
          <w:p w:rsidR="007D33A1" w:rsidRPr="00F85781" w:rsidRDefault="007D33A1" w:rsidP="005175DE">
            <w:pPr>
              <w:ind w:firstLine="567"/>
              <w:jc w:val="both"/>
              <w:rPr>
                <w:i/>
                <w:sz w:val="22"/>
                <w:u w:val="single"/>
              </w:rPr>
            </w:pPr>
          </w:p>
          <w:p w:rsidR="005175DE" w:rsidRPr="00F85781" w:rsidRDefault="005175DE" w:rsidP="005175DE">
            <w:pPr>
              <w:ind w:firstLine="567"/>
              <w:jc w:val="both"/>
              <w:rPr>
                <w:i/>
                <w:sz w:val="22"/>
                <w:u w:val="single"/>
              </w:rPr>
            </w:pPr>
          </w:p>
          <w:p w:rsidR="005175DE" w:rsidRPr="00F85781" w:rsidRDefault="005175DE" w:rsidP="005175DE">
            <w:pPr>
              <w:ind w:firstLine="567"/>
              <w:jc w:val="both"/>
              <w:rPr>
                <w:b/>
                <w:sz w:val="22"/>
                <w:u w:val="single"/>
              </w:rPr>
            </w:pPr>
            <w:r w:rsidRPr="00F85781">
              <w:rPr>
                <w:b/>
                <w:sz w:val="22"/>
                <w:u w:val="single"/>
              </w:rPr>
              <w:lastRenderedPageBreak/>
              <w:t>Zaļo un Zemnieku savienības frakcija</w:t>
            </w:r>
          </w:p>
          <w:p w:rsidR="005175DE" w:rsidRPr="00F85781" w:rsidRDefault="005175DE" w:rsidP="007D33A1">
            <w:pPr>
              <w:ind w:firstLine="567"/>
              <w:jc w:val="both"/>
              <w:rPr>
                <w:sz w:val="22"/>
              </w:rPr>
            </w:pPr>
            <w:r w:rsidRPr="00F85781">
              <w:rPr>
                <w:sz w:val="22"/>
              </w:rPr>
              <w:t xml:space="preserve">Izslēgt likumprojekta </w:t>
            </w:r>
            <w:proofErr w:type="gramStart"/>
            <w:r w:rsidRPr="00F85781">
              <w:rPr>
                <w:sz w:val="22"/>
              </w:rPr>
              <w:t>1.pantu</w:t>
            </w:r>
            <w:proofErr w:type="gramEnd"/>
            <w:r w:rsidRPr="00F85781">
              <w:rPr>
                <w:sz w:val="22"/>
              </w:rPr>
              <w:t xml:space="preserve"> par likuma 36.panta otrās daļas trešā teikuma grozījumiem.</w:t>
            </w:r>
            <w:r w:rsidRPr="00F85781">
              <w:rPr>
                <w:rStyle w:val="FootnoteReference"/>
                <w:sz w:val="22"/>
              </w:rPr>
              <w:footnoteReference w:id="1"/>
            </w:r>
          </w:p>
          <w:p w:rsidR="00846430" w:rsidRPr="00F85781" w:rsidRDefault="00846430" w:rsidP="007D33A1">
            <w:pPr>
              <w:ind w:firstLine="567"/>
              <w:jc w:val="both"/>
              <w:rPr>
                <w:sz w:val="22"/>
              </w:rPr>
            </w:pPr>
          </w:p>
          <w:p w:rsidR="00846430" w:rsidRPr="00F85781" w:rsidRDefault="00846430" w:rsidP="007D33A1">
            <w:pPr>
              <w:ind w:firstLine="567"/>
              <w:jc w:val="both"/>
              <w:rPr>
                <w:b/>
                <w:sz w:val="22"/>
                <w:u w:val="single"/>
              </w:rPr>
            </w:pPr>
            <w:r w:rsidRPr="00F85781">
              <w:rPr>
                <w:b/>
                <w:sz w:val="22"/>
                <w:u w:val="single"/>
              </w:rPr>
              <w:t>Deputāti L.Liepiņa, J.Stepaņenko, K.Sprūde, A.Gobzems, D.Šmits</w:t>
            </w:r>
          </w:p>
          <w:p w:rsidR="00846430" w:rsidRPr="00F85781" w:rsidRDefault="00846430" w:rsidP="008F5A50">
            <w:pPr>
              <w:ind w:firstLine="567"/>
              <w:jc w:val="both"/>
              <w:rPr>
                <w:sz w:val="22"/>
              </w:rPr>
            </w:pPr>
            <w:r w:rsidRPr="00F85781">
              <w:rPr>
                <w:sz w:val="22"/>
              </w:rPr>
              <w:t xml:space="preserve">Izslēgt likumprojekta 1. un 2. punktu. </w:t>
            </w:r>
          </w:p>
        </w:tc>
        <w:tc>
          <w:tcPr>
            <w:tcW w:w="1417" w:type="dxa"/>
          </w:tcPr>
          <w:p w:rsidR="004A4156" w:rsidRPr="00F85781" w:rsidRDefault="004A4156" w:rsidP="00F94FBC">
            <w:pPr>
              <w:ind w:left="709"/>
              <w:jc w:val="both"/>
              <w:rPr>
                <w:sz w:val="22"/>
                <w:shd w:val="clear" w:color="auto" w:fill="FFFFFF"/>
              </w:rPr>
            </w:pPr>
          </w:p>
        </w:tc>
        <w:tc>
          <w:tcPr>
            <w:tcW w:w="1417" w:type="dxa"/>
          </w:tcPr>
          <w:p w:rsidR="004A4156" w:rsidRPr="00F85781" w:rsidRDefault="004A4156" w:rsidP="00F94FBC">
            <w:pPr>
              <w:ind w:left="709"/>
              <w:jc w:val="both"/>
              <w:rPr>
                <w:sz w:val="22"/>
                <w:shd w:val="clear" w:color="auto" w:fill="FFFFFF"/>
              </w:rPr>
            </w:pPr>
          </w:p>
        </w:tc>
      </w:tr>
      <w:tr w:rsidR="00F85781" w:rsidRPr="00F85781" w:rsidTr="004A4156">
        <w:tc>
          <w:tcPr>
            <w:tcW w:w="3798" w:type="dxa"/>
            <w:shd w:val="clear" w:color="auto" w:fill="auto"/>
          </w:tcPr>
          <w:p w:rsidR="004A4156" w:rsidRPr="00F85781" w:rsidRDefault="004A4156" w:rsidP="00F94FBC">
            <w:pPr>
              <w:pStyle w:val="tv213"/>
              <w:spacing w:before="0" w:beforeAutospacing="0" w:after="0" w:afterAutospacing="0"/>
              <w:ind w:firstLine="567"/>
              <w:jc w:val="both"/>
              <w:rPr>
                <w:sz w:val="22"/>
                <w:szCs w:val="22"/>
              </w:rPr>
            </w:pPr>
            <w:proofErr w:type="gramStart"/>
            <w:r w:rsidRPr="00F85781">
              <w:rPr>
                <w:b/>
                <w:bCs/>
                <w:sz w:val="22"/>
                <w:szCs w:val="22"/>
              </w:rPr>
              <w:lastRenderedPageBreak/>
              <w:t>61.pants</w:t>
            </w:r>
            <w:proofErr w:type="gramEnd"/>
            <w:r w:rsidRPr="00F85781">
              <w:rPr>
                <w:b/>
                <w:bCs/>
                <w:sz w:val="22"/>
                <w:szCs w:val="22"/>
              </w:rPr>
              <w:t xml:space="preserve">. Ministru kabineta kompetence bērna tiesību aizsardzības jomā </w:t>
            </w:r>
          </w:p>
          <w:p w:rsidR="004A4156" w:rsidRPr="00F85781" w:rsidRDefault="004A4156" w:rsidP="00F94FBC">
            <w:pPr>
              <w:pStyle w:val="tv213"/>
              <w:spacing w:before="0" w:beforeAutospacing="0" w:after="0" w:afterAutospacing="0"/>
              <w:ind w:firstLine="567"/>
              <w:jc w:val="both"/>
              <w:rPr>
                <w:sz w:val="22"/>
                <w:szCs w:val="22"/>
              </w:rPr>
            </w:pPr>
            <w:r w:rsidRPr="00F85781">
              <w:rPr>
                <w:sz w:val="22"/>
                <w:szCs w:val="22"/>
              </w:rPr>
              <w:t>Ministru kabinets:</w:t>
            </w:r>
          </w:p>
          <w:p w:rsidR="004A4156" w:rsidRPr="00F85781" w:rsidRDefault="004A4156" w:rsidP="00F94FBC">
            <w:pPr>
              <w:pStyle w:val="tv213"/>
              <w:spacing w:before="0" w:beforeAutospacing="0" w:after="0" w:afterAutospacing="0"/>
              <w:ind w:firstLine="567"/>
              <w:jc w:val="both"/>
              <w:rPr>
                <w:sz w:val="22"/>
                <w:szCs w:val="22"/>
              </w:rPr>
            </w:pPr>
            <w:r w:rsidRPr="00F85781">
              <w:rPr>
                <w:sz w:val="22"/>
                <w:szCs w:val="22"/>
              </w:rPr>
              <w:t>1) izstrādā bērna tiesību aizsardzības nodrošināšanai attiecīgus likumprojektus un izdod nepieciešamos noteikumus;</w:t>
            </w:r>
          </w:p>
          <w:p w:rsidR="004A4156" w:rsidRPr="00F85781" w:rsidRDefault="004A4156" w:rsidP="00F94FBC">
            <w:pPr>
              <w:pStyle w:val="tv213"/>
              <w:spacing w:before="0" w:beforeAutospacing="0" w:after="0" w:afterAutospacing="0"/>
              <w:ind w:firstLine="567"/>
              <w:jc w:val="both"/>
              <w:rPr>
                <w:sz w:val="22"/>
                <w:szCs w:val="22"/>
              </w:rPr>
            </w:pPr>
            <w:r w:rsidRPr="00F85781">
              <w:rPr>
                <w:sz w:val="22"/>
                <w:szCs w:val="22"/>
              </w:rPr>
              <w:t>2) apstiprina ilgtermiņa valsts politikas projektus bērna tiesību aizsardzības jomā;</w:t>
            </w:r>
          </w:p>
          <w:p w:rsidR="004A4156" w:rsidRPr="00F85781" w:rsidRDefault="004A4156" w:rsidP="00F94FBC">
            <w:pPr>
              <w:pStyle w:val="tv213"/>
              <w:spacing w:before="0" w:beforeAutospacing="0" w:after="0" w:afterAutospacing="0"/>
              <w:ind w:firstLine="567"/>
              <w:jc w:val="both"/>
              <w:rPr>
                <w:sz w:val="22"/>
                <w:szCs w:val="22"/>
              </w:rPr>
            </w:pPr>
            <w:r w:rsidRPr="00F85781">
              <w:rPr>
                <w:sz w:val="22"/>
                <w:szCs w:val="22"/>
              </w:rPr>
              <w:t xml:space="preserve">3) </w:t>
            </w:r>
            <w:r w:rsidRPr="00F85781">
              <w:rPr>
                <w:rStyle w:val="fontsize2"/>
                <w:sz w:val="22"/>
                <w:szCs w:val="22"/>
              </w:rPr>
              <w:t>(</w:t>
            </w:r>
            <w:r w:rsidRPr="00F85781">
              <w:rPr>
                <w:rStyle w:val="fontsize2"/>
                <w:i/>
                <w:sz w:val="22"/>
                <w:szCs w:val="22"/>
              </w:rPr>
              <w:t>izslēgts ar 30.05.2013. likumu</w:t>
            </w:r>
            <w:r w:rsidRPr="00F85781">
              <w:rPr>
                <w:rStyle w:val="fontsize2"/>
                <w:sz w:val="22"/>
                <w:szCs w:val="22"/>
              </w:rPr>
              <w:t>)</w:t>
            </w:r>
            <w:r w:rsidRPr="00F85781">
              <w:rPr>
                <w:sz w:val="22"/>
                <w:szCs w:val="22"/>
              </w:rPr>
              <w:t>;</w:t>
            </w:r>
          </w:p>
          <w:p w:rsidR="004A4156" w:rsidRPr="00F85781" w:rsidRDefault="004A4156" w:rsidP="00F94FBC">
            <w:pPr>
              <w:pStyle w:val="tv213"/>
              <w:spacing w:before="0" w:beforeAutospacing="0" w:after="0" w:afterAutospacing="0"/>
              <w:ind w:firstLine="567"/>
              <w:jc w:val="both"/>
              <w:rPr>
                <w:sz w:val="22"/>
                <w:szCs w:val="22"/>
              </w:rPr>
            </w:pPr>
            <w:r w:rsidRPr="00F85781">
              <w:rPr>
                <w:sz w:val="22"/>
                <w:szCs w:val="22"/>
              </w:rPr>
              <w:lastRenderedPageBreak/>
              <w:t>4) apstiprina valsts programmu sociālo pedagogu un sociālo darbinieku sagatavošanā;</w:t>
            </w:r>
          </w:p>
          <w:p w:rsidR="004A4156" w:rsidRPr="00F85781" w:rsidRDefault="004A4156" w:rsidP="00F94FBC">
            <w:pPr>
              <w:pStyle w:val="tv213"/>
              <w:spacing w:before="0" w:beforeAutospacing="0" w:after="0" w:afterAutospacing="0"/>
              <w:ind w:firstLine="567"/>
              <w:jc w:val="both"/>
              <w:rPr>
                <w:sz w:val="22"/>
                <w:szCs w:val="22"/>
              </w:rPr>
            </w:pPr>
            <w:r w:rsidRPr="00F85781">
              <w:rPr>
                <w:sz w:val="22"/>
                <w:szCs w:val="22"/>
              </w:rPr>
              <w:t>5) apstiprina programmu bērnu noziedzības novēršanai un bērna aizsardzībai pret noziegumu;</w:t>
            </w:r>
          </w:p>
          <w:p w:rsidR="004A4156" w:rsidRPr="00F85781" w:rsidRDefault="004A4156" w:rsidP="00F94FBC">
            <w:pPr>
              <w:pStyle w:val="tv213"/>
              <w:spacing w:before="0" w:beforeAutospacing="0" w:after="0" w:afterAutospacing="0"/>
              <w:ind w:firstLine="567"/>
              <w:jc w:val="both"/>
              <w:rPr>
                <w:sz w:val="22"/>
                <w:szCs w:val="22"/>
              </w:rPr>
            </w:pPr>
            <w:r w:rsidRPr="00F85781">
              <w:rPr>
                <w:sz w:val="22"/>
                <w:szCs w:val="22"/>
              </w:rPr>
              <w:t xml:space="preserve">6) nosaka kārtību, kādā Latvijas centrālā iestāde atbilstoši </w:t>
            </w:r>
            <w:proofErr w:type="gramStart"/>
            <w:r w:rsidRPr="00F85781">
              <w:rPr>
                <w:sz w:val="22"/>
                <w:szCs w:val="22"/>
              </w:rPr>
              <w:t>1980.gada</w:t>
            </w:r>
            <w:proofErr w:type="gramEnd"/>
            <w:r w:rsidRPr="00F85781">
              <w:rPr>
                <w:sz w:val="22"/>
                <w:szCs w:val="22"/>
              </w:rPr>
              <w:t xml:space="preserve"> 25.oktobra Hāgas konvencijai par starptautiskās bērnu nolaupīšanas civiltiesiskajiem aspektiem veic tajā minētās darbības un sadarbojas ar citām valsts un pašvaldības iestādēm;</w:t>
            </w:r>
          </w:p>
          <w:p w:rsidR="004A4156" w:rsidRPr="00F85781" w:rsidRDefault="004A4156" w:rsidP="00F94FBC">
            <w:pPr>
              <w:pStyle w:val="tv213"/>
              <w:spacing w:before="0" w:beforeAutospacing="0" w:after="0" w:afterAutospacing="0"/>
              <w:ind w:firstLine="567"/>
              <w:jc w:val="both"/>
              <w:rPr>
                <w:sz w:val="22"/>
                <w:szCs w:val="22"/>
              </w:rPr>
            </w:pPr>
            <w:r w:rsidRPr="00F85781">
              <w:rPr>
                <w:sz w:val="22"/>
                <w:szCs w:val="22"/>
              </w:rPr>
              <w:t>7) nosaka kārtību, kādā aprēķina, piešķir un izlieto valsts budžetā paredzētos līdzekļus pašvaldībām pamatizglītības iestādes skolēnu ēdināšanai, un šo valsts budžeta līdzekļu izlietošanas apmēru vienam skolēnam dienā.</w:t>
            </w:r>
          </w:p>
        </w:tc>
        <w:tc>
          <w:tcPr>
            <w:tcW w:w="3798" w:type="dxa"/>
            <w:shd w:val="clear" w:color="auto" w:fill="auto"/>
          </w:tcPr>
          <w:p w:rsidR="004A4156" w:rsidRPr="00F85781" w:rsidRDefault="004A4156" w:rsidP="00F94FBC">
            <w:pPr>
              <w:pStyle w:val="ListParagraph"/>
              <w:spacing w:after="0" w:line="240" w:lineRule="auto"/>
              <w:ind w:left="0" w:firstLine="709"/>
              <w:jc w:val="both"/>
              <w:rPr>
                <w:rFonts w:ascii="Times New Roman" w:hAnsi="Times New Roman"/>
                <w:shd w:val="clear" w:color="auto" w:fill="FFFFFF"/>
              </w:rPr>
            </w:pPr>
            <w:r w:rsidRPr="00F85781">
              <w:rPr>
                <w:rFonts w:ascii="Times New Roman" w:hAnsi="Times New Roman"/>
                <w:shd w:val="clear" w:color="auto" w:fill="FFFFFF"/>
              </w:rPr>
              <w:lastRenderedPageBreak/>
              <w:t>2. Aizstāt 61. panta 7. punktā vārdus "pamatizglītības iestādes skolēnu ēdināšanai" ar vārdiem un skaitļiem "skolēnu ēdināšanai, kuri klātienē apgūst pamatizglītības programmas 1., 2., 3. un 4. klasē".</w:t>
            </w:r>
          </w:p>
        </w:tc>
        <w:tc>
          <w:tcPr>
            <w:tcW w:w="545" w:type="dxa"/>
          </w:tcPr>
          <w:p w:rsidR="004A4156" w:rsidRPr="00F85781" w:rsidRDefault="00846430" w:rsidP="007D33A1">
            <w:pPr>
              <w:pStyle w:val="ListParagraph"/>
              <w:spacing w:after="0" w:line="240" w:lineRule="auto"/>
              <w:ind w:left="0"/>
              <w:jc w:val="center"/>
              <w:rPr>
                <w:rFonts w:ascii="Times New Roman" w:hAnsi="Times New Roman"/>
                <w:b/>
                <w:shd w:val="clear" w:color="auto" w:fill="FFFFFF"/>
              </w:rPr>
            </w:pPr>
            <w:r w:rsidRPr="00F85781">
              <w:rPr>
                <w:rFonts w:ascii="Times New Roman" w:hAnsi="Times New Roman"/>
                <w:b/>
                <w:shd w:val="clear" w:color="auto" w:fill="FFFFFF"/>
              </w:rPr>
              <w:t>4</w:t>
            </w:r>
          </w:p>
          <w:p w:rsidR="007D33A1" w:rsidRPr="00F85781" w:rsidRDefault="007D33A1" w:rsidP="007D33A1">
            <w:pPr>
              <w:pStyle w:val="ListParagraph"/>
              <w:spacing w:after="0" w:line="240" w:lineRule="auto"/>
              <w:ind w:left="0"/>
              <w:jc w:val="center"/>
              <w:rPr>
                <w:rFonts w:ascii="Times New Roman" w:hAnsi="Times New Roman"/>
                <w:b/>
                <w:shd w:val="clear" w:color="auto" w:fill="FFFFFF"/>
              </w:rPr>
            </w:pPr>
          </w:p>
          <w:p w:rsidR="007D33A1" w:rsidRPr="00F85781" w:rsidRDefault="007D33A1" w:rsidP="007D33A1">
            <w:pPr>
              <w:pStyle w:val="ListParagraph"/>
              <w:spacing w:after="0" w:line="240" w:lineRule="auto"/>
              <w:ind w:left="0"/>
              <w:jc w:val="center"/>
              <w:rPr>
                <w:rFonts w:ascii="Times New Roman" w:hAnsi="Times New Roman"/>
                <w:b/>
                <w:shd w:val="clear" w:color="auto" w:fill="FFFFFF"/>
              </w:rPr>
            </w:pPr>
          </w:p>
          <w:p w:rsidR="007D33A1" w:rsidRPr="00F85781" w:rsidRDefault="007D33A1" w:rsidP="007D33A1">
            <w:pPr>
              <w:pStyle w:val="ListParagraph"/>
              <w:spacing w:after="0" w:line="240" w:lineRule="auto"/>
              <w:ind w:left="0"/>
              <w:jc w:val="center"/>
              <w:rPr>
                <w:rFonts w:ascii="Times New Roman" w:hAnsi="Times New Roman"/>
                <w:b/>
                <w:shd w:val="clear" w:color="auto" w:fill="FFFFFF"/>
              </w:rPr>
            </w:pPr>
          </w:p>
          <w:p w:rsidR="007D33A1" w:rsidRPr="00F85781" w:rsidRDefault="007D33A1" w:rsidP="007D33A1">
            <w:pPr>
              <w:pStyle w:val="ListParagraph"/>
              <w:spacing w:after="0" w:line="240" w:lineRule="auto"/>
              <w:ind w:left="0"/>
              <w:jc w:val="center"/>
              <w:rPr>
                <w:rFonts w:ascii="Times New Roman" w:hAnsi="Times New Roman"/>
                <w:b/>
                <w:shd w:val="clear" w:color="auto" w:fill="FFFFFF"/>
              </w:rPr>
            </w:pPr>
          </w:p>
          <w:p w:rsidR="007D33A1" w:rsidRPr="00F85781" w:rsidRDefault="007D33A1" w:rsidP="007D33A1">
            <w:pPr>
              <w:pStyle w:val="ListParagraph"/>
              <w:spacing w:after="0" w:line="240" w:lineRule="auto"/>
              <w:ind w:left="0"/>
              <w:jc w:val="center"/>
              <w:rPr>
                <w:rFonts w:ascii="Times New Roman" w:hAnsi="Times New Roman"/>
                <w:b/>
                <w:shd w:val="clear" w:color="auto" w:fill="FFFFFF"/>
              </w:rPr>
            </w:pPr>
          </w:p>
          <w:p w:rsidR="007D33A1" w:rsidRPr="00F85781" w:rsidRDefault="00846430" w:rsidP="007D33A1">
            <w:pPr>
              <w:pStyle w:val="ListParagraph"/>
              <w:spacing w:after="0" w:line="240" w:lineRule="auto"/>
              <w:ind w:left="0"/>
              <w:jc w:val="center"/>
              <w:rPr>
                <w:rFonts w:ascii="Times New Roman" w:hAnsi="Times New Roman"/>
                <w:b/>
                <w:shd w:val="clear" w:color="auto" w:fill="FFFFFF"/>
              </w:rPr>
            </w:pPr>
            <w:r w:rsidRPr="00F85781">
              <w:rPr>
                <w:rFonts w:ascii="Times New Roman" w:hAnsi="Times New Roman"/>
                <w:b/>
                <w:shd w:val="clear" w:color="auto" w:fill="FFFFFF"/>
              </w:rPr>
              <w:t>5</w:t>
            </w:r>
          </w:p>
          <w:p w:rsidR="007D33A1" w:rsidRPr="00F85781" w:rsidRDefault="007D33A1" w:rsidP="007D33A1">
            <w:pPr>
              <w:pStyle w:val="ListParagraph"/>
              <w:spacing w:after="0" w:line="240" w:lineRule="auto"/>
              <w:ind w:left="0"/>
              <w:jc w:val="center"/>
              <w:rPr>
                <w:rFonts w:ascii="Times New Roman" w:hAnsi="Times New Roman"/>
                <w:b/>
                <w:shd w:val="clear" w:color="auto" w:fill="FFFFFF"/>
              </w:rPr>
            </w:pPr>
          </w:p>
          <w:p w:rsidR="007D33A1" w:rsidRPr="00F85781" w:rsidRDefault="007D33A1" w:rsidP="007D33A1">
            <w:pPr>
              <w:pStyle w:val="ListParagraph"/>
              <w:spacing w:after="0" w:line="240" w:lineRule="auto"/>
              <w:ind w:left="0"/>
              <w:jc w:val="center"/>
              <w:rPr>
                <w:rFonts w:ascii="Times New Roman" w:hAnsi="Times New Roman"/>
                <w:b/>
                <w:shd w:val="clear" w:color="auto" w:fill="FFFFFF"/>
              </w:rPr>
            </w:pPr>
          </w:p>
          <w:p w:rsidR="007D33A1" w:rsidRPr="00F85781" w:rsidRDefault="007D33A1" w:rsidP="007D33A1">
            <w:pPr>
              <w:pStyle w:val="ListParagraph"/>
              <w:spacing w:after="0" w:line="240" w:lineRule="auto"/>
              <w:ind w:left="0"/>
              <w:jc w:val="center"/>
              <w:rPr>
                <w:rFonts w:ascii="Times New Roman" w:hAnsi="Times New Roman"/>
                <w:b/>
                <w:shd w:val="clear" w:color="auto" w:fill="FFFFFF"/>
              </w:rPr>
            </w:pPr>
          </w:p>
          <w:p w:rsidR="007D33A1" w:rsidRPr="00F85781" w:rsidRDefault="007D33A1" w:rsidP="007D33A1">
            <w:pPr>
              <w:pStyle w:val="ListParagraph"/>
              <w:spacing w:after="0" w:line="240" w:lineRule="auto"/>
              <w:ind w:left="0"/>
              <w:jc w:val="center"/>
              <w:rPr>
                <w:rFonts w:ascii="Times New Roman" w:hAnsi="Times New Roman"/>
                <w:b/>
                <w:shd w:val="clear" w:color="auto" w:fill="FFFFFF"/>
              </w:rPr>
            </w:pPr>
          </w:p>
          <w:p w:rsidR="007D33A1" w:rsidRPr="00F85781" w:rsidRDefault="00846430" w:rsidP="007D33A1">
            <w:pPr>
              <w:pStyle w:val="ListParagraph"/>
              <w:spacing w:after="0" w:line="240" w:lineRule="auto"/>
              <w:ind w:left="0"/>
              <w:jc w:val="center"/>
              <w:rPr>
                <w:rFonts w:ascii="Times New Roman" w:hAnsi="Times New Roman"/>
                <w:b/>
                <w:shd w:val="clear" w:color="auto" w:fill="FFFFFF"/>
              </w:rPr>
            </w:pPr>
            <w:r w:rsidRPr="00F85781">
              <w:rPr>
                <w:rFonts w:ascii="Times New Roman" w:hAnsi="Times New Roman"/>
                <w:b/>
                <w:shd w:val="clear" w:color="auto" w:fill="FFFFFF"/>
              </w:rPr>
              <w:t>6</w:t>
            </w:r>
          </w:p>
          <w:p w:rsidR="007D33A1" w:rsidRPr="00F85781" w:rsidRDefault="007D33A1" w:rsidP="007D33A1">
            <w:pPr>
              <w:pStyle w:val="ListParagraph"/>
              <w:spacing w:after="0" w:line="240" w:lineRule="auto"/>
              <w:ind w:left="0"/>
              <w:jc w:val="center"/>
              <w:rPr>
                <w:rFonts w:ascii="Times New Roman" w:hAnsi="Times New Roman"/>
                <w:b/>
                <w:shd w:val="clear" w:color="auto" w:fill="FFFFFF"/>
              </w:rPr>
            </w:pPr>
          </w:p>
          <w:p w:rsidR="007D33A1" w:rsidRPr="00F85781" w:rsidRDefault="007D33A1" w:rsidP="007D33A1">
            <w:pPr>
              <w:pStyle w:val="ListParagraph"/>
              <w:spacing w:after="0" w:line="240" w:lineRule="auto"/>
              <w:ind w:left="0"/>
              <w:jc w:val="center"/>
              <w:rPr>
                <w:rFonts w:ascii="Times New Roman" w:hAnsi="Times New Roman"/>
                <w:b/>
                <w:shd w:val="clear" w:color="auto" w:fill="FFFFFF"/>
              </w:rPr>
            </w:pPr>
          </w:p>
          <w:p w:rsidR="007D33A1" w:rsidRPr="00F85781" w:rsidRDefault="0083675F" w:rsidP="007D33A1">
            <w:pPr>
              <w:pStyle w:val="ListParagraph"/>
              <w:spacing w:after="0" w:line="240" w:lineRule="auto"/>
              <w:ind w:left="0"/>
              <w:jc w:val="center"/>
              <w:rPr>
                <w:rFonts w:ascii="Times New Roman" w:hAnsi="Times New Roman"/>
                <w:b/>
                <w:shd w:val="clear" w:color="auto" w:fill="FFFFFF"/>
              </w:rPr>
            </w:pPr>
            <w:r w:rsidRPr="00F85781">
              <w:rPr>
                <w:rFonts w:ascii="Times New Roman" w:hAnsi="Times New Roman"/>
                <w:b/>
                <w:shd w:val="clear" w:color="auto" w:fill="FFFFFF"/>
              </w:rPr>
              <w:lastRenderedPageBreak/>
              <w:t>7</w:t>
            </w:r>
          </w:p>
          <w:p w:rsidR="007D33A1" w:rsidRPr="00F85781" w:rsidRDefault="007D33A1" w:rsidP="007D33A1">
            <w:pPr>
              <w:pStyle w:val="ListParagraph"/>
              <w:spacing w:after="0" w:line="240" w:lineRule="auto"/>
              <w:ind w:left="0"/>
              <w:jc w:val="center"/>
              <w:rPr>
                <w:rFonts w:ascii="Times New Roman" w:hAnsi="Times New Roman"/>
                <w:b/>
                <w:shd w:val="clear" w:color="auto" w:fill="FFFFFF"/>
              </w:rPr>
            </w:pPr>
          </w:p>
          <w:p w:rsidR="007D33A1" w:rsidRPr="00F85781" w:rsidRDefault="007D33A1" w:rsidP="007D33A1">
            <w:pPr>
              <w:pStyle w:val="ListParagraph"/>
              <w:spacing w:after="0" w:line="240" w:lineRule="auto"/>
              <w:ind w:left="0"/>
              <w:jc w:val="center"/>
              <w:rPr>
                <w:rFonts w:ascii="Times New Roman" w:hAnsi="Times New Roman"/>
                <w:b/>
                <w:shd w:val="clear" w:color="auto" w:fill="FFFFFF"/>
              </w:rPr>
            </w:pPr>
          </w:p>
        </w:tc>
        <w:tc>
          <w:tcPr>
            <w:tcW w:w="3798" w:type="dxa"/>
          </w:tcPr>
          <w:p w:rsidR="005175DE" w:rsidRPr="00F85781" w:rsidRDefault="005175DE" w:rsidP="00230934">
            <w:pPr>
              <w:spacing w:line="276" w:lineRule="auto"/>
              <w:ind w:firstLine="567"/>
              <w:jc w:val="both"/>
              <w:rPr>
                <w:b/>
                <w:sz w:val="22"/>
                <w:u w:val="single"/>
              </w:rPr>
            </w:pPr>
            <w:r w:rsidRPr="00F85781">
              <w:rPr>
                <w:b/>
                <w:sz w:val="22"/>
                <w:u w:val="single"/>
              </w:rPr>
              <w:lastRenderedPageBreak/>
              <w:t>Juridiskais birojs</w:t>
            </w:r>
          </w:p>
          <w:p w:rsidR="005175DE" w:rsidRPr="00F85781" w:rsidRDefault="005175DE" w:rsidP="005175DE">
            <w:pPr>
              <w:ind w:firstLine="567"/>
              <w:jc w:val="both"/>
              <w:rPr>
                <w:sz w:val="22"/>
              </w:rPr>
            </w:pPr>
            <w:r w:rsidRPr="00F85781">
              <w:rPr>
                <w:sz w:val="22"/>
              </w:rPr>
              <w:t>Izteikt likumprojekta 2. pantu kā likumprojekta tekstu šādā redakcijā:</w:t>
            </w:r>
          </w:p>
          <w:p w:rsidR="005175DE" w:rsidRPr="00F85781" w:rsidRDefault="005175DE" w:rsidP="005175DE">
            <w:pPr>
              <w:ind w:firstLine="567"/>
              <w:jc w:val="both"/>
              <w:rPr>
                <w:sz w:val="22"/>
              </w:rPr>
            </w:pPr>
            <w:r w:rsidRPr="00F85781">
              <w:rPr>
                <w:sz w:val="22"/>
              </w:rPr>
              <w:t>“Izslēgt likuma 61. panta 7. punktu.”</w:t>
            </w:r>
          </w:p>
          <w:p w:rsidR="005175DE" w:rsidRPr="00F85781" w:rsidRDefault="005175DE" w:rsidP="00230934">
            <w:pPr>
              <w:spacing w:line="276" w:lineRule="auto"/>
              <w:ind w:firstLine="567"/>
              <w:jc w:val="both"/>
              <w:rPr>
                <w:b/>
                <w:sz w:val="22"/>
                <w:u w:val="single"/>
              </w:rPr>
            </w:pPr>
          </w:p>
          <w:p w:rsidR="00230934" w:rsidRPr="00F85781" w:rsidRDefault="00230934" w:rsidP="00230934">
            <w:pPr>
              <w:spacing w:line="276" w:lineRule="auto"/>
              <w:ind w:firstLine="567"/>
              <w:jc w:val="both"/>
              <w:rPr>
                <w:b/>
                <w:sz w:val="22"/>
                <w:u w:val="single"/>
              </w:rPr>
            </w:pPr>
            <w:r w:rsidRPr="00F85781">
              <w:rPr>
                <w:b/>
                <w:sz w:val="22"/>
                <w:u w:val="single"/>
              </w:rPr>
              <w:t xml:space="preserve">Deputāts E. </w:t>
            </w:r>
            <w:proofErr w:type="spellStart"/>
            <w:r w:rsidRPr="00F85781">
              <w:rPr>
                <w:b/>
                <w:sz w:val="22"/>
                <w:u w:val="single"/>
              </w:rPr>
              <w:t>Kucins</w:t>
            </w:r>
            <w:proofErr w:type="spellEnd"/>
          </w:p>
          <w:p w:rsidR="00230934" w:rsidRPr="00F85781" w:rsidRDefault="00230934" w:rsidP="00230934">
            <w:pPr>
              <w:pStyle w:val="NoSpacing"/>
              <w:ind w:firstLine="567"/>
              <w:jc w:val="both"/>
              <w:rPr>
                <w:rFonts w:ascii="Times New Roman" w:hAnsi="Times New Roman"/>
                <w:sz w:val="22"/>
                <w:szCs w:val="22"/>
              </w:rPr>
            </w:pPr>
            <w:r w:rsidRPr="00F85781">
              <w:rPr>
                <w:rFonts w:ascii="Times New Roman" w:hAnsi="Times New Roman"/>
                <w:sz w:val="22"/>
                <w:szCs w:val="22"/>
              </w:rPr>
              <w:t xml:space="preserve">Izslēgt likumprojekta </w:t>
            </w:r>
            <w:proofErr w:type="gramStart"/>
            <w:r w:rsidRPr="00F85781">
              <w:rPr>
                <w:rFonts w:ascii="Times New Roman" w:hAnsi="Times New Roman"/>
                <w:sz w:val="22"/>
                <w:szCs w:val="22"/>
              </w:rPr>
              <w:t>2.pantu</w:t>
            </w:r>
            <w:proofErr w:type="gramEnd"/>
            <w:r w:rsidRPr="00F85781">
              <w:rPr>
                <w:rFonts w:ascii="Times New Roman" w:hAnsi="Times New Roman"/>
                <w:sz w:val="22"/>
                <w:szCs w:val="22"/>
              </w:rPr>
              <w:t xml:space="preserve"> (attiecībā uz grozījumiem likuma 61.pantā).</w:t>
            </w:r>
          </w:p>
          <w:p w:rsidR="00230934" w:rsidRPr="00F85781" w:rsidRDefault="00230934" w:rsidP="00230934">
            <w:pPr>
              <w:pStyle w:val="NoSpacing"/>
              <w:ind w:firstLine="567"/>
              <w:jc w:val="both"/>
              <w:rPr>
                <w:rFonts w:ascii="Times New Roman" w:hAnsi="Times New Roman"/>
                <w:sz w:val="22"/>
                <w:szCs w:val="22"/>
              </w:rPr>
            </w:pPr>
          </w:p>
          <w:p w:rsidR="007D33A1" w:rsidRPr="00F85781" w:rsidRDefault="007D33A1" w:rsidP="007D33A1">
            <w:pPr>
              <w:ind w:firstLine="567"/>
              <w:jc w:val="both"/>
              <w:rPr>
                <w:b/>
                <w:sz w:val="22"/>
                <w:u w:val="single"/>
              </w:rPr>
            </w:pPr>
            <w:r w:rsidRPr="00F85781">
              <w:rPr>
                <w:b/>
                <w:sz w:val="22"/>
                <w:u w:val="single"/>
              </w:rPr>
              <w:t>Zaļo un Zemnieku savienības frakcija</w:t>
            </w:r>
          </w:p>
          <w:p w:rsidR="007D33A1" w:rsidRPr="00F85781" w:rsidRDefault="007D33A1" w:rsidP="007D33A1">
            <w:pPr>
              <w:ind w:firstLine="567"/>
              <w:jc w:val="both"/>
              <w:rPr>
                <w:sz w:val="22"/>
              </w:rPr>
            </w:pPr>
            <w:r w:rsidRPr="00F85781">
              <w:rPr>
                <w:sz w:val="22"/>
              </w:rPr>
              <w:t xml:space="preserve">Izslēgt likumprojekta </w:t>
            </w:r>
            <w:proofErr w:type="gramStart"/>
            <w:r w:rsidRPr="00F85781">
              <w:rPr>
                <w:sz w:val="22"/>
              </w:rPr>
              <w:t>2.pantu</w:t>
            </w:r>
            <w:proofErr w:type="gramEnd"/>
            <w:r w:rsidRPr="00F85781">
              <w:rPr>
                <w:sz w:val="22"/>
              </w:rPr>
              <w:t>.</w:t>
            </w:r>
            <w:r w:rsidRPr="00F85781">
              <w:rPr>
                <w:rStyle w:val="FootnoteReference"/>
                <w:sz w:val="22"/>
              </w:rPr>
              <w:footnoteReference w:id="2"/>
            </w:r>
          </w:p>
          <w:p w:rsidR="003C797F" w:rsidRPr="00F85781" w:rsidRDefault="003C797F" w:rsidP="003C797F">
            <w:pPr>
              <w:tabs>
                <w:tab w:val="left" w:pos="1515"/>
              </w:tabs>
              <w:ind w:firstLine="567"/>
              <w:jc w:val="both"/>
              <w:rPr>
                <w:b/>
                <w:sz w:val="22"/>
                <w:u w:val="single"/>
              </w:rPr>
            </w:pPr>
            <w:r w:rsidRPr="00F85781">
              <w:rPr>
                <w:b/>
                <w:sz w:val="22"/>
                <w:u w:val="single"/>
              </w:rPr>
              <w:lastRenderedPageBreak/>
              <w:t>Izglītības un zinātnes ministrijas parlamentārā sekretāre A.Muižniece</w:t>
            </w:r>
          </w:p>
          <w:p w:rsidR="003C797F" w:rsidRPr="00F85781" w:rsidRDefault="003C797F" w:rsidP="003C797F">
            <w:pPr>
              <w:ind w:firstLine="567"/>
              <w:jc w:val="both"/>
              <w:rPr>
                <w:sz w:val="22"/>
              </w:rPr>
            </w:pPr>
            <w:r w:rsidRPr="00F85781">
              <w:rPr>
                <w:sz w:val="22"/>
              </w:rPr>
              <w:t>Izteikt likumprojekta 2. pantu šādā redakcijā:</w:t>
            </w:r>
          </w:p>
          <w:p w:rsidR="003C797F" w:rsidRPr="00F85781" w:rsidRDefault="003C797F" w:rsidP="003C797F">
            <w:pPr>
              <w:ind w:firstLine="567"/>
              <w:jc w:val="both"/>
              <w:rPr>
                <w:sz w:val="22"/>
              </w:rPr>
            </w:pPr>
            <w:r w:rsidRPr="00F85781">
              <w:rPr>
                <w:sz w:val="22"/>
              </w:rPr>
              <w:t xml:space="preserve">“2. Izslēgt 61. panta 7. punktu.” </w:t>
            </w:r>
            <w:r w:rsidR="005175DE" w:rsidRPr="00F85781">
              <w:rPr>
                <w:rStyle w:val="FootnoteReference"/>
                <w:sz w:val="22"/>
              </w:rPr>
              <w:footnoteReference w:id="3"/>
            </w:r>
          </w:p>
          <w:p w:rsidR="00230934" w:rsidRPr="00F85781" w:rsidRDefault="00230934" w:rsidP="005175DE">
            <w:pPr>
              <w:pStyle w:val="ListParagraph"/>
              <w:spacing w:after="0" w:line="240" w:lineRule="auto"/>
              <w:ind w:left="0" w:firstLine="709"/>
              <w:jc w:val="both"/>
              <w:rPr>
                <w:rFonts w:ascii="Times New Roman" w:hAnsi="Times New Roman"/>
                <w:shd w:val="clear" w:color="auto" w:fill="FFFFFF"/>
              </w:rPr>
            </w:pPr>
          </w:p>
          <w:p w:rsidR="005175DE" w:rsidRPr="00F85781" w:rsidRDefault="005175DE" w:rsidP="005175DE">
            <w:pPr>
              <w:pStyle w:val="ListParagraph"/>
              <w:spacing w:after="0" w:line="240" w:lineRule="auto"/>
              <w:ind w:left="0" w:firstLine="709"/>
              <w:jc w:val="both"/>
              <w:rPr>
                <w:rFonts w:ascii="Times New Roman" w:hAnsi="Times New Roman"/>
                <w:shd w:val="clear" w:color="auto" w:fill="FFFFFF"/>
              </w:rPr>
            </w:pPr>
          </w:p>
        </w:tc>
        <w:tc>
          <w:tcPr>
            <w:tcW w:w="1417" w:type="dxa"/>
          </w:tcPr>
          <w:p w:rsidR="004A4156" w:rsidRPr="00F85781" w:rsidRDefault="004A4156" w:rsidP="00F94FBC">
            <w:pPr>
              <w:pStyle w:val="ListParagraph"/>
              <w:spacing w:after="0" w:line="240" w:lineRule="auto"/>
              <w:ind w:left="0" w:firstLine="709"/>
              <w:jc w:val="both"/>
              <w:rPr>
                <w:rFonts w:ascii="Times New Roman" w:hAnsi="Times New Roman"/>
                <w:shd w:val="clear" w:color="auto" w:fill="FFFFFF"/>
              </w:rPr>
            </w:pPr>
          </w:p>
        </w:tc>
        <w:tc>
          <w:tcPr>
            <w:tcW w:w="1417" w:type="dxa"/>
          </w:tcPr>
          <w:p w:rsidR="004A4156" w:rsidRPr="00F85781" w:rsidRDefault="004A4156" w:rsidP="00F94FBC">
            <w:pPr>
              <w:pStyle w:val="ListParagraph"/>
              <w:spacing w:after="0" w:line="240" w:lineRule="auto"/>
              <w:ind w:left="0" w:firstLine="709"/>
              <w:jc w:val="both"/>
              <w:rPr>
                <w:rFonts w:ascii="Times New Roman" w:hAnsi="Times New Roman"/>
                <w:shd w:val="clear" w:color="auto" w:fill="FFFFFF"/>
              </w:rPr>
            </w:pPr>
          </w:p>
        </w:tc>
      </w:tr>
      <w:tr w:rsidR="00F85781" w:rsidRPr="00F85781" w:rsidTr="004A4156">
        <w:tc>
          <w:tcPr>
            <w:tcW w:w="3798" w:type="dxa"/>
            <w:shd w:val="clear" w:color="auto" w:fill="auto"/>
          </w:tcPr>
          <w:p w:rsidR="00846430" w:rsidRPr="00F85781" w:rsidRDefault="0083675F" w:rsidP="00F94FBC">
            <w:pPr>
              <w:pStyle w:val="tv213"/>
              <w:spacing w:before="0" w:beforeAutospacing="0" w:after="0" w:afterAutospacing="0"/>
              <w:ind w:firstLine="567"/>
              <w:jc w:val="both"/>
              <w:rPr>
                <w:b/>
                <w:bCs/>
                <w:sz w:val="22"/>
                <w:szCs w:val="22"/>
              </w:rPr>
            </w:pPr>
            <w:r w:rsidRPr="00F85781">
              <w:rPr>
                <w:b/>
                <w:bCs/>
                <w:sz w:val="22"/>
                <w:szCs w:val="22"/>
              </w:rPr>
              <w:t>Pārejas noteikumi</w:t>
            </w:r>
          </w:p>
        </w:tc>
        <w:tc>
          <w:tcPr>
            <w:tcW w:w="3798" w:type="dxa"/>
            <w:shd w:val="clear" w:color="auto" w:fill="auto"/>
          </w:tcPr>
          <w:p w:rsidR="00846430" w:rsidRPr="00F85781" w:rsidRDefault="00846430" w:rsidP="00F94FBC">
            <w:pPr>
              <w:pStyle w:val="ListParagraph"/>
              <w:spacing w:after="0" w:line="240" w:lineRule="auto"/>
              <w:ind w:left="0" w:firstLine="709"/>
              <w:jc w:val="both"/>
              <w:rPr>
                <w:rFonts w:ascii="Times New Roman" w:hAnsi="Times New Roman"/>
                <w:shd w:val="clear" w:color="auto" w:fill="FFFFFF"/>
              </w:rPr>
            </w:pPr>
          </w:p>
        </w:tc>
        <w:tc>
          <w:tcPr>
            <w:tcW w:w="545" w:type="dxa"/>
          </w:tcPr>
          <w:p w:rsidR="00846430" w:rsidRPr="00F85781" w:rsidRDefault="0083675F" w:rsidP="007D33A1">
            <w:pPr>
              <w:pStyle w:val="ListParagraph"/>
              <w:spacing w:after="0" w:line="240" w:lineRule="auto"/>
              <w:ind w:left="0"/>
              <w:jc w:val="center"/>
              <w:rPr>
                <w:rFonts w:ascii="Times New Roman" w:hAnsi="Times New Roman"/>
                <w:b/>
                <w:shd w:val="clear" w:color="auto" w:fill="FFFFFF"/>
              </w:rPr>
            </w:pPr>
            <w:r w:rsidRPr="00F85781">
              <w:rPr>
                <w:rFonts w:ascii="Times New Roman" w:hAnsi="Times New Roman"/>
                <w:b/>
                <w:shd w:val="clear" w:color="auto" w:fill="FFFFFF"/>
              </w:rPr>
              <w:t>8</w:t>
            </w:r>
          </w:p>
        </w:tc>
        <w:tc>
          <w:tcPr>
            <w:tcW w:w="3798" w:type="dxa"/>
          </w:tcPr>
          <w:p w:rsidR="00846430" w:rsidRPr="00F85781" w:rsidRDefault="00846430" w:rsidP="00846430">
            <w:pPr>
              <w:ind w:firstLine="567"/>
              <w:jc w:val="both"/>
              <w:rPr>
                <w:b/>
                <w:sz w:val="22"/>
                <w:u w:val="single"/>
              </w:rPr>
            </w:pPr>
            <w:r w:rsidRPr="00F85781">
              <w:rPr>
                <w:b/>
                <w:sz w:val="22"/>
                <w:u w:val="single"/>
              </w:rPr>
              <w:t>Deputāti L.Liepiņa, J.Stepaņenko, K.Sprūde, A.Gobzems, D.Šmits</w:t>
            </w:r>
          </w:p>
          <w:p w:rsidR="00846430" w:rsidRPr="00F85781" w:rsidRDefault="00846430" w:rsidP="00846430">
            <w:pPr>
              <w:ind w:firstLine="567"/>
              <w:jc w:val="both"/>
              <w:rPr>
                <w:sz w:val="22"/>
                <w:shd w:val="clear" w:color="auto" w:fill="FFFFFF"/>
              </w:rPr>
            </w:pPr>
            <w:r w:rsidRPr="00F85781">
              <w:rPr>
                <w:sz w:val="22"/>
                <w:shd w:val="clear" w:color="auto" w:fill="FFFFFF"/>
              </w:rPr>
              <w:t xml:space="preserve">Papildināt Pārejas noteikumus ar 37., 38. un 39. punktu: </w:t>
            </w:r>
          </w:p>
          <w:p w:rsidR="00846430" w:rsidRPr="00F85781" w:rsidRDefault="00846430" w:rsidP="00846430">
            <w:pPr>
              <w:ind w:firstLine="567"/>
              <w:jc w:val="both"/>
              <w:rPr>
                <w:sz w:val="22"/>
                <w:shd w:val="clear" w:color="auto" w:fill="FFFFFF"/>
              </w:rPr>
            </w:pPr>
            <w:r w:rsidRPr="00F85781">
              <w:rPr>
                <w:sz w:val="22"/>
                <w:shd w:val="clear" w:color="auto" w:fill="FFFFFF"/>
              </w:rPr>
              <w:t xml:space="preserve">“37.Ministru kabinetam līdz </w:t>
            </w:r>
            <w:proofErr w:type="gramStart"/>
            <w:r w:rsidRPr="00F85781">
              <w:rPr>
                <w:sz w:val="22"/>
                <w:shd w:val="clear" w:color="auto" w:fill="FFFFFF"/>
              </w:rPr>
              <w:t>2020.gada</w:t>
            </w:r>
            <w:proofErr w:type="gramEnd"/>
            <w:r w:rsidRPr="00F85781">
              <w:rPr>
                <w:sz w:val="22"/>
                <w:shd w:val="clear" w:color="auto" w:fill="FFFFFF"/>
              </w:rPr>
              <w:t xml:space="preserve"> 1. martam sagatavot attiecīgos grozījumus tiesību aktos, kas paredz daudzbērnu ģimenes statusam atbilstošo atvieglojumu un valsts nodrošināto atbalsta pasākumu piešķiršanu arī ģimenei, kas ir adoptējusi </w:t>
            </w:r>
            <w:r w:rsidRPr="00F85781">
              <w:rPr>
                <w:sz w:val="22"/>
                <w:shd w:val="clear" w:color="auto" w:fill="FFFFFF"/>
              </w:rPr>
              <w:lastRenderedPageBreak/>
              <w:t>ārpusģimenes aprūpē esošo bērnu un ģimenei (personai), kuras aprūpē ir bērns ar invaliditāti, tajos gadījumos, kad atvieglojumi vai valsts atbalsta pasākumi šādām ģimenēm ir mazākā apmērā, nekā daudzbērnu ģimenēm”.</w:t>
            </w:r>
          </w:p>
          <w:p w:rsidR="00846430" w:rsidRPr="00F85781" w:rsidRDefault="00846430" w:rsidP="00846430">
            <w:pPr>
              <w:ind w:firstLine="567"/>
              <w:jc w:val="both"/>
              <w:rPr>
                <w:sz w:val="22"/>
              </w:rPr>
            </w:pPr>
            <w:r w:rsidRPr="00F85781">
              <w:rPr>
                <w:sz w:val="22"/>
              </w:rPr>
              <w:t xml:space="preserve">3. Ministru kabinetam, sastādot </w:t>
            </w:r>
            <w:proofErr w:type="gramStart"/>
            <w:r w:rsidRPr="00F85781">
              <w:rPr>
                <w:sz w:val="22"/>
              </w:rPr>
              <w:t>2021.gada</w:t>
            </w:r>
            <w:proofErr w:type="gramEnd"/>
            <w:r w:rsidRPr="00F85781">
              <w:rPr>
                <w:sz w:val="22"/>
              </w:rPr>
              <w:t xml:space="preserve"> budžetu, nodrošināt 162 947 </w:t>
            </w:r>
            <w:proofErr w:type="spellStart"/>
            <w:r w:rsidRPr="00F85781">
              <w:rPr>
                <w:sz w:val="22"/>
              </w:rPr>
              <w:t>euro</w:t>
            </w:r>
            <w:proofErr w:type="spellEnd"/>
            <w:r w:rsidRPr="00F85781">
              <w:rPr>
                <w:sz w:val="22"/>
              </w:rPr>
              <w:t xml:space="preserve">, kas ir nepieciešams audžuģimeņu pabalsta apmēra palielināšanai, ar 2021.gadu valstī pieaugot minimālās algas apmēram līdz 500 </w:t>
            </w:r>
            <w:proofErr w:type="spellStart"/>
            <w:r w:rsidRPr="00F85781">
              <w:rPr>
                <w:sz w:val="22"/>
              </w:rPr>
              <w:t>euro</w:t>
            </w:r>
            <w:proofErr w:type="spellEnd"/>
            <w:r w:rsidRPr="00F85781">
              <w:rPr>
                <w:sz w:val="22"/>
              </w:rPr>
              <w:t>, paredzot attiecīgo samazinājumu programmā “Korupcijas novēršanas un apkarošanas birojs” sadaļā “Subsīdijas un dotācijas”, kas paredzēts politisko organizāciju (partiju) finansēšanas palielinājumam”.</w:t>
            </w:r>
          </w:p>
          <w:p w:rsidR="00846430" w:rsidRPr="00F85781" w:rsidRDefault="00846430" w:rsidP="00846430">
            <w:pPr>
              <w:ind w:firstLine="567"/>
              <w:jc w:val="both"/>
              <w:rPr>
                <w:sz w:val="22"/>
              </w:rPr>
            </w:pPr>
            <w:r w:rsidRPr="00F85781">
              <w:rPr>
                <w:sz w:val="22"/>
              </w:rPr>
              <w:t>4. Noteikt, ka Ministru kabinets atrod nepieciešamos finansēšanas avotus skolēnu ēdināšanas apmaksas atbalsta pasākumiem 9 840 708 apmērā, vadoties pēc labas pārvaldības principiem, efektīvi izmantojot finanšu resursus.</w:t>
            </w:r>
          </w:p>
        </w:tc>
        <w:tc>
          <w:tcPr>
            <w:tcW w:w="1417" w:type="dxa"/>
          </w:tcPr>
          <w:p w:rsidR="00846430" w:rsidRPr="00F85781" w:rsidRDefault="00846430" w:rsidP="00F94FBC">
            <w:pPr>
              <w:pStyle w:val="ListParagraph"/>
              <w:spacing w:after="0" w:line="240" w:lineRule="auto"/>
              <w:ind w:left="0" w:firstLine="709"/>
              <w:jc w:val="both"/>
              <w:rPr>
                <w:rFonts w:ascii="Times New Roman" w:hAnsi="Times New Roman"/>
                <w:shd w:val="clear" w:color="auto" w:fill="FFFFFF"/>
              </w:rPr>
            </w:pPr>
          </w:p>
        </w:tc>
        <w:tc>
          <w:tcPr>
            <w:tcW w:w="1417" w:type="dxa"/>
          </w:tcPr>
          <w:p w:rsidR="00846430" w:rsidRPr="00F85781" w:rsidRDefault="00846430" w:rsidP="00F94FBC">
            <w:pPr>
              <w:pStyle w:val="ListParagraph"/>
              <w:spacing w:after="0" w:line="240" w:lineRule="auto"/>
              <w:ind w:left="0" w:firstLine="709"/>
              <w:jc w:val="both"/>
              <w:rPr>
                <w:rFonts w:ascii="Times New Roman" w:hAnsi="Times New Roman"/>
                <w:shd w:val="clear" w:color="auto" w:fill="FFFFFF"/>
              </w:rPr>
            </w:pPr>
          </w:p>
        </w:tc>
      </w:tr>
      <w:tr w:rsidR="004A4156" w:rsidRPr="00F85781" w:rsidTr="004A4156">
        <w:tc>
          <w:tcPr>
            <w:tcW w:w="3798" w:type="dxa"/>
            <w:shd w:val="clear" w:color="auto" w:fill="auto"/>
          </w:tcPr>
          <w:p w:rsidR="004A4156" w:rsidRPr="00F85781" w:rsidRDefault="004A4156" w:rsidP="00F94FBC">
            <w:pPr>
              <w:pStyle w:val="labojumupamats"/>
              <w:spacing w:before="0" w:beforeAutospacing="0" w:after="0" w:afterAutospacing="0"/>
              <w:ind w:firstLine="567"/>
              <w:jc w:val="both"/>
              <w:rPr>
                <w:i/>
                <w:sz w:val="22"/>
                <w:szCs w:val="22"/>
              </w:rPr>
            </w:pPr>
          </w:p>
        </w:tc>
        <w:tc>
          <w:tcPr>
            <w:tcW w:w="3798" w:type="dxa"/>
            <w:shd w:val="clear" w:color="auto" w:fill="auto"/>
          </w:tcPr>
          <w:p w:rsidR="004A4156" w:rsidRPr="00F85781" w:rsidRDefault="004A4156" w:rsidP="00F94FBC">
            <w:pPr>
              <w:shd w:val="clear" w:color="auto" w:fill="FFFFFF"/>
              <w:ind w:firstLine="709"/>
              <w:contextualSpacing/>
              <w:rPr>
                <w:sz w:val="22"/>
              </w:rPr>
            </w:pPr>
            <w:r w:rsidRPr="00F85781">
              <w:rPr>
                <w:sz w:val="22"/>
              </w:rPr>
              <w:t xml:space="preserve">Likums stājas spēkā 2020. gada 1. janvārī. </w:t>
            </w:r>
          </w:p>
        </w:tc>
        <w:tc>
          <w:tcPr>
            <w:tcW w:w="545" w:type="dxa"/>
          </w:tcPr>
          <w:p w:rsidR="004A4156" w:rsidRPr="00F85781" w:rsidRDefault="004A4156" w:rsidP="007D33A1">
            <w:pPr>
              <w:shd w:val="clear" w:color="auto" w:fill="FFFFFF"/>
              <w:contextualSpacing/>
              <w:jc w:val="center"/>
              <w:rPr>
                <w:sz w:val="22"/>
              </w:rPr>
            </w:pPr>
          </w:p>
        </w:tc>
        <w:tc>
          <w:tcPr>
            <w:tcW w:w="3798" w:type="dxa"/>
          </w:tcPr>
          <w:p w:rsidR="004A4156" w:rsidRPr="00F85781" w:rsidRDefault="004A4156" w:rsidP="00F94FBC">
            <w:pPr>
              <w:shd w:val="clear" w:color="auto" w:fill="FFFFFF"/>
              <w:ind w:firstLine="709"/>
              <w:contextualSpacing/>
              <w:rPr>
                <w:sz w:val="22"/>
              </w:rPr>
            </w:pPr>
          </w:p>
        </w:tc>
        <w:tc>
          <w:tcPr>
            <w:tcW w:w="1417" w:type="dxa"/>
          </w:tcPr>
          <w:p w:rsidR="004A4156" w:rsidRPr="00F85781" w:rsidRDefault="004A4156" w:rsidP="00F94FBC">
            <w:pPr>
              <w:shd w:val="clear" w:color="auto" w:fill="FFFFFF"/>
              <w:ind w:firstLine="709"/>
              <w:contextualSpacing/>
              <w:rPr>
                <w:sz w:val="22"/>
              </w:rPr>
            </w:pPr>
          </w:p>
        </w:tc>
        <w:tc>
          <w:tcPr>
            <w:tcW w:w="1417" w:type="dxa"/>
          </w:tcPr>
          <w:p w:rsidR="004A4156" w:rsidRPr="00F85781" w:rsidRDefault="004A4156" w:rsidP="00F94FBC">
            <w:pPr>
              <w:shd w:val="clear" w:color="auto" w:fill="FFFFFF"/>
              <w:ind w:firstLine="709"/>
              <w:contextualSpacing/>
              <w:rPr>
                <w:sz w:val="22"/>
              </w:rPr>
            </w:pPr>
          </w:p>
        </w:tc>
      </w:tr>
    </w:tbl>
    <w:p w:rsidR="004A4156" w:rsidRPr="00F85781" w:rsidRDefault="004A4156" w:rsidP="004A4156"/>
    <w:bookmarkEnd w:id="0"/>
    <w:p w:rsidR="005D4711" w:rsidRPr="00F85781" w:rsidRDefault="005D4711"/>
    <w:sectPr w:rsidR="005D4711" w:rsidRPr="00F85781" w:rsidSect="00B64F81">
      <w:footerReference w:type="even" r:id="rId8"/>
      <w:footerReference w:type="default" r:id="rId9"/>
      <w:pgSz w:w="16838" w:h="11906" w:orient="landscape"/>
      <w:pgMar w:top="993" w:right="962"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372" w:rsidRDefault="00230934">
      <w:r>
        <w:separator/>
      </w:r>
    </w:p>
  </w:endnote>
  <w:endnote w:type="continuationSeparator" w:id="0">
    <w:p w:rsidR="00663372" w:rsidRDefault="0023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4A415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F85781"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4A415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5781">
      <w:rPr>
        <w:rStyle w:val="PageNumber"/>
        <w:noProof/>
      </w:rPr>
      <w:t>3</w:t>
    </w:r>
    <w:r>
      <w:rPr>
        <w:rStyle w:val="PageNumber"/>
      </w:rPr>
      <w:fldChar w:fldCharType="end"/>
    </w:r>
  </w:p>
  <w:p w:rsidR="00511D34" w:rsidRDefault="00F85781"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372" w:rsidRDefault="00230934">
      <w:r>
        <w:separator/>
      </w:r>
    </w:p>
  </w:footnote>
  <w:footnote w:type="continuationSeparator" w:id="0">
    <w:p w:rsidR="00663372" w:rsidRDefault="00230934">
      <w:r>
        <w:continuationSeparator/>
      </w:r>
    </w:p>
  </w:footnote>
  <w:footnote w:id="1">
    <w:p w:rsidR="005175DE" w:rsidRPr="005175DE" w:rsidRDefault="005175DE" w:rsidP="007D33A1">
      <w:pPr>
        <w:jc w:val="both"/>
        <w:rPr>
          <w:sz w:val="20"/>
          <w:szCs w:val="20"/>
        </w:rPr>
      </w:pPr>
      <w:r w:rsidRPr="005175DE">
        <w:rPr>
          <w:rStyle w:val="FootnoteReference"/>
          <w:sz w:val="20"/>
          <w:szCs w:val="20"/>
        </w:rPr>
        <w:footnoteRef/>
      </w:r>
      <w:r w:rsidRPr="005175DE">
        <w:rPr>
          <w:sz w:val="20"/>
          <w:szCs w:val="20"/>
        </w:rPr>
        <w:t xml:space="preserve"> </w:t>
      </w:r>
      <w:r w:rsidRPr="005175DE">
        <w:rPr>
          <w:b/>
          <w:sz w:val="20"/>
          <w:szCs w:val="20"/>
        </w:rPr>
        <w:t>Pamatojums</w:t>
      </w:r>
      <w:r>
        <w:rPr>
          <w:b/>
          <w:sz w:val="20"/>
          <w:szCs w:val="20"/>
        </w:rPr>
        <w:t xml:space="preserve"> (ZZS)</w:t>
      </w:r>
      <w:r w:rsidRPr="005175DE">
        <w:rPr>
          <w:b/>
          <w:sz w:val="20"/>
          <w:szCs w:val="20"/>
        </w:rPr>
        <w:t xml:space="preserve"> </w:t>
      </w:r>
      <w:r w:rsidRPr="005175DE">
        <w:rPr>
          <w:sz w:val="20"/>
          <w:szCs w:val="20"/>
        </w:rPr>
        <w:t>Likumprojekts paredz, ka audžuģimenei izmaksājamie līdzekļi bērna uzturam turpmāk vairs netiks piesaistīti minimālās algas apmēram, bet būs tā fiksēta summa. Tā kā Vidēja termiņa budžeta projekts 2020.-</w:t>
      </w:r>
      <w:proofErr w:type="gramStart"/>
      <w:r w:rsidRPr="005175DE">
        <w:rPr>
          <w:sz w:val="20"/>
          <w:szCs w:val="20"/>
        </w:rPr>
        <w:t>2022.gadam</w:t>
      </w:r>
      <w:proofErr w:type="gramEnd"/>
      <w:r w:rsidRPr="005175DE">
        <w:rPr>
          <w:sz w:val="20"/>
          <w:szCs w:val="20"/>
        </w:rPr>
        <w:t xml:space="preserve"> paredz 2021.gadā valstī noteiktās minimālās algas palielinājumu līdz 500 eiro, šāda norma pēc būtības ir audžuģimeņu atbalsta pasliktinājums, jo tās uzturlīdzekļu pieaugumu nesaņems un atbalsts faktiski inflācijas dēļ arī samazināsies. Valstī noteiktās minimālās algas palielinājums izdara spiedienu arī uz vidējā atalgojuma palielinājumu, kam, savukārt, ir ietekme uz valstī prognozēto inflāciju (FM prognozētais IKP deflators </w:t>
      </w:r>
      <w:proofErr w:type="gramStart"/>
      <w:r w:rsidRPr="005175DE">
        <w:rPr>
          <w:sz w:val="20"/>
          <w:szCs w:val="20"/>
        </w:rPr>
        <w:t>2020.gadā</w:t>
      </w:r>
      <w:proofErr w:type="gramEnd"/>
      <w:r w:rsidRPr="005175DE">
        <w:rPr>
          <w:sz w:val="20"/>
          <w:szCs w:val="20"/>
        </w:rPr>
        <w:t xml:space="preserve"> – 2,7%, 2021.gadā – 2,4%, 2022.gadā – 2,4%). Šāda pieeja pēc būtības ir pretrunā ar Labklājības ministrijas Rīcības plānu </w:t>
      </w:r>
      <w:proofErr w:type="spellStart"/>
      <w:r w:rsidRPr="005175DE">
        <w:rPr>
          <w:sz w:val="20"/>
          <w:szCs w:val="20"/>
        </w:rPr>
        <w:t>deinstitucionalizācijas</w:t>
      </w:r>
      <w:proofErr w:type="spellEnd"/>
      <w:r w:rsidRPr="005175DE">
        <w:rPr>
          <w:sz w:val="20"/>
          <w:szCs w:val="20"/>
        </w:rPr>
        <w:t xml:space="preserve"> īstenošanai 2015.-2020.gadam. </w:t>
      </w:r>
    </w:p>
    <w:p w:rsidR="005175DE" w:rsidRDefault="005175DE">
      <w:pPr>
        <w:pStyle w:val="FootnoteText"/>
      </w:pPr>
    </w:p>
  </w:footnote>
  <w:footnote w:id="2">
    <w:p w:rsidR="007D33A1" w:rsidRPr="007D33A1" w:rsidRDefault="007D33A1" w:rsidP="007D33A1">
      <w:pPr>
        <w:jc w:val="both"/>
        <w:rPr>
          <w:b/>
          <w:sz w:val="20"/>
          <w:szCs w:val="20"/>
        </w:rPr>
      </w:pPr>
      <w:r w:rsidRPr="007D33A1">
        <w:rPr>
          <w:rStyle w:val="FootnoteReference"/>
          <w:sz w:val="20"/>
          <w:szCs w:val="20"/>
        </w:rPr>
        <w:footnoteRef/>
      </w:r>
      <w:r w:rsidRPr="007D33A1">
        <w:rPr>
          <w:sz w:val="20"/>
          <w:szCs w:val="20"/>
        </w:rPr>
        <w:t xml:space="preserve"> </w:t>
      </w:r>
      <w:r w:rsidRPr="007D33A1">
        <w:rPr>
          <w:b/>
          <w:sz w:val="20"/>
          <w:szCs w:val="20"/>
        </w:rPr>
        <w:t>Pamatojums (ZZS)</w:t>
      </w:r>
    </w:p>
    <w:p w:rsidR="007D33A1" w:rsidRPr="007D33A1" w:rsidRDefault="007D33A1" w:rsidP="007D33A1">
      <w:pPr>
        <w:jc w:val="both"/>
        <w:rPr>
          <w:sz w:val="20"/>
          <w:szCs w:val="20"/>
        </w:rPr>
      </w:pPr>
      <w:r w:rsidRPr="007D33A1">
        <w:rPr>
          <w:sz w:val="20"/>
          <w:szCs w:val="20"/>
        </w:rPr>
        <w:t>Dažādi formāli un neformāli pētījumi</w:t>
      </w:r>
      <w:r w:rsidRPr="007D33A1">
        <w:rPr>
          <w:rStyle w:val="FootnoteReference"/>
          <w:sz w:val="20"/>
          <w:szCs w:val="20"/>
        </w:rPr>
        <w:footnoteRef/>
      </w:r>
      <w:r w:rsidRPr="007D33A1">
        <w:rPr>
          <w:sz w:val="20"/>
          <w:szCs w:val="20"/>
        </w:rPr>
        <w:t xml:space="preserve"> rāda, ka kvalitatīvas ēdienreizes pieejamība bērniem uzlabo mācību sekmes, līdz ar to tā ir būtiska izglītības funkcija. Papildus arī Labklājības ministrija Bērnu tiesību aizsardzības likuma grozījumos norāda, ka “brīvpusdienas izglītojamiem ir veids, kā atbalstīt ģimenes ar bērniem (..), veicinot bērnu veselības uzlabošanos, bērna veselīga uztura paradumus, kā arī veicinot vienlīdzīgas bērnu iespējas uz attīstībai nepieciešamo neatkarīgi no vecāku mantiskā stāvokļa un dzimuma”. Tātad – tas ir svarīgs nevienlīdzības mazināšanas pasākums, kas ir visas valdības, ne kādas atsevišķas nozares ministrijas svarīgs uzdevums. Latvijā joprojām ir augsts GINI jeb nevienlīdzības indekss (2019.gadā 34,5</w:t>
      </w:r>
      <w:r w:rsidRPr="007D33A1">
        <w:rPr>
          <w:rStyle w:val="FootnoteReference"/>
          <w:sz w:val="20"/>
          <w:szCs w:val="20"/>
        </w:rPr>
        <w:footnoteRef/>
      </w:r>
      <w:r w:rsidRPr="007D33A1">
        <w:rPr>
          <w:sz w:val="20"/>
          <w:szCs w:val="20"/>
        </w:rPr>
        <w:t>), katra piektā daudzbērnu  ģimene un katra trešā viena vecāka ģimene Latvijā dzīvo uz nabadzības sliekšņa</w:t>
      </w:r>
      <w:r w:rsidRPr="007D33A1">
        <w:rPr>
          <w:rStyle w:val="FootnoteReference"/>
          <w:sz w:val="20"/>
          <w:szCs w:val="20"/>
        </w:rPr>
        <w:footnoteRef/>
      </w:r>
      <w:r w:rsidRPr="007D33A1">
        <w:rPr>
          <w:sz w:val="20"/>
          <w:szCs w:val="20"/>
        </w:rPr>
        <w:t xml:space="preserve"> . Šādā situācijā mērķēta valsts atbalsta samazināšana ir nepieņemama politika un tieši otrādi – valstij ar savu finansējumu būtu jāpiedalās arī vecāko klašu brīvpusdienu nodrošināšanā, kā to paredzēja jau </w:t>
      </w:r>
      <w:proofErr w:type="spellStart"/>
      <w:r w:rsidRPr="007D33A1">
        <w:rPr>
          <w:sz w:val="20"/>
          <w:szCs w:val="20"/>
        </w:rPr>
        <w:t>L.Straujumas</w:t>
      </w:r>
      <w:proofErr w:type="spellEnd"/>
      <w:r w:rsidRPr="007D33A1">
        <w:rPr>
          <w:sz w:val="20"/>
          <w:szCs w:val="20"/>
        </w:rPr>
        <w:t xml:space="preserve">  (Vienotība) valdības deklarācija. </w:t>
      </w:r>
    </w:p>
    <w:p w:rsidR="007D33A1" w:rsidRDefault="007D33A1">
      <w:pPr>
        <w:pStyle w:val="FootnoteText"/>
      </w:pPr>
    </w:p>
  </w:footnote>
  <w:footnote w:id="3">
    <w:p w:rsidR="005175DE" w:rsidRPr="007D33A1" w:rsidRDefault="005175DE" w:rsidP="005175DE">
      <w:pPr>
        <w:ind w:firstLine="567"/>
        <w:jc w:val="both"/>
        <w:rPr>
          <w:sz w:val="20"/>
          <w:szCs w:val="20"/>
        </w:rPr>
      </w:pPr>
      <w:r w:rsidRPr="007D33A1">
        <w:rPr>
          <w:rStyle w:val="FootnoteReference"/>
          <w:b/>
          <w:sz w:val="20"/>
          <w:szCs w:val="20"/>
        </w:rPr>
        <w:footnoteRef/>
      </w:r>
      <w:r w:rsidRPr="007D33A1">
        <w:rPr>
          <w:b/>
          <w:sz w:val="20"/>
          <w:szCs w:val="20"/>
        </w:rPr>
        <w:t xml:space="preserve"> </w:t>
      </w:r>
      <w:proofErr w:type="spellStart"/>
      <w:r w:rsidRPr="007D33A1">
        <w:rPr>
          <w:b/>
          <w:sz w:val="20"/>
          <w:szCs w:val="20"/>
        </w:rPr>
        <w:t>Pamatojums(IZM</w:t>
      </w:r>
      <w:proofErr w:type="spellEnd"/>
      <w:r w:rsidRPr="007D33A1">
        <w:rPr>
          <w:b/>
          <w:sz w:val="20"/>
          <w:szCs w:val="20"/>
        </w:rPr>
        <w:t>)</w:t>
      </w:r>
      <w:r w:rsidRPr="007D33A1">
        <w:rPr>
          <w:sz w:val="20"/>
          <w:szCs w:val="20"/>
        </w:rPr>
        <w:t xml:space="preserve"> Izglītības un zinātnes ministrija ir sagatavojusi priekšlikumus likumprojekta “Grozījumi Izglītības likumā” (Nr. 446/Lp13) 2. lasījumam, kas citastarp paredz deleģējumu Ministru kabinetam, kas šobrīd iekļauts Bērnu tiesību aizsardzības likuma 61. panta 7. punktā, iekļaut Izglītības likumā. Tādējādi tiktu nodrošināts, ka tiesiskais regulējums par savstarpēji saistītiem jautājumiem ir iekļauts vienā normatīvajā aktā.</w:t>
      </w:r>
    </w:p>
    <w:p w:rsidR="005175DE" w:rsidRPr="007D33A1" w:rsidRDefault="005175DE" w:rsidP="005175DE">
      <w:pPr>
        <w:pStyle w:val="ListParagraph"/>
        <w:spacing w:after="0" w:line="240" w:lineRule="auto"/>
        <w:ind w:left="0" w:firstLine="709"/>
        <w:jc w:val="both"/>
        <w:rPr>
          <w:rFonts w:ascii="Times New Roman" w:hAnsi="Times New Roman"/>
          <w:sz w:val="20"/>
          <w:szCs w:val="20"/>
          <w:shd w:val="clear" w:color="auto" w:fill="FFFFFF"/>
        </w:rPr>
      </w:pPr>
    </w:p>
    <w:p w:rsidR="005175DE" w:rsidRPr="007D33A1" w:rsidRDefault="005175D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000A"/>
    <w:multiLevelType w:val="hybridMultilevel"/>
    <w:tmpl w:val="088657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1D4285"/>
    <w:multiLevelType w:val="singleLevel"/>
    <w:tmpl w:val="C4105550"/>
    <w:lvl w:ilvl="0">
      <w:start w:val="1"/>
      <w:numFmt w:val="decimal"/>
      <w:lvlText w:val="%1."/>
      <w:lvlJc w:val="left"/>
      <w:pPr>
        <w:tabs>
          <w:tab w:val="num" w:pos="1080"/>
        </w:tabs>
        <w:ind w:left="0" w:firstLine="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56"/>
    <w:rsid w:val="00230934"/>
    <w:rsid w:val="003C797F"/>
    <w:rsid w:val="004A4156"/>
    <w:rsid w:val="005175DE"/>
    <w:rsid w:val="00554BF5"/>
    <w:rsid w:val="005D4711"/>
    <w:rsid w:val="00663372"/>
    <w:rsid w:val="007D33A1"/>
    <w:rsid w:val="0083675F"/>
    <w:rsid w:val="00846430"/>
    <w:rsid w:val="008F5A50"/>
    <w:rsid w:val="00F857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759B4-7529-4922-BD40-7934B3EE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15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A4156"/>
    <w:rPr>
      <w:i/>
      <w:iCs/>
    </w:rPr>
  </w:style>
  <w:style w:type="paragraph" w:styleId="Footer">
    <w:name w:val="footer"/>
    <w:basedOn w:val="Normal"/>
    <w:link w:val="FooterChar"/>
    <w:rsid w:val="004A415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4A4156"/>
    <w:rPr>
      <w:rFonts w:eastAsia="Times New Roman" w:cs="Times New Roman"/>
      <w:szCs w:val="24"/>
      <w:lang w:val="en-GB"/>
    </w:rPr>
  </w:style>
  <w:style w:type="character" w:styleId="PageNumber">
    <w:name w:val="page number"/>
    <w:rsid w:val="004A4156"/>
  </w:style>
  <w:style w:type="paragraph" w:customStyle="1" w:styleId="labojumupamats">
    <w:name w:val="labojumu_pamats"/>
    <w:basedOn w:val="Normal"/>
    <w:rsid w:val="004A4156"/>
    <w:pPr>
      <w:spacing w:before="100" w:beforeAutospacing="1" w:after="100" w:afterAutospacing="1"/>
    </w:pPr>
    <w:rPr>
      <w:rFonts w:eastAsia="Times New Roman"/>
      <w:szCs w:val="24"/>
      <w:lang w:eastAsia="lv-LV"/>
    </w:rPr>
  </w:style>
  <w:style w:type="paragraph" w:customStyle="1" w:styleId="tv213">
    <w:name w:val="tv213"/>
    <w:basedOn w:val="Normal"/>
    <w:rsid w:val="004A4156"/>
    <w:pPr>
      <w:spacing w:before="100" w:beforeAutospacing="1" w:after="100" w:afterAutospacing="1"/>
    </w:pPr>
    <w:rPr>
      <w:rFonts w:eastAsia="Times New Roman"/>
      <w:szCs w:val="24"/>
      <w:lang w:eastAsia="lv-LV"/>
    </w:rPr>
  </w:style>
  <w:style w:type="paragraph" w:styleId="ListParagraph">
    <w:name w:val="List Paragraph"/>
    <w:basedOn w:val="Normal"/>
    <w:uiPriority w:val="34"/>
    <w:qFormat/>
    <w:rsid w:val="004A4156"/>
    <w:pPr>
      <w:spacing w:after="200" w:line="276" w:lineRule="auto"/>
      <w:ind w:left="720"/>
      <w:contextualSpacing/>
    </w:pPr>
    <w:rPr>
      <w:rFonts w:ascii="Calibri" w:hAnsi="Calibri"/>
      <w:sz w:val="22"/>
    </w:rPr>
  </w:style>
  <w:style w:type="character" w:customStyle="1" w:styleId="fontsize2">
    <w:name w:val="fontsize2"/>
    <w:basedOn w:val="DefaultParagraphFont"/>
    <w:rsid w:val="004A4156"/>
  </w:style>
  <w:style w:type="paragraph" w:styleId="Title">
    <w:name w:val="Title"/>
    <w:basedOn w:val="Normal"/>
    <w:link w:val="TitleChar"/>
    <w:qFormat/>
    <w:rsid w:val="004A4156"/>
    <w:pPr>
      <w:jc w:val="center"/>
    </w:pPr>
    <w:rPr>
      <w:rFonts w:eastAsia="Times New Roman"/>
      <w:b/>
      <w:szCs w:val="20"/>
    </w:rPr>
  </w:style>
  <w:style w:type="character" w:customStyle="1" w:styleId="TitleChar">
    <w:name w:val="Title Char"/>
    <w:basedOn w:val="DefaultParagraphFont"/>
    <w:link w:val="Title"/>
    <w:rsid w:val="004A4156"/>
    <w:rPr>
      <w:rFonts w:eastAsia="Times New Roman" w:cs="Times New Roman"/>
      <w:b/>
      <w:szCs w:val="20"/>
    </w:rPr>
  </w:style>
  <w:style w:type="paragraph" w:styleId="NoSpacing">
    <w:name w:val="No Spacing"/>
    <w:uiPriority w:val="1"/>
    <w:qFormat/>
    <w:rsid w:val="00230934"/>
    <w:rPr>
      <w:rFonts w:ascii="Calibri" w:eastAsia="Calibri" w:hAnsi="Calibri" w:cs="Times New Roman"/>
      <w:sz w:val="20"/>
      <w:szCs w:val="20"/>
      <w:lang w:eastAsia="lv-LV"/>
    </w:rPr>
  </w:style>
  <w:style w:type="paragraph" w:styleId="FootnoteText">
    <w:name w:val="footnote text"/>
    <w:basedOn w:val="Normal"/>
    <w:link w:val="FootnoteTextChar"/>
    <w:uiPriority w:val="99"/>
    <w:semiHidden/>
    <w:unhideWhenUsed/>
    <w:rsid w:val="005175DE"/>
    <w:rPr>
      <w:sz w:val="20"/>
      <w:szCs w:val="20"/>
    </w:rPr>
  </w:style>
  <w:style w:type="character" w:customStyle="1" w:styleId="FootnoteTextChar">
    <w:name w:val="Footnote Text Char"/>
    <w:basedOn w:val="DefaultParagraphFont"/>
    <w:link w:val="FootnoteText"/>
    <w:uiPriority w:val="99"/>
    <w:semiHidden/>
    <w:rsid w:val="005175DE"/>
    <w:rPr>
      <w:rFonts w:eastAsia="Calibri" w:cs="Times New Roman"/>
      <w:sz w:val="20"/>
      <w:szCs w:val="20"/>
    </w:rPr>
  </w:style>
  <w:style w:type="character" w:styleId="FootnoteReference">
    <w:name w:val="footnote reference"/>
    <w:basedOn w:val="DefaultParagraphFont"/>
    <w:uiPriority w:val="99"/>
    <w:semiHidden/>
    <w:unhideWhenUsed/>
    <w:rsid w:val="005175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CB020-2823-4295-8AEF-5B06CD72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3925</Words>
  <Characters>2238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3</cp:revision>
  <dcterms:created xsi:type="dcterms:W3CDTF">2019-11-02T12:13:00Z</dcterms:created>
  <dcterms:modified xsi:type="dcterms:W3CDTF">2019-11-04T09:23:00Z</dcterms:modified>
</cp:coreProperties>
</file>