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703" w:rsidRPr="00845F93" w:rsidRDefault="00C77703" w:rsidP="00C77703">
      <w:pPr>
        <w:rPr>
          <w:b/>
          <w:i/>
          <w:sz w:val="22"/>
        </w:rPr>
      </w:pPr>
      <w:r w:rsidRPr="00845F93">
        <w:rPr>
          <w:sz w:val="26"/>
          <w:szCs w:val="26"/>
        </w:rPr>
        <w:t xml:space="preserve">Budžeta un finanšu (nodokļu) komisija </w:t>
      </w:r>
    </w:p>
    <w:p w:rsidR="00C77703" w:rsidRPr="00845F93" w:rsidRDefault="00C77703" w:rsidP="00C77703">
      <w:pPr>
        <w:pStyle w:val="Title"/>
        <w:jc w:val="right"/>
        <w:rPr>
          <w:b w:val="0"/>
          <w:sz w:val="26"/>
          <w:szCs w:val="26"/>
        </w:rPr>
      </w:pPr>
      <w:r w:rsidRPr="00845F93">
        <w:rPr>
          <w:b w:val="0"/>
          <w:sz w:val="26"/>
          <w:szCs w:val="26"/>
        </w:rPr>
        <w:t xml:space="preserve">Likumprojekts </w:t>
      </w:r>
      <w:proofErr w:type="gramStart"/>
      <w:r w:rsidRPr="00845F93">
        <w:rPr>
          <w:b w:val="0"/>
          <w:sz w:val="26"/>
          <w:szCs w:val="26"/>
        </w:rPr>
        <w:t>(steidzams) otrajam lasījumam</w:t>
      </w:r>
      <w:proofErr w:type="gramEnd"/>
    </w:p>
    <w:p w:rsidR="00C77703" w:rsidRPr="00845F93" w:rsidRDefault="00C77703" w:rsidP="00C77703">
      <w:pPr>
        <w:jc w:val="center"/>
        <w:rPr>
          <w:rStyle w:val="Emphasis"/>
          <w:b/>
          <w:i w:val="0"/>
          <w:sz w:val="28"/>
          <w:szCs w:val="28"/>
        </w:rPr>
      </w:pPr>
    </w:p>
    <w:p w:rsidR="00C77703" w:rsidRPr="00845F93" w:rsidRDefault="00C77703" w:rsidP="00C77703">
      <w:pPr>
        <w:jc w:val="center"/>
        <w:rPr>
          <w:b/>
          <w:sz w:val="28"/>
          <w:szCs w:val="28"/>
        </w:rPr>
      </w:pPr>
      <w:r w:rsidRPr="00845F93">
        <w:rPr>
          <w:b/>
          <w:sz w:val="28"/>
          <w:szCs w:val="28"/>
        </w:rPr>
        <w:t>Grozījums likumā “Par valsts sociālo apdrošināšanu”</w:t>
      </w:r>
    </w:p>
    <w:p w:rsidR="00C77703" w:rsidRPr="00845F93" w:rsidRDefault="00C77703" w:rsidP="00C77703">
      <w:pPr>
        <w:jc w:val="center"/>
        <w:rPr>
          <w:rStyle w:val="Emphasis"/>
          <w:b/>
          <w:sz w:val="28"/>
          <w:szCs w:val="28"/>
        </w:rPr>
      </w:pPr>
      <w:r w:rsidRPr="00845F93">
        <w:rPr>
          <w:rStyle w:val="Emphasis"/>
          <w:b/>
          <w:sz w:val="28"/>
          <w:szCs w:val="28"/>
        </w:rPr>
        <w:t xml:space="preserve"> (Nr. 435/Lp13) </w:t>
      </w:r>
    </w:p>
    <w:p w:rsidR="00C77703" w:rsidRPr="00845F93" w:rsidRDefault="00C77703" w:rsidP="00C77703">
      <w:pPr>
        <w:jc w:val="center"/>
        <w:rPr>
          <w:rStyle w:val="Emphasis"/>
          <w:b/>
          <w:sz w:val="26"/>
          <w:szCs w:val="26"/>
        </w:rPr>
      </w:pPr>
    </w:p>
    <w:tbl>
      <w:tblPr>
        <w:tblW w:w="14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0"/>
        <w:gridCol w:w="3776"/>
        <w:gridCol w:w="528"/>
        <w:gridCol w:w="3780"/>
        <w:gridCol w:w="1414"/>
        <w:gridCol w:w="1415"/>
      </w:tblGrid>
      <w:tr w:rsidR="00845F93" w:rsidRPr="00845F93" w:rsidTr="00C77703">
        <w:tc>
          <w:tcPr>
            <w:tcW w:w="3798" w:type="dxa"/>
            <w:shd w:val="clear" w:color="auto" w:fill="auto"/>
            <w:vAlign w:val="center"/>
          </w:tcPr>
          <w:p w:rsidR="00C77703" w:rsidRPr="00845F93" w:rsidRDefault="00C77703" w:rsidP="00C77703">
            <w:pPr>
              <w:jc w:val="center"/>
              <w:rPr>
                <w:b/>
                <w:bCs/>
                <w:iCs/>
              </w:rPr>
            </w:pPr>
            <w:r w:rsidRPr="00845F93">
              <w:rPr>
                <w:b/>
              </w:rPr>
              <w:t>Spēkā esošā redakcija</w:t>
            </w:r>
          </w:p>
        </w:tc>
        <w:tc>
          <w:tcPr>
            <w:tcW w:w="3798" w:type="dxa"/>
            <w:shd w:val="clear" w:color="auto" w:fill="auto"/>
            <w:vAlign w:val="center"/>
          </w:tcPr>
          <w:p w:rsidR="00C77703" w:rsidRPr="00845F93" w:rsidRDefault="00C77703" w:rsidP="00C77703">
            <w:pPr>
              <w:jc w:val="center"/>
              <w:rPr>
                <w:b/>
              </w:rPr>
            </w:pPr>
            <w:r w:rsidRPr="00845F93">
              <w:rPr>
                <w:b/>
              </w:rPr>
              <w:t>Pirmā lasījuma redakcija</w:t>
            </w:r>
          </w:p>
        </w:tc>
        <w:tc>
          <w:tcPr>
            <w:tcW w:w="465" w:type="dxa"/>
            <w:vAlign w:val="center"/>
          </w:tcPr>
          <w:p w:rsidR="00C77703" w:rsidRPr="00845F93" w:rsidRDefault="00C77703" w:rsidP="0086654F">
            <w:pPr>
              <w:jc w:val="center"/>
              <w:rPr>
                <w:b/>
                <w:sz w:val="22"/>
              </w:rPr>
            </w:pPr>
            <w:r w:rsidRPr="00845F93">
              <w:rPr>
                <w:b/>
                <w:sz w:val="22"/>
              </w:rPr>
              <w:t>Nr.</w:t>
            </w:r>
          </w:p>
        </w:tc>
        <w:tc>
          <w:tcPr>
            <w:tcW w:w="3798" w:type="dxa"/>
            <w:vAlign w:val="center"/>
          </w:tcPr>
          <w:p w:rsidR="00C77703" w:rsidRPr="00845F93" w:rsidRDefault="00C77703" w:rsidP="00C77703">
            <w:pPr>
              <w:jc w:val="center"/>
              <w:rPr>
                <w:b/>
              </w:rPr>
            </w:pPr>
            <w:r w:rsidRPr="00845F93">
              <w:rPr>
                <w:b/>
              </w:rPr>
              <w:t>Priekšlikumi</w:t>
            </w:r>
          </w:p>
          <w:p w:rsidR="00C77703" w:rsidRPr="00845F93" w:rsidRDefault="00C77703" w:rsidP="0086654F">
            <w:pPr>
              <w:jc w:val="center"/>
              <w:rPr>
                <w:b/>
              </w:rPr>
            </w:pPr>
            <w:r w:rsidRPr="00845F93">
              <w:rPr>
                <w:b/>
              </w:rPr>
              <w:t>(</w:t>
            </w:r>
            <w:r w:rsidR="0086654F" w:rsidRPr="00845F93">
              <w:rPr>
                <w:b/>
              </w:rPr>
              <w:t>7</w:t>
            </w:r>
            <w:r w:rsidRPr="00845F93">
              <w:rPr>
                <w:b/>
              </w:rPr>
              <w:t>)</w:t>
            </w:r>
          </w:p>
        </w:tc>
        <w:tc>
          <w:tcPr>
            <w:tcW w:w="1417" w:type="dxa"/>
            <w:vAlign w:val="center"/>
          </w:tcPr>
          <w:p w:rsidR="00C77703" w:rsidRPr="00845F93" w:rsidRDefault="00C77703" w:rsidP="00C77703">
            <w:pPr>
              <w:jc w:val="center"/>
              <w:rPr>
                <w:b/>
              </w:rPr>
            </w:pPr>
            <w:r w:rsidRPr="00845F93">
              <w:rPr>
                <w:b/>
                <w:bCs/>
                <w:iCs/>
              </w:rPr>
              <w:t>Ministru kabineta atzinums</w:t>
            </w:r>
          </w:p>
        </w:tc>
        <w:tc>
          <w:tcPr>
            <w:tcW w:w="1417" w:type="dxa"/>
            <w:vAlign w:val="center"/>
          </w:tcPr>
          <w:p w:rsidR="00C77703" w:rsidRPr="00845F93" w:rsidRDefault="00C77703" w:rsidP="00C77703">
            <w:pPr>
              <w:jc w:val="center"/>
              <w:rPr>
                <w:b/>
              </w:rPr>
            </w:pPr>
            <w:r w:rsidRPr="00845F93">
              <w:rPr>
                <w:b/>
                <w:bCs/>
                <w:iCs/>
              </w:rPr>
              <w:t>Komisijas atzinums</w:t>
            </w:r>
          </w:p>
        </w:tc>
      </w:tr>
      <w:tr w:rsidR="00845F93" w:rsidRPr="00845F93" w:rsidTr="00C77703">
        <w:tc>
          <w:tcPr>
            <w:tcW w:w="3798" w:type="dxa"/>
            <w:shd w:val="clear" w:color="auto" w:fill="auto"/>
          </w:tcPr>
          <w:p w:rsidR="00C77703" w:rsidRPr="00845F93" w:rsidRDefault="00C77703" w:rsidP="00F94FBC">
            <w:pPr>
              <w:jc w:val="center"/>
              <w:rPr>
                <w:b/>
              </w:rPr>
            </w:pPr>
          </w:p>
        </w:tc>
        <w:tc>
          <w:tcPr>
            <w:tcW w:w="3798" w:type="dxa"/>
            <w:shd w:val="clear" w:color="auto" w:fill="auto"/>
          </w:tcPr>
          <w:p w:rsidR="00C77703" w:rsidRPr="00845F93" w:rsidRDefault="00C77703" w:rsidP="00F94FBC">
            <w:pPr>
              <w:ind w:firstLine="709"/>
              <w:jc w:val="both"/>
              <w:rPr>
                <w:sz w:val="22"/>
              </w:rPr>
            </w:pPr>
            <w:r w:rsidRPr="00845F93">
              <w:rPr>
                <w:sz w:val="22"/>
              </w:rPr>
              <w:t xml:space="preserve">Izdarīt likumā "Par valsts sociālo apdrošināšanu" </w:t>
            </w:r>
            <w:proofErr w:type="gramStart"/>
            <w:r w:rsidRPr="00845F93">
              <w:rPr>
                <w:sz w:val="22"/>
              </w:rPr>
              <w:t>(</w:t>
            </w:r>
            <w:proofErr w:type="gramEnd"/>
            <w:r w:rsidRPr="00845F93">
              <w:rPr>
                <w:sz w:val="22"/>
              </w:rPr>
              <w:t>Latvijas Republikas Saeimas un Ministru Kabineta Ziņotājs, 1997, 22. nr.; 1998, 15. nr.; 1999, 24. nr.; 2001, 15., 17. nr.; 2002, 14. nr.; 2003, 9. nr.; 2004, 5. nr.; 2005, 8., 24. nr.; 2006, 14. nr.; 2007, 3., 12., 24. nr.; 2008, 15. nr.; 2009, 3., 15. nr.; Latvijas Vēstnesis, 2009, 100., 199., 200. nr.; 2010, 94., 131., 205. nr.; 2011, 117., 202. nr.; 2013, 6., 232. nr.; 2014, 63., 257. nr.; 2015, 60., 248. nr.; 2016, 197., 241., 255. nr.; 2017, 156., 242. nr.; 2018, 225. nr.; 2019, 75. nr.) šādu grozījumu:</w:t>
            </w:r>
          </w:p>
        </w:tc>
        <w:tc>
          <w:tcPr>
            <w:tcW w:w="465" w:type="dxa"/>
          </w:tcPr>
          <w:p w:rsidR="00C77703" w:rsidRPr="00845F93" w:rsidRDefault="0086654F" w:rsidP="0086654F">
            <w:pPr>
              <w:jc w:val="center"/>
              <w:rPr>
                <w:b/>
                <w:sz w:val="22"/>
              </w:rPr>
            </w:pPr>
            <w:r w:rsidRPr="00845F93">
              <w:rPr>
                <w:b/>
                <w:sz w:val="22"/>
              </w:rPr>
              <w:t>1</w:t>
            </w:r>
          </w:p>
        </w:tc>
        <w:tc>
          <w:tcPr>
            <w:tcW w:w="3798" w:type="dxa"/>
          </w:tcPr>
          <w:p w:rsidR="00C77703" w:rsidRPr="00845F93" w:rsidRDefault="00ED545F" w:rsidP="00F94FBC">
            <w:pPr>
              <w:ind w:firstLine="709"/>
              <w:jc w:val="both"/>
              <w:rPr>
                <w:b/>
                <w:sz w:val="22"/>
                <w:u w:val="single"/>
              </w:rPr>
            </w:pPr>
            <w:r w:rsidRPr="00845F93">
              <w:rPr>
                <w:b/>
                <w:sz w:val="22"/>
                <w:u w:val="single"/>
              </w:rPr>
              <w:t>Juridiskais birojs</w:t>
            </w:r>
          </w:p>
          <w:p w:rsidR="00ED545F" w:rsidRPr="00845F93" w:rsidRDefault="00ED545F" w:rsidP="00ED545F">
            <w:pPr>
              <w:ind w:firstLine="567"/>
              <w:jc w:val="both"/>
              <w:rPr>
                <w:i/>
                <w:sz w:val="22"/>
              </w:rPr>
            </w:pPr>
            <w:r w:rsidRPr="00845F93">
              <w:rPr>
                <w:i/>
                <w:sz w:val="22"/>
              </w:rPr>
              <w:t xml:space="preserve">Juridiskais birojs aicina Komisiju, pirms lēmuma par likumprojekta virzīšanu izskatīšanai </w:t>
            </w:r>
            <w:proofErr w:type="gramStart"/>
            <w:r w:rsidRPr="00845F93">
              <w:rPr>
                <w:i/>
                <w:sz w:val="22"/>
              </w:rPr>
              <w:t>Saeimas sēdē otrajā lasījumā budžeta likumprojektu paketē,</w:t>
            </w:r>
            <w:proofErr w:type="gramEnd"/>
            <w:r w:rsidRPr="00845F93">
              <w:rPr>
                <w:i/>
                <w:sz w:val="22"/>
              </w:rPr>
              <w:t xml:space="preserve"> atkārtoti pārliecināties, ka tajā ietvertais regulējums, attieksies uz 2020. gadu un gadījumā, ja komisija nav guvusi pārliecību par likumprojekta atbilstību budžeta paketes likumprojektam, ierosinām to izslēgt no budžeta likumprojektu paketes. </w:t>
            </w:r>
          </w:p>
          <w:p w:rsidR="00ED545F" w:rsidRPr="00845F93" w:rsidRDefault="00ED545F" w:rsidP="00ED545F">
            <w:pPr>
              <w:ind w:firstLine="720"/>
              <w:jc w:val="both"/>
              <w:rPr>
                <w:i/>
                <w:sz w:val="22"/>
              </w:rPr>
            </w:pPr>
            <w:r w:rsidRPr="00845F93">
              <w:rPr>
                <w:i/>
                <w:sz w:val="22"/>
              </w:rPr>
              <w:t xml:space="preserve">Satversmes tiesa ir atzinusi, likumdevējam ir tiesības un tai pašā laikā arī pienākums valsts budžeta likumā un to pavadošo likumu paketē iekļaut vienīgi tādus jautājumus, kas attiecas uz konkrēto saimniecisko gadu un ir cieši saistīti ar valsts finanšu līdzekļu izlietojumu </w:t>
            </w:r>
            <w:proofErr w:type="gramStart"/>
            <w:r w:rsidRPr="00845F93">
              <w:rPr>
                <w:i/>
                <w:sz w:val="22"/>
              </w:rPr>
              <w:t>(</w:t>
            </w:r>
            <w:proofErr w:type="gramEnd"/>
            <w:r w:rsidRPr="00845F93">
              <w:rPr>
                <w:i/>
                <w:sz w:val="22"/>
              </w:rPr>
              <w:t xml:space="preserve">sk. Satversmes tiesas 2011. gada 19. decembra sprieduma lietā Nr. 2011-03-01 18. punktu un 2015. gada 25. marta sprieduma lietā Nr. 2014-11-0103 18.1. punktu). Ņemot vērā īpašo budžeta likumprojektu paketes izskatīšanai noteikto kārtību, Saeimai ir jāizvērtē arī tas, vai visi Ministru kabineta iesniegtie </w:t>
            </w:r>
            <w:r w:rsidRPr="00845F93">
              <w:rPr>
                <w:i/>
                <w:sz w:val="22"/>
              </w:rPr>
              <w:lastRenderedPageBreak/>
              <w:t>valsts budžeta paketes likumprojekti atbilst Saeimas kārtības ruļļa 87.</w:t>
            </w:r>
            <w:r w:rsidRPr="00845F93">
              <w:rPr>
                <w:i/>
                <w:sz w:val="22"/>
                <w:vertAlign w:val="superscript"/>
              </w:rPr>
              <w:t>1</w:t>
            </w:r>
            <w:r w:rsidRPr="00845F93">
              <w:rPr>
                <w:i/>
                <w:sz w:val="22"/>
              </w:rPr>
              <w:t xml:space="preserve"> pantā norādītajiem kritērijiem. Ja kāds likumprojekts šiem kritērijiem neatbilst, Saeimai tas jāizslēdz no budžeta likumprojektu paketes (sk. Satversmes tiesas 2015.gada 25.marta spriedumu lietā Nr.2014-11-0103).</w:t>
            </w:r>
          </w:p>
          <w:p w:rsidR="00ED545F" w:rsidRPr="00845F93" w:rsidRDefault="00ED545F" w:rsidP="00ED545F">
            <w:pPr>
              <w:ind w:firstLine="720"/>
              <w:jc w:val="both"/>
              <w:rPr>
                <w:i/>
                <w:sz w:val="22"/>
              </w:rPr>
            </w:pPr>
            <w:proofErr w:type="gramStart"/>
            <w:r w:rsidRPr="00845F93">
              <w:rPr>
                <w:i/>
                <w:sz w:val="22"/>
              </w:rPr>
              <w:t>Saskaņā ar likumprojekta sākotnējās ietekmes novērtējuma ziņojumu (anotāciju),</w:t>
            </w:r>
            <w:proofErr w:type="gramEnd"/>
            <w:r w:rsidRPr="00845F93">
              <w:rPr>
                <w:i/>
                <w:sz w:val="22"/>
              </w:rPr>
              <w:t xml:space="preserve"> likumprojekts izstrādāts, lai nodrošinātu, ka objekts, no kura veic valsts sociālās apdrošināšanas obligātās iemaksas (turpmāk – iemaksu objekts) par profesionālu sportistu netiktu piesaistīts minimālās algas apmēram, paredzot, ka no 2020. gada 1. janvāra  iemaksu objekts profesionālam sportistam ir 860 </w:t>
            </w:r>
            <w:proofErr w:type="spellStart"/>
            <w:r w:rsidRPr="00845F93">
              <w:rPr>
                <w:i/>
                <w:sz w:val="22"/>
              </w:rPr>
              <w:t>euro</w:t>
            </w:r>
            <w:proofErr w:type="spellEnd"/>
            <w:r w:rsidRPr="00845F93">
              <w:rPr>
                <w:i/>
                <w:sz w:val="22"/>
              </w:rPr>
              <w:t xml:space="preserve">. Vēršam uzmanību uz to, ka likumprojektā noteiktais iemaksu objekta apmērs ir identisks tam, ko jau nodrošina spēkā esošie normatīvie akti.  </w:t>
            </w:r>
          </w:p>
          <w:p w:rsidR="00ED545F" w:rsidRPr="00845F93" w:rsidRDefault="00ED545F" w:rsidP="00ED545F">
            <w:pPr>
              <w:ind w:firstLine="720"/>
              <w:jc w:val="both"/>
              <w:rPr>
                <w:i/>
                <w:sz w:val="22"/>
              </w:rPr>
            </w:pPr>
            <w:r w:rsidRPr="00845F93">
              <w:rPr>
                <w:i/>
                <w:sz w:val="22"/>
              </w:rPr>
              <w:t>Plānoto iemaksu objekta atsaisti no minimālās mēneša darba algas turpmākajiem gadiem likumdevējs var turpināt izskatīt un virzīt, apspriežot iesniegto likumprojektu trijos lasījumos.</w:t>
            </w:r>
          </w:p>
        </w:tc>
        <w:tc>
          <w:tcPr>
            <w:tcW w:w="1417" w:type="dxa"/>
          </w:tcPr>
          <w:p w:rsidR="00C77703" w:rsidRPr="00845F93" w:rsidRDefault="00C77703" w:rsidP="00F94FBC">
            <w:pPr>
              <w:ind w:firstLine="709"/>
              <w:jc w:val="both"/>
              <w:rPr>
                <w:sz w:val="22"/>
              </w:rPr>
            </w:pPr>
          </w:p>
        </w:tc>
        <w:tc>
          <w:tcPr>
            <w:tcW w:w="1417" w:type="dxa"/>
          </w:tcPr>
          <w:p w:rsidR="00C77703" w:rsidRPr="00845F93" w:rsidRDefault="00C77703" w:rsidP="00F94FBC">
            <w:pPr>
              <w:ind w:firstLine="709"/>
              <w:jc w:val="both"/>
              <w:rPr>
                <w:sz w:val="22"/>
              </w:rPr>
            </w:pPr>
          </w:p>
        </w:tc>
      </w:tr>
      <w:tr w:rsidR="00845F93" w:rsidRPr="00845F93" w:rsidTr="00C77703">
        <w:tc>
          <w:tcPr>
            <w:tcW w:w="3798" w:type="dxa"/>
            <w:shd w:val="clear" w:color="auto" w:fill="auto"/>
          </w:tcPr>
          <w:p w:rsidR="00ED545F" w:rsidRPr="00845F93" w:rsidRDefault="00ED545F" w:rsidP="006A18A9">
            <w:pPr>
              <w:pStyle w:val="tv213"/>
              <w:spacing w:before="0" w:beforeAutospacing="0" w:after="0" w:afterAutospacing="0"/>
              <w:ind w:firstLine="567"/>
              <w:jc w:val="both"/>
              <w:rPr>
                <w:b/>
                <w:bCs/>
                <w:sz w:val="22"/>
                <w:szCs w:val="22"/>
              </w:rPr>
            </w:pPr>
            <w:proofErr w:type="gramStart"/>
            <w:r w:rsidRPr="00845F93">
              <w:rPr>
                <w:b/>
                <w:bCs/>
                <w:sz w:val="22"/>
                <w:szCs w:val="22"/>
              </w:rPr>
              <w:t>14.pants</w:t>
            </w:r>
            <w:proofErr w:type="gramEnd"/>
            <w:r w:rsidRPr="00845F93">
              <w:rPr>
                <w:b/>
                <w:bCs/>
                <w:sz w:val="22"/>
                <w:szCs w:val="22"/>
              </w:rPr>
              <w:t>. Obligāto iemaksu objekts</w:t>
            </w:r>
          </w:p>
          <w:p w:rsidR="00ED545F" w:rsidRPr="00845F93" w:rsidRDefault="006A18A9" w:rsidP="006A18A9">
            <w:pPr>
              <w:ind w:firstLine="567"/>
              <w:jc w:val="both"/>
              <w:rPr>
                <w:b/>
              </w:rPr>
            </w:pPr>
            <w:r w:rsidRPr="00845F93">
              <w:rPr>
                <w:sz w:val="22"/>
              </w:rPr>
              <w:t>(3) To obligāto iemaksu objektu, kuras veicamas no valsts pamatbudžeta un speciālajiem budžetiem, nosaka Ministru kabinets.</w:t>
            </w:r>
          </w:p>
        </w:tc>
        <w:tc>
          <w:tcPr>
            <w:tcW w:w="3798" w:type="dxa"/>
            <w:shd w:val="clear" w:color="auto" w:fill="auto"/>
          </w:tcPr>
          <w:p w:rsidR="00ED545F" w:rsidRPr="00845F93" w:rsidRDefault="00ED545F" w:rsidP="00F94FBC">
            <w:pPr>
              <w:ind w:firstLine="709"/>
              <w:jc w:val="both"/>
              <w:rPr>
                <w:sz w:val="22"/>
              </w:rPr>
            </w:pPr>
          </w:p>
        </w:tc>
        <w:tc>
          <w:tcPr>
            <w:tcW w:w="465" w:type="dxa"/>
          </w:tcPr>
          <w:p w:rsidR="00ED545F" w:rsidRPr="00845F93" w:rsidRDefault="0086654F" w:rsidP="0086654F">
            <w:pPr>
              <w:jc w:val="center"/>
              <w:rPr>
                <w:b/>
                <w:sz w:val="22"/>
              </w:rPr>
            </w:pPr>
            <w:r w:rsidRPr="00845F93">
              <w:rPr>
                <w:b/>
                <w:sz w:val="22"/>
              </w:rPr>
              <w:t>2</w:t>
            </w:r>
          </w:p>
        </w:tc>
        <w:tc>
          <w:tcPr>
            <w:tcW w:w="3798" w:type="dxa"/>
          </w:tcPr>
          <w:p w:rsidR="00ED545F" w:rsidRPr="00845F93" w:rsidRDefault="00ED545F" w:rsidP="00ED545F">
            <w:pPr>
              <w:ind w:firstLine="567"/>
              <w:jc w:val="both"/>
              <w:rPr>
                <w:b/>
                <w:sz w:val="22"/>
                <w:u w:val="single"/>
              </w:rPr>
            </w:pPr>
            <w:r w:rsidRPr="00845F93">
              <w:rPr>
                <w:b/>
                <w:sz w:val="22"/>
                <w:u w:val="single"/>
              </w:rPr>
              <w:t>Zaļo un Zemnieku savienības frakcija</w:t>
            </w:r>
          </w:p>
          <w:p w:rsidR="00ED545F" w:rsidRPr="00845F93" w:rsidRDefault="00ED545F" w:rsidP="00ED545F">
            <w:pPr>
              <w:tabs>
                <w:tab w:val="left" w:pos="6740"/>
              </w:tabs>
              <w:ind w:firstLine="567"/>
              <w:jc w:val="both"/>
              <w:rPr>
                <w:sz w:val="22"/>
              </w:rPr>
            </w:pPr>
            <w:r w:rsidRPr="00845F93">
              <w:rPr>
                <w:sz w:val="22"/>
              </w:rPr>
              <w:t xml:space="preserve">Likuma </w:t>
            </w:r>
            <w:proofErr w:type="gramStart"/>
            <w:r w:rsidRPr="00845F93">
              <w:rPr>
                <w:sz w:val="22"/>
              </w:rPr>
              <w:t>14.panta</w:t>
            </w:r>
            <w:proofErr w:type="gramEnd"/>
            <w:r w:rsidRPr="00845F93">
              <w:rPr>
                <w:sz w:val="22"/>
              </w:rPr>
              <w:t xml:space="preserve"> 3.daļu izteikt šādā redakcijā:</w:t>
            </w:r>
          </w:p>
          <w:p w:rsidR="00ED545F" w:rsidRPr="00845F93" w:rsidRDefault="00ED545F" w:rsidP="00ED545F">
            <w:pPr>
              <w:tabs>
                <w:tab w:val="left" w:pos="6740"/>
              </w:tabs>
              <w:ind w:firstLine="567"/>
              <w:jc w:val="both"/>
              <w:rPr>
                <w:sz w:val="22"/>
              </w:rPr>
            </w:pPr>
            <w:r w:rsidRPr="00845F93">
              <w:rPr>
                <w:sz w:val="22"/>
              </w:rPr>
              <w:t xml:space="preserve">“ (3) </w:t>
            </w:r>
            <w:r w:rsidRPr="00845F93">
              <w:rPr>
                <w:sz w:val="22"/>
                <w:u w:val="single"/>
              </w:rPr>
              <w:t xml:space="preserve">Izņemot šī likuma </w:t>
            </w:r>
            <w:proofErr w:type="gramStart"/>
            <w:r w:rsidRPr="00845F93">
              <w:rPr>
                <w:sz w:val="22"/>
                <w:u w:val="single"/>
              </w:rPr>
              <w:t>14.panta</w:t>
            </w:r>
            <w:proofErr w:type="gramEnd"/>
            <w:r w:rsidRPr="00845F93">
              <w:rPr>
                <w:sz w:val="22"/>
                <w:u w:val="single"/>
              </w:rPr>
              <w:t xml:space="preserve"> 23.daļā noteikto objektu</w:t>
            </w:r>
            <w:r w:rsidRPr="00845F93">
              <w:rPr>
                <w:sz w:val="22"/>
              </w:rPr>
              <w:t>, obligāto iemaksu objektu, kuras veicamas no valsts pamatbudžeta un speciālajiem budžetiem, nosaka Ministru kabinets.”</w:t>
            </w:r>
          </w:p>
          <w:p w:rsidR="00ED545F" w:rsidRPr="00845F93" w:rsidRDefault="00ED545F" w:rsidP="00F94FBC">
            <w:pPr>
              <w:ind w:firstLine="709"/>
              <w:jc w:val="both"/>
              <w:rPr>
                <w:b/>
                <w:sz w:val="22"/>
                <w:u w:val="single"/>
              </w:rPr>
            </w:pPr>
          </w:p>
        </w:tc>
        <w:tc>
          <w:tcPr>
            <w:tcW w:w="1417" w:type="dxa"/>
          </w:tcPr>
          <w:p w:rsidR="00ED545F" w:rsidRPr="00845F93" w:rsidRDefault="00ED545F" w:rsidP="00F94FBC">
            <w:pPr>
              <w:ind w:firstLine="709"/>
              <w:jc w:val="both"/>
              <w:rPr>
                <w:sz w:val="22"/>
              </w:rPr>
            </w:pPr>
          </w:p>
        </w:tc>
        <w:tc>
          <w:tcPr>
            <w:tcW w:w="1417" w:type="dxa"/>
          </w:tcPr>
          <w:p w:rsidR="00ED545F" w:rsidRPr="00845F93" w:rsidRDefault="00ED545F" w:rsidP="00F94FBC">
            <w:pPr>
              <w:ind w:firstLine="709"/>
              <w:jc w:val="both"/>
              <w:rPr>
                <w:sz w:val="22"/>
              </w:rPr>
            </w:pPr>
          </w:p>
        </w:tc>
      </w:tr>
      <w:tr w:rsidR="00845F93" w:rsidRPr="00845F93" w:rsidTr="00C77703">
        <w:tc>
          <w:tcPr>
            <w:tcW w:w="3798" w:type="dxa"/>
            <w:shd w:val="clear" w:color="auto" w:fill="auto"/>
          </w:tcPr>
          <w:p w:rsidR="00C77703" w:rsidRPr="00845F93" w:rsidRDefault="00ED545F" w:rsidP="00F94FBC">
            <w:pPr>
              <w:pStyle w:val="tv213"/>
              <w:spacing w:before="0" w:beforeAutospacing="0" w:after="0" w:afterAutospacing="0"/>
              <w:ind w:firstLine="567"/>
              <w:jc w:val="both"/>
              <w:rPr>
                <w:sz w:val="22"/>
                <w:szCs w:val="22"/>
              </w:rPr>
            </w:pPr>
            <w:r w:rsidRPr="00845F93">
              <w:rPr>
                <w:sz w:val="22"/>
                <w:szCs w:val="22"/>
              </w:rPr>
              <w:lastRenderedPageBreak/>
              <w:t xml:space="preserve"> </w:t>
            </w:r>
            <w:r w:rsidR="00C77703" w:rsidRPr="00845F93">
              <w:rPr>
                <w:sz w:val="22"/>
                <w:szCs w:val="22"/>
              </w:rPr>
              <w:t>(20) Profesionālam sportistam obligāto iemaksu objekts ir divas Ministru kabineta noteiktās minimālās mēneša darba algas. Obligāto iemaksu objektu nosaka proporcionāli periodam, kurā profesionālam sportistam ir darba ņēmēja statuss, kā arī nepiemēro par tām taksācijas gada kalendāra dienām, kurās profesionāls sportists atrodas bērna kopšanas atvaļinājumā, kurās viņam (bērna tēvam) ir piešķirts atvaļinājums sakarā ar bērna piedzimšanu, kurās viņš atrodas atvaļinājumā bez darba algas saglabāšanas, kas piešķirts profesionālam sportistam, kura aprūpē un uzraudzībā pirms adopcijas apstiprināšanas tiesā ar bāriņtiesas lēmumu nodots aprūpējamais bērns, vai par pārejošas darbnespējas, grūtniecības un dzemdību atvaļinājuma kalendāra dienām, par kurām ir izsniegta darbnespējas lapa "B".</w:t>
            </w:r>
          </w:p>
        </w:tc>
        <w:tc>
          <w:tcPr>
            <w:tcW w:w="3798" w:type="dxa"/>
            <w:shd w:val="clear" w:color="auto" w:fill="auto"/>
          </w:tcPr>
          <w:p w:rsidR="00C77703" w:rsidRPr="00845F93" w:rsidRDefault="00C77703" w:rsidP="00F94FBC">
            <w:pPr>
              <w:pStyle w:val="ListParagraph"/>
              <w:spacing w:after="0" w:line="240" w:lineRule="auto"/>
              <w:ind w:left="0" w:firstLine="709"/>
              <w:jc w:val="both"/>
              <w:rPr>
                <w:rFonts w:ascii="Times New Roman" w:hAnsi="Times New Roman"/>
                <w:shd w:val="clear" w:color="auto" w:fill="FFFFFF"/>
              </w:rPr>
            </w:pPr>
            <w:r w:rsidRPr="00845F93">
              <w:rPr>
                <w:rFonts w:ascii="Times New Roman" w:hAnsi="Times New Roman"/>
              </w:rPr>
              <w:t>Aizstāt 14. panta divdesmitajā daļā vārdus "</w:t>
            </w:r>
            <w:r w:rsidRPr="00845F93">
              <w:rPr>
                <w:rFonts w:ascii="Times New Roman" w:hAnsi="Times New Roman"/>
                <w:shd w:val="clear" w:color="auto" w:fill="FFFFFF"/>
              </w:rPr>
              <w:t>divas Ministru kabineta noteiktās minimālās mēneša darba algas" ar skaitli un vārdu "860 </w:t>
            </w:r>
            <w:proofErr w:type="spellStart"/>
            <w:r w:rsidRPr="00845F93">
              <w:rPr>
                <w:rFonts w:ascii="Times New Roman" w:hAnsi="Times New Roman"/>
                <w:i/>
                <w:shd w:val="clear" w:color="auto" w:fill="FFFFFF"/>
              </w:rPr>
              <w:t>euro</w:t>
            </w:r>
            <w:proofErr w:type="spellEnd"/>
            <w:r w:rsidRPr="00845F93">
              <w:rPr>
                <w:rFonts w:ascii="Times New Roman" w:hAnsi="Times New Roman"/>
                <w:shd w:val="clear" w:color="auto" w:fill="FFFFFF"/>
              </w:rPr>
              <w:t>".</w:t>
            </w:r>
          </w:p>
        </w:tc>
        <w:tc>
          <w:tcPr>
            <w:tcW w:w="465" w:type="dxa"/>
          </w:tcPr>
          <w:p w:rsidR="00C77703" w:rsidRPr="00845F93" w:rsidRDefault="0086654F" w:rsidP="0086654F">
            <w:pPr>
              <w:pStyle w:val="ListParagraph"/>
              <w:spacing w:after="0" w:line="240" w:lineRule="auto"/>
              <w:ind w:left="0"/>
              <w:jc w:val="center"/>
              <w:rPr>
                <w:rFonts w:ascii="Times New Roman" w:hAnsi="Times New Roman"/>
                <w:b/>
              </w:rPr>
            </w:pPr>
            <w:r w:rsidRPr="00845F93">
              <w:rPr>
                <w:rFonts w:ascii="Times New Roman" w:hAnsi="Times New Roman"/>
                <w:b/>
              </w:rPr>
              <w:t>3</w:t>
            </w:r>
          </w:p>
          <w:p w:rsidR="0086654F" w:rsidRPr="00845F93" w:rsidRDefault="0086654F" w:rsidP="0086654F">
            <w:pPr>
              <w:pStyle w:val="ListParagraph"/>
              <w:spacing w:after="0" w:line="240" w:lineRule="auto"/>
              <w:ind w:left="0"/>
              <w:jc w:val="center"/>
              <w:rPr>
                <w:rFonts w:ascii="Times New Roman" w:hAnsi="Times New Roman"/>
                <w:b/>
              </w:rPr>
            </w:pPr>
          </w:p>
          <w:p w:rsidR="0086654F" w:rsidRPr="00845F93" w:rsidRDefault="0086654F" w:rsidP="0086654F">
            <w:pPr>
              <w:pStyle w:val="ListParagraph"/>
              <w:spacing w:after="0" w:line="240" w:lineRule="auto"/>
              <w:ind w:left="0"/>
              <w:jc w:val="center"/>
              <w:rPr>
                <w:rFonts w:ascii="Times New Roman" w:hAnsi="Times New Roman"/>
                <w:b/>
              </w:rPr>
            </w:pPr>
          </w:p>
          <w:p w:rsidR="0086654F" w:rsidRPr="00845F93" w:rsidRDefault="0086654F" w:rsidP="0086654F">
            <w:pPr>
              <w:pStyle w:val="ListParagraph"/>
              <w:spacing w:after="0" w:line="240" w:lineRule="auto"/>
              <w:ind w:left="0"/>
              <w:jc w:val="center"/>
              <w:rPr>
                <w:rFonts w:ascii="Times New Roman" w:hAnsi="Times New Roman"/>
                <w:b/>
              </w:rPr>
            </w:pPr>
          </w:p>
          <w:p w:rsidR="0086654F" w:rsidRPr="00845F93" w:rsidRDefault="0086654F" w:rsidP="0086654F">
            <w:pPr>
              <w:pStyle w:val="ListParagraph"/>
              <w:spacing w:after="0" w:line="240" w:lineRule="auto"/>
              <w:ind w:left="0"/>
              <w:jc w:val="center"/>
              <w:rPr>
                <w:rFonts w:ascii="Times New Roman" w:hAnsi="Times New Roman"/>
                <w:b/>
              </w:rPr>
            </w:pPr>
          </w:p>
          <w:p w:rsidR="0086654F" w:rsidRPr="00845F93" w:rsidRDefault="0086654F" w:rsidP="0086654F">
            <w:pPr>
              <w:pStyle w:val="ListParagraph"/>
              <w:spacing w:after="0" w:line="240" w:lineRule="auto"/>
              <w:ind w:left="0"/>
              <w:jc w:val="center"/>
              <w:rPr>
                <w:rFonts w:ascii="Times New Roman" w:hAnsi="Times New Roman"/>
              </w:rPr>
            </w:pPr>
            <w:r w:rsidRPr="00845F93">
              <w:rPr>
                <w:rFonts w:ascii="Times New Roman" w:hAnsi="Times New Roman"/>
                <w:b/>
              </w:rPr>
              <w:t>4</w:t>
            </w:r>
          </w:p>
        </w:tc>
        <w:tc>
          <w:tcPr>
            <w:tcW w:w="3798" w:type="dxa"/>
          </w:tcPr>
          <w:p w:rsidR="00ED545F" w:rsidRPr="00845F93" w:rsidRDefault="00ED545F" w:rsidP="00ED545F">
            <w:pPr>
              <w:ind w:firstLine="567"/>
              <w:jc w:val="both"/>
              <w:rPr>
                <w:b/>
                <w:sz w:val="22"/>
                <w:u w:val="single"/>
              </w:rPr>
            </w:pPr>
            <w:r w:rsidRPr="00845F93">
              <w:rPr>
                <w:b/>
                <w:sz w:val="22"/>
                <w:u w:val="single"/>
              </w:rPr>
              <w:t>Zaļo un Zemnieku savienības frakcija</w:t>
            </w:r>
          </w:p>
          <w:p w:rsidR="00ED545F" w:rsidRPr="00845F93" w:rsidRDefault="00ED545F" w:rsidP="00ED545F">
            <w:pPr>
              <w:tabs>
                <w:tab w:val="left" w:pos="6740"/>
              </w:tabs>
              <w:ind w:firstLine="567"/>
              <w:jc w:val="both"/>
              <w:rPr>
                <w:sz w:val="22"/>
              </w:rPr>
            </w:pPr>
            <w:r w:rsidRPr="00845F93">
              <w:rPr>
                <w:sz w:val="22"/>
              </w:rPr>
              <w:t xml:space="preserve">Izslēgt likumprojekta pantu par likuma </w:t>
            </w:r>
            <w:proofErr w:type="gramStart"/>
            <w:r w:rsidRPr="00845F93">
              <w:rPr>
                <w:sz w:val="22"/>
              </w:rPr>
              <w:t>14.panta</w:t>
            </w:r>
            <w:proofErr w:type="gramEnd"/>
            <w:r w:rsidRPr="00845F93">
              <w:rPr>
                <w:sz w:val="22"/>
              </w:rPr>
              <w:t xml:space="preserve"> 20.daļas grozījumiem.</w:t>
            </w:r>
            <w:r w:rsidRPr="00845F93">
              <w:rPr>
                <w:rStyle w:val="FootnoteReference"/>
                <w:sz w:val="22"/>
              </w:rPr>
              <w:footnoteReference w:id="1"/>
            </w:r>
          </w:p>
          <w:p w:rsidR="00C77703" w:rsidRPr="00845F93" w:rsidRDefault="00C77703" w:rsidP="00ED545F">
            <w:pPr>
              <w:ind w:firstLine="567"/>
              <w:jc w:val="both"/>
            </w:pPr>
          </w:p>
          <w:p w:rsidR="006A18A9" w:rsidRPr="00845F93" w:rsidRDefault="006A18A9" w:rsidP="00ED545F">
            <w:pPr>
              <w:ind w:firstLine="567"/>
              <w:jc w:val="both"/>
              <w:rPr>
                <w:b/>
                <w:sz w:val="22"/>
                <w:u w:val="single"/>
              </w:rPr>
            </w:pPr>
            <w:r w:rsidRPr="00845F93">
              <w:rPr>
                <w:b/>
                <w:sz w:val="22"/>
                <w:u w:val="single"/>
              </w:rPr>
              <w:t xml:space="preserve">Deputātes </w:t>
            </w:r>
            <w:proofErr w:type="spellStart"/>
            <w:r w:rsidRPr="00845F93">
              <w:rPr>
                <w:b/>
                <w:sz w:val="22"/>
                <w:u w:val="single"/>
              </w:rPr>
              <w:t>Ļ.Švecova</w:t>
            </w:r>
            <w:proofErr w:type="spellEnd"/>
            <w:r w:rsidRPr="00845F93">
              <w:rPr>
                <w:b/>
                <w:sz w:val="22"/>
                <w:u w:val="single"/>
              </w:rPr>
              <w:t>, R.Ločmele-Luņova</w:t>
            </w:r>
          </w:p>
          <w:p w:rsidR="006A18A9" w:rsidRPr="00845F93" w:rsidRDefault="006A18A9" w:rsidP="006A18A9">
            <w:pPr>
              <w:ind w:firstLine="567"/>
              <w:jc w:val="both"/>
              <w:rPr>
                <w:sz w:val="22"/>
              </w:rPr>
            </w:pPr>
            <w:r w:rsidRPr="00845F93">
              <w:rPr>
                <w:sz w:val="22"/>
              </w:rPr>
              <w:t>Izslēgt likumprojektā iekļauto pantu par grozījumiem likuma 14. pantā.</w:t>
            </w:r>
          </w:p>
          <w:p w:rsidR="006A18A9" w:rsidRPr="00845F93" w:rsidRDefault="006A18A9" w:rsidP="00ED545F">
            <w:pPr>
              <w:ind w:firstLine="567"/>
              <w:jc w:val="both"/>
              <w:rPr>
                <w:b/>
                <w:sz w:val="22"/>
                <w:u w:val="single"/>
              </w:rPr>
            </w:pPr>
          </w:p>
        </w:tc>
        <w:tc>
          <w:tcPr>
            <w:tcW w:w="1417" w:type="dxa"/>
          </w:tcPr>
          <w:p w:rsidR="00C77703" w:rsidRPr="00845F93" w:rsidRDefault="00C77703" w:rsidP="00F94FBC">
            <w:pPr>
              <w:pStyle w:val="ListParagraph"/>
              <w:spacing w:after="0" w:line="240" w:lineRule="auto"/>
              <w:ind w:left="0" w:firstLine="709"/>
              <w:jc w:val="both"/>
              <w:rPr>
                <w:rFonts w:ascii="Times New Roman" w:hAnsi="Times New Roman"/>
              </w:rPr>
            </w:pPr>
          </w:p>
        </w:tc>
        <w:tc>
          <w:tcPr>
            <w:tcW w:w="1417" w:type="dxa"/>
          </w:tcPr>
          <w:p w:rsidR="00C77703" w:rsidRPr="00845F93" w:rsidRDefault="00C77703" w:rsidP="00F94FBC">
            <w:pPr>
              <w:pStyle w:val="ListParagraph"/>
              <w:spacing w:after="0" w:line="240" w:lineRule="auto"/>
              <w:ind w:left="0" w:firstLine="709"/>
              <w:jc w:val="both"/>
              <w:rPr>
                <w:rFonts w:ascii="Times New Roman" w:hAnsi="Times New Roman"/>
              </w:rPr>
            </w:pPr>
          </w:p>
        </w:tc>
      </w:tr>
      <w:tr w:rsidR="00845F93" w:rsidRPr="00845F93" w:rsidTr="00C77703">
        <w:tc>
          <w:tcPr>
            <w:tcW w:w="3798" w:type="dxa"/>
            <w:shd w:val="clear" w:color="auto" w:fill="auto"/>
          </w:tcPr>
          <w:p w:rsidR="00ED545F" w:rsidRPr="00845F93" w:rsidRDefault="006A18A9" w:rsidP="00F94FBC">
            <w:pPr>
              <w:pStyle w:val="labojumupamats"/>
              <w:spacing w:before="0" w:beforeAutospacing="0" w:after="0" w:afterAutospacing="0"/>
              <w:ind w:firstLine="567"/>
              <w:jc w:val="both"/>
              <w:rPr>
                <w:i/>
                <w:sz w:val="22"/>
                <w:szCs w:val="22"/>
              </w:rPr>
            </w:pPr>
            <w:r w:rsidRPr="00845F93">
              <w:rPr>
                <w:sz w:val="22"/>
                <w:szCs w:val="22"/>
              </w:rPr>
              <w:t>(22) Šā panta otrajā daļā minētais pašnodarbinātā ienākums ir ienākums no saimnieciskās darbības, kas aprēķināts saskaņā ar likumu "Par iedzīvotāju ienākuma nodokli", nepiemērojot likuma "Par iedzīvotāju ienākuma nodokli" 11. panta 3.</w:t>
            </w:r>
            <w:r w:rsidRPr="00845F93">
              <w:rPr>
                <w:sz w:val="22"/>
                <w:szCs w:val="22"/>
                <w:vertAlign w:val="superscript"/>
              </w:rPr>
              <w:t>1 </w:t>
            </w:r>
            <w:r w:rsidRPr="00845F93">
              <w:rPr>
                <w:sz w:val="22"/>
                <w:szCs w:val="22"/>
              </w:rPr>
              <w:t>daļā un 11.</w:t>
            </w:r>
            <w:r w:rsidRPr="00845F93">
              <w:rPr>
                <w:sz w:val="22"/>
                <w:szCs w:val="22"/>
                <w:vertAlign w:val="superscript"/>
              </w:rPr>
              <w:t>1 </w:t>
            </w:r>
            <w:r w:rsidRPr="00845F93">
              <w:rPr>
                <w:sz w:val="22"/>
                <w:szCs w:val="22"/>
              </w:rPr>
              <w:t>panta 6.</w:t>
            </w:r>
            <w:r w:rsidRPr="00845F93">
              <w:rPr>
                <w:sz w:val="22"/>
                <w:szCs w:val="22"/>
                <w:vertAlign w:val="superscript"/>
              </w:rPr>
              <w:t>1</w:t>
            </w:r>
            <w:r w:rsidRPr="00845F93">
              <w:rPr>
                <w:sz w:val="22"/>
                <w:szCs w:val="22"/>
              </w:rPr>
              <w:t> daļā noteikto saimnieciskās darbības izdevumu atskaitīšanas ierobežojumu.</w:t>
            </w:r>
          </w:p>
        </w:tc>
        <w:tc>
          <w:tcPr>
            <w:tcW w:w="3798" w:type="dxa"/>
            <w:shd w:val="clear" w:color="auto" w:fill="auto"/>
          </w:tcPr>
          <w:p w:rsidR="00ED545F" w:rsidRPr="00845F93" w:rsidRDefault="00ED545F" w:rsidP="00F94FBC">
            <w:pPr>
              <w:shd w:val="clear" w:color="auto" w:fill="FFFFFF"/>
              <w:ind w:firstLine="709"/>
              <w:contextualSpacing/>
              <w:rPr>
                <w:sz w:val="22"/>
              </w:rPr>
            </w:pPr>
          </w:p>
        </w:tc>
        <w:tc>
          <w:tcPr>
            <w:tcW w:w="465" w:type="dxa"/>
          </w:tcPr>
          <w:p w:rsidR="00ED545F" w:rsidRPr="00845F93" w:rsidRDefault="0086654F" w:rsidP="0086654F">
            <w:pPr>
              <w:shd w:val="clear" w:color="auto" w:fill="FFFFFF"/>
              <w:contextualSpacing/>
              <w:jc w:val="center"/>
              <w:rPr>
                <w:b/>
                <w:sz w:val="22"/>
              </w:rPr>
            </w:pPr>
            <w:r w:rsidRPr="00845F93">
              <w:rPr>
                <w:b/>
                <w:sz w:val="22"/>
              </w:rPr>
              <w:t>5</w:t>
            </w:r>
          </w:p>
        </w:tc>
        <w:tc>
          <w:tcPr>
            <w:tcW w:w="3798" w:type="dxa"/>
          </w:tcPr>
          <w:p w:rsidR="00ED545F" w:rsidRPr="00845F93" w:rsidRDefault="00ED545F" w:rsidP="00ED545F">
            <w:pPr>
              <w:ind w:firstLine="567"/>
              <w:jc w:val="both"/>
              <w:rPr>
                <w:b/>
                <w:sz w:val="22"/>
                <w:u w:val="single"/>
              </w:rPr>
            </w:pPr>
            <w:r w:rsidRPr="00845F93">
              <w:rPr>
                <w:b/>
                <w:sz w:val="22"/>
                <w:u w:val="single"/>
              </w:rPr>
              <w:t>Zaļo un Zemnieku savienības frakcija</w:t>
            </w:r>
          </w:p>
          <w:p w:rsidR="00ED545F" w:rsidRPr="00845F93" w:rsidRDefault="00ED545F" w:rsidP="00ED545F">
            <w:pPr>
              <w:tabs>
                <w:tab w:val="left" w:pos="6740"/>
              </w:tabs>
              <w:ind w:firstLine="567"/>
              <w:jc w:val="both"/>
              <w:rPr>
                <w:sz w:val="22"/>
              </w:rPr>
            </w:pPr>
            <w:r w:rsidRPr="00845F93">
              <w:rPr>
                <w:sz w:val="22"/>
              </w:rPr>
              <w:t xml:space="preserve">Izveidot jaunu likuma </w:t>
            </w:r>
            <w:proofErr w:type="gramStart"/>
            <w:r w:rsidRPr="00845F93">
              <w:rPr>
                <w:sz w:val="22"/>
              </w:rPr>
              <w:t>14.panta</w:t>
            </w:r>
            <w:proofErr w:type="gramEnd"/>
            <w:r w:rsidRPr="00845F93">
              <w:rPr>
                <w:sz w:val="22"/>
              </w:rPr>
              <w:t xml:space="preserve"> 23.daļu šādā redakcijā:</w:t>
            </w:r>
          </w:p>
          <w:p w:rsidR="00ED545F" w:rsidRPr="00845F93" w:rsidRDefault="00ED545F" w:rsidP="00ED545F">
            <w:pPr>
              <w:tabs>
                <w:tab w:val="left" w:pos="6740"/>
              </w:tabs>
              <w:ind w:firstLine="567"/>
              <w:jc w:val="both"/>
              <w:rPr>
                <w:sz w:val="22"/>
              </w:rPr>
            </w:pPr>
            <w:r w:rsidRPr="00845F93">
              <w:rPr>
                <w:sz w:val="22"/>
              </w:rPr>
              <w:t xml:space="preserve">“(23) Nestrādājošu vecāku pabalsta saņēmējiem valsts iemaksas pensiju, invaliditātes un bezdarba apdrošināšanai objekts ir </w:t>
            </w:r>
            <w:proofErr w:type="gramStart"/>
            <w:r w:rsidRPr="00845F93">
              <w:rPr>
                <w:sz w:val="22"/>
              </w:rPr>
              <w:t xml:space="preserve">vienāds ar vecāku pabalsta apmēra un bērna </w:t>
            </w:r>
            <w:r w:rsidRPr="00845F93">
              <w:rPr>
                <w:sz w:val="22"/>
              </w:rPr>
              <w:lastRenderedPageBreak/>
              <w:t>kopšanas pabalsta apmēra kopsummas</w:t>
            </w:r>
            <w:proofErr w:type="gramEnd"/>
            <w:r w:rsidRPr="00845F93">
              <w:rPr>
                <w:sz w:val="22"/>
              </w:rPr>
              <w:t>. Tās tiek veiktas no speciālā budžeta.”</w:t>
            </w:r>
            <w:r w:rsidRPr="00845F93">
              <w:rPr>
                <w:rStyle w:val="FootnoteReference"/>
                <w:sz w:val="22"/>
              </w:rPr>
              <w:footnoteReference w:id="2"/>
            </w:r>
          </w:p>
        </w:tc>
        <w:tc>
          <w:tcPr>
            <w:tcW w:w="1417" w:type="dxa"/>
          </w:tcPr>
          <w:p w:rsidR="00ED545F" w:rsidRPr="00845F93" w:rsidRDefault="00ED545F" w:rsidP="00F94FBC">
            <w:pPr>
              <w:shd w:val="clear" w:color="auto" w:fill="FFFFFF"/>
              <w:ind w:firstLine="709"/>
              <w:contextualSpacing/>
              <w:rPr>
                <w:sz w:val="22"/>
              </w:rPr>
            </w:pPr>
          </w:p>
        </w:tc>
        <w:tc>
          <w:tcPr>
            <w:tcW w:w="1417" w:type="dxa"/>
          </w:tcPr>
          <w:p w:rsidR="00ED545F" w:rsidRPr="00845F93" w:rsidRDefault="00ED545F" w:rsidP="00F94FBC">
            <w:pPr>
              <w:shd w:val="clear" w:color="auto" w:fill="FFFFFF"/>
              <w:ind w:firstLine="709"/>
              <w:contextualSpacing/>
              <w:rPr>
                <w:sz w:val="22"/>
              </w:rPr>
            </w:pPr>
          </w:p>
        </w:tc>
      </w:tr>
      <w:tr w:rsidR="00845F93" w:rsidRPr="00845F93" w:rsidTr="00C77703">
        <w:tc>
          <w:tcPr>
            <w:tcW w:w="3798" w:type="dxa"/>
            <w:shd w:val="clear" w:color="auto" w:fill="auto"/>
          </w:tcPr>
          <w:p w:rsidR="0086654F" w:rsidRPr="00845F93" w:rsidRDefault="0086654F" w:rsidP="0086654F">
            <w:pPr>
              <w:pStyle w:val="tv213"/>
              <w:spacing w:before="0" w:beforeAutospacing="0" w:after="0" w:afterAutospacing="0"/>
              <w:ind w:firstLine="567"/>
              <w:jc w:val="both"/>
              <w:rPr>
                <w:sz w:val="22"/>
                <w:szCs w:val="22"/>
              </w:rPr>
            </w:pPr>
            <w:proofErr w:type="gramStart"/>
            <w:r w:rsidRPr="00845F93">
              <w:rPr>
                <w:b/>
                <w:bCs/>
                <w:sz w:val="22"/>
                <w:szCs w:val="22"/>
              </w:rPr>
              <w:t>18.pants</w:t>
            </w:r>
            <w:proofErr w:type="gramEnd"/>
            <w:r w:rsidRPr="00845F93">
              <w:rPr>
                <w:b/>
                <w:bCs/>
                <w:sz w:val="22"/>
                <w:szCs w:val="22"/>
              </w:rPr>
              <w:t xml:space="preserve">. Obligāto un brīvprātīgo iemaksu likme </w:t>
            </w:r>
          </w:p>
          <w:p w:rsidR="0086654F" w:rsidRPr="00845F93" w:rsidRDefault="0086654F" w:rsidP="0086654F">
            <w:pPr>
              <w:pStyle w:val="tv213"/>
              <w:spacing w:before="0" w:beforeAutospacing="0" w:after="0" w:afterAutospacing="0"/>
              <w:ind w:firstLine="567"/>
              <w:jc w:val="both"/>
              <w:rPr>
                <w:sz w:val="22"/>
                <w:szCs w:val="22"/>
              </w:rPr>
            </w:pPr>
            <w:r w:rsidRPr="00845F93">
              <w:rPr>
                <w:sz w:val="22"/>
                <w:szCs w:val="22"/>
              </w:rPr>
              <w:t>(1) Obligāto iemaksu likme, ja darba ņēmējs tiek apdrošināts visiem sociālās apdrošināšanas veidiem, ir 35,09 procenti, no kuriem 24,09 procentus maksā darba devējs un 11 procentus — darba ņēmējs.</w:t>
            </w:r>
          </w:p>
          <w:p w:rsidR="006A18A9" w:rsidRPr="00845F93" w:rsidRDefault="006A18A9" w:rsidP="00F94FBC">
            <w:pPr>
              <w:pStyle w:val="labojumupamats"/>
              <w:spacing w:before="0" w:beforeAutospacing="0" w:after="0" w:afterAutospacing="0"/>
              <w:ind w:firstLine="567"/>
              <w:jc w:val="both"/>
              <w:rPr>
                <w:i/>
                <w:sz w:val="22"/>
                <w:szCs w:val="22"/>
              </w:rPr>
            </w:pPr>
          </w:p>
        </w:tc>
        <w:tc>
          <w:tcPr>
            <w:tcW w:w="3798" w:type="dxa"/>
            <w:shd w:val="clear" w:color="auto" w:fill="auto"/>
          </w:tcPr>
          <w:p w:rsidR="006A18A9" w:rsidRPr="00845F93" w:rsidRDefault="006A18A9" w:rsidP="00F94FBC">
            <w:pPr>
              <w:shd w:val="clear" w:color="auto" w:fill="FFFFFF"/>
              <w:ind w:firstLine="709"/>
              <w:contextualSpacing/>
              <w:rPr>
                <w:sz w:val="22"/>
              </w:rPr>
            </w:pPr>
          </w:p>
        </w:tc>
        <w:tc>
          <w:tcPr>
            <w:tcW w:w="465" w:type="dxa"/>
          </w:tcPr>
          <w:p w:rsidR="006A18A9" w:rsidRPr="00845F93" w:rsidRDefault="0086654F" w:rsidP="0086654F">
            <w:pPr>
              <w:shd w:val="clear" w:color="auto" w:fill="FFFFFF"/>
              <w:contextualSpacing/>
              <w:jc w:val="center"/>
              <w:rPr>
                <w:b/>
                <w:sz w:val="22"/>
              </w:rPr>
            </w:pPr>
            <w:r w:rsidRPr="00845F93">
              <w:rPr>
                <w:b/>
                <w:sz w:val="22"/>
              </w:rPr>
              <w:t>6</w:t>
            </w:r>
          </w:p>
        </w:tc>
        <w:tc>
          <w:tcPr>
            <w:tcW w:w="3798" w:type="dxa"/>
          </w:tcPr>
          <w:p w:rsidR="006A18A9" w:rsidRPr="00845F93" w:rsidRDefault="006A18A9" w:rsidP="006A18A9">
            <w:pPr>
              <w:ind w:firstLine="567"/>
              <w:jc w:val="both"/>
              <w:rPr>
                <w:b/>
                <w:sz w:val="22"/>
                <w:u w:val="single"/>
              </w:rPr>
            </w:pPr>
            <w:r w:rsidRPr="00845F93">
              <w:rPr>
                <w:b/>
                <w:sz w:val="22"/>
                <w:u w:val="single"/>
              </w:rPr>
              <w:t xml:space="preserve">Deputātes </w:t>
            </w:r>
            <w:proofErr w:type="spellStart"/>
            <w:r w:rsidRPr="00845F93">
              <w:rPr>
                <w:b/>
                <w:sz w:val="22"/>
                <w:u w:val="single"/>
              </w:rPr>
              <w:t>Ļ.Švecova</w:t>
            </w:r>
            <w:proofErr w:type="spellEnd"/>
            <w:r w:rsidRPr="00845F93">
              <w:rPr>
                <w:b/>
                <w:sz w:val="22"/>
                <w:u w:val="single"/>
              </w:rPr>
              <w:t>, R.Ločmele-Luņova</w:t>
            </w:r>
          </w:p>
          <w:p w:rsidR="006A18A9" w:rsidRPr="00845F93" w:rsidRDefault="006A18A9" w:rsidP="006A18A9">
            <w:pPr>
              <w:ind w:firstLine="567"/>
              <w:jc w:val="both"/>
              <w:rPr>
                <w:sz w:val="22"/>
              </w:rPr>
            </w:pPr>
            <w:r w:rsidRPr="00845F93">
              <w:rPr>
                <w:sz w:val="22"/>
              </w:rPr>
              <w:t>Papildināt likumprojektu ar jaunu pantu šādā redakcijā:</w:t>
            </w:r>
          </w:p>
          <w:p w:rsidR="006A18A9" w:rsidRPr="00845F93" w:rsidRDefault="006A18A9" w:rsidP="006A18A9">
            <w:pPr>
              <w:ind w:firstLine="567"/>
              <w:jc w:val="both"/>
              <w:rPr>
                <w:sz w:val="22"/>
              </w:rPr>
            </w:pPr>
            <w:r w:rsidRPr="00845F93">
              <w:rPr>
                <w:sz w:val="22"/>
              </w:rPr>
              <w:t>“Izteikt</w:t>
            </w:r>
            <w:proofErr w:type="gramStart"/>
            <w:r w:rsidRPr="00845F93">
              <w:rPr>
                <w:sz w:val="22"/>
              </w:rPr>
              <w:t xml:space="preserve">  </w:t>
            </w:r>
            <w:proofErr w:type="gramEnd"/>
            <w:r w:rsidRPr="00845F93">
              <w:rPr>
                <w:sz w:val="22"/>
              </w:rPr>
              <w:t>likuma 18. panta pirmo daļu šādā redakcijā:</w:t>
            </w:r>
          </w:p>
          <w:p w:rsidR="006A18A9" w:rsidRPr="00845F93" w:rsidRDefault="006A18A9" w:rsidP="006A18A9">
            <w:pPr>
              <w:ind w:firstLine="567"/>
              <w:jc w:val="both"/>
              <w:rPr>
                <w:sz w:val="22"/>
              </w:rPr>
            </w:pPr>
            <w:r w:rsidRPr="00845F93">
              <w:rPr>
                <w:sz w:val="22"/>
              </w:rPr>
              <w:t>“(1) Obligāto iemaksu likme, ja darba ņēmējs tiek apdrošināts visiem sociālās apdrošināšanas veidiem, ir 34,95 procenti, no kuriem 24,09 procentus maksā darba devējs un 10,86 procentus – darba ņēmējs.””</w:t>
            </w:r>
          </w:p>
          <w:p w:rsidR="0086654F" w:rsidRPr="00845F93" w:rsidRDefault="0086654F" w:rsidP="006A18A9">
            <w:pPr>
              <w:ind w:firstLine="567"/>
              <w:jc w:val="both"/>
              <w:rPr>
                <w:sz w:val="22"/>
              </w:rPr>
            </w:pPr>
          </w:p>
          <w:p w:rsidR="0086654F" w:rsidRPr="00845F93" w:rsidRDefault="0086654F" w:rsidP="006A18A9">
            <w:pPr>
              <w:ind w:firstLine="567"/>
              <w:jc w:val="both"/>
              <w:rPr>
                <w:sz w:val="22"/>
              </w:rPr>
            </w:pPr>
          </w:p>
        </w:tc>
        <w:tc>
          <w:tcPr>
            <w:tcW w:w="1417" w:type="dxa"/>
          </w:tcPr>
          <w:p w:rsidR="006A18A9" w:rsidRPr="00845F93" w:rsidRDefault="006A18A9" w:rsidP="00F94FBC">
            <w:pPr>
              <w:shd w:val="clear" w:color="auto" w:fill="FFFFFF"/>
              <w:ind w:firstLine="709"/>
              <w:contextualSpacing/>
              <w:rPr>
                <w:sz w:val="22"/>
              </w:rPr>
            </w:pPr>
          </w:p>
        </w:tc>
        <w:tc>
          <w:tcPr>
            <w:tcW w:w="1417" w:type="dxa"/>
          </w:tcPr>
          <w:p w:rsidR="006A18A9" w:rsidRPr="00845F93" w:rsidRDefault="006A18A9" w:rsidP="00F94FBC">
            <w:pPr>
              <w:shd w:val="clear" w:color="auto" w:fill="FFFFFF"/>
              <w:ind w:firstLine="709"/>
              <w:contextualSpacing/>
              <w:rPr>
                <w:sz w:val="22"/>
              </w:rPr>
            </w:pPr>
          </w:p>
        </w:tc>
      </w:tr>
      <w:tr w:rsidR="00845F93" w:rsidRPr="00845F93" w:rsidTr="00C77703">
        <w:tc>
          <w:tcPr>
            <w:tcW w:w="3798" w:type="dxa"/>
            <w:shd w:val="clear" w:color="auto" w:fill="auto"/>
          </w:tcPr>
          <w:p w:rsidR="006A18A9" w:rsidRPr="00845F93" w:rsidRDefault="0086654F" w:rsidP="00F94FBC">
            <w:pPr>
              <w:pStyle w:val="labojumupamats"/>
              <w:spacing w:before="0" w:beforeAutospacing="0" w:after="0" w:afterAutospacing="0"/>
              <w:ind w:firstLine="567"/>
              <w:jc w:val="both"/>
              <w:rPr>
                <w:b/>
                <w:sz w:val="22"/>
                <w:szCs w:val="22"/>
              </w:rPr>
            </w:pPr>
            <w:r w:rsidRPr="00845F93">
              <w:rPr>
                <w:b/>
                <w:sz w:val="22"/>
                <w:szCs w:val="22"/>
              </w:rPr>
              <w:lastRenderedPageBreak/>
              <w:t>Pārejas noteikumi</w:t>
            </w:r>
          </w:p>
        </w:tc>
        <w:tc>
          <w:tcPr>
            <w:tcW w:w="3798" w:type="dxa"/>
            <w:shd w:val="clear" w:color="auto" w:fill="auto"/>
          </w:tcPr>
          <w:p w:rsidR="006A18A9" w:rsidRPr="00845F93" w:rsidRDefault="006A18A9" w:rsidP="00F94FBC">
            <w:pPr>
              <w:shd w:val="clear" w:color="auto" w:fill="FFFFFF"/>
              <w:ind w:firstLine="709"/>
              <w:contextualSpacing/>
              <w:rPr>
                <w:sz w:val="22"/>
              </w:rPr>
            </w:pPr>
            <w:bookmarkStart w:id="0" w:name="_GoBack"/>
            <w:bookmarkEnd w:id="0"/>
          </w:p>
        </w:tc>
        <w:tc>
          <w:tcPr>
            <w:tcW w:w="465" w:type="dxa"/>
          </w:tcPr>
          <w:p w:rsidR="006A18A9" w:rsidRPr="00845F93" w:rsidRDefault="0086654F" w:rsidP="0086654F">
            <w:pPr>
              <w:shd w:val="clear" w:color="auto" w:fill="FFFFFF"/>
              <w:contextualSpacing/>
              <w:jc w:val="center"/>
              <w:rPr>
                <w:b/>
                <w:sz w:val="22"/>
              </w:rPr>
            </w:pPr>
            <w:r w:rsidRPr="00845F93">
              <w:rPr>
                <w:b/>
                <w:sz w:val="22"/>
              </w:rPr>
              <w:t>7</w:t>
            </w:r>
          </w:p>
        </w:tc>
        <w:tc>
          <w:tcPr>
            <w:tcW w:w="3798" w:type="dxa"/>
          </w:tcPr>
          <w:p w:rsidR="006A18A9" w:rsidRPr="00845F93" w:rsidRDefault="006A18A9" w:rsidP="006A18A9">
            <w:pPr>
              <w:ind w:firstLine="567"/>
              <w:jc w:val="both"/>
              <w:rPr>
                <w:b/>
                <w:sz w:val="22"/>
                <w:u w:val="single"/>
              </w:rPr>
            </w:pPr>
            <w:r w:rsidRPr="00845F93">
              <w:rPr>
                <w:b/>
                <w:sz w:val="22"/>
                <w:u w:val="single"/>
              </w:rPr>
              <w:t xml:space="preserve">Deputātes </w:t>
            </w:r>
            <w:proofErr w:type="spellStart"/>
            <w:r w:rsidRPr="00845F93">
              <w:rPr>
                <w:b/>
                <w:sz w:val="22"/>
                <w:u w:val="single"/>
              </w:rPr>
              <w:t>Ļ.Švecova</w:t>
            </w:r>
            <w:proofErr w:type="spellEnd"/>
            <w:r w:rsidRPr="00845F93">
              <w:rPr>
                <w:b/>
                <w:sz w:val="22"/>
                <w:u w:val="single"/>
              </w:rPr>
              <w:t>, R.Ločmele-Luņova</w:t>
            </w:r>
          </w:p>
          <w:p w:rsidR="006A18A9" w:rsidRPr="00845F93" w:rsidRDefault="006A18A9" w:rsidP="006A18A9">
            <w:pPr>
              <w:ind w:firstLine="567"/>
              <w:jc w:val="both"/>
              <w:rPr>
                <w:sz w:val="22"/>
              </w:rPr>
            </w:pPr>
            <w:r w:rsidRPr="00845F93">
              <w:rPr>
                <w:sz w:val="22"/>
              </w:rPr>
              <w:t>Papildināt likumprojektu ar jaunu pantu šādā redakcijā:</w:t>
            </w:r>
          </w:p>
          <w:p w:rsidR="006A18A9" w:rsidRPr="00845F93" w:rsidRDefault="006A18A9" w:rsidP="006A18A9">
            <w:pPr>
              <w:ind w:firstLine="567"/>
              <w:jc w:val="both"/>
              <w:rPr>
                <w:sz w:val="22"/>
              </w:rPr>
            </w:pPr>
            <w:r w:rsidRPr="00845F93">
              <w:rPr>
                <w:sz w:val="22"/>
              </w:rPr>
              <w:t>“Papildināt pārejas noteikumus ar 72. un 73.punktu šādā redakcijā:</w:t>
            </w:r>
          </w:p>
          <w:p w:rsidR="006A18A9" w:rsidRPr="00845F93" w:rsidRDefault="006A18A9" w:rsidP="006A18A9">
            <w:pPr>
              <w:ind w:firstLine="567"/>
              <w:jc w:val="both"/>
              <w:rPr>
                <w:sz w:val="22"/>
              </w:rPr>
            </w:pPr>
            <w:r w:rsidRPr="00845F93">
              <w:rPr>
                <w:sz w:val="22"/>
              </w:rPr>
              <w:t>“72. Ministru kabinets līdz 2019. gada 20. decembrim precizē valsts sociālās apdrošināšanas iemaksu likmes sadalījumu pa valsts sociālās apdrošināšanas veidiem, nosakot, ka sociālajai apdrošināšanai bezdarba gadījumam paredzēti 1,7 procenti.</w:t>
            </w:r>
          </w:p>
          <w:p w:rsidR="006A18A9" w:rsidRPr="00845F93" w:rsidRDefault="006A18A9" w:rsidP="006A18A9">
            <w:pPr>
              <w:ind w:firstLine="567"/>
              <w:jc w:val="both"/>
              <w:rPr>
                <w:sz w:val="22"/>
              </w:rPr>
            </w:pPr>
            <w:r w:rsidRPr="00845F93">
              <w:rPr>
                <w:sz w:val="22"/>
              </w:rPr>
              <w:t>73. Šā likuma 18. panta pirmās daļas jaunā redakcija par obligātās iemaksu likmes noteikšanu, ja darba ņēmējs tiek apdrošināts visiem sociālās apdrošināšanas veidiem, 34,95 procentu apmērā, no kuriem 24,09 procentus maksā darba devējs un 10,86 procentus — darba ņēmējs, stājas spēkā</w:t>
            </w:r>
            <w:proofErr w:type="gramStart"/>
            <w:r w:rsidRPr="00845F93">
              <w:rPr>
                <w:sz w:val="22"/>
              </w:rPr>
              <w:t xml:space="preserve">  </w:t>
            </w:r>
            <w:proofErr w:type="gramEnd"/>
            <w:r w:rsidRPr="00845F93">
              <w:rPr>
                <w:sz w:val="22"/>
              </w:rPr>
              <w:t>2020. gada 1. janvārī.””</w:t>
            </w:r>
          </w:p>
        </w:tc>
        <w:tc>
          <w:tcPr>
            <w:tcW w:w="1417" w:type="dxa"/>
          </w:tcPr>
          <w:p w:rsidR="006A18A9" w:rsidRPr="00845F93" w:rsidRDefault="006A18A9" w:rsidP="00F94FBC">
            <w:pPr>
              <w:shd w:val="clear" w:color="auto" w:fill="FFFFFF"/>
              <w:ind w:firstLine="709"/>
              <w:contextualSpacing/>
              <w:rPr>
                <w:sz w:val="22"/>
              </w:rPr>
            </w:pPr>
          </w:p>
        </w:tc>
        <w:tc>
          <w:tcPr>
            <w:tcW w:w="1417" w:type="dxa"/>
          </w:tcPr>
          <w:p w:rsidR="006A18A9" w:rsidRPr="00845F93" w:rsidRDefault="006A18A9" w:rsidP="00F94FBC">
            <w:pPr>
              <w:shd w:val="clear" w:color="auto" w:fill="FFFFFF"/>
              <w:ind w:firstLine="709"/>
              <w:contextualSpacing/>
              <w:rPr>
                <w:sz w:val="22"/>
              </w:rPr>
            </w:pPr>
          </w:p>
        </w:tc>
      </w:tr>
      <w:tr w:rsidR="00C77703" w:rsidRPr="00845F93" w:rsidTr="00C77703">
        <w:tc>
          <w:tcPr>
            <w:tcW w:w="3798" w:type="dxa"/>
            <w:shd w:val="clear" w:color="auto" w:fill="auto"/>
          </w:tcPr>
          <w:p w:rsidR="00C77703" w:rsidRPr="00845F93" w:rsidRDefault="00C77703" w:rsidP="00F94FBC">
            <w:pPr>
              <w:pStyle w:val="labojumupamats"/>
              <w:spacing w:before="0" w:beforeAutospacing="0" w:after="0" w:afterAutospacing="0"/>
              <w:ind w:firstLine="567"/>
              <w:jc w:val="both"/>
              <w:rPr>
                <w:i/>
                <w:sz w:val="22"/>
                <w:szCs w:val="22"/>
              </w:rPr>
            </w:pPr>
          </w:p>
        </w:tc>
        <w:tc>
          <w:tcPr>
            <w:tcW w:w="3798" w:type="dxa"/>
            <w:shd w:val="clear" w:color="auto" w:fill="auto"/>
          </w:tcPr>
          <w:p w:rsidR="00C77703" w:rsidRPr="00845F93" w:rsidRDefault="00C77703" w:rsidP="00F94FBC">
            <w:pPr>
              <w:shd w:val="clear" w:color="auto" w:fill="FFFFFF"/>
              <w:ind w:firstLine="709"/>
              <w:contextualSpacing/>
              <w:rPr>
                <w:sz w:val="22"/>
              </w:rPr>
            </w:pPr>
            <w:r w:rsidRPr="00845F93">
              <w:rPr>
                <w:sz w:val="22"/>
              </w:rPr>
              <w:t xml:space="preserve">Likums stājas spēkā 2020. gada 1. janvārī. </w:t>
            </w:r>
          </w:p>
        </w:tc>
        <w:tc>
          <w:tcPr>
            <w:tcW w:w="465" w:type="dxa"/>
          </w:tcPr>
          <w:p w:rsidR="00C77703" w:rsidRPr="00845F93" w:rsidRDefault="00C77703" w:rsidP="0086654F">
            <w:pPr>
              <w:shd w:val="clear" w:color="auto" w:fill="FFFFFF"/>
              <w:contextualSpacing/>
              <w:jc w:val="center"/>
              <w:rPr>
                <w:sz w:val="22"/>
              </w:rPr>
            </w:pPr>
          </w:p>
        </w:tc>
        <w:tc>
          <w:tcPr>
            <w:tcW w:w="3798" w:type="dxa"/>
          </w:tcPr>
          <w:p w:rsidR="00C77703" w:rsidRPr="00845F93" w:rsidRDefault="00C77703" w:rsidP="00F94FBC">
            <w:pPr>
              <w:shd w:val="clear" w:color="auto" w:fill="FFFFFF"/>
              <w:ind w:firstLine="709"/>
              <w:contextualSpacing/>
              <w:rPr>
                <w:sz w:val="22"/>
              </w:rPr>
            </w:pPr>
          </w:p>
        </w:tc>
        <w:tc>
          <w:tcPr>
            <w:tcW w:w="1417" w:type="dxa"/>
          </w:tcPr>
          <w:p w:rsidR="00C77703" w:rsidRPr="00845F93" w:rsidRDefault="00C77703" w:rsidP="00F94FBC">
            <w:pPr>
              <w:shd w:val="clear" w:color="auto" w:fill="FFFFFF"/>
              <w:ind w:firstLine="709"/>
              <w:contextualSpacing/>
              <w:rPr>
                <w:sz w:val="22"/>
              </w:rPr>
            </w:pPr>
          </w:p>
        </w:tc>
        <w:tc>
          <w:tcPr>
            <w:tcW w:w="1417" w:type="dxa"/>
          </w:tcPr>
          <w:p w:rsidR="00C77703" w:rsidRPr="00845F93" w:rsidRDefault="00C77703" w:rsidP="00F94FBC">
            <w:pPr>
              <w:shd w:val="clear" w:color="auto" w:fill="FFFFFF"/>
              <w:ind w:firstLine="709"/>
              <w:contextualSpacing/>
              <w:rPr>
                <w:sz w:val="22"/>
              </w:rPr>
            </w:pPr>
          </w:p>
        </w:tc>
      </w:tr>
    </w:tbl>
    <w:p w:rsidR="00C77703" w:rsidRPr="00845F93" w:rsidRDefault="00C77703" w:rsidP="00C77703"/>
    <w:p w:rsidR="00C77703" w:rsidRPr="00845F93" w:rsidRDefault="00C77703" w:rsidP="00C77703"/>
    <w:p w:rsidR="005D4711" w:rsidRPr="00845F93" w:rsidRDefault="005D4711"/>
    <w:sectPr w:rsidR="005D4711" w:rsidRPr="00845F93" w:rsidSect="00B64F81">
      <w:footerReference w:type="even" r:id="rId8"/>
      <w:footerReference w:type="default" r:id="rId9"/>
      <w:pgSz w:w="16838" w:h="11906" w:orient="landscape"/>
      <w:pgMar w:top="993"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12" w:rsidRDefault="0086654F">
      <w:r>
        <w:separator/>
      </w:r>
    </w:p>
  </w:endnote>
  <w:endnote w:type="continuationSeparator" w:id="0">
    <w:p w:rsidR="00D72212" w:rsidRDefault="0086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7770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845F93"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C77703"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5F93">
      <w:rPr>
        <w:rStyle w:val="PageNumber"/>
        <w:noProof/>
      </w:rPr>
      <w:t>3</w:t>
    </w:r>
    <w:r>
      <w:rPr>
        <w:rStyle w:val="PageNumber"/>
      </w:rPr>
      <w:fldChar w:fldCharType="end"/>
    </w:r>
  </w:p>
  <w:p w:rsidR="00511D34" w:rsidRDefault="00845F93"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12" w:rsidRDefault="0086654F">
      <w:r>
        <w:separator/>
      </w:r>
    </w:p>
  </w:footnote>
  <w:footnote w:type="continuationSeparator" w:id="0">
    <w:p w:rsidR="00D72212" w:rsidRDefault="0086654F">
      <w:r>
        <w:continuationSeparator/>
      </w:r>
    </w:p>
  </w:footnote>
  <w:footnote w:id="1">
    <w:p w:rsidR="006A18A9" w:rsidRPr="006A18A9" w:rsidRDefault="00ED545F" w:rsidP="006A18A9">
      <w:pPr>
        <w:tabs>
          <w:tab w:val="left" w:pos="6740"/>
        </w:tabs>
        <w:jc w:val="both"/>
        <w:rPr>
          <w:b/>
          <w:sz w:val="20"/>
          <w:szCs w:val="20"/>
          <w:u w:val="single"/>
        </w:rPr>
      </w:pPr>
      <w:r w:rsidRPr="006A18A9">
        <w:rPr>
          <w:rStyle w:val="FootnoteReference"/>
          <w:sz w:val="20"/>
          <w:szCs w:val="20"/>
        </w:rPr>
        <w:footnoteRef/>
      </w:r>
      <w:r w:rsidRPr="006A18A9">
        <w:rPr>
          <w:sz w:val="20"/>
          <w:szCs w:val="20"/>
        </w:rPr>
        <w:t xml:space="preserve"> </w:t>
      </w:r>
      <w:r w:rsidR="006A18A9" w:rsidRPr="006A18A9">
        <w:rPr>
          <w:b/>
          <w:sz w:val="20"/>
          <w:szCs w:val="20"/>
          <w:u w:val="single"/>
        </w:rPr>
        <w:t>Pamatojums:</w:t>
      </w:r>
    </w:p>
    <w:p w:rsidR="006A18A9" w:rsidRPr="006A18A9" w:rsidRDefault="006A18A9" w:rsidP="006A18A9">
      <w:pPr>
        <w:tabs>
          <w:tab w:val="left" w:pos="6740"/>
        </w:tabs>
        <w:jc w:val="both"/>
        <w:rPr>
          <w:sz w:val="20"/>
          <w:szCs w:val="20"/>
        </w:rPr>
      </w:pPr>
      <w:r w:rsidRPr="006A18A9">
        <w:rPr>
          <w:sz w:val="20"/>
          <w:szCs w:val="20"/>
          <w:shd w:val="clear" w:color="auto" w:fill="FFFFFF"/>
        </w:rPr>
        <w:t>Likumprojekts paredz atsaistīt profesionālo sportistu obligāto iemaksu objektu no Ministru kabineta noteiktās minimālās mēneša darba algas (šobrīd tas ir divu minimālo mēnešalgu apmērā), nofiksējot to 860 EUR apmērā. Tā kā vidēja termiņa budžeta 2020.-</w:t>
      </w:r>
      <w:proofErr w:type="gramStart"/>
      <w:r w:rsidRPr="006A18A9">
        <w:rPr>
          <w:sz w:val="20"/>
          <w:szCs w:val="20"/>
          <w:shd w:val="clear" w:color="auto" w:fill="FFFFFF"/>
        </w:rPr>
        <w:t>2020.gadam</w:t>
      </w:r>
      <w:proofErr w:type="gramEnd"/>
      <w:r w:rsidRPr="006A18A9">
        <w:rPr>
          <w:sz w:val="20"/>
          <w:szCs w:val="20"/>
          <w:shd w:val="clear" w:color="auto" w:fill="FFFFFF"/>
        </w:rPr>
        <w:t xml:space="preserve"> projekts paredz minimālās mēnešalgas palielinājumu 2021.gadā no līdzšinējā 430 EUR līdz 500 EUR, sportistu sociālais nodrošinājums pēc būtības tiek pasliktināts.</w:t>
      </w:r>
    </w:p>
    <w:p w:rsidR="00ED545F" w:rsidRPr="006A18A9" w:rsidRDefault="00ED545F">
      <w:pPr>
        <w:pStyle w:val="FootnoteText"/>
      </w:pPr>
    </w:p>
  </w:footnote>
  <w:footnote w:id="2">
    <w:p w:rsidR="00ED545F" w:rsidRPr="006A18A9" w:rsidRDefault="00ED545F" w:rsidP="00ED545F">
      <w:pPr>
        <w:tabs>
          <w:tab w:val="left" w:pos="6740"/>
        </w:tabs>
        <w:ind w:firstLine="567"/>
        <w:jc w:val="both"/>
        <w:rPr>
          <w:b/>
          <w:sz w:val="20"/>
          <w:szCs w:val="20"/>
          <w:u w:val="single"/>
        </w:rPr>
      </w:pPr>
      <w:r w:rsidRPr="006A18A9">
        <w:rPr>
          <w:rStyle w:val="FootnoteReference"/>
          <w:sz w:val="20"/>
          <w:szCs w:val="20"/>
        </w:rPr>
        <w:footnoteRef/>
      </w:r>
      <w:r w:rsidRPr="006A18A9">
        <w:rPr>
          <w:sz w:val="20"/>
          <w:szCs w:val="20"/>
        </w:rPr>
        <w:t xml:space="preserve"> </w:t>
      </w:r>
      <w:r w:rsidRPr="006A18A9">
        <w:rPr>
          <w:b/>
          <w:sz w:val="20"/>
          <w:szCs w:val="20"/>
          <w:u w:val="single"/>
        </w:rPr>
        <w:t xml:space="preserve">Pamatojums: </w:t>
      </w:r>
    </w:p>
    <w:p w:rsidR="00ED545F" w:rsidRPr="006A18A9" w:rsidRDefault="00ED545F" w:rsidP="00ED545F">
      <w:pPr>
        <w:pStyle w:val="tv213"/>
        <w:shd w:val="clear" w:color="auto" w:fill="FFFFFF"/>
        <w:spacing w:before="0" w:beforeAutospacing="0" w:after="0" w:afterAutospacing="0" w:line="293" w:lineRule="atLeast"/>
        <w:ind w:firstLine="720"/>
        <w:jc w:val="both"/>
        <w:rPr>
          <w:sz w:val="20"/>
          <w:szCs w:val="20"/>
        </w:rPr>
      </w:pPr>
      <w:r w:rsidRPr="006A18A9">
        <w:rPr>
          <w:sz w:val="20"/>
          <w:szCs w:val="20"/>
        </w:rPr>
        <w:t>LV prezidentūras laikā attiecībā uz pensiju tiesībām tika pieņemti secinājumi, ka ir nepieciešama sociālās aizsardzības pasākumu veicināšana, lai mazinātu ar aprūpi saistīto karjeras pārtraukumu, nepilna darba laika darba un mazu ienākumu pieaugumu negatīvo ietekmi uz personas pensiju tiesībām.</w:t>
      </w:r>
    </w:p>
    <w:p w:rsidR="00ED545F" w:rsidRPr="006A18A9" w:rsidRDefault="00ED545F" w:rsidP="00ED545F">
      <w:pPr>
        <w:pStyle w:val="tv213"/>
        <w:shd w:val="clear" w:color="auto" w:fill="FFFFFF"/>
        <w:spacing w:before="0" w:beforeAutospacing="0" w:after="0" w:afterAutospacing="0" w:line="293" w:lineRule="atLeast"/>
        <w:ind w:firstLine="720"/>
        <w:jc w:val="both"/>
        <w:rPr>
          <w:sz w:val="20"/>
          <w:szCs w:val="20"/>
        </w:rPr>
      </w:pPr>
      <w:r w:rsidRPr="006A18A9">
        <w:rPr>
          <w:sz w:val="20"/>
          <w:szCs w:val="20"/>
        </w:rPr>
        <w:t>EK savā ikgadējā ziņojumā par Latviju secina, ka, neskatoties uz nelieliem paaugstinājumiem pensijām, to adekvātuma nodrošināšana joprojām ir izaicinājums, turklāt vecāka gadagājuma iedzīvotāju nabadzības un sociālās atstumtības risks pieaug.</w:t>
      </w:r>
      <w:r w:rsidRPr="006A18A9">
        <w:rPr>
          <w:i/>
          <w:sz w:val="20"/>
          <w:szCs w:val="20"/>
        </w:rPr>
        <w:t xml:space="preserve"> </w:t>
      </w:r>
      <w:r w:rsidRPr="006A18A9">
        <w:rPr>
          <w:sz w:val="20"/>
          <w:szCs w:val="20"/>
        </w:rPr>
        <w:t xml:space="preserve">Vienlaikus jāņem vērā, ka Latvijā joprojām ir kritiska demogrāfiskā situācija – kopš </w:t>
      </w:r>
      <w:proofErr w:type="gramStart"/>
      <w:r w:rsidRPr="006A18A9">
        <w:rPr>
          <w:sz w:val="20"/>
          <w:szCs w:val="20"/>
        </w:rPr>
        <w:t>2004.gada</w:t>
      </w:r>
      <w:proofErr w:type="gramEnd"/>
      <w:r w:rsidRPr="006A18A9">
        <w:rPr>
          <w:sz w:val="20"/>
          <w:szCs w:val="20"/>
        </w:rPr>
        <w:t xml:space="preserve"> Latvija ir zaudējusi 14% iedzīvotāju un dzimstības līmenis ir zems – 1,7 bērni uz 2 vecākiem. Tas liek meklēt risinājumus, kā stimulēt ģimenes radīt bērnus, pasargājot tās no nabadzības riska. </w:t>
      </w:r>
      <w:proofErr w:type="spellStart"/>
      <w:r w:rsidRPr="006A18A9">
        <w:rPr>
          <w:sz w:val="20"/>
          <w:szCs w:val="20"/>
        </w:rPr>
        <w:t>L.Straujumas</w:t>
      </w:r>
      <w:proofErr w:type="spellEnd"/>
      <w:r w:rsidRPr="006A18A9">
        <w:rPr>
          <w:sz w:val="20"/>
          <w:szCs w:val="20"/>
        </w:rPr>
        <w:t xml:space="preserve"> un M.Kučinska valdības laikā tika īstenota un no valsts budžeta finansēta virkne pasākumu, kurus piedāvāja demogrāfijas lietu eksperti, izstrādājot Sabiedrības demogrāfiskās atveseļošanās programmu “</w:t>
      </w:r>
      <w:r w:rsidRPr="006A18A9">
        <w:rPr>
          <w:rStyle w:val="Strong"/>
          <w:sz w:val="20"/>
          <w:szCs w:val="20"/>
        </w:rPr>
        <w:t>Māras solis</w:t>
      </w:r>
      <w:r w:rsidRPr="006A18A9">
        <w:rPr>
          <w:sz w:val="20"/>
          <w:szCs w:val="20"/>
        </w:rPr>
        <w:t>”. Viens no pasākumiem, kas iekļauts to risinājumu lokā, kuru efektivitāti pierāda citu valstu pieredze vai apliecina nacionāla un starptautiska līmeņa pētījumu rezultāti, ir atbalsts nestrādājošiem vecākiem, kas pieskata bērniņu tā pirmajos dzīves mēnešos. Lai novērstu situāciju, ka vecākiem, kas atrodas bērnu kopšanas atvaļinājumā, tiek liegta iespēja veidot</w:t>
      </w:r>
      <w:proofErr w:type="gramStart"/>
      <w:r w:rsidRPr="006A18A9">
        <w:rPr>
          <w:sz w:val="20"/>
          <w:szCs w:val="20"/>
        </w:rPr>
        <w:t xml:space="preserve">  </w:t>
      </w:r>
      <w:proofErr w:type="gramEnd"/>
      <w:r w:rsidRPr="006A18A9">
        <w:rPr>
          <w:sz w:val="20"/>
          <w:szCs w:val="20"/>
        </w:rPr>
        <w:t xml:space="preserve">pilnvērtīgu pensiju uzkrājumu, tiek piedāvāts paplašināt valsts sociālās apdrošināšanas objektu uz vecāku pabalsta un bērnu kopšanas pabalsta kopsummu. Šobrīd šīs iemaksas veic no bērna kopšanas pabalsta apmēra jeb 171 EUR un valsts iemaksas par nestrādājošu vecāku pabalsta saņēmēju tiek veiktas no invaliditātes, maternitātes un slimības budžeta. </w:t>
      </w:r>
    </w:p>
    <w:p w:rsidR="00ED545F" w:rsidRPr="006A18A9" w:rsidRDefault="00ED545F" w:rsidP="00ED545F">
      <w:pPr>
        <w:pStyle w:val="tv213"/>
        <w:shd w:val="clear" w:color="auto" w:fill="FFFFFF"/>
        <w:spacing w:before="0" w:beforeAutospacing="0" w:after="0" w:afterAutospacing="0" w:line="293" w:lineRule="atLeast"/>
        <w:ind w:firstLine="720"/>
        <w:jc w:val="both"/>
        <w:rPr>
          <w:sz w:val="20"/>
          <w:szCs w:val="20"/>
        </w:rPr>
      </w:pPr>
      <w:proofErr w:type="gramStart"/>
      <w:r w:rsidRPr="006A18A9">
        <w:rPr>
          <w:sz w:val="20"/>
          <w:szCs w:val="20"/>
        </w:rPr>
        <w:t>Valsts sociālās apdrošināšanas, t.sk. pensiju sistēma,</w:t>
      </w:r>
      <w:proofErr w:type="gramEnd"/>
      <w:r w:rsidRPr="006A18A9">
        <w:rPr>
          <w:sz w:val="20"/>
          <w:szCs w:val="20"/>
        </w:rPr>
        <w:t xml:space="preserve"> ir pašfinansējoša un balstīta uz individuālajām sociālajām iemaksām.</w:t>
      </w:r>
    </w:p>
    <w:p w:rsidR="00ED545F" w:rsidRPr="006A18A9" w:rsidRDefault="00ED545F" w:rsidP="00ED545F">
      <w:pPr>
        <w:widowControl w:val="0"/>
        <w:ind w:firstLine="720"/>
        <w:jc w:val="both"/>
        <w:rPr>
          <w:rFonts w:eastAsia="Times New Roman"/>
          <w:sz w:val="20"/>
          <w:szCs w:val="20"/>
        </w:rPr>
      </w:pPr>
      <w:r w:rsidRPr="006A18A9">
        <w:rPr>
          <w:rFonts w:eastAsia="Times New Roman"/>
          <w:sz w:val="20"/>
          <w:szCs w:val="20"/>
        </w:rPr>
        <w:t xml:space="preserve">Personām, kurām iestājas sociālās apdrošināšanas risks (maza bērna kopšana, slimība, invaliditāte, u.c.), kā dēļ persona nevar strādāt un veikt apdrošināšanas iemaksas, valsts nodrošina aizsardzību. </w:t>
      </w:r>
    </w:p>
    <w:p w:rsidR="00ED545F" w:rsidRPr="006A18A9" w:rsidRDefault="00ED545F" w:rsidP="00ED545F">
      <w:pPr>
        <w:widowControl w:val="0"/>
        <w:ind w:firstLine="720"/>
        <w:jc w:val="both"/>
        <w:rPr>
          <w:rFonts w:eastAsia="Times New Roman"/>
          <w:sz w:val="20"/>
          <w:szCs w:val="20"/>
        </w:rPr>
      </w:pPr>
      <w:r w:rsidRPr="006A18A9">
        <w:rPr>
          <w:rFonts w:eastAsia="Times New Roman"/>
          <w:sz w:val="20"/>
          <w:szCs w:val="20"/>
        </w:rPr>
        <w:t xml:space="preserve">Solidāri valsts veic iemaksas no sociālās apdrošināšanas budžeta (pensiju budžeta, nodarbinātības budžeta, darba negadījumu budžeta, invaliditātes, maternitātes un slimības budžeta, kuros </w:t>
      </w:r>
      <w:proofErr w:type="gramStart"/>
      <w:r w:rsidRPr="006A18A9">
        <w:rPr>
          <w:rFonts w:eastAsia="Times New Roman"/>
          <w:sz w:val="20"/>
          <w:szCs w:val="20"/>
        </w:rPr>
        <w:t>sadalītas pārējo iemaksu veicēju</w:t>
      </w:r>
      <w:proofErr w:type="gramEnd"/>
      <w:r w:rsidRPr="006A18A9">
        <w:rPr>
          <w:rFonts w:eastAsia="Times New Roman"/>
          <w:sz w:val="20"/>
          <w:szCs w:val="20"/>
        </w:rPr>
        <w:t xml:space="preserve"> faktiski veiktās iemaksas) vai valsts pamatbudžeta, lai neveidojas apdrošināšanas periodu pārtraukumi (invaliditātes, vecuma, bezdarba stāža).</w:t>
      </w:r>
    </w:p>
    <w:p w:rsidR="00ED545F" w:rsidRPr="006A18A9" w:rsidRDefault="00ED545F" w:rsidP="00ED545F">
      <w:pPr>
        <w:pStyle w:val="tv213"/>
        <w:shd w:val="clear" w:color="auto" w:fill="FFFFFF"/>
        <w:spacing w:before="0" w:beforeAutospacing="0" w:after="0" w:afterAutospacing="0" w:line="293" w:lineRule="atLeast"/>
        <w:ind w:firstLine="720"/>
        <w:jc w:val="both"/>
        <w:rPr>
          <w:sz w:val="20"/>
          <w:szCs w:val="20"/>
        </w:rPr>
      </w:pPr>
      <w:proofErr w:type="gramStart"/>
      <w:r w:rsidRPr="006A18A9">
        <w:rPr>
          <w:sz w:val="20"/>
          <w:szCs w:val="20"/>
        </w:rPr>
        <w:t>2020.gadā</w:t>
      </w:r>
      <w:proofErr w:type="gramEnd"/>
      <w:r w:rsidRPr="006A18A9">
        <w:rPr>
          <w:sz w:val="20"/>
          <w:szCs w:val="20"/>
        </w:rPr>
        <w:t xml:space="preserve"> palielinot iemaksu objektu nestrādājošiem vecāku pabalsta saņēmējiem (indikatīvi – 6,5 milj. EUR) neveidojas negatīva fiskālā telpa, jo likuma “Par valsts fondētajām pensijām” pārejas noteikumu 26.punkts paredz, ka no </w:t>
      </w:r>
      <w:proofErr w:type="gramStart"/>
      <w:r w:rsidRPr="006A18A9">
        <w:rPr>
          <w:sz w:val="20"/>
          <w:szCs w:val="20"/>
        </w:rPr>
        <w:t>2020.gada</w:t>
      </w:r>
      <w:proofErr w:type="gramEnd"/>
      <w:r w:rsidRPr="006A18A9">
        <w:rPr>
          <w:sz w:val="20"/>
          <w:szCs w:val="20"/>
        </w:rPr>
        <w:t xml:space="preserve"> 1.janvāra no valsts budžeta finansētās obligātās sociālās apdrošināšanas iemaksas netiek novirzītas 2.pensiju līmenī.</w:t>
      </w:r>
    </w:p>
    <w:p w:rsidR="00ED545F" w:rsidRPr="006A18A9" w:rsidRDefault="00ED545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3BB8"/>
    <w:multiLevelType w:val="hybridMultilevel"/>
    <w:tmpl w:val="AA2CF87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15:restartNumberingAfterBreak="0">
    <w:nsid w:val="70327126"/>
    <w:multiLevelType w:val="hybridMultilevel"/>
    <w:tmpl w:val="CB089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03"/>
    <w:rsid w:val="005D4711"/>
    <w:rsid w:val="006A18A9"/>
    <w:rsid w:val="00845F93"/>
    <w:rsid w:val="0086654F"/>
    <w:rsid w:val="00C77703"/>
    <w:rsid w:val="00D157D3"/>
    <w:rsid w:val="00D72212"/>
    <w:rsid w:val="00ED5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738E6-A720-4724-8108-028C251B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03"/>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77703"/>
    <w:rPr>
      <w:i/>
      <w:iCs/>
    </w:rPr>
  </w:style>
  <w:style w:type="paragraph" w:styleId="Footer">
    <w:name w:val="footer"/>
    <w:basedOn w:val="Normal"/>
    <w:link w:val="FooterChar"/>
    <w:rsid w:val="00C77703"/>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C77703"/>
    <w:rPr>
      <w:rFonts w:eastAsia="Times New Roman" w:cs="Times New Roman"/>
      <w:szCs w:val="24"/>
      <w:lang w:val="en-GB"/>
    </w:rPr>
  </w:style>
  <w:style w:type="character" w:styleId="PageNumber">
    <w:name w:val="page number"/>
    <w:rsid w:val="00C77703"/>
  </w:style>
  <w:style w:type="paragraph" w:customStyle="1" w:styleId="labojumupamats">
    <w:name w:val="labojumu_pamats"/>
    <w:basedOn w:val="Normal"/>
    <w:rsid w:val="00C77703"/>
    <w:pPr>
      <w:spacing w:before="100" w:beforeAutospacing="1" w:after="100" w:afterAutospacing="1"/>
    </w:pPr>
    <w:rPr>
      <w:rFonts w:eastAsia="Times New Roman"/>
      <w:szCs w:val="24"/>
      <w:lang w:eastAsia="lv-LV"/>
    </w:rPr>
  </w:style>
  <w:style w:type="paragraph" w:customStyle="1" w:styleId="tv213">
    <w:name w:val="tv213"/>
    <w:basedOn w:val="Normal"/>
    <w:rsid w:val="00C77703"/>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C77703"/>
    <w:pPr>
      <w:spacing w:after="200" w:line="276" w:lineRule="auto"/>
      <w:ind w:left="720"/>
      <w:contextualSpacing/>
    </w:pPr>
    <w:rPr>
      <w:rFonts w:ascii="Calibri" w:hAnsi="Calibri"/>
      <w:sz w:val="22"/>
    </w:rPr>
  </w:style>
  <w:style w:type="paragraph" w:styleId="Title">
    <w:name w:val="Title"/>
    <w:basedOn w:val="Normal"/>
    <w:link w:val="TitleChar"/>
    <w:qFormat/>
    <w:rsid w:val="00C77703"/>
    <w:pPr>
      <w:jc w:val="center"/>
    </w:pPr>
    <w:rPr>
      <w:rFonts w:eastAsia="Times New Roman"/>
      <w:b/>
      <w:szCs w:val="20"/>
    </w:rPr>
  </w:style>
  <w:style w:type="character" w:customStyle="1" w:styleId="TitleChar">
    <w:name w:val="Title Char"/>
    <w:basedOn w:val="DefaultParagraphFont"/>
    <w:link w:val="Title"/>
    <w:rsid w:val="00C77703"/>
    <w:rPr>
      <w:rFonts w:eastAsia="Times New Roman" w:cs="Times New Roman"/>
      <w:b/>
      <w:szCs w:val="20"/>
    </w:rPr>
  </w:style>
  <w:style w:type="paragraph" w:styleId="FootnoteText">
    <w:name w:val="footnote text"/>
    <w:basedOn w:val="Normal"/>
    <w:link w:val="FootnoteTextChar"/>
    <w:uiPriority w:val="99"/>
    <w:semiHidden/>
    <w:unhideWhenUsed/>
    <w:rsid w:val="00ED545F"/>
    <w:rPr>
      <w:sz w:val="20"/>
      <w:szCs w:val="20"/>
    </w:rPr>
  </w:style>
  <w:style w:type="character" w:customStyle="1" w:styleId="FootnoteTextChar">
    <w:name w:val="Footnote Text Char"/>
    <w:basedOn w:val="DefaultParagraphFont"/>
    <w:link w:val="FootnoteText"/>
    <w:uiPriority w:val="99"/>
    <w:semiHidden/>
    <w:rsid w:val="00ED545F"/>
    <w:rPr>
      <w:rFonts w:eastAsia="Calibri" w:cs="Times New Roman"/>
      <w:sz w:val="20"/>
      <w:szCs w:val="20"/>
    </w:rPr>
  </w:style>
  <w:style w:type="character" w:styleId="FootnoteReference">
    <w:name w:val="footnote reference"/>
    <w:basedOn w:val="DefaultParagraphFont"/>
    <w:uiPriority w:val="99"/>
    <w:semiHidden/>
    <w:unhideWhenUsed/>
    <w:rsid w:val="00ED545F"/>
    <w:rPr>
      <w:vertAlign w:val="superscript"/>
    </w:rPr>
  </w:style>
  <w:style w:type="character" w:styleId="Strong">
    <w:name w:val="Strong"/>
    <w:basedOn w:val="DefaultParagraphFont"/>
    <w:uiPriority w:val="22"/>
    <w:qFormat/>
    <w:rsid w:val="00ED545F"/>
    <w:rPr>
      <w:b/>
      <w:bCs/>
    </w:rPr>
  </w:style>
  <w:style w:type="character" w:styleId="Hyperlink">
    <w:name w:val="Hyperlink"/>
    <w:basedOn w:val="DefaultParagraphFont"/>
    <w:uiPriority w:val="99"/>
    <w:semiHidden/>
    <w:unhideWhenUsed/>
    <w:rsid w:val="006A1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98AEB-EFEE-4076-AF4B-67299EDD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4134</Words>
  <Characters>2357</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2019-11-02T12:18:00Z</dcterms:created>
  <dcterms:modified xsi:type="dcterms:W3CDTF">2019-11-04T09:24:00Z</dcterms:modified>
</cp:coreProperties>
</file>