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10" w:rsidRPr="00A30DBB" w:rsidRDefault="00AF2510" w:rsidP="00AF2510">
      <w:pPr>
        <w:rPr>
          <w:b/>
          <w:i/>
          <w:noProof/>
          <w:sz w:val="22"/>
          <w:lang w:val="en-GB"/>
        </w:rPr>
      </w:pPr>
      <w:r w:rsidRPr="00A30DBB">
        <w:rPr>
          <w:noProof/>
          <w:sz w:val="26"/>
          <w:szCs w:val="26"/>
          <w:lang w:val="en-GB"/>
        </w:rPr>
        <w:t xml:space="preserve">Budžeta un finanšu (nodokļu) komisija </w:t>
      </w:r>
    </w:p>
    <w:p w:rsidR="00AF2510" w:rsidRPr="00A30DBB" w:rsidRDefault="00AF2510" w:rsidP="00AF2510">
      <w:pPr>
        <w:pStyle w:val="Title"/>
        <w:jc w:val="right"/>
        <w:rPr>
          <w:b w:val="0"/>
          <w:sz w:val="26"/>
          <w:szCs w:val="26"/>
        </w:rPr>
      </w:pPr>
      <w:r w:rsidRPr="00A30DBB">
        <w:rPr>
          <w:b w:val="0"/>
          <w:sz w:val="26"/>
          <w:szCs w:val="26"/>
        </w:rPr>
        <w:t xml:space="preserve">Likumprojekts </w:t>
      </w:r>
      <w:proofErr w:type="gramStart"/>
      <w:r w:rsidRPr="00A30DBB">
        <w:rPr>
          <w:b w:val="0"/>
          <w:sz w:val="26"/>
          <w:szCs w:val="26"/>
        </w:rPr>
        <w:t>(steidzams) otrajam lasījumam</w:t>
      </w:r>
      <w:proofErr w:type="gramEnd"/>
    </w:p>
    <w:p w:rsidR="00AF2510" w:rsidRPr="00A30DBB" w:rsidRDefault="00AF2510" w:rsidP="00AF2510">
      <w:pPr>
        <w:jc w:val="center"/>
        <w:rPr>
          <w:rFonts w:eastAsia="Times New Roman"/>
          <w:b/>
          <w:bCs/>
          <w:sz w:val="28"/>
          <w:szCs w:val="28"/>
          <w:lang w:eastAsia="lv-LV"/>
        </w:rPr>
      </w:pPr>
    </w:p>
    <w:p w:rsidR="00AF2510" w:rsidRPr="00A30DBB" w:rsidRDefault="00AF2510" w:rsidP="00AF2510">
      <w:pPr>
        <w:jc w:val="center"/>
        <w:rPr>
          <w:rFonts w:eastAsia="Times New Roman"/>
          <w:b/>
          <w:bCs/>
          <w:sz w:val="28"/>
          <w:szCs w:val="28"/>
          <w:lang w:eastAsia="lv-LV"/>
        </w:rPr>
      </w:pPr>
      <w:r w:rsidRPr="00A30DBB">
        <w:rPr>
          <w:rFonts w:eastAsia="Times New Roman"/>
          <w:b/>
          <w:bCs/>
          <w:sz w:val="28"/>
          <w:szCs w:val="28"/>
          <w:lang w:eastAsia="lv-LV"/>
        </w:rPr>
        <w:t>Grozījumi likumā “Par</w:t>
      </w:r>
      <w:r w:rsidRPr="00A30DBB">
        <w:rPr>
          <w:b/>
          <w:sz w:val="28"/>
          <w:szCs w:val="28"/>
        </w:rPr>
        <w:t xml:space="preserve"> apdrošināšanu bezdarba gadījumam</w:t>
      </w:r>
      <w:r w:rsidRPr="00A30DBB">
        <w:rPr>
          <w:rFonts w:eastAsia="Times New Roman"/>
          <w:b/>
          <w:bCs/>
          <w:sz w:val="28"/>
          <w:szCs w:val="28"/>
          <w:lang w:eastAsia="lv-LV"/>
        </w:rPr>
        <w:t>”</w:t>
      </w:r>
    </w:p>
    <w:p w:rsidR="00AF2510" w:rsidRPr="00A30DBB" w:rsidRDefault="00AF2510" w:rsidP="00AF2510">
      <w:pPr>
        <w:jc w:val="center"/>
        <w:rPr>
          <w:rStyle w:val="Emphasis"/>
          <w:b/>
          <w:noProof/>
          <w:sz w:val="28"/>
          <w:szCs w:val="28"/>
          <w:lang w:val="en-GB"/>
        </w:rPr>
      </w:pPr>
      <w:r w:rsidRPr="00A30DBB">
        <w:rPr>
          <w:rStyle w:val="Emphasis"/>
          <w:b/>
          <w:noProof/>
          <w:sz w:val="28"/>
          <w:szCs w:val="28"/>
          <w:lang w:val="en-GB"/>
        </w:rPr>
        <w:t xml:space="preserve"> (Nr. 437/Lp13) </w:t>
      </w:r>
    </w:p>
    <w:p w:rsidR="00AF2510" w:rsidRPr="00A30DBB" w:rsidRDefault="00AF2510" w:rsidP="00AF2510">
      <w:pPr>
        <w:jc w:val="center"/>
        <w:rPr>
          <w:rStyle w:val="Emphasis"/>
          <w:b/>
          <w:noProof/>
          <w:sz w:val="26"/>
          <w:szCs w:val="26"/>
          <w:lang w:val="en-GB"/>
        </w:rPr>
      </w:pPr>
    </w:p>
    <w:tbl>
      <w:tblPr>
        <w:tblW w:w="15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5"/>
        <w:gridCol w:w="3855"/>
        <w:gridCol w:w="567"/>
        <w:gridCol w:w="3855"/>
        <w:gridCol w:w="1474"/>
        <w:gridCol w:w="1417"/>
      </w:tblGrid>
      <w:tr w:rsidR="00A30DBB" w:rsidRPr="00A30DBB" w:rsidTr="00AF2510">
        <w:tc>
          <w:tcPr>
            <w:tcW w:w="3855" w:type="dxa"/>
            <w:shd w:val="clear" w:color="auto" w:fill="auto"/>
            <w:vAlign w:val="center"/>
          </w:tcPr>
          <w:p w:rsidR="00AF2510" w:rsidRPr="00A30DBB" w:rsidRDefault="00AF2510" w:rsidP="00AF2510">
            <w:pPr>
              <w:jc w:val="center"/>
              <w:rPr>
                <w:b/>
                <w:bCs/>
                <w:iCs/>
                <w:noProof/>
                <w:lang w:val="en-GB"/>
              </w:rPr>
            </w:pPr>
            <w:r w:rsidRPr="00A30DBB">
              <w:rPr>
                <w:b/>
                <w:noProof/>
                <w:lang w:val="en-GB"/>
              </w:rPr>
              <w:t>Spēkā esošā redakcija</w:t>
            </w:r>
          </w:p>
        </w:tc>
        <w:tc>
          <w:tcPr>
            <w:tcW w:w="3855" w:type="dxa"/>
            <w:shd w:val="clear" w:color="auto" w:fill="auto"/>
            <w:vAlign w:val="center"/>
          </w:tcPr>
          <w:p w:rsidR="00AF2510" w:rsidRPr="00A30DBB" w:rsidRDefault="00AF2510" w:rsidP="00AF2510">
            <w:pPr>
              <w:jc w:val="center"/>
              <w:rPr>
                <w:b/>
                <w:noProof/>
                <w:lang w:val="en-GB"/>
              </w:rPr>
            </w:pPr>
            <w:r w:rsidRPr="00A30DBB">
              <w:rPr>
                <w:b/>
              </w:rPr>
              <w:t>Pirmā lasījuma redakcija</w:t>
            </w:r>
          </w:p>
        </w:tc>
        <w:tc>
          <w:tcPr>
            <w:tcW w:w="567" w:type="dxa"/>
            <w:vAlign w:val="center"/>
          </w:tcPr>
          <w:p w:rsidR="00AF2510" w:rsidRPr="00A30DBB" w:rsidRDefault="00AF2510" w:rsidP="00D01D2A">
            <w:pPr>
              <w:jc w:val="center"/>
              <w:rPr>
                <w:b/>
                <w:noProof/>
                <w:sz w:val="22"/>
                <w:lang w:val="en-GB"/>
              </w:rPr>
            </w:pPr>
            <w:r w:rsidRPr="00A30DBB">
              <w:rPr>
                <w:b/>
                <w:noProof/>
                <w:sz w:val="22"/>
                <w:lang w:val="en-GB"/>
              </w:rPr>
              <w:t>Nr.</w:t>
            </w:r>
          </w:p>
        </w:tc>
        <w:tc>
          <w:tcPr>
            <w:tcW w:w="3855" w:type="dxa"/>
            <w:vAlign w:val="center"/>
          </w:tcPr>
          <w:p w:rsidR="00AF2510" w:rsidRPr="00A30DBB" w:rsidRDefault="00AF2510" w:rsidP="00AF2510">
            <w:pPr>
              <w:jc w:val="center"/>
              <w:rPr>
                <w:b/>
              </w:rPr>
            </w:pPr>
            <w:r w:rsidRPr="00A30DBB">
              <w:rPr>
                <w:b/>
              </w:rPr>
              <w:t>Priekšlikumi</w:t>
            </w:r>
          </w:p>
          <w:p w:rsidR="00AF2510" w:rsidRPr="00A30DBB" w:rsidRDefault="00AF2510" w:rsidP="00D01D2A">
            <w:pPr>
              <w:jc w:val="center"/>
              <w:rPr>
                <w:b/>
                <w:noProof/>
                <w:lang w:val="en-GB"/>
              </w:rPr>
            </w:pPr>
            <w:r w:rsidRPr="00A30DBB">
              <w:rPr>
                <w:b/>
              </w:rPr>
              <w:t>(</w:t>
            </w:r>
            <w:r w:rsidR="00D01D2A" w:rsidRPr="00A30DBB">
              <w:rPr>
                <w:b/>
              </w:rPr>
              <w:t>6</w:t>
            </w:r>
            <w:r w:rsidRPr="00A30DBB">
              <w:rPr>
                <w:b/>
              </w:rPr>
              <w:t>)</w:t>
            </w:r>
          </w:p>
        </w:tc>
        <w:tc>
          <w:tcPr>
            <w:tcW w:w="1474" w:type="dxa"/>
            <w:vAlign w:val="center"/>
          </w:tcPr>
          <w:p w:rsidR="00AF2510" w:rsidRPr="00A30DBB" w:rsidRDefault="00AF2510" w:rsidP="00AF2510">
            <w:pPr>
              <w:jc w:val="center"/>
              <w:rPr>
                <w:b/>
                <w:noProof/>
                <w:lang w:val="en-GB"/>
              </w:rPr>
            </w:pPr>
            <w:r w:rsidRPr="00A30DBB">
              <w:rPr>
                <w:b/>
                <w:bCs/>
                <w:iCs/>
              </w:rPr>
              <w:t>Ministru kabineta atzinums</w:t>
            </w:r>
          </w:p>
        </w:tc>
        <w:tc>
          <w:tcPr>
            <w:tcW w:w="1417" w:type="dxa"/>
            <w:vAlign w:val="center"/>
          </w:tcPr>
          <w:p w:rsidR="00AF2510" w:rsidRPr="00A30DBB" w:rsidRDefault="00AF2510" w:rsidP="00AF2510">
            <w:pPr>
              <w:jc w:val="center"/>
              <w:rPr>
                <w:b/>
                <w:noProof/>
                <w:lang w:val="en-GB"/>
              </w:rPr>
            </w:pPr>
            <w:r w:rsidRPr="00A30DBB">
              <w:rPr>
                <w:b/>
                <w:bCs/>
                <w:iCs/>
              </w:rPr>
              <w:t>Komisijas atzinums</w:t>
            </w:r>
          </w:p>
        </w:tc>
      </w:tr>
      <w:tr w:rsidR="00A30DBB" w:rsidRPr="00A30DBB" w:rsidTr="00AF2510">
        <w:tc>
          <w:tcPr>
            <w:tcW w:w="3855" w:type="dxa"/>
            <w:shd w:val="clear" w:color="auto" w:fill="auto"/>
          </w:tcPr>
          <w:p w:rsidR="00AF2510" w:rsidRPr="00A30DBB" w:rsidRDefault="00AF2510" w:rsidP="00F94FBC">
            <w:pPr>
              <w:ind w:firstLine="567"/>
              <w:jc w:val="both"/>
              <w:rPr>
                <w:b/>
                <w:noProof/>
                <w:sz w:val="22"/>
                <w:lang w:val="en-GB"/>
              </w:rPr>
            </w:pPr>
            <w:bookmarkStart w:id="0" w:name="_GoBack"/>
            <w:bookmarkEnd w:id="0"/>
          </w:p>
        </w:tc>
        <w:tc>
          <w:tcPr>
            <w:tcW w:w="3855" w:type="dxa"/>
            <w:shd w:val="clear" w:color="auto" w:fill="auto"/>
          </w:tcPr>
          <w:p w:rsidR="00AF2510" w:rsidRPr="00A30DBB" w:rsidRDefault="00AF2510" w:rsidP="00F94FBC">
            <w:pPr>
              <w:shd w:val="clear" w:color="auto" w:fill="FFFFFF"/>
              <w:ind w:firstLine="709"/>
              <w:jc w:val="both"/>
              <w:rPr>
                <w:rFonts w:eastAsia="Times New Roman"/>
                <w:sz w:val="22"/>
                <w:lang w:eastAsia="lv-LV"/>
              </w:rPr>
            </w:pPr>
            <w:r w:rsidRPr="00A30DBB">
              <w:rPr>
                <w:rFonts w:eastAsia="Times New Roman"/>
                <w:sz w:val="22"/>
                <w:lang w:eastAsia="lv-LV"/>
              </w:rPr>
              <w:t>Izdarīt likumā "Par</w:t>
            </w:r>
            <w:r w:rsidRPr="00A30DBB">
              <w:rPr>
                <w:sz w:val="22"/>
              </w:rPr>
              <w:t xml:space="preserve"> apdrošināšanu bezdarba gadījumam</w:t>
            </w:r>
            <w:r w:rsidRPr="00A30DBB">
              <w:rPr>
                <w:rFonts w:eastAsia="Times New Roman"/>
                <w:sz w:val="22"/>
                <w:lang w:eastAsia="lv-LV"/>
              </w:rPr>
              <w:t xml:space="preserve">" </w:t>
            </w:r>
            <w:proofErr w:type="gramStart"/>
            <w:r w:rsidRPr="00A30DBB">
              <w:rPr>
                <w:rFonts w:eastAsia="Times New Roman"/>
                <w:sz w:val="22"/>
                <w:lang w:eastAsia="lv-LV"/>
              </w:rPr>
              <w:t>(</w:t>
            </w:r>
            <w:proofErr w:type="gramEnd"/>
            <w:r w:rsidRPr="00A30DBB">
              <w:rPr>
                <w:sz w:val="22"/>
                <w:shd w:val="clear" w:color="auto" w:fill="FFFFFF"/>
              </w:rPr>
              <w:t>Latvijas Republikas Saeimas un Ministru Kabineta Ziņotājs, 1999, 24. nr.; 2001, 1. nr.; 2002, 12., 22. nr.; 2006, 1., 14. nr.; 2007, 24. nr.; 2009, 2., 6., 15. nr.; Latvijas Vēstnesis, 2009, 200. nr.; 2010, 206. nr.; 2011, 99., 202. nr.; 2012, 192. nr.; 2013, 194. nr.; 2015, 127., 248. nr.; 2016, 241., 249., 255. nr.</w:t>
            </w:r>
            <w:r w:rsidRPr="00A30DBB">
              <w:rPr>
                <w:rFonts w:eastAsia="Times New Roman"/>
                <w:sz w:val="22"/>
                <w:lang w:eastAsia="lv-LV"/>
              </w:rPr>
              <w:t>) šādus grozījumus:</w:t>
            </w:r>
          </w:p>
        </w:tc>
        <w:tc>
          <w:tcPr>
            <w:tcW w:w="567" w:type="dxa"/>
          </w:tcPr>
          <w:p w:rsidR="00AF2510" w:rsidRPr="00A30DBB" w:rsidRDefault="00D01D2A" w:rsidP="00D01D2A">
            <w:pPr>
              <w:shd w:val="clear" w:color="auto" w:fill="FFFFFF"/>
              <w:jc w:val="center"/>
              <w:rPr>
                <w:rFonts w:eastAsia="Times New Roman"/>
                <w:b/>
                <w:sz w:val="22"/>
                <w:lang w:eastAsia="lv-LV"/>
              </w:rPr>
            </w:pPr>
            <w:r w:rsidRPr="00A30DBB">
              <w:rPr>
                <w:rFonts w:eastAsia="Times New Roman"/>
                <w:b/>
                <w:sz w:val="22"/>
                <w:lang w:eastAsia="lv-LV"/>
              </w:rPr>
              <w:t>1</w:t>
            </w:r>
          </w:p>
        </w:tc>
        <w:tc>
          <w:tcPr>
            <w:tcW w:w="3855" w:type="dxa"/>
          </w:tcPr>
          <w:p w:rsidR="00AF2510" w:rsidRPr="00A30DBB" w:rsidRDefault="001674E6" w:rsidP="00F94FBC">
            <w:pPr>
              <w:shd w:val="clear" w:color="auto" w:fill="FFFFFF"/>
              <w:ind w:firstLine="709"/>
              <w:jc w:val="both"/>
              <w:rPr>
                <w:rFonts w:eastAsia="Times New Roman"/>
                <w:b/>
                <w:sz w:val="22"/>
                <w:u w:val="single"/>
                <w:lang w:eastAsia="lv-LV"/>
              </w:rPr>
            </w:pPr>
            <w:r w:rsidRPr="00A30DBB">
              <w:rPr>
                <w:rFonts w:eastAsia="Times New Roman"/>
                <w:b/>
                <w:sz w:val="22"/>
                <w:u w:val="single"/>
                <w:lang w:eastAsia="lv-LV"/>
              </w:rPr>
              <w:t>Juridiskais birojs</w:t>
            </w:r>
          </w:p>
          <w:p w:rsidR="001674E6" w:rsidRPr="00A30DBB" w:rsidRDefault="001674E6" w:rsidP="001674E6">
            <w:pPr>
              <w:ind w:firstLine="709"/>
              <w:jc w:val="both"/>
              <w:rPr>
                <w:i/>
                <w:sz w:val="22"/>
              </w:rPr>
            </w:pPr>
            <w:r w:rsidRPr="00A30DBB">
              <w:rPr>
                <w:i/>
                <w:sz w:val="22"/>
              </w:rPr>
              <w:t xml:space="preserve">Bezdarbnieka pabalsts ir viens no sociālā nodrošinājuma pasākumiem. Iesniegtais likumprojekts paredz samazināt bezdarbnieka pabalsta izmaksas ilgumu, kā arī tā apmēru, samazinot izmaksājamo bezdarbnieka pabalsta proporciju. Paredzēts, ka likumprojektā ietvertais regulējums stāsies spēkā 2020. gada 1. janvārī. </w:t>
            </w:r>
          </w:p>
          <w:p w:rsidR="001674E6" w:rsidRPr="00A30DBB" w:rsidRDefault="001674E6" w:rsidP="001674E6">
            <w:pPr>
              <w:ind w:firstLine="709"/>
              <w:jc w:val="both"/>
              <w:rPr>
                <w:i/>
                <w:sz w:val="22"/>
              </w:rPr>
            </w:pPr>
            <w:r w:rsidRPr="00A30DBB">
              <w:rPr>
                <w:i/>
                <w:sz w:val="22"/>
              </w:rPr>
              <w:t xml:space="preserve">Ņemot vērā, ka garantētā sociālā nodrošinājuma līmeņa samazinājums ir vērtējams kā Latvijas Republikas Satversmes (turpmāk </w:t>
            </w:r>
            <w:r w:rsidRPr="00A30DBB">
              <w:rPr>
                <w:i/>
                <w:sz w:val="22"/>
              </w:rPr>
              <w:softHyphen/>
            </w:r>
            <w:r w:rsidRPr="00A30DBB">
              <w:rPr>
                <w:i/>
                <w:sz w:val="22"/>
              </w:rPr>
              <w:softHyphen/>
              <w:t xml:space="preserve">–– Satversme) 109. pantā ietverto tiesību ierobežojums (sk. Satversmes tiesas 2009. gada 21. decembra spriedumu lietā Nr. 2009-43-01), Saeimai ir pienākums izvērtēt likumprojekta atbilstību Satversmei, tostarp pārliecināties, ka paredzētie tiesību ierobežojumi (konkrētajā gadījumā bezdarbnieka pabalsta izmaksas ilguma un izmaksājamā bezdarbnieka pabalsta proporcijas samazinājums no 2020. gada 1. janvāra) atbilst samērīguma principam. Likumdevējam ir pienākums pārliecināties, ka izraudzītais regulējums nav izvēlēts patvaļīgi, tā pamatā ir </w:t>
            </w:r>
            <w:r w:rsidRPr="00A30DBB">
              <w:rPr>
                <w:i/>
                <w:sz w:val="22"/>
              </w:rPr>
              <w:lastRenderedPageBreak/>
              <w:t>racionāli un objektīvi apsvērumi, bezdarbnieka pabalsta izmaksas ilguma un apjoma samazinājums nav nesamērīgs, kā arī  apsvērt paredzētā regulējuma alternatīvas.</w:t>
            </w:r>
          </w:p>
          <w:p w:rsidR="001674E6" w:rsidRPr="00A30DBB" w:rsidRDefault="001674E6" w:rsidP="001674E6">
            <w:pPr>
              <w:ind w:firstLine="567"/>
              <w:jc w:val="both"/>
              <w:rPr>
                <w:i/>
                <w:sz w:val="22"/>
              </w:rPr>
            </w:pPr>
            <w:r w:rsidRPr="00A30DBB">
              <w:rPr>
                <w:i/>
                <w:sz w:val="22"/>
              </w:rPr>
              <w:t>Ņemot vērā, ka no likumprojekta anotācijas skaidri un nepārprotami neizriet vērtējums par ierobežojuma atbilstību Satversmes 109. pantam, aicinām uzklausīt likumprojekta autoru detalizētu skaidrojumu par izvēlētā regulējuma atbilstību Satversmei un tikai tad, ja ir gūta pārliecība, ka gan bezdarbnieka pabalsta izmaksas ilguma saīsināšana, gan izmaksājamā bezdarbnieka pabalsta proporcijas samazinājums no 2020. gada 1. janvāra atbilst samērīguma principam, lemt par attiecīgā likumprojekta virzīšanu izskatīšanai Saeimā otrajam lasījumam.</w:t>
            </w:r>
          </w:p>
        </w:tc>
        <w:tc>
          <w:tcPr>
            <w:tcW w:w="1474" w:type="dxa"/>
          </w:tcPr>
          <w:p w:rsidR="00AF2510" w:rsidRPr="00A30DBB" w:rsidRDefault="00AF2510" w:rsidP="00F94FBC">
            <w:pPr>
              <w:shd w:val="clear" w:color="auto" w:fill="FFFFFF"/>
              <w:ind w:firstLine="709"/>
              <w:jc w:val="both"/>
              <w:rPr>
                <w:rFonts w:eastAsia="Times New Roman"/>
                <w:sz w:val="22"/>
                <w:lang w:eastAsia="lv-LV"/>
              </w:rPr>
            </w:pPr>
          </w:p>
        </w:tc>
        <w:tc>
          <w:tcPr>
            <w:tcW w:w="1417" w:type="dxa"/>
          </w:tcPr>
          <w:p w:rsidR="00AF2510" w:rsidRPr="00A30DBB" w:rsidRDefault="00AF2510" w:rsidP="00F94FBC">
            <w:pPr>
              <w:shd w:val="clear" w:color="auto" w:fill="FFFFFF"/>
              <w:ind w:firstLine="709"/>
              <w:jc w:val="both"/>
              <w:rPr>
                <w:rFonts w:eastAsia="Times New Roman"/>
                <w:sz w:val="22"/>
                <w:lang w:eastAsia="lv-LV"/>
              </w:rPr>
            </w:pPr>
          </w:p>
        </w:tc>
      </w:tr>
      <w:tr w:rsidR="00A30DBB" w:rsidRPr="00A30DBB" w:rsidTr="00AF2510">
        <w:tc>
          <w:tcPr>
            <w:tcW w:w="3855" w:type="dxa"/>
            <w:shd w:val="clear" w:color="auto" w:fill="auto"/>
          </w:tcPr>
          <w:p w:rsidR="00AF2510" w:rsidRPr="00A30DBB" w:rsidRDefault="00AF2510" w:rsidP="00F94FBC">
            <w:pPr>
              <w:pStyle w:val="tv213"/>
              <w:spacing w:before="0" w:beforeAutospacing="0" w:after="0" w:afterAutospacing="0"/>
              <w:ind w:firstLine="567"/>
              <w:jc w:val="both"/>
              <w:rPr>
                <w:sz w:val="22"/>
                <w:szCs w:val="22"/>
              </w:rPr>
            </w:pPr>
            <w:proofErr w:type="gramStart"/>
            <w:r w:rsidRPr="00A30DBB">
              <w:rPr>
                <w:b/>
                <w:bCs/>
                <w:sz w:val="22"/>
                <w:szCs w:val="22"/>
              </w:rPr>
              <w:t>9.pants</w:t>
            </w:r>
            <w:proofErr w:type="gramEnd"/>
            <w:r w:rsidRPr="00A30DBB">
              <w:rPr>
                <w:b/>
                <w:bCs/>
                <w:sz w:val="22"/>
                <w:szCs w:val="22"/>
              </w:rPr>
              <w:t>. Bezdarbnieka pabalsta izmaksas ilgums</w:t>
            </w:r>
          </w:p>
          <w:p w:rsidR="00AF2510" w:rsidRPr="00A30DBB" w:rsidRDefault="00AF2510" w:rsidP="00F94FBC">
            <w:pPr>
              <w:pStyle w:val="tv213"/>
              <w:spacing w:before="0" w:beforeAutospacing="0" w:after="0" w:afterAutospacing="0"/>
              <w:ind w:firstLine="567"/>
              <w:jc w:val="both"/>
              <w:rPr>
                <w:sz w:val="22"/>
                <w:szCs w:val="22"/>
              </w:rPr>
            </w:pPr>
            <w:r w:rsidRPr="00A30DBB">
              <w:rPr>
                <w:sz w:val="22"/>
                <w:szCs w:val="22"/>
              </w:rPr>
              <w:t>(1) Bezdarbnieka pabalsta izmaksas ilgums ir deviņi mēneši 12 mēnešu periodā no pabalsta piešķiršanas dienas.</w:t>
            </w:r>
          </w:p>
          <w:p w:rsidR="00AF2510" w:rsidRPr="00A30DBB" w:rsidRDefault="00AF2510" w:rsidP="00F94FBC">
            <w:pPr>
              <w:pStyle w:val="tv213"/>
              <w:spacing w:before="0" w:beforeAutospacing="0" w:after="0" w:afterAutospacing="0"/>
              <w:ind w:firstLine="567"/>
              <w:jc w:val="both"/>
              <w:rPr>
                <w:sz w:val="22"/>
                <w:szCs w:val="22"/>
              </w:rPr>
            </w:pPr>
            <w:r w:rsidRPr="00A30DBB">
              <w:rPr>
                <w:sz w:val="22"/>
                <w:szCs w:val="22"/>
              </w:rPr>
              <w:t>(2) Ja 12 mēnešu periodā personai bezdarbnieka pabalsts tiek piešķirts atkārtoti, to piešķir, ņemot vērā šajā periodā iepriekš piešķirto bezdarbnieka pabalstu saņemšanas ilgumu dienās.</w:t>
            </w:r>
          </w:p>
        </w:tc>
        <w:tc>
          <w:tcPr>
            <w:tcW w:w="3855" w:type="dxa"/>
            <w:shd w:val="clear" w:color="auto" w:fill="auto"/>
          </w:tcPr>
          <w:p w:rsidR="00AF2510" w:rsidRPr="00A30DBB" w:rsidRDefault="00AF2510" w:rsidP="00F94FBC">
            <w:pPr>
              <w:shd w:val="clear" w:color="auto" w:fill="FFFFFF"/>
              <w:tabs>
                <w:tab w:val="left" w:pos="0"/>
              </w:tabs>
              <w:ind w:firstLine="709"/>
              <w:jc w:val="both"/>
              <w:rPr>
                <w:sz w:val="22"/>
              </w:rPr>
            </w:pPr>
            <w:r w:rsidRPr="00A30DBB">
              <w:rPr>
                <w:sz w:val="22"/>
              </w:rPr>
              <w:t>1.  9. pantā:</w:t>
            </w:r>
          </w:p>
          <w:p w:rsidR="00AF2510" w:rsidRPr="00A30DBB" w:rsidRDefault="00AF2510" w:rsidP="00F94FBC">
            <w:pPr>
              <w:pStyle w:val="ListParagraph"/>
              <w:shd w:val="clear" w:color="auto" w:fill="FFFFFF"/>
              <w:tabs>
                <w:tab w:val="left" w:pos="0"/>
              </w:tabs>
              <w:spacing w:after="0" w:line="240" w:lineRule="auto"/>
              <w:ind w:left="0" w:firstLine="709"/>
              <w:jc w:val="both"/>
              <w:rPr>
                <w:rFonts w:ascii="Times New Roman" w:hAnsi="Times New Roman"/>
              </w:rPr>
            </w:pPr>
            <w:r w:rsidRPr="00A30DBB">
              <w:rPr>
                <w:rFonts w:ascii="Times New Roman" w:hAnsi="Times New Roman"/>
              </w:rPr>
              <w:t>aizstāt pirmajā daļā vārdu "deviņi" ar vārdu "astoņi";</w:t>
            </w:r>
          </w:p>
        </w:tc>
        <w:tc>
          <w:tcPr>
            <w:tcW w:w="567" w:type="dxa"/>
          </w:tcPr>
          <w:p w:rsidR="00AF2510" w:rsidRPr="00A30DBB" w:rsidRDefault="00D01D2A" w:rsidP="00D01D2A">
            <w:pPr>
              <w:shd w:val="clear" w:color="auto" w:fill="FFFFFF"/>
              <w:tabs>
                <w:tab w:val="left" w:pos="0"/>
              </w:tabs>
              <w:jc w:val="center"/>
              <w:rPr>
                <w:b/>
                <w:sz w:val="22"/>
              </w:rPr>
            </w:pPr>
            <w:r w:rsidRPr="00A30DBB">
              <w:rPr>
                <w:b/>
                <w:sz w:val="22"/>
              </w:rPr>
              <w:t>2</w:t>
            </w:r>
          </w:p>
          <w:p w:rsidR="00D01D2A" w:rsidRPr="00A30DBB" w:rsidRDefault="00D01D2A" w:rsidP="00D01D2A">
            <w:pPr>
              <w:shd w:val="clear" w:color="auto" w:fill="FFFFFF"/>
              <w:tabs>
                <w:tab w:val="left" w:pos="0"/>
              </w:tabs>
              <w:jc w:val="center"/>
              <w:rPr>
                <w:b/>
                <w:sz w:val="22"/>
              </w:rPr>
            </w:pPr>
          </w:p>
          <w:p w:rsidR="00D01D2A" w:rsidRPr="00A30DBB" w:rsidRDefault="00D01D2A" w:rsidP="00D01D2A">
            <w:pPr>
              <w:shd w:val="clear" w:color="auto" w:fill="FFFFFF"/>
              <w:tabs>
                <w:tab w:val="left" w:pos="0"/>
              </w:tabs>
              <w:jc w:val="center"/>
              <w:rPr>
                <w:b/>
                <w:sz w:val="22"/>
              </w:rPr>
            </w:pPr>
          </w:p>
          <w:p w:rsidR="00D01D2A" w:rsidRPr="00A30DBB" w:rsidRDefault="00D01D2A" w:rsidP="00D01D2A">
            <w:pPr>
              <w:shd w:val="clear" w:color="auto" w:fill="FFFFFF"/>
              <w:tabs>
                <w:tab w:val="left" w:pos="0"/>
              </w:tabs>
              <w:jc w:val="center"/>
              <w:rPr>
                <w:sz w:val="22"/>
              </w:rPr>
            </w:pPr>
            <w:r w:rsidRPr="00A30DBB">
              <w:rPr>
                <w:b/>
                <w:sz w:val="22"/>
              </w:rPr>
              <w:t>3</w:t>
            </w:r>
          </w:p>
        </w:tc>
        <w:tc>
          <w:tcPr>
            <w:tcW w:w="3855" w:type="dxa"/>
          </w:tcPr>
          <w:p w:rsidR="001674E6" w:rsidRPr="00A30DBB" w:rsidRDefault="001674E6" w:rsidP="001674E6">
            <w:pPr>
              <w:spacing w:line="276" w:lineRule="auto"/>
              <w:ind w:firstLine="567"/>
              <w:jc w:val="both"/>
              <w:rPr>
                <w:b/>
                <w:sz w:val="22"/>
                <w:u w:val="single"/>
              </w:rPr>
            </w:pPr>
            <w:r w:rsidRPr="00A30DBB">
              <w:rPr>
                <w:b/>
                <w:sz w:val="22"/>
                <w:u w:val="single"/>
              </w:rPr>
              <w:t xml:space="preserve">Deputāte Ļ. </w:t>
            </w:r>
            <w:proofErr w:type="spellStart"/>
            <w:r w:rsidRPr="00A30DBB">
              <w:rPr>
                <w:b/>
                <w:sz w:val="22"/>
                <w:u w:val="single"/>
              </w:rPr>
              <w:t>Švecova</w:t>
            </w:r>
            <w:proofErr w:type="spellEnd"/>
            <w:r w:rsidRPr="00A30DBB">
              <w:rPr>
                <w:b/>
                <w:sz w:val="22"/>
                <w:u w:val="single"/>
              </w:rPr>
              <w:t xml:space="preserve"> </w:t>
            </w:r>
          </w:p>
          <w:p w:rsidR="001674E6" w:rsidRPr="00A30DBB" w:rsidRDefault="001674E6" w:rsidP="001674E6">
            <w:pPr>
              <w:ind w:firstLine="567"/>
              <w:jc w:val="both"/>
              <w:rPr>
                <w:sz w:val="22"/>
              </w:rPr>
            </w:pPr>
            <w:r w:rsidRPr="00A30DBB">
              <w:rPr>
                <w:sz w:val="22"/>
              </w:rPr>
              <w:t>Izslēgt likumprojekta 1. pantu.</w:t>
            </w:r>
          </w:p>
          <w:p w:rsidR="001674E6" w:rsidRPr="00A30DBB" w:rsidRDefault="001674E6" w:rsidP="001674E6">
            <w:pPr>
              <w:ind w:firstLine="567"/>
              <w:jc w:val="both"/>
              <w:rPr>
                <w:b/>
                <w:sz w:val="22"/>
                <w:u w:val="single"/>
              </w:rPr>
            </w:pPr>
            <w:r w:rsidRPr="00A30DBB">
              <w:rPr>
                <w:b/>
                <w:sz w:val="22"/>
                <w:u w:val="single"/>
              </w:rPr>
              <w:t xml:space="preserve">  </w:t>
            </w:r>
          </w:p>
          <w:p w:rsidR="001674E6" w:rsidRPr="00A30DBB" w:rsidRDefault="001674E6" w:rsidP="001674E6">
            <w:pPr>
              <w:ind w:firstLine="567"/>
              <w:jc w:val="both"/>
              <w:rPr>
                <w:b/>
                <w:sz w:val="22"/>
                <w:u w:val="single"/>
              </w:rPr>
            </w:pPr>
            <w:r w:rsidRPr="00A30DBB">
              <w:rPr>
                <w:b/>
                <w:sz w:val="22"/>
                <w:u w:val="single"/>
              </w:rPr>
              <w:t>Zaļo un Zemnieku savienības frakcija</w:t>
            </w:r>
            <w:proofErr w:type="gramStart"/>
            <w:r w:rsidRPr="00A30DBB">
              <w:rPr>
                <w:b/>
                <w:sz w:val="22"/>
                <w:u w:val="single"/>
              </w:rPr>
              <w:t xml:space="preserve">  </w:t>
            </w:r>
            <w:proofErr w:type="gramEnd"/>
          </w:p>
          <w:p w:rsidR="00AF2510" w:rsidRPr="00A30DBB" w:rsidRDefault="001674E6" w:rsidP="001674E6">
            <w:pPr>
              <w:ind w:firstLine="567"/>
              <w:jc w:val="both"/>
              <w:rPr>
                <w:b/>
                <w:sz w:val="22"/>
                <w:u w:val="single"/>
              </w:rPr>
            </w:pPr>
            <w:r w:rsidRPr="00A30DBB">
              <w:rPr>
                <w:sz w:val="22"/>
              </w:rPr>
              <w:t xml:space="preserve">Svītrot likumprojekta </w:t>
            </w:r>
            <w:proofErr w:type="gramStart"/>
            <w:r w:rsidRPr="00A30DBB">
              <w:rPr>
                <w:sz w:val="22"/>
              </w:rPr>
              <w:t>1.pantu</w:t>
            </w:r>
            <w:proofErr w:type="gramEnd"/>
            <w:r w:rsidRPr="00A30DBB">
              <w:rPr>
                <w:sz w:val="22"/>
              </w:rPr>
              <w:t>.</w:t>
            </w:r>
            <w:r w:rsidRPr="00A30DBB">
              <w:rPr>
                <w:b/>
                <w:sz w:val="22"/>
                <w:u w:val="single"/>
              </w:rPr>
              <w:t xml:space="preserve">              </w:t>
            </w:r>
          </w:p>
        </w:tc>
        <w:tc>
          <w:tcPr>
            <w:tcW w:w="1474" w:type="dxa"/>
          </w:tcPr>
          <w:p w:rsidR="00AF2510" w:rsidRPr="00A30DBB" w:rsidRDefault="00AF2510" w:rsidP="00F94FBC">
            <w:pPr>
              <w:shd w:val="clear" w:color="auto" w:fill="FFFFFF"/>
              <w:tabs>
                <w:tab w:val="left" w:pos="0"/>
              </w:tabs>
              <w:ind w:firstLine="709"/>
              <w:jc w:val="both"/>
              <w:rPr>
                <w:sz w:val="22"/>
              </w:rPr>
            </w:pPr>
          </w:p>
        </w:tc>
        <w:tc>
          <w:tcPr>
            <w:tcW w:w="1417" w:type="dxa"/>
          </w:tcPr>
          <w:p w:rsidR="00AF2510" w:rsidRPr="00A30DBB" w:rsidRDefault="00AF2510" w:rsidP="00F94FBC">
            <w:pPr>
              <w:shd w:val="clear" w:color="auto" w:fill="FFFFFF"/>
              <w:tabs>
                <w:tab w:val="left" w:pos="0"/>
              </w:tabs>
              <w:ind w:firstLine="709"/>
              <w:jc w:val="both"/>
              <w:rPr>
                <w:sz w:val="22"/>
              </w:rPr>
            </w:pPr>
          </w:p>
        </w:tc>
      </w:tr>
      <w:tr w:rsidR="00A30DBB" w:rsidRPr="00A30DBB" w:rsidTr="00AF2510">
        <w:tc>
          <w:tcPr>
            <w:tcW w:w="3855" w:type="dxa"/>
            <w:shd w:val="clear" w:color="auto" w:fill="auto"/>
          </w:tcPr>
          <w:p w:rsidR="00AF2510" w:rsidRPr="00A30DBB" w:rsidRDefault="00AF2510" w:rsidP="00F94FBC">
            <w:pPr>
              <w:pStyle w:val="tv213"/>
              <w:spacing w:before="0" w:beforeAutospacing="0" w:after="0" w:afterAutospacing="0"/>
              <w:ind w:firstLine="567"/>
              <w:jc w:val="both"/>
              <w:rPr>
                <w:sz w:val="22"/>
                <w:szCs w:val="22"/>
              </w:rPr>
            </w:pPr>
            <w:r w:rsidRPr="00A30DBB">
              <w:rPr>
                <w:sz w:val="22"/>
                <w:szCs w:val="22"/>
              </w:rPr>
              <w:t>(3) Bezdarbnieka pabalstu atkarībā no bezdarba ilguma izmaksā šādā apmērā:</w:t>
            </w:r>
          </w:p>
          <w:p w:rsidR="00AF2510" w:rsidRPr="00A30DBB" w:rsidRDefault="00AF2510" w:rsidP="00F94FBC">
            <w:pPr>
              <w:pStyle w:val="tv213"/>
              <w:spacing w:before="0" w:beforeAutospacing="0" w:after="0" w:afterAutospacing="0"/>
              <w:ind w:firstLine="567"/>
              <w:jc w:val="both"/>
              <w:rPr>
                <w:sz w:val="22"/>
                <w:szCs w:val="22"/>
              </w:rPr>
            </w:pPr>
            <w:r w:rsidRPr="00A30DBB">
              <w:rPr>
                <w:sz w:val="22"/>
                <w:szCs w:val="22"/>
              </w:rPr>
              <w:t>1) pirmos trīs mēnešus — pilnā apmērā no piešķirtā bezdarbnieka pabalsta;</w:t>
            </w:r>
          </w:p>
          <w:p w:rsidR="00AF2510" w:rsidRPr="00A30DBB" w:rsidRDefault="00AF2510" w:rsidP="00F94FBC">
            <w:pPr>
              <w:pStyle w:val="tv213"/>
              <w:spacing w:before="0" w:beforeAutospacing="0" w:after="0" w:afterAutospacing="0"/>
              <w:ind w:firstLine="567"/>
              <w:jc w:val="both"/>
              <w:rPr>
                <w:sz w:val="22"/>
                <w:szCs w:val="22"/>
              </w:rPr>
            </w:pPr>
            <w:r w:rsidRPr="00A30DBB">
              <w:rPr>
                <w:sz w:val="22"/>
                <w:szCs w:val="22"/>
              </w:rPr>
              <w:lastRenderedPageBreak/>
              <w:t>2) nākamos trīs mēnešus — 75 procentu apmērā no piešķirtā bezdarbnieka pabalsta;</w:t>
            </w:r>
          </w:p>
          <w:p w:rsidR="00AF2510" w:rsidRPr="00A30DBB" w:rsidRDefault="00AF2510" w:rsidP="00F94FBC">
            <w:pPr>
              <w:pStyle w:val="tv213"/>
              <w:spacing w:before="0" w:beforeAutospacing="0" w:after="0" w:afterAutospacing="0"/>
              <w:ind w:firstLine="567"/>
              <w:jc w:val="both"/>
              <w:rPr>
                <w:sz w:val="22"/>
                <w:szCs w:val="22"/>
              </w:rPr>
            </w:pPr>
            <w:r w:rsidRPr="00A30DBB">
              <w:rPr>
                <w:sz w:val="22"/>
                <w:szCs w:val="22"/>
              </w:rPr>
              <w:t>3) pēdējos trīs mēnešus — 50 procentu apmērā no piešķirtā bezdarbnieka pabalsta.</w:t>
            </w:r>
          </w:p>
          <w:p w:rsidR="00AF2510" w:rsidRPr="00A30DBB" w:rsidRDefault="00AF2510" w:rsidP="00F94FBC">
            <w:pPr>
              <w:pStyle w:val="tv213"/>
              <w:spacing w:before="0" w:beforeAutospacing="0" w:after="0" w:afterAutospacing="0"/>
              <w:ind w:firstLine="567"/>
              <w:jc w:val="both"/>
              <w:rPr>
                <w:noProof/>
                <w:sz w:val="22"/>
                <w:szCs w:val="22"/>
                <w:lang w:val="en-GB"/>
              </w:rPr>
            </w:pPr>
          </w:p>
        </w:tc>
        <w:tc>
          <w:tcPr>
            <w:tcW w:w="3855" w:type="dxa"/>
            <w:shd w:val="clear" w:color="auto" w:fill="auto"/>
          </w:tcPr>
          <w:p w:rsidR="00AF2510" w:rsidRPr="00A30DBB" w:rsidRDefault="00AF2510" w:rsidP="00F94FBC">
            <w:pPr>
              <w:pStyle w:val="ListParagraph"/>
              <w:shd w:val="clear" w:color="auto" w:fill="FFFFFF"/>
              <w:tabs>
                <w:tab w:val="left" w:pos="0"/>
              </w:tabs>
              <w:spacing w:after="0" w:line="240" w:lineRule="auto"/>
              <w:ind w:left="0" w:firstLine="709"/>
              <w:jc w:val="both"/>
              <w:rPr>
                <w:rFonts w:ascii="Times New Roman" w:hAnsi="Times New Roman"/>
              </w:rPr>
            </w:pPr>
            <w:r w:rsidRPr="00A30DBB">
              <w:rPr>
                <w:rFonts w:ascii="Times New Roman" w:hAnsi="Times New Roman"/>
              </w:rPr>
              <w:lastRenderedPageBreak/>
              <w:t>izteikt trešo daļu šādā redakcijā:</w:t>
            </w:r>
          </w:p>
          <w:p w:rsidR="00AF2510" w:rsidRPr="00A30DBB" w:rsidRDefault="00AF2510" w:rsidP="00F94FBC">
            <w:pPr>
              <w:pStyle w:val="tv213"/>
              <w:shd w:val="clear" w:color="auto" w:fill="FFFFFF"/>
              <w:spacing w:before="0" w:beforeAutospacing="0" w:after="0" w:afterAutospacing="0"/>
              <w:ind w:firstLine="709"/>
              <w:jc w:val="both"/>
              <w:rPr>
                <w:sz w:val="22"/>
                <w:szCs w:val="22"/>
              </w:rPr>
            </w:pPr>
            <w:r w:rsidRPr="00A30DBB">
              <w:rPr>
                <w:sz w:val="22"/>
                <w:szCs w:val="22"/>
              </w:rPr>
              <w:t>"(3) Bezdarbnieka pabalstu atkarībā no bezdarba ilguma izmaksā šādā apmērā:</w:t>
            </w:r>
          </w:p>
          <w:p w:rsidR="00AF2510" w:rsidRPr="00A30DBB" w:rsidRDefault="00AF2510" w:rsidP="00F94FBC">
            <w:pPr>
              <w:pStyle w:val="tv213"/>
              <w:shd w:val="clear" w:color="auto" w:fill="FFFFFF"/>
              <w:spacing w:before="0" w:beforeAutospacing="0" w:after="0" w:afterAutospacing="0"/>
              <w:ind w:firstLine="709"/>
              <w:jc w:val="both"/>
              <w:rPr>
                <w:sz w:val="22"/>
                <w:szCs w:val="22"/>
              </w:rPr>
            </w:pPr>
            <w:r w:rsidRPr="00A30DBB">
              <w:rPr>
                <w:sz w:val="22"/>
                <w:szCs w:val="22"/>
              </w:rPr>
              <w:t>1) pirmos divus mēnešus – pilnā apmērā no piešķirtā bezdarbnieka pabalsta;</w:t>
            </w:r>
          </w:p>
          <w:p w:rsidR="00AF2510" w:rsidRPr="00A30DBB" w:rsidRDefault="00AF2510" w:rsidP="00F94FBC">
            <w:pPr>
              <w:pStyle w:val="tv213"/>
              <w:shd w:val="clear" w:color="auto" w:fill="FFFFFF"/>
              <w:spacing w:before="0" w:beforeAutospacing="0" w:after="0" w:afterAutospacing="0"/>
              <w:ind w:firstLine="709"/>
              <w:jc w:val="both"/>
              <w:rPr>
                <w:sz w:val="22"/>
                <w:szCs w:val="22"/>
              </w:rPr>
            </w:pPr>
            <w:r w:rsidRPr="00A30DBB">
              <w:rPr>
                <w:sz w:val="22"/>
                <w:szCs w:val="22"/>
              </w:rPr>
              <w:lastRenderedPageBreak/>
              <w:t>2) trešajā un ceturtajā mēnesī – 75 procentu apmērā no piešķirtā bezdarbnieka pabalsta;</w:t>
            </w:r>
          </w:p>
          <w:p w:rsidR="00AF2510" w:rsidRPr="00A30DBB" w:rsidRDefault="00AF2510" w:rsidP="00F94FBC">
            <w:pPr>
              <w:pStyle w:val="tv213"/>
              <w:shd w:val="clear" w:color="auto" w:fill="FFFFFF"/>
              <w:spacing w:before="0" w:beforeAutospacing="0" w:after="0" w:afterAutospacing="0"/>
              <w:ind w:firstLine="709"/>
              <w:jc w:val="both"/>
              <w:rPr>
                <w:sz w:val="22"/>
                <w:szCs w:val="22"/>
              </w:rPr>
            </w:pPr>
            <w:r w:rsidRPr="00A30DBB">
              <w:rPr>
                <w:sz w:val="22"/>
                <w:szCs w:val="22"/>
              </w:rPr>
              <w:t xml:space="preserve">3) piektajā un sestajā </w:t>
            </w:r>
            <w:bookmarkStart w:id="1" w:name="_Hlk19605300"/>
            <w:r w:rsidRPr="00A30DBB">
              <w:rPr>
                <w:sz w:val="22"/>
                <w:szCs w:val="22"/>
              </w:rPr>
              <w:t>mēnesī – 50 procentu apmērā no piešķirtā bezdarbnieka pabalsta</w:t>
            </w:r>
            <w:bookmarkEnd w:id="1"/>
            <w:r w:rsidRPr="00A30DBB">
              <w:rPr>
                <w:sz w:val="22"/>
                <w:szCs w:val="22"/>
              </w:rPr>
              <w:t>;</w:t>
            </w:r>
          </w:p>
          <w:p w:rsidR="00AF2510" w:rsidRPr="00A30DBB" w:rsidRDefault="00AF2510" w:rsidP="00F94FBC">
            <w:pPr>
              <w:pStyle w:val="tv213"/>
              <w:shd w:val="clear" w:color="auto" w:fill="FFFFFF"/>
              <w:spacing w:before="0" w:beforeAutospacing="0" w:after="0" w:afterAutospacing="0"/>
              <w:ind w:firstLine="709"/>
              <w:jc w:val="both"/>
              <w:rPr>
                <w:sz w:val="22"/>
                <w:szCs w:val="22"/>
              </w:rPr>
            </w:pPr>
            <w:r w:rsidRPr="00A30DBB">
              <w:rPr>
                <w:sz w:val="22"/>
                <w:szCs w:val="22"/>
              </w:rPr>
              <w:t>4) septītajā un astotajā mēnesī – 45 procentu apmērā no piešķirtā bezdarbnieka pabalsta."</w:t>
            </w:r>
          </w:p>
        </w:tc>
        <w:tc>
          <w:tcPr>
            <w:tcW w:w="567" w:type="dxa"/>
          </w:tcPr>
          <w:p w:rsidR="00AF2510" w:rsidRPr="00A30DBB" w:rsidRDefault="00AF2510" w:rsidP="00D01D2A">
            <w:pPr>
              <w:pStyle w:val="ListParagraph"/>
              <w:shd w:val="clear" w:color="auto" w:fill="FFFFFF"/>
              <w:tabs>
                <w:tab w:val="left" w:pos="0"/>
              </w:tabs>
              <w:spacing w:after="0" w:line="240" w:lineRule="auto"/>
              <w:ind w:left="0"/>
              <w:jc w:val="center"/>
              <w:rPr>
                <w:rFonts w:ascii="Times New Roman" w:hAnsi="Times New Roman"/>
              </w:rPr>
            </w:pPr>
          </w:p>
        </w:tc>
        <w:tc>
          <w:tcPr>
            <w:tcW w:w="3855" w:type="dxa"/>
          </w:tcPr>
          <w:p w:rsidR="00AF2510" w:rsidRPr="00A30DBB" w:rsidRDefault="00AF2510" w:rsidP="00F94FBC">
            <w:pPr>
              <w:pStyle w:val="ListParagraph"/>
              <w:shd w:val="clear" w:color="auto" w:fill="FFFFFF"/>
              <w:tabs>
                <w:tab w:val="left" w:pos="0"/>
              </w:tabs>
              <w:spacing w:after="0" w:line="240" w:lineRule="auto"/>
              <w:ind w:left="0" w:firstLine="709"/>
              <w:jc w:val="both"/>
              <w:rPr>
                <w:rFonts w:ascii="Times New Roman" w:hAnsi="Times New Roman"/>
              </w:rPr>
            </w:pPr>
          </w:p>
        </w:tc>
        <w:tc>
          <w:tcPr>
            <w:tcW w:w="1474" w:type="dxa"/>
          </w:tcPr>
          <w:p w:rsidR="00AF2510" w:rsidRPr="00A30DBB" w:rsidRDefault="00AF2510" w:rsidP="00F94FBC">
            <w:pPr>
              <w:pStyle w:val="ListParagraph"/>
              <w:shd w:val="clear" w:color="auto" w:fill="FFFFFF"/>
              <w:tabs>
                <w:tab w:val="left" w:pos="0"/>
              </w:tabs>
              <w:spacing w:after="0" w:line="240" w:lineRule="auto"/>
              <w:ind w:left="0" w:firstLine="709"/>
              <w:jc w:val="both"/>
              <w:rPr>
                <w:rFonts w:ascii="Times New Roman" w:hAnsi="Times New Roman"/>
              </w:rPr>
            </w:pPr>
          </w:p>
        </w:tc>
        <w:tc>
          <w:tcPr>
            <w:tcW w:w="1417" w:type="dxa"/>
          </w:tcPr>
          <w:p w:rsidR="00AF2510" w:rsidRPr="00A30DBB" w:rsidRDefault="00AF2510" w:rsidP="00F94FBC">
            <w:pPr>
              <w:pStyle w:val="ListParagraph"/>
              <w:shd w:val="clear" w:color="auto" w:fill="FFFFFF"/>
              <w:tabs>
                <w:tab w:val="left" w:pos="0"/>
              </w:tabs>
              <w:spacing w:after="0" w:line="240" w:lineRule="auto"/>
              <w:ind w:left="0" w:firstLine="709"/>
              <w:jc w:val="both"/>
              <w:rPr>
                <w:rFonts w:ascii="Times New Roman" w:hAnsi="Times New Roman"/>
              </w:rPr>
            </w:pPr>
          </w:p>
        </w:tc>
      </w:tr>
      <w:tr w:rsidR="00A30DBB" w:rsidRPr="00A30DBB" w:rsidTr="00AF2510">
        <w:tc>
          <w:tcPr>
            <w:tcW w:w="3855" w:type="dxa"/>
            <w:shd w:val="clear" w:color="auto" w:fill="auto"/>
          </w:tcPr>
          <w:p w:rsidR="00AF2510" w:rsidRPr="00A30DBB" w:rsidRDefault="00AF2510" w:rsidP="00F94FBC">
            <w:pPr>
              <w:ind w:firstLine="567"/>
              <w:jc w:val="both"/>
              <w:rPr>
                <w:b/>
                <w:noProof/>
                <w:sz w:val="22"/>
                <w:lang w:val="en-GB"/>
              </w:rPr>
            </w:pPr>
            <w:r w:rsidRPr="00A30DBB">
              <w:rPr>
                <w:b/>
                <w:sz w:val="22"/>
              </w:rPr>
              <w:t>Pārejas noteikumi</w:t>
            </w:r>
          </w:p>
        </w:tc>
        <w:tc>
          <w:tcPr>
            <w:tcW w:w="3855" w:type="dxa"/>
            <w:shd w:val="clear" w:color="auto" w:fill="auto"/>
          </w:tcPr>
          <w:p w:rsidR="00AF2510" w:rsidRPr="00A30DBB" w:rsidRDefault="00AF2510" w:rsidP="00F94FBC">
            <w:pPr>
              <w:shd w:val="clear" w:color="auto" w:fill="FFFFFF"/>
              <w:tabs>
                <w:tab w:val="left" w:pos="709"/>
              </w:tabs>
              <w:ind w:firstLine="709"/>
              <w:jc w:val="both"/>
              <w:rPr>
                <w:sz w:val="22"/>
                <w:lang w:eastAsia="lv-LV"/>
              </w:rPr>
            </w:pPr>
            <w:r w:rsidRPr="00A30DBB">
              <w:rPr>
                <w:sz w:val="22"/>
                <w:lang w:eastAsia="lv-LV"/>
              </w:rPr>
              <w:t>2. Papildināt pārejas noteikumus ar 21. punktu šādā redakcijā:</w:t>
            </w:r>
          </w:p>
          <w:p w:rsidR="00AF2510" w:rsidRPr="00A30DBB" w:rsidRDefault="00AF2510" w:rsidP="00F94FBC">
            <w:pPr>
              <w:shd w:val="clear" w:color="auto" w:fill="FFFFFF"/>
              <w:tabs>
                <w:tab w:val="left" w:pos="1134"/>
              </w:tabs>
              <w:ind w:firstLine="709"/>
              <w:jc w:val="both"/>
              <w:rPr>
                <w:sz w:val="22"/>
                <w:lang w:eastAsia="lv-LV"/>
              </w:rPr>
            </w:pPr>
            <w:r w:rsidRPr="00A30DBB">
              <w:rPr>
                <w:sz w:val="22"/>
                <w:lang w:eastAsia="lv-LV"/>
              </w:rPr>
              <w:t>"21. P</w:t>
            </w:r>
            <w:r w:rsidRPr="00A30DBB">
              <w:rPr>
                <w:sz w:val="22"/>
              </w:rPr>
              <w:t>ersonai, kura bezdarbnieka statusu ieguvusi līdz 2019. gada 31. decembrim, bezdarbnieka pabalstu piešķir, aprēķina un izmaksā saskaņā ar tiesību normām, kas ir spēkā līdz 2019. gada 31. decembrim."</w:t>
            </w:r>
          </w:p>
        </w:tc>
        <w:tc>
          <w:tcPr>
            <w:tcW w:w="567" w:type="dxa"/>
          </w:tcPr>
          <w:p w:rsidR="00AF2510" w:rsidRPr="00A30DBB" w:rsidRDefault="00D01D2A" w:rsidP="00D01D2A">
            <w:pPr>
              <w:shd w:val="clear" w:color="auto" w:fill="FFFFFF"/>
              <w:tabs>
                <w:tab w:val="left" w:pos="709"/>
              </w:tabs>
              <w:jc w:val="center"/>
              <w:rPr>
                <w:b/>
                <w:sz w:val="22"/>
                <w:lang w:eastAsia="lv-LV"/>
              </w:rPr>
            </w:pPr>
            <w:r w:rsidRPr="00A30DBB">
              <w:rPr>
                <w:b/>
                <w:sz w:val="22"/>
                <w:lang w:eastAsia="lv-LV"/>
              </w:rPr>
              <w:t>4</w:t>
            </w: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r w:rsidRPr="00A30DBB">
              <w:rPr>
                <w:b/>
                <w:sz w:val="22"/>
                <w:lang w:eastAsia="lv-LV"/>
              </w:rPr>
              <w:t>5</w:t>
            </w: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p>
          <w:p w:rsidR="00D01D2A" w:rsidRPr="00A30DBB" w:rsidRDefault="00D01D2A" w:rsidP="00D01D2A">
            <w:pPr>
              <w:shd w:val="clear" w:color="auto" w:fill="FFFFFF"/>
              <w:tabs>
                <w:tab w:val="left" w:pos="709"/>
              </w:tabs>
              <w:jc w:val="center"/>
              <w:rPr>
                <w:b/>
                <w:sz w:val="22"/>
                <w:lang w:eastAsia="lv-LV"/>
              </w:rPr>
            </w:pPr>
            <w:r w:rsidRPr="00A30DBB">
              <w:rPr>
                <w:b/>
                <w:sz w:val="22"/>
                <w:lang w:eastAsia="lv-LV"/>
              </w:rPr>
              <w:t>6</w:t>
            </w:r>
          </w:p>
        </w:tc>
        <w:tc>
          <w:tcPr>
            <w:tcW w:w="3855" w:type="dxa"/>
          </w:tcPr>
          <w:p w:rsidR="001674E6" w:rsidRPr="00A30DBB" w:rsidRDefault="001674E6" w:rsidP="001674E6">
            <w:pPr>
              <w:shd w:val="clear" w:color="auto" w:fill="FFFFFF"/>
              <w:ind w:firstLine="709"/>
              <w:contextualSpacing/>
              <w:rPr>
                <w:b/>
                <w:noProof/>
                <w:sz w:val="22"/>
                <w:u w:val="single"/>
                <w:lang w:val="en-GB"/>
              </w:rPr>
            </w:pPr>
            <w:r w:rsidRPr="00A30DBB">
              <w:rPr>
                <w:b/>
                <w:noProof/>
                <w:sz w:val="22"/>
                <w:u w:val="single"/>
                <w:lang w:val="en-GB"/>
              </w:rPr>
              <w:lastRenderedPageBreak/>
              <w:t>Juridiskais birojs</w:t>
            </w:r>
          </w:p>
          <w:p w:rsidR="001674E6" w:rsidRPr="00A30DBB" w:rsidRDefault="001674E6" w:rsidP="00D01D2A">
            <w:pPr>
              <w:ind w:firstLine="567"/>
              <w:jc w:val="both"/>
              <w:rPr>
                <w:i/>
                <w:sz w:val="22"/>
              </w:rPr>
            </w:pPr>
            <w:r w:rsidRPr="00A30DBB">
              <w:rPr>
                <w:i/>
                <w:sz w:val="22"/>
                <w:lang w:bidi="lv-LV"/>
              </w:rPr>
              <w:t xml:space="preserve">Kā jau ticis norādīts, likumprojekts paredz, ka tiesību normas, kas samazina bezdarbnieka pabalsta izmaksas ilgumu un apmēru, stājas spēkā 2020. gada 1. janvārī. Lai gan </w:t>
            </w:r>
            <w:r w:rsidRPr="00A30DBB">
              <w:rPr>
                <w:i/>
                <w:sz w:val="22"/>
              </w:rPr>
              <w:t xml:space="preserve">tiesiskās paļāvības princips neizslēdz valsts iespēju grozīt pastāvošo tiesisko regulējumu, tomēr valstij ir jāņem vērā tās tiesības, uz kuru saglabāšanu vai īstenošanu personai var būt izveidojusies likumīga, pamatota un saprātīga paļāvība </w:t>
            </w:r>
            <w:proofErr w:type="gramStart"/>
            <w:r w:rsidRPr="00A30DBB">
              <w:rPr>
                <w:i/>
                <w:sz w:val="22"/>
              </w:rPr>
              <w:t>(</w:t>
            </w:r>
            <w:proofErr w:type="gramEnd"/>
            <w:r w:rsidRPr="00A30DBB">
              <w:rPr>
                <w:i/>
                <w:sz w:val="22"/>
              </w:rPr>
              <w:t xml:space="preserve">sk. Satversmes tiesas 2009. gada 26. novembra sprieduma lietā Nr. 2009-08-01 23. punktu). </w:t>
            </w:r>
          </w:p>
          <w:p w:rsidR="001674E6" w:rsidRPr="00A30DBB" w:rsidRDefault="001674E6" w:rsidP="00D01D2A">
            <w:pPr>
              <w:ind w:firstLine="567"/>
              <w:jc w:val="both"/>
              <w:rPr>
                <w:i/>
                <w:sz w:val="22"/>
              </w:rPr>
            </w:pPr>
            <w:r w:rsidRPr="00A30DBB">
              <w:rPr>
                <w:i/>
                <w:sz w:val="22"/>
              </w:rPr>
              <w:t xml:space="preserve">Lai aizsargātu personu tiesisko paļāvību gadījumā, kad persona ieguvusi bezdarbnieka statusu līdz jaunā regulējuma spēkā stāšanās brīdim, likumprojekts paredz papildināt pārejas noteikumus ar 21. punktu, </w:t>
            </w:r>
            <w:proofErr w:type="gramStart"/>
            <w:r w:rsidRPr="00A30DBB">
              <w:rPr>
                <w:i/>
                <w:sz w:val="22"/>
              </w:rPr>
              <w:t>nosakot, ka personai, kura bezdarbnieka statusu ieguvusi līdz 2019. gada 31. decembrim, bezdarbnieka pabalstu piešķir, aprēķina</w:t>
            </w:r>
            <w:proofErr w:type="gramEnd"/>
            <w:r w:rsidRPr="00A30DBB">
              <w:rPr>
                <w:i/>
                <w:sz w:val="22"/>
              </w:rPr>
              <w:t xml:space="preserve"> un izmaksā saskaņā ar tiesību normām, kas ir spēkā līdz 2019. gada 31. decembrim. </w:t>
            </w:r>
          </w:p>
          <w:p w:rsidR="001674E6" w:rsidRPr="00A30DBB" w:rsidRDefault="001674E6" w:rsidP="00D01D2A">
            <w:pPr>
              <w:ind w:firstLine="567"/>
              <w:jc w:val="both"/>
              <w:rPr>
                <w:i/>
                <w:sz w:val="22"/>
                <w:lang w:bidi="lv-LV"/>
              </w:rPr>
            </w:pPr>
            <w:r w:rsidRPr="00A30DBB">
              <w:rPr>
                <w:i/>
                <w:sz w:val="22"/>
              </w:rPr>
              <w:t xml:space="preserve">Tomēr vēršam uzmanību uz to, ka šis nosacījums pietiekami skaidri nenorāda, kuras tiesību normas ir piemērojamas (normas, kuras bija spēkā </w:t>
            </w:r>
            <w:r w:rsidRPr="00A30DBB">
              <w:rPr>
                <w:i/>
                <w:sz w:val="22"/>
              </w:rPr>
              <w:lastRenderedPageBreak/>
              <w:t xml:space="preserve">brīdī, kad persona ieguva bezdarbnieka statusu vai normas, kuras ir spēkā no 2020. gada 1. janvāra) gadījumā, kad 12 mēnešu periodā persona bezdarbnieka statusu zaudē un iegūst atkārtoti </w:t>
            </w:r>
            <w:proofErr w:type="gramStart"/>
            <w:r w:rsidRPr="00A30DBB">
              <w:rPr>
                <w:i/>
                <w:sz w:val="22"/>
              </w:rPr>
              <w:t>(</w:t>
            </w:r>
            <w:proofErr w:type="gramEnd"/>
            <w:r w:rsidRPr="00A30DBB">
              <w:rPr>
                <w:i/>
                <w:sz w:val="22"/>
              </w:rPr>
              <w:t xml:space="preserve">sk. Likuma “Par apdrošināšanu bezdarba gadījumam” 9. panta otrā daļa). </w:t>
            </w:r>
            <w:r w:rsidRPr="00A30DBB">
              <w:rPr>
                <w:i/>
                <w:sz w:val="22"/>
                <w:lang w:bidi="lv-LV"/>
              </w:rPr>
              <w:t>Satversmes tiesa ir atzinusi, ka Saeimas pienākums ir rūpēties par to, lai tiesību normas tiktu formulētas tik nepārprotami, ka tās varētu interpretēt pareizi (sk. Satversmes tiesas 2010. gada 19. jūnija spriedumu lietā Nr. 2010-02-01). Attiecīgi aicinām precizēt likumprojektā piedāvāto pārejas noteikumu, aizsargājot arī to personu tiesisko paļāvību, kuri bezdarbnieka statusu ieguvuši līdz 2018. gada 31. decembrim un turpmāko 12 mēnešu periodā to atkārtoti ieguvuši no jauna.</w:t>
            </w:r>
          </w:p>
          <w:p w:rsidR="001674E6" w:rsidRPr="00A30DBB" w:rsidRDefault="001674E6" w:rsidP="00D01D2A">
            <w:pPr>
              <w:ind w:firstLine="567"/>
              <w:jc w:val="both"/>
              <w:rPr>
                <w:i/>
                <w:sz w:val="22"/>
                <w:lang w:bidi="lv-LV"/>
              </w:rPr>
            </w:pPr>
          </w:p>
          <w:p w:rsidR="001674E6" w:rsidRPr="00A30DBB" w:rsidRDefault="001674E6" w:rsidP="001674E6">
            <w:pPr>
              <w:spacing w:line="276" w:lineRule="auto"/>
              <w:ind w:firstLine="567"/>
              <w:jc w:val="both"/>
              <w:rPr>
                <w:b/>
                <w:sz w:val="22"/>
                <w:u w:val="single"/>
              </w:rPr>
            </w:pPr>
            <w:r w:rsidRPr="00A30DBB">
              <w:rPr>
                <w:b/>
                <w:sz w:val="22"/>
                <w:u w:val="single"/>
              </w:rPr>
              <w:t xml:space="preserve">Deputāte Ļ. </w:t>
            </w:r>
            <w:proofErr w:type="spellStart"/>
            <w:r w:rsidRPr="00A30DBB">
              <w:rPr>
                <w:b/>
                <w:sz w:val="22"/>
                <w:u w:val="single"/>
              </w:rPr>
              <w:t>Švecova</w:t>
            </w:r>
            <w:proofErr w:type="spellEnd"/>
            <w:r w:rsidRPr="00A30DBB">
              <w:rPr>
                <w:b/>
                <w:sz w:val="22"/>
                <w:u w:val="single"/>
              </w:rPr>
              <w:t xml:space="preserve"> </w:t>
            </w:r>
          </w:p>
          <w:p w:rsidR="00AF2510" w:rsidRPr="00A30DBB" w:rsidRDefault="001674E6" w:rsidP="001674E6">
            <w:pPr>
              <w:ind w:firstLine="567"/>
              <w:jc w:val="both"/>
              <w:rPr>
                <w:sz w:val="22"/>
              </w:rPr>
            </w:pPr>
            <w:r w:rsidRPr="00A30DBB">
              <w:rPr>
                <w:sz w:val="22"/>
              </w:rPr>
              <w:t>Izslēgt likumprojekta 2. pantu.</w:t>
            </w:r>
          </w:p>
          <w:p w:rsidR="00D01D2A" w:rsidRPr="00A30DBB" w:rsidRDefault="00D01D2A" w:rsidP="001674E6">
            <w:pPr>
              <w:ind w:firstLine="567"/>
              <w:jc w:val="both"/>
              <w:rPr>
                <w:sz w:val="22"/>
              </w:rPr>
            </w:pPr>
          </w:p>
          <w:p w:rsidR="00D01D2A" w:rsidRPr="00A30DBB" w:rsidRDefault="00D01D2A" w:rsidP="00D01D2A">
            <w:pPr>
              <w:ind w:firstLine="567"/>
              <w:jc w:val="both"/>
              <w:rPr>
                <w:b/>
                <w:sz w:val="22"/>
                <w:u w:val="single"/>
              </w:rPr>
            </w:pPr>
            <w:r w:rsidRPr="00A30DBB">
              <w:rPr>
                <w:b/>
                <w:sz w:val="22"/>
                <w:u w:val="single"/>
              </w:rPr>
              <w:t xml:space="preserve">Labklājības ministrijas parlamentārais sekretārs </w:t>
            </w:r>
            <w:proofErr w:type="spellStart"/>
            <w:r w:rsidRPr="00A30DBB">
              <w:rPr>
                <w:b/>
                <w:sz w:val="22"/>
                <w:u w:val="single"/>
              </w:rPr>
              <w:t>K.Lipšāns</w:t>
            </w:r>
            <w:proofErr w:type="spellEnd"/>
          </w:p>
          <w:p w:rsidR="00D01D2A" w:rsidRPr="00A30DBB" w:rsidRDefault="00D01D2A" w:rsidP="00D01D2A">
            <w:pPr>
              <w:ind w:firstLine="567"/>
              <w:jc w:val="both"/>
              <w:rPr>
                <w:rFonts w:eastAsia="Times New Roman"/>
                <w:sz w:val="22"/>
                <w:lang w:eastAsia="lv-LV"/>
              </w:rPr>
            </w:pPr>
            <w:r w:rsidRPr="00A30DBB">
              <w:rPr>
                <w:rFonts w:eastAsia="Times New Roman"/>
                <w:sz w:val="22"/>
                <w:lang w:eastAsia="lv-LV"/>
              </w:rPr>
              <w:t>Papildināt likumprojekta 2. pantu, kas papildina likuma „Par apdrošināšanu bezdarba gadījumam” pārejas noteikumus ar 21. punktu, ar jaunu grozījumu 21. punktā, papildinot minēto punktu ar otro teikumu šādā redakcijā:</w:t>
            </w:r>
          </w:p>
          <w:p w:rsidR="00D01D2A" w:rsidRPr="00A30DBB" w:rsidRDefault="00D01D2A" w:rsidP="00D01D2A">
            <w:pPr>
              <w:ind w:firstLine="567"/>
              <w:jc w:val="both"/>
              <w:rPr>
                <w:rFonts w:eastAsia="Times New Roman"/>
                <w:sz w:val="22"/>
                <w:lang w:eastAsia="lv-LV"/>
              </w:rPr>
            </w:pPr>
            <w:r w:rsidRPr="00A30DBB">
              <w:rPr>
                <w:rFonts w:eastAsia="Times New Roman"/>
                <w:sz w:val="22"/>
                <w:lang w:eastAsia="lv-LV"/>
              </w:rPr>
              <w:t xml:space="preserve">“Minētais ir attiecināms arī uz šā likuma 9. panta otrajā daļā minēto personu, kura bezdarbnieka statusu </w:t>
            </w:r>
            <w:r w:rsidRPr="00A30DBB">
              <w:rPr>
                <w:rFonts w:eastAsia="Times New Roman"/>
                <w:sz w:val="22"/>
                <w:lang w:eastAsia="lv-LV"/>
              </w:rPr>
              <w:lastRenderedPageBreak/>
              <w:t>pirmreizēji ieguvusi līdz 2019. gada 31. decembrim.".</w:t>
            </w:r>
            <w:r w:rsidRPr="00A30DBB">
              <w:rPr>
                <w:rStyle w:val="FootnoteReference"/>
                <w:rFonts w:eastAsia="Times New Roman"/>
                <w:sz w:val="22"/>
                <w:lang w:eastAsia="lv-LV"/>
              </w:rPr>
              <w:footnoteReference w:id="1"/>
            </w:r>
          </w:p>
        </w:tc>
        <w:tc>
          <w:tcPr>
            <w:tcW w:w="1474" w:type="dxa"/>
          </w:tcPr>
          <w:p w:rsidR="00AF2510" w:rsidRPr="00A30DBB" w:rsidRDefault="00AF2510" w:rsidP="00F94FBC">
            <w:pPr>
              <w:shd w:val="clear" w:color="auto" w:fill="FFFFFF"/>
              <w:tabs>
                <w:tab w:val="left" w:pos="709"/>
              </w:tabs>
              <w:ind w:firstLine="709"/>
              <w:jc w:val="both"/>
              <w:rPr>
                <w:sz w:val="22"/>
                <w:lang w:eastAsia="lv-LV"/>
              </w:rPr>
            </w:pPr>
          </w:p>
        </w:tc>
        <w:tc>
          <w:tcPr>
            <w:tcW w:w="1417" w:type="dxa"/>
          </w:tcPr>
          <w:p w:rsidR="00AF2510" w:rsidRPr="00A30DBB" w:rsidRDefault="00AF2510" w:rsidP="00F94FBC">
            <w:pPr>
              <w:shd w:val="clear" w:color="auto" w:fill="FFFFFF"/>
              <w:tabs>
                <w:tab w:val="left" w:pos="709"/>
              </w:tabs>
              <w:ind w:firstLine="709"/>
              <w:jc w:val="both"/>
              <w:rPr>
                <w:sz w:val="22"/>
                <w:lang w:eastAsia="lv-LV"/>
              </w:rPr>
            </w:pPr>
          </w:p>
        </w:tc>
      </w:tr>
      <w:tr w:rsidR="00AF2510" w:rsidRPr="00A30DBB" w:rsidTr="00AF2510">
        <w:tc>
          <w:tcPr>
            <w:tcW w:w="3855" w:type="dxa"/>
            <w:shd w:val="clear" w:color="auto" w:fill="auto"/>
          </w:tcPr>
          <w:p w:rsidR="00AF2510" w:rsidRPr="00A30DBB" w:rsidRDefault="00AF2510" w:rsidP="00F94FBC">
            <w:pPr>
              <w:pStyle w:val="labojumupamats"/>
              <w:spacing w:before="0" w:beforeAutospacing="0" w:after="0" w:afterAutospacing="0"/>
              <w:ind w:firstLine="567"/>
              <w:jc w:val="both"/>
              <w:rPr>
                <w:i/>
                <w:noProof/>
                <w:sz w:val="22"/>
                <w:szCs w:val="22"/>
                <w:lang w:val="en-GB"/>
              </w:rPr>
            </w:pPr>
          </w:p>
        </w:tc>
        <w:tc>
          <w:tcPr>
            <w:tcW w:w="3855" w:type="dxa"/>
            <w:shd w:val="clear" w:color="auto" w:fill="auto"/>
          </w:tcPr>
          <w:p w:rsidR="00AF2510" w:rsidRPr="00A30DBB" w:rsidRDefault="00AF2510" w:rsidP="00F94FBC">
            <w:pPr>
              <w:shd w:val="clear" w:color="auto" w:fill="FFFFFF"/>
              <w:ind w:firstLine="709"/>
              <w:contextualSpacing/>
              <w:rPr>
                <w:noProof/>
                <w:sz w:val="22"/>
                <w:lang w:val="en-GB"/>
              </w:rPr>
            </w:pPr>
            <w:r w:rsidRPr="00A30DBB">
              <w:rPr>
                <w:noProof/>
                <w:sz w:val="22"/>
                <w:lang w:val="en-GB"/>
              </w:rPr>
              <w:t xml:space="preserve">Likums stājas spēkā 2020. gada 1. janvārī. </w:t>
            </w:r>
          </w:p>
        </w:tc>
        <w:tc>
          <w:tcPr>
            <w:tcW w:w="567" w:type="dxa"/>
          </w:tcPr>
          <w:p w:rsidR="00AF2510" w:rsidRPr="00A30DBB" w:rsidRDefault="00AF2510" w:rsidP="00D01D2A">
            <w:pPr>
              <w:shd w:val="clear" w:color="auto" w:fill="FFFFFF"/>
              <w:contextualSpacing/>
              <w:jc w:val="center"/>
              <w:rPr>
                <w:noProof/>
                <w:sz w:val="22"/>
                <w:lang w:val="en-GB"/>
              </w:rPr>
            </w:pPr>
          </w:p>
        </w:tc>
        <w:tc>
          <w:tcPr>
            <w:tcW w:w="3855" w:type="dxa"/>
          </w:tcPr>
          <w:p w:rsidR="001674E6" w:rsidRPr="00A30DBB" w:rsidRDefault="001674E6" w:rsidP="001674E6">
            <w:pPr>
              <w:ind w:firstLine="709"/>
              <w:jc w:val="both"/>
              <w:rPr>
                <w:rFonts w:ascii="Korinna LRS" w:hAnsi="Korinna LRS"/>
              </w:rPr>
            </w:pPr>
          </w:p>
        </w:tc>
        <w:tc>
          <w:tcPr>
            <w:tcW w:w="1474" w:type="dxa"/>
          </w:tcPr>
          <w:p w:rsidR="00AF2510" w:rsidRPr="00A30DBB" w:rsidRDefault="00AF2510" w:rsidP="00F94FBC">
            <w:pPr>
              <w:shd w:val="clear" w:color="auto" w:fill="FFFFFF"/>
              <w:ind w:firstLine="709"/>
              <w:contextualSpacing/>
              <w:rPr>
                <w:noProof/>
                <w:sz w:val="22"/>
                <w:lang w:val="en-GB"/>
              </w:rPr>
            </w:pPr>
          </w:p>
        </w:tc>
        <w:tc>
          <w:tcPr>
            <w:tcW w:w="1417" w:type="dxa"/>
          </w:tcPr>
          <w:p w:rsidR="00AF2510" w:rsidRPr="00A30DBB" w:rsidRDefault="00AF2510" w:rsidP="00F94FBC">
            <w:pPr>
              <w:shd w:val="clear" w:color="auto" w:fill="FFFFFF"/>
              <w:ind w:firstLine="709"/>
              <w:contextualSpacing/>
              <w:rPr>
                <w:noProof/>
                <w:sz w:val="22"/>
                <w:lang w:val="en-GB"/>
              </w:rPr>
            </w:pPr>
          </w:p>
        </w:tc>
      </w:tr>
    </w:tbl>
    <w:p w:rsidR="00AF2510" w:rsidRPr="00A30DBB" w:rsidRDefault="00AF2510" w:rsidP="00AF2510">
      <w:pPr>
        <w:rPr>
          <w:noProof/>
          <w:lang w:val="en-GB"/>
        </w:rPr>
      </w:pPr>
    </w:p>
    <w:sectPr w:rsidR="00AF2510" w:rsidRPr="00A30DBB" w:rsidSect="00B64F81">
      <w:footerReference w:type="even" r:id="rId8"/>
      <w:footerReference w:type="default" r:id="rId9"/>
      <w:pgSz w:w="16838" w:h="11906" w:orient="landscape"/>
      <w:pgMar w:top="993" w:right="962"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46" w:rsidRDefault="00501638">
      <w:r>
        <w:separator/>
      </w:r>
    </w:p>
  </w:endnote>
  <w:endnote w:type="continuationSeparator" w:id="0">
    <w:p w:rsidR="003C5446" w:rsidRDefault="0050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Korinna LRS">
    <w:panose1 w:val="02000504060000020003"/>
    <w:charset w:val="BA"/>
    <w:family w:val="auto"/>
    <w:pitch w:val="variable"/>
    <w:sig w:usb0="A0000227" w:usb1="00000000" w:usb2="00000000" w:usb3="00000000" w:csb0="000001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AF2510"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A30DBB"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AF2510"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DBB">
      <w:rPr>
        <w:rStyle w:val="PageNumber"/>
        <w:noProof/>
      </w:rPr>
      <w:t>2</w:t>
    </w:r>
    <w:r>
      <w:rPr>
        <w:rStyle w:val="PageNumber"/>
      </w:rPr>
      <w:fldChar w:fldCharType="end"/>
    </w:r>
  </w:p>
  <w:p w:rsidR="00511D34" w:rsidRDefault="00A30DBB"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46" w:rsidRDefault="00501638">
      <w:r>
        <w:separator/>
      </w:r>
    </w:p>
  </w:footnote>
  <w:footnote w:type="continuationSeparator" w:id="0">
    <w:p w:rsidR="003C5446" w:rsidRDefault="00501638">
      <w:r>
        <w:continuationSeparator/>
      </w:r>
    </w:p>
  </w:footnote>
  <w:footnote w:id="1">
    <w:p w:rsidR="00D01D2A" w:rsidRPr="00A30DBB" w:rsidRDefault="00D01D2A" w:rsidP="00D01D2A">
      <w:pPr>
        <w:ind w:firstLine="720"/>
        <w:jc w:val="both"/>
        <w:rPr>
          <w:rFonts w:eastAsia="Times New Roman"/>
          <w:sz w:val="20"/>
          <w:szCs w:val="20"/>
          <w:lang w:eastAsia="lv-LV"/>
        </w:rPr>
      </w:pPr>
      <w:r w:rsidRPr="004228A0">
        <w:rPr>
          <w:rStyle w:val="FootnoteReference"/>
          <w:b/>
          <w:sz w:val="20"/>
          <w:szCs w:val="20"/>
        </w:rPr>
        <w:footnoteRef/>
      </w:r>
      <w:r w:rsidRPr="004228A0">
        <w:rPr>
          <w:b/>
          <w:sz w:val="20"/>
          <w:szCs w:val="20"/>
        </w:rPr>
        <w:t xml:space="preserve"> </w:t>
      </w:r>
      <w:r w:rsidR="004228A0" w:rsidRPr="004228A0">
        <w:rPr>
          <w:b/>
          <w:sz w:val="20"/>
          <w:szCs w:val="20"/>
        </w:rPr>
        <w:t xml:space="preserve"> Pamatojums</w:t>
      </w:r>
      <w:r w:rsidR="004228A0">
        <w:rPr>
          <w:b/>
          <w:sz w:val="20"/>
          <w:szCs w:val="20"/>
        </w:rPr>
        <w:t xml:space="preserve"> (LM)</w:t>
      </w:r>
      <w:r w:rsidR="004228A0">
        <w:rPr>
          <w:sz w:val="20"/>
          <w:szCs w:val="20"/>
        </w:rPr>
        <w:t xml:space="preserve">: </w:t>
      </w:r>
      <w:r w:rsidRPr="00A30DBB">
        <w:rPr>
          <w:rFonts w:eastAsia="Times New Roman"/>
          <w:sz w:val="20"/>
          <w:szCs w:val="20"/>
          <w:lang w:eastAsia="lv-LV"/>
        </w:rPr>
        <w:t>Likuma “Par apdrošināšanu bezdarba gadījumam” 9. panta otrā daļa nosaka, ka, ja 12 mēnešu periodā personai bezdarbnieka pabalsts tiek piešķirts atkārtoti, to piešķir, ņemot vērā šajā periodā jau iepriekš piešķirto un izmaksāto bezdarbnieka pabalstu saņemšanas ilgumu dienās.</w:t>
      </w:r>
    </w:p>
    <w:p w:rsidR="00D01D2A" w:rsidRPr="00A30DBB" w:rsidRDefault="00D01D2A" w:rsidP="00D01D2A">
      <w:pPr>
        <w:ind w:firstLine="720"/>
        <w:jc w:val="both"/>
        <w:rPr>
          <w:rFonts w:eastAsia="Times New Roman"/>
          <w:sz w:val="20"/>
          <w:szCs w:val="20"/>
          <w:lang w:eastAsia="lv-LV"/>
        </w:rPr>
      </w:pPr>
      <w:r w:rsidRPr="00A30DBB">
        <w:rPr>
          <w:rFonts w:eastAsia="Times New Roman"/>
          <w:sz w:val="20"/>
          <w:szCs w:val="20"/>
          <w:lang w:eastAsia="lv-LV"/>
        </w:rPr>
        <w:t>Likumprojekta pārejas norma tostarp nodrošina tiesisko paļāvību personām, kuras bezdarbnieka statusu pirmreizēji būs ieguvušas līdz 2019. gada 31. decembrim. Tā kā var būt gadījumi, ka minētās personas 12 mēnešu periodā bezdarbnieka statusu zaudēs un pabalstu būs</w:t>
      </w:r>
      <w:proofErr w:type="gramStart"/>
      <w:r w:rsidRPr="00A30DBB">
        <w:rPr>
          <w:rFonts w:eastAsia="Times New Roman"/>
          <w:sz w:val="20"/>
          <w:szCs w:val="20"/>
          <w:lang w:eastAsia="lv-LV"/>
        </w:rPr>
        <w:t xml:space="preserve">  </w:t>
      </w:r>
      <w:proofErr w:type="gramEnd"/>
      <w:r w:rsidRPr="00A30DBB">
        <w:rPr>
          <w:rFonts w:eastAsia="Times New Roman"/>
          <w:sz w:val="20"/>
          <w:szCs w:val="20"/>
          <w:lang w:eastAsia="lv-LV"/>
        </w:rPr>
        <w:t>nepieciešams piešķirt atkārtoti 2020.gadā, arī uz šīm personām jāattiecina līdzšinējā kārtība. Proti, jāņem vērā šajā periodā iepriekš piešķirto bezdarbnieka pabalstu saņemšanas ilgumu dienās un ar bezdarbnieka pabalstu saņemšanas ilgumu saistīto pabalsta apmēra procentuālo sadalījumu.</w:t>
      </w:r>
    </w:p>
    <w:p w:rsidR="00D01D2A" w:rsidRPr="00A30DBB" w:rsidRDefault="00D01D2A" w:rsidP="00D01D2A">
      <w:pPr>
        <w:ind w:firstLine="720"/>
        <w:jc w:val="both"/>
        <w:rPr>
          <w:rFonts w:eastAsia="Times New Roman"/>
          <w:sz w:val="20"/>
          <w:szCs w:val="20"/>
          <w:lang w:eastAsia="lv-LV"/>
        </w:rPr>
      </w:pPr>
      <w:r w:rsidRPr="00A30DBB">
        <w:rPr>
          <w:rFonts w:eastAsia="Times New Roman"/>
          <w:sz w:val="20"/>
          <w:szCs w:val="20"/>
          <w:lang w:eastAsia="lv-LV"/>
        </w:rPr>
        <w:t xml:space="preserve">Minētais likumprojekta 2. pantā paredzētais pārejas noteikumu punkts nerada fiskālu ietekmi uz valsts budžeta izdevumiem. Minētā </w:t>
      </w:r>
      <w:r w:rsidRPr="00A30DBB">
        <w:rPr>
          <w:sz w:val="20"/>
          <w:szCs w:val="20"/>
        </w:rPr>
        <w:t>pārejas norma ir ņemta vērā</w:t>
      </w:r>
      <w:r w:rsidRPr="00A30DBB">
        <w:rPr>
          <w:rFonts w:eastAsia="Times New Roman"/>
          <w:sz w:val="20"/>
          <w:szCs w:val="20"/>
          <w:lang w:eastAsia="lv-LV"/>
        </w:rPr>
        <w:t xml:space="preserve"> likumprojekta izmaiņu ietekmes aprēķinā – 12,3 milj. EUR gadā.</w:t>
      </w:r>
    </w:p>
    <w:p w:rsidR="00D01D2A" w:rsidRPr="00D01D2A" w:rsidRDefault="00D01D2A" w:rsidP="00D01D2A">
      <w:pPr>
        <w:ind w:firstLine="720"/>
        <w:jc w:val="both"/>
        <w:rPr>
          <w:rFonts w:eastAsia="Times New Roman"/>
          <w:i/>
          <w:sz w:val="20"/>
          <w:szCs w:val="20"/>
          <w:lang w:eastAsia="lv-LV"/>
        </w:rPr>
      </w:pPr>
    </w:p>
    <w:p w:rsidR="00D01D2A" w:rsidRPr="00D01D2A" w:rsidRDefault="00D01D2A" w:rsidP="00D01D2A">
      <w:pPr>
        <w:ind w:firstLine="720"/>
        <w:jc w:val="both"/>
        <w:rPr>
          <w:rFonts w:eastAsia="Times New Roman"/>
          <w:sz w:val="20"/>
          <w:szCs w:val="20"/>
          <w:lang w:eastAsia="lv-LV"/>
        </w:rPr>
      </w:pPr>
      <w:r w:rsidRPr="00D01D2A">
        <w:rPr>
          <w:rFonts w:eastAsia="Times New Roman"/>
          <w:sz w:val="20"/>
          <w:szCs w:val="20"/>
          <w:lang w:eastAsia="lv-LV"/>
        </w:rPr>
        <w:t>Saistībā ar likumprojekta atbilstības Latvijas Republikas Satversmei (105., 109. un 116. pantam) izvērtēšanu, papildus sniedzu šādu atbildi:</w:t>
      </w:r>
    </w:p>
    <w:p w:rsidR="00D01D2A" w:rsidRPr="00D01D2A" w:rsidRDefault="00D01D2A" w:rsidP="00D01D2A">
      <w:pPr>
        <w:ind w:firstLine="720"/>
        <w:jc w:val="both"/>
        <w:rPr>
          <w:rFonts w:eastAsia="Times New Roman"/>
          <w:b/>
          <w:i/>
          <w:sz w:val="20"/>
          <w:szCs w:val="20"/>
          <w:lang w:eastAsia="lv-LV"/>
        </w:rPr>
      </w:pPr>
      <w:r w:rsidRPr="00D01D2A">
        <w:rPr>
          <w:rFonts w:eastAsia="Times New Roman"/>
          <w:b/>
          <w:i/>
          <w:sz w:val="20"/>
          <w:szCs w:val="20"/>
          <w:lang w:eastAsia="lv-LV"/>
        </w:rPr>
        <w:t>105.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p>
    <w:p w:rsidR="00D01D2A" w:rsidRPr="00D01D2A" w:rsidRDefault="00D01D2A" w:rsidP="00D01D2A">
      <w:pPr>
        <w:ind w:firstLine="720"/>
        <w:jc w:val="both"/>
        <w:rPr>
          <w:rFonts w:eastAsia="Times New Roman"/>
          <w:sz w:val="20"/>
          <w:szCs w:val="20"/>
          <w:lang w:eastAsia="lv-LV"/>
        </w:rPr>
      </w:pPr>
      <w:r w:rsidRPr="00D01D2A">
        <w:rPr>
          <w:rFonts w:eastAsia="Times New Roman"/>
          <w:sz w:val="20"/>
          <w:szCs w:val="20"/>
          <w:lang w:eastAsia="lv-LV"/>
        </w:rPr>
        <w:t xml:space="preserve">Tiesības uz īpašumu ietver valsts tiesības ierobežot īpašuma izmantošanu saskaņā ar sabiedrības interesēm. Tas izriet no īpašuma sociālās funkcijas – katram īpašniekam ir pienākums rēķināties ar citu interesēm. </w:t>
      </w:r>
    </w:p>
    <w:p w:rsidR="00D01D2A" w:rsidRPr="00D01D2A" w:rsidRDefault="00D01D2A" w:rsidP="00D01D2A">
      <w:pPr>
        <w:ind w:firstLine="720"/>
        <w:jc w:val="both"/>
        <w:rPr>
          <w:rFonts w:eastAsia="Times New Roman"/>
          <w:sz w:val="20"/>
          <w:szCs w:val="20"/>
          <w:lang w:eastAsia="lv-LV"/>
        </w:rPr>
      </w:pPr>
      <w:r w:rsidRPr="00D01D2A">
        <w:rPr>
          <w:rFonts w:eastAsia="Times New Roman"/>
          <w:sz w:val="20"/>
          <w:szCs w:val="20"/>
          <w:lang w:eastAsia="lv-LV"/>
        </w:rPr>
        <w:t xml:space="preserve">Personas veiktās valsts sociālās apdrošināšanas iemaksas attiecīgajā periodā garantē personai tiesības uz atbalstu bezdarba gadījumā, taču negarantē konkrētu apmēru (minētais attiecas uz visiem īslaicīgajiem sociālās apdrošināšanas pakalpojumiem (atšķirībā no valsts pensijas)). Kamēr personai nav piešķirts pabalsts, personai nerodas nedz īpašuma tiesības uz šo pakalpojumu, nedz arī tiesības prasīt konkrēta apmēra pabalsta izmaksu nākotnē. </w:t>
      </w:r>
    </w:p>
    <w:p w:rsidR="00D01D2A" w:rsidRPr="00D01D2A" w:rsidRDefault="00D01D2A" w:rsidP="00D01D2A">
      <w:pPr>
        <w:ind w:firstLine="720"/>
        <w:jc w:val="both"/>
        <w:rPr>
          <w:rFonts w:eastAsia="Times New Roman"/>
          <w:b/>
          <w:i/>
          <w:sz w:val="20"/>
          <w:szCs w:val="20"/>
          <w:lang w:eastAsia="lv-LV"/>
        </w:rPr>
      </w:pPr>
      <w:r w:rsidRPr="00D01D2A">
        <w:rPr>
          <w:rFonts w:eastAsia="Times New Roman"/>
          <w:b/>
          <w:i/>
          <w:sz w:val="20"/>
          <w:szCs w:val="20"/>
          <w:lang w:eastAsia="lv-LV"/>
        </w:rPr>
        <w:t>109. Ikvienam ir tiesības uz sociālo nodrošinājumu vecuma, darbnespējas, bezdarba un citos likumā noteiktajos gadījumos.</w:t>
      </w:r>
    </w:p>
    <w:p w:rsidR="00D01D2A" w:rsidRPr="00D01D2A" w:rsidRDefault="00D01D2A" w:rsidP="00D01D2A">
      <w:pPr>
        <w:ind w:firstLine="720"/>
        <w:jc w:val="both"/>
        <w:rPr>
          <w:rFonts w:eastAsia="Times New Roman"/>
          <w:sz w:val="20"/>
          <w:szCs w:val="20"/>
          <w:lang w:eastAsia="lv-LV"/>
        </w:rPr>
      </w:pPr>
      <w:r w:rsidRPr="00D01D2A">
        <w:rPr>
          <w:rFonts w:eastAsia="Times New Roman"/>
          <w:sz w:val="20"/>
          <w:szCs w:val="20"/>
          <w:lang w:eastAsia="lv-LV"/>
        </w:rPr>
        <w:t>Satversmes tiesa ir norādījusi, ka valstij ir pienākums sniegt personai atbalstu bezdarba gadījumā un gādāt, lai persona nepaliktu bez iztikas līdzekļiem. Taču no Satversmes 109. panta neizriet valsts pienākums personai bezdarba gadījumā saglabāt to pašu vai līdzīgu ienākumu līmeni, kāds tai bija laikā, kad šī persona bija nodarbināta. Satversmes 109. pants ir vērsts uz to, lai persona nepaliktu bez iztikas. Tādējādi likumprojekts neaizskar Satversmes 109. pantā garantētas tiesības uz sociālo nodrošinājumu bezdarba gadījumā.</w:t>
      </w:r>
    </w:p>
    <w:p w:rsidR="00D01D2A" w:rsidRPr="00D01D2A" w:rsidRDefault="00D01D2A" w:rsidP="00D01D2A">
      <w:pPr>
        <w:ind w:firstLine="720"/>
        <w:jc w:val="both"/>
        <w:rPr>
          <w:rFonts w:eastAsia="Times New Roman"/>
          <w:sz w:val="20"/>
          <w:szCs w:val="20"/>
          <w:lang w:eastAsia="lv-LV"/>
        </w:rPr>
      </w:pPr>
      <w:r w:rsidRPr="00D01D2A">
        <w:rPr>
          <w:rFonts w:eastAsia="Times New Roman"/>
          <w:sz w:val="20"/>
          <w:szCs w:val="20"/>
          <w:lang w:eastAsia="lv-LV"/>
        </w:rPr>
        <w:t>Bezdarba apdrošināšana (kā ikviena sociālās apdrošināšanas joma) ir balstīta uz solidaritātes principu, vienlaikus sekmējot valsts sociālās apdrošināšanas speciālā budžeta ilgtspēju.</w:t>
      </w:r>
    </w:p>
    <w:p w:rsidR="00D01D2A" w:rsidRPr="00D01D2A" w:rsidRDefault="00D01D2A" w:rsidP="00D01D2A">
      <w:pPr>
        <w:ind w:firstLine="720"/>
        <w:jc w:val="both"/>
        <w:rPr>
          <w:rFonts w:eastAsia="Times New Roman"/>
          <w:sz w:val="20"/>
          <w:szCs w:val="20"/>
          <w:lang w:eastAsia="lv-LV"/>
        </w:rPr>
      </w:pPr>
      <w:r w:rsidRPr="00D01D2A">
        <w:rPr>
          <w:rFonts w:eastAsia="Times New Roman"/>
          <w:sz w:val="20"/>
          <w:szCs w:val="20"/>
          <w:lang w:eastAsia="lv-LV"/>
        </w:rPr>
        <w:t>Bezdarbnieka pabalsta mērķis ir garantēt personai ienākumus laikā, kad tā nevar aktīvi iesaistīties darba tiesiskajās attiecībās un sevi nodrošināt. Šis mērķis tiek sasniegts, izmaksājot bezdarbnieka pabalstu. Vienlaikus, ņemot vērā darbaspēka trūkumu, bezdarbnieka pabalsta samazinājums atbilst sabiedrības interesēm, lai veicinātu bezdarbnieku ātrāku atgriešanos darba tirgū.</w:t>
      </w:r>
    </w:p>
    <w:p w:rsidR="00D01D2A" w:rsidRPr="00D01D2A" w:rsidRDefault="00D01D2A" w:rsidP="00D01D2A">
      <w:pPr>
        <w:ind w:firstLine="720"/>
        <w:jc w:val="both"/>
        <w:rPr>
          <w:rFonts w:eastAsia="Times New Roman"/>
          <w:b/>
          <w:i/>
          <w:sz w:val="20"/>
          <w:szCs w:val="20"/>
          <w:lang w:eastAsia="lv-LV"/>
        </w:rPr>
      </w:pPr>
      <w:r w:rsidRPr="00D01D2A">
        <w:rPr>
          <w:rFonts w:eastAsia="Times New Roman"/>
          <w:b/>
          <w:i/>
          <w:sz w:val="20"/>
          <w:szCs w:val="20"/>
          <w:lang w:eastAsia="lv-LV"/>
        </w:rPr>
        <w:t>116. Personas tiesības, kas noteiktas Satversmes deviņdesmit sestajā, deviņdesmit septītajā, deviņdesmit astotajā, simtajā, simt otrajā, simt trešajā, simt sestajā un simt astotajā pantā, var ierobežot likumā paredzētajos gadījumos, lai aizsargātu citu cilvēku tiesības, demokrātisko valsts iekārtu, sabiedrības drošību, labklājību un tikumību. Uz šajā pantā minēto nosacījumu pamata var ierobežot arī reliģiskās pārliecības paušanu.</w:t>
      </w:r>
    </w:p>
    <w:p w:rsidR="00D01D2A" w:rsidRPr="00D01D2A" w:rsidRDefault="00D01D2A" w:rsidP="00D01D2A">
      <w:pPr>
        <w:ind w:firstLine="720"/>
        <w:jc w:val="both"/>
        <w:rPr>
          <w:rFonts w:eastAsia="Times New Roman"/>
          <w:sz w:val="20"/>
          <w:szCs w:val="20"/>
          <w:lang w:eastAsia="lv-LV"/>
        </w:rPr>
      </w:pPr>
      <w:r w:rsidRPr="00D01D2A">
        <w:rPr>
          <w:rFonts w:eastAsia="Times New Roman"/>
          <w:sz w:val="20"/>
          <w:szCs w:val="20"/>
          <w:lang w:eastAsia="lv-LV"/>
        </w:rPr>
        <w:t>Regulējums tiks noteikts ar likumu</w:t>
      </w:r>
      <w:proofErr w:type="gramStart"/>
      <w:r w:rsidRPr="00D01D2A">
        <w:rPr>
          <w:rFonts w:eastAsia="Times New Roman"/>
          <w:sz w:val="20"/>
          <w:szCs w:val="20"/>
          <w:lang w:eastAsia="lv-LV"/>
        </w:rPr>
        <w:t xml:space="preserve"> un</w:t>
      </w:r>
      <w:proofErr w:type="gramEnd"/>
      <w:r w:rsidRPr="00D01D2A">
        <w:rPr>
          <w:rFonts w:eastAsia="Times New Roman"/>
          <w:sz w:val="20"/>
          <w:szCs w:val="20"/>
          <w:lang w:eastAsia="lv-LV"/>
        </w:rPr>
        <w:t xml:space="preserve"> tam ir leģitīms mērķis – nodrošinot Satversmes 116. pantā minēto mērķi – sabiedrības labklājību, motivējot bezdarbniekus intensīvāk meklēt darbu, kā arī veicinot valsts sociālās apdrošināšanas speciālā budžeta ilgtspēju.</w:t>
      </w:r>
    </w:p>
    <w:p w:rsidR="00D01D2A" w:rsidRPr="00D01D2A" w:rsidRDefault="00D01D2A" w:rsidP="00D01D2A">
      <w:pPr>
        <w:ind w:firstLine="720"/>
        <w:jc w:val="both"/>
        <w:rPr>
          <w:rFonts w:eastAsia="Times New Roman"/>
          <w:sz w:val="20"/>
          <w:szCs w:val="20"/>
          <w:lang w:eastAsia="lv-LV"/>
        </w:rPr>
      </w:pPr>
      <w:r w:rsidRPr="00D01D2A">
        <w:rPr>
          <w:rFonts w:eastAsia="Times New Roman"/>
          <w:sz w:val="20"/>
          <w:szCs w:val="20"/>
          <w:lang w:eastAsia="lv-LV"/>
        </w:rPr>
        <w:t>Ņemot vērā mērķi - veicināt bezdarbnieku atgriešanos darba tirgū, tādējādi risinot darbaspēka pieejamības problēmu, vienlaikus radot iespēju finanšu līdzekļu novirzīšanai, lai paaugstinātu minimālo vecuma pensiju aprēķina bāzi, kā arī valsts sociālā nodrošinājuma pabalstu personām ar invaliditāti, ir uzskatāms par pietiekami nozīmīgu sabiedrības labumu, kura sasniegšanai pieļaujams samērīgi ierobežot privātpersonu tiesiskās intereses.</w:t>
      </w:r>
    </w:p>
    <w:p w:rsidR="00D01D2A" w:rsidRPr="00AD4CDD" w:rsidRDefault="00D01D2A" w:rsidP="00D01D2A">
      <w:pPr>
        <w:jc w:val="both"/>
        <w:rPr>
          <w:i/>
          <w:color w:val="FF0000"/>
          <w:sz w:val="28"/>
          <w:szCs w:val="28"/>
        </w:rPr>
      </w:pPr>
    </w:p>
    <w:p w:rsidR="00D01D2A" w:rsidRDefault="00D01D2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83BB8"/>
    <w:multiLevelType w:val="hybridMultilevel"/>
    <w:tmpl w:val="AA2CF87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10"/>
    <w:rsid w:val="00106CDD"/>
    <w:rsid w:val="001674E6"/>
    <w:rsid w:val="003C5446"/>
    <w:rsid w:val="004228A0"/>
    <w:rsid w:val="00501638"/>
    <w:rsid w:val="005D4711"/>
    <w:rsid w:val="00A30DBB"/>
    <w:rsid w:val="00AF2510"/>
    <w:rsid w:val="00D01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9DF9D-1974-4B57-8279-80B37FCA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1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F2510"/>
    <w:rPr>
      <w:i/>
      <w:iCs/>
    </w:rPr>
  </w:style>
  <w:style w:type="paragraph" w:styleId="Footer">
    <w:name w:val="footer"/>
    <w:basedOn w:val="Normal"/>
    <w:link w:val="FooterChar"/>
    <w:rsid w:val="00AF2510"/>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AF2510"/>
    <w:rPr>
      <w:rFonts w:eastAsia="Times New Roman" w:cs="Times New Roman"/>
      <w:szCs w:val="24"/>
      <w:lang w:val="en-GB"/>
    </w:rPr>
  </w:style>
  <w:style w:type="character" w:styleId="PageNumber">
    <w:name w:val="page number"/>
    <w:rsid w:val="00AF2510"/>
  </w:style>
  <w:style w:type="paragraph" w:customStyle="1" w:styleId="labojumupamats">
    <w:name w:val="labojumu_pamats"/>
    <w:basedOn w:val="Normal"/>
    <w:rsid w:val="00AF2510"/>
    <w:pPr>
      <w:spacing w:before="100" w:beforeAutospacing="1" w:after="100" w:afterAutospacing="1"/>
    </w:pPr>
    <w:rPr>
      <w:rFonts w:eastAsia="Times New Roman"/>
      <w:szCs w:val="24"/>
      <w:lang w:eastAsia="lv-LV"/>
    </w:rPr>
  </w:style>
  <w:style w:type="paragraph" w:customStyle="1" w:styleId="tv213">
    <w:name w:val="tv213"/>
    <w:basedOn w:val="Normal"/>
    <w:rsid w:val="00AF2510"/>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AF2510"/>
    <w:pPr>
      <w:spacing w:after="200" w:line="276" w:lineRule="auto"/>
      <w:ind w:left="720"/>
      <w:contextualSpacing/>
    </w:pPr>
    <w:rPr>
      <w:rFonts w:ascii="Calibri" w:hAnsi="Calibri"/>
      <w:sz w:val="22"/>
    </w:rPr>
  </w:style>
  <w:style w:type="paragraph" w:styleId="Title">
    <w:name w:val="Title"/>
    <w:basedOn w:val="Normal"/>
    <w:link w:val="TitleChar"/>
    <w:qFormat/>
    <w:rsid w:val="00AF2510"/>
    <w:pPr>
      <w:jc w:val="center"/>
    </w:pPr>
    <w:rPr>
      <w:rFonts w:eastAsia="Times New Roman"/>
      <w:b/>
      <w:szCs w:val="20"/>
    </w:rPr>
  </w:style>
  <w:style w:type="character" w:customStyle="1" w:styleId="TitleChar">
    <w:name w:val="Title Char"/>
    <w:basedOn w:val="DefaultParagraphFont"/>
    <w:link w:val="Title"/>
    <w:rsid w:val="00AF2510"/>
    <w:rPr>
      <w:rFonts w:eastAsia="Times New Roman" w:cs="Times New Roman"/>
      <w:b/>
      <w:szCs w:val="20"/>
    </w:rPr>
  </w:style>
  <w:style w:type="paragraph" w:styleId="FootnoteText">
    <w:name w:val="footnote text"/>
    <w:basedOn w:val="Normal"/>
    <w:link w:val="FootnoteTextChar"/>
    <w:uiPriority w:val="99"/>
    <w:semiHidden/>
    <w:unhideWhenUsed/>
    <w:rsid w:val="00D01D2A"/>
    <w:rPr>
      <w:sz w:val="20"/>
      <w:szCs w:val="20"/>
    </w:rPr>
  </w:style>
  <w:style w:type="character" w:customStyle="1" w:styleId="FootnoteTextChar">
    <w:name w:val="Footnote Text Char"/>
    <w:basedOn w:val="DefaultParagraphFont"/>
    <w:link w:val="FootnoteText"/>
    <w:uiPriority w:val="99"/>
    <w:semiHidden/>
    <w:rsid w:val="00D01D2A"/>
    <w:rPr>
      <w:rFonts w:eastAsia="Calibri" w:cs="Times New Roman"/>
      <w:sz w:val="20"/>
      <w:szCs w:val="20"/>
    </w:rPr>
  </w:style>
  <w:style w:type="character" w:styleId="FootnoteReference">
    <w:name w:val="footnote reference"/>
    <w:basedOn w:val="DefaultParagraphFont"/>
    <w:uiPriority w:val="99"/>
    <w:semiHidden/>
    <w:unhideWhenUsed/>
    <w:rsid w:val="00D01D2A"/>
    <w:rPr>
      <w:vertAlign w:val="superscript"/>
    </w:rPr>
  </w:style>
  <w:style w:type="paragraph" w:styleId="BalloonText">
    <w:name w:val="Balloon Text"/>
    <w:basedOn w:val="Normal"/>
    <w:link w:val="BalloonTextChar"/>
    <w:uiPriority w:val="99"/>
    <w:semiHidden/>
    <w:unhideWhenUsed/>
    <w:rsid w:val="00106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0318-6024-4FFB-88EE-98BE9C4E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4080</Words>
  <Characters>2326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cp:lastPrinted>2019-11-02T12:23:00Z</cp:lastPrinted>
  <dcterms:created xsi:type="dcterms:W3CDTF">2019-11-02T12:24:00Z</dcterms:created>
  <dcterms:modified xsi:type="dcterms:W3CDTF">2019-11-04T09:26:00Z</dcterms:modified>
</cp:coreProperties>
</file>