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16" w:rsidRPr="0094485C" w:rsidRDefault="00576E16" w:rsidP="00576E16">
      <w:pPr>
        <w:rPr>
          <w:b/>
          <w:i/>
          <w:sz w:val="22"/>
        </w:rPr>
      </w:pPr>
      <w:r w:rsidRPr="00C62F8B">
        <w:rPr>
          <w:sz w:val="26"/>
          <w:szCs w:val="26"/>
        </w:rPr>
        <w:t>Budžeta un finanšu (nodokļu) komisija</w:t>
      </w:r>
      <w:r w:rsidR="004B091A">
        <w:rPr>
          <w:sz w:val="26"/>
          <w:szCs w:val="26"/>
        </w:rPr>
        <w:tab/>
      </w:r>
      <w:r w:rsidR="00777B71">
        <w:rPr>
          <w:sz w:val="26"/>
          <w:szCs w:val="26"/>
        </w:rPr>
        <w:t xml:space="preserve"> </w:t>
      </w:r>
    </w:p>
    <w:p w:rsidR="00F5084C" w:rsidRDefault="00576E16" w:rsidP="001F548E">
      <w:pPr>
        <w:jc w:val="right"/>
        <w:rPr>
          <w:sz w:val="26"/>
          <w:szCs w:val="26"/>
        </w:rPr>
      </w:pPr>
      <w:r w:rsidRPr="00C62F8B">
        <w:rPr>
          <w:sz w:val="26"/>
          <w:szCs w:val="26"/>
        </w:rPr>
        <w:t>L</w:t>
      </w:r>
      <w:r>
        <w:rPr>
          <w:sz w:val="26"/>
          <w:szCs w:val="26"/>
        </w:rPr>
        <w:t xml:space="preserve">ikumprojekts </w:t>
      </w:r>
      <w:r w:rsidR="00056624">
        <w:rPr>
          <w:sz w:val="26"/>
          <w:szCs w:val="26"/>
        </w:rPr>
        <w:t>(steidzams) otr</w:t>
      </w:r>
      <w:r w:rsidR="00C55326">
        <w:rPr>
          <w:sz w:val="26"/>
          <w:szCs w:val="26"/>
        </w:rPr>
        <w:t>ajam lasījumam</w:t>
      </w:r>
    </w:p>
    <w:p w:rsidR="00F96D2A" w:rsidRDefault="00F96D2A" w:rsidP="00576E16">
      <w:pPr>
        <w:jc w:val="center"/>
        <w:rPr>
          <w:b/>
          <w:iCs/>
          <w:sz w:val="26"/>
          <w:szCs w:val="26"/>
        </w:rPr>
      </w:pPr>
    </w:p>
    <w:p w:rsidR="00520099" w:rsidRPr="00F57A39" w:rsidRDefault="00F57A39" w:rsidP="00576E16">
      <w:pPr>
        <w:jc w:val="center"/>
        <w:rPr>
          <w:rStyle w:val="Emphasis"/>
          <w:b/>
          <w:i w:val="0"/>
          <w:sz w:val="26"/>
          <w:szCs w:val="26"/>
        </w:rPr>
      </w:pPr>
      <w:r w:rsidRPr="00F57A39">
        <w:rPr>
          <w:b/>
          <w:iCs/>
          <w:sz w:val="26"/>
          <w:szCs w:val="26"/>
        </w:rPr>
        <w:t>Grozījumi Dabas resursu nodokļa likumā</w:t>
      </w:r>
    </w:p>
    <w:p w:rsidR="00576E16" w:rsidRDefault="00FC3F53" w:rsidP="001846DF">
      <w:pPr>
        <w:jc w:val="center"/>
        <w:rPr>
          <w:rStyle w:val="Emphasis"/>
          <w:b/>
          <w:sz w:val="26"/>
          <w:szCs w:val="26"/>
        </w:rPr>
      </w:pPr>
      <w:r w:rsidRPr="00FC3F53">
        <w:rPr>
          <w:rStyle w:val="Emphasis"/>
          <w:b/>
          <w:sz w:val="26"/>
          <w:szCs w:val="26"/>
        </w:rPr>
        <w:t xml:space="preserve">(Nr. </w:t>
      </w:r>
      <w:r w:rsidR="00F57A39">
        <w:rPr>
          <w:rStyle w:val="Emphasis"/>
          <w:b/>
          <w:sz w:val="26"/>
          <w:szCs w:val="26"/>
        </w:rPr>
        <w:t>444</w:t>
      </w:r>
      <w:r w:rsidRPr="00FC3F53">
        <w:rPr>
          <w:rStyle w:val="Emphasis"/>
          <w:b/>
          <w:sz w:val="26"/>
          <w:szCs w:val="26"/>
        </w:rPr>
        <w:t>/Lp13</w:t>
      </w:r>
      <w:r w:rsidR="00C55326" w:rsidRPr="00FC3F53">
        <w:rPr>
          <w:rStyle w:val="Emphasis"/>
          <w:b/>
          <w:sz w:val="26"/>
          <w:szCs w:val="26"/>
        </w:rPr>
        <w:t>)</w:t>
      </w:r>
      <w:r w:rsidR="00EF0958" w:rsidRPr="00FC3F53">
        <w:rPr>
          <w:rStyle w:val="Emphasis"/>
          <w:b/>
          <w:sz w:val="26"/>
          <w:szCs w:val="26"/>
        </w:rPr>
        <w:t xml:space="preserve"> </w:t>
      </w:r>
    </w:p>
    <w:p w:rsidR="00DD7FEF" w:rsidRPr="00495B31" w:rsidRDefault="00DD7FEF" w:rsidP="001846DF">
      <w:pPr>
        <w:jc w:val="center"/>
        <w:rPr>
          <w:rStyle w:val="Emphasis"/>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7"/>
        <w:gridCol w:w="3928"/>
        <w:gridCol w:w="567"/>
        <w:gridCol w:w="3926"/>
        <w:gridCol w:w="1411"/>
        <w:gridCol w:w="1414"/>
      </w:tblGrid>
      <w:tr w:rsidR="00056624" w:rsidRPr="001B3F41" w:rsidTr="00056624">
        <w:tc>
          <w:tcPr>
            <w:tcW w:w="3964" w:type="dxa"/>
            <w:shd w:val="clear" w:color="auto" w:fill="auto"/>
          </w:tcPr>
          <w:p w:rsidR="00056624" w:rsidRPr="001634F0" w:rsidRDefault="00056624" w:rsidP="0096593E">
            <w:pPr>
              <w:jc w:val="center"/>
              <w:rPr>
                <w:b/>
                <w:bCs/>
                <w:iCs/>
              </w:rPr>
            </w:pPr>
            <w:r>
              <w:rPr>
                <w:b/>
              </w:rPr>
              <w:t>Spēkā esošā redakcija</w:t>
            </w:r>
          </w:p>
        </w:tc>
        <w:tc>
          <w:tcPr>
            <w:tcW w:w="3969" w:type="dxa"/>
            <w:shd w:val="clear" w:color="auto" w:fill="auto"/>
          </w:tcPr>
          <w:p w:rsidR="00056624" w:rsidRPr="001B3F41" w:rsidRDefault="00056624" w:rsidP="00163800">
            <w:pPr>
              <w:jc w:val="center"/>
              <w:rPr>
                <w:b/>
              </w:rPr>
            </w:pPr>
            <w:r>
              <w:rPr>
                <w:b/>
              </w:rPr>
              <w:t>Pirmā lasījuma redakcija</w:t>
            </w:r>
          </w:p>
        </w:tc>
        <w:tc>
          <w:tcPr>
            <w:tcW w:w="567" w:type="dxa"/>
          </w:tcPr>
          <w:p w:rsidR="00056624" w:rsidRPr="00F96D2A" w:rsidRDefault="00056624" w:rsidP="00F96D2A">
            <w:pPr>
              <w:jc w:val="center"/>
              <w:rPr>
                <w:b/>
              </w:rPr>
            </w:pPr>
            <w:r w:rsidRPr="00F96D2A">
              <w:rPr>
                <w:b/>
              </w:rPr>
              <w:t>Nr.</w:t>
            </w:r>
          </w:p>
        </w:tc>
        <w:tc>
          <w:tcPr>
            <w:tcW w:w="3969" w:type="dxa"/>
          </w:tcPr>
          <w:p w:rsidR="00056624" w:rsidRDefault="00056624" w:rsidP="00163800">
            <w:pPr>
              <w:jc w:val="center"/>
              <w:rPr>
                <w:b/>
              </w:rPr>
            </w:pPr>
            <w:r>
              <w:rPr>
                <w:b/>
              </w:rPr>
              <w:t>Priekšlikumi</w:t>
            </w:r>
          </w:p>
          <w:p w:rsidR="00056624" w:rsidRPr="001B3F41" w:rsidRDefault="00056624" w:rsidP="00163800">
            <w:pPr>
              <w:jc w:val="center"/>
              <w:rPr>
                <w:b/>
              </w:rPr>
            </w:pPr>
            <w:r>
              <w:rPr>
                <w:b/>
              </w:rPr>
              <w:t>(</w:t>
            </w:r>
            <w:r w:rsidR="00105F56">
              <w:rPr>
                <w:b/>
              </w:rPr>
              <w:t>22</w:t>
            </w:r>
            <w:bookmarkStart w:id="0" w:name="_GoBack"/>
            <w:bookmarkEnd w:id="0"/>
            <w:r>
              <w:rPr>
                <w:b/>
              </w:rPr>
              <w:t>)</w:t>
            </w:r>
          </w:p>
        </w:tc>
        <w:tc>
          <w:tcPr>
            <w:tcW w:w="1417" w:type="dxa"/>
          </w:tcPr>
          <w:p w:rsidR="00056624" w:rsidRPr="001B3F41" w:rsidRDefault="00056624" w:rsidP="00163800">
            <w:pPr>
              <w:jc w:val="center"/>
              <w:rPr>
                <w:b/>
              </w:rPr>
            </w:pPr>
            <w:r>
              <w:rPr>
                <w:b/>
              </w:rPr>
              <w:t>Ministru kabineta atzinums</w:t>
            </w:r>
          </w:p>
        </w:tc>
        <w:tc>
          <w:tcPr>
            <w:tcW w:w="1418" w:type="dxa"/>
          </w:tcPr>
          <w:p w:rsidR="00056624" w:rsidRPr="001B3F41" w:rsidRDefault="00056624" w:rsidP="00163800">
            <w:pPr>
              <w:jc w:val="center"/>
              <w:rPr>
                <w:b/>
              </w:rPr>
            </w:pPr>
            <w:r>
              <w:rPr>
                <w:b/>
              </w:rPr>
              <w:t>Komisijas atzinums</w:t>
            </w:r>
          </w:p>
        </w:tc>
      </w:tr>
      <w:tr w:rsidR="00056624" w:rsidRPr="001B3F41" w:rsidTr="00056624">
        <w:tc>
          <w:tcPr>
            <w:tcW w:w="3964" w:type="dxa"/>
            <w:shd w:val="clear" w:color="auto" w:fill="auto"/>
          </w:tcPr>
          <w:p w:rsidR="00056624" w:rsidRPr="00B6582A" w:rsidRDefault="00056624" w:rsidP="00B6215C">
            <w:pPr>
              <w:ind w:firstLine="567"/>
              <w:jc w:val="both"/>
              <w:rPr>
                <w:sz w:val="22"/>
              </w:rPr>
            </w:pPr>
          </w:p>
        </w:tc>
        <w:tc>
          <w:tcPr>
            <w:tcW w:w="3969" w:type="dxa"/>
            <w:shd w:val="clear" w:color="auto" w:fill="auto"/>
          </w:tcPr>
          <w:p w:rsidR="00056624" w:rsidRPr="005E54AA" w:rsidRDefault="00056624" w:rsidP="00B712D1">
            <w:pPr>
              <w:ind w:firstLine="567"/>
              <w:jc w:val="both"/>
              <w:rPr>
                <w:rFonts w:eastAsia="Times New Roman"/>
                <w:iCs/>
                <w:color w:val="000000"/>
                <w:sz w:val="22"/>
                <w:lang w:eastAsia="lv-LV"/>
              </w:rPr>
            </w:pPr>
            <w:r w:rsidRPr="004B6B4F">
              <w:rPr>
                <w:rFonts w:eastAsia="Times New Roman"/>
                <w:iCs/>
                <w:color w:val="000000"/>
                <w:sz w:val="22"/>
                <w:lang w:eastAsia="lv-LV"/>
              </w:rPr>
              <w:t>Izdarīt Dabas resursu nodokļa likumā (Latvijas Republikas Saeimas un Ministru Kabineta Ziņotājs, 2006, 2. nr.; 2007, 3., 24. nr.; 2008, 3., 13. nr.; 2009, 1., 15. nr.; Latvijas Vēstnesis, 2010, 206. nr.; 2013, 194., 232. nr.; 2014, 199. nr.; 2016, 241., 254. nr.; 2018, 90. nr.; 2019, 75. nr.) šādus grozījumus:</w:t>
            </w:r>
          </w:p>
        </w:tc>
        <w:tc>
          <w:tcPr>
            <w:tcW w:w="567" w:type="dxa"/>
          </w:tcPr>
          <w:p w:rsidR="00056624" w:rsidRPr="00F96D2A" w:rsidRDefault="00056624" w:rsidP="00F96D2A">
            <w:pPr>
              <w:jc w:val="center"/>
              <w:rPr>
                <w:rFonts w:eastAsia="Times New Roman"/>
                <w:b/>
                <w:iCs/>
                <w:color w:val="000000"/>
                <w:sz w:val="22"/>
                <w:lang w:eastAsia="lv-LV"/>
              </w:rPr>
            </w:pPr>
          </w:p>
        </w:tc>
        <w:tc>
          <w:tcPr>
            <w:tcW w:w="3969" w:type="dxa"/>
          </w:tcPr>
          <w:p w:rsidR="00056624" w:rsidRPr="004B6B4F" w:rsidRDefault="00056624" w:rsidP="00B712D1">
            <w:pPr>
              <w:ind w:firstLine="567"/>
              <w:jc w:val="both"/>
              <w:rPr>
                <w:rFonts w:eastAsia="Times New Roman"/>
                <w:iCs/>
                <w:color w:val="000000"/>
                <w:sz w:val="22"/>
                <w:lang w:eastAsia="lv-LV"/>
              </w:rPr>
            </w:pPr>
          </w:p>
        </w:tc>
        <w:tc>
          <w:tcPr>
            <w:tcW w:w="1417" w:type="dxa"/>
          </w:tcPr>
          <w:p w:rsidR="00056624" w:rsidRPr="004B6B4F" w:rsidRDefault="00056624" w:rsidP="00B712D1">
            <w:pPr>
              <w:ind w:firstLine="567"/>
              <w:jc w:val="both"/>
              <w:rPr>
                <w:rFonts w:eastAsia="Times New Roman"/>
                <w:iCs/>
                <w:color w:val="000000"/>
                <w:sz w:val="22"/>
                <w:lang w:eastAsia="lv-LV"/>
              </w:rPr>
            </w:pPr>
          </w:p>
        </w:tc>
        <w:tc>
          <w:tcPr>
            <w:tcW w:w="1418" w:type="dxa"/>
          </w:tcPr>
          <w:p w:rsidR="00056624" w:rsidRPr="004B6B4F" w:rsidRDefault="00056624" w:rsidP="00B712D1">
            <w:pPr>
              <w:ind w:firstLine="567"/>
              <w:jc w:val="both"/>
              <w:rPr>
                <w:rFonts w:eastAsia="Times New Roman"/>
                <w:iCs/>
                <w:color w:val="000000"/>
                <w:sz w:val="22"/>
                <w:lang w:eastAsia="lv-LV"/>
              </w:rPr>
            </w:pPr>
          </w:p>
        </w:tc>
      </w:tr>
      <w:tr w:rsidR="006A2924" w:rsidRPr="001B3F41" w:rsidTr="00056624">
        <w:tc>
          <w:tcPr>
            <w:tcW w:w="3964" w:type="dxa"/>
            <w:shd w:val="clear" w:color="auto" w:fill="auto"/>
          </w:tcPr>
          <w:p w:rsidR="006A2924" w:rsidRPr="00B6582A" w:rsidRDefault="006A2924" w:rsidP="00B6215C">
            <w:pPr>
              <w:ind w:firstLine="567"/>
              <w:jc w:val="both"/>
              <w:rPr>
                <w:sz w:val="22"/>
              </w:rPr>
            </w:pPr>
          </w:p>
        </w:tc>
        <w:tc>
          <w:tcPr>
            <w:tcW w:w="3969" w:type="dxa"/>
            <w:shd w:val="clear" w:color="auto" w:fill="auto"/>
          </w:tcPr>
          <w:p w:rsidR="006A2924" w:rsidRPr="004B6B4F" w:rsidRDefault="006A2924" w:rsidP="00B712D1">
            <w:pPr>
              <w:ind w:firstLine="567"/>
              <w:jc w:val="both"/>
              <w:rPr>
                <w:rFonts w:eastAsia="Times New Roman"/>
                <w:iCs/>
                <w:color w:val="000000"/>
                <w:sz w:val="22"/>
                <w:lang w:eastAsia="lv-LV"/>
              </w:rPr>
            </w:pPr>
          </w:p>
        </w:tc>
        <w:tc>
          <w:tcPr>
            <w:tcW w:w="567" w:type="dxa"/>
          </w:tcPr>
          <w:p w:rsidR="006A2924" w:rsidRPr="00F96D2A" w:rsidRDefault="00F96D2A" w:rsidP="00F96D2A">
            <w:pPr>
              <w:jc w:val="center"/>
              <w:rPr>
                <w:rFonts w:eastAsia="Times New Roman"/>
                <w:b/>
                <w:iCs/>
                <w:color w:val="000000"/>
                <w:sz w:val="22"/>
                <w:lang w:eastAsia="lv-LV"/>
              </w:rPr>
            </w:pPr>
            <w:r>
              <w:rPr>
                <w:rFonts w:eastAsia="Times New Roman"/>
                <w:b/>
                <w:iCs/>
                <w:color w:val="000000"/>
                <w:sz w:val="22"/>
                <w:lang w:eastAsia="lv-LV"/>
              </w:rPr>
              <w:t>1</w:t>
            </w:r>
          </w:p>
        </w:tc>
        <w:tc>
          <w:tcPr>
            <w:tcW w:w="3969" w:type="dxa"/>
          </w:tcPr>
          <w:p w:rsidR="006A2924" w:rsidRPr="006A2924" w:rsidRDefault="006A2924" w:rsidP="00B712D1">
            <w:pPr>
              <w:ind w:firstLine="567"/>
              <w:jc w:val="both"/>
              <w:rPr>
                <w:rFonts w:eastAsia="Times New Roman"/>
                <w:b/>
                <w:iCs/>
                <w:color w:val="000000"/>
                <w:sz w:val="22"/>
                <w:u w:val="single"/>
                <w:lang w:eastAsia="lv-LV"/>
              </w:rPr>
            </w:pPr>
            <w:r w:rsidRPr="006A2924">
              <w:rPr>
                <w:rFonts w:eastAsia="Times New Roman"/>
                <w:b/>
                <w:iCs/>
                <w:color w:val="000000"/>
                <w:sz w:val="22"/>
                <w:u w:val="single"/>
                <w:lang w:eastAsia="lv-LV"/>
              </w:rPr>
              <w:t>Juridiskais birojs</w:t>
            </w:r>
          </w:p>
          <w:p w:rsidR="006A2924" w:rsidRPr="006A2924" w:rsidRDefault="006A2924" w:rsidP="006A2924">
            <w:pPr>
              <w:ind w:firstLine="567"/>
              <w:jc w:val="both"/>
              <w:rPr>
                <w:rFonts w:eastAsia="Times New Roman"/>
                <w:i/>
                <w:iCs/>
                <w:color w:val="000000"/>
                <w:sz w:val="22"/>
                <w:lang w:eastAsia="lv-LV"/>
              </w:rPr>
            </w:pPr>
            <w:r w:rsidRPr="006A2924">
              <w:rPr>
                <w:rFonts w:eastAsia="Times New Roman"/>
                <w:i/>
                <w:iCs/>
                <w:color w:val="000000"/>
                <w:sz w:val="22"/>
                <w:lang w:eastAsia="lv-LV"/>
              </w:rPr>
              <w:t>Iesniegtais likumprojekts cita starpā paredz paaugstināt dabas resursu nodokļa (turpmāk – DRN) likmes atsevišķiem objektiem (smilts, oglekļa dioksīda emisija, akmeņogles), noteikt jaunu DRN objektu - atkritumu sadedzināšana, kā arī atcelt atbrīvojumu no DRN samaksas par akmeņoglēm, koksu un lignītu, ja tos izmanto elektroenerģijas ražošanā vai koģenerācijā. Paredzēts, ka likumprojektā ietvertais regulējums stāsies spēkā 2020. gada 1. janvārī.</w:t>
            </w:r>
          </w:p>
          <w:p w:rsidR="006A2924" w:rsidRPr="006A2924" w:rsidRDefault="006A2924" w:rsidP="006A2924">
            <w:pPr>
              <w:ind w:firstLine="567"/>
              <w:jc w:val="both"/>
              <w:rPr>
                <w:rFonts w:eastAsia="Times New Roman"/>
                <w:i/>
                <w:iCs/>
                <w:color w:val="000000"/>
                <w:sz w:val="22"/>
                <w:lang w:eastAsia="lv-LV"/>
              </w:rPr>
            </w:pPr>
            <w:r w:rsidRPr="006A2924">
              <w:rPr>
                <w:rFonts w:eastAsia="Times New Roman"/>
                <w:i/>
                <w:iCs/>
                <w:color w:val="000000"/>
                <w:sz w:val="22"/>
                <w:lang w:eastAsia="lv-LV"/>
              </w:rPr>
              <w:t xml:space="preserve">Ņemot vērā to, ka nodokļa maksāšanas pienākums ir vērtējams kā īpašuma tiesību ierobežojums, Saeimai ir pienākums izvērtēt likumprojekta atbilstību Satversmei, tostarp pārliecināties, ka paredzētie īpašuma tiesību ierobežojumi (konkrētajā gadījumā </w:t>
            </w:r>
            <w:r w:rsidRPr="006A2924">
              <w:rPr>
                <w:rFonts w:eastAsia="Times New Roman"/>
                <w:i/>
                <w:iCs/>
                <w:color w:val="000000"/>
                <w:sz w:val="22"/>
                <w:lang w:eastAsia="lv-LV"/>
              </w:rPr>
              <w:lastRenderedPageBreak/>
              <w:t>nodokļa likmes pieaugums, atvieglojuma atcelšana un jauna n</w:t>
            </w:r>
            <w:r w:rsidR="0079495B">
              <w:rPr>
                <w:rFonts w:eastAsia="Times New Roman"/>
                <w:i/>
                <w:iCs/>
                <w:color w:val="000000"/>
                <w:sz w:val="22"/>
                <w:lang w:eastAsia="lv-LV"/>
              </w:rPr>
              <w:t>odokļa objekta noteikšana no 202</w:t>
            </w:r>
            <w:r w:rsidRPr="006A2924">
              <w:rPr>
                <w:rFonts w:eastAsia="Times New Roman"/>
                <w:i/>
                <w:iCs/>
                <w:color w:val="000000"/>
                <w:sz w:val="22"/>
                <w:lang w:eastAsia="lv-LV"/>
              </w:rPr>
              <w:t>0. gada 1. janvāra) atbilst samērīguma principam. Likumdevējam ir pienākums pārliecināties, ka izraudzītais regulējums nav izvēlēts patvaļīgi, tā pamatā ir racionāli un objektīvi apsvērumi, nodokļa slogs nav nesamērīgs, kā arī  apsvērt paredzētā regulējuma alternatīvas.</w:t>
            </w:r>
          </w:p>
          <w:p w:rsidR="006A2924" w:rsidRPr="006A2924" w:rsidRDefault="006A2924" w:rsidP="006A2924">
            <w:pPr>
              <w:ind w:firstLine="567"/>
              <w:jc w:val="both"/>
              <w:rPr>
                <w:rFonts w:eastAsia="Times New Roman"/>
                <w:i/>
                <w:iCs/>
                <w:color w:val="000000"/>
                <w:sz w:val="22"/>
                <w:lang w:eastAsia="lv-LV"/>
              </w:rPr>
            </w:pPr>
            <w:r w:rsidRPr="006A2924">
              <w:rPr>
                <w:rFonts w:eastAsia="Times New Roman"/>
                <w:i/>
                <w:iCs/>
                <w:color w:val="000000"/>
                <w:sz w:val="22"/>
                <w:lang w:eastAsia="lv-LV"/>
              </w:rPr>
              <w:t>Šāda izvērtējuma veikšanai ir nepieciešama informācija par to, kādi apsvērumi ir bijuši par pamatu nodokļa likmju attiecīgajam pieaugumam, citām izmaiņām nodokļa maksāšanā, kā arī kādi apsvērumi ir bijuši par pamatu tam, ka šādas izmaiņas nebūs nesamērīgs slogs nodokļa maksātājam un informāciju par to, ka ir vērtētas citas paredzētā regulējuma alternatīvas. Tomēr likumprojekta anotācijā sniegtā informācija par šādu izvērtējumu ir nepietiekoša un šāds detalizēts izvērtējums netika sniegts arī komisijas sēdē, izskatot likumprojektu pirmajā lasījumā.</w:t>
            </w:r>
          </w:p>
          <w:p w:rsidR="006A2924" w:rsidRDefault="006A2924" w:rsidP="006A2924">
            <w:pPr>
              <w:ind w:firstLine="567"/>
              <w:jc w:val="both"/>
              <w:rPr>
                <w:rFonts w:eastAsia="Times New Roman"/>
                <w:i/>
                <w:iCs/>
                <w:color w:val="000000"/>
                <w:sz w:val="22"/>
                <w:lang w:eastAsia="lv-LV"/>
              </w:rPr>
            </w:pPr>
            <w:r w:rsidRPr="006A2924">
              <w:rPr>
                <w:rFonts w:eastAsia="Times New Roman"/>
                <w:i/>
                <w:iCs/>
                <w:color w:val="000000"/>
                <w:sz w:val="22"/>
                <w:lang w:eastAsia="lv-LV"/>
              </w:rPr>
              <w:t>Ņemot vērā iepriekšminēto, Juridiskais birojs aicina uzklausīt komisijā likumprojekta autoru detalizētu skaidrojumu par izvēlētā regulējuma atbilstību Satversmei un tikai tad, ja ir gūta pārliecība, ka gan nodokļa likmju paaugstināšana, gan jauna nodokļa objekta noteikšana un atbrīvojuma atcelšana no 2020. gada 1. janvāra atbilst samērīguma principam lemt par attiecīgo virzīšanu izskatīšanai Saeimā otrajam lasījumam.</w:t>
            </w:r>
          </w:p>
          <w:p w:rsidR="00D92676" w:rsidRPr="006A2924" w:rsidRDefault="00D92676" w:rsidP="006A2924">
            <w:pPr>
              <w:ind w:firstLine="567"/>
              <w:jc w:val="both"/>
              <w:rPr>
                <w:rFonts w:eastAsia="Times New Roman"/>
                <w:i/>
                <w:iCs/>
                <w:color w:val="000000"/>
                <w:sz w:val="22"/>
                <w:lang w:eastAsia="lv-LV"/>
              </w:rPr>
            </w:pPr>
          </w:p>
        </w:tc>
        <w:tc>
          <w:tcPr>
            <w:tcW w:w="1417" w:type="dxa"/>
          </w:tcPr>
          <w:p w:rsidR="006A2924" w:rsidRPr="004B6B4F" w:rsidRDefault="006A2924" w:rsidP="00B712D1">
            <w:pPr>
              <w:ind w:firstLine="567"/>
              <w:jc w:val="both"/>
              <w:rPr>
                <w:rFonts w:eastAsia="Times New Roman"/>
                <w:iCs/>
                <w:color w:val="000000"/>
                <w:sz w:val="22"/>
                <w:lang w:eastAsia="lv-LV"/>
              </w:rPr>
            </w:pPr>
          </w:p>
        </w:tc>
        <w:tc>
          <w:tcPr>
            <w:tcW w:w="1418" w:type="dxa"/>
          </w:tcPr>
          <w:p w:rsidR="006A2924" w:rsidRPr="004B6B4F" w:rsidRDefault="006A2924" w:rsidP="00B712D1">
            <w:pPr>
              <w:ind w:firstLine="567"/>
              <w:jc w:val="both"/>
              <w:rPr>
                <w:rFonts w:eastAsia="Times New Roman"/>
                <w:iCs/>
                <w:color w:val="000000"/>
                <w:sz w:val="22"/>
                <w:lang w:eastAsia="lv-LV"/>
              </w:rPr>
            </w:pPr>
          </w:p>
        </w:tc>
      </w:tr>
      <w:tr w:rsidR="006A2924" w:rsidRPr="001B3F41" w:rsidTr="00056624">
        <w:tc>
          <w:tcPr>
            <w:tcW w:w="3964" w:type="dxa"/>
            <w:shd w:val="clear" w:color="auto" w:fill="auto"/>
          </w:tcPr>
          <w:p w:rsidR="006A2924" w:rsidRPr="00B6582A" w:rsidRDefault="006A2924" w:rsidP="00B6215C">
            <w:pPr>
              <w:ind w:firstLine="567"/>
              <w:jc w:val="both"/>
              <w:rPr>
                <w:sz w:val="22"/>
              </w:rPr>
            </w:pPr>
          </w:p>
        </w:tc>
        <w:tc>
          <w:tcPr>
            <w:tcW w:w="3969" w:type="dxa"/>
            <w:shd w:val="clear" w:color="auto" w:fill="auto"/>
          </w:tcPr>
          <w:p w:rsidR="006A2924" w:rsidRPr="004B6B4F" w:rsidRDefault="006A2924" w:rsidP="00B712D1">
            <w:pPr>
              <w:ind w:firstLine="567"/>
              <w:jc w:val="both"/>
              <w:rPr>
                <w:rFonts w:eastAsia="Times New Roman"/>
                <w:iCs/>
                <w:color w:val="000000"/>
                <w:sz w:val="22"/>
                <w:lang w:eastAsia="lv-LV"/>
              </w:rPr>
            </w:pPr>
          </w:p>
        </w:tc>
        <w:tc>
          <w:tcPr>
            <w:tcW w:w="567" w:type="dxa"/>
          </w:tcPr>
          <w:p w:rsidR="006A2924" w:rsidRPr="00F96D2A" w:rsidRDefault="00580B15" w:rsidP="00F96D2A">
            <w:pPr>
              <w:jc w:val="center"/>
              <w:rPr>
                <w:rFonts w:eastAsia="Times New Roman"/>
                <w:b/>
                <w:iCs/>
                <w:color w:val="000000"/>
                <w:sz w:val="22"/>
                <w:lang w:eastAsia="lv-LV"/>
              </w:rPr>
            </w:pPr>
            <w:r>
              <w:rPr>
                <w:rFonts w:eastAsia="Times New Roman"/>
                <w:b/>
                <w:iCs/>
                <w:color w:val="000000"/>
                <w:sz w:val="22"/>
                <w:lang w:eastAsia="lv-LV"/>
              </w:rPr>
              <w:t>2</w:t>
            </w:r>
          </w:p>
        </w:tc>
        <w:tc>
          <w:tcPr>
            <w:tcW w:w="3969" w:type="dxa"/>
          </w:tcPr>
          <w:p w:rsidR="006A2924" w:rsidRDefault="00F96D2A" w:rsidP="00B712D1">
            <w:pPr>
              <w:ind w:firstLine="567"/>
              <w:jc w:val="both"/>
              <w:rPr>
                <w:rFonts w:eastAsia="Times New Roman"/>
                <w:b/>
                <w:iCs/>
                <w:color w:val="000000"/>
                <w:sz w:val="22"/>
                <w:u w:val="single"/>
                <w:lang w:eastAsia="lv-LV"/>
              </w:rPr>
            </w:pPr>
            <w:r w:rsidRPr="006A2924">
              <w:rPr>
                <w:rFonts w:eastAsia="Times New Roman"/>
                <w:b/>
                <w:iCs/>
                <w:color w:val="000000"/>
                <w:sz w:val="22"/>
                <w:u w:val="single"/>
                <w:lang w:eastAsia="lv-LV"/>
              </w:rPr>
              <w:t>Juridiskais birojs</w:t>
            </w:r>
          </w:p>
          <w:p w:rsidR="00F96D2A" w:rsidRPr="00F96D2A" w:rsidRDefault="00F96D2A" w:rsidP="00F96D2A">
            <w:pPr>
              <w:ind w:firstLine="567"/>
              <w:jc w:val="both"/>
              <w:rPr>
                <w:rFonts w:eastAsia="Times New Roman"/>
                <w:i/>
                <w:iCs/>
                <w:color w:val="000000"/>
                <w:sz w:val="22"/>
                <w:lang w:eastAsia="lv-LV"/>
              </w:rPr>
            </w:pPr>
            <w:r w:rsidRPr="00F96D2A">
              <w:rPr>
                <w:rFonts w:eastAsia="Times New Roman"/>
                <w:i/>
                <w:iCs/>
                <w:color w:val="000000"/>
                <w:sz w:val="22"/>
                <w:lang w:eastAsia="lv-LV"/>
              </w:rPr>
              <w:t>Tiesību normas pieņemšanas kārtības ievērošana ir tiesību normas spēkā esamības priekšnoteikums. Satversmes tiesa ir atzinusi, likumdevējam ir tiesības un tai pašā laikā arī pienākums valsts budžeta likumā un to pavadošo likumu paketē iekļaut vienīgi tādus jautājumus, kas attiecas uz konkrēto saimniecisko gadu un ir cieši saistīti ar valsts finanšu līdzekļu izlietojumu (sk. Satversmes tiesas 2011. gada 19. decembra sprieduma lietā Nr. 2011-03-01 18. punktu un 2015. gada 25. marta sprieduma lietā Nr. 2014-11-0103 18.1. punktu). Ņemot vērā īpašo budžeta likumprojektu paketes izskatīšanai noteikto kārtību, Saeimai ir jāizvērtē arī tas, vai visi Ministru kabineta iesniegtie valsts budžeta paketes likumprojekti atbilst Saeimas kārtības ruļļa 87.</w:t>
            </w:r>
            <w:r w:rsidRPr="00F96D2A">
              <w:rPr>
                <w:rFonts w:eastAsia="Times New Roman"/>
                <w:i/>
                <w:iCs/>
                <w:color w:val="000000"/>
                <w:sz w:val="22"/>
                <w:vertAlign w:val="superscript"/>
                <w:lang w:eastAsia="lv-LV"/>
              </w:rPr>
              <w:t>1</w:t>
            </w:r>
            <w:r w:rsidRPr="00F96D2A">
              <w:rPr>
                <w:rFonts w:eastAsia="Times New Roman"/>
                <w:i/>
                <w:iCs/>
                <w:color w:val="000000"/>
                <w:sz w:val="22"/>
                <w:lang w:eastAsia="lv-LV"/>
              </w:rPr>
              <w:t xml:space="preserve"> pantā norādītajiem kritērijiem. Ja kāds likumprojekts šiem kritērijiem neatbilst, Saeimai tas jāizslēdz no budžeta likumprojektu paketes (sk. Satversmes tiesas 2015.gada 25.marta sprieduma lietā Nr.2014-11-0103 18.1.punktu).</w:t>
            </w:r>
          </w:p>
          <w:p w:rsidR="00F96D2A" w:rsidRPr="00F96D2A" w:rsidRDefault="00F96D2A" w:rsidP="00F96D2A">
            <w:pPr>
              <w:ind w:firstLine="567"/>
              <w:jc w:val="both"/>
              <w:rPr>
                <w:rFonts w:eastAsia="Times New Roman"/>
                <w:i/>
                <w:iCs/>
                <w:color w:val="000000"/>
                <w:sz w:val="22"/>
                <w:lang w:eastAsia="lv-LV"/>
              </w:rPr>
            </w:pPr>
            <w:r w:rsidRPr="00F96D2A">
              <w:rPr>
                <w:rFonts w:eastAsia="Times New Roman"/>
                <w:i/>
                <w:iCs/>
                <w:color w:val="000000"/>
                <w:sz w:val="22"/>
                <w:lang w:eastAsia="lv-LV"/>
              </w:rPr>
              <w:t>Šai sakarā Juridiskais birojs vērš komisijas uzmanību uz likuma 20.</w:t>
            </w:r>
            <w:r w:rsidRPr="00F96D2A">
              <w:rPr>
                <w:rFonts w:eastAsia="Times New Roman"/>
                <w:i/>
                <w:iCs/>
                <w:color w:val="000000"/>
                <w:sz w:val="22"/>
                <w:vertAlign w:val="superscript"/>
                <w:lang w:eastAsia="lv-LV"/>
              </w:rPr>
              <w:t xml:space="preserve">1 </w:t>
            </w:r>
            <w:r w:rsidRPr="00F96D2A">
              <w:rPr>
                <w:rFonts w:eastAsia="Times New Roman"/>
                <w:i/>
                <w:iCs/>
                <w:color w:val="000000"/>
                <w:sz w:val="22"/>
                <w:lang w:eastAsia="lv-LV"/>
              </w:rPr>
              <w:t>pantu (likumprojekta 3. pants) un ar šo normu saistītajiem grozījumiem likuma 3. un 4. pantā un likuma 28. panta ceturtajā daļā (likumprojekta 1., 2. un 5. pants). No minētajām tiesību normām izriet, ka tiek noteikts jauns nodokļa objekts – atkritumu sadedzināšana un no likumprojekta teksta secināms, ka nodoklis par to maksājams no 2020. gada 1. janvāra.</w:t>
            </w:r>
          </w:p>
          <w:p w:rsidR="00F96D2A" w:rsidRPr="00F96D2A" w:rsidRDefault="00F96D2A" w:rsidP="00F96D2A">
            <w:pPr>
              <w:ind w:firstLine="567"/>
              <w:jc w:val="both"/>
              <w:rPr>
                <w:rFonts w:eastAsia="Times New Roman"/>
                <w:i/>
                <w:iCs/>
                <w:color w:val="000000"/>
                <w:sz w:val="22"/>
                <w:lang w:eastAsia="lv-LV"/>
              </w:rPr>
            </w:pPr>
            <w:r w:rsidRPr="00F96D2A">
              <w:rPr>
                <w:rFonts w:eastAsia="Times New Roman"/>
                <w:i/>
                <w:iCs/>
                <w:color w:val="000000"/>
                <w:sz w:val="22"/>
                <w:lang w:eastAsia="lv-LV"/>
              </w:rPr>
              <w:lastRenderedPageBreak/>
              <w:t>Tomēr attiecībā uz laiku, kad paredzēta normu par atkritumu sadedzināšanu spēkā stāšanās, likumprojekta tekstā iekļautais regulējums un anotācijā sniegtā informācija ir pretrunīga. Proti, kā jau iepriekš norādīts, no likumprojekta teksta secināms, ka normas stājas spēkā 2020. gada 1. janvārī. Arī likumprojekta anotācijā sadaļā “Tiesību akta projekta anotācijas kopsavilkums” ir norāde, ka likumprojektā ietvertais regulējums stāsies spēkā 2020. gada 1. janvārī. Savukārt anotācijas sadaļā “Tiesību akta projekta izstrādes nepieciešamība” pamatojumā, kāpēc nepieciešams noteikt jaunu nodokļa objektu – atkritumu sadedzināšana – ir norāde uz 2021. gadu kā attiecīgo normu spēkā stāšanās laiku.</w:t>
            </w:r>
          </w:p>
          <w:p w:rsidR="00F96D2A" w:rsidRPr="00F96D2A" w:rsidRDefault="00F96D2A" w:rsidP="00F96D2A">
            <w:pPr>
              <w:ind w:firstLine="567"/>
              <w:jc w:val="both"/>
              <w:rPr>
                <w:rFonts w:eastAsia="Times New Roman"/>
                <w:i/>
                <w:iCs/>
                <w:color w:val="000000"/>
                <w:sz w:val="22"/>
                <w:lang w:eastAsia="lv-LV"/>
              </w:rPr>
            </w:pPr>
            <w:r w:rsidRPr="00F96D2A">
              <w:rPr>
                <w:rFonts w:eastAsia="Times New Roman"/>
                <w:i/>
                <w:iCs/>
                <w:color w:val="000000"/>
                <w:sz w:val="22"/>
                <w:lang w:eastAsia="lv-LV"/>
              </w:rPr>
              <w:t>Ja likumprojekta autoru patiesais mērķis ir uzsākt nodokļa piemērošanu atkritumu sadedzināšanai no 2021. gada, Juridiskā biroja ieskatā pastāv pamatotas šaubas par šī regulējuma ietveršanu ar valsts budžetu 2020. gadam saistītā likumprojektu paketes likumā.</w:t>
            </w:r>
          </w:p>
          <w:p w:rsidR="00F96D2A" w:rsidRPr="00F96D2A" w:rsidRDefault="00F96D2A" w:rsidP="00F96D2A">
            <w:pPr>
              <w:ind w:firstLine="567"/>
              <w:jc w:val="both"/>
              <w:rPr>
                <w:rFonts w:eastAsia="Times New Roman"/>
                <w:i/>
                <w:iCs/>
                <w:color w:val="000000"/>
                <w:sz w:val="22"/>
                <w:lang w:eastAsia="lv-LV"/>
              </w:rPr>
            </w:pPr>
            <w:r w:rsidRPr="00F96D2A">
              <w:rPr>
                <w:rFonts w:eastAsia="Times New Roman"/>
                <w:i/>
                <w:iCs/>
                <w:color w:val="000000"/>
                <w:sz w:val="22"/>
                <w:lang w:eastAsia="lv-LV"/>
              </w:rPr>
              <w:t>Papildus iepriekšminētajam vēršam uzmanību uz to, ka Satversmes tiesa lietā Nr. 2014-11-0103 ir atzinusi, ka lai secinātu, vai ar nodokļa maksāšanas pienākumu radītais pamattiesību ierobežojums ir piemērots tā leģitīmā mērķa sasniegšanai, Satversmes tiesai jāpārbauda, vai likumdevēja lietotajiem līdzekļiem ir saprātīgs izskaidrojums, kas pamatots ar objektīviem un racionāliem apsvērumiem. Proti, vai nodokļa maksātāji, ar nodokli apliekamais objekts un nodokļa aprēķina princips nav noteikts patvaļīgi, un vai nodokļa aprēķināšanas kārtība ir tāda, kas ļauj matemātiski izskaitļot nodokļa maksājumu. Juridiskā biroja ieskatā likumprojektā attiecībā uz atkritumu sadedzināšanu ietvertais regulējums, ir neskaidrs un nepietiekošs, lai likuma piemērotājs skaidri un nepārprotami varētu secināt, uz kurām personām attiecas nodokļa maksāšanas pienākums un izprast nodokļa maksāšanas kārtību.</w:t>
            </w:r>
          </w:p>
          <w:p w:rsidR="008F6928" w:rsidRDefault="008F6928" w:rsidP="00F96D2A">
            <w:pPr>
              <w:ind w:firstLine="567"/>
              <w:jc w:val="both"/>
              <w:rPr>
                <w:rFonts w:eastAsia="Times New Roman"/>
                <w:b/>
                <w:iCs/>
                <w:color w:val="000000"/>
                <w:sz w:val="22"/>
                <w:lang w:eastAsia="lv-LV"/>
              </w:rPr>
            </w:pPr>
          </w:p>
          <w:p w:rsidR="00F96D2A" w:rsidRDefault="00F96D2A" w:rsidP="00F96D2A">
            <w:pPr>
              <w:ind w:firstLine="567"/>
              <w:jc w:val="both"/>
              <w:rPr>
                <w:rFonts w:eastAsia="Times New Roman"/>
                <w:b/>
                <w:iCs/>
                <w:color w:val="000000"/>
                <w:sz w:val="22"/>
                <w:lang w:eastAsia="lv-LV"/>
              </w:rPr>
            </w:pPr>
            <w:r w:rsidRPr="00C946FA">
              <w:rPr>
                <w:rFonts w:eastAsia="Times New Roman"/>
                <w:b/>
                <w:iCs/>
                <w:color w:val="000000"/>
                <w:sz w:val="22"/>
                <w:lang w:eastAsia="lv-LV"/>
              </w:rPr>
              <w:t>Ņemot vērā iepriekšminēto, Juridiskais birojs aicina komisiju lemt par likumprojekta 1., 2. un 3. panta izslēgšanu, kā arī vārdu “vai sadedzināšanu” izslēgšanu likuma 28. panta ceturtās daļas jaunajā redakcijā (likumprojekta 5. pants).</w:t>
            </w:r>
          </w:p>
          <w:p w:rsidR="008F6928" w:rsidRPr="00C946FA" w:rsidRDefault="008F6928" w:rsidP="00F96D2A">
            <w:pPr>
              <w:ind w:firstLine="567"/>
              <w:jc w:val="both"/>
              <w:rPr>
                <w:rFonts w:eastAsia="Times New Roman"/>
                <w:b/>
                <w:iCs/>
                <w:color w:val="000000"/>
                <w:sz w:val="22"/>
                <w:lang w:eastAsia="lv-LV"/>
              </w:rPr>
            </w:pPr>
          </w:p>
        </w:tc>
        <w:tc>
          <w:tcPr>
            <w:tcW w:w="1417" w:type="dxa"/>
          </w:tcPr>
          <w:p w:rsidR="006A2924" w:rsidRPr="004B6B4F" w:rsidRDefault="006A2924" w:rsidP="00B712D1">
            <w:pPr>
              <w:ind w:firstLine="567"/>
              <w:jc w:val="both"/>
              <w:rPr>
                <w:rFonts w:eastAsia="Times New Roman"/>
                <w:iCs/>
                <w:color w:val="000000"/>
                <w:sz w:val="22"/>
                <w:lang w:eastAsia="lv-LV"/>
              </w:rPr>
            </w:pPr>
          </w:p>
        </w:tc>
        <w:tc>
          <w:tcPr>
            <w:tcW w:w="1418" w:type="dxa"/>
          </w:tcPr>
          <w:p w:rsidR="006A2924" w:rsidRPr="004B6B4F" w:rsidRDefault="006A2924" w:rsidP="00B712D1">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Pr="005879FD" w:rsidRDefault="00056624" w:rsidP="005879FD">
            <w:pPr>
              <w:ind w:firstLine="567"/>
              <w:jc w:val="both"/>
              <w:rPr>
                <w:sz w:val="22"/>
              </w:rPr>
            </w:pPr>
            <w:r w:rsidRPr="005879FD">
              <w:rPr>
                <w:b/>
                <w:bCs/>
                <w:sz w:val="22"/>
              </w:rPr>
              <w:t>3.</w:t>
            </w:r>
            <w:r>
              <w:rPr>
                <w:b/>
                <w:bCs/>
                <w:sz w:val="22"/>
              </w:rPr>
              <w:t xml:space="preserve"> </w:t>
            </w:r>
            <w:r w:rsidRPr="005879FD">
              <w:rPr>
                <w:b/>
                <w:bCs/>
                <w:sz w:val="22"/>
              </w:rPr>
              <w:t xml:space="preserve">pants. Nodokļa maksātāji </w:t>
            </w:r>
          </w:p>
          <w:p w:rsidR="00056624" w:rsidRPr="005879FD" w:rsidRDefault="00056624" w:rsidP="005879FD">
            <w:pPr>
              <w:ind w:firstLine="567"/>
              <w:jc w:val="both"/>
              <w:rPr>
                <w:sz w:val="22"/>
              </w:rPr>
            </w:pPr>
            <w:r w:rsidRPr="005879FD">
              <w:rPr>
                <w:sz w:val="22"/>
              </w:rPr>
              <w:t>(1) Nodokļa maksātājs ir persona, kura:</w:t>
            </w:r>
          </w:p>
          <w:p w:rsidR="00056624" w:rsidRPr="005879FD" w:rsidRDefault="00056624" w:rsidP="005879FD">
            <w:pPr>
              <w:ind w:firstLine="567"/>
              <w:jc w:val="both"/>
              <w:rPr>
                <w:sz w:val="22"/>
              </w:rPr>
            </w:pPr>
            <w:r w:rsidRPr="005879FD">
              <w:rPr>
                <w:sz w:val="22"/>
              </w:rPr>
              <w:t>1) ir saņēmusi vai tai saskaņā ar vides aizsardzības vai zemes dzīļu izmantošanas normatīvajiem aktiem bija pienākums saņemt vides aizsardzības normatīvajos aktos noteikto atļauju, licenci vai C kategorijas piesārņojošas darbības apliecinājumu un kura Latvijas Republikas teritorijā, kontinentālajā šelfā vai ekskluzīvajā ekonomiskajā zonā:</w:t>
            </w:r>
          </w:p>
          <w:p w:rsidR="00056624" w:rsidRPr="006E0266" w:rsidRDefault="00056624" w:rsidP="00F57A39">
            <w:pPr>
              <w:ind w:firstLine="567"/>
              <w:jc w:val="both"/>
              <w:rPr>
                <w:sz w:val="22"/>
              </w:rPr>
            </w:pPr>
            <w:r w:rsidRPr="005879FD">
              <w:rPr>
                <w:sz w:val="22"/>
              </w:rPr>
              <w:t xml:space="preserve">d) emitē vidē ar nodokli apliekamas piesārņojošas vielas </w:t>
            </w:r>
            <w:r w:rsidRPr="008B5441">
              <w:rPr>
                <w:sz w:val="22"/>
              </w:rPr>
              <w:t>vai</w:t>
            </w:r>
            <w:r w:rsidRPr="005879FD">
              <w:rPr>
                <w:sz w:val="22"/>
              </w:rPr>
              <w:t xml:space="preserve"> apglabā atkritumus,</w:t>
            </w:r>
          </w:p>
        </w:tc>
        <w:tc>
          <w:tcPr>
            <w:tcW w:w="3969" w:type="dxa"/>
            <w:shd w:val="clear" w:color="auto" w:fill="auto"/>
          </w:tcPr>
          <w:p w:rsidR="00056624" w:rsidRPr="005E54AA" w:rsidRDefault="00056624" w:rsidP="001268F5">
            <w:pPr>
              <w:ind w:firstLine="567"/>
              <w:jc w:val="both"/>
              <w:rPr>
                <w:rFonts w:eastAsia="Times New Roman"/>
                <w:iCs/>
                <w:color w:val="000000"/>
                <w:sz w:val="22"/>
                <w:lang w:eastAsia="lv-LV"/>
              </w:rPr>
            </w:pPr>
            <w:r w:rsidRPr="004B6B4F">
              <w:rPr>
                <w:rFonts w:eastAsia="Times New Roman"/>
                <w:iCs/>
                <w:color w:val="000000"/>
                <w:sz w:val="22"/>
                <w:lang w:eastAsia="lv-LV"/>
              </w:rPr>
              <w:t>1. Papildināt 3. panta pirmās daļas 1. punkta "d" apakšpunktu pēc vārda "vai" ar vārdiem "sadedzina vai".</w:t>
            </w:r>
          </w:p>
        </w:tc>
        <w:tc>
          <w:tcPr>
            <w:tcW w:w="567" w:type="dxa"/>
          </w:tcPr>
          <w:p w:rsidR="00056624" w:rsidRPr="00F96D2A" w:rsidRDefault="00C24714" w:rsidP="00F96D2A">
            <w:pPr>
              <w:jc w:val="center"/>
              <w:rPr>
                <w:rFonts w:eastAsia="Times New Roman"/>
                <w:b/>
                <w:iCs/>
                <w:color w:val="000000"/>
                <w:sz w:val="22"/>
                <w:lang w:eastAsia="lv-LV"/>
              </w:rPr>
            </w:pPr>
            <w:r>
              <w:rPr>
                <w:rFonts w:eastAsia="Times New Roman"/>
                <w:b/>
                <w:iCs/>
                <w:color w:val="000000"/>
                <w:sz w:val="22"/>
                <w:lang w:eastAsia="lv-LV"/>
              </w:rPr>
              <w:t>3</w:t>
            </w:r>
          </w:p>
        </w:tc>
        <w:tc>
          <w:tcPr>
            <w:tcW w:w="3969" w:type="dxa"/>
          </w:tcPr>
          <w:p w:rsidR="00056624" w:rsidRDefault="008F6928" w:rsidP="001268F5">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0629CE" w:rsidRPr="000629CE" w:rsidRDefault="000629CE" w:rsidP="000629CE">
            <w:pPr>
              <w:ind w:firstLine="567"/>
              <w:jc w:val="both"/>
              <w:rPr>
                <w:rFonts w:eastAsia="Times New Roman"/>
                <w:iCs/>
                <w:color w:val="000000"/>
                <w:sz w:val="22"/>
                <w:lang w:eastAsia="lv-LV"/>
              </w:rPr>
            </w:pPr>
            <w:r w:rsidRPr="000629CE">
              <w:rPr>
                <w:rFonts w:eastAsia="Times New Roman"/>
                <w:iCs/>
                <w:color w:val="000000"/>
                <w:sz w:val="22"/>
                <w:lang w:eastAsia="lv-LV"/>
              </w:rPr>
              <w:t xml:space="preserve">Izteikt likumprojekta 1. pantā iekļauto grozījumu Dabas resursu nodokļa likuma (turpmāk – likums) 3. panta pirmās daļas 1. punkta “d” apakšpunktā jaunā redakcijā: </w:t>
            </w:r>
          </w:p>
          <w:p w:rsidR="008F6928" w:rsidRPr="0033581C" w:rsidRDefault="000629CE" w:rsidP="000629CE">
            <w:pPr>
              <w:ind w:firstLine="567"/>
              <w:jc w:val="both"/>
              <w:rPr>
                <w:rFonts w:eastAsia="Times New Roman"/>
                <w:iCs/>
                <w:color w:val="000000"/>
                <w:sz w:val="22"/>
                <w:lang w:eastAsia="lv-LV"/>
              </w:rPr>
            </w:pPr>
            <w:r w:rsidRPr="000629CE">
              <w:rPr>
                <w:rFonts w:eastAsia="Times New Roman"/>
                <w:iCs/>
                <w:color w:val="000000"/>
                <w:sz w:val="22"/>
                <w:lang w:eastAsia="lv-LV"/>
              </w:rPr>
              <w:t>“1. Aizstāt 3. panta pirmās daļas 1. punkta “d” apakšpunktā vārdus “vai apglabā atkritumus” ar vārdiem “, apglabā atkritumus atkritumu poligonā, sadedzina atkritumus atkritumu sadedzināšanas vai līdzsadedzināšanas iekārtā;”.</w:t>
            </w:r>
          </w:p>
        </w:tc>
        <w:tc>
          <w:tcPr>
            <w:tcW w:w="1417" w:type="dxa"/>
          </w:tcPr>
          <w:p w:rsidR="00056624" w:rsidRPr="004B6B4F" w:rsidRDefault="00056624" w:rsidP="001268F5">
            <w:pPr>
              <w:ind w:firstLine="567"/>
              <w:jc w:val="both"/>
              <w:rPr>
                <w:rFonts w:eastAsia="Times New Roman"/>
                <w:iCs/>
                <w:color w:val="000000"/>
                <w:sz w:val="22"/>
                <w:lang w:eastAsia="lv-LV"/>
              </w:rPr>
            </w:pPr>
          </w:p>
        </w:tc>
        <w:tc>
          <w:tcPr>
            <w:tcW w:w="1418" w:type="dxa"/>
          </w:tcPr>
          <w:p w:rsidR="00056624" w:rsidRPr="004B6B4F" w:rsidRDefault="00056624" w:rsidP="001268F5">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Pr="00EB3CE5" w:rsidRDefault="00056624" w:rsidP="00EB3CE5">
            <w:pPr>
              <w:ind w:firstLine="567"/>
              <w:jc w:val="both"/>
              <w:rPr>
                <w:sz w:val="22"/>
              </w:rPr>
            </w:pPr>
            <w:r w:rsidRPr="00EB3CE5">
              <w:rPr>
                <w:b/>
                <w:bCs/>
                <w:sz w:val="22"/>
              </w:rPr>
              <w:t>4.</w:t>
            </w:r>
            <w:r>
              <w:rPr>
                <w:b/>
                <w:bCs/>
                <w:sz w:val="22"/>
              </w:rPr>
              <w:t xml:space="preserve"> </w:t>
            </w:r>
            <w:r w:rsidRPr="00EB3CE5">
              <w:rPr>
                <w:b/>
                <w:bCs/>
                <w:sz w:val="22"/>
              </w:rPr>
              <w:t>pants. Ar nodokli apliekamie objekti un nodokļa likmes</w:t>
            </w:r>
          </w:p>
          <w:p w:rsidR="00056624" w:rsidRPr="00EB3CE5" w:rsidRDefault="00056624" w:rsidP="00EB3CE5">
            <w:pPr>
              <w:ind w:firstLine="567"/>
              <w:jc w:val="both"/>
              <w:rPr>
                <w:sz w:val="22"/>
              </w:rPr>
            </w:pPr>
            <w:r w:rsidRPr="00EB3CE5">
              <w:rPr>
                <w:sz w:val="22"/>
              </w:rPr>
              <w:t>(1) Ar nodokli apliek:</w:t>
            </w:r>
          </w:p>
          <w:p w:rsidR="00056624" w:rsidRPr="003A5EFA" w:rsidRDefault="00056624" w:rsidP="003A5EFA">
            <w:pPr>
              <w:ind w:firstLine="567"/>
              <w:jc w:val="both"/>
              <w:rPr>
                <w:sz w:val="22"/>
              </w:rPr>
            </w:pPr>
            <w:r w:rsidRPr="00042921">
              <w:rPr>
                <w:sz w:val="22"/>
              </w:rPr>
              <w:t xml:space="preserve">3) atkritumu </w:t>
            </w:r>
            <w:r w:rsidRPr="008B5441">
              <w:rPr>
                <w:sz w:val="22"/>
              </w:rPr>
              <w:t>apglabāšanu</w:t>
            </w:r>
            <w:r w:rsidRPr="00042921">
              <w:rPr>
                <w:sz w:val="22"/>
              </w:rPr>
              <w:t xml:space="preserve"> un piesārņojošu vielu emisiju vidē atbilstoši šā likuma 14.</w:t>
            </w:r>
            <w:r w:rsidRPr="00042921">
              <w:rPr>
                <w:sz w:val="22"/>
                <w:vertAlign w:val="superscript"/>
              </w:rPr>
              <w:t>1</w:t>
            </w:r>
            <w:r w:rsidRPr="00042921">
              <w:rPr>
                <w:sz w:val="22"/>
              </w:rPr>
              <w:t xml:space="preserve"> pantam un 3., 4. un 5.pielikumam;</w:t>
            </w:r>
          </w:p>
        </w:tc>
        <w:tc>
          <w:tcPr>
            <w:tcW w:w="3969" w:type="dxa"/>
            <w:shd w:val="clear" w:color="auto" w:fill="auto"/>
          </w:tcPr>
          <w:p w:rsidR="00056624" w:rsidRPr="005E54AA" w:rsidRDefault="00056624" w:rsidP="00903609">
            <w:pPr>
              <w:ind w:firstLine="567"/>
              <w:jc w:val="both"/>
              <w:rPr>
                <w:rFonts w:eastAsia="Times New Roman"/>
                <w:iCs/>
                <w:color w:val="000000"/>
                <w:sz w:val="22"/>
                <w:lang w:eastAsia="lv-LV"/>
              </w:rPr>
            </w:pPr>
            <w:r w:rsidRPr="004B6B4F">
              <w:rPr>
                <w:rFonts w:eastAsia="Times New Roman"/>
                <w:iCs/>
                <w:color w:val="000000"/>
                <w:sz w:val="22"/>
                <w:lang w:eastAsia="lv-LV"/>
              </w:rPr>
              <w:t>2. Papildināt 4. panta pirmās daļas 3. punktu pēc vārda "apglabāšanu" ar vārdiem "vai sadedzināšanu".</w:t>
            </w:r>
          </w:p>
        </w:tc>
        <w:tc>
          <w:tcPr>
            <w:tcW w:w="567" w:type="dxa"/>
          </w:tcPr>
          <w:p w:rsidR="00056624" w:rsidRPr="00F96D2A" w:rsidRDefault="00C24714" w:rsidP="00F96D2A">
            <w:pPr>
              <w:jc w:val="center"/>
              <w:rPr>
                <w:rFonts w:eastAsia="Times New Roman"/>
                <w:b/>
                <w:iCs/>
                <w:color w:val="000000"/>
                <w:sz w:val="22"/>
                <w:lang w:eastAsia="lv-LV"/>
              </w:rPr>
            </w:pPr>
            <w:r>
              <w:rPr>
                <w:rFonts w:eastAsia="Times New Roman"/>
                <w:b/>
                <w:iCs/>
                <w:color w:val="000000"/>
                <w:sz w:val="22"/>
                <w:lang w:eastAsia="lv-LV"/>
              </w:rPr>
              <w:t>4</w:t>
            </w:r>
          </w:p>
        </w:tc>
        <w:tc>
          <w:tcPr>
            <w:tcW w:w="3969" w:type="dxa"/>
          </w:tcPr>
          <w:p w:rsidR="002E5ECB" w:rsidRDefault="002E5ECB" w:rsidP="002E5ECB">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2E5ECB" w:rsidRPr="002E5ECB" w:rsidRDefault="002E5ECB" w:rsidP="002E5ECB">
            <w:pPr>
              <w:ind w:firstLine="567"/>
              <w:jc w:val="both"/>
              <w:rPr>
                <w:rFonts w:eastAsia="Times New Roman"/>
                <w:iCs/>
                <w:color w:val="000000"/>
                <w:sz w:val="22"/>
                <w:lang w:eastAsia="lv-LV"/>
              </w:rPr>
            </w:pPr>
            <w:r w:rsidRPr="002E5ECB">
              <w:rPr>
                <w:rFonts w:eastAsia="Times New Roman"/>
                <w:iCs/>
                <w:color w:val="000000"/>
                <w:sz w:val="22"/>
                <w:lang w:eastAsia="lv-LV"/>
              </w:rPr>
              <w:t xml:space="preserve">Izteikt likumprojekta 2. pantā iekļauto grozījumu likuma 4. panta pirmās daļas 3. punktā jaunā redakcijā: </w:t>
            </w:r>
          </w:p>
          <w:p w:rsidR="00056624" w:rsidRPr="004B6B4F" w:rsidRDefault="002E5ECB" w:rsidP="002E5ECB">
            <w:pPr>
              <w:ind w:firstLine="567"/>
              <w:jc w:val="both"/>
              <w:rPr>
                <w:rFonts w:eastAsia="Times New Roman"/>
                <w:iCs/>
                <w:color w:val="000000"/>
                <w:sz w:val="22"/>
                <w:lang w:eastAsia="lv-LV"/>
              </w:rPr>
            </w:pPr>
            <w:r w:rsidRPr="002E5ECB">
              <w:rPr>
                <w:rFonts w:eastAsia="Times New Roman"/>
                <w:iCs/>
                <w:color w:val="000000"/>
                <w:sz w:val="22"/>
                <w:lang w:eastAsia="lv-LV"/>
              </w:rPr>
              <w:t>“2. Aizstāt 4. panta pirmās daļas 3. punktā vārdus “atkritumu apglabāšanu” ar vārdiem “atkritumu apglabāšanu atkritumu poligonā, atkritumu sadedzināšanu atkritumu sadedzināšanas vai līdzsadedzināšanas iekārtā”.</w:t>
            </w:r>
          </w:p>
        </w:tc>
        <w:tc>
          <w:tcPr>
            <w:tcW w:w="1417" w:type="dxa"/>
          </w:tcPr>
          <w:p w:rsidR="00056624" w:rsidRPr="004B6B4F" w:rsidRDefault="00056624" w:rsidP="00903609">
            <w:pPr>
              <w:ind w:firstLine="567"/>
              <w:jc w:val="both"/>
              <w:rPr>
                <w:rFonts w:eastAsia="Times New Roman"/>
                <w:iCs/>
                <w:color w:val="000000"/>
                <w:sz w:val="22"/>
                <w:lang w:eastAsia="lv-LV"/>
              </w:rPr>
            </w:pPr>
          </w:p>
        </w:tc>
        <w:tc>
          <w:tcPr>
            <w:tcW w:w="1418" w:type="dxa"/>
          </w:tcPr>
          <w:p w:rsidR="00056624" w:rsidRPr="004B6B4F" w:rsidRDefault="00056624" w:rsidP="00903609">
            <w:pPr>
              <w:ind w:firstLine="567"/>
              <w:jc w:val="both"/>
              <w:rPr>
                <w:rFonts w:eastAsia="Times New Roman"/>
                <w:iCs/>
                <w:color w:val="000000"/>
                <w:sz w:val="22"/>
                <w:lang w:eastAsia="lv-LV"/>
              </w:rPr>
            </w:pPr>
          </w:p>
        </w:tc>
      </w:tr>
      <w:tr w:rsidR="004B7FF4" w:rsidRPr="001B3F41" w:rsidTr="00056624">
        <w:tc>
          <w:tcPr>
            <w:tcW w:w="3964" w:type="dxa"/>
            <w:shd w:val="clear" w:color="auto" w:fill="auto"/>
          </w:tcPr>
          <w:p w:rsidR="004B7FF4" w:rsidRPr="00AF49E4" w:rsidRDefault="00AF49E4" w:rsidP="00EB3CE5">
            <w:pPr>
              <w:ind w:firstLine="567"/>
              <w:jc w:val="both"/>
              <w:rPr>
                <w:bCs/>
                <w:sz w:val="22"/>
              </w:rPr>
            </w:pPr>
            <w:r w:rsidRPr="00AF49E4">
              <w:rPr>
                <w:bCs/>
                <w:sz w:val="22"/>
              </w:rPr>
              <w:t>(2) Nodokļa likmes par zemes dzīļu derīgo īpašību izmantošanu, iesūknējot ģeoloģiskajās struktūrās dabasgāzi; par C kategorijas piesārņojošu darbību nozarēs, attiecībā uz kurām normatīvajos aktos nav noteiktu nosacījumu un nav arī iespējams aprēķināt piesārņojošo vielu apjomu; par parka vīngliemežu (</w:t>
            </w:r>
            <w:r w:rsidRPr="00AF49E4">
              <w:rPr>
                <w:bCs/>
                <w:i/>
                <w:iCs/>
                <w:sz w:val="22"/>
              </w:rPr>
              <w:t>Helix pomatia L.</w:t>
            </w:r>
            <w:r w:rsidRPr="00AF49E4">
              <w:rPr>
                <w:bCs/>
                <w:sz w:val="22"/>
              </w:rPr>
              <w:t>) vākšanu tālākai saimnieciskai izmantošanai; par iepakojumu gadījumos, kad tā materiāla veidu un svaru nav iespējams pamatot ar uzskaites dokumentiem; par transportlīdzekļiem un uguņošanas ierīcēm ir noteiktas šā likuma 14., 15., 20., 24., 24.</w:t>
            </w:r>
            <w:r w:rsidRPr="00AF49E4">
              <w:rPr>
                <w:bCs/>
                <w:sz w:val="22"/>
                <w:vertAlign w:val="superscript"/>
              </w:rPr>
              <w:t>1</w:t>
            </w:r>
            <w:r w:rsidRPr="00AF49E4">
              <w:rPr>
                <w:bCs/>
                <w:sz w:val="22"/>
              </w:rPr>
              <w:t xml:space="preserve"> un 26.pantā. Pārējos gadījumos nodokļa likmes, kā arī to spēkā esības periodi ir noteikti šā likuma pielikumos.</w:t>
            </w:r>
          </w:p>
        </w:tc>
        <w:tc>
          <w:tcPr>
            <w:tcW w:w="3969" w:type="dxa"/>
            <w:shd w:val="clear" w:color="auto" w:fill="auto"/>
          </w:tcPr>
          <w:p w:rsidR="004B7FF4" w:rsidRPr="004B6B4F" w:rsidRDefault="004B7FF4" w:rsidP="00903609">
            <w:pPr>
              <w:ind w:firstLine="567"/>
              <w:jc w:val="both"/>
              <w:rPr>
                <w:rFonts w:eastAsia="Times New Roman"/>
                <w:iCs/>
                <w:color w:val="000000"/>
                <w:sz w:val="22"/>
                <w:lang w:eastAsia="lv-LV"/>
              </w:rPr>
            </w:pPr>
          </w:p>
        </w:tc>
        <w:tc>
          <w:tcPr>
            <w:tcW w:w="567" w:type="dxa"/>
          </w:tcPr>
          <w:p w:rsidR="004B7FF4" w:rsidRPr="00F96D2A" w:rsidRDefault="000D35E2" w:rsidP="00F96D2A">
            <w:pPr>
              <w:jc w:val="center"/>
              <w:rPr>
                <w:rFonts w:eastAsia="Times New Roman"/>
                <w:b/>
                <w:iCs/>
                <w:color w:val="000000"/>
                <w:sz w:val="22"/>
                <w:lang w:eastAsia="lv-LV"/>
              </w:rPr>
            </w:pPr>
            <w:r>
              <w:rPr>
                <w:rFonts w:eastAsia="Times New Roman"/>
                <w:b/>
                <w:iCs/>
                <w:color w:val="000000"/>
                <w:sz w:val="22"/>
                <w:lang w:eastAsia="lv-LV"/>
              </w:rPr>
              <w:t>5</w:t>
            </w:r>
          </w:p>
        </w:tc>
        <w:tc>
          <w:tcPr>
            <w:tcW w:w="3969" w:type="dxa"/>
          </w:tcPr>
          <w:p w:rsidR="00AF49E4" w:rsidRPr="00AF49E4" w:rsidRDefault="00AF49E4" w:rsidP="00AF49E4">
            <w:pPr>
              <w:ind w:firstLine="567"/>
              <w:jc w:val="both"/>
              <w:rPr>
                <w:rFonts w:eastAsia="Times New Roman"/>
                <w:b/>
                <w:iCs/>
                <w:color w:val="000000"/>
                <w:sz w:val="22"/>
                <w:u w:val="single"/>
                <w:lang w:eastAsia="lv-LV"/>
              </w:rPr>
            </w:pPr>
            <w:r w:rsidRPr="00AF49E4">
              <w:rPr>
                <w:rFonts w:eastAsia="Times New Roman"/>
                <w:b/>
                <w:iCs/>
                <w:color w:val="000000"/>
                <w:sz w:val="22"/>
                <w:u w:val="single"/>
                <w:lang w:eastAsia="lv-LV"/>
              </w:rPr>
              <w:t>Zaļo un Zemnieku savienības frakcija</w:t>
            </w:r>
          </w:p>
          <w:p w:rsidR="004B7FF4" w:rsidRPr="004B6B4F" w:rsidRDefault="00AF49E4" w:rsidP="00AF49E4">
            <w:pPr>
              <w:ind w:firstLine="567"/>
              <w:jc w:val="both"/>
              <w:rPr>
                <w:rFonts w:eastAsia="Times New Roman"/>
                <w:iCs/>
                <w:color w:val="000000"/>
                <w:sz w:val="22"/>
                <w:lang w:eastAsia="lv-LV"/>
              </w:rPr>
            </w:pPr>
            <w:r>
              <w:rPr>
                <w:rFonts w:eastAsia="Times New Roman"/>
                <w:iCs/>
                <w:color w:val="000000"/>
                <w:sz w:val="22"/>
                <w:lang w:eastAsia="lv-LV"/>
              </w:rPr>
              <w:t>Papildināt</w:t>
            </w:r>
            <w:r w:rsidRPr="00AF49E4">
              <w:rPr>
                <w:rFonts w:eastAsia="Times New Roman"/>
                <w:iCs/>
                <w:color w:val="000000"/>
                <w:sz w:val="22"/>
                <w:lang w:eastAsia="lv-LV"/>
              </w:rPr>
              <w:t xml:space="preserve"> likuma 4.panta 2.daļu ar šādiem vārdiem: “Nodokļa likme par transportlīdzekli neietver nodokli par riepām””.</w:t>
            </w:r>
          </w:p>
        </w:tc>
        <w:tc>
          <w:tcPr>
            <w:tcW w:w="1417" w:type="dxa"/>
          </w:tcPr>
          <w:p w:rsidR="004B7FF4" w:rsidRPr="004B6B4F" w:rsidRDefault="004B7FF4" w:rsidP="00903609">
            <w:pPr>
              <w:ind w:firstLine="567"/>
              <w:jc w:val="both"/>
              <w:rPr>
                <w:rFonts w:eastAsia="Times New Roman"/>
                <w:iCs/>
                <w:color w:val="000000"/>
                <w:sz w:val="22"/>
                <w:lang w:eastAsia="lv-LV"/>
              </w:rPr>
            </w:pPr>
          </w:p>
        </w:tc>
        <w:tc>
          <w:tcPr>
            <w:tcW w:w="1418" w:type="dxa"/>
          </w:tcPr>
          <w:p w:rsidR="004B7FF4" w:rsidRPr="004B6B4F" w:rsidRDefault="004B7FF4" w:rsidP="00903609">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Pr="001846DF" w:rsidRDefault="00056624" w:rsidP="006F0AD7">
            <w:pPr>
              <w:ind w:firstLine="567"/>
              <w:jc w:val="both"/>
              <w:rPr>
                <w:sz w:val="22"/>
              </w:rPr>
            </w:pPr>
          </w:p>
        </w:tc>
        <w:tc>
          <w:tcPr>
            <w:tcW w:w="3969" w:type="dxa"/>
            <w:shd w:val="clear" w:color="auto" w:fill="auto"/>
          </w:tcPr>
          <w:p w:rsidR="00056624" w:rsidRPr="004B6B4F" w:rsidRDefault="00056624" w:rsidP="004B6B4F">
            <w:pPr>
              <w:ind w:firstLine="567"/>
              <w:jc w:val="both"/>
              <w:rPr>
                <w:rFonts w:eastAsia="Times New Roman"/>
                <w:iCs/>
                <w:color w:val="000000"/>
                <w:sz w:val="22"/>
                <w:lang w:eastAsia="lv-LV"/>
              </w:rPr>
            </w:pPr>
            <w:r w:rsidRPr="004B6B4F">
              <w:rPr>
                <w:rFonts w:eastAsia="Times New Roman"/>
                <w:iCs/>
                <w:color w:val="000000"/>
                <w:sz w:val="22"/>
                <w:lang w:eastAsia="lv-LV"/>
              </w:rPr>
              <w:t>3. Papildināt likumu ar 20.</w:t>
            </w:r>
            <w:r w:rsidRPr="004B6B4F">
              <w:rPr>
                <w:rFonts w:eastAsia="Times New Roman"/>
                <w:iCs/>
                <w:color w:val="000000"/>
                <w:sz w:val="22"/>
                <w:vertAlign w:val="superscript"/>
                <w:lang w:eastAsia="lv-LV"/>
              </w:rPr>
              <w:t>1</w:t>
            </w:r>
            <w:r w:rsidRPr="004B6B4F">
              <w:rPr>
                <w:rFonts w:eastAsia="Times New Roman"/>
                <w:iCs/>
                <w:color w:val="000000"/>
                <w:sz w:val="22"/>
                <w:lang w:eastAsia="lv-LV"/>
              </w:rPr>
              <w:t> pantu šādā redakcijā:</w:t>
            </w:r>
          </w:p>
          <w:p w:rsidR="00056624" w:rsidRPr="004B6B4F" w:rsidRDefault="00056624" w:rsidP="004B6B4F">
            <w:pPr>
              <w:ind w:firstLine="567"/>
              <w:jc w:val="both"/>
              <w:rPr>
                <w:rFonts w:eastAsia="Times New Roman"/>
                <w:iCs/>
                <w:color w:val="000000"/>
                <w:sz w:val="22"/>
                <w:lang w:eastAsia="lv-LV"/>
              </w:rPr>
            </w:pPr>
            <w:r w:rsidRPr="004B6B4F">
              <w:rPr>
                <w:rFonts w:eastAsia="Times New Roman"/>
                <w:iCs/>
                <w:color w:val="000000"/>
                <w:sz w:val="22"/>
                <w:lang w:eastAsia="lv-LV"/>
              </w:rPr>
              <w:t>"</w:t>
            </w:r>
            <w:r w:rsidRPr="004B6B4F">
              <w:rPr>
                <w:rFonts w:eastAsia="Times New Roman"/>
                <w:b/>
                <w:bCs/>
                <w:iCs/>
                <w:color w:val="000000"/>
                <w:sz w:val="22"/>
                <w:lang w:eastAsia="lv-LV"/>
              </w:rPr>
              <w:t>20.</w:t>
            </w:r>
            <w:r w:rsidRPr="004B6B4F">
              <w:rPr>
                <w:rFonts w:eastAsia="Times New Roman"/>
                <w:b/>
                <w:bCs/>
                <w:iCs/>
                <w:color w:val="000000"/>
                <w:sz w:val="22"/>
                <w:vertAlign w:val="superscript"/>
                <w:lang w:eastAsia="lv-LV"/>
              </w:rPr>
              <w:t>1</w:t>
            </w:r>
            <w:r w:rsidRPr="004B6B4F">
              <w:rPr>
                <w:rFonts w:eastAsia="Times New Roman"/>
                <w:b/>
                <w:bCs/>
                <w:iCs/>
                <w:color w:val="000000"/>
                <w:sz w:val="22"/>
                <w:lang w:eastAsia="lv-LV"/>
              </w:rPr>
              <w:t> pants. Nodokļa aprēķināšana par atkritumu apglabāšanu vai sadedzināšanu</w:t>
            </w:r>
          </w:p>
          <w:p w:rsidR="00056624" w:rsidRPr="004B6B4F" w:rsidRDefault="00056624" w:rsidP="004B6B4F">
            <w:pPr>
              <w:ind w:firstLine="567"/>
              <w:jc w:val="both"/>
              <w:rPr>
                <w:rFonts w:eastAsia="Times New Roman"/>
                <w:iCs/>
                <w:color w:val="000000"/>
                <w:sz w:val="22"/>
                <w:lang w:eastAsia="lv-LV"/>
              </w:rPr>
            </w:pPr>
            <w:r>
              <w:rPr>
                <w:rFonts w:eastAsia="Times New Roman"/>
                <w:iCs/>
                <w:color w:val="000000"/>
                <w:sz w:val="22"/>
                <w:lang w:eastAsia="lv-LV"/>
              </w:rPr>
              <w:t xml:space="preserve">(1) </w:t>
            </w:r>
            <w:r w:rsidRPr="004B6B4F">
              <w:rPr>
                <w:rFonts w:eastAsia="Times New Roman"/>
                <w:iCs/>
                <w:color w:val="000000"/>
                <w:sz w:val="22"/>
                <w:lang w:eastAsia="lv-LV"/>
              </w:rPr>
              <w:t xml:space="preserve">Nodokli par atkritumu apglabāšanu aprēķina un maksā par atkritumu poligonā apglabāto faktisko atkritumu daudzumu, piemērojot šā likuma 3. pielikumā noteiktās nodokļa likmes. </w:t>
            </w:r>
          </w:p>
          <w:p w:rsidR="00056624" w:rsidRPr="004B6B4F" w:rsidRDefault="00056624" w:rsidP="004B6B4F">
            <w:pPr>
              <w:ind w:firstLine="567"/>
              <w:jc w:val="both"/>
              <w:rPr>
                <w:rFonts w:eastAsia="Times New Roman"/>
                <w:iCs/>
                <w:color w:val="000000"/>
                <w:sz w:val="22"/>
                <w:lang w:eastAsia="lv-LV"/>
              </w:rPr>
            </w:pPr>
            <w:r>
              <w:rPr>
                <w:rFonts w:eastAsia="Times New Roman"/>
                <w:iCs/>
                <w:color w:val="000000"/>
                <w:sz w:val="22"/>
                <w:lang w:eastAsia="lv-LV"/>
              </w:rPr>
              <w:t xml:space="preserve">(2) </w:t>
            </w:r>
            <w:r w:rsidRPr="004B6B4F">
              <w:rPr>
                <w:rFonts w:eastAsia="Times New Roman"/>
                <w:iCs/>
                <w:color w:val="000000"/>
                <w:sz w:val="22"/>
                <w:lang w:eastAsia="lv-LV"/>
              </w:rPr>
              <w:t xml:space="preserve">Nodokli nemaksā par to atkritumu daudzumu, kas atbilstoši izsniegtajai atļaujai A vai B kategorijas piesārņojošo darbību veikšanai tiek novietots bioloģiski noārdāmo atkritumu pārstrādes iekārtā biogāzes ieguvei (bioreaktorā) un kas pēc šā procesa īstenošanas uzskatāms par pārstrādātu vai reģenerētu saskaņā ar Atkritumu apsaimniekošanas likumā noteiktajām prasībām. </w:t>
            </w:r>
          </w:p>
          <w:p w:rsidR="00056624" w:rsidRPr="004F2938" w:rsidRDefault="00056624" w:rsidP="002E5ECB">
            <w:pPr>
              <w:ind w:firstLine="567"/>
              <w:jc w:val="both"/>
              <w:rPr>
                <w:rFonts w:eastAsia="Times New Roman"/>
                <w:iCs/>
                <w:color w:val="000000"/>
                <w:sz w:val="22"/>
                <w:lang w:eastAsia="lv-LV"/>
              </w:rPr>
            </w:pPr>
            <w:r>
              <w:rPr>
                <w:rFonts w:eastAsia="Times New Roman"/>
                <w:iCs/>
                <w:color w:val="000000"/>
                <w:sz w:val="22"/>
                <w:lang w:eastAsia="lv-LV"/>
              </w:rPr>
              <w:t xml:space="preserve">(3) </w:t>
            </w:r>
            <w:r w:rsidRPr="004B6B4F">
              <w:rPr>
                <w:rFonts w:eastAsia="Times New Roman"/>
                <w:iCs/>
                <w:color w:val="000000"/>
                <w:sz w:val="22"/>
                <w:lang w:eastAsia="lv-LV"/>
              </w:rPr>
              <w:t>Nodokli maksā par to atkritumu daudzumu, ko pēc novietošanas bioloģiski noārdāmo atkritumu pārstrādes iekārtā biogāzes ieguvei (bioreaktorā) atļaujā A vai B kategorijas piesārņojošo darbību veikšanai noteiktajā termiņā atšķiro no pārstrādātās vai reģenerētās atkritumu frakcijas un apglabā atkritumu poligonā.</w:t>
            </w:r>
          </w:p>
        </w:tc>
        <w:tc>
          <w:tcPr>
            <w:tcW w:w="567" w:type="dxa"/>
          </w:tcPr>
          <w:p w:rsidR="00056624" w:rsidRPr="00F96D2A" w:rsidRDefault="00056624" w:rsidP="00F96D2A">
            <w:pPr>
              <w:jc w:val="center"/>
              <w:rPr>
                <w:rFonts w:eastAsia="Times New Roman"/>
                <w:b/>
                <w:iCs/>
                <w:color w:val="000000"/>
                <w:sz w:val="22"/>
                <w:lang w:eastAsia="lv-LV"/>
              </w:rPr>
            </w:pPr>
          </w:p>
        </w:tc>
        <w:tc>
          <w:tcPr>
            <w:tcW w:w="3969" w:type="dxa"/>
          </w:tcPr>
          <w:p w:rsidR="00056624" w:rsidRPr="004B6B4F" w:rsidRDefault="00056624" w:rsidP="004B6B4F">
            <w:pPr>
              <w:ind w:firstLine="567"/>
              <w:jc w:val="both"/>
              <w:rPr>
                <w:rFonts w:eastAsia="Times New Roman"/>
                <w:iCs/>
                <w:color w:val="000000"/>
                <w:sz w:val="22"/>
                <w:lang w:eastAsia="lv-LV"/>
              </w:rPr>
            </w:pPr>
          </w:p>
        </w:tc>
        <w:tc>
          <w:tcPr>
            <w:tcW w:w="1417" w:type="dxa"/>
          </w:tcPr>
          <w:p w:rsidR="00056624" w:rsidRPr="004B6B4F" w:rsidRDefault="00056624" w:rsidP="004B6B4F">
            <w:pPr>
              <w:ind w:firstLine="567"/>
              <w:jc w:val="both"/>
              <w:rPr>
                <w:rFonts w:eastAsia="Times New Roman"/>
                <w:iCs/>
                <w:color w:val="000000"/>
                <w:sz w:val="22"/>
                <w:lang w:eastAsia="lv-LV"/>
              </w:rPr>
            </w:pPr>
          </w:p>
        </w:tc>
        <w:tc>
          <w:tcPr>
            <w:tcW w:w="1418" w:type="dxa"/>
          </w:tcPr>
          <w:p w:rsidR="00056624" w:rsidRPr="004B6B4F" w:rsidRDefault="00056624" w:rsidP="004B6B4F">
            <w:pPr>
              <w:ind w:firstLine="567"/>
              <w:jc w:val="both"/>
              <w:rPr>
                <w:rFonts w:eastAsia="Times New Roman"/>
                <w:iCs/>
                <w:color w:val="000000"/>
                <w:sz w:val="22"/>
                <w:lang w:eastAsia="lv-LV"/>
              </w:rPr>
            </w:pPr>
          </w:p>
        </w:tc>
      </w:tr>
      <w:tr w:rsidR="002E5ECB" w:rsidRPr="001B3F41" w:rsidTr="00056624">
        <w:tc>
          <w:tcPr>
            <w:tcW w:w="3964" w:type="dxa"/>
            <w:shd w:val="clear" w:color="auto" w:fill="auto"/>
          </w:tcPr>
          <w:p w:rsidR="002E5ECB" w:rsidRPr="001846DF" w:rsidRDefault="002E5ECB" w:rsidP="006F0AD7">
            <w:pPr>
              <w:ind w:firstLine="567"/>
              <w:jc w:val="both"/>
              <w:rPr>
                <w:sz w:val="22"/>
              </w:rPr>
            </w:pPr>
          </w:p>
        </w:tc>
        <w:tc>
          <w:tcPr>
            <w:tcW w:w="3969" w:type="dxa"/>
            <w:shd w:val="clear" w:color="auto" w:fill="auto"/>
          </w:tcPr>
          <w:p w:rsidR="002E5ECB" w:rsidRPr="004B6B4F" w:rsidRDefault="002E5ECB" w:rsidP="004B6B4F">
            <w:pPr>
              <w:ind w:firstLine="567"/>
              <w:jc w:val="both"/>
              <w:rPr>
                <w:rFonts w:eastAsia="Times New Roman"/>
                <w:iCs/>
                <w:color w:val="000000"/>
                <w:sz w:val="22"/>
                <w:lang w:eastAsia="lv-LV"/>
              </w:rPr>
            </w:pPr>
            <w:r>
              <w:rPr>
                <w:rFonts w:eastAsia="Times New Roman"/>
                <w:iCs/>
                <w:color w:val="000000"/>
                <w:sz w:val="22"/>
                <w:lang w:eastAsia="lv-LV"/>
              </w:rPr>
              <w:t xml:space="preserve">(4) </w:t>
            </w:r>
            <w:r w:rsidRPr="004B6B4F">
              <w:rPr>
                <w:rFonts w:eastAsia="Times New Roman"/>
                <w:iCs/>
                <w:color w:val="000000"/>
                <w:sz w:val="22"/>
                <w:lang w:eastAsia="lv-LV"/>
              </w:rPr>
              <w:t> Nodokļa likme par atkritumu sadedzināšanu ir 15 </w:t>
            </w:r>
            <w:r w:rsidRPr="004B6B4F">
              <w:rPr>
                <w:rFonts w:eastAsia="Times New Roman"/>
                <w:i/>
                <w:iCs/>
                <w:color w:val="000000"/>
                <w:sz w:val="22"/>
                <w:lang w:eastAsia="lv-LV"/>
              </w:rPr>
              <w:t>euro</w:t>
            </w:r>
            <w:r w:rsidRPr="004B6B4F">
              <w:rPr>
                <w:rFonts w:eastAsia="Times New Roman"/>
                <w:iCs/>
                <w:color w:val="000000"/>
                <w:sz w:val="22"/>
                <w:lang w:eastAsia="lv-LV"/>
              </w:rPr>
              <w:t xml:space="preserve"> par tonnu."</w:t>
            </w:r>
          </w:p>
        </w:tc>
        <w:tc>
          <w:tcPr>
            <w:tcW w:w="567" w:type="dxa"/>
          </w:tcPr>
          <w:p w:rsidR="002E5ECB" w:rsidRPr="00F96D2A" w:rsidRDefault="000D35E2" w:rsidP="00F96D2A">
            <w:pPr>
              <w:jc w:val="center"/>
              <w:rPr>
                <w:rFonts w:eastAsia="Times New Roman"/>
                <w:b/>
                <w:iCs/>
                <w:color w:val="000000"/>
                <w:sz w:val="22"/>
                <w:lang w:eastAsia="lv-LV"/>
              </w:rPr>
            </w:pPr>
            <w:r>
              <w:rPr>
                <w:rFonts w:eastAsia="Times New Roman"/>
                <w:b/>
                <w:iCs/>
                <w:color w:val="000000"/>
                <w:sz w:val="22"/>
                <w:lang w:eastAsia="lv-LV"/>
              </w:rPr>
              <w:t>6</w:t>
            </w:r>
          </w:p>
        </w:tc>
        <w:tc>
          <w:tcPr>
            <w:tcW w:w="3969" w:type="dxa"/>
          </w:tcPr>
          <w:p w:rsidR="002E5ECB" w:rsidRDefault="00AB52C9" w:rsidP="004B6B4F">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AB52C9" w:rsidRPr="00AB52C9" w:rsidRDefault="00AB52C9" w:rsidP="00AB52C9">
            <w:pPr>
              <w:ind w:firstLine="567"/>
              <w:jc w:val="both"/>
              <w:rPr>
                <w:rFonts w:eastAsia="Times New Roman"/>
                <w:iCs/>
                <w:color w:val="000000"/>
                <w:sz w:val="22"/>
                <w:lang w:eastAsia="lv-LV"/>
              </w:rPr>
            </w:pPr>
            <w:r w:rsidRPr="00AB52C9">
              <w:rPr>
                <w:rFonts w:eastAsia="Times New Roman"/>
                <w:iCs/>
                <w:color w:val="000000"/>
                <w:sz w:val="22"/>
                <w:lang w:eastAsia="lv-LV"/>
              </w:rPr>
              <w:t>Likumprojekta 3. pantā:</w:t>
            </w:r>
          </w:p>
          <w:p w:rsidR="00AB52C9" w:rsidRPr="00AB52C9" w:rsidRDefault="00AB52C9" w:rsidP="00AB52C9">
            <w:pPr>
              <w:ind w:firstLine="567"/>
              <w:jc w:val="both"/>
              <w:rPr>
                <w:rFonts w:eastAsia="Times New Roman"/>
                <w:iCs/>
                <w:color w:val="000000"/>
                <w:sz w:val="22"/>
                <w:lang w:eastAsia="lv-LV"/>
              </w:rPr>
            </w:pPr>
            <w:r w:rsidRPr="00AB52C9">
              <w:rPr>
                <w:rFonts w:eastAsia="Times New Roman"/>
                <w:iCs/>
                <w:color w:val="000000"/>
                <w:sz w:val="22"/>
                <w:lang w:eastAsia="lv-LV"/>
              </w:rPr>
              <w:t>izteikt iekļauto likuma 20.</w:t>
            </w:r>
            <w:r w:rsidRPr="00AB52C9">
              <w:rPr>
                <w:rFonts w:eastAsia="Times New Roman"/>
                <w:iCs/>
                <w:color w:val="000000"/>
                <w:sz w:val="22"/>
                <w:vertAlign w:val="superscript"/>
                <w:lang w:eastAsia="lv-LV"/>
              </w:rPr>
              <w:t>1</w:t>
            </w:r>
            <w:r w:rsidRPr="00AB52C9">
              <w:rPr>
                <w:rFonts w:eastAsia="Times New Roman"/>
                <w:iCs/>
                <w:color w:val="000000"/>
                <w:sz w:val="22"/>
                <w:lang w:eastAsia="lv-LV"/>
              </w:rPr>
              <w:t> panta ceturto daļu jaunā redakcijā:</w:t>
            </w:r>
          </w:p>
          <w:p w:rsidR="002E5ECB" w:rsidRPr="00830FB0" w:rsidRDefault="00AB52C9" w:rsidP="00AB52C9">
            <w:pPr>
              <w:ind w:firstLine="567"/>
              <w:jc w:val="both"/>
              <w:rPr>
                <w:rFonts w:eastAsia="Times New Roman"/>
                <w:iCs/>
                <w:color w:val="000000"/>
                <w:sz w:val="22"/>
                <w:lang w:eastAsia="lv-LV"/>
              </w:rPr>
            </w:pPr>
            <w:r w:rsidRPr="00AB52C9">
              <w:rPr>
                <w:rFonts w:eastAsia="Times New Roman"/>
                <w:iCs/>
                <w:color w:val="000000"/>
                <w:sz w:val="22"/>
                <w:lang w:eastAsia="lv-LV"/>
              </w:rPr>
              <w:t xml:space="preserve">“(4) Nodokļa likme par atkritumu sadedzināšanu atkritumu sadedzināšanas vai līdzsadedzināšanas iekārtā ir 15 </w:t>
            </w:r>
            <w:r w:rsidRPr="00AB52C9">
              <w:rPr>
                <w:rFonts w:eastAsia="Times New Roman"/>
                <w:i/>
                <w:iCs/>
                <w:color w:val="000000"/>
                <w:sz w:val="22"/>
                <w:lang w:eastAsia="lv-LV"/>
              </w:rPr>
              <w:t>euro</w:t>
            </w:r>
            <w:r w:rsidRPr="00AB52C9">
              <w:rPr>
                <w:rFonts w:eastAsia="Times New Roman"/>
                <w:iCs/>
                <w:color w:val="000000"/>
                <w:sz w:val="22"/>
                <w:lang w:eastAsia="lv-LV"/>
              </w:rPr>
              <w:t xml:space="preserve"> par tonnu.”</w:t>
            </w:r>
          </w:p>
        </w:tc>
        <w:tc>
          <w:tcPr>
            <w:tcW w:w="1417" w:type="dxa"/>
          </w:tcPr>
          <w:p w:rsidR="002E5ECB" w:rsidRPr="004B6B4F" w:rsidRDefault="002E5ECB" w:rsidP="004B6B4F">
            <w:pPr>
              <w:ind w:firstLine="567"/>
              <w:jc w:val="both"/>
              <w:rPr>
                <w:rFonts w:eastAsia="Times New Roman"/>
                <w:iCs/>
                <w:color w:val="000000"/>
                <w:sz w:val="22"/>
                <w:lang w:eastAsia="lv-LV"/>
              </w:rPr>
            </w:pPr>
          </w:p>
        </w:tc>
        <w:tc>
          <w:tcPr>
            <w:tcW w:w="1418" w:type="dxa"/>
          </w:tcPr>
          <w:p w:rsidR="002E5ECB" w:rsidRPr="004B6B4F" w:rsidRDefault="002E5ECB" w:rsidP="004B6B4F">
            <w:pPr>
              <w:ind w:firstLine="567"/>
              <w:jc w:val="both"/>
              <w:rPr>
                <w:rFonts w:eastAsia="Times New Roman"/>
                <w:iCs/>
                <w:color w:val="000000"/>
                <w:sz w:val="22"/>
                <w:lang w:eastAsia="lv-LV"/>
              </w:rPr>
            </w:pPr>
          </w:p>
        </w:tc>
      </w:tr>
      <w:tr w:rsidR="00AB52C9" w:rsidRPr="001B3F41" w:rsidTr="00056624">
        <w:tc>
          <w:tcPr>
            <w:tcW w:w="3964" w:type="dxa"/>
            <w:shd w:val="clear" w:color="auto" w:fill="auto"/>
          </w:tcPr>
          <w:p w:rsidR="00AB52C9" w:rsidRPr="001846DF" w:rsidRDefault="00AB52C9" w:rsidP="006F0AD7">
            <w:pPr>
              <w:ind w:firstLine="567"/>
              <w:jc w:val="both"/>
              <w:rPr>
                <w:sz w:val="22"/>
              </w:rPr>
            </w:pPr>
          </w:p>
        </w:tc>
        <w:tc>
          <w:tcPr>
            <w:tcW w:w="3969" w:type="dxa"/>
            <w:shd w:val="clear" w:color="auto" w:fill="auto"/>
          </w:tcPr>
          <w:p w:rsidR="00AB52C9" w:rsidRDefault="00AB52C9" w:rsidP="004B6B4F">
            <w:pPr>
              <w:ind w:firstLine="567"/>
              <w:jc w:val="both"/>
              <w:rPr>
                <w:rFonts w:eastAsia="Times New Roman"/>
                <w:iCs/>
                <w:color w:val="000000"/>
                <w:sz w:val="22"/>
                <w:lang w:eastAsia="lv-LV"/>
              </w:rPr>
            </w:pPr>
          </w:p>
        </w:tc>
        <w:tc>
          <w:tcPr>
            <w:tcW w:w="567" w:type="dxa"/>
          </w:tcPr>
          <w:p w:rsidR="00AB52C9" w:rsidRPr="00F96D2A" w:rsidRDefault="000D35E2" w:rsidP="00F96D2A">
            <w:pPr>
              <w:jc w:val="center"/>
              <w:rPr>
                <w:rFonts w:eastAsia="Times New Roman"/>
                <w:b/>
                <w:iCs/>
                <w:color w:val="000000"/>
                <w:sz w:val="22"/>
                <w:lang w:eastAsia="lv-LV"/>
              </w:rPr>
            </w:pPr>
            <w:r>
              <w:rPr>
                <w:rFonts w:eastAsia="Times New Roman"/>
                <w:b/>
                <w:iCs/>
                <w:color w:val="000000"/>
                <w:sz w:val="22"/>
                <w:lang w:eastAsia="lv-LV"/>
              </w:rPr>
              <w:t>7</w:t>
            </w:r>
          </w:p>
        </w:tc>
        <w:tc>
          <w:tcPr>
            <w:tcW w:w="3969" w:type="dxa"/>
          </w:tcPr>
          <w:p w:rsidR="00AB52C9" w:rsidRDefault="00AB52C9" w:rsidP="00AB52C9">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A11592" w:rsidRPr="00A11592" w:rsidRDefault="00A11592" w:rsidP="00A11592">
            <w:pPr>
              <w:ind w:firstLine="567"/>
              <w:jc w:val="both"/>
              <w:rPr>
                <w:rFonts w:eastAsia="Times New Roman"/>
                <w:iCs/>
                <w:color w:val="000000"/>
                <w:sz w:val="22"/>
                <w:lang w:eastAsia="lv-LV"/>
              </w:rPr>
            </w:pPr>
            <w:r w:rsidRPr="00A11592">
              <w:rPr>
                <w:rFonts w:eastAsia="Times New Roman"/>
                <w:iCs/>
                <w:color w:val="000000"/>
                <w:sz w:val="22"/>
                <w:lang w:eastAsia="lv-LV"/>
              </w:rPr>
              <w:t>papildināt iekļauto likuma 20.</w:t>
            </w:r>
            <w:r w:rsidRPr="00A11592">
              <w:rPr>
                <w:rFonts w:eastAsia="Times New Roman"/>
                <w:iCs/>
                <w:color w:val="000000"/>
                <w:sz w:val="22"/>
                <w:vertAlign w:val="superscript"/>
                <w:lang w:eastAsia="lv-LV"/>
              </w:rPr>
              <w:t>1</w:t>
            </w:r>
            <w:r w:rsidRPr="00A11592">
              <w:rPr>
                <w:rFonts w:eastAsia="Times New Roman"/>
                <w:iCs/>
                <w:color w:val="000000"/>
                <w:sz w:val="22"/>
                <w:lang w:eastAsia="lv-LV"/>
              </w:rPr>
              <w:t xml:space="preserve"> pantu ar piekto daļu šādā redakcijā:</w:t>
            </w:r>
          </w:p>
          <w:p w:rsidR="00AB52C9" w:rsidRPr="00A11592" w:rsidRDefault="00A11592" w:rsidP="00A11592">
            <w:pPr>
              <w:ind w:firstLine="567"/>
              <w:jc w:val="both"/>
              <w:rPr>
                <w:rFonts w:eastAsia="Times New Roman"/>
                <w:iCs/>
                <w:color w:val="000000"/>
                <w:sz w:val="22"/>
                <w:lang w:eastAsia="lv-LV"/>
              </w:rPr>
            </w:pPr>
            <w:r w:rsidRPr="00A11592">
              <w:rPr>
                <w:rFonts w:eastAsia="Times New Roman"/>
                <w:iCs/>
                <w:color w:val="000000"/>
                <w:sz w:val="22"/>
                <w:lang w:eastAsia="lv-LV"/>
              </w:rPr>
              <w:t>“(5) Nodokli nemaksā par to atkritumu daudzumu, kas tiek sadedzināts vai līdzsadedzināts iekārtas klinkera cementa ražošanai rotācijas krāsnī.”.</w:t>
            </w:r>
          </w:p>
        </w:tc>
        <w:tc>
          <w:tcPr>
            <w:tcW w:w="1417" w:type="dxa"/>
          </w:tcPr>
          <w:p w:rsidR="00AB52C9" w:rsidRPr="004B6B4F" w:rsidRDefault="00AB52C9" w:rsidP="004B6B4F">
            <w:pPr>
              <w:ind w:firstLine="567"/>
              <w:jc w:val="both"/>
              <w:rPr>
                <w:rFonts w:eastAsia="Times New Roman"/>
                <w:iCs/>
                <w:color w:val="000000"/>
                <w:sz w:val="22"/>
                <w:lang w:eastAsia="lv-LV"/>
              </w:rPr>
            </w:pPr>
          </w:p>
        </w:tc>
        <w:tc>
          <w:tcPr>
            <w:tcW w:w="1418" w:type="dxa"/>
          </w:tcPr>
          <w:p w:rsidR="00AB52C9" w:rsidRPr="004B6B4F" w:rsidRDefault="00AB52C9" w:rsidP="004B6B4F">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Pr="009A495C" w:rsidRDefault="00056624" w:rsidP="009A495C">
            <w:pPr>
              <w:ind w:firstLine="567"/>
              <w:jc w:val="both"/>
              <w:rPr>
                <w:sz w:val="22"/>
              </w:rPr>
            </w:pPr>
            <w:r w:rsidRPr="009A495C">
              <w:rPr>
                <w:b/>
                <w:bCs/>
                <w:sz w:val="22"/>
              </w:rPr>
              <w:t>23.</w:t>
            </w:r>
            <w:r w:rsidRPr="009A495C">
              <w:rPr>
                <w:b/>
                <w:bCs/>
                <w:sz w:val="22"/>
                <w:vertAlign w:val="superscript"/>
              </w:rPr>
              <w:t>1</w:t>
            </w:r>
            <w:r w:rsidRPr="009A495C">
              <w:rPr>
                <w:b/>
                <w:bCs/>
                <w:sz w:val="22"/>
              </w:rPr>
              <w:t xml:space="preserve"> pants. Nodokļa aprēķināšana par akmeņoglēm, koksu un lignītu (brūnoglēm)</w:t>
            </w:r>
          </w:p>
          <w:p w:rsidR="00056624" w:rsidRPr="00056624" w:rsidRDefault="00056624" w:rsidP="009A495C">
            <w:pPr>
              <w:ind w:firstLine="567"/>
              <w:jc w:val="both"/>
              <w:rPr>
                <w:sz w:val="22"/>
              </w:rPr>
            </w:pPr>
            <w:r w:rsidRPr="00056624">
              <w:rPr>
                <w:sz w:val="22"/>
              </w:rPr>
              <w:t>(4) Akmeņoglēm, koksam un lignītam (brūnoglēm), kuru izmanto elektroenerģijas ražošanai, kā arī siltumenerģijas un elektroenerģijas ražošanai koģenerācijas procesā, piemēro 0 procentu nodokļa likmi.</w:t>
            </w:r>
          </w:p>
          <w:p w:rsidR="00056624" w:rsidRDefault="00056624" w:rsidP="009A495C">
            <w:pPr>
              <w:ind w:firstLine="567"/>
              <w:jc w:val="both"/>
              <w:rPr>
                <w:sz w:val="22"/>
              </w:rPr>
            </w:pPr>
            <w:r w:rsidRPr="00056624">
              <w:rPr>
                <w:sz w:val="22"/>
              </w:rPr>
              <w:t>(5) Realizējot akmeņogles, koksu un lignītu (brūnogles) personai, kurai ir licence elektroenerģijas ražošanai vai licence siltumenerģijas un elektroenerģijas ražošanai koģenerācijas procesā, ievērojot šā panta ceturto daļu, nodokļa maksātājs piemēro 0 procentu nodokļa likmi. Ja akmeņogles, koksu un lignītu (brūnogles) šajā pantā minētā persona (energoapgādes komersants) izmanto citiem mērķiem, nevis elektroenerģijas ražošanai vai siltumenerģijas un elektroenerģijas ražošanai koģenerācijas procesā, tā maksā nodokli atbilstoši šā likuma 9.pielikumā noteiktajām nodokļa likmēm.</w:t>
            </w:r>
          </w:p>
          <w:p w:rsidR="00D66838" w:rsidRPr="00581468" w:rsidRDefault="00D66838" w:rsidP="009A495C">
            <w:pPr>
              <w:ind w:firstLine="567"/>
              <w:jc w:val="both"/>
              <w:rPr>
                <w:sz w:val="22"/>
              </w:rPr>
            </w:pPr>
          </w:p>
        </w:tc>
        <w:tc>
          <w:tcPr>
            <w:tcW w:w="3969" w:type="dxa"/>
            <w:shd w:val="clear" w:color="auto" w:fill="auto"/>
          </w:tcPr>
          <w:p w:rsidR="00056624" w:rsidRDefault="00056624" w:rsidP="00EC158C">
            <w:pPr>
              <w:ind w:firstLine="567"/>
              <w:jc w:val="both"/>
              <w:rPr>
                <w:rFonts w:eastAsia="Times New Roman"/>
                <w:iCs/>
                <w:color w:val="000000"/>
                <w:sz w:val="22"/>
                <w:lang w:eastAsia="lv-LV"/>
              </w:rPr>
            </w:pPr>
            <w:r w:rsidRPr="0092031B">
              <w:rPr>
                <w:rFonts w:eastAsia="Times New Roman"/>
                <w:iCs/>
                <w:color w:val="000000"/>
                <w:sz w:val="22"/>
                <w:lang w:eastAsia="lv-LV"/>
              </w:rPr>
              <w:t xml:space="preserve">4. Izslēgt </w:t>
            </w:r>
            <w:r w:rsidRPr="0092031B">
              <w:rPr>
                <w:rFonts w:eastAsia="Times New Roman"/>
                <w:bCs/>
                <w:iCs/>
                <w:color w:val="000000"/>
                <w:sz w:val="22"/>
                <w:lang w:eastAsia="lv-LV"/>
              </w:rPr>
              <w:t>23.</w:t>
            </w:r>
            <w:r w:rsidRPr="0092031B">
              <w:rPr>
                <w:rFonts w:eastAsia="Times New Roman"/>
                <w:bCs/>
                <w:iCs/>
                <w:color w:val="000000"/>
                <w:sz w:val="22"/>
                <w:vertAlign w:val="superscript"/>
                <w:lang w:eastAsia="lv-LV"/>
              </w:rPr>
              <w:t>1</w:t>
            </w:r>
            <w:r w:rsidRPr="0092031B">
              <w:rPr>
                <w:rFonts w:eastAsia="Times New Roman"/>
                <w:bCs/>
                <w:iCs/>
                <w:color w:val="000000"/>
                <w:sz w:val="22"/>
                <w:lang w:eastAsia="lv-LV"/>
              </w:rPr>
              <w:t> panta ceturto un piekto daļu.</w:t>
            </w:r>
          </w:p>
        </w:tc>
        <w:tc>
          <w:tcPr>
            <w:tcW w:w="567" w:type="dxa"/>
          </w:tcPr>
          <w:p w:rsidR="00056624" w:rsidRPr="00F96D2A" w:rsidRDefault="00056624" w:rsidP="00F96D2A">
            <w:pPr>
              <w:jc w:val="center"/>
              <w:rPr>
                <w:rFonts w:eastAsia="Times New Roman"/>
                <w:b/>
                <w:iCs/>
                <w:color w:val="000000"/>
                <w:sz w:val="22"/>
                <w:lang w:eastAsia="lv-LV"/>
              </w:rPr>
            </w:pPr>
          </w:p>
        </w:tc>
        <w:tc>
          <w:tcPr>
            <w:tcW w:w="3969" w:type="dxa"/>
          </w:tcPr>
          <w:p w:rsidR="00056624" w:rsidRPr="0092031B" w:rsidRDefault="00056624" w:rsidP="00EC158C">
            <w:pPr>
              <w:ind w:firstLine="567"/>
              <w:jc w:val="both"/>
              <w:rPr>
                <w:rFonts w:eastAsia="Times New Roman"/>
                <w:iCs/>
                <w:color w:val="000000"/>
                <w:sz w:val="22"/>
                <w:lang w:eastAsia="lv-LV"/>
              </w:rPr>
            </w:pPr>
          </w:p>
        </w:tc>
        <w:tc>
          <w:tcPr>
            <w:tcW w:w="1417" w:type="dxa"/>
          </w:tcPr>
          <w:p w:rsidR="00056624" w:rsidRPr="0092031B" w:rsidRDefault="00056624" w:rsidP="00EC158C">
            <w:pPr>
              <w:ind w:firstLine="567"/>
              <w:jc w:val="both"/>
              <w:rPr>
                <w:rFonts w:eastAsia="Times New Roman"/>
                <w:iCs/>
                <w:color w:val="000000"/>
                <w:sz w:val="22"/>
                <w:lang w:eastAsia="lv-LV"/>
              </w:rPr>
            </w:pPr>
          </w:p>
        </w:tc>
        <w:tc>
          <w:tcPr>
            <w:tcW w:w="1418" w:type="dxa"/>
          </w:tcPr>
          <w:p w:rsidR="00056624" w:rsidRPr="0092031B" w:rsidRDefault="00056624" w:rsidP="00EC158C">
            <w:pPr>
              <w:ind w:firstLine="567"/>
              <w:jc w:val="both"/>
              <w:rPr>
                <w:rFonts w:eastAsia="Times New Roman"/>
                <w:iCs/>
                <w:color w:val="000000"/>
                <w:sz w:val="22"/>
                <w:lang w:eastAsia="lv-LV"/>
              </w:rPr>
            </w:pPr>
          </w:p>
        </w:tc>
      </w:tr>
      <w:tr w:rsidR="00440F07" w:rsidRPr="001B3F41" w:rsidTr="00056624">
        <w:tc>
          <w:tcPr>
            <w:tcW w:w="3964" w:type="dxa"/>
            <w:shd w:val="clear" w:color="auto" w:fill="auto"/>
          </w:tcPr>
          <w:p w:rsidR="00440F07" w:rsidRPr="009A495C" w:rsidRDefault="00440F07" w:rsidP="009A495C">
            <w:pPr>
              <w:ind w:firstLine="567"/>
              <w:jc w:val="both"/>
              <w:rPr>
                <w:b/>
                <w:bCs/>
                <w:sz w:val="22"/>
              </w:rPr>
            </w:pPr>
            <w:r w:rsidRPr="00CC3AB1">
              <w:rPr>
                <w:b/>
                <w:bCs/>
                <w:sz w:val="22"/>
              </w:rPr>
              <w:t xml:space="preserve">V nodaļa. Nodokļa maksāšana, pārskati par aprēķināto nodokli, </w:t>
            </w:r>
            <w:r w:rsidRPr="00CC3AB1">
              <w:rPr>
                <w:b/>
                <w:bCs/>
                <w:sz w:val="22"/>
              </w:rPr>
              <w:br/>
              <w:t xml:space="preserve">nodokļa maksājumu sadale un pašvaldību vides aizsardzības </w:t>
            </w:r>
            <w:r w:rsidRPr="00CC3AB1">
              <w:rPr>
                <w:b/>
                <w:bCs/>
                <w:sz w:val="22"/>
              </w:rPr>
              <w:br/>
              <w:t>speciālo budžetu līdzekļu izmantošana</w:t>
            </w:r>
          </w:p>
        </w:tc>
        <w:tc>
          <w:tcPr>
            <w:tcW w:w="3969" w:type="dxa"/>
            <w:shd w:val="clear" w:color="auto" w:fill="auto"/>
          </w:tcPr>
          <w:p w:rsidR="00440F07" w:rsidRPr="0092031B" w:rsidRDefault="00440F07" w:rsidP="00EC158C">
            <w:pPr>
              <w:ind w:firstLine="567"/>
              <w:jc w:val="both"/>
              <w:rPr>
                <w:rFonts w:eastAsia="Times New Roman"/>
                <w:iCs/>
                <w:color w:val="000000"/>
                <w:sz w:val="22"/>
                <w:lang w:eastAsia="lv-LV"/>
              </w:rPr>
            </w:pPr>
          </w:p>
        </w:tc>
        <w:tc>
          <w:tcPr>
            <w:tcW w:w="567" w:type="dxa"/>
          </w:tcPr>
          <w:p w:rsidR="00440F07" w:rsidRPr="00F96D2A" w:rsidRDefault="000D35E2" w:rsidP="00F96D2A">
            <w:pPr>
              <w:jc w:val="center"/>
              <w:rPr>
                <w:rFonts w:eastAsia="Times New Roman"/>
                <w:b/>
                <w:iCs/>
                <w:color w:val="000000"/>
                <w:sz w:val="22"/>
                <w:lang w:eastAsia="lv-LV"/>
              </w:rPr>
            </w:pPr>
            <w:r>
              <w:rPr>
                <w:rFonts w:eastAsia="Times New Roman"/>
                <w:b/>
                <w:iCs/>
                <w:color w:val="000000"/>
                <w:sz w:val="22"/>
                <w:lang w:eastAsia="lv-LV"/>
              </w:rPr>
              <w:t>8</w:t>
            </w:r>
          </w:p>
        </w:tc>
        <w:tc>
          <w:tcPr>
            <w:tcW w:w="3969" w:type="dxa"/>
          </w:tcPr>
          <w:p w:rsidR="0013244D" w:rsidRDefault="0013244D" w:rsidP="0013244D">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D66838" w:rsidRPr="00D66838" w:rsidRDefault="00D66838" w:rsidP="00D66838">
            <w:pPr>
              <w:ind w:firstLine="567"/>
              <w:jc w:val="both"/>
              <w:rPr>
                <w:rFonts w:eastAsia="Times New Roman"/>
                <w:iCs/>
                <w:color w:val="000000"/>
                <w:sz w:val="22"/>
                <w:lang w:eastAsia="lv-LV"/>
              </w:rPr>
            </w:pPr>
            <w:r w:rsidRPr="00D66838">
              <w:rPr>
                <w:rFonts w:eastAsia="Times New Roman"/>
                <w:iCs/>
                <w:color w:val="000000"/>
                <w:sz w:val="22"/>
                <w:lang w:eastAsia="lv-LV"/>
              </w:rPr>
              <w:t>Papildināt likumprojektu ar jaunu pantu, izsakot likuma V. nodaļas nosaukumu šādā redakcijā:</w:t>
            </w:r>
          </w:p>
          <w:p w:rsidR="00440F07" w:rsidRPr="0092031B" w:rsidRDefault="00D66838" w:rsidP="00D66838">
            <w:pPr>
              <w:ind w:firstLine="567"/>
              <w:jc w:val="both"/>
              <w:rPr>
                <w:rFonts w:eastAsia="Times New Roman"/>
                <w:iCs/>
                <w:color w:val="000000"/>
                <w:sz w:val="22"/>
                <w:lang w:eastAsia="lv-LV"/>
              </w:rPr>
            </w:pPr>
            <w:r w:rsidRPr="00D66838">
              <w:rPr>
                <w:rFonts w:eastAsia="Times New Roman"/>
                <w:b/>
                <w:bCs/>
                <w:iCs/>
                <w:color w:val="000000"/>
                <w:sz w:val="22"/>
                <w:lang w:eastAsia="lv-LV"/>
              </w:rPr>
              <w:t>“V nodaļa. Nodokļa maksāšana, pārskati par aprēķināto nodokli,</w:t>
            </w:r>
            <w:r w:rsidRPr="00D66838">
              <w:rPr>
                <w:rFonts w:eastAsia="Times New Roman"/>
                <w:b/>
                <w:bCs/>
                <w:iCs/>
                <w:color w:val="000000"/>
                <w:sz w:val="22"/>
                <w:lang w:eastAsia="lv-LV"/>
              </w:rPr>
              <w:br/>
              <w:t xml:space="preserve">nodokļa maksājumu sadale un pašvaldību pamatbudžeta līdzekļu, kas iegūti </w:t>
            </w:r>
            <w:r w:rsidRPr="00D66838">
              <w:rPr>
                <w:rFonts w:eastAsia="Times New Roman"/>
                <w:b/>
                <w:iCs/>
                <w:color w:val="000000"/>
                <w:sz w:val="22"/>
                <w:lang w:eastAsia="lv-LV"/>
              </w:rPr>
              <w:t>no nodokļa maksājumiem,</w:t>
            </w:r>
            <w:r w:rsidRPr="00D66838">
              <w:rPr>
                <w:rFonts w:eastAsia="Times New Roman"/>
                <w:b/>
                <w:bCs/>
                <w:iCs/>
                <w:color w:val="000000"/>
                <w:sz w:val="22"/>
                <w:lang w:eastAsia="lv-LV"/>
              </w:rPr>
              <w:t xml:space="preserve"> izmantošana”.</w:t>
            </w:r>
          </w:p>
        </w:tc>
        <w:tc>
          <w:tcPr>
            <w:tcW w:w="1417" w:type="dxa"/>
          </w:tcPr>
          <w:p w:rsidR="00440F07" w:rsidRPr="0092031B" w:rsidRDefault="00440F07" w:rsidP="00EC158C">
            <w:pPr>
              <w:ind w:firstLine="567"/>
              <w:jc w:val="both"/>
              <w:rPr>
                <w:rFonts w:eastAsia="Times New Roman"/>
                <w:iCs/>
                <w:color w:val="000000"/>
                <w:sz w:val="22"/>
                <w:lang w:eastAsia="lv-LV"/>
              </w:rPr>
            </w:pPr>
          </w:p>
        </w:tc>
        <w:tc>
          <w:tcPr>
            <w:tcW w:w="1418" w:type="dxa"/>
          </w:tcPr>
          <w:p w:rsidR="00440F07" w:rsidRPr="0092031B" w:rsidRDefault="00440F07" w:rsidP="00EC158C">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Default="00056624" w:rsidP="00B6215C">
            <w:pPr>
              <w:ind w:firstLine="567"/>
              <w:jc w:val="both"/>
              <w:rPr>
                <w:b/>
                <w:bCs/>
                <w:sz w:val="22"/>
              </w:rPr>
            </w:pPr>
            <w:r w:rsidRPr="00751F5B">
              <w:rPr>
                <w:b/>
                <w:bCs/>
                <w:sz w:val="22"/>
              </w:rPr>
              <w:t>28.</w:t>
            </w:r>
            <w:r>
              <w:rPr>
                <w:b/>
                <w:bCs/>
                <w:sz w:val="22"/>
              </w:rPr>
              <w:t xml:space="preserve"> </w:t>
            </w:r>
            <w:r w:rsidRPr="00751F5B">
              <w:rPr>
                <w:b/>
                <w:bCs/>
                <w:sz w:val="22"/>
              </w:rPr>
              <w:t>pants. Nodokļa maksājumu ieskaitīšana budžetā</w:t>
            </w:r>
          </w:p>
          <w:p w:rsidR="00056624" w:rsidRPr="00751F5B" w:rsidRDefault="00056624" w:rsidP="00751F5B">
            <w:pPr>
              <w:ind w:firstLine="567"/>
              <w:jc w:val="both"/>
              <w:rPr>
                <w:sz w:val="22"/>
              </w:rPr>
            </w:pPr>
            <w:r w:rsidRPr="00751F5B">
              <w:rPr>
                <w:sz w:val="22"/>
              </w:rPr>
              <w:t>(2) Nodokļa maksājumus par dabas resursu ieguvi vai izmantošanu vai vides piesārņošanu (izņemot šā panta trešajā un ceturtajā daļā minētos gadījumus) limitos noteiktajos apmēros ieskaita:</w:t>
            </w:r>
          </w:p>
          <w:p w:rsidR="00056624" w:rsidRPr="00751F5B" w:rsidRDefault="00056624" w:rsidP="00751F5B">
            <w:pPr>
              <w:ind w:firstLine="567"/>
              <w:jc w:val="both"/>
              <w:rPr>
                <w:sz w:val="22"/>
              </w:rPr>
            </w:pPr>
            <w:r w:rsidRPr="00751F5B">
              <w:rPr>
                <w:sz w:val="22"/>
              </w:rPr>
              <w:t>1) 40 procentus — valsts pamatbudžetā;</w:t>
            </w:r>
          </w:p>
          <w:p w:rsidR="00056624" w:rsidRPr="00751F5B" w:rsidRDefault="00056624" w:rsidP="00751F5B">
            <w:pPr>
              <w:ind w:firstLine="567"/>
              <w:jc w:val="both"/>
              <w:rPr>
                <w:sz w:val="22"/>
              </w:rPr>
            </w:pPr>
            <w:r w:rsidRPr="00751F5B">
              <w:rPr>
                <w:sz w:val="22"/>
              </w:rPr>
              <w:t>2) 60 procentus — tās vietējās pašvaldības vides aizsardzības speciālajā budžetā, kuras teritorijā tiek veikta attiecīgā darbība.</w:t>
            </w:r>
          </w:p>
        </w:tc>
        <w:tc>
          <w:tcPr>
            <w:tcW w:w="3969" w:type="dxa"/>
            <w:shd w:val="clear" w:color="auto" w:fill="auto"/>
          </w:tcPr>
          <w:p w:rsidR="00056624" w:rsidRPr="0092031B" w:rsidRDefault="00056624" w:rsidP="0092031B">
            <w:pPr>
              <w:ind w:firstLine="567"/>
              <w:jc w:val="both"/>
              <w:rPr>
                <w:rFonts w:eastAsia="Times New Roman"/>
                <w:iCs/>
                <w:color w:val="000000"/>
                <w:sz w:val="22"/>
                <w:lang w:eastAsia="lv-LV"/>
              </w:rPr>
            </w:pPr>
            <w:r w:rsidRPr="0092031B">
              <w:rPr>
                <w:rFonts w:eastAsia="Times New Roman"/>
                <w:iCs/>
                <w:color w:val="000000"/>
                <w:sz w:val="22"/>
                <w:lang w:eastAsia="lv-LV"/>
              </w:rPr>
              <w:t>5.  28. pantā:</w:t>
            </w:r>
          </w:p>
          <w:p w:rsidR="00056624" w:rsidRPr="0092031B" w:rsidRDefault="00056624" w:rsidP="0092031B">
            <w:pPr>
              <w:ind w:firstLine="567"/>
              <w:jc w:val="both"/>
              <w:rPr>
                <w:rFonts w:eastAsia="Times New Roman"/>
                <w:iCs/>
                <w:color w:val="000000"/>
                <w:sz w:val="22"/>
                <w:lang w:eastAsia="lv-LV"/>
              </w:rPr>
            </w:pPr>
            <w:r w:rsidRPr="0092031B">
              <w:rPr>
                <w:rFonts w:eastAsia="Times New Roman"/>
                <w:iCs/>
                <w:color w:val="000000"/>
                <w:sz w:val="22"/>
                <w:lang w:eastAsia="lv-LV"/>
              </w:rPr>
              <w:t>izteikt otrās daļas 1. un 2. punktu šādā redakcijā:</w:t>
            </w:r>
          </w:p>
          <w:p w:rsidR="00056624" w:rsidRPr="0092031B" w:rsidRDefault="00056624" w:rsidP="0092031B">
            <w:pPr>
              <w:ind w:firstLine="567"/>
              <w:jc w:val="both"/>
              <w:rPr>
                <w:rFonts w:eastAsia="Times New Roman"/>
                <w:iCs/>
                <w:color w:val="000000"/>
                <w:sz w:val="22"/>
                <w:lang w:eastAsia="lv-LV"/>
              </w:rPr>
            </w:pPr>
            <w:r w:rsidRPr="0092031B">
              <w:rPr>
                <w:rFonts w:eastAsia="Times New Roman"/>
                <w:iCs/>
                <w:color w:val="000000"/>
                <w:sz w:val="22"/>
                <w:lang w:eastAsia="lv-LV"/>
              </w:rPr>
              <w:t>"1) 60 procentus – valsts pamatbudžetā;</w:t>
            </w:r>
          </w:p>
          <w:p w:rsidR="00056624" w:rsidRDefault="00056624" w:rsidP="0092031B">
            <w:pPr>
              <w:ind w:firstLine="567"/>
              <w:jc w:val="both"/>
              <w:rPr>
                <w:rFonts w:eastAsia="Times New Roman"/>
                <w:iCs/>
                <w:color w:val="000000"/>
                <w:sz w:val="22"/>
                <w:lang w:eastAsia="lv-LV"/>
              </w:rPr>
            </w:pPr>
            <w:r w:rsidRPr="0092031B">
              <w:rPr>
                <w:rFonts w:eastAsia="Times New Roman"/>
                <w:iCs/>
                <w:color w:val="000000"/>
                <w:sz w:val="22"/>
                <w:lang w:eastAsia="lv-LV"/>
              </w:rPr>
              <w:t>2) 40 procentus – tās vietējās pašvaldības vides aizsardzības speciālajā budžetā, kuras teritorijā tiek veikta attiecīgā darbība.";</w:t>
            </w:r>
          </w:p>
        </w:tc>
        <w:tc>
          <w:tcPr>
            <w:tcW w:w="567" w:type="dxa"/>
          </w:tcPr>
          <w:p w:rsidR="00056624" w:rsidRDefault="000D35E2" w:rsidP="00F96D2A">
            <w:pPr>
              <w:jc w:val="center"/>
              <w:rPr>
                <w:rFonts w:eastAsia="Times New Roman"/>
                <w:b/>
                <w:iCs/>
                <w:color w:val="000000"/>
                <w:sz w:val="22"/>
                <w:lang w:eastAsia="lv-LV"/>
              </w:rPr>
            </w:pPr>
            <w:r>
              <w:rPr>
                <w:rFonts w:eastAsia="Times New Roman"/>
                <w:b/>
                <w:iCs/>
                <w:color w:val="000000"/>
                <w:sz w:val="22"/>
                <w:lang w:eastAsia="lv-LV"/>
              </w:rPr>
              <w:t>9</w:t>
            </w: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r>
              <w:rPr>
                <w:rFonts w:eastAsia="Times New Roman"/>
                <w:b/>
                <w:iCs/>
                <w:color w:val="000000"/>
                <w:sz w:val="22"/>
                <w:lang w:eastAsia="lv-LV"/>
              </w:rPr>
              <w:t>10</w:t>
            </w: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r>
              <w:rPr>
                <w:rFonts w:eastAsia="Times New Roman"/>
                <w:b/>
                <w:iCs/>
                <w:color w:val="000000"/>
                <w:sz w:val="22"/>
                <w:lang w:eastAsia="lv-LV"/>
              </w:rPr>
              <w:t>11</w:t>
            </w: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r>
              <w:rPr>
                <w:rFonts w:eastAsia="Times New Roman"/>
                <w:b/>
                <w:iCs/>
                <w:color w:val="000000"/>
                <w:sz w:val="22"/>
                <w:lang w:eastAsia="lv-LV"/>
              </w:rPr>
              <w:t>12</w:t>
            </w: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Default="000D35E2" w:rsidP="00F96D2A">
            <w:pPr>
              <w:jc w:val="center"/>
              <w:rPr>
                <w:rFonts w:eastAsia="Times New Roman"/>
                <w:b/>
                <w:iCs/>
                <w:color w:val="000000"/>
                <w:sz w:val="22"/>
                <w:lang w:eastAsia="lv-LV"/>
              </w:rPr>
            </w:pPr>
          </w:p>
          <w:p w:rsidR="000D35E2" w:rsidRPr="00F96D2A" w:rsidRDefault="000D35E2" w:rsidP="00F96D2A">
            <w:pPr>
              <w:jc w:val="center"/>
              <w:rPr>
                <w:rFonts w:eastAsia="Times New Roman"/>
                <w:b/>
                <w:iCs/>
                <w:color w:val="000000"/>
                <w:sz w:val="22"/>
                <w:lang w:eastAsia="lv-LV"/>
              </w:rPr>
            </w:pPr>
            <w:r>
              <w:rPr>
                <w:rFonts w:eastAsia="Times New Roman"/>
                <w:b/>
                <w:iCs/>
                <w:color w:val="000000"/>
                <w:sz w:val="22"/>
                <w:lang w:eastAsia="lv-LV"/>
              </w:rPr>
              <w:t>13</w:t>
            </w:r>
          </w:p>
        </w:tc>
        <w:tc>
          <w:tcPr>
            <w:tcW w:w="3969" w:type="dxa"/>
          </w:tcPr>
          <w:p w:rsidR="0013244D" w:rsidRDefault="0013244D" w:rsidP="0013244D">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13244D" w:rsidRDefault="0013244D" w:rsidP="0013244D">
            <w:pPr>
              <w:ind w:firstLine="567"/>
              <w:jc w:val="both"/>
              <w:rPr>
                <w:rFonts w:eastAsia="Times New Roman"/>
                <w:b/>
                <w:iCs/>
                <w:color w:val="000000"/>
                <w:sz w:val="22"/>
                <w:u w:val="single"/>
                <w:lang w:eastAsia="lv-LV"/>
              </w:rPr>
            </w:pPr>
            <w:r w:rsidRPr="00211AE3">
              <w:rPr>
                <w:rFonts w:eastAsia="Times New Roman"/>
                <w:i/>
                <w:iCs/>
                <w:color w:val="000000"/>
                <w:sz w:val="22"/>
                <w:lang w:eastAsia="lv-LV"/>
              </w:rPr>
              <w:t>Aicinām precizēt 28. panta otrās daļas 2. punkta redakciju, saskaņojot to ar Likuma par budžetu un finanšu vadību un likuma “Par pašvaldību budžetiem” normām, kas neparedz pašvaldību speciālo budžetu veidošanu. Vienlaikus aicinām precizēt arī likuma V nodaļas nosaukumu, 28. panta trešo un sesto daļu, 29. panta redakciju.</w:t>
            </w:r>
          </w:p>
          <w:p w:rsidR="0013244D" w:rsidRDefault="0013244D" w:rsidP="003E53DB">
            <w:pPr>
              <w:ind w:firstLine="567"/>
              <w:jc w:val="both"/>
              <w:rPr>
                <w:rFonts w:eastAsia="Times New Roman"/>
                <w:b/>
                <w:iCs/>
                <w:color w:val="000000"/>
                <w:sz w:val="22"/>
                <w:u w:val="single"/>
                <w:lang w:eastAsia="lv-LV"/>
              </w:rPr>
            </w:pPr>
          </w:p>
          <w:p w:rsidR="003E53DB" w:rsidRPr="00AF49E4" w:rsidRDefault="003E53DB" w:rsidP="003E53DB">
            <w:pPr>
              <w:ind w:firstLine="567"/>
              <w:jc w:val="both"/>
              <w:rPr>
                <w:rFonts w:eastAsia="Times New Roman"/>
                <w:b/>
                <w:iCs/>
                <w:color w:val="000000"/>
                <w:sz w:val="22"/>
                <w:u w:val="single"/>
                <w:lang w:eastAsia="lv-LV"/>
              </w:rPr>
            </w:pPr>
            <w:r w:rsidRPr="00AF49E4">
              <w:rPr>
                <w:rFonts w:eastAsia="Times New Roman"/>
                <w:b/>
                <w:iCs/>
                <w:color w:val="000000"/>
                <w:sz w:val="22"/>
                <w:u w:val="single"/>
                <w:lang w:eastAsia="lv-LV"/>
              </w:rPr>
              <w:t>Zaļo un Zemnieku savienības frakcija</w:t>
            </w:r>
          </w:p>
          <w:p w:rsidR="003E53DB" w:rsidRDefault="0054488F" w:rsidP="0092031B">
            <w:pPr>
              <w:ind w:firstLine="567"/>
              <w:jc w:val="both"/>
              <w:rPr>
                <w:rFonts w:eastAsia="Times New Roman"/>
                <w:iCs/>
                <w:color w:val="000000"/>
                <w:sz w:val="22"/>
                <w:lang w:eastAsia="lv-LV"/>
              </w:rPr>
            </w:pPr>
            <w:r w:rsidRPr="0054488F">
              <w:rPr>
                <w:rFonts w:eastAsia="Times New Roman"/>
                <w:iCs/>
                <w:color w:val="000000"/>
                <w:sz w:val="22"/>
                <w:lang w:eastAsia="lv-LV"/>
              </w:rPr>
              <w:t>Izslēgt likumprojekta 5.</w:t>
            </w:r>
            <w:r w:rsidR="00924E9D">
              <w:rPr>
                <w:rFonts w:eastAsia="Times New Roman"/>
                <w:iCs/>
                <w:color w:val="000000"/>
                <w:sz w:val="22"/>
                <w:lang w:eastAsia="lv-LV"/>
              </w:rPr>
              <w:t xml:space="preserve"> </w:t>
            </w:r>
            <w:r w:rsidRPr="0054488F">
              <w:rPr>
                <w:rFonts w:eastAsia="Times New Roman"/>
                <w:iCs/>
                <w:color w:val="000000"/>
                <w:sz w:val="22"/>
                <w:lang w:eastAsia="lv-LV"/>
              </w:rPr>
              <w:t>pantu par likuma 28.</w:t>
            </w:r>
            <w:r w:rsidR="00924E9D">
              <w:rPr>
                <w:rFonts w:eastAsia="Times New Roman"/>
                <w:iCs/>
                <w:color w:val="000000"/>
                <w:sz w:val="22"/>
                <w:lang w:eastAsia="lv-LV"/>
              </w:rPr>
              <w:t xml:space="preserve"> </w:t>
            </w:r>
            <w:r w:rsidRPr="0054488F">
              <w:rPr>
                <w:rFonts w:eastAsia="Times New Roman"/>
                <w:iCs/>
                <w:color w:val="000000"/>
                <w:sz w:val="22"/>
                <w:lang w:eastAsia="lv-LV"/>
              </w:rPr>
              <w:t>panta grozījumiem.</w:t>
            </w:r>
          </w:p>
          <w:p w:rsidR="00731A02" w:rsidRDefault="00731A02" w:rsidP="0092031B">
            <w:pPr>
              <w:ind w:firstLine="567"/>
              <w:jc w:val="both"/>
              <w:rPr>
                <w:rFonts w:eastAsia="Times New Roman"/>
                <w:iCs/>
                <w:color w:val="000000"/>
                <w:sz w:val="22"/>
                <w:lang w:eastAsia="lv-LV"/>
              </w:rPr>
            </w:pPr>
          </w:p>
          <w:p w:rsidR="00731A02" w:rsidRDefault="00731A02" w:rsidP="0092031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Deputāts V.Valainis</w:t>
            </w:r>
          </w:p>
          <w:p w:rsidR="00731A02" w:rsidRPr="00731A02" w:rsidRDefault="00731A02" w:rsidP="0092031B">
            <w:pPr>
              <w:ind w:firstLine="567"/>
              <w:jc w:val="both"/>
              <w:rPr>
                <w:rFonts w:eastAsia="Times New Roman"/>
                <w:iCs/>
                <w:color w:val="000000"/>
                <w:sz w:val="22"/>
                <w:lang w:eastAsia="lv-LV"/>
              </w:rPr>
            </w:pPr>
            <w:r w:rsidRPr="00731A02">
              <w:rPr>
                <w:rFonts w:eastAsia="Times New Roman"/>
                <w:iCs/>
                <w:color w:val="000000"/>
                <w:sz w:val="22"/>
                <w:lang w:eastAsia="lv-LV"/>
              </w:rPr>
              <w:t>Izslēgt likumprojekta 5. pantu.</w:t>
            </w:r>
          </w:p>
          <w:p w:rsidR="003E53DB" w:rsidRDefault="003E53DB" w:rsidP="0092031B">
            <w:pPr>
              <w:ind w:firstLine="567"/>
              <w:jc w:val="both"/>
              <w:rPr>
                <w:rFonts w:eastAsia="Times New Roman"/>
                <w:b/>
                <w:iCs/>
                <w:color w:val="000000"/>
                <w:sz w:val="22"/>
                <w:u w:val="single"/>
                <w:lang w:eastAsia="lv-LV"/>
              </w:rPr>
            </w:pPr>
          </w:p>
          <w:p w:rsidR="005B4883" w:rsidRDefault="005B4883" w:rsidP="0092031B">
            <w:pPr>
              <w:ind w:firstLine="567"/>
              <w:jc w:val="both"/>
              <w:rPr>
                <w:rFonts w:eastAsia="Times New Roman"/>
                <w:b/>
                <w:iCs/>
                <w:color w:val="000000"/>
                <w:sz w:val="22"/>
                <w:u w:val="single"/>
                <w:lang w:eastAsia="lv-LV"/>
              </w:rPr>
            </w:pPr>
            <w:r>
              <w:rPr>
                <w:rFonts w:eastAsia="Times New Roman"/>
                <w:b/>
                <w:iCs/>
                <w:color w:val="000000"/>
                <w:sz w:val="22"/>
                <w:u w:val="single"/>
                <w:lang w:eastAsia="lv-LV"/>
              </w:rPr>
              <w:t>Deputāte Ļ.Švecova</w:t>
            </w:r>
          </w:p>
          <w:p w:rsidR="00FF2A9D" w:rsidRPr="00FF2A9D" w:rsidRDefault="00FF2A9D" w:rsidP="00FF2A9D">
            <w:pPr>
              <w:ind w:firstLine="567"/>
              <w:jc w:val="both"/>
              <w:rPr>
                <w:rFonts w:eastAsia="Times New Roman"/>
                <w:iCs/>
                <w:color w:val="000000"/>
                <w:sz w:val="22"/>
                <w:lang w:eastAsia="lv-LV"/>
              </w:rPr>
            </w:pPr>
            <w:r w:rsidRPr="00FF2A9D">
              <w:rPr>
                <w:rFonts w:eastAsia="Times New Roman"/>
                <w:iCs/>
                <w:color w:val="000000"/>
                <w:sz w:val="22"/>
                <w:lang w:eastAsia="lv-LV"/>
              </w:rPr>
              <w:t>Izteikt lik</w:t>
            </w:r>
            <w:r>
              <w:rPr>
                <w:rFonts w:eastAsia="Times New Roman"/>
                <w:iCs/>
                <w:color w:val="000000"/>
                <w:sz w:val="22"/>
                <w:lang w:eastAsia="lv-LV"/>
              </w:rPr>
              <w:t xml:space="preserve">umprojekta 5. panta pirmo daļu </w:t>
            </w:r>
            <w:r w:rsidRPr="00FF2A9D">
              <w:rPr>
                <w:rFonts w:eastAsia="Times New Roman"/>
                <w:iCs/>
                <w:color w:val="000000"/>
                <w:sz w:val="22"/>
                <w:lang w:eastAsia="lv-LV"/>
              </w:rPr>
              <w:t>(attiecībā uz grozījumiem likuma 28. pan</w:t>
            </w:r>
            <w:r>
              <w:rPr>
                <w:rFonts w:eastAsia="Times New Roman"/>
                <w:iCs/>
                <w:color w:val="000000"/>
                <w:sz w:val="22"/>
                <w:lang w:eastAsia="lv-LV"/>
              </w:rPr>
              <w:t>ta otrās daļas 1. un 2. punktā)</w:t>
            </w:r>
            <w:r w:rsidRPr="00FF2A9D">
              <w:rPr>
                <w:rFonts w:eastAsia="Times New Roman"/>
                <w:iCs/>
                <w:color w:val="000000"/>
                <w:sz w:val="22"/>
                <w:lang w:eastAsia="lv-LV"/>
              </w:rPr>
              <w:t xml:space="preserve"> šādā redakcijā:</w:t>
            </w:r>
          </w:p>
          <w:p w:rsidR="00FF2A9D" w:rsidRPr="00FF2A9D" w:rsidRDefault="00FF2A9D" w:rsidP="00FF2A9D">
            <w:pPr>
              <w:ind w:firstLine="567"/>
              <w:jc w:val="both"/>
              <w:rPr>
                <w:rFonts w:eastAsia="Times New Roman"/>
                <w:iCs/>
                <w:color w:val="000000"/>
                <w:sz w:val="22"/>
                <w:lang w:eastAsia="lv-LV"/>
              </w:rPr>
            </w:pPr>
            <w:r w:rsidRPr="00FF2A9D">
              <w:rPr>
                <w:rFonts w:eastAsia="Times New Roman"/>
                <w:iCs/>
                <w:color w:val="000000"/>
                <w:sz w:val="22"/>
                <w:lang w:eastAsia="lv-LV"/>
              </w:rPr>
              <w:t>“izteikt otrās daļas 1. un 2. punktu šādā redakcijā:</w:t>
            </w:r>
          </w:p>
          <w:p w:rsidR="00FF2A9D" w:rsidRPr="00FF2A9D" w:rsidRDefault="00FF2A9D" w:rsidP="00FF2A9D">
            <w:pPr>
              <w:ind w:firstLine="567"/>
              <w:jc w:val="both"/>
              <w:rPr>
                <w:rFonts w:eastAsia="Times New Roman"/>
                <w:iCs/>
                <w:color w:val="000000"/>
                <w:sz w:val="22"/>
                <w:lang w:eastAsia="lv-LV"/>
              </w:rPr>
            </w:pPr>
            <w:r w:rsidRPr="00FF2A9D">
              <w:rPr>
                <w:rFonts w:eastAsia="Times New Roman"/>
                <w:iCs/>
                <w:color w:val="000000"/>
                <w:sz w:val="22"/>
                <w:lang w:eastAsia="lv-LV"/>
              </w:rPr>
              <w:t>1) 50 procentus – valsts pamatbudžetā;</w:t>
            </w:r>
          </w:p>
          <w:p w:rsidR="00211AE3" w:rsidRDefault="00FF2A9D" w:rsidP="0013244D">
            <w:pPr>
              <w:ind w:firstLine="567"/>
              <w:jc w:val="both"/>
              <w:rPr>
                <w:rFonts w:eastAsia="Times New Roman"/>
                <w:iCs/>
                <w:color w:val="000000"/>
                <w:sz w:val="22"/>
                <w:lang w:eastAsia="lv-LV"/>
              </w:rPr>
            </w:pPr>
            <w:r w:rsidRPr="00FF2A9D">
              <w:rPr>
                <w:rFonts w:eastAsia="Times New Roman"/>
                <w:iCs/>
                <w:color w:val="000000"/>
                <w:sz w:val="22"/>
                <w:lang w:eastAsia="lv-LV"/>
              </w:rPr>
              <w:t>2) 50 procentus – tās vietējās pašvaldības vides aizsardzības speciālajā budžetā, kuras teritorijā tiek veikta attiecīgā darbība.”</w:t>
            </w:r>
          </w:p>
          <w:p w:rsidR="00D92676" w:rsidRDefault="00D92676" w:rsidP="0013244D">
            <w:pPr>
              <w:ind w:firstLine="567"/>
              <w:jc w:val="both"/>
              <w:rPr>
                <w:rFonts w:eastAsia="Times New Roman"/>
                <w:iCs/>
                <w:color w:val="000000"/>
                <w:sz w:val="22"/>
                <w:lang w:eastAsia="lv-LV"/>
              </w:rPr>
            </w:pPr>
          </w:p>
          <w:p w:rsidR="00D92676" w:rsidRDefault="00D92676" w:rsidP="0013244D">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942767" w:rsidRPr="00942767" w:rsidRDefault="00942767" w:rsidP="00942767">
            <w:pPr>
              <w:ind w:firstLine="567"/>
              <w:jc w:val="both"/>
              <w:rPr>
                <w:rFonts w:eastAsia="Times New Roman"/>
                <w:iCs/>
                <w:color w:val="000000"/>
                <w:sz w:val="22"/>
                <w:lang w:eastAsia="lv-LV"/>
              </w:rPr>
            </w:pPr>
            <w:r w:rsidRPr="00942767">
              <w:rPr>
                <w:rFonts w:eastAsia="Times New Roman"/>
                <w:iCs/>
                <w:color w:val="000000"/>
                <w:sz w:val="22"/>
                <w:lang w:eastAsia="lv-LV"/>
              </w:rPr>
              <w:t>Likumprojekta 5. pantā:</w:t>
            </w:r>
          </w:p>
          <w:p w:rsidR="00942767" w:rsidRPr="00942767" w:rsidRDefault="00942767" w:rsidP="00942767">
            <w:pPr>
              <w:ind w:firstLine="567"/>
              <w:jc w:val="both"/>
              <w:rPr>
                <w:rFonts w:eastAsia="Times New Roman"/>
                <w:iCs/>
                <w:color w:val="000000"/>
                <w:sz w:val="22"/>
                <w:lang w:eastAsia="lv-LV"/>
              </w:rPr>
            </w:pPr>
            <w:r w:rsidRPr="00942767">
              <w:rPr>
                <w:rFonts w:eastAsia="Times New Roman"/>
                <w:iCs/>
                <w:color w:val="000000"/>
                <w:sz w:val="22"/>
                <w:lang w:eastAsia="lv-LV"/>
              </w:rPr>
              <w:t>izteikt iekļauto likuma 28. panta otrās daļas otro punktu jaunā redakcijā:</w:t>
            </w:r>
          </w:p>
          <w:p w:rsidR="00D92676" w:rsidRPr="0013244D" w:rsidRDefault="00942767" w:rsidP="00942767">
            <w:pPr>
              <w:ind w:firstLine="567"/>
              <w:jc w:val="both"/>
              <w:rPr>
                <w:rFonts w:eastAsia="Times New Roman"/>
                <w:iCs/>
                <w:color w:val="000000"/>
                <w:sz w:val="22"/>
                <w:lang w:eastAsia="lv-LV"/>
              </w:rPr>
            </w:pPr>
            <w:r w:rsidRPr="00942767">
              <w:rPr>
                <w:rFonts w:eastAsia="Times New Roman"/>
                <w:iCs/>
                <w:color w:val="000000"/>
                <w:sz w:val="22"/>
                <w:lang w:eastAsia="lv-LV"/>
              </w:rPr>
              <w:t>“2) 40 procentus – tās vietējās pašvaldības pamatbudžetā, kuras teritorijā tiek veikta attiecīgā darbība.”;</w:t>
            </w:r>
          </w:p>
        </w:tc>
        <w:tc>
          <w:tcPr>
            <w:tcW w:w="1417" w:type="dxa"/>
          </w:tcPr>
          <w:p w:rsidR="00056624" w:rsidRPr="0092031B" w:rsidRDefault="00056624" w:rsidP="0092031B">
            <w:pPr>
              <w:ind w:firstLine="567"/>
              <w:jc w:val="both"/>
              <w:rPr>
                <w:rFonts w:eastAsia="Times New Roman"/>
                <w:iCs/>
                <w:color w:val="000000"/>
                <w:sz w:val="22"/>
                <w:lang w:eastAsia="lv-LV"/>
              </w:rPr>
            </w:pPr>
          </w:p>
        </w:tc>
        <w:tc>
          <w:tcPr>
            <w:tcW w:w="1418" w:type="dxa"/>
          </w:tcPr>
          <w:p w:rsidR="00056624" w:rsidRPr="0092031B" w:rsidRDefault="00056624" w:rsidP="0092031B">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Pr="00F02D66" w:rsidRDefault="00056624" w:rsidP="008B5441">
            <w:pPr>
              <w:ind w:firstLine="567"/>
              <w:jc w:val="both"/>
              <w:rPr>
                <w:sz w:val="22"/>
              </w:rPr>
            </w:pPr>
            <w:r w:rsidRPr="00F02D66">
              <w:rPr>
                <w:sz w:val="22"/>
              </w:rPr>
              <w:t>(3) Nodokļa maksājumus:</w:t>
            </w:r>
          </w:p>
          <w:p w:rsidR="00CC3AB1" w:rsidRPr="00CC3AB1" w:rsidRDefault="00CC3AB1" w:rsidP="00CC3AB1">
            <w:pPr>
              <w:ind w:firstLine="567"/>
              <w:jc w:val="both"/>
              <w:rPr>
                <w:sz w:val="22"/>
              </w:rPr>
            </w:pPr>
            <w:r w:rsidRPr="00CC3AB1">
              <w:rPr>
                <w:sz w:val="22"/>
              </w:rPr>
              <w:t>1) par zemes dzīļu derīgo īpašību izmantošanu, iesūknējot ģeoloģiskajās struktūrās dabasgāzi, ieskaita tās vietējās pašvaldības vides aizsardzības speciālajā budžetā, kuras teritorijā tiek veikta attiecīgā darbība (ja darbība notiek vairāku pašvaldību teritorijā, — proporcionāli izmantotajai teritorijai);</w:t>
            </w:r>
          </w:p>
          <w:p w:rsidR="00CC3AB1" w:rsidRPr="00CC3AB1" w:rsidRDefault="00CC3AB1" w:rsidP="00CC3AB1">
            <w:pPr>
              <w:ind w:firstLine="567"/>
              <w:jc w:val="both"/>
              <w:rPr>
                <w:sz w:val="22"/>
              </w:rPr>
            </w:pPr>
            <w:r w:rsidRPr="00CC3AB1">
              <w:rPr>
                <w:sz w:val="22"/>
              </w:rPr>
              <w:t>2) par radioaktīvo vielu izmantošanu 100 procentu apmērā ieskaita tās vietējās pašvaldības vides aizsardzības speciālajā budžetā, kuras teritorijā atrodas radioaktīvo atkritumu apglabāšanas vieta;</w:t>
            </w:r>
          </w:p>
          <w:p w:rsidR="00056624" w:rsidRPr="008B5441" w:rsidRDefault="00CC3AB1" w:rsidP="00CC3AB1">
            <w:pPr>
              <w:ind w:firstLine="567"/>
              <w:jc w:val="both"/>
              <w:rPr>
                <w:sz w:val="22"/>
              </w:rPr>
            </w:pPr>
            <w:r w:rsidRPr="00CC3AB1">
              <w:rPr>
                <w:sz w:val="22"/>
              </w:rPr>
              <w:t>3) par oglekļa dioksīda (CO</w:t>
            </w:r>
            <w:r w:rsidRPr="00CC3AB1">
              <w:rPr>
                <w:sz w:val="22"/>
                <w:vertAlign w:val="subscript"/>
              </w:rPr>
              <w:t>2</w:t>
            </w:r>
            <w:r w:rsidRPr="00CC3AB1">
              <w:rPr>
                <w:sz w:val="22"/>
              </w:rPr>
              <w:t>) emisijām gaisā 60 procentu apmērā ieskaita valsts pamatbudžetā un 40 procentu apmērā — tās pašvaldības vides aizsardzības speciālajā budžetā, kuras teritorijā tiek veikta attiecīgā darbība.</w:t>
            </w:r>
          </w:p>
        </w:tc>
        <w:tc>
          <w:tcPr>
            <w:tcW w:w="3969" w:type="dxa"/>
            <w:shd w:val="clear" w:color="auto" w:fill="auto"/>
          </w:tcPr>
          <w:p w:rsidR="00056624" w:rsidRPr="0092031B" w:rsidRDefault="00056624" w:rsidP="0092031B">
            <w:pPr>
              <w:ind w:firstLine="567"/>
              <w:jc w:val="both"/>
              <w:rPr>
                <w:rFonts w:eastAsia="Times New Roman"/>
                <w:iCs/>
                <w:color w:val="000000"/>
                <w:sz w:val="22"/>
                <w:lang w:eastAsia="lv-LV"/>
              </w:rPr>
            </w:pPr>
            <w:r w:rsidRPr="00605E59">
              <w:rPr>
                <w:rFonts w:eastAsia="Times New Roman"/>
                <w:iCs/>
                <w:color w:val="000000"/>
                <w:sz w:val="22"/>
                <w:lang w:eastAsia="lv-LV"/>
              </w:rPr>
              <w:t>izslēgt trešās daļas 3. punktu;</w:t>
            </w:r>
          </w:p>
        </w:tc>
        <w:tc>
          <w:tcPr>
            <w:tcW w:w="567" w:type="dxa"/>
          </w:tcPr>
          <w:p w:rsidR="00056624" w:rsidRPr="00F96D2A" w:rsidRDefault="00A32E5D" w:rsidP="00F96D2A">
            <w:pPr>
              <w:jc w:val="center"/>
              <w:rPr>
                <w:rFonts w:eastAsia="Times New Roman"/>
                <w:b/>
                <w:iCs/>
                <w:color w:val="000000"/>
                <w:sz w:val="22"/>
                <w:lang w:eastAsia="lv-LV"/>
              </w:rPr>
            </w:pPr>
            <w:r>
              <w:rPr>
                <w:rFonts w:eastAsia="Times New Roman"/>
                <w:b/>
                <w:iCs/>
                <w:color w:val="000000"/>
                <w:sz w:val="22"/>
                <w:lang w:eastAsia="lv-LV"/>
              </w:rPr>
              <w:t>14</w:t>
            </w:r>
          </w:p>
        </w:tc>
        <w:tc>
          <w:tcPr>
            <w:tcW w:w="3969" w:type="dxa"/>
          </w:tcPr>
          <w:p w:rsidR="00056624" w:rsidRDefault="00991071" w:rsidP="0092031B">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3A4D67" w:rsidRPr="003A4D67" w:rsidRDefault="003A4D67" w:rsidP="003A4D67">
            <w:pPr>
              <w:ind w:firstLine="567"/>
              <w:jc w:val="both"/>
              <w:rPr>
                <w:rFonts w:eastAsia="Times New Roman"/>
                <w:iCs/>
                <w:color w:val="000000"/>
                <w:sz w:val="22"/>
                <w:lang w:eastAsia="lv-LV"/>
              </w:rPr>
            </w:pPr>
            <w:r w:rsidRPr="003A4D67">
              <w:rPr>
                <w:rFonts w:eastAsia="Times New Roman"/>
                <w:iCs/>
                <w:color w:val="000000"/>
                <w:sz w:val="22"/>
                <w:lang w:eastAsia="lv-LV"/>
              </w:rPr>
              <w:t>izteikt 28. panta trešo daļu šādā redakcijā:</w:t>
            </w:r>
          </w:p>
          <w:p w:rsidR="003A4D67" w:rsidRPr="003A4D67" w:rsidRDefault="003A4D67" w:rsidP="003A4D67">
            <w:pPr>
              <w:ind w:firstLine="567"/>
              <w:jc w:val="both"/>
              <w:rPr>
                <w:rFonts w:eastAsia="Times New Roman"/>
                <w:iCs/>
                <w:color w:val="000000"/>
                <w:sz w:val="22"/>
                <w:lang w:eastAsia="lv-LV"/>
              </w:rPr>
            </w:pPr>
            <w:r w:rsidRPr="003A4D67">
              <w:rPr>
                <w:rFonts w:eastAsia="Times New Roman"/>
                <w:iCs/>
                <w:color w:val="000000"/>
                <w:sz w:val="22"/>
                <w:lang w:eastAsia="lv-LV"/>
              </w:rPr>
              <w:t>“(3) Nodokļa maksājumus:</w:t>
            </w:r>
          </w:p>
          <w:p w:rsidR="003A4D67" w:rsidRPr="003A4D67" w:rsidRDefault="003A4D67" w:rsidP="003A4D67">
            <w:pPr>
              <w:ind w:firstLine="567"/>
              <w:jc w:val="both"/>
              <w:rPr>
                <w:rFonts w:eastAsia="Times New Roman"/>
                <w:iCs/>
                <w:color w:val="000000"/>
                <w:sz w:val="22"/>
                <w:lang w:eastAsia="lv-LV"/>
              </w:rPr>
            </w:pPr>
            <w:r w:rsidRPr="003A4D67">
              <w:rPr>
                <w:rFonts w:eastAsia="Times New Roman"/>
                <w:iCs/>
                <w:color w:val="000000"/>
                <w:sz w:val="22"/>
                <w:lang w:eastAsia="lv-LV"/>
              </w:rPr>
              <w:t>1) par zemes dzīļu derīgo īpašību izmantošanu, iesūknējot ģeoloģiskajās struktūrās dabasgāzi, ieskaita tās vietējās pašvaldības pamatbudžetā, kuras teritorijā tiek veikta attiecīgā darbība (ja darbība notiek vairāku pašvaldību teritorijā, — proporcionāli izmantotajai teritorijai);</w:t>
            </w:r>
          </w:p>
          <w:p w:rsidR="00991071" w:rsidRPr="00991071" w:rsidRDefault="003A4D67" w:rsidP="003A4D67">
            <w:pPr>
              <w:ind w:firstLine="567"/>
              <w:jc w:val="both"/>
              <w:rPr>
                <w:rFonts w:eastAsia="Times New Roman"/>
                <w:iCs/>
                <w:color w:val="000000"/>
                <w:sz w:val="22"/>
                <w:lang w:eastAsia="lv-LV"/>
              </w:rPr>
            </w:pPr>
            <w:r w:rsidRPr="003A4D67">
              <w:rPr>
                <w:rFonts w:eastAsia="Times New Roman"/>
                <w:iCs/>
                <w:color w:val="000000"/>
                <w:sz w:val="22"/>
                <w:lang w:eastAsia="lv-LV"/>
              </w:rPr>
              <w:t>2) par radioaktīvo vielu izmantošanu 100 procentu apmērā ieskaita tās vietējās pašvaldības pamatbudžetā, kuras teritorijā atrodas radioaktīvo atkritumu apglabāšanas vieta;”.</w:t>
            </w:r>
          </w:p>
        </w:tc>
        <w:tc>
          <w:tcPr>
            <w:tcW w:w="1417" w:type="dxa"/>
          </w:tcPr>
          <w:p w:rsidR="00056624" w:rsidRPr="00605E59" w:rsidRDefault="00056624" w:rsidP="0092031B">
            <w:pPr>
              <w:ind w:firstLine="567"/>
              <w:jc w:val="both"/>
              <w:rPr>
                <w:rFonts w:eastAsia="Times New Roman"/>
                <w:iCs/>
                <w:color w:val="000000"/>
                <w:sz w:val="22"/>
                <w:lang w:eastAsia="lv-LV"/>
              </w:rPr>
            </w:pPr>
          </w:p>
        </w:tc>
        <w:tc>
          <w:tcPr>
            <w:tcW w:w="1418" w:type="dxa"/>
          </w:tcPr>
          <w:p w:rsidR="00056624" w:rsidRPr="00605E59" w:rsidRDefault="00056624" w:rsidP="0092031B">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Pr="00B80668" w:rsidRDefault="00056624" w:rsidP="00B6215C">
            <w:pPr>
              <w:ind w:firstLine="567"/>
              <w:jc w:val="both"/>
              <w:rPr>
                <w:sz w:val="22"/>
              </w:rPr>
            </w:pPr>
            <w:r w:rsidRPr="00B80668">
              <w:rPr>
                <w:sz w:val="22"/>
              </w:rPr>
              <w:t>(4) Nodokļa maksājumus par videi kaitīgām precēm, iepakojumu, vienreiz lietojamiem galda traukiem un piederumiem, transportlīdzekļiem, akmeņoglēm, koksu un lignītu (brūnoglēm), uguņošanas ierīcēm, par ūdens resursu lietošanu elektroenerģijas ražošanai hidroelektrostacijā un par prettiesisku dabas resursu ieguvi un lietošanu ieskaita valsts pamatbudžetā.</w:t>
            </w:r>
          </w:p>
        </w:tc>
        <w:tc>
          <w:tcPr>
            <w:tcW w:w="3969" w:type="dxa"/>
            <w:shd w:val="clear" w:color="auto" w:fill="auto"/>
          </w:tcPr>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 xml:space="preserve">izteikt ceturto daļu šādā redakcijā: </w:t>
            </w:r>
          </w:p>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 xml:space="preserve">"(4) Valsts pamatbudžetā </w:t>
            </w:r>
            <w:r w:rsidRPr="00910BB2">
              <w:rPr>
                <w:rFonts w:eastAsia="Times New Roman"/>
                <w:iCs/>
                <w:color w:val="000000"/>
                <w:sz w:val="22"/>
                <w:u w:val="single"/>
                <w:lang w:eastAsia="lv-LV"/>
              </w:rPr>
              <w:t>100 procentu apmērā</w:t>
            </w:r>
            <w:r w:rsidRPr="00BC34D1">
              <w:rPr>
                <w:rFonts w:eastAsia="Times New Roman"/>
                <w:iCs/>
                <w:color w:val="000000"/>
                <w:sz w:val="22"/>
                <w:lang w:eastAsia="lv-LV"/>
              </w:rPr>
              <w:t xml:space="preserve"> ieskaita nodokļa maksājumus par:</w:t>
            </w:r>
          </w:p>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1) atkritumu apglabāšanu vai sadedzināšanu;</w:t>
            </w:r>
          </w:p>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2) oglekļa dioksīda (CO</w:t>
            </w:r>
            <w:r w:rsidRPr="00BC34D1">
              <w:rPr>
                <w:rFonts w:eastAsia="Times New Roman"/>
                <w:iCs/>
                <w:color w:val="000000"/>
                <w:sz w:val="22"/>
                <w:vertAlign w:val="subscript"/>
                <w:lang w:eastAsia="lv-LV"/>
              </w:rPr>
              <w:t>2</w:t>
            </w:r>
            <w:r w:rsidRPr="00BC34D1">
              <w:rPr>
                <w:rFonts w:eastAsia="Times New Roman"/>
                <w:iCs/>
                <w:color w:val="000000"/>
                <w:sz w:val="22"/>
                <w:lang w:eastAsia="lv-LV"/>
              </w:rPr>
              <w:t>) emisijām gaisā;</w:t>
            </w:r>
          </w:p>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3) videi kaitīgām precēm, iepakojumu, vienreiz lietojamiem galda traukiem un piederumiem un transportlīdzekļiem;</w:t>
            </w:r>
          </w:p>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4) akmeņoglēm, koksu, lignītu (brūnoglēm) un uguņošanas ierīcēm;</w:t>
            </w:r>
          </w:p>
          <w:p w:rsidR="00056624" w:rsidRPr="00BC34D1"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5) ūdens resursu lietošanu elektroenerģijas ražošanai hidroelektrostacijā;</w:t>
            </w:r>
          </w:p>
          <w:p w:rsidR="00056624" w:rsidRPr="00605E59" w:rsidRDefault="00056624" w:rsidP="00BC34D1">
            <w:pPr>
              <w:ind w:firstLine="567"/>
              <w:jc w:val="both"/>
              <w:rPr>
                <w:rFonts w:eastAsia="Times New Roman"/>
                <w:iCs/>
                <w:color w:val="000000"/>
                <w:sz w:val="22"/>
                <w:lang w:eastAsia="lv-LV"/>
              </w:rPr>
            </w:pPr>
            <w:r w:rsidRPr="00BC34D1">
              <w:rPr>
                <w:rFonts w:eastAsia="Times New Roman"/>
                <w:iCs/>
                <w:color w:val="000000"/>
                <w:sz w:val="22"/>
                <w:lang w:eastAsia="lv-LV"/>
              </w:rPr>
              <w:t>6) prettiesisku dabas resursu ieguvi un lietošanu."</w:t>
            </w:r>
          </w:p>
        </w:tc>
        <w:tc>
          <w:tcPr>
            <w:tcW w:w="567" w:type="dxa"/>
          </w:tcPr>
          <w:p w:rsidR="00056624" w:rsidRPr="00F96D2A" w:rsidRDefault="00A32E5D" w:rsidP="00F96D2A">
            <w:pPr>
              <w:jc w:val="center"/>
              <w:rPr>
                <w:rFonts w:eastAsia="Times New Roman"/>
                <w:b/>
                <w:iCs/>
                <w:color w:val="000000"/>
                <w:sz w:val="22"/>
                <w:lang w:eastAsia="lv-LV"/>
              </w:rPr>
            </w:pPr>
            <w:r>
              <w:rPr>
                <w:rFonts w:eastAsia="Times New Roman"/>
                <w:b/>
                <w:iCs/>
                <w:color w:val="000000"/>
                <w:sz w:val="22"/>
                <w:lang w:eastAsia="lv-LV"/>
              </w:rPr>
              <w:t>15</w:t>
            </w:r>
          </w:p>
        </w:tc>
        <w:tc>
          <w:tcPr>
            <w:tcW w:w="3969" w:type="dxa"/>
          </w:tcPr>
          <w:p w:rsidR="00056624" w:rsidRDefault="00910BB2" w:rsidP="00BC34D1">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910BB2" w:rsidRPr="00910BB2" w:rsidRDefault="00910BB2" w:rsidP="00BC34D1">
            <w:pPr>
              <w:ind w:firstLine="567"/>
              <w:jc w:val="both"/>
              <w:rPr>
                <w:rFonts w:eastAsia="Times New Roman"/>
                <w:iCs/>
                <w:color w:val="000000"/>
                <w:sz w:val="22"/>
                <w:lang w:eastAsia="lv-LV"/>
              </w:rPr>
            </w:pPr>
            <w:r w:rsidRPr="00910BB2">
              <w:rPr>
                <w:rFonts w:eastAsia="Times New Roman"/>
                <w:iCs/>
                <w:color w:val="000000"/>
                <w:sz w:val="22"/>
                <w:lang w:eastAsia="lv-LV"/>
              </w:rPr>
              <w:t>Ierosinām izslēgt 28. panta ceturtajā daļā (likumprojekta 5. pants) skaitli un vārdus “100 procentu apmērā” kā liekus.</w:t>
            </w:r>
          </w:p>
        </w:tc>
        <w:tc>
          <w:tcPr>
            <w:tcW w:w="1417" w:type="dxa"/>
          </w:tcPr>
          <w:p w:rsidR="00056624" w:rsidRPr="00BC34D1" w:rsidRDefault="00056624" w:rsidP="00BC34D1">
            <w:pPr>
              <w:ind w:firstLine="567"/>
              <w:jc w:val="both"/>
              <w:rPr>
                <w:rFonts w:eastAsia="Times New Roman"/>
                <w:iCs/>
                <w:color w:val="000000"/>
                <w:sz w:val="22"/>
                <w:lang w:eastAsia="lv-LV"/>
              </w:rPr>
            </w:pPr>
          </w:p>
        </w:tc>
        <w:tc>
          <w:tcPr>
            <w:tcW w:w="1418" w:type="dxa"/>
          </w:tcPr>
          <w:p w:rsidR="00056624" w:rsidRPr="00BC34D1" w:rsidRDefault="00056624" w:rsidP="00BC34D1">
            <w:pPr>
              <w:ind w:firstLine="567"/>
              <w:jc w:val="both"/>
              <w:rPr>
                <w:rFonts w:eastAsia="Times New Roman"/>
                <w:iCs/>
                <w:color w:val="000000"/>
                <w:sz w:val="22"/>
                <w:lang w:eastAsia="lv-LV"/>
              </w:rPr>
            </w:pPr>
          </w:p>
        </w:tc>
      </w:tr>
      <w:tr w:rsidR="00E35322" w:rsidRPr="001B3F41" w:rsidTr="00056624">
        <w:tc>
          <w:tcPr>
            <w:tcW w:w="3964" w:type="dxa"/>
            <w:shd w:val="clear" w:color="auto" w:fill="auto"/>
          </w:tcPr>
          <w:p w:rsidR="00E35322" w:rsidRPr="00B80668" w:rsidRDefault="00E35322" w:rsidP="00B6215C">
            <w:pPr>
              <w:ind w:firstLine="567"/>
              <w:jc w:val="both"/>
              <w:rPr>
                <w:sz w:val="22"/>
              </w:rPr>
            </w:pPr>
            <w:r w:rsidRPr="00E35322">
              <w:rPr>
                <w:sz w:val="22"/>
              </w:rPr>
              <w:t>(6) Nokavējuma naudu par nodokļa maksājumiem ieskaita valsts pamatbudžetā un vietējo pašvaldību vides aizsardzības speciālajos budžetos atbilstoši šā panta otrajā, trešajā un ceturtajā daļā noteiktajam sadalījumam.</w:t>
            </w:r>
          </w:p>
        </w:tc>
        <w:tc>
          <w:tcPr>
            <w:tcW w:w="3969" w:type="dxa"/>
            <w:shd w:val="clear" w:color="auto" w:fill="auto"/>
          </w:tcPr>
          <w:p w:rsidR="00E35322" w:rsidRPr="00BC34D1" w:rsidRDefault="00E35322" w:rsidP="00BC34D1">
            <w:pPr>
              <w:ind w:firstLine="567"/>
              <w:jc w:val="both"/>
              <w:rPr>
                <w:rFonts w:eastAsia="Times New Roman"/>
                <w:iCs/>
                <w:color w:val="000000"/>
                <w:sz w:val="22"/>
                <w:lang w:eastAsia="lv-LV"/>
              </w:rPr>
            </w:pPr>
          </w:p>
        </w:tc>
        <w:tc>
          <w:tcPr>
            <w:tcW w:w="567" w:type="dxa"/>
          </w:tcPr>
          <w:p w:rsidR="00E35322" w:rsidRPr="00F96D2A" w:rsidRDefault="00E35322" w:rsidP="00F96D2A">
            <w:pPr>
              <w:jc w:val="center"/>
              <w:rPr>
                <w:rFonts w:eastAsia="Times New Roman"/>
                <w:b/>
                <w:iCs/>
                <w:color w:val="000000"/>
                <w:sz w:val="22"/>
                <w:lang w:eastAsia="lv-LV"/>
              </w:rPr>
            </w:pPr>
          </w:p>
        </w:tc>
        <w:tc>
          <w:tcPr>
            <w:tcW w:w="3969" w:type="dxa"/>
          </w:tcPr>
          <w:p w:rsidR="00E35322" w:rsidRPr="00BC34D1" w:rsidRDefault="00E35322" w:rsidP="00BC34D1">
            <w:pPr>
              <w:ind w:firstLine="567"/>
              <w:jc w:val="both"/>
              <w:rPr>
                <w:rFonts w:eastAsia="Times New Roman"/>
                <w:iCs/>
                <w:color w:val="000000"/>
                <w:sz w:val="22"/>
                <w:lang w:eastAsia="lv-LV"/>
              </w:rPr>
            </w:pPr>
          </w:p>
        </w:tc>
        <w:tc>
          <w:tcPr>
            <w:tcW w:w="1417" w:type="dxa"/>
          </w:tcPr>
          <w:p w:rsidR="00E35322" w:rsidRPr="00BC34D1" w:rsidRDefault="00E35322" w:rsidP="00BC34D1">
            <w:pPr>
              <w:ind w:firstLine="567"/>
              <w:jc w:val="both"/>
              <w:rPr>
                <w:rFonts w:eastAsia="Times New Roman"/>
                <w:iCs/>
                <w:color w:val="000000"/>
                <w:sz w:val="22"/>
                <w:lang w:eastAsia="lv-LV"/>
              </w:rPr>
            </w:pPr>
          </w:p>
        </w:tc>
        <w:tc>
          <w:tcPr>
            <w:tcW w:w="1418" w:type="dxa"/>
          </w:tcPr>
          <w:p w:rsidR="00E35322" w:rsidRPr="00BC34D1" w:rsidRDefault="00E35322" w:rsidP="00BC34D1">
            <w:pPr>
              <w:ind w:firstLine="567"/>
              <w:jc w:val="both"/>
              <w:rPr>
                <w:rFonts w:eastAsia="Times New Roman"/>
                <w:iCs/>
                <w:color w:val="000000"/>
                <w:sz w:val="22"/>
                <w:lang w:eastAsia="lv-LV"/>
              </w:rPr>
            </w:pPr>
          </w:p>
        </w:tc>
      </w:tr>
      <w:tr w:rsidR="00E35322" w:rsidRPr="001B3F41" w:rsidTr="00056624">
        <w:tc>
          <w:tcPr>
            <w:tcW w:w="3964" w:type="dxa"/>
            <w:shd w:val="clear" w:color="auto" w:fill="auto"/>
          </w:tcPr>
          <w:p w:rsidR="008564D5" w:rsidRPr="008564D5" w:rsidRDefault="008564D5" w:rsidP="008564D5">
            <w:pPr>
              <w:ind w:firstLine="567"/>
              <w:jc w:val="both"/>
              <w:rPr>
                <w:sz w:val="22"/>
              </w:rPr>
            </w:pPr>
            <w:r w:rsidRPr="008564D5">
              <w:rPr>
                <w:b/>
                <w:bCs/>
                <w:sz w:val="22"/>
              </w:rPr>
              <w:t>29.</w:t>
            </w:r>
            <w:r w:rsidR="00157E52">
              <w:rPr>
                <w:b/>
                <w:bCs/>
                <w:sz w:val="22"/>
              </w:rPr>
              <w:t xml:space="preserve"> </w:t>
            </w:r>
            <w:r w:rsidRPr="008564D5">
              <w:rPr>
                <w:b/>
                <w:bCs/>
                <w:sz w:val="22"/>
              </w:rPr>
              <w:t>pants. Pašvaldības vides aizsardzības speciālā budžeta līdzekļu izmantošana</w:t>
            </w:r>
          </w:p>
          <w:p w:rsidR="008564D5" w:rsidRPr="008564D5" w:rsidRDefault="008564D5" w:rsidP="008564D5">
            <w:pPr>
              <w:ind w:firstLine="567"/>
              <w:jc w:val="both"/>
              <w:rPr>
                <w:sz w:val="22"/>
              </w:rPr>
            </w:pPr>
            <w:r w:rsidRPr="008564D5">
              <w:rPr>
                <w:sz w:val="22"/>
              </w:rPr>
              <w:t>(1) Pašvaldības vides aizsardzības speciālā budžeta līdzekļi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vides aizsardzības speciālā budžeta līdzekļus vai pašvaldības izveidotā vides aizsardzības fonda līdzekļus var izmantot arī kā kompensāciju atkritumu poligona ietekmes zonā dzīvojošajiem iedzīvotājiem un administrēšanas izmaksu segšanai par Valsts kasē atvērto poligona slēgšanas kontu.</w:t>
            </w:r>
          </w:p>
          <w:p w:rsidR="00E35322" w:rsidRPr="00E35322" w:rsidRDefault="008564D5" w:rsidP="008564D5">
            <w:pPr>
              <w:ind w:firstLine="567"/>
              <w:jc w:val="both"/>
              <w:rPr>
                <w:sz w:val="22"/>
              </w:rPr>
            </w:pPr>
            <w:r w:rsidRPr="008564D5">
              <w:rPr>
                <w:sz w:val="22"/>
              </w:rPr>
              <w:t>(2) Pašvaldība var veidot pašvaldības vides aizsardzības fondu, izmantojot vides aizsardzības speciālā budžeta līdzekļus.</w:t>
            </w:r>
          </w:p>
        </w:tc>
        <w:tc>
          <w:tcPr>
            <w:tcW w:w="3969" w:type="dxa"/>
            <w:shd w:val="clear" w:color="auto" w:fill="auto"/>
          </w:tcPr>
          <w:p w:rsidR="00E35322" w:rsidRPr="00BC34D1" w:rsidRDefault="00E35322" w:rsidP="00BC34D1">
            <w:pPr>
              <w:ind w:firstLine="567"/>
              <w:jc w:val="both"/>
              <w:rPr>
                <w:rFonts w:eastAsia="Times New Roman"/>
                <w:iCs/>
                <w:color w:val="000000"/>
                <w:sz w:val="22"/>
                <w:lang w:eastAsia="lv-LV"/>
              </w:rPr>
            </w:pPr>
          </w:p>
        </w:tc>
        <w:tc>
          <w:tcPr>
            <w:tcW w:w="567" w:type="dxa"/>
          </w:tcPr>
          <w:p w:rsidR="00E35322" w:rsidRPr="00F96D2A" w:rsidRDefault="00A32E5D" w:rsidP="00F96D2A">
            <w:pPr>
              <w:jc w:val="center"/>
              <w:rPr>
                <w:rFonts w:eastAsia="Times New Roman"/>
                <w:b/>
                <w:iCs/>
                <w:color w:val="000000"/>
                <w:sz w:val="22"/>
                <w:lang w:eastAsia="lv-LV"/>
              </w:rPr>
            </w:pPr>
            <w:r>
              <w:rPr>
                <w:rFonts w:eastAsia="Times New Roman"/>
                <w:b/>
                <w:iCs/>
                <w:color w:val="000000"/>
                <w:sz w:val="22"/>
                <w:lang w:eastAsia="lv-LV"/>
              </w:rPr>
              <w:t>16</w:t>
            </w:r>
          </w:p>
        </w:tc>
        <w:tc>
          <w:tcPr>
            <w:tcW w:w="3969" w:type="dxa"/>
          </w:tcPr>
          <w:p w:rsidR="00E35322" w:rsidRDefault="003A4D67" w:rsidP="00BC34D1">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947CB3" w:rsidRPr="00947CB3" w:rsidRDefault="00947CB3" w:rsidP="00947CB3">
            <w:pPr>
              <w:ind w:firstLine="567"/>
              <w:jc w:val="both"/>
              <w:rPr>
                <w:rFonts w:eastAsia="Times New Roman"/>
                <w:iCs/>
                <w:color w:val="000000"/>
                <w:sz w:val="22"/>
                <w:lang w:eastAsia="lv-LV"/>
              </w:rPr>
            </w:pPr>
            <w:r w:rsidRPr="00947CB3">
              <w:rPr>
                <w:rFonts w:eastAsia="Times New Roman"/>
                <w:iCs/>
                <w:color w:val="000000"/>
                <w:sz w:val="22"/>
                <w:lang w:eastAsia="lv-LV"/>
              </w:rPr>
              <w:t xml:space="preserve">Papildināt likumprojektu ar jaunu pantu, izsakot likuma 29. panta nosaukumu un </w:t>
            </w:r>
            <w:r>
              <w:rPr>
                <w:rFonts w:eastAsia="Times New Roman"/>
                <w:iCs/>
                <w:color w:val="000000"/>
                <w:sz w:val="22"/>
                <w:lang w:eastAsia="lv-LV"/>
              </w:rPr>
              <w:t>pirmo</w:t>
            </w:r>
            <w:r w:rsidRPr="00947CB3">
              <w:rPr>
                <w:rFonts w:eastAsia="Times New Roman"/>
                <w:iCs/>
                <w:color w:val="000000"/>
                <w:sz w:val="22"/>
                <w:lang w:eastAsia="lv-LV"/>
              </w:rPr>
              <w:t xml:space="preserve"> un otro daļu šādā redakcijā:</w:t>
            </w:r>
          </w:p>
          <w:p w:rsidR="00947CB3" w:rsidRPr="00947CB3" w:rsidRDefault="00947CB3" w:rsidP="00947CB3">
            <w:pPr>
              <w:ind w:firstLine="567"/>
              <w:jc w:val="both"/>
              <w:rPr>
                <w:rFonts w:eastAsia="Times New Roman"/>
                <w:iCs/>
                <w:color w:val="000000"/>
                <w:sz w:val="22"/>
                <w:lang w:eastAsia="lv-LV"/>
              </w:rPr>
            </w:pPr>
            <w:r w:rsidRPr="00947CB3">
              <w:rPr>
                <w:rFonts w:eastAsia="Times New Roman"/>
                <w:iCs/>
                <w:color w:val="000000"/>
                <w:sz w:val="22"/>
                <w:lang w:eastAsia="lv-LV"/>
              </w:rPr>
              <w:t>“</w:t>
            </w:r>
            <w:r w:rsidRPr="00947CB3">
              <w:rPr>
                <w:rFonts w:eastAsia="Times New Roman"/>
                <w:b/>
                <w:bCs/>
                <w:iCs/>
                <w:color w:val="000000"/>
                <w:sz w:val="22"/>
                <w:lang w:eastAsia="lv-LV"/>
              </w:rPr>
              <w:t xml:space="preserve">29. pants. Pašvaldības pamatbudžeta līdzekļu, kas iegūti </w:t>
            </w:r>
            <w:r w:rsidRPr="00947CB3">
              <w:rPr>
                <w:rFonts w:eastAsia="Times New Roman"/>
                <w:b/>
                <w:iCs/>
                <w:color w:val="000000"/>
                <w:sz w:val="22"/>
                <w:lang w:eastAsia="lv-LV"/>
              </w:rPr>
              <w:t>no nodokļa maksājumiem,</w:t>
            </w:r>
            <w:r w:rsidRPr="00947CB3">
              <w:rPr>
                <w:rFonts w:eastAsia="Times New Roman"/>
                <w:b/>
                <w:bCs/>
                <w:iCs/>
                <w:color w:val="000000"/>
                <w:sz w:val="22"/>
                <w:lang w:eastAsia="lv-LV"/>
              </w:rPr>
              <w:t xml:space="preserve"> izmantošana</w:t>
            </w:r>
          </w:p>
          <w:p w:rsidR="00947CB3" w:rsidRPr="00947CB3" w:rsidRDefault="00947CB3" w:rsidP="00947CB3">
            <w:pPr>
              <w:ind w:firstLine="567"/>
              <w:jc w:val="both"/>
              <w:rPr>
                <w:rFonts w:eastAsia="Times New Roman"/>
                <w:iCs/>
                <w:color w:val="000000"/>
                <w:sz w:val="22"/>
                <w:lang w:eastAsia="lv-LV"/>
              </w:rPr>
            </w:pPr>
            <w:r w:rsidRPr="00947CB3">
              <w:rPr>
                <w:rFonts w:eastAsia="Times New Roman"/>
                <w:iCs/>
                <w:color w:val="000000"/>
                <w:sz w:val="22"/>
                <w:lang w:eastAsia="lv-LV"/>
              </w:rPr>
              <w:t>(1)Pašvaldības pamatbudžeta līdzekļi, kas iegūti no nodokļa maksājumiem,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Pašvaldība pamatbudžeta līdzekļus vai pašvaldības izveidotā vides aizsardzības fonda līdzekļus var izmantot arī kā kompensāciju atkritumu poligona ietekmes zonā dzīvojošajiem iedzīvotājiem un administrēšanas izmaksu segšanai par Valsts kasē atvērto poligona slēgšanas kontu.</w:t>
            </w:r>
          </w:p>
          <w:p w:rsidR="00A32E5D" w:rsidRPr="003A4D67" w:rsidRDefault="00947CB3" w:rsidP="00A32E5D">
            <w:pPr>
              <w:ind w:firstLine="567"/>
              <w:jc w:val="both"/>
              <w:rPr>
                <w:rFonts w:eastAsia="Times New Roman"/>
                <w:iCs/>
                <w:color w:val="000000"/>
                <w:sz w:val="22"/>
                <w:lang w:eastAsia="lv-LV"/>
              </w:rPr>
            </w:pPr>
            <w:r w:rsidRPr="00947CB3">
              <w:rPr>
                <w:rFonts w:eastAsia="Times New Roman"/>
                <w:iCs/>
                <w:color w:val="000000"/>
                <w:sz w:val="22"/>
                <w:lang w:eastAsia="lv-LV"/>
              </w:rPr>
              <w:t>(2) Pašvaldība var veidot pašvaldības vides aizsardzības fondu, izmantojot pamatbudžeta līdzekļus, kas iegūti no nodokļa maksājumiem.”.</w:t>
            </w:r>
          </w:p>
        </w:tc>
        <w:tc>
          <w:tcPr>
            <w:tcW w:w="1417" w:type="dxa"/>
          </w:tcPr>
          <w:p w:rsidR="00E35322" w:rsidRPr="00BC34D1" w:rsidRDefault="00E35322" w:rsidP="00BC34D1">
            <w:pPr>
              <w:ind w:firstLine="567"/>
              <w:jc w:val="both"/>
              <w:rPr>
                <w:rFonts w:eastAsia="Times New Roman"/>
                <w:iCs/>
                <w:color w:val="000000"/>
                <w:sz w:val="22"/>
                <w:lang w:eastAsia="lv-LV"/>
              </w:rPr>
            </w:pPr>
          </w:p>
        </w:tc>
        <w:tc>
          <w:tcPr>
            <w:tcW w:w="1418" w:type="dxa"/>
          </w:tcPr>
          <w:p w:rsidR="00E35322" w:rsidRPr="00BC34D1" w:rsidRDefault="00E35322" w:rsidP="00BC34D1">
            <w:pPr>
              <w:ind w:firstLine="567"/>
              <w:jc w:val="both"/>
              <w:rPr>
                <w:rFonts w:eastAsia="Times New Roman"/>
                <w:iCs/>
                <w:color w:val="000000"/>
                <w:sz w:val="22"/>
                <w:lang w:eastAsia="lv-LV"/>
              </w:rPr>
            </w:pPr>
          </w:p>
        </w:tc>
      </w:tr>
      <w:tr w:rsidR="00B21F91" w:rsidRPr="001B3F41" w:rsidTr="00056624">
        <w:tc>
          <w:tcPr>
            <w:tcW w:w="3964" w:type="dxa"/>
            <w:shd w:val="clear" w:color="auto" w:fill="auto"/>
          </w:tcPr>
          <w:p w:rsidR="00B21F91" w:rsidRPr="008564D5" w:rsidRDefault="00B21F91" w:rsidP="008564D5">
            <w:pPr>
              <w:ind w:firstLine="567"/>
              <w:jc w:val="both"/>
              <w:rPr>
                <w:b/>
                <w:bCs/>
                <w:sz w:val="22"/>
              </w:rPr>
            </w:pPr>
            <w:r>
              <w:rPr>
                <w:b/>
                <w:bCs/>
                <w:sz w:val="22"/>
              </w:rPr>
              <w:t>Pārejas noteikumi</w:t>
            </w:r>
          </w:p>
        </w:tc>
        <w:tc>
          <w:tcPr>
            <w:tcW w:w="3969" w:type="dxa"/>
            <w:shd w:val="clear" w:color="auto" w:fill="auto"/>
          </w:tcPr>
          <w:p w:rsidR="00B21F91" w:rsidRPr="00BC34D1" w:rsidRDefault="00B21F91" w:rsidP="00BC34D1">
            <w:pPr>
              <w:ind w:firstLine="567"/>
              <w:jc w:val="both"/>
              <w:rPr>
                <w:rFonts w:eastAsia="Times New Roman"/>
                <w:iCs/>
                <w:color w:val="000000"/>
                <w:sz w:val="22"/>
                <w:lang w:eastAsia="lv-LV"/>
              </w:rPr>
            </w:pPr>
          </w:p>
        </w:tc>
        <w:tc>
          <w:tcPr>
            <w:tcW w:w="567" w:type="dxa"/>
          </w:tcPr>
          <w:p w:rsidR="00B21F91" w:rsidRPr="00F96D2A" w:rsidRDefault="00A32E5D" w:rsidP="00F96D2A">
            <w:pPr>
              <w:jc w:val="center"/>
              <w:rPr>
                <w:rFonts w:eastAsia="Times New Roman"/>
                <w:b/>
                <w:iCs/>
                <w:color w:val="000000"/>
                <w:sz w:val="22"/>
                <w:lang w:eastAsia="lv-LV"/>
              </w:rPr>
            </w:pPr>
            <w:r>
              <w:rPr>
                <w:rFonts w:eastAsia="Times New Roman"/>
                <w:b/>
                <w:iCs/>
                <w:color w:val="000000"/>
                <w:sz w:val="22"/>
                <w:lang w:eastAsia="lv-LV"/>
              </w:rPr>
              <w:t>17</w:t>
            </w:r>
          </w:p>
        </w:tc>
        <w:tc>
          <w:tcPr>
            <w:tcW w:w="3969" w:type="dxa"/>
          </w:tcPr>
          <w:p w:rsidR="00B21F91" w:rsidRDefault="00B21F91" w:rsidP="00BC34D1">
            <w:pPr>
              <w:ind w:firstLine="567"/>
              <w:jc w:val="both"/>
              <w:rPr>
                <w:rFonts w:eastAsia="Times New Roman"/>
                <w:b/>
                <w:iCs/>
                <w:color w:val="000000"/>
                <w:sz w:val="22"/>
                <w:u w:val="single"/>
                <w:lang w:eastAsia="lv-LV"/>
              </w:rPr>
            </w:pPr>
            <w:r>
              <w:rPr>
                <w:rFonts w:eastAsia="Times New Roman"/>
                <w:b/>
                <w:iCs/>
                <w:color w:val="000000"/>
                <w:sz w:val="22"/>
                <w:u w:val="single"/>
                <w:lang w:eastAsia="lv-LV"/>
              </w:rPr>
              <w:t>Vides aizsardzības un reģionālās attīstības ministrs J.Pūce</w:t>
            </w:r>
          </w:p>
          <w:p w:rsidR="00B21F91" w:rsidRPr="00B21F91" w:rsidRDefault="00B21F91" w:rsidP="00B21F91">
            <w:pPr>
              <w:ind w:firstLine="567"/>
              <w:jc w:val="both"/>
              <w:rPr>
                <w:rFonts w:eastAsia="Times New Roman"/>
                <w:iCs/>
                <w:color w:val="000000"/>
                <w:sz w:val="22"/>
                <w:lang w:eastAsia="lv-LV"/>
              </w:rPr>
            </w:pPr>
            <w:r w:rsidRPr="00B21F91">
              <w:rPr>
                <w:rFonts w:eastAsia="Times New Roman"/>
                <w:iCs/>
                <w:color w:val="000000"/>
                <w:sz w:val="22"/>
                <w:lang w:eastAsia="lv-LV"/>
              </w:rPr>
              <w:t>Papildināt likumprojektu ar jaunu pantu, kas papildina likuma pārejas noteikumus ar 34. punktu šādā redakcijā:</w:t>
            </w:r>
          </w:p>
          <w:p w:rsidR="00B21F91" w:rsidRDefault="00B21F91" w:rsidP="00B21F91">
            <w:pPr>
              <w:ind w:firstLine="567"/>
              <w:jc w:val="both"/>
              <w:rPr>
                <w:rFonts w:eastAsia="Times New Roman"/>
                <w:iCs/>
                <w:color w:val="000000"/>
                <w:sz w:val="22"/>
                <w:lang w:eastAsia="lv-LV"/>
              </w:rPr>
            </w:pPr>
            <w:r w:rsidRPr="00B21F91">
              <w:rPr>
                <w:rFonts w:eastAsia="Times New Roman"/>
                <w:iCs/>
                <w:color w:val="000000"/>
                <w:sz w:val="22"/>
                <w:lang w:eastAsia="lv-LV"/>
              </w:rPr>
              <w:t>“34. Grozījumi šā likuma 3. panta pirmās daļas 1. punkta “d” apakšpunktā, 4. panta pirmās daļas 3. punktā un 20.</w:t>
            </w:r>
            <w:r w:rsidRPr="00B21F91">
              <w:rPr>
                <w:rFonts w:eastAsia="Times New Roman"/>
                <w:iCs/>
                <w:color w:val="000000"/>
                <w:sz w:val="22"/>
                <w:vertAlign w:val="superscript"/>
                <w:lang w:eastAsia="lv-LV"/>
              </w:rPr>
              <w:t>1</w:t>
            </w:r>
            <w:r w:rsidRPr="00B21F91">
              <w:rPr>
                <w:rFonts w:eastAsia="Times New Roman"/>
                <w:iCs/>
                <w:color w:val="000000"/>
                <w:sz w:val="22"/>
                <w:lang w:eastAsia="lv-LV"/>
              </w:rPr>
              <w:t> panta ceturtā daļa stājas spēkā 2021. gada 1. janvārī.”</w:t>
            </w:r>
          </w:p>
          <w:p w:rsidR="00A32E5D" w:rsidRPr="00B21F91" w:rsidRDefault="00A32E5D" w:rsidP="00B21F91">
            <w:pPr>
              <w:ind w:firstLine="567"/>
              <w:jc w:val="both"/>
              <w:rPr>
                <w:rFonts w:eastAsia="Times New Roman"/>
                <w:iCs/>
                <w:color w:val="000000"/>
                <w:sz w:val="22"/>
                <w:lang w:eastAsia="lv-LV"/>
              </w:rPr>
            </w:pPr>
          </w:p>
        </w:tc>
        <w:tc>
          <w:tcPr>
            <w:tcW w:w="1417" w:type="dxa"/>
          </w:tcPr>
          <w:p w:rsidR="00B21F91" w:rsidRPr="00BC34D1" w:rsidRDefault="00B21F91" w:rsidP="00BC34D1">
            <w:pPr>
              <w:ind w:firstLine="567"/>
              <w:jc w:val="both"/>
              <w:rPr>
                <w:rFonts w:eastAsia="Times New Roman"/>
                <w:iCs/>
                <w:color w:val="000000"/>
                <w:sz w:val="22"/>
                <w:lang w:eastAsia="lv-LV"/>
              </w:rPr>
            </w:pPr>
          </w:p>
        </w:tc>
        <w:tc>
          <w:tcPr>
            <w:tcW w:w="1418" w:type="dxa"/>
          </w:tcPr>
          <w:p w:rsidR="00B21F91" w:rsidRPr="00BC34D1" w:rsidRDefault="00B21F91" w:rsidP="00BC34D1">
            <w:pPr>
              <w:ind w:firstLine="567"/>
              <w:jc w:val="both"/>
              <w:rPr>
                <w:rFonts w:eastAsia="Times New Roman"/>
                <w:iCs/>
                <w:color w:val="000000"/>
                <w:sz w:val="22"/>
                <w:lang w:eastAsia="lv-LV"/>
              </w:rPr>
            </w:pPr>
          </w:p>
        </w:tc>
      </w:tr>
      <w:tr w:rsidR="00056624" w:rsidRPr="001B3F41" w:rsidTr="00056624">
        <w:tc>
          <w:tcPr>
            <w:tcW w:w="3964" w:type="dxa"/>
            <w:shd w:val="clear" w:color="auto" w:fill="auto"/>
          </w:tcPr>
          <w:p w:rsidR="00056624" w:rsidRDefault="00056624" w:rsidP="00B6215C">
            <w:pPr>
              <w:ind w:firstLine="567"/>
              <w:jc w:val="both"/>
              <w:rPr>
                <w:b/>
                <w:sz w:val="22"/>
              </w:rPr>
            </w:pPr>
          </w:p>
        </w:tc>
        <w:tc>
          <w:tcPr>
            <w:tcW w:w="3969" w:type="dxa"/>
            <w:shd w:val="clear" w:color="auto" w:fill="auto"/>
          </w:tcPr>
          <w:p w:rsidR="00056624" w:rsidRPr="00BC34D1" w:rsidRDefault="00056624" w:rsidP="00261CD0">
            <w:pPr>
              <w:ind w:firstLine="567"/>
              <w:jc w:val="both"/>
              <w:rPr>
                <w:rFonts w:eastAsia="Times New Roman"/>
                <w:iCs/>
                <w:color w:val="000000"/>
                <w:sz w:val="22"/>
                <w:lang w:eastAsia="lv-LV"/>
              </w:rPr>
            </w:pPr>
            <w:r w:rsidRPr="00BC34D1">
              <w:rPr>
                <w:rFonts w:eastAsia="Times New Roman"/>
                <w:iCs/>
                <w:color w:val="000000"/>
                <w:sz w:val="22"/>
                <w:lang w:eastAsia="lv-LV"/>
              </w:rPr>
              <w:t>6. Izteikt 1. pielikuma tabulu šādā redakcijā:</w:t>
            </w:r>
          </w:p>
          <w:p w:rsidR="00056624" w:rsidRPr="00BC34D1" w:rsidRDefault="00056624" w:rsidP="00BC34D1">
            <w:pPr>
              <w:ind w:firstLine="567"/>
              <w:jc w:val="both"/>
              <w:rPr>
                <w:rFonts w:eastAsia="Times New Roman"/>
                <w:b/>
                <w:iCs/>
                <w:color w:val="000000"/>
                <w:sz w:val="22"/>
                <w:lang w:eastAsia="lv-LV"/>
              </w:rPr>
            </w:pPr>
            <w:r w:rsidRPr="00BC34D1">
              <w:rPr>
                <w:rFonts w:eastAsia="Times New Roman"/>
                <w:iCs/>
                <w:color w:val="000000"/>
                <w:sz w:val="22"/>
                <w:lang w:eastAsia="lv-LV"/>
              </w:rPr>
              <w:t>"</w:t>
            </w:r>
            <w:r w:rsidRPr="00BC34D1">
              <w:rPr>
                <w:rFonts w:eastAsia="Times New Roman"/>
                <w:b/>
                <w:iCs/>
                <w:color w:val="000000"/>
                <w:sz w:val="22"/>
                <w:lang w:eastAsia="lv-LV"/>
              </w:rPr>
              <w:t>Nodokļa likmes par dabas resursu ieguvi</w:t>
            </w:r>
          </w:p>
          <w:p w:rsidR="00056624" w:rsidRDefault="00056624" w:rsidP="00BC34D1">
            <w:pPr>
              <w:ind w:firstLine="567"/>
              <w:jc w:val="both"/>
              <w:rPr>
                <w:rFonts w:eastAsia="Times New Roman"/>
                <w:iCs/>
                <w:color w:val="000000"/>
                <w:sz w:val="22"/>
                <w:lang w:eastAsia="lv-LV"/>
              </w:rPr>
            </w:pPr>
          </w:p>
          <w:p w:rsidR="00A32E5D" w:rsidRDefault="00A32E5D" w:rsidP="00BC34D1">
            <w:pPr>
              <w:ind w:firstLine="567"/>
              <w:jc w:val="both"/>
              <w:rPr>
                <w:rFonts w:eastAsia="Times New Roman"/>
                <w:b/>
                <w:bCs/>
                <w:i/>
                <w:color w:val="000000"/>
                <w:sz w:val="22"/>
                <w:lang w:eastAsia="lv-LV"/>
              </w:rPr>
            </w:pPr>
          </w:p>
          <w:p w:rsidR="00A32E5D" w:rsidRDefault="00A32E5D" w:rsidP="00BC34D1">
            <w:pPr>
              <w:ind w:firstLine="567"/>
              <w:jc w:val="both"/>
              <w:rPr>
                <w:rFonts w:eastAsia="Times New Roman"/>
                <w:b/>
                <w:bCs/>
                <w:i/>
                <w:color w:val="000000"/>
                <w:sz w:val="22"/>
                <w:lang w:eastAsia="lv-LV"/>
              </w:rPr>
            </w:pPr>
          </w:p>
          <w:p w:rsidR="00A32E5D" w:rsidRDefault="00A32E5D" w:rsidP="00BC34D1">
            <w:pPr>
              <w:ind w:firstLine="567"/>
              <w:jc w:val="both"/>
              <w:rPr>
                <w:rFonts w:eastAsia="Times New Roman"/>
                <w:b/>
                <w:bCs/>
                <w:i/>
                <w:color w:val="000000"/>
                <w:sz w:val="22"/>
                <w:lang w:eastAsia="lv-LV"/>
              </w:rPr>
            </w:pPr>
          </w:p>
          <w:p w:rsidR="00A32E5D" w:rsidRDefault="00A32E5D" w:rsidP="00BC34D1">
            <w:pPr>
              <w:ind w:firstLine="567"/>
              <w:jc w:val="both"/>
              <w:rPr>
                <w:rFonts w:eastAsia="Times New Roman"/>
                <w:b/>
                <w:bCs/>
                <w:i/>
                <w:color w:val="000000"/>
                <w:sz w:val="22"/>
                <w:lang w:eastAsia="lv-LV"/>
              </w:rPr>
            </w:pPr>
          </w:p>
          <w:p w:rsidR="00056624" w:rsidRDefault="00056624" w:rsidP="00BC34D1">
            <w:pPr>
              <w:ind w:firstLine="567"/>
              <w:jc w:val="both"/>
              <w:rPr>
                <w:rFonts w:eastAsia="Times New Roman"/>
                <w:b/>
                <w:bCs/>
                <w:color w:val="000000"/>
                <w:sz w:val="22"/>
                <w:lang w:eastAsia="lv-LV"/>
              </w:rPr>
            </w:pPr>
            <w:r w:rsidRPr="00A664D2">
              <w:rPr>
                <w:rFonts w:eastAsia="Times New Roman"/>
                <w:b/>
                <w:bCs/>
                <w:i/>
                <w:color w:val="000000"/>
                <w:sz w:val="22"/>
                <w:lang w:eastAsia="lv-LV"/>
              </w:rPr>
              <w:t xml:space="preserve">ailes turpinājums </w:t>
            </w:r>
            <w:r w:rsidRPr="00A664D2">
              <w:rPr>
                <w:rFonts w:eastAsia="Times New Roman"/>
                <w:b/>
                <w:bCs/>
                <w:color w:val="000000"/>
                <w:sz w:val="22"/>
                <w:lang w:eastAsia="lv-LV"/>
              </w:rPr>
              <w:t>↓↓↓</w:t>
            </w:r>
          </w:p>
          <w:p w:rsidR="00056624" w:rsidRPr="00BC34D1" w:rsidRDefault="00056624" w:rsidP="00BC34D1">
            <w:pPr>
              <w:ind w:firstLine="567"/>
              <w:jc w:val="both"/>
              <w:rPr>
                <w:rFonts w:eastAsia="Times New Roman"/>
                <w:iCs/>
                <w:color w:val="000000"/>
                <w:sz w:val="22"/>
                <w:lang w:eastAsia="lv-LV"/>
              </w:rPr>
            </w:pPr>
          </w:p>
        </w:tc>
        <w:tc>
          <w:tcPr>
            <w:tcW w:w="567" w:type="dxa"/>
          </w:tcPr>
          <w:p w:rsidR="00056624" w:rsidRDefault="00A32E5D" w:rsidP="00F96D2A">
            <w:pPr>
              <w:jc w:val="center"/>
              <w:rPr>
                <w:rFonts w:eastAsia="Times New Roman"/>
                <w:b/>
                <w:iCs/>
                <w:color w:val="000000"/>
                <w:sz w:val="22"/>
                <w:lang w:eastAsia="lv-LV"/>
              </w:rPr>
            </w:pPr>
            <w:r>
              <w:rPr>
                <w:rFonts w:eastAsia="Times New Roman"/>
                <w:b/>
                <w:iCs/>
                <w:color w:val="000000"/>
                <w:sz w:val="22"/>
                <w:lang w:eastAsia="lv-LV"/>
              </w:rPr>
              <w:t>18</w:t>
            </w: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r>
              <w:rPr>
                <w:rFonts w:eastAsia="Times New Roman"/>
                <w:b/>
                <w:iCs/>
                <w:color w:val="000000"/>
                <w:sz w:val="22"/>
                <w:lang w:eastAsia="lv-LV"/>
              </w:rPr>
              <w:t>19</w:t>
            </w: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Default="00A32E5D" w:rsidP="00F96D2A">
            <w:pPr>
              <w:jc w:val="center"/>
              <w:rPr>
                <w:rFonts w:eastAsia="Times New Roman"/>
                <w:b/>
                <w:iCs/>
                <w:color w:val="000000"/>
                <w:sz w:val="22"/>
                <w:lang w:eastAsia="lv-LV"/>
              </w:rPr>
            </w:pPr>
          </w:p>
          <w:p w:rsidR="00A32E5D" w:rsidRPr="00F96D2A" w:rsidRDefault="00A32E5D" w:rsidP="00F96D2A">
            <w:pPr>
              <w:jc w:val="center"/>
              <w:rPr>
                <w:rFonts w:eastAsia="Times New Roman"/>
                <w:b/>
                <w:iCs/>
                <w:color w:val="000000"/>
                <w:sz w:val="22"/>
                <w:lang w:eastAsia="lv-LV"/>
              </w:rPr>
            </w:pPr>
          </w:p>
        </w:tc>
        <w:tc>
          <w:tcPr>
            <w:tcW w:w="3969" w:type="dxa"/>
          </w:tcPr>
          <w:p w:rsidR="00CA79EA" w:rsidRPr="00AF49E4" w:rsidRDefault="00CA79EA" w:rsidP="00CA79EA">
            <w:pPr>
              <w:ind w:firstLine="567"/>
              <w:jc w:val="both"/>
              <w:rPr>
                <w:rFonts w:eastAsia="Times New Roman"/>
                <w:b/>
                <w:iCs/>
                <w:color w:val="000000"/>
                <w:sz w:val="22"/>
                <w:u w:val="single"/>
                <w:lang w:eastAsia="lv-LV"/>
              </w:rPr>
            </w:pPr>
            <w:r w:rsidRPr="00AF49E4">
              <w:rPr>
                <w:rFonts w:eastAsia="Times New Roman"/>
                <w:b/>
                <w:iCs/>
                <w:color w:val="000000"/>
                <w:sz w:val="22"/>
                <w:u w:val="single"/>
                <w:lang w:eastAsia="lv-LV"/>
              </w:rPr>
              <w:t>Zaļo un Zemnieku savienības frakcija</w:t>
            </w:r>
          </w:p>
          <w:p w:rsidR="00CA79EA" w:rsidRPr="007A3BC4" w:rsidRDefault="007A3BC4" w:rsidP="00261CD0">
            <w:pPr>
              <w:ind w:firstLine="567"/>
              <w:jc w:val="both"/>
              <w:rPr>
                <w:rFonts w:eastAsia="Times New Roman"/>
                <w:iCs/>
                <w:color w:val="000000"/>
                <w:sz w:val="22"/>
                <w:lang w:eastAsia="lv-LV"/>
              </w:rPr>
            </w:pPr>
            <w:r w:rsidRPr="007A3BC4">
              <w:rPr>
                <w:rFonts w:eastAsia="Times New Roman"/>
                <w:iCs/>
                <w:color w:val="000000"/>
                <w:sz w:val="22"/>
                <w:lang w:eastAsia="lv-LV"/>
              </w:rPr>
              <w:t>Izslēgt likumprojekta 6.</w:t>
            </w:r>
            <w:r w:rsidR="00A32E5D">
              <w:rPr>
                <w:rFonts w:eastAsia="Times New Roman"/>
                <w:iCs/>
                <w:color w:val="000000"/>
                <w:sz w:val="22"/>
                <w:lang w:eastAsia="lv-LV"/>
              </w:rPr>
              <w:t xml:space="preserve"> </w:t>
            </w:r>
            <w:r w:rsidRPr="007A3BC4">
              <w:rPr>
                <w:rFonts w:eastAsia="Times New Roman"/>
                <w:iCs/>
                <w:color w:val="000000"/>
                <w:sz w:val="22"/>
                <w:lang w:eastAsia="lv-LV"/>
              </w:rPr>
              <w:t>pantu, kas groza 1.pielikuma tabulu.</w:t>
            </w:r>
          </w:p>
          <w:p w:rsidR="00CA79EA" w:rsidRDefault="00CA79EA" w:rsidP="00261CD0">
            <w:pPr>
              <w:ind w:firstLine="567"/>
              <w:jc w:val="both"/>
              <w:rPr>
                <w:rFonts w:eastAsia="Times New Roman"/>
                <w:b/>
                <w:iCs/>
                <w:color w:val="000000"/>
                <w:sz w:val="22"/>
                <w:u w:val="single"/>
                <w:lang w:eastAsia="lv-LV"/>
              </w:rPr>
            </w:pPr>
          </w:p>
          <w:p w:rsidR="00056624" w:rsidRDefault="0040682C" w:rsidP="00261CD0">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40682C" w:rsidRPr="0040682C" w:rsidRDefault="0040682C" w:rsidP="00261CD0">
            <w:pPr>
              <w:ind w:firstLine="567"/>
              <w:jc w:val="both"/>
              <w:rPr>
                <w:rFonts w:eastAsia="Times New Roman"/>
                <w:iCs/>
                <w:color w:val="000000"/>
                <w:sz w:val="22"/>
                <w:lang w:eastAsia="lv-LV"/>
              </w:rPr>
            </w:pPr>
            <w:r w:rsidRPr="0040682C">
              <w:rPr>
                <w:rFonts w:eastAsia="Times New Roman"/>
                <w:iCs/>
                <w:color w:val="000000"/>
                <w:sz w:val="22"/>
                <w:lang w:eastAsia="lv-LV"/>
              </w:rPr>
              <w:t>Ierosinām 1. pielikuma tabulā (likumprojekta 6. pants) ailes “Likme līdz 2019. gada 31. decembrim (</w:t>
            </w:r>
            <w:r w:rsidRPr="0040682C">
              <w:rPr>
                <w:rFonts w:eastAsia="Times New Roman"/>
                <w:i/>
                <w:iCs/>
                <w:color w:val="000000"/>
                <w:sz w:val="22"/>
                <w:lang w:eastAsia="lv-LV"/>
              </w:rPr>
              <w:t>euro</w:t>
            </w:r>
            <w:r w:rsidRPr="0040682C">
              <w:rPr>
                <w:rFonts w:eastAsia="Times New Roman"/>
                <w:iCs/>
                <w:color w:val="000000"/>
                <w:sz w:val="22"/>
                <w:lang w:eastAsia="lv-LV"/>
              </w:rPr>
              <w:t>)” nosaukumu izteikt šādā redakcijā: “Likme laikposmā no 2019. gada 1. janvāra līdz 2019. gada 31. decembrim (</w:t>
            </w:r>
            <w:r w:rsidRPr="0040682C">
              <w:rPr>
                <w:rFonts w:eastAsia="Times New Roman"/>
                <w:i/>
                <w:iCs/>
                <w:color w:val="000000"/>
                <w:sz w:val="22"/>
                <w:lang w:eastAsia="lv-LV"/>
              </w:rPr>
              <w:t>euro</w:t>
            </w:r>
            <w:r w:rsidRPr="0040682C">
              <w:rPr>
                <w:rFonts w:eastAsia="Times New Roman"/>
                <w:iCs/>
                <w:color w:val="000000"/>
                <w:sz w:val="22"/>
                <w:lang w:eastAsia="lv-LV"/>
              </w:rPr>
              <w:t>)”.</w:t>
            </w:r>
          </w:p>
        </w:tc>
        <w:tc>
          <w:tcPr>
            <w:tcW w:w="1417" w:type="dxa"/>
          </w:tcPr>
          <w:p w:rsidR="00056624" w:rsidRPr="00BC34D1" w:rsidRDefault="00056624" w:rsidP="00261CD0">
            <w:pPr>
              <w:ind w:firstLine="567"/>
              <w:jc w:val="both"/>
              <w:rPr>
                <w:rFonts w:eastAsia="Times New Roman"/>
                <w:iCs/>
                <w:color w:val="000000"/>
                <w:sz w:val="22"/>
                <w:lang w:eastAsia="lv-LV"/>
              </w:rPr>
            </w:pPr>
          </w:p>
        </w:tc>
        <w:tc>
          <w:tcPr>
            <w:tcW w:w="1418" w:type="dxa"/>
          </w:tcPr>
          <w:p w:rsidR="00056624" w:rsidRPr="00BC34D1" w:rsidRDefault="00056624" w:rsidP="00261CD0">
            <w:pPr>
              <w:ind w:firstLine="567"/>
              <w:jc w:val="both"/>
              <w:rPr>
                <w:rFonts w:eastAsia="Times New Roman"/>
                <w:iCs/>
                <w:color w:val="000000"/>
                <w:sz w:val="22"/>
                <w:lang w:eastAsia="lv-LV"/>
              </w:rPr>
            </w:pPr>
          </w:p>
        </w:tc>
      </w:tr>
    </w:tbl>
    <w:p w:rsidR="00A400CF" w:rsidRDefault="00A400CF"/>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155"/>
        <w:gridCol w:w="6133"/>
        <w:gridCol w:w="2132"/>
        <w:gridCol w:w="2824"/>
        <w:gridCol w:w="2876"/>
      </w:tblGrid>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noWrap/>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Nr.</w:t>
            </w:r>
          </w:p>
          <w:p w:rsidR="00BC34D1" w:rsidRPr="009265F5" w:rsidRDefault="00BC34D1" w:rsidP="00163800">
            <w:pPr>
              <w:jc w:val="center"/>
              <w:rPr>
                <w:rFonts w:eastAsia="Times New Roman"/>
                <w:sz w:val="22"/>
                <w:lang w:eastAsia="lv-LV"/>
              </w:rPr>
            </w:pPr>
            <w:r w:rsidRPr="009265F5">
              <w:rPr>
                <w:rFonts w:eastAsia="Times New Roman"/>
                <w:sz w:val="22"/>
                <w:lang w:eastAsia="lv-LV"/>
              </w:rPr>
              <w:t>p. k.</w:t>
            </w:r>
          </w:p>
        </w:tc>
        <w:tc>
          <w:tcPr>
            <w:tcW w:w="2028"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Resursu veids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Mērvienība</w:t>
            </w:r>
          </w:p>
        </w:tc>
        <w:tc>
          <w:tcPr>
            <w:tcW w:w="934" w:type="pct"/>
            <w:tcBorders>
              <w:top w:val="outset" w:sz="6" w:space="0" w:color="414142"/>
              <w:left w:val="outset" w:sz="6" w:space="0" w:color="414142"/>
              <w:bottom w:val="outset" w:sz="6" w:space="0" w:color="414142"/>
              <w:right w:val="outset" w:sz="6" w:space="0" w:color="414142"/>
            </w:tcBorders>
            <w:vAlign w:val="center"/>
            <w:hideMark/>
          </w:tcPr>
          <w:p w:rsidR="00BC34D1" w:rsidRPr="0040682C" w:rsidRDefault="00BC34D1" w:rsidP="00163800">
            <w:pPr>
              <w:jc w:val="center"/>
              <w:rPr>
                <w:rFonts w:eastAsia="Times New Roman"/>
                <w:sz w:val="22"/>
                <w:u w:val="single"/>
                <w:lang w:eastAsia="lv-LV"/>
              </w:rPr>
            </w:pPr>
            <w:r w:rsidRPr="0040682C">
              <w:rPr>
                <w:rFonts w:eastAsia="Times New Roman"/>
                <w:sz w:val="22"/>
                <w:u w:val="single"/>
                <w:lang w:eastAsia="lv-LV"/>
              </w:rPr>
              <w:t>Likme līdz 2019. gada 31. decembrim</w:t>
            </w:r>
            <w:r w:rsidRPr="0040682C">
              <w:rPr>
                <w:rFonts w:eastAsia="Times New Roman"/>
                <w:sz w:val="22"/>
                <w:u w:val="single"/>
                <w:lang w:eastAsia="lv-LV"/>
              </w:rPr>
              <w:br/>
              <w:t>(</w:t>
            </w:r>
            <w:r w:rsidRPr="0040682C">
              <w:rPr>
                <w:rFonts w:eastAsia="Times New Roman"/>
                <w:i/>
                <w:iCs/>
                <w:sz w:val="22"/>
                <w:u w:val="single"/>
                <w:lang w:eastAsia="lv-LV"/>
              </w:rPr>
              <w:t>euro</w:t>
            </w:r>
            <w:r w:rsidRPr="0040682C">
              <w:rPr>
                <w:rFonts w:eastAsia="Times New Roman"/>
                <w:sz w:val="22"/>
                <w:u w:val="single"/>
                <w:lang w:eastAsia="lv-LV"/>
              </w:rPr>
              <w:t>)</w:t>
            </w:r>
          </w:p>
        </w:tc>
        <w:tc>
          <w:tcPr>
            <w:tcW w:w="952" w:type="pct"/>
            <w:tcBorders>
              <w:top w:val="outset" w:sz="6" w:space="0" w:color="414142"/>
              <w:left w:val="outset" w:sz="6" w:space="0" w:color="414142"/>
              <w:bottom w:val="outset" w:sz="6" w:space="0" w:color="414142"/>
              <w:right w:val="outset" w:sz="6" w:space="0" w:color="414142"/>
            </w:tcBorders>
          </w:tcPr>
          <w:p w:rsidR="00BC34D1" w:rsidRPr="009265F5" w:rsidRDefault="00BC34D1" w:rsidP="00163800">
            <w:pPr>
              <w:jc w:val="center"/>
              <w:rPr>
                <w:rFonts w:eastAsia="Times New Roman"/>
                <w:sz w:val="22"/>
                <w:lang w:eastAsia="lv-LV"/>
              </w:rPr>
            </w:pPr>
            <w:r w:rsidRPr="009265F5">
              <w:rPr>
                <w:rFonts w:eastAsia="Times New Roman"/>
                <w:sz w:val="22"/>
                <w:lang w:eastAsia="lv-LV"/>
              </w:rPr>
              <w:t>Likme no 2020. gada 1. janvāra</w:t>
            </w:r>
            <w:r w:rsidRPr="009265F5">
              <w:rPr>
                <w:rFonts w:eastAsia="Times New Roman"/>
                <w:sz w:val="22"/>
                <w:lang w:eastAsia="lv-LV"/>
              </w:rPr>
              <w:br/>
              <w:t>(</w:t>
            </w:r>
            <w:r w:rsidRPr="009265F5">
              <w:rPr>
                <w:rFonts w:eastAsia="Times New Roman"/>
                <w:i/>
                <w:iCs/>
                <w:sz w:val="22"/>
                <w:lang w:eastAsia="lv-LV"/>
              </w:rPr>
              <w:t>euro</w:t>
            </w:r>
            <w:r w:rsidRPr="009265F5">
              <w:rPr>
                <w:rFonts w:eastAsia="Times New Roman"/>
                <w:sz w:val="22"/>
                <w:lang w:eastAsia="lv-LV"/>
              </w:rPr>
              <w:t>)</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Augsne</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0,86</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0,86</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2.</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Smilšmāls un mālsmilts, aleirīts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0,14</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0,14</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3.</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Kvarca smilts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0,45</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0,45</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4.</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Smilts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0,21</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0,36</w:t>
            </w:r>
          </w:p>
        </w:tc>
      </w:tr>
      <w:tr w:rsidR="00BC34D1" w:rsidRPr="00546286" w:rsidTr="009E63A5">
        <w:trPr>
          <w:trHeight w:val="218"/>
        </w:trPr>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5.</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Smilts–grants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0,36</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0,36</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6.</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Māls, citi mālainie ieži būvmateriālu ražošanai</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0,21</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0,21</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7.</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Dekoratīvais (apdares) dolomīts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0,45</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0,45</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8.</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Dolomīts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0,21</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0,21</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9.</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Kaļķakmens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0,28</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0,28</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10.</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 xml:space="preserve">Saldūdens kaļķieži </w:t>
            </w:r>
            <w:r w:rsidRPr="009265F5">
              <w:rPr>
                <w:rFonts w:eastAsia="Times New Roman"/>
                <w:sz w:val="22"/>
                <w:lang w:eastAsia="lv-LV"/>
              </w:rPr>
              <w:br/>
              <w:t>(irdenie un gabalainie)</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0,18</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0,18</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11.</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Šūnakmens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1,78</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1,78</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12.</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Ģipšakmens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0,60</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0,60</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13.</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Laukakmeņi</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0,57</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0,57</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14.</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Krāsu zeme</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m</w:t>
            </w:r>
            <w:r w:rsidRPr="009265F5">
              <w:rPr>
                <w:rFonts w:eastAsia="Times New Roman"/>
                <w:sz w:val="22"/>
                <w:vertAlign w:val="superscript"/>
                <w:lang w:eastAsia="lv-LV"/>
              </w:rPr>
              <w:t>3</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0,18</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0,18</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15.</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Kūdra (mitrums – 40 %)</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tonna</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0,55</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b/>
                <w:sz w:val="22"/>
                <w:lang w:eastAsia="lv-LV"/>
              </w:rPr>
            </w:pPr>
            <w:r w:rsidRPr="009265F5">
              <w:rPr>
                <w:rFonts w:eastAsia="Times New Roman"/>
                <w:sz w:val="22"/>
                <w:lang w:eastAsia="lv-LV"/>
              </w:rPr>
              <w:t>0,55</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16.</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 xml:space="preserve">Sapropelis organogēns </w:t>
            </w:r>
            <w:r w:rsidRPr="009265F5">
              <w:rPr>
                <w:rFonts w:eastAsia="Times New Roman"/>
                <w:sz w:val="22"/>
                <w:lang w:eastAsia="lv-LV"/>
              </w:rPr>
              <w:br/>
              <w:t xml:space="preserve">(aļģu un zoogēns–aļģu) un organogēns kaļķis ar pelnainību </w:t>
            </w:r>
            <w:r w:rsidRPr="009265F5">
              <w:rPr>
                <w:rFonts w:eastAsia="Times New Roman"/>
                <w:sz w:val="22"/>
                <w:lang w:eastAsia="lv-LV"/>
              </w:rPr>
              <w:br/>
              <w:t>&lt; 30 % (mitrums – 60 %)</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tonna</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0,90</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0,90</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17.</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Pārējais sapropelis (mitrums – 60 %)</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tonna</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0,18</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0,18</w:t>
            </w:r>
          </w:p>
        </w:tc>
      </w:tr>
      <w:tr w:rsidR="00BC34D1" w:rsidRPr="00546286" w:rsidTr="009E63A5">
        <w:tc>
          <w:tcPr>
            <w:tcW w:w="382"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18.</w:t>
            </w:r>
          </w:p>
        </w:tc>
        <w:tc>
          <w:tcPr>
            <w:tcW w:w="2028" w:type="pct"/>
            <w:tcBorders>
              <w:top w:val="outset" w:sz="6" w:space="0" w:color="414142"/>
              <w:left w:val="outset" w:sz="6" w:space="0" w:color="414142"/>
              <w:bottom w:val="outset" w:sz="6" w:space="0" w:color="414142"/>
              <w:right w:val="outset" w:sz="6" w:space="0" w:color="414142"/>
            </w:tcBorders>
            <w:hideMark/>
          </w:tcPr>
          <w:p w:rsidR="00BC34D1" w:rsidRPr="009265F5" w:rsidRDefault="00BC34D1" w:rsidP="00163800">
            <w:pPr>
              <w:rPr>
                <w:rFonts w:eastAsia="Times New Roman"/>
                <w:sz w:val="22"/>
                <w:lang w:eastAsia="lv-LV"/>
              </w:rPr>
            </w:pPr>
            <w:r w:rsidRPr="009265F5">
              <w:rPr>
                <w:rFonts w:eastAsia="Times New Roman"/>
                <w:sz w:val="22"/>
                <w:lang w:eastAsia="lv-LV"/>
              </w:rPr>
              <w:t>Visu veidu dziednieciskās dūņas</w:t>
            </w:r>
          </w:p>
        </w:tc>
        <w:tc>
          <w:tcPr>
            <w:tcW w:w="705" w:type="pct"/>
            <w:tcBorders>
              <w:top w:val="outset" w:sz="6" w:space="0" w:color="414142"/>
              <w:left w:val="outset" w:sz="6" w:space="0" w:color="414142"/>
              <w:bottom w:val="outset" w:sz="6" w:space="0" w:color="414142"/>
              <w:right w:val="outset" w:sz="6" w:space="0" w:color="414142"/>
            </w:tcBorders>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tonna</w:t>
            </w:r>
          </w:p>
        </w:tc>
        <w:tc>
          <w:tcPr>
            <w:tcW w:w="93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C34D1" w:rsidRPr="009265F5" w:rsidRDefault="00BC34D1" w:rsidP="00163800">
            <w:pPr>
              <w:jc w:val="center"/>
              <w:rPr>
                <w:rFonts w:eastAsia="Times New Roman"/>
                <w:sz w:val="22"/>
                <w:lang w:eastAsia="lv-LV"/>
              </w:rPr>
            </w:pPr>
            <w:r w:rsidRPr="009265F5">
              <w:rPr>
                <w:rFonts w:eastAsia="Times New Roman"/>
                <w:sz w:val="22"/>
                <w:lang w:eastAsia="lv-LV"/>
              </w:rPr>
              <w:t>0,90</w:t>
            </w:r>
          </w:p>
        </w:tc>
        <w:tc>
          <w:tcPr>
            <w:tcW w:w="95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BC34D1" w:rsidRPr="009265F5" w:rsidRDefault="00BC34D1" w:rsidP="00163800">
            <w:pPr>
              <w:jc w:val="center"/>
              <w:rPr>
                <w:rFonts w:eastAsia="Times New Roman"/>
                <w:sz w:val="22"/>
                <w:lang w:eastAsia="lv-LV"/>
              </w:rPr>
            </w:pPr>
            <w:r w:rsidRPr="009265F5">
              <w:rPr>
                <w:rFonts w:eastAsia="Times New Roman"/>
                <w:sz w:val="22"/>
                <w:lang w:eastAsia="lv-LV"/>
              </w:rPr>
              <w:t>0,90"</w:t>
            </w:r>
          </w:p>
        </w:tc>
      </w:tr>
    </w:tbl>
    <w:p w:rsidR="00BC34D1" w:rsidRDefault="00BC34D1"/>
    <w:tbl>
      <w:tblPr>
        <w:tblW w:w="16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5"/>
        <w:gridCol w:w="3931"/>
        <w:gridCol w:w="564"/>
        <w:gridCol w:w="3931"/>
        <w:gridCol w:w="1406"/>
        <w:gridCol w:w="1406"/>
        <w:gridCol w:w="1406"/>
      </w:tblGrid>
      <w:tr w:rsidR="006C4F1C" w:rsidRPr="00A664D2" w:rsidTr="006C4F1C">
        <w:tc>
          <w:tcPr>
            <w:tcW w:w="3925" w:type="dxa"/>
            <w:shd w:val="clear" w:color="auto" w:fill="auto"/>
          </w:tcPr>
          <w:p w:rsidR="006C4F1C" w:rsidRPr="00A664D2" w:rsidRDefault="006C4F1C" w:rsidP="00163800">
            <w:pPr>
              <w:jc w:val="center"/>
              <w:rPr>
                <w:b/>
                <w:bCs/>
                <w:iCs/>
              </w:rPr>
            </w:pPr>
            <w:r w:rsidRPr="00A664D2">
              <w:rPr>
                <w:b/>
                <w:bCs/>
                <w:iCs/>
              </w:rPr>
              <w:t>Spēkā esošā redakcija</w:t>
            </w:r>
          </w:p>
        </w:tc>
        <w:tc>
          <w:tcPr>
            <w:tcW w:w="3931" w:type="dxa"/>
          </w:tcPr>
          <w:p w:rsidR="006C4F1C" w:rsidRPr="00A664D2" w:rsidRDefault="006C4F1C" w:rsidP="00163800">
            <w:pPr>
              <w:jc w:val="center"/>
              <w:rPr>
                <w:b/>
              </w:rPr>
            </w:pPr>
            <w:r>
              <w:rPr>
                <w:b/>
              </w:rPr>
              <w:t>Pirmā lasījuma redakcija</w:t>
            </w:r>
          </w:p>
        </w:tc>
        <w:tc>
          <w:tcPr>
            <w:tcW w:w="564" w:type="dxa"/>
          </w:tcPr>
          <w:p w:rsidR="006C4F1C" w:rsidRPr="001B3F41" w:rsidRDefault="006C4F1C" w:rsidP="00163800">
            <w:pPr>
              <w:jc w:val="center"/>
              <w:rPr>
                <w:b/>
              </w:rPr>
            </w:pPr>
            <w:r>
              <w:rPr>
                <w:b/>
              </w:rPr>
              <w:t>Nr.</w:t>
            </w:r>
          </w:p>
        </w:tc>
        <w:tc>
          <w:tcPr>
            <w:tcW w:w="3931" w:type="dxa"/>
          </w:tcPr>
          <w:p w:rsidR="006C4F1C" w:rsidRDefault="006C4F1C" w:rsidP="00163800">
            <w:pPr>
              <w:jc w:val="center"/>
              <w:rPr>
                <w:b/>
              </w:rPr>
            </w:pPr>
            <w:r>
              <w:rPr>
                <w:b/>
              </w:rPr>
              <w:t>Priekšlikumi</w:t>
            </w:r>
          </w:p>
          <w:p w:rsidR="006C4F1C" w:rsidRPr="001B3F41" w:rsidRDefault="006C4F1C" w:rsidP="00163800">
            <w:pPr>
              <w:jc w:val="center"/>
              <w:rPr>
                <w:b/>
              </w:rPr>
            </w:pPr>
            <w:r>
              <w:rPr>
                <w:b/>
              </w:rPr>
              <w:t>(</w:t>
            </w:r>
            <w:r w:rsidR="00323DED">
              <w:rPr>
                <w:b/>
              </w:rPr>
              <w:t>22</w:t>
            </w:r>
            <w:r>
              <w:rPr>
                <w:b/>
              </w:rPr>
              <w:t>)</w:t>
            </w:r>
          </w:p>
        </w:tc>
        <w:tc>
          <w:tcPr>
            <w:tcW w:w="1406" w:type="dxa"/>
          </w:tcPr>
          <w:p w:rsidR="006C4F1C" w:rsidRPr="001B3F41" w:rsidRDefault="006C4F1C" w:rsidP="00163800">
            <w:pPr>
              <w:jc w:val="center"/>
              <w:rPr>
                <w:b/>
              </w:rPr>
            </w:pPr>
            <w:r>
              <w:rPr>
                <w:b/>
              </w:rPr>
              <w:t>Ministru kabineta atzinums</w:t>
            </w:r>
          </w:p>
        </w:tc>
        <w:tc>
          <w:tcPr>
            <w:tcW w:w="1406" w:type="dxa"/>
          </w:tcPr>
          <w:p w:rsidR="006C4F1C" w:rsidRPr="001B3F41" w:rsidRDefault="006C4F1C" w:rsidP="00163800">
            <w:pPr>
              <w:jc w:val="center"/>
              <w:rPr>
                <w:b/>
              </w:rPr>
            </w:pPr>
            <w:r>
              <w:rPr>
                <w:b/>
              </w:rPr>
              <w:t>Komisijas atzinums</w:t>
            </w:r>
          </w:p>
        </w:tc>
        <w:tc>
          <w:tcPr>
            <w:tcW w:w="1406" w:type="dxa"/>
          </w:tcPr>
          <w:p w:rsidR="006C4F1C" w:rsidRDefault="006C4F1C" w:rsidP="00163800">
            <w:pPr>
              <w:jc w:val="center"/>
              <w:rPr>
                <w:b/>
              </w:rPr>
            </w:pPr>
          </w:p>
        </w:tc>
      </w:tr>
      <w:tr w:rsidR="006C4F1C" w:rsidRPr="00A664D2" w:rsidTr="006C4F1C">
        <w:tc>
          <w:tcPr>
            <w:tcW w:w="3925" w:type="dxa"/>
            <w:shd w:val="clear" w:color="auto" w:fill="auto"/>
          </w:tcPr>
          <w:p w:rsidR="006C4F1C" w:rsidRDefault="006C4F1C" w:rsidP="00163800">
            <w:pPr>
              <w:ind w:firstLine="567"/>
              <w:jc w:val="right"/>
              <w:rPr>
                <w:bCs/>
                <w:iCs/>
                <w:sz w:val="22"/>
              </w:rPr>
            </w:pPr>
            <w:r w:rsidRPr="00D473E8">
              <w:rPr>
                <w:bCs/>
                <w:iCs/>
                <w:sz w:val="22"/>
              </w:rPr>
              <w:t>Dabas resursu nodokļa likuma</w:t>
            </w:r>
            <w:r w:rsidRPr="00D473E8">
              <w:rPr>
                <w:bCs/>
                <w:iCs/>
                <w:sz w:val="22"/>
              </w:rPr>
              <w:br/>
            </w:r>
            <w:bookmarkStart w:id="1" w:name="piel2"/>
            <w:bookmarkEnd w:id="1"/>
            <w:r>
              <w:rPr>
                <w:bCs/>
                <w:iCs/>
                <w:sz w:val="22"/>
              </w:rPr>
              <w:t>1</w:t>
            </w:r>
            <w:r w:rsidRPr="00D473E8">
              <w:rPr>
                <w:bCs/>
                <w:iCs/>
                <w:sz w:val="22"/>
              </w:rPr>
              <w:t>.pielikums</w:t>
            </w:r>
          </w:p>
          <w:p w:rsidR="006C4F1C" w:rsidRPr="009E63A5" w:rsidRDefault="006C4F1C" w:rsidP="009E63A5">
            <w:pPr>
              <w:jc w:val="center"/>
              <w:rPr>
                <w:b/>
                <w:bCs/>
                <w:iCs/>
                <w:sz w:val="22"/>
              </w:rPr>
            </w:pPr>
            <w:r w:rsidRPr="009E63A5">
              <w:rPr>
                <w:b/>
                <w:bCs/>
                <w:iCs/>
                <w:sz w:val="22"/>
              </w:rPr>
              <w:t>Nodokļa likmes par dabas resursu ieguvi</w:t>
            </w:r>
          </w:p>
          <w:p w:rsidR="006C4F1C" w:rsidRPr="00A664D2" w:rsidRDefault="006C4F1C" w:rsidP="00163800">
            <w:pPr>
              <w:ind w:firstLine="567"/>
              <w:jc w:val="both"/>
              <w:rPr>
                <w:bCs/>
                <w:iCs/>
              </w:rPr>
            </w:pPr>
            <w:bookmarkStart w:id="2" w:name="487320"/>
            <w:bookmarkEnd w:id="2"/>
          </w:p>
          <w:p w:rsidR="006C4F1C" w:rsidRPr="00A664D2" w:rsidRDefault="006C4F1C" w:rsidP="00163800">
            <w:pPr>
              <w:ind w:firstLine="567"/>
              <w:jc w:val="both"/>
              <w:rPr>
                <w:bCs/>
                <w:iCs/>
                <w:sz w:val="22"/>
              </w:rPr>
            </w:pPr>
            <w:r w:rsidRPr="00A664D2">
              <w:rPr>
                <w:b/>
                <w:bCs/>
                <w:i/>
                <w:sz w:val="22"/>
              </w:rPr>
              <w:t xml:space="preserve">ailes turpinājums </w:t>
            </w:r>
            <w:r w:rsidRPr="00A664D2">
              <w:rPr>
                <w:b/>
                <w:bCs/>
                <w:sz w:val="22"/>
              </w:rPr>
              <w:t>↓↓↓</w:t>
            </w:r>
          </w:p>
        </w:tc>
        <w:tc>
          <w:tcPr>
            <w:tcW w:w="3931" w:type="dxa"/>
          </w:tcPr>
          <w:p w:rsidR="006C4F1C" w:rsidRPr="00A664D2" w:rsidRDefault="006C4F1C" w:rsidP="00163800">
            <w:pPr>
              <w:rPr>
                <w:b/>
              </w:rPr>
            </w:pPr>
          </w:p>
        </w:tc>
        <w:tc>
          <w:tcPr>
            <w:tcW w:w="564" w:type="dxa"/>
          </w:tcPr>
          <w:p w:rsidR="006C4F1C" w:rsidRPr="00A664D2" w:rsidRDefault="006C4F1C" w:rsidP="00163800">
            <w:pPr>
              <w:rPr>
                <w:b/>
              </w:rPr>
            </w:pPr>
          </w:p>
        </w:tc>
        <w:tc>
          <w:tcPr>
            <w:tcW w:w="3931" w:type="dxa"/>
          </w:tcPr>
          <w:p w:rsidR="006C4F1C" w:rsidRPr="00A664D2" w:rsidRDefault="006C4F1C" w:rsidP="00163800">
            <w:pPr>
              <w:rPr>
                <w:b/>
              </w:rPr>
            </w:pPr>
          </w:p>
        </w:tc>
        <w:tc>
          <w:tcPr>
            <w:tcW w:w="1406" w:type="dxa"/>
          </w:tcPr>
          <w:p w:rsidR="006C4F1C" w:rsidRPr="00A664D2" w:rsidRDefault="006C4F1C" w:rsidP="00163800">
            <w:pPr>
              <w:rPr>
                <w:b/>
              </w:rPr>
            </w:pPr>
          </w:p>
        </w:tc>
        <w:tc>
          <w:tcPr>
            <w:tcW w:w="1406" w:type="dxa"/>
          </w:tcPr>
          <w:p w:rsidR="006C4F1C" w:rsidRPr="00A664D2" w:rsidRDefault="006C4F1C" w:rsidP="00163800">
            <w:pPr>
              <w:rPr>
                <w:b/>
              </w:rPr>
            </w:pPr>
          </w:p>
        </w:tc>
        <w:tc>
          <w:tcPr>
            <w:tcW w:w="1406" w:type="dxa"/>
          </w:tcPr>
          <w:p w:rsidR="006C4F1C" w:rsidRPr="00A664D2" w:rsidRDefault="006C4F1C" w:rsidP="00163800">
            <w:pPr>
              <w:rPr>
                <w:b/>
              </w:rPr>
            </w:pPr>
          </w:p>
        </w:tc>
      </w:tr>
    </w:tbl>
    <w:p w:rsidR="009265F5" w:rsidRDefault="009265F5"/>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9"/>
        <w:gridCol w:w="2700"/>
        <w:gridCol w:w="1361"/>
        <w:gridCol w:w="2697"/>
        <w:gridCol w:w="2697"/>
        <w:gridCol w:w="2697"/>
        <w:gridCol w:w="2159"/>
      </w:tblGrid>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noWrap/>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Nr.p. k.</w:t>
            </w:r>
          </w:p>
        </w:tc>
        <w:tc>
          <w:tcPr>
            <w:tcW w:w="883"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Resursu veids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Mērvienība</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Likme laikposmā no 2014.gada 1.janvāra līdz 2014.gada 31.decembrim</w:t>
            </w:r>
            <w:r w:rsidRPr="009E63A5">
              <w:rPr>
                <w:rFonts w:eastAsia="Times New Roman"/>
                <w:sz w:val="22"/>
                <w:lang w:eastAsia="lv-LV"/>
              </w:rPr>
              <w:br/>
              <w:t>(</w:t>
            </w:r>
            <w:r w:rsidRPr="009E63A5">
              <w:rPr>
                <w:rFonts w:eastAsia="Times New Roman"/>
                <w:i/>
                <w:iCs/>
                <w:sz w:val="22"/>
                <w:lang w:eastAsia="lv-LV"/>
              </w:rPr>
              <w:t>euro</w:t>
            </w:r>
            <w:r w:rsidRPr="009E63A5">
              <w:rPr>
                <w:rFonts w:eastAsia="Times New Roman"/>
                <w:sz w:val="22"/>
                <w:lang w:eastAsia="lv-LV"/>
              </w:rPr>
              <w:t>)</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Likme laikposmā no 2015.gada 1.janvāra līdz 2015.gada 31.decembrim</w:t>
            </w:r>
            <w:r w:rsidRPr="009E63A5">
              <w:rPr>
                <w:rFonts w:eastAsia="Times New Roman"/>
                <w:sz w:val="22"/>
                <w:lang w:eastAsia="lv-LV"/>
              </w:rPr>
              <w:br/>
              <w:t>(</w:t>
            </w:r>
            <w:r w:rsidRPr="009E63A5">
              <w:rPr>
                <w:rFonts w:eastAsia="Times New Roman"/>
                <w:i/>
                <w:iCs/>
                <w:sz w:val="22"/>
                <w:lang w:eastAsia="lv-LV"/>
              </w:rPr>
              <w:t>euro</w:t>
            </w:r>
            <w:r w:rsidRPr="009E63A5">
              <w:rPr>
                <w:rFonts w:eastAsia="Times New Roman"/>
                <w:sz w:val="22"/>
                <w:lang w:eastAsia="lv-LV"/>
              </w:rPr>
              <w:t>)</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Likme laikposmā no 2016.gada 1.janvāra līdz 2016.gada 31.decembrim</w:t>
            </w:r>
            <w:r w:rsidRPr="009E63A5">
              <w:rPr>
                <w:rFonts w:eastAsia="Times New Roman"/>
                <w:sz w:val="22"/>
                <w:lang w:eastAsia="lv-LV"/>
              </w:rPr>
              <w:br/>
              <w:t>(</w:t>
            </w:r>
            <w:r w:rsidRPr="009E63A5">
              <w:rPr>
                <w:rFonts w:eastAsia="Times New Roman"/>
                <w:i/>
                <w:iCs/>
                <w:sz w:val="22"/>
                <w:lang w:eastAsia="lv-LV"/>
              </w:rPr>
              <w:t>euro</w:t>
            </w:r>
            <w:r w:rsidRPr="009E63A5">
              <w:rPr>
                <w:rFonts w:eastAsia="Times New Roman"/>
                <w:sz w:val="22"/>
                <w:lang w:eastAsia="lv-LV"/>
              </w:rPr>
              <w:t>)</w:t>
            </w:r>
          </w:p>
        </w:tc>
        <w:tc>
          <w:tcPr>
            <w:tcW w:w="699"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Likme no 2017.gada 1.janvāra</w:t>
            </w:r>
            <w:r w:rsidRPr="009E63A5">
              <w:rPr>
                <w:rFonts w:eastAsia="Times New Roman"/>
                <w:sz w:val="22"/>
                <w:lang w:eastAsia="lv-LV"/>
              </w:rPr>
              <w:br/>
              <w:t>(</w:t>
            </w:r>
            <w:r w:rsidRPr="009E63A5">
              <w:rPr>
                <w:rFonts w:eastAsia="Times New Roman"/>
                <w:i/>
                <w:iCs/>
                <w:sz w:val="22"/>
                <w:lang w:eastAsia="lv-LV"/>
              </w:rPr>
              <w:t>euro</w:t>
            </w:r>
            <w:r w:rsidRPr="009E63A5">
              <w:rPr>
                <w:rFonts w:eastAsia="Times New Roman"/>
                <w:sz w:val="22"/>
                <w:lang w:eastAsia="lv-LV"/>
              </w:rPr>
              <w:t>)</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Augsne</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0,43</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0,86</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2.</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Smilšmāls un mālsmilts, aleirīts</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3.</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Kvarca smilts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0,45</w:t>
            </w:r>
          </w:p>
        </w:tc>
        <w:tc>
          <w:tcPr>
            <w:tcW w:w="88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0,45</w:t>
            </w:r>
          </w:p>
        </w:tc>
        <w:tc>
          <w:tcPr>
            <w:tcW w:w="88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0,45</w:t>
            </w:r>
          </w:p>
        </w:tc>
        <w:tc>
          <w:tcPr>
            <w:tcW w:w="699" w:type="pct"/>
            <w:tcBorders>
              <w:top w:val="outset" w:sz="6" w:space="0" w:color="auto"/>
              <w:left w:val="outset" w:sz="6" w:space="0" w:color="auto"/>
              <w:bottom w:val="outset" w:sz="6" w:space="0" w:color="auto"/>
              <w:right w:val="outset" w:sz="6" w:space="0" w:color="auto"/>
            </w:tcBorders>
            <w:shd w:val="clear" w:color="auto" w:fill="FFFFFF"/>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0,45</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4.</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Smilts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5.</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Smilts-grants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6.</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Māls, citi mālainie ieži būvmateriālu ražošanai</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7.</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Dekoratīvais (apdares) dolomīts</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0,36</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0,45</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8.</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Dolomīts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0,21</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9.</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Kaļķakmens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0,28</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0,28</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0,28</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0,28</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10.</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Saldūdens kaļķieži (irdenie un gabalainie)</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0,18</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11.</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Šūnakmens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1,42</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1,42</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1,42</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1,78</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12.</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Ģipšakmens</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0,54</w:t>
            </w:r>
          </w:p>
        </w:tc>
        <w:tc>
          <w:tcPr>
            <w:tcW w:w="88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0,57</w:t>
            </w:r>
          </w:p>
        </w:tc>
        <w:tc>
          <w:tcPr>
            <w:tcW w:w="88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0,60</w:t>
            </w:r>
          </w:p>
        </w:tc>
        <w:tc>
          <w:tcPr>
            <w:tcW w:w="699" w:type="pct"/>
            <w:tcBorders>
              <w:top w:val="outset" w:sz="6" w:space="0" w:color="auto"/>
              <w:left w:val="outset" w:sz="6" w:space="0" w:color="auto"/>
              <w:bottom w:val="outset" w:sz="6" w:space="0" w:color="auto"/>
              <w:right w:val="outset" w:sz="6" w:space="0" w:color="auto"/>
            </w:tcBorders>
            <w:shd w:val="clear" w:color="auto" w:fill="FFFFFF"/>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0,60</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13.</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Laukakmeņi</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0,57</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0,57</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0,57</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0,57</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14.</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Krāsu zeme</w:t>
            </w:r>
          </w:p>
        </w:tc>
        <w:tc>
          <w:tcPr>
            <w:tcW w:w="440"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m</w:t>
            </w:r>
            <w:r w:rsidRPr="009E63A5">
              <w:rPr>
                <w:rFonts w:eastAsia="Times New Roman"/>
                <w:sz w:val="22"/>
                <w:vertAlign w:val="superscript"/>
                <w:lang w:eastAsia="lv-LV"/>
              </w:rPr>
              <w:t>3</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0,18</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15.</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Kūdra (mitrums – 40%)</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tonna</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0,55</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0,55</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0,55</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0,55</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16.</w:t>
            </w:r>
          </w:p>
        </w:tc>
        <w:tc>
          <w:tcPr>
            <w:tcW w:w="883" w:type="pct"/>
            <w:tcBorders>
              <w:top w:val="outset" w:sz="6" w:space="0" w:color="auto"/>
              <w:left w:val="outset" w:sz="6" w:space="0" w:color="auto"/>
              <w:bottom w:val="outset" w:sz="6" w:space="0" w:color="auto"/>
              <w:right w:val="outset" w:sz="6" w:space="0" w:color="auto"/>
            </w:tcBorders>
            <w:hideMark/>
          </w:tcPr>
          <w:p w:rsidR="009E63A5" w:rsidRDefault="009E63A5" w:rsidP="009E63A5">
            <w:pPr>
              <w:rPr>
                <w:rFonts w:eastAsia="Times New Roman"/>
                <w:sz w:val="22"/>
                <w:lang w:eastAsia="lv-LV"/>
              </w:rPr>
            </w:pPr>
            <w:r w:rsidRPr="009E63A5">
              <w:rPr>
                <w:rFonts w:eastAsia="Times New Roman"/>
                <w:sz w:val="22"/>
                <w:lang w:eastAsia="lv-LV"/>
              </w:rPr>
              <w:t xml:space="preserve">Sapropelis organogēns (aļģu un zoogēns-aļģu) un organogēns kaļķis ar pelnainību </w:t>
            </w:r>
          </w:p>
          <w:p w:rsidR="009E63A5" w:rsidRPr="009E63A5" w:rsidRDefault="009E63A5" w:rsidP="009E63A5">
            <w:pPr>
              <w:rPr>
                <w:rFonts w:eastAsia="Times New Roman"/>
                <w:sz w:val="22"/>
                <w:lang w:eastAsia="lv-LV"/>
              </w:rPr>
            </w:pPr>
            <w:r w:rsidRPr="009E63A5">
              <w:rPr>
                <w:rFonts w:eastAsia="Times New Roman"/>
                <w:sz w:val="22"/>
                <w:lang w:eastAsia="lv-LV"/>
              </w:rPr>
              <w:t>&lt; 30% (mitrums – 60%)</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tonna</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0,71</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0,71</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0,71</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0,90</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17.</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Pārējais sapropelis (mitrums – 60%)</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tonna</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0,14</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0,18</w:t>
            </w:r>
          </w:p>
        </w:tc>
      </w:tr>
      <w:tr w:rsidR="009E63A5" w:rsidRPr="009E63A5" w:rsidTr="009E63A5">
        <w:trPr>
          <w:tblCellSpacing w:w="15" w:type="dxa"/>
        </w:trPr>
        <w:tc>
          <w:tcPr>
            <w:tcW w:w="252"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18.</w:t>
            </w:r>
          </w:p>
        </w:tc>
        <w:tc>
          <w:tcPr>
            <w:tcW w:w="883" w:type="pct"/>
            <w:tcBorders>
              <w:top w:val="outset" w:sz="6" w:space="0" w:color="auto"/>
              <w:left w:val="outset" w:sz="6" w:space="0" w:color="auto"/>
              <w:bottom w:val="outset" w:sz="6" w:space="0" w:color="auto"/>
              <w:right w:val="outset" w:sz="6" w:space="0" w:color="auto"/>
            </w:tcBorders>
            <w:hideMark/>
          </w:tcPr>
          <w:p w:rsidR="009E63A5" w:rsidRPr="009E63A5" w:rsidRDefault="009E63A5" w:rsidP="009E63A5">
            <w:pPr>
              <w:rPr>
                <w:rFonts w:eastAsia="Times New Roman"/>
                <w:sz w:val="22"/>
                <w:lang w:eastAsia="lv-LV"/>
              </w:rPr>
            </w:pPr>
            <w:r w:rsidRPr="009E63A5">
              <w:rPr>
                <w:rFonts w:eastAsia="Times New Roman"/>
                <w:sz w:val="22"/>
                <w:lang w:eastAsia="lv-LV"/>
              </w:rPr>
              <w:t>Visu veidu dziednieciskās dūņas</w:t>
            </w:r>
          </w:p>
        </w:tc>
        <w:tc>
          <w:tcPr>
            <w:tcW w:w="440"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tonna</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0,71</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0,71</w:t>
            </w:r>
          </w:p>
        </w:tc>
        <w:tc>
          <w:tcPr>
            <w:tcW w:w="882" w:type="pct"/>
            <w:tcBorders>
              <w:top w:val="outset" w:sz="6" w:space="0" w:color="auto"/>
              <w:left w:val="outset" w:sz="6" w:space="0" w:color="auto"/>
              <w:bottom w:val="outset" w:sz="6" w:space="0" w:color="auto"/>
              <w:right w:val="outset" w:sz="6" w:space="0" w:color="auto"/>
            </w:tcBorders>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0,71</w:t>
            </w:r>
          </w:p>
        </w:tc>
        <w:tc>
          <w:tcPr>
            <w:tcW w:w="69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9E63A5" w:rsidRPr="009E63A5" w:rsidRDefault="009E63A5" w:rsidP="009E63A5">
            <w:pPr>
              <w:jc w:val="center"/>
              <w:rPr>
                <w:rFonts w:eastAsia="Times New Roman"/>
                <w:sz w:val="22"/>
                <w:lang w:eastAsia="lv-LV"/>
              </w:rPr>
            </w:pPr>
            <w:r w:rsidRPr="009E63A5">
              <w:rPr>
                <w:rFonts w:eastAsia="Times New Roman"/>
                <w:sz w:val="22"/>
                <w:lang w:eastAsia="lv-LV"/>
              </w:rPr>
              <w:t>0,90</w:t>
            </w:r>
          </w:p>
        </w:tc>
      </w:tr>
    </w:tbl>
    <w:p w:rsidR="009E63A5" w:rsidRDefault="009E63A5">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6C4F1C" w:rsidRPr="00A664D2" w:rsidTr="006C4F1C">
        <w:tc>
          <w:tcPr>
            <w:tcW w:w="3969" w:type="dxa"/>
            <w:shd w:val="clear" w:color="auto" w:fill="auto"/>
          </w:tcPr>
          <w:p w:rsidR="006C4F1C" w:rsidRPr="00A664D2" w:rsidRDefault="006C4F1C" w:rsidP="00163800">
            <w:pPr>
              <w:jc w:val="center"/>
              <w:rPr>
                <w:b/>
                <w:bCs/>
                <w:iCs/>
              </w:rPr>
            </w:pPr>
            <w:r w:rsidRPr="00A664D2">
              <w:rPr>
                <w:b/>
                <w:bCs/>
                <w:iCs/>
              </w:rPr>
              <w:t>Spēkā esošā redakcija</w:t>
            </w:r>
          </w:p>
        </w:tc>
        <w:tc>
          <w:tcPr>
            <w:tcW w:w="3969" w:type="dxa"/>
          </w:tcPr>
          <w:p w:rsidR="006C4F1C" w:rsidRPr="00A664D2" w:rsidRDefault="006C4F1C" w:rsidP="00163800">
            <w:pPr>
              <w:jc w:val="center"/>
              <w:rPr>
                <w:b/>
              </w:rPr>
            </w:pPr>
            <w:r>
              <w:rPr>
                <w:b/>
              </w:rPr>
              <w:t>Pirmā lasījuma redakcija</w:t>
            </w:r>
          </w:p>
        </w:tc>
        <w:tc>
          <w:tcPr>
            <w:tcW w:w="567" w:type="dxa"/>
          </w:tcPr>
          <w:p w:rsidR="006C4F1C" w:rsidRPr="009C0B94" w:rsidRDefault="006C4F1C" w:rsidP="009C0B94">
            <w:pPr>
              <w:jc w:val="center"/>
              <w:rPr>
                <w:b/>
              </w:rPr>
            </w:pPr>
            <w:r w:rsidRPr="009C0B94">
              <w:rPr>
                <w:b/>
              </w:rPr>
              <w:t>Nr.</w:t>
            </w:r>
          </w:p>
        </w:tc>
        <w:tc>
          <w:tcPr>
            <w:tcW w:w="3969" w:type="dxa"/>
          </w:tcPr>
          <w:p w:rsidR="006C4F1C" w:rsidRDefault="006C4F1C" w:rsidP="00163800">
            <w:pPr>
              <w:jc w:val="center"/>
              <w:rPr>
                <w:b/>
              </w:rPr>
            </w:pPr>
            <w:r>
              <w:rPr>
                <w:b/>
              </w:rPr>
              <w:t>Priekšlikumi</w:t>
            </w:r>
          </w:p>
          <w:p w:rsidR="006C4F1C" w:rsidRPr="001B3F41" w:rsidRDefault="006C4F1C" w:rsidP="00163800">
            <w:pPr>
              <w:jc w:val="center"/>
              <w:rPr>
                <w:b/>
              </w:rPr>
            </w:pPr>
            <w:r>
              <w:rPr>
                <w:b/>
              </w:rPr>
              <w:t>(</w:t>
            </w:r>
            <w:r w:rsidR="00323DED">
              <w:rPr>
                <w:b/>
              </w:rPr>
              <w:t>22</w:t>
            </w:r>
            <w:r>
              <w:rPr>
                <w:b/>
              </w:rPr>
              <w:t>)</w:t>
            </w:r>
          </w:p>
        </w:tc>
        <w:tc>
          <w:tcPr>
            <w:tcW w:w="1418" w:type="dxa"/>
          </w:tcPr>
          <w:p w:rsidR="006C4F1C" w:rsidRPr="001B3F41" w:rsidRDefault="006C4F1C" w:rsidP="00163800">
            <w:pPr>
              <w:jc w:val="center"/>
              <w:rPr>
                <w:b/>
              </w:rPr>
            </w:pPr>
            <w:r>
              <w:rPr>
                <w:b/>
              </w:rPr>
              <w:t>Ministru kabineta atzinums</w:t>
            </w:r>
          </w:p>
        </w:tc>
        <w:tc>
          <w:tcPr>
            <w:tcW w:w="1418" w:type="dxa"/>
          </w:tcPr>
          <w:p w:rsidR="006C4F1C" w:rsidRPr="001B3F41" w:rsidRDefault="006C4F1C" w:rsidP="00163800">
            <w:pPr>
              <w:jc w:val="center"/>
              <w:rPr>
                <w:b/>
              </w:rPr>
            </w:pPr>
            <w:r>
              <w:rPr>
                <w:b/>
              </w:rPr>
              <w:t>Komisijas atzinums</w:t>
            </w:r>
          </w:p>
        </w:tc>
      </w:tr>
      <w:tr w:rsidR="006C4F1C" w:rsidRPr="00A664D2" w:rsidTr="006C4F1C">
        <w:tc>
          <w:tcPr>
            <w:tcW w:w="3969" w:type="dxa"/>
            <w:shd w:val="clear" w:color="auto" w:fill="auto"/>
          </w:tcPr>
          <w:p w:rsidR="006C4F1C" w:rsidRPr="00A664D2" w:rsidRDefault="006C4F1C" w:rsidP="00163800">
            <w:pPr>
              <w:ind w:firstLine="567"/>
              <w:jc w:val="both"/>
              <w:rPr>
                <w:bCs/>
                <w:iCs/>
                <w:sz w:val="22"/>
              </w:rPr>
            </w:pPr>
          </w:p>
        </w:tc>
        <w:tc>
          <w:tcPr>
            <w:tcW w:w="3969" w:type="dxa"/>
          </w:tcPr>
          <w:p w:rsidR="006C4F1C" w:rsidRPr="006B28C8" w:rsidRDefault="006C4F1C" w:rsidP="00261CD0">
            <w:pPr>
              <w:ind w:firstLine="567"/>
              <w:jc w:val="both"/>
              <w:rPr>
                <w:sz w:val="22"/>
              </w:rPr>
            </w:pPr>
            <w:r w:rsidRPr="006B28C8">
              <w:rPr>
                <w:sz w:val="22"/>
              </w:rPr>
              <w:t>7. Izteikt 4. pielikuma tabulu šādā redakcijā:</w:t>
            </w:r>
          </w:p>
          <w:p w:rsidR="006C4F1C" w:rsidRPr="006B28C8" w:rsidRDefault="006C4F1C" w:rsidP="00261CD0">
            <w:pPr>
              <w:ind w:firstLine="567"/>
              <w:jc w:val="both"/>
              <w:rPr>
                <w:b/>
                <w:sz w:val="22"/>
              </w:rPr>
            </w:pPr>
            <w:r w:rsidRPr="006B28C8">
              <w:rPr>
                <w:sz w:val="22"/>
              </w:rPr>
              <w:t>"</w:t>
            </w:r>
            <w:r w:rsidRPr="006B28C8">
              <w:rPr>
                <w:b/>
                <w:sz w:val="22"/>
              </w:rPr>
              <w:t>Nodokļa likmes par gaisa piesārņošanu</w:t>
            </w:r>
          </w:p>
          <w:p w:rsidR="006C4F1C" w:rsidRPr="006B28C8" w:rsidRDefault="006C4F1C" w:rsidP="00261CD0">
            <w:pPr>
              <w:ind w:firstLine="567"/>
              <w:jc w:val="both"/>
              <w:rPr>
                <w:sz w:val="22"/>
              </w:rPr>
            </w:pPr>
          </w:p>
          <w:p w:rsidR="009C0B94" w:rsidRDefault="009C0B94" w:rsidP="00261CD0">
            <w:pPr>
              <w:ind w:firstLine="567"/>
              <w:jc w:val="both"/>
              <w:rPr>
                <w:rFonts w:eastAsia="Times New Roman"/>
                <w:b/>
                <w:bCs/>
                <w:i/>
                <w:color w:val="000000"/>
                <w:sz w:val="22"/>
                <w:lang w:eastAsia="lv-LV"/>
              </w:rPr>
            </w:pPr>
          </w:p>
          <w:p w:rsidR="009C0B94" w:rsidRDefault="009C0B94" w:rsidP="00261CD0">
            <w:pPr>
              <w:ind w:firstLine="567"/>
              <w:jc w:val="both"/>
              <w:rPr>
                <w:rFonts w:eastAsia="Times New Roman"/>
                <w:b/>
                <w:bCs/>
                <w:i/>
                <w:color w:val="000000"/>
                <w:sz w:val="22"/>
                <w:lang w:eastAsia="lv-LV"/>
              </w:rPr>
            </w:pPr>
          </w:p>
          <w:p w:rsidR="009C0B94" w:rsidRDefault="009C0B94" w:rsidP="00261CD0">
            <w:pPr>
              <w:ind w:firstLine="567"/>
              <w:jc w:val="both"/>
              <w:rPr>
                <w:rFonts w:eastAsia="Times New Roman"/>
                <w:b/>
                <w:bCs/>
                <w:i/>
                <w:color w:val="000000"/>
                <w:sz w:val="22"/>
                <w:lang w:eastAsia="lv-LV"/>
              </w:rPr>
            </w:pPr>
          </w:p>
          <w:p w:rsidR="009C0B94" w:rsidRDefault="009C0B94" w:rsidP="00261CD0">
            <w:pPr>
              <w:ind w:firstLine="567"/>
              <w:jc w:val="both"/>
              <w:rPr>
                <w:rFonts w:eastAsia="Times New Roman"/>
                <w:b/>
                <w:bCs/>
                <w:i/>
                <w:color w:val="000000"/>
                <w:sz w:val="22"/>
                <w:lang w:eastAsia="lv-LV"/>
              </w:rPr>
            </w:pPr>
          </w:p>
          <w:p w:rsidR="006C4F1C" w:rsidRPr="006B28C8" w:rsidRDefault="006C4F1C" w:rsidP="00261CD0">
            <w:pPr>
              <w:ind w:firstLine="567"/>
              <w:jc w:val="both"/>
              <w:rPr>
                <w:rFonts w:eastAsia="Times New Roman"/>
                <w:b/>
                <w:bCs/>
                <w:color w:val="000000"/>
                <w:sz w:val="22"/>
                <w:lang w:eastAsia="lv-LV"/>
              </w:rPr>
            </w:pPr>
            <w:r w:rsidRPr="006B28C8">
              <w:rPr>
                <w:rFonts w:eastAsia="Times New Roman"/>
                <w:b/>
                <w:bCs/>
                <w:i/>
                <w:color w:val="000000"/>
                <w:sz w:val="22"/>
                <w:lang w:eastAsia="lv-LV"/>
              </w:rPr>
              <w:t xml:space="preserve">ailes turpinājums </w:t>
            </w:r>
            <w:r w:rsidRPr="006B28C8">
              <w:rPr>
                <w:rFonts w:eastAsia="Times New Roman"/>
                <w:b/>
                <w:bCs/>
                <w:color w:val="000000"/>
                <w:sz w:val="22"/>
                <w:lang w:eastAsia="lv-LV"/>
              </w:rPr>
              <w:t>↓↓↓</w:t>
            </w:r>
          </w:p>
          <w:p w:rsidR="006C4F1C" w:rsidRPr="00261CD0" w:rsidRDefault="006C4F1C" w:rsidP="00261CD0">
            <w:pPr>
              <w:ind w:firstLine="567"/>
              <w:jc w:val="both"/>
            </w:pPr>
          </w:p>
        </w:tc>
        <w:tc>
          <w:tcPr>
            <w:tcW w:w="567" w:type="dxa"/>
          </w:tcPr>
          <w:p w:rsidR="006C4F1C" w:rsidRDefault="009C0B94" w:rsidP="009C0B94">
            <w:pPr>
              <w:jc w:val="center"/>
              <w:rPr>
                <w:b/>
                <w:sz w:val="22"/>
              </w:rPr>
            </w:pPr>
            <w:r>
              <w:rPr>
                <w:b/>
                <w:sz w:val="22"/>
              </w:rPr>
              <w:t>20</w:t>
            </w:r>
          </w:p>
          <w:p w:rsidR="009C0B94" w:rsidRDefault="009C0B94" w:rsidP="009C0B94">
            <w:pPr>
              <w:jc w:val="center"/>
              <w:rPr>
                <w:b/>
                <w:sz w:val="22"/>
              </w:rPr>
            </w:pPr>
          </w:p>
          <w:p w:rsidR="009C0B94" w:rsidRDefault="009C0B94" w:rsidP="009C0B94">
            <w:pPr>
              <w:jc w:val="center"/>
              <w:rPr>
                <w:b/>
                <w:sz w:val="22"/>
              </w:rPr>
            </w:pPr>
          </w:p>
          <w:p w:rsidR="009C0B94" w:rsidRDefault="009C0B94" w:rsidP="009C0B94">
            <w:pPr>
              <w:jc w:val="center"/>
              <w:rPr>
                <w:b/>
                <w:sz w:val="22"/>
              </w:rPr>
            </w:pPr>
          </w:p>
          <w:p w:rsidR="009C0B94" w:rsidRDefault="009C0B94" w:rsidP="009C0B94">
            <w:pPr>
              <w:jc w:val="center"/>
              <w:rPr>
                <w:b/>
                <w:sz w:val="22"/>
              </w:rPr>
            </w:pPr>
          </w:p>
          <w:p w:rsidR="009C0B94" w:rsidRPr="009C0B94" w:rsidRDefault="009C0B94" w:rsidP="009C0B94">
            <w:pPr>
              <w:jc w:val="center"/>
              <w:rPr>
                <w:b/>
                <w:sz w:val="22"/>
              </w:rPr>
            </w:pPr>
            <w:r>
              <w:rPr>
                <w:b/>
                <w:sz w:val="22"/>
              </w:rPr>
              <w:t>21</w:t>
            </w:r>
          </w:p>
        </w:tc>
        <w:tc>
          <w:tcPr>
            <w:tcW w:w="3969" w:type="dxa"/>
          </w:tcPr>
          <w:p w:rsidR="00CA79EA" w:rsidRPr="00AF49E4" w:rsidRDefault="00CA79EA" w:rsidP="00CA79EA">
            <w:pPr>
              <w:ind w:firstLine="567"/>
              <w:jc w:val="both"/>
              <w:rPr>
                <w:rFonts w:eastAsia="Times New Roman"/>
                <w:b/>
                <w:iCs/>
                <w:color w:val="000000"/>
                <w:sz w:val="22"/>
                <w:u w:val="single"/>
                <w:lang w:eastAsia="lv-LV"/>
              </w:rPr>
            </w:pPr>
            <w:r w:rsidRPr="00AF49E4">
              <w:rPr>
                <w:rFonts w:eastAsia="Times New Roman"/>
                <w:b/>
                <w:iCs/>
                <w:color w:val="000000"/>
                <w:sz w:val="22"/>
                <w:u w:val="single"/>
                <w:lang w:eastAsia="lv-LV"/>
              </w:rPr>
              <w:t>Zaļo un Zemnieku savienības frakcija</w:t>
            </w:r>
          </w:p>
          <w:p w:rsidR="00CA79EA" w:rsidRPr="00E373BB" w:rsidRDefault="00E373BB" w:rsidP="00261CD0">
            <w:pPr>
              <w:ind w:firstLine="567"/>
              <w:jc w:val="both"/>
              <w:rPr>
                <w:rFonts w:eastAsia="Times New Roman"/>
                <w:iCs/>
                <w:color w:val="000000"/>
                <w:sz w:val="22"/>
                <w:lang w:eastAsia="lv-LV"/>
              </w:rPr>
            </w:pPr>
            <w:r w:rsidRPr="00E373BB">
              <w:rPr>
                <w:rFonts w:eastAsia="Times New Roman"/>
                <w:iCs/>
                <w:color w:val="000000"/>
                <w:sz w:val="22"/>
                <w:lang w:eastAsia="lv-LV"/>
              </w:rPr>
              <w:t>Izslēgt likumprojekta 7.</w:t>
            </w:r>
            <w:r w:rsidR="00602AB8">
              <w:rPr>
                <w:rFonts w:eastAsia="Times New Roman"/>
                <w:iCs/>
                <w:color w:val="000000"/>
                <w:sz w:val="22"/>
                <w:lang w:eastAsia="lv-LV"/>
              </w:rPr>
              <w:t xml:space="preserve"> </w:t>
            </w:r>
            <w:r w:rsidRPr="00E373BB">
              <w:rPr>
                <w:rFonts w:eastAsia="Times New Roman"/>
                <w:iCs/>
                <w:color w:val="000000"/>
                <w:sz w:val="22"/>
                <w:lang w:eastAsia="lv-LV"/>
              </w:rPr>
              <w:t>pantu, kas groza 4.pielikuma tabulu.</w:t>
            </w:r>
          </w:p>
          <w:p w:rsidR="00CA79EA" w:rsidRDefault="00CA79EA" w:rsidP="00261CD0">
            <w:pPr>
              <w:ind w:firstLine="567"/>
              <w:jc w:val="both"/>
              <w:rPr>
                <w:rFonts w:eastAsia="Times New Roman"/>
                <w:b/>
                <w:iCs/>
                <w:color w:val="000000"/>
                <w:sz w:val="22"/>
                <w:u w:val="single"/>
                <w:lang w:eastAsia="lv-LV"/>
              </w:rPr>
            </w:pPr>
          </w:p>
          <w:p w:rsidR="006C4F1C" w:rsidRDefault="002D78C8" w:rsidP="00261CD0">
            <w:pPr>
              <w:ind w:firstLine="567"/>
              <w:jc w:val="both"/>
              <w:rPr>
                <w:rFonts w:eastAsia="Times New Roman"/>
                <w:b/>
                <w:iCs/>
                <w:color w:val="000000"/>
                <w:sz w:val="22"/>
                <w:u w:val="single"/>
                <w:lang w:eastAsia="lv-LV"/>
              </w:rPr>
            </w:pPr>
            <w:r>
              <w:rPr>
                <w:rFonts w:eastAsia="Times New Roman"/>
                <w:b/>
                <w:iCs/>
                <w:color w:val="000000"/>
                <w:sz w:val="22"/>
                <w:u w:val="single"/>
                <w:lang w:eastAsia="lv-LV"/>
              </w:rPr>
              <w:t>Juridiskais birojs</w:t>
            </w:r>
          </w:p>
          <w:p w:rsidR="002D78C8" w:rsidRPr="005B64C6" w:rsidRDefault="005B64C6" w:rsidP="00261CD0">
            <w:pPr>
              <w:ind w:firstLine="567"/>
              <w:jc w:val="both"/>
              <w:rPr>
                <w:sz w:val="22"/>
              </w:rPr>
            </w:pPr>
            <w:r w:rsidRPr="005B64C6">
              <w:rPr>
                <w:sz w:val="22"/>
              </w:rPr>
              <w:t>Ierosinām likuma 4. pielikuma tabulā (likumprojekta 7. pants) ailes “Likme līdz 2019. gada 31. decembrim (</w:t>
            </w:r>
            <w:r w:rsidRPr="005B64C6">
              <w:rPr>
                <w:i/>
                <w:sz w:val="22"/>
              </w:rPr>
              <w:t>euro</w:t>
            </w:r>
            <w:r w:rsidRPr="005B64C6">
              <w:rPr>
                <w:sz w:val="22"/>
              </w:rPr>
              <w:t>)” nosaukumu izteikt šādā redakcijā: “Likme laikposmā no 2019. gada 1. janvāra līdz 2019. gada 31. decembrim”.</w:t>
            </w:r>
          </w:p>
        </w:tc>
        <w:tc>
          <w:tcPr>
            <w:tcW w:w="1418" w:type="dxa"/>
          </w:tcPr>
          <w:p w:rsidR="006C4F1C" w:rsidRPr="006B28C8" w:rsidRDefault="006C4F1C" w:rsidP="00261CD0">
            <w:pPr>
              <w:ind w:firstLine="567"/>
              <w:jc w:val="both"/>
              <w:rPr>
                <w:sz w:val="22"/>
              </w:rPr>
            </w:pPr>
          </w:p>
        </w:tc>
        <w:tc>
          <w:tcPr>
            <w:tcW w:w="1418" w:type="dxa"/>
          </w:tcPr>
          <w:p w:rsidR="006C4F1C" w:rsidRPr="006B28C8" w:rsidRDefault="006C4F1C" w:rsidP="00261CD0">
            <w:pPr>
              <w:ind w:firstLine="567"/>
              <w:jc w:val="both"/>
              <w:rPr>
                <w:sz w:val="22"/>
              </w:rPr>
            </w:pPr>
          </w:p>
        </w:tc>
      </w:tr>
    </w:tbl>
    <w:p w:rsidR="00261CD0" w:rsidRDefault="00261CD0">
      <w:pPr>
        <w:rPr>
          <w:sz w:val="22"/>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1035"/>
        <w:gridCol w:w="5051"/>
        <w:gridCol w:w="1161"/>
        <w:gridCol w:w="1851"/>
        <w:gridCol w:w="2084"/>
        <w:gridCol w:w="2087"/>
        <w:gridCol w:w="1851"/>
      </w:tblGrid>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noWrap/>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Nr.</w:t>
            </w:r>
          </w:p>
          <w:p w:rsidR="00145D0D" w:rsidRPr="00145D0D" w:rsidRDefault="00145D0D" w:rsidP="00163800">
            <w:pPr>
              <w:jc w:val="center"/>
              <w:rPr>
                <w:rFonts w:eastAsia="Times New Roman"/>
                <w:sz w:val="22"/>
                <w:lang w:eastAsia="lv-LV"/>
              </w:rPr>
            </w:pPr>
            <w:r w:rsidRPr="00145D0D">
              <w:rPr>
                <w:rFonts w:eastAsia="Times New Roman"/>
                <w:sz w:val="22"/>
                <w:lang w:eastAsia="lv-LV"/>
              </w:rPr>
              <w:t>p. k.</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Emisijas klasifikācija</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Mēr</w:t>
            </w:r>
            <w:r w:rsidRPr="00145D0D">
              <w:rPr>
                <w:rFonts w:eastAsia="Times New Roman"/>
                <w:sz w:val="22"/>
                <w:lang w:eastAsia="lv-LV"/>
              </w:rPr>
              <w:softHyphen/>
              <w:t>vienī</w:t>
            </w:r>
            <w:r w:rsidRPr="00145D0D">
              <w:rPr>
                <w:rFonts w:eastAsia="Times New Roman"/>
                <w:sz w:val="22"/>
                <w:lang w:eastAsia="lv-LV"/>
              </w:rPr>
              <w:softHyphen/>
              <w:t>ba</w:t>
            </w:r>
          </w:p>
        </w:tc>
        <w:tc>
          <w:tcPr>
            <w:tcW w:w="612" w:type="pct"/>
            <w:tcBorders>
              <w:top w:val="outset" w:sz="6" w:space="0" w:color="414142"/>
              <w:left w:val="outset" w:sz="6" w:space="0" w:color="414142"/>
              <w:bottom w:val="outset" w:sz="6" w:space="0" w:color="414142"/>
              <w:right w:val="outset" w:sz="6" w:space="0" w:color="414142"/>
            </w:tcBorders>
            <w:vAlign w:val="center"/>
            <w:hideMark/>
          </w:tcPr>
          <w:p w:rsidR="00145D0D" w:rsidRPr="002D78C8" w:rsidRDefault="00145D0D" w:rsidP="00163800">
            <w:pPr>
              <w:jc w:val="center"/>
              <w:rPr>
                <w:rFonts w:eastAsia="Times New Roman"/>
                <w:sz w:val="22"/>
                <w:u w:val="single"/>
                <w:lang w:eastAsia="lv-LV"/>
              </w:rPr>
            </w:pPr>
            <w:r w:rsidRPr="002D78C8">
              <w:rPr>
                <w:rFonts w:eastAsia="Times New Roman"/>
                <w:sz w:val="22"/>
                <w:u w:val="single"/>
                <w:lang w:eastAsia="lv-LV"/>
              </w:rPr>
              <w:t>Likme līdz 2019. gada 31. de</w:t>
            </w:r>
            <w:r w:rsidRPr="002D78C8">
              <w:rPr>
                <w:rFonts w:eastAsia="Times New Roman"/>
                <w:sz w:val="22"/>
                <w:u w:val="single"/>
                <w:lang w:eastAsia="lv-LV"/>
              </w:rPr>
              <w:softHyphen/>
              <w:t>cembrim</w:t>
            </w:r>
            <w:r w:rsidRPr="002D78C8">
              <w:rPr>
                <w:rFonts w:eastAsia="Times New Roman"/>
                <w:sz w:val="22"/>
                <w:u w:val="single"/>
                <w:lang w:eastAsia="lv-LV"/>
              </w:rPr>
              <w:br/>
              <w:t>(</w:t>
            </w:r>
            <w:r w:rsidRPr="002D78C8">
              <w:rPr>
                <w:rFonts w:eastAsia="Times New Roman"/>
                <w:i/>
                <w:iCs/>
                <w:sz w:val="22"/>
                <w:u w:val="single"/>
                <w:lang w:eastAsia="lv-LV"/>
              </w:rPr>
              <w:t>euro</w:t>
            </w:r>
            <w:r w:rsidRPr="002D78C8">
              <w:rPr>
                <w:rFonts w:eastAsia="Times New Roman"/>
                <w:sz w:val="22"/>
                <w:u w:val="single"/>
                <w:lang w:eastAsia="lv-LV"/>
              </w:rPr>
              <w:t>)</w:t>
            </w:r>
          </w:p>
        </w:tc>
        <w:tc>
          <w:tcPr>
            <w:tcW w:w="689" w:type="pct"/>
            <w:tcBorders>
              <w:top w:val="outset" w:sz="6" w:space="0" w:color="414142"/>
              <w:left w:val="outset" w:sz="6" w:space="0" w:color="414142"/>
              <w:bottom w:val="outset" w:sz="6" w:space="0" w:color="414142"/>
              <w:right w:val="outset" w:sz="6" w:space="0" w:color="414142"/>
            </w:tcBorders>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Likme laikposmā no 2020.</w:t>
            </w:r>
            <w:r w:rsidRPr="00145D0D">
              <w:rPr>
                <w:rFonts w:eastAsia="Times New Roman"/>
                <w:sz w:val="22"/>
                <w:lang w:val="es-ES" w:eastAsia="lv-LV"/>
              </w:rPr>
              <w:t> </w:t>
            </w:r>
            <w:r w:rsidRPr="00145D0D">
              <w:rPr>
                <w:rFonts w:eastAsia="Times New Roman"/>
                <w:sz w:val="22"/>
                <w:lang w:eastAsia="lv-LV"/>
              </w:rPr>
              <w:t>gada 1.</w:t>
            </w:r>
            <w:r w:rsidRPr="00145D0D">
              <w:rPr>
                <w:rFonts w:eastAsia="Times New Roman"/>
                <w:sz w:val="22"/>
                <w:lang w:val="es-ES" w:eastAsia="lv-LV"/>
              </w:rPr>
              <w:t> </w:t>
            </w:r>
            <w:r w:rsidRPr="00145D0D">
              <w:rPr>
                <w:rFonts w:eastAsia="Times New Roman"/>
                <w:sz w:val="22"/>
                <w:lang w:eastAsia="lv-LV"/>
              </w:rPr>
              <w:t>janvāra līdz 2020.</w:t>
            </w:r>
            <w:r w:rsidRPr="00145D0D">
              <w:rPr>
                <w:rFonts w:eastAsia="Times New Roman"/>
                <w:sz w:val="22"/>
                <w:lang w:val="es-ES" w:eastAsia="lv-LV"/>
              </w:rPr>
              <w:t> </w:t>
            </w:r>
            <w:r w:rsidRPr="00145D0D">
              <w:rPr>
                <w:rFonts w:eastAsia="Times New Roman"/>
                <w:sz w:val="22"/>
                <w:lang w:eastAsia="lv-LV"/>
              </w:rPr>
              <w:t>gada 31.</w:t>
            </w:r>
            <w:r w:rsidRPr="00145D0D">
              <w:rPr>
                <w:rFonts w:eastAsia="Times New Roman"/>
                <w:sz w:val="22"/>
                <w:lang w:val="es-ES" w:eastAsia="lv-LV"/>
              </w:rPr>
              <w:t> </w:t>
            </w:r>
            <w:r w:rsidRPr="00145D0D">
              <w:rPr>
                <w:rFonts w:eastAsia="Times New Roman"/>
                <w:sz w:val="22"/>
                <w:lang w:eastAsia="lv-LV"/>
              </w:rPr>
              <w:t>de</w:t>
            </w:r>
            <w:r w:rsidRPr="00145D0D">
              <w:rPr>
                <w:rFonts w:eastAsia="Times New Roman"/>
                <w:sz w:val="22"/>
                <w:lang w:eastAsia="lv-LV"/>
              </w:rPr>
              <w:softHyphen/>
              <w:t>cembrim</w:t>
            </w:r>
            <w:r w:rsidRPr="00145D0D">
              <w:rPr>
                <w:rFonts w:eastAsia="Times New Roman"/>
                <w:sz w:val="22"/>
                <w:lang w:eastAsia="lv-LV"/>
              </w:rPr>
              <w:br/>
              <w:t>(</w:t>
            </w:r>
            <w:r w:rsidRPr="00145D0D">
              <w:rPr>
                <w:rFonts w:eastAsia="Times New Roman"/>
                <w:i/>
                <w:iCs/>
                <w:sz w:val="22"/>
                <w:lang w:eastAsia="lv-LV"/>
              </w:rPr>
              <w:t>euro</w:t>
            </w:r>
            <w:r w:rsidRPr="00145D0D">
              <w:rPr>
                <w:rFonts w:eastAsia="Times New Roman"/>
                <w:sz w:val="22"/>
                <w:lang w:eastAsia="lv-LV"/>
              </w:rPr>
              <w:t>)</w:t>
            </w:r>
          </w:p>
        </w:tc>
        <w:tc>
          <w:tcPr>
            <w:tcW w:w="690" w:type="pct"/>
            <w:tcBorders>
              <w:top w:val="outset" w:sz="6" w:space="0" w:color="414142"/>
              <w:left w:val="outset" w:sz="6" w:space="0" w:color="414142"/>
              <w:bottom w:val="outset" w:sz="6" w:space="0" w:color="414142"/>
              <w:right w:val="outset" w:sz="6" w:space="0" w:color="414142"/>
            </w:tcBorders>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Likme laikposmā no 2021.</w:t>
            </w:r>
            <w:r w:rsidRPr="00145D0D">
              <w:rPr>
                <w:rFonts w:eastAsia="Times New Roman"/>
                <w:sz w:val="22"/>
                <w:lang w:val="es-ES" w:eastAsia="lv-LV"/>
              </w:rPr>
              <w:t> </w:t>
            </w:r>
            <w:r w:rsidRPr="00145D0D">
              <w:rPr>
                <w:rFonts w:eastAsia="Times New Roman"/>
                <w:sz w:val="22"/>
                <w:lang w:eastAsia="lv-LV"/>
              </w:rPr>
              <w:t>gada 1.</w:t>
            </w:r>
            <w:r w:rsidRPr="00145D0D">
              <w:rPr>
                <w:rFonts w:eastAsia="Times New Roman"/>
                <w:sz w:val="22"/>
                <w:lang w:val="es-ES" w:eastAsia="lv-LV"/>
              </w:rPr>
              <w:t> </w:t>
            </w:r>
            <w:r w:rsidRPr="00145D0D">
              <w:rPr>
                <w:rFonts w:eastAsia="Times New Roman"/>
                <w:sz w:val="22"/>
                <w:lang w:eastAsia="lv-LV"/>
              </w:rPr>
              <w:t>janvāra līdz 202</w:t>
            </w:r>
            <w:r w:rsidRPr="00145D0D">
              <w:rPr>
                <w:rFonts w:eastAsia="Times New Roman"/>
                <w:sz w:val="22"/>
                <w:lang w:val="es-ES" w:eastAsia="lv-LV"/>
              </w:rPr>
              <w:t>1</w:t>
            </w:r>
            <w:r w:rsidRPr="00145D0D">
              <w:rPr>
                <w:rFonts w:eastAsia="Times New Roman"/>
                <w:sz w:val="22"/>
                <w:lang w:eastAsia="lv-LV"/>
              </w:rPr>
              <w:t>.</w:t>
            </w:r>
            <w:r w:rsidRPr="00145D0D">
              <w:rPr>
                <w:rFonts w:eastAsia="Times New Roman"/>
                <w:sz w:val="22"/>
                <w:lang w:val="es-ES" w:eastAsia="lv-LV"/>
              </w:rPr>
              <w:t> </w:t>
            </w:r>
            <w:r w:rsidRPr="00145D0D">
              <w:rPr>
                <w:rFonts w:eastAsia="Times New Roman"/>
                <w:sz w:val="22"/>
                <w:lang w:eastAsia="lv-LV"/>
              </w:rPr>
              <w:t>gada 31. de</w:t>
            </w:r>
            <w:r w:rsidRPr="00145D0D">
              <w:rPr>
                <w:rFonts w:eastAsia="Times New Roman"/>
                <w:sz w:val="22"/>
                <w:lang w:eastAsia="lv-LV"/>
              </w:rPr>
              <w:softHyphen/>
              <w:t>cembrim</w:t>
            </w:r>
            <w:r w:rsidRPr="00145D0D">
              <w:rPr>
                <w:rFonts w:eastAsia="Times New Roman"/>
                <w:sz w:val="22"/>
                <w:lang w:eastAsia="lv-LV"/>
              </w:rPr>
              <w:br/>
              <w:t>(</w:t>
            </w:r>
            <w:r w:rsidRPr="00145D0D">
              <w:rPr>
                <w:rFonts w:eastAsia="Times New Roman"/>
                <w:i/>
                <w:iCs/>
                <w:sz w:val="22"/>
                <w:lang w:eastAsia="lv-LV"/>
              </w:rPr>
              <w:t>euro</w:t>
            </w:r>
            <w:r w:rsidRPr="00145D0D">
              <w:rPr>
                <w:rFonts w:eastAsia="Times New Roman"/>
                <w:sz w:val="22"/>
                <w:lang w:eastAsia="lv-LV"/>
              </w:rPr>
              <w:t>)</w:t>
            </w:r>
          </w:p>
        </w:tc>
        <w:tc>
          <w:tcPr>
            <w:tcW w:w="612" w:type="pct"/>
            <w:tcBorders>
              <w:top w:val="outset" w:sz="6" w:space="0" w:color="414142"/>
              <w:left w:val="outset" w:sz="6" w:space="0" w:color="414142"/>
              <w:bottom w:val="outset" w:sz="6" w:space="0" w:color="414142"/>
              <w:right w:val="outset" w:sz="6" w:space="0" w:color="414142"/>
            </w:tcBorders>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Likme no 2022. gada 1. janvāra</w:t>
            </w:r>
            <w:r w:rsidRPr="00145D0D">
              <w:rPr>
                <w:rFonts w:eastAsia="Times New Roman"/>
                <w:sz w:val="22"/>
                <w:lang w:eastAsia="lv-LV"/>
              </w:rPr>
              <w:br/>
              <w:t>(</w:t>
            </w:r>
            <w:r w:rsidRPr="00145D0D">
              <w:rPr>
                <w:rFonts w:eastAsia="Times New Roman"/>
                <w:i/>
                <w:iCs/>
                <w:sz w:val="22"/>
                <w:lang w:eastAsia="lv-LV"/>
              </w:rPr>
              <w:t>euro</w:t>
            </w:r>
            <w:r w:rsidRPr="00145D0D">
              <w:rPr>
                <w:rFonts w:eastAsia="Times New Roman"/>
                <w:sz w:val="22"/>
                <w:lang w:eastAsia="lv-LV"/>
              </w:rPr>
              <w:t>)</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1.</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Oglekļa dioksīda (CO</w:t>
            </w:r>
            <w:r w:rsidRPr="00145D0D">
              <w:rPr>
                <w:rFonts w:eastAsia="Times New Roman"/>
                <w:sz w:val="22"/>
                <w:bdr w:val="none" w:sz="0" w:space="0" w:color="auto" w:frame="1"/>
                <w:vertAlign w:val="subscript"/>
                <w:lang w:eastAsia="lv-LV"/>
              </w:rPr>
              <w:t>2</w:t>
            </w:r>
            <w:r w:rsidRPr="00145D0D">
              <w:rPr>
                <w:rFonts w:eastAsia="Times New Roman"/>
                <w:sz w:val="22"/>
                <w:lang w:eastAsia="lv-LV"/>
              </w:rPr>
              <w:t>) emisija no likuma "</w:t>
            </w:r>
            <w:hyperlink r:id="rId7" w:tgtFrame="_blank" w:history="1">
              <w:r w:rsidRPr="00145D0D">
                <w:rPr>
                  <w:rFonts w:eastAsia="Times New Roman"/>
                  <w:sz w:val="22"/>
                  <w:lang w:eastAsia="lv-LV"/>
                </w:rPr>
                <w:t>Par piesārņojumu</w:t>
              </w:r>
            </w:hyperlink>
            <w:r w:rsidRPr="00145D0D">
              <w:rPr>
                <w:rFonts w:eastAsia="Times New Roman"/>
                <w:sz w:val="22"/>
                <w:lang w:eastAsia="lv-LV"/>
              </w:rPr>
              <w:t xml:space="preserve">" </w:t>
            </w:r>
            <w:hyperlink r:id="rId8" w:anchor="piel2" w:tgtFrame="_blank" w:history="1">
              <w:r w:rsidRPr="00145D0D">
                <w:rPr>
                  <w:rFonts w:eastAsia="Times New Roman"/>
                  <w:sz w:val="22"/>
                  <w:lang w:eastAsia="lv-LV"/>
                </w:rPr>
                <w:t>2. pielikuma</w:t>
              </w:r>
            </w:hyperlink>
            <w:r w:rsidRPr="00145D0D">
              <w:rPr>
                <w:rFonts w:eastAsia="Times New Roman"/>
                <w:sz w:val="22"/>
                <w:lang w:eastAsia="lv-LV"/>
              </w:rPr>
              <w:t xml:space="preserve"> I nodaļas </w:t>
            </w:r>
            <w:hyperlink r:id="rId9" w:anchor="p1" w:tgtFrame="_blank" w:history="1">
              <w:r w:rsidRPr="00145D0D">
                <w:rPr>
                  <w:rFonts w:eastAsia="Times New Roman"/>
                  <w:sz w:val="22"/>
                  <w:lang w:eastAsia="lv-LV"/>
                </w:rPr>
                <w:t>1. punktā</w:t>
              </w:r>
            </w:hyperlink>
            <w:r w:rsidRPr="00145D0D">
              <w:rPr>
                <w:rFonts w:eastAsia="Times New Roman"/>
                <w:sz w:val="22"/>
                <w:lang w:eastAsia="lv-LV"/>
              </w:rPr>
              <w:t xml:space="preserve"> minētās piesārņojošās darbības, ja ražošanas jauda nepārsniedz likuma "</w:t>
            </w:r>
            <w:hyperlink r:id="rId10" w:tgtFrame="_blank" w:history="1">
              <w:r w:rsidRPr="00145D0D">
                <w:rPr>
                  <w:rFonts w:eastAsia="Times New Roman"/>
                  <w:sz w:val="22"/>
                  <w:lang w:eastAsia="lv-LV"/>
                </w:rPr>
                <w:t>Par piesārņojumu</w:t>
              </w:r>
            </w:hyperlink>
            <w:r w:rsidRPr="00145D0D">
              <w:rPr>
                <w:rFonts w:eastAsia="Times New Roman"/>
                <w:sz w:val="22"/>
                <w:lang w:eastAsia="lv-LV"/>
              </w:rPr>
              <w:t xml:space="preserve">" </w:t>
            </w:r>
            <w:hyperlink r:id="rId11" w:anchor="piel2" w:tgtFrame="_blank" w:history="1">
              <w:r w:rsidRPr="00145D0D">
                <w:rPr>
                  <w:rFonts w:eastAsia="Times New Roman"/>
                  <w:sz w:val="22"/>
                  <w:lang w:eastAsia="lv-LV"/>
                </w:rPr>
                <w:t>2. pielikumā</w:t>
              </w:r>
            </w:hyperlink>
            <w:r w:rsidRPr="00145D0D">
              <w:rPr>
                <w:rFonts w:eastAsia="Times New Roman"/>
                <w:sz w:val="22"/>
                <w:lang w:eastAsia="lv-LV"/>
              </w:rPr>
              <w:t xml:space="preserve"> minēto rādītāju</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4,50</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9,00</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12,00</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15,00</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2.</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Oglekļa dioksīda (CO</w:t>
            </w:r>
            <w:r w:rsidRPr="00145D0D">
              <w:rPr>
                <w:rFonts w:eastAsia="Times New Roman"/>
                <w:sz w:val="22"/>
                <w:bdr w:val="none" w:sz="0" w:space="0" w:color="auto" w:frame="1"/>
                <w:vertAlign w:val="subscript"/>
                <w:lang w:eastAsia="lv-LV"/>
              </w:rPr>
              <w:t>2</w:t>
            </w:r>
            <w:r w:rsidRPr="00145D0D">
              <w:rPr>
                <w:rFonts w:eastAsia="Times New Roman"/>
                <w:sz w:val="22"/>
                <w:lang w:eastAsia="lv-LV"/>
              </w:rPr>
              <w:t>) emisija no likuma "</w:t>
            </w:r>
            <w:hyperlink r:id="rId12" w:tgtFrame="_blank" w:history="1">
              <w:r w:rsidRPr="00145D0D">
                <w:rPr>
                  <w:rFonts w:eastAsia="Times New Roman"/>
                  <w:sz w:val="22"/>
                  <w:lang w:eastAsia="lv-LV"/>
                </w:rPr>
                <w:t>Par piesārņojumu</w:t>
              </w:r>
            </w:hyperlink>
            <w:r w:rsidRPr="00145D0D">
              <w:rPr>
                <w:rFonts w:eastAsia="Times New Roman"/>
                <w:sz w:val="22"/>
                <w:lang w:eastAsia="lv-LV"/>
              </w:rPr>
              <w:t xml:space="preserve">" </w:t>
            </w:r>
            <w:hyperlink r:id="rId13" w:anchor="piel2" w:tgtFrame="_blank" w:history="1">
              <w:r w:rsidRPr="00145D0D">
                <w:rPr>
                  <w:rFonts w:eastAsia="Times New Roman"/>
                  <w:sz w:val="22"/>
                  <w:lang w:eastAsia="lv-LV"/>
                </w:rPr>
                <w:t>2. pielikuma</w:t>
              </w:r>
            </w:hyperlink>
            <w:r w:rsidRPr="00145D0D">
              <w:rPr>
                <w:rFonts w:eastAsia="Times New Roman"/>
                <w:sz w:val="22"/>
                <w:lang w:eastAsia="lv-LV"/>
              </w:rPr>
              <w:t xml:space="preserve"> I nodaļas </w:t>
            </w:r>
            <w:hyperlink r:id="rId14" w:anchor="p5" w:tgtFrame="_blank" w:history="1">
              <w:r w:rsidRPr="00145D0D">
                <w:rPr>
                  <w:rFonts w:eastAsia="Times New Roman"/>
                  <w:sz w:val="22"/>
                  <w:lang w:eastAsia="lv-LV"/>
                </w:rPr>
                <w:t>5.</w:t>
              </w:r>
            </w:hyperlink>
            <w:r w:rsidRPr="00145D0D">
              <w:rPr>
                <w:rFonts w:eastAsia="Times New Roman"/>
                <w:sz w:val="22"/>
                <w:lang w:eastAsia="lv-LV"/>
              </w:rPr>
              <w:t xml:space="preserve">, </w:t>
            </w:r>
            <w:hyperlink r:id="rId15" w:anchor="p6" w:tgtFrame="_blank" w:history="1">
              <w:r w:rsidRPr="00145D0D">
                <w:rPr>
                  <w:rFonts w:eastAsia="Times New Roman"/>
                  <w:sz w:val="22"/>
                  <w:lang w:eastAsia="lv-LV"/>
                </w:rPr>
                <w:t>6.</w:t>
              </w:r>
            </w:hyperlink>
            <w:r w:rsidRPr="00145D0D">
              <w:rPr>
                <w:rFonts w:eastAsia="Times New Roman"/>
                <w:sz w:val="22"/>
                <w:lang w:eastAsia="lv-LV"/>
              </w:rPr>
              <w:t xml:space="preserve">, </w:t>
            </w:r>
            <w:hyperlink r:id="rId16" w:anchor="p8" w:tgtFrame="_blank" w:history="1">
              <w:r w:rsidRPr="00145D0D">
                <w:rPr>
                  <w:rFonts w:eastAsia="Times New Roman"/>
                  <w:sz w:val="22"/>
                  <w:lang w:eastAsia="lv-LV"/>
                </w:rPr>
                <w:t>8.</w:t>
              </w:r>
            </w:hyperlink>
            <w:r w:rsidRPr="00145D0D">
              <w:rPr>
                <w:rFonts w:eastAsia="Times New Roman"/>
                <w:sz w:val="22"/>
                <w:lang w:eastAsia="lv-LV"/>
              </w:rPr>
              <w:t xml:space="preserve">, </w:t>
            </w:r>
            <w:hyperlink r:id="rId17" w:anchor="p9" w:tgtFrame="_blank" w:history="1">
              <w:r w:rsidRPr="00145D0D">
                <w:rPr>
                  <w:rFonts w:eastAsia="Times New Roman"/>
                  <w:sz w:val="22"/>
                  <w:lang w:eastAsia="lv-LV"/>
                </w:rPr>
                <w:t>9.</w:t>
              </w:r>
            </w:hyperlink>
            <w:r w:rsidRPr="00145D0D">
              <w:rPr>
                <w:rFonts w:eastAsia="Times New Roman"/>
                <w:sz w:val="22"/>
                <w:lang w:eastAsia="lv-LV"/>
              </w:rPr>
              <w:t xml:space="preserve">, </w:t>
            </w:r>
            <w:hyperlink r:id="rId18" w:anchor="p10" w:tgtFrame="_blank" w:history="1">
              <w:r w:rsidRPr="00145D0D">
                <w:rPr>
                  <w:rFonts w:eastAsia="Times New Roman"/>
                  <w:sz w:val="22"/>
                  <w:lang w:eastAsia="lv-LV"/>
                </w:rPr>
                <w:t>10.</w:t>
              </w:r>
            </w:hyperlink>
            <w:r w:rsidRPr="00145D0D">
              <w:rPr>
                <w:rFonts w:eastAsia="Times New Roman"/>
                <w:sz w:val="22"/>
                <w:lang w:eastAsia="lv-LV"/>
              </w:rPr>
              <w:t xml:space="preserve">, </w:t>
            </w:r>
            <w:hyperlink r:id="rId19" w:anchor="p11" w:tgtFrame="_blank" w:history="1">
              <w:r w:rsidRPr="00145D0D">
                <w:rPr>
                  <w:rFonts w:eastAsia="Times New Roman"/>
                  <w:sz w:val="22"/>
                  <w:lang w:eastAsia="lv-LV"/>
                </w:rPr>
                <w:t>11.</w:t>
              </w:r>
            </w:hyperlink>
            <w:r w:rsidRPr="00145D0D">
              <w:rPr>
                <w:rFonts w:eastAsia="Times New Roman"/>
                <w:sz w:val="22"/>
                <w:lang w:eastAsia="lv-LV"/>
              </w:rPr>
              <w:t xml:space="preserve">, </w:t>
            </w:r>
            <w:hyperlink r:id="rId20" w:anchor="p12" w:tgtFrame="_blank" w:history="1">
              <w:r w:rsidRPr="00145D0D">
                <w:rPr>
                  <w:rFonts w:eastAsia="Times New Roman"/>
                  <w:sz w:val="22"/>
                  <w:lang w:eastAsia="lv-LV"/>
                </w:rPr>
                <w:t>12.</w:t>
              </w:r>
            </w:hyperlink>
            <w:r w:rsidRPr="00145D0D">
              <w:rPr>
                <w:rFonts w:eastAsia="Times New Roman"/>
                <w:sz w:val="22"/>
                <w:lang w:eastAsia="lv-LV"/>
              </w:rPr>
              <w:t xml:space="preserve">, </w:t>
            </w:r>
            <w:hyperlink r:id="rId21" w:anchor="p13" w:tgtFrame="_blank" w:history="1">
              <w:r w:rsidRPr="00145D0D">
                <w:rPr>
                  <w:rFonts w:eastAsia="Times New Roman"/>
                  <w:sz w:val="22"/>
                  <w:lang w:eastAsia="lv-LV"/>
                </w:rPr>
                <w:t>13.</w:t>
              </w:r>
            </w:hyperlink>
            <w:r w:rsidRPr="00145D0D">
              <w:rPr>
                <w:rFonts w:eastAsia="Times New Roman"/>
                <w:sz w:val="22"/>
                <w:lang w:eastAsia="lv-LV"/>
              </w:rPr>
              <w:t xml:space="preserve">, </w:t>
            </w:r>
            <w:hyperlink r:id="rId22" w:anchor="p14" w:tgtFrame="_blank" w:history="1">
              <w:r w:rsidRPr="00145D0D">
                <w:rPr>
                  <w:rFonts w:eastAsia="Times New Roman"/>
                  <w:sz w:val="22"/>
                  <w:lang w:eastAsia="lv-LV"/>
                </w:rPr>
                <w:t>14.</w:t>
              </w:r>
            </w:hyperlink>
            <w:r w:rsidRPr="00145D0D">
              <w:rPr>
                <w:rFonts w:eastAsia="Times New Roman"/>
                <w:sz w:val="22"/>
                <w:lang w:eastAsia="lv-LV"/>
              </w:rPr>
              <w:t xml:space="preserve">, </w:t>
            </w:r>
            <w:hyperlink r:id="rId23" w:anchor="p15" w:tgtFrame="_blank" w:history="1">
              <w:r w:rsidRPr="00145D0D">
                <w:rPr>
                  <w:rFonts w:eastAsia="Times New Roman"/>
                  <w:sz w:val="22"/>
                  <w:lang w:eastAsia="lv-LV"/>
                </w:rPr>
                <w:t>15.</w:t>
              </w:r>
            </w:hyperlink>
            <w:r w:rsidRPr="00145D0D">
              <w:rPr>
                <w:rFonts w:eastAsia="Times New Roman"/>
                <w:sz w:val="22"/>
                <w:lang w:eastAsia="lv-LV"/>
              </w:rPr>
              <w:t xml:space="preserve">, </w:t>
            </w:r>
            <w:hyperlink r:id="rId24" w:anchor="p17" w:tgtFrame="_blank" w:history="1">
              <w:r w:rsidRPr="00145D0D">
                <w:rPr>
                  <w:rFonts w:eastAsia="Times New Roman"/>
                  <w:sz w:val="22"/>
                  <w:lang w:eastAsia="lv-LV"/>
                </w:rPr>
                <w:t>17.</w:t>
              </w:r>
            </w:hyperlink>
            <w:r w:rsidRPr="00145D0D">
              <w:rPr>
                <w:rFonts w:eastAsia="Times New Roman"/>
                <w:sz w:val="22"/>
                <w:lang w:eastAsia="lv-LV"/>
              </w:rPr>
              <w:t xml:space="preserve">, </w:t>
            </w:r>
            <w:hyperlink r:id="rId25" w:anchor="p18" w:tgtFrame="_blank" w:history="1">
              <w:r w:rsidRPr="00145D0D">
                <w:rPr>
                  <w:rFonts w:eastAsia="Times New Roman"/>
                  <w:sz w:val="22"/>
                  <w:lang w:eastAsia="lv-LV"/>
                </w:rPr>
                <w:t>18.</w:t>
              </w:r>
            </w:hyperlink>
            <w:r w:rsidRPr="00145D0D">
              <w:rPr>
                <w:rFonts w:eastAsia="Times New Roman"/>
                <w:sz w:val="22"/>
                <w:lang w:eastAsia="lv-LV"/>
              </w:rPr>
              <w:t xml:space="preserve">, </w:t>
            </w:r>
            <w:hyperlink r:id="rId26" w:anchor="p23" w:tgtFrame="_blank" w:history="1">
              <w:r w:rsidRPr="00145D0D">
                <w:rPr>
                  <w:rFonts w:eastAsia="Times New Roman"/>
                  <w:sz w:val="22"/>
                  <w:lang w:eastAsia="lv-LV"/>
                </w:rPr>
                <w:t>23.</w:t>
              </w:r>
            </w:hyperlink>
            <w:r w:rsidRPr="00145D0D">
              <w:rPr>
                <w:rFonts w:eastAsia="Times New Roman"/>
                <w:sz w:val="22"/>
                <w:lang w:eastAsia="lv-LV"/>
              </w:rPr>
              <w:t xml:space="preserve"> un </w:t>
            </w:r>
            <w:hyperlink r:id="rId27" w:anchor="p24" w:tgtFrame="_blank" w:history="1">
              <w:r w:rsidRPr="00145D0D">
                <w:rPr>
                  <w:rFonts w:eastAsia="Times New Roman"/>
                  <w:sz w:val="22"/>
                  <w:lang w:eastAsia="lv-LV"/>
                </w:rPr>
                <w:t>24. punktā</w:t>
              </w:r>
            </w:hyperlink>
            <w:r w:rsidRPr="00145D0D">
              <w:rPr>
                <w:rFonts w:eastAsia="Times New Roman"/>
                <w:sz w:val="22"/>
                <w:lang w:eastAsia="lv-LV"/>
              </w:rPr>
              <w:t xml:space="preserve"> minētās piesārņojošās darbības, ja ražošanas jauda vai saražotās produkcijas apjoms nepārsniedz likuma "</w:t>
            </w:r>
            <w:hyperlink r:id="rId28" w:tgtFrame="_blank" w:history="1">
              <w:r w:rsidRPr="00145D0D">
                <w:rPr>
                  <w:rFonts w:eastAsia="Times New Roman"/>
                  <w:sz w:val="22"/>
                  <w:lang w:eastAsia="lv-LV"/>
                </w:rPr>
                <w:t>Par piesārņojumu</w:t>
              </w:r>
            </w:hyperlink>
            <w:r w:rsidRPr="00145D0D">
              <w:rPr>
                <w:rFonts w:eastAsia="Times New Roman"/>
                <w:sz w:val="22"/>
                <w:lang w:eastAsia="lv-LV"/>
              </w:rPr>
              <w:t xml:space="preserve">" </w:t>
            </w:r>
            <w:hyperlink r:id="rId29" w:anchor="piel2" w:tgtFrame="_blank" w:history="1">
              <w:r w:rsidRPr="00145D0D">
                <w:rPr>
                  <w:rFonts w:eastAsia="Times New Roman"/>
                  <w:sz w:val="22"/>
                  <w:lang w:eastAsia="lv-LV"/>
                </w:rPr>
                <w:t>2. pielikuma</w:t>
              </w:r>
            </w:hyperlink>
            <w:r w:rsidRPr="00145D0D">
              <w:rPr>
                <w:rFonts w:eastAsia="Times New Roman"/>
                <w:sz w:val="22"/>
                <w:lang w:eastAsia="lv-LV"/>
              </w:rPr>
              <w:t xml:space="preserve"> I nodaļā minēto rādītāju un tai nav izsniegta siltumnīcefekta gāzu emisijas atļauja</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4,50</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9,00</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12,00</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15,00</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3.</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Daļiņas PM</w:t>
            </w:r>
            <w:r w:rsidRPr="00145D0D">
              <w:rPr>
                <w:rFonts w:eastAsia="Times New Roman"/>
                <w:sz w:val="22"/>
                <w:bdr w:val="none" w:sz="0" w:space="0" w:color="auto" w:frame="1"/>
                <w:vertAlign w:val="subscript"/>
                <w:lang w:eastAsia="lv-LV"/>
              </w:rPr>
              <w:t>10</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75,00</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75,00</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75,00</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75,00</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4.</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Oglekļa monoksīds (CO)</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7,83</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7,83</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7,83</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7,83</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5.</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Amonjaks (NH</w:t>
            </w:r>
            <w:r w:rsidRPr="00145D0D">
              <w:rPr>
                <w:rFonts w:eastAsia="Times New Roman"/>
                <w:sz w:val="22"/>
                <w:bdr w:val="none" w:sz="0" w:space="0" w:color="auto" w:frame="1"/>
                <w:vertAlign w:val="subscript"/>
                <w:lang w:eastAsia="lv-LV"/>
              </w:rPr>
              <w:t>3</w:t>
            </w:r>
            <w:r w:rsidRPr="00145D0D">
              <w:rPr>
                <w:rFonts w:eastAsia="Times New Roman"/>
                <w:sz w:val="22"/>
                <w:lang w:eastAsia="lv-LV"/>
              </w:rPr>
              <w:t>), sērūdeņradis (H</w:t>
            </w:r>
            <w:r w:rsidRPr="00145D0D">
              <w:rPr>
                <w:rFonts w:eastAsia="Times New Roman"/>
                <w:sz w:val="22"/>
                <w:bdr w:val="none" w:sz="0" w:space="0" w:color="auto" w:frame="1"/>
                <w:vertAlign w:val="subscript"/>
                <w:lang w:eastAsia="lv-LV"/>
              </w:rPr>
              <w:t>2</w:t>
            </w:r>
            <w:r w:rsidRPr="00145D0D">
              <w:rPr>
                <w:rFonts w:eastAsia="Times New Roman"/>
                <w:sz w:val="22"/>
                <w:lang w:eastAsia="lv-LV"/>
              </w:rPr>
              <w:t>S) un pārējie neorganiskie savienojumi</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18,50</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18,50</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18,50</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18,50</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6.</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Sēra dioksīds (SO</w:t>
            </w:r>
            <w:r w:rsidRPr="00145D0D">
              <w:rPr>
                <w:rFonts w:eastAsia="Times New Roman"/>
                <w:sz w:val="22"/>
                <w:bdr w:val="none" w:sz="0" w:space="0" w:color="auto" w:frame="1"/>
                <w:vertAlign w:val="subscript"/>
                <w:lang w:eastAsia="lv-LV"/>
              </w:rPr>
              <w:t>2</w:t>
            </w:r>
            <w:r w:rsidRPr="00145D0D">
              <w:rPr>
                <w:rFonts w:eastAsia="Times New Roman"/>
                <w:sz w:val="22"/>
                <w:lang w:eastAsia="lv-LV"/>
              </w:rPr>
              <w:t>), slāpekļa oksīdi (NO</w:t>
            </w:r>
            <w:r w:rsidRPr="00145D0D">
              <w:rPr>
                <w:rFonts w:eastAsia="Times New Roman"/>
                <w:sz w:val="22"/>
                <w:bdr w:val="none" w:sz="0" w:space="0" w:color="auto" w:frame="1"/>
                <w:vertAlign w:val="subscript"/>
                <w:lang w:eastAsia="lv-LV"/>
              </w:rPr>
              <w:t>x</w:t>
            </w:r>
            <w:r w:rsidRPr="00145D0D">
              <w:rPr>
                <w:rFonts w:eastAsia="Times New Roman"/>
                <w:sz w:val="22"/>
                <w:lang w:eastAsia="lv-LV"/>
              </w:rPr>
              <w:t> – slāpekļa oksīdu summa, pārrēķināta uz NO</w:t>
            </w:r>
            <w:r w:rsidRPr="00145D0D">
              <w:rPr>
                <w:rFonts w:eastAsia="Times New Roman"/>
                <w:sz w:val="22"/>
                <w:bdr w:val="none" w:sz="0" w:space="0" w:color="auto" w:frame="1"/>
                <w:vertAlign w:val="subscript"/>
                <w:lang w:eastAsia="lv-LV"/>
              </w:rPr>
              <w:t>2</w:t>
            </w:r>
            <w:r w:rsidRPr="00145D0D">
              <w:rPr>
                <w:rFonts w:eastAsia="Times New Roman"/>
                <w:sz w:val="22"/>
                <w:lang w:eastAsia="lv-LV"/>
              </w:rPr>
              <w:t>)</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7.</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Gaistošie organiskie savienojumi un citi ogļūdeņraži (C</w:t>
            </w:r>
            <w:r w:rsidRPr="00145D0D">
              <w:rPr>
                <w:rFonts w:eastAsia="Times New Roman"/>
                <w:sz w:val="22"/>
                <w:bdr w:val="none" w:sz="0" w:space="0" w:color="auto" w:frame="1"/>
                <w:vertAlign w:val="subscript"/>
                <w:lang w:eastAsia="lv-LV"/>
              </w:rPr>
              <w:t>n</w:t>
            </w:r>
            <w:r w:rsidRPr="00145D0D">
              <w:rPr>
                <w:rFonts w:eastAsia="Times New Roman"/>
                <w:sz w:val="22"/>
                <w:lang w:eastAsia="lv-LV"/>
              </w:rPr>
              <w:t>H</w:t>
            </w:r>
            <w:r w:rsidRPr="00145D0D">
              <w:rPr>
                <w:rFonts w:eastAsia="Times New Roman"/>
                <w:sz w:val="22"/>
                <w:bdr w:val="none" w:sz="0" w:space="0" w:color="auto" w:frame="1"/>
                <w:vertAlign w:val="subscript"/>
                <w:lang w:eastAsia="lv-LV"/>
              </w:rPr>
              <w:t>m</w:t>
            </w:r>
            <w:r w:rsidRPr="00145D0D">
              <w:rPr>
                <w:rFonts w:eastAsia="Times New Roman"/>
                <w:sz w:val="22"/>
                <w:lang w:eastAsia="lv-LV"/>
              </w:rPr>
              <w:t>)</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85,37</w:t>
            </w:r>
          </w:p>
        </w:tc>
      </w:tr>
      <w:tr w:rsidR="00145D0D" w:rsidRPr="00145D0D" w:rsidTr="00163800">
        <w:tc>
          <w:tcPr>
            <w:tcW w:w="342" w:type="pct"/>
            <w:tcBorders>
              <w:top w:val="outset" w:sz="6" w:space="0" w:color="414142"/>
              <w:left w:val="outset" w:sz="6" w:space="0" w:color="414142"/>
              <w:bottom w:val="outset" w:sz="6" w:space="0" w:color="414142"/>
              <w:right w:val="outset" w:sz="6" w:space="0" w:color="414142"/>
            </w:tcBorders>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8.</w:t>
            </w:r>
          </w:p>
        </w:tc>
        <w:tc>
          <w:tcPr>
            <w:tcW w:w="1670"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rPr>
                <w:rFonts w:eastAsia="Times New Roman"/>
                <w:sz w:val="22"/>
                <w:lang w:eastAsia="lv-LV"/>
              </w:rPr>
            </w:pPr>
            <w:r w:rsidRPr="00145D0D">
              <w:rPr>
                <w:rFonts w:eastAsia="Times New Roman"/>
                <w:sz w:val="22"/>
                <w:lang w:eastAsia="lv-LV"/>
              </w:rPr>
              <w:t>Smagie metāli (Cd, Ni, Sn, Hg, Pb, Zn, Cr, As, Se, Cu) un to savienojumi, pārrēķināti uz attiecīgo metālu, un vanādija pentoksīds, pārrēķināts uz vanādiju</w:t>
            </w:r>
          </w:p>
        </w:tc>
        <w:tc>
          <w:tcPr>
            <w:tcW w:w="384" w:type="pct"/>
            <w:tcBorders>
              <w:top w:val="outset" w:sz="6" w:space="0" w:color="414142"/>
              <w:left w:val="outset" w:sz="6" w:space="0" w:color="414142"/>
              <w:bottom w:val="outset" w:sz="6" w:space="0" w:color="414142"/>
              <w:right w:val="outset" w:sz="6" w:space="0" w:color="414142"/>
            </w:tcBorders>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tonna</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145D0D" w:rsidRPr="00145D0D" w:rsidRDefault="00145D0D" w:rsidP="00163800">
            <w:pPr>
              <w:jc w:val="center"/>
              <w:rPr>
                <w:rFonts w:eastAsia="Times New Roman"/>
                <w:sz w:val="22"/>
                <w:lang w:eastAsia="lv-LV"/>
              </w:rPr>
            </w:pPr>
            <w:r w:rsidRPr="00145D0D">
              <w:rPr>
                <w:rFonts w:eastAsia="Times New Roman"/>
                <w:sz w:val="22"/>
                <w:lang w:eastAsia="lv-LV"/>
              </w:rPr>
              <w:t>1138,30</w:t>
            </w:r>
          </w:p>
        </w:tc>
        <w:tc>
          <w:tcPr>
            <w:tcW w:w="689"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1138,30</w:t>
            </w:r>
          </w:p>
        </w:tc>
        <w:tc>
          <w:tcPr>
            <w:tcW w:w="690"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1138,30</w:t>
            </w:r>
          </w:p>
        </w:tc>
        <w:tc>
          <w:tcPr>
            <w:tcW w:w="612" w:type="pct"/>
            <w:tcBorders>
              <w:top w:val="outset" w:sz="6" w:space="0" w:color="414142"/>
              <w:left w:val="outset" w:sz="6" w:space="0" w:color="414142"/>
              <w:bottom w:val="outset" w:sz="6" w:space="0" w:color="414142"/>
              <w:right w:val="outset" w:sz="6" w:space="0" w:color="414142"/>
            </w:tcBorders>
            <w:shd w:val="clear" w:color="auto" w:fill="FFFFFF"/>
            <w:vAlign w:val="center"/>
          </w:tcPr>
          <w:p w:rsidR="00145D0D" w:rsidRPr="00145D0D" w:rsidRDefault="00145D0D" w:rsidP="00163800">
            <w:pPr>
              <w:jc w:val="center"/>
              <w:rPr>
                <w:rFonts w:eastAsia="Times New Roman"/>
                <w:sz w:val="22"/>
                <w:lang w:eastAsia="lv-LV"/>
              </w:rPr>
            </w:pPr>
            <w:r w:rsidRPr="00145D0D">
              <w:rPr>
                <w:rFonts w:eastAsia="Times New Roman"/>
                <w:sz w:val="22"/>
                <w:lang w:eastAsia="lv-LV"/>
              </w:rPr>
              <w:t>1138,30"</w:t>
            </w:r>
          </w:p>
        </w:tc>
      </w:tr>
    </w:tbl>
    <w:p w:rsidR="00145D0D" w:rsidRDefault="00145D0D">
      <w:pPr>
        <w:rPr>
          <w:sz w:val="22"/>
        </w:rPr>
      </w:pPr>
    </w:p>
    <w:tbl>
      <w:tblPr>
        <w:tblW w:w="16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gridCol w:w="1405"/>
      </w:tblGrid>
      <w:tr w:rsidR="00FE7B1A" w:rsidRPr="00A664D2" w:rsidTr="00FE7B1A">
        <w:tc>
          <w:tcPr>
            <w:tcW w:w="3930" w:type="dxa"/>
            <w:shd w:val="clear" w:color="auto" w:fill="auto"/>
          </w:tcPr>
          <w:p w:rsidR="00FE7B1A" w:rsidRPr="00A664D2" w:rsidRDefault="00FE7B1A" w:rsidP="00163800">
            <w:pPr>
              <w:jc w:val="center"/>
              <w:rPr>
                <w:b/>
                <w:bCs/>
                <w:iCs/>
              </w:rPr>
            </w:pPr>
            <w:r w:rsidRPr="00A664D2">
              <w:rPr>
                <w:b/>
                <w:bCs/>
                <w:iCs/>
              </w:rPr>
              <w:t>Spēkā esošā redakcija</w:t>
            </w:r>
          </w:p>
        </w:tc>
        <w:tc>
          <w:tcPr>
            <w:tcW w:w="3930" w:type="dxa"/>
          </w:tcPr>
          <w:p w:rsidR="00FE7B1A" w:rsidRPr="00A664D2" w:rsidRDefault="00FE7B1A" w:rsidP="00163800">
            <w:pPr>
              <w:jc w:val="center"/>
              <w:rPr>
                <w:b/>
              </w:rPr>
            </w:pPr>
            <w:r>
              <w:rPr>
                <w:b/>
              </w:rPr>
              <w:t>Pirmā lasījuma redakcija</w:t>
            </w:r>
          </w:p>
        </w:tc>
        <w:tc>
          <w:tcPr>
            <w:tcW w:w="563" w:type="dxa"/>
          </w:tcPr>
          <w:p w:rsidR="00FE7B1A" w:rsidRPr="001B3F41" w:rsidRDefault="00FE7B1A" w:rsidP="00163800">
            <w:pPr>
              <w:jc w:val="center"/>
              <w:rPr>
                <w:b/>
              </w:rPr>
            </w:pPr>
            <w:r>
              <w:rPr>
                <w:b/>
              </w:rPr>
              <w:t>Nr.</w:t>
            </w:r>
          </w:p>
        </w:tc>
        <w:tc>
          <w:tcPr>
            <w:tcW w:w="3930" w:type="dxa"/>
          </w:tcPr>
          <w:p w:rsidR="00FE7B1A" w:rsidRDefault="00FE7B1A" w:rsidP="001C0907">
            <w:pPr>
              <w:jc w:val="center"/>
              <w:rPr>
                <w:b/>
              </w:rPr>
            </w:pPr>
            <w:r>
              <w:rPr>
                <w:b/>
              </w:rPr>
              <w:t>Priekšlikumi</w:t>
            </w:r>
          </w:p>
          <w:p w:rsidR="00FE7B1A" w:rsidRPr="001B3F41" w:rsidRDefault="00FE7B1A" w:rsidP="001C0907">
            <w:pPr>
              <w:jc w:val="center"/>
              <w:rPr>
                <w:b/>
              </w:rPr>
            </w:pPr>
            <w:r>
              <w:rPr>
                <w:b/>
              </w:rPr>
              <w:t>(</w:t>
            </w:r>
            <w:r w:rsidR="00323DED">
              <w:rPr>
                <w:b/>
              </w:rPr>
              <w:t>22</w:t>
            </w:r>
            <w:r>
              <w:rPr>
                <w:b/>
              </w:rPr>
              <w:t>)</w:t>
            </w:r>
          </w:p>
        </w:tc>
        <w:tc>
          <w:tcPr>
            <w:tcW w:w="1405" w:type="dxa"/>
          </w:tcPr>
          <w:p w:rsidR="00FE7B1A" w:rsidRPr="001B3F41" w:rsidRDefault="00FE7B1A" w:rsidP="00163800">
            <w:pPr>
              <w:jc w:val="center"/>
              <w:rPr>
                <w:b/>
              </w:rPr>
            </w:pPr>
            <w:r>
              <w:rPr>
                <w:b/>
              </w:rPr>
              <w:t>Ministru kabineta atzinums</w:t>
            </w:r>
          </w:p>
        </w:tc>
        <w:tc>
          <w:tcPr>
            <w:tcW w:w="1405" w:type="dxa"/>
          </w:tcPr>
          <w:p w:rsidR="00FE7B1A" w:rsidRPr="001B3F41" w:rsidRDefault="00FE7B1A" w:rsidP="00163800">
            <w:pPr>
              <w:jc w:val="center"/>
              <w:rPr>
                <w:b/>
              </w:rPr>
            </w:pPr>
            <w:r>
              <w:rPr>
                <w:b/>
              </w:rPr>
              <w:t>Komisijas atzinums</w:t>
            </w:r>
          </w:p>
        </w:tc>
        <w:tc>
          <w:tcPr>
            <w:tcW w:w="1405" w:type="dxa"/>
          </w:tcPr>
          <w:p w:rsidR="00FE7B1A" w:rsidRDefault="00FE7B1A" w:rsidP="00163800">
            <w:pPr>
              <w:jc w:val="center"/>
              <w:rPr>
                <w:b/>
              </w:rPr>
            </w:pPr>
          </w:p>
        </w:tc>
      </w:tr>
      <w:tr w:rsidR="00FE7B1A" w:rsidRPr="00A664D2" w:rsidTr="00FE7B1A">
        <w:tc>
          <w:tcPr>
            <w:tcW w:w="3930" w:type="dxa"/>
            <w:shd w:val="clear" w:color="auto" w:fill="auto"/>
          </w:tcPr>
          <w:p w:rsidR="00FE7B1A" w:rsidRDefault="00FE7B1A" w:rsidP="00163800">
            <w:pPr>
              <w:ind w:firstLine="567"/>
              <w:jc w:val="right"/>
              <w:rPr>
                <w:bCs/>
                <w:iCs/>
                <w:sz w:val="22"/>
              </w:rPr>
            </w:pPr>
            <w:r w:rsidRPr="00D473E8">
              <w:rPr>
                <w:bCs/>
                <w:iCs/>
                <w:sz w:val="22"/>
              </w:rPr>
              <w:t>Dabas resursu nodokļa likuma</w:t>
            </w:r>
            <w:r w:rsidRPr="00D473E8">
              <w:rPr>
                <w:bCs/>
                <w:iCs/>
                <w:sz w:val="22"/>
              </w:rPr>
              <w:br/>
            </w:r>
            <w:r>
              <w:rPr>
                <w:bCs/>
                <w:iCs/>
                <w:sz w:val="22"/>
              </w:rPr>
              <w:t>4</w:t>
            </w:r>
            <w:r w:rsidRPr="00D473E8">
              <w:rPr>
                <w:bCs/>
                <w:iCs/>
                <w:sz w:val="22"/>
              </w:rPr>
              <w:t>.pielikums</w:t>
            </w:r>
          </w:p>
          <w:p w:rsidR="00FE7B1A" w:rsidRPr="009E63A5" w:rsidRDefault="00FE7B1A" w:rsidP="00163800">
            <w:pPr>
              <w:jc w:val="center"/>
              <w:rPr>
                <w:b/>
                <w:bCs/>
                <w:iCs/>
                <w:sz w:val="22"/>
              </w:rPr>
            </w:pPr>
            <w:r w:rsidRPr="00145D0D">
              <w:rPr>
                <w:b/>
                <w:bCs/>
                <w:iCs/>
                <w:sz w:val="22"/>
              </w:rPr>
              <w:t>Nodokļa likmes par gaisa piesārņošanu</w:t>
            </w:r>
          </w:p>
          <w:p w:rsidR="00FE7B1A" w:rsidRPr="00A664D2" w:rsidRDefault="00FE7B1A" w:rsidP="00163800">
            <w:pPr>
              <w:ind w:firstLine="567"/>
              <w:jc w:val="both"/>
              <w:rPr>
                <w:bCs/>
                <w:iCs/>
              </w:rPr>
            </w:pPr>
          </w:p>
          <w:p w:rsidR="00FE7B1A" w:rsidRPr="00A664D2" w:rsidRDefault="00FE7B1A" w:rsidP="00163800">
            <w:pPr>
              <w:ind w:firstLine="567"/>
              <w:jc w:val="both"/>
              <w:rPr>
                <w:bCs/>
                <w:iCs/>
                <w:sz w:val="22"/>
              </w:rPr>
            </w:pPr>
            <w:r w:rsidRPr="00A664D2">
              <w:rPr>
                <w:b/>
                <w:bCs/>
                <w:i/>
                <w:sz w:val="22"/>
              </w:rPr>
              <w:t xml:space="preserve">ailes turpinājums </w:t>
            </w:r>
            <w:r w:rsidRPr="00A664D2">
              <w:rPr>
                <w:b/>
                <w:bCs/>
                <w:sz w:val="22"/>
              </w:rPr>
              <w:t>↓↓↓</w:t>
            </w:r>
          </w:p>
        </w:tc>
        <w:tc>
          <w:tcPr>
            <w:tcW w:w="3930" w:type="dxa"/>
          </w:tcPr>
          <w:p w:rsidR="00FE7B1A" w:rsidRPr="00A664D2" w:rsidRDefault="00FE7B1A" w:rsidP="00163800">
            <w:pPr>
              <w:rPr>
                <w:b/>
              </w:rPr>
            </w:pPr>
          </w:p>
        </w:tc>
        <w:tc>
          <w:tcPr>
            <w:tcW w:w="563" w:type="dxa"/>
          </w:tcPr>
          <w:p w:rsidR="00FE7B1A" w:rsidRPr="00A664D2" w:rsidRDefault="00FE7B1A" w:rsidP="00163800">
            <w:pPr>
              <w:rPr>
                <w:b/>
              </w:rPr>
            </w:pPr>
          </w:p>
        </w:tc>
        <w:tc>
          <w:tcPr>
            <w:tcW w:w="3930" w:type="dxa"/>
          </w:tcPr>
          <w:p w:rsidR="00FE7B1A" w:rsidRPr="00A664D2" w:rsidRDefault="00FE7B1A" w:rsidP="00163800">
            <w:pPr>
              <w:rPr>
                <w:b/>
              </w:rPr>
            </w:pPr>
          </w:p>
        </w:tc>
        <w:tc>
          <w:tcPr>
            <w:tcW w:w="1405" w:type="dxa"/>
          </w:tcPr>
          <w:p w:rsidR="00FE7B1A" w:rsidRPr="00A664D2" w:rsidRDefault="00FE7B1A" w:rsidP="00163800">
            <w:pPr>
              <w:rPr>
                <w:b/>
              </w:rPr>
            </w:pPr>
          </w:p>
        </w:tc>
        <w:tc>
          <w:tcPr>
            <w:tcW w:w="1405" w:type="dxa"/>
          </w:tcPr>
          <w:p w:rsidR="00FE7B1A" w:rsidRPr="00A664D2" w:rsidRDefault="00FE7B1A" w:rsidP="00163800">
            <w:pPr>
              <w:rPr>
                <w:b/>
              </w:rPr>
            </w:pPr>
          </w:p>
        </w:tc>
        <w:tc>
          <w:tcPr>
            <w:tcW w:w="1405" w:type="dxa"/>
          </w:tcPr>
          <w:p w:rsidR="00FE7B1A" w:rsidRPr="00A664D2" w:rsidRDefault="00FE7B1A" w:rsidP="00163800">
            <w:pPr>
              <w:rPr>
                <w:b/>
              </w:rPr>
            </w:pPr>
          </w:p>
        </w:tc>
      </w:tr>
    </w:tbl>
    <w:p w:rsidR="00145D0D" w:rsidRDefault="00145D0D">
      <w:pPr>
        <w:rPr>
          <w:sz w:val="22"/>
        </w:rPr>
      </w:pPr>
    </w:p>
    <w:p w:rsidR="0086732E" w:rsidRDefault="0086732E">
      <w:pPr>
        <w:rPr>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8"/>
        <w:gridCol w:w="6117"/>
        <w:gridCol w:w="1552"/>
        <w:gridCol w:w="2464"/>
        <w:gridCol w:w="2007"/>
        <w:gridCol w:w="2022"/>
      </w:tblGrid>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noWrap/>
            <w:vAlign w:val="center"/>
            <w:hideMark/>
          </w:tcPr>
          <w:p w:rsidR="001C50F7" w:rsidRPr="001C50F7" w:rsidRDefault="001C50F7">
            <w:pPr>
              <w:jc w:val="center"/>
              <w:rPr>
                <w:rFonts w:eastAsia="Times New Roman"/>
                <w:sz w:val="22"/>
              </w:rPr>
            </w:pPr>
            <w:r w:rsidRPr="001C50F7">
              <w:rPr>
                <w:sz w:val="22"/>
              </w:rPr>
              <w:t>Nr. p. k.</w:t>
            </w:r>
          </w:p>
        </w:tc>
        <w:tc>
          <w:tcPr>
            <w:tcW w:w="2000" w:type="pct"/>
            <w:tcBorders>
              <w:top w:val="outset" w:sz="6" w:space="0" w:color="auto"/>
              <w:left w:val="outset" w:sz="6" w:space="0" w:color="auto"/>
              <w:bottom w:val="outset" w:sz="6" w:space="0" w:color="auto"/>
              <w:right w:val="outset" w:sz="6" w:space="0" w:color="auto"/>
            </w:tcBorders>
            <w:vAlign w:val="center"/>
            <w:hideMark/>
          </w:tcPr>
          <w:p w:rsidR="001C50F7" w:rsidRPr="001C50F7" w:rsidRDefault="001C50F7">
            <w:pPr>
              <w:jc w:val="center"/>
              <w:rPr>
                <w:sz w:val="22"/>
              </w:rPr>
            </w:pPr>
            <w:r w:rsidRPr="001C50F7">
              <w:rPr>
                <w:sz w:val="22"/>
              </w:rPr>
              <w:t>Emisijas klasifikācija</w:t>
            </w:r>
          </w:p>
        </w:tc>
        <w:tc>
          <w:tcPr>
            <w:tcW w:w="500" w:type="pct"/>
            <w:tcBorders>
              <w:top w:val="outset" w:sz="6" w:space="0" w:color="auto"/>
              <w:left w:val="outset" w:sz="6" w:space="0" w:color="auto"/>
              <w:bottom w:val="outset" w:sz="6" w:space="0" w:color="auto"/>
              <w:right w:val="outset" w:sz="6" w:space="0" w:color="auto"/>
            </w:tcBorders>
            <w:vAlign w:val="center"/>
            <w:hideMark/>
          </w:tcPr>
          <w:p w:rsidR="001C50F7" w:rsidRPr="001C50F7" w:rsidRDefault="001C50F7">
            <w:pPr>
              <w:jc w:val="center"/>
              <w:rPr>
                <w:sz w:val="22"/>
              </w:rPr>
            </w:pPr>
            <w:r w:rsidRPr="001C50F7">
              <w:rPr>
                <w:sz w:val="22"/>
              </w:rPr>
              <w:t>Mērvienība</w:t>
            </w:r>
          </w:p>
        </w:tc>
        <w:tc>
          <w:tcPr>
            <w:tcW w:w="800" w:type="pct"/>
            <w:tcBorders>
              <w:top w:val="outset" w:sz="6" w:space="0" w:color="auto"/>
              <w:left w:val="outset" w:sz="6" w:space="0" w:color="auto"/>
              <w:bottom w:val="outset" w:sz="6" w:space="0" w:color="auto"/>
              <w:right w:val="outset" w:sz="6" w:space="0" w:color="auto"/>
            </w:tcBorders>
            <w:vAlign w:val="center"/>
            <w:hideMark/>
          </w:tcPr>
          <w:p w:rsidR="001C50F7" w:rsidRPr="001C50F7" w:rsidRDefault="001C50F7">
            <w:pPr>
              <w:jc w:val="center"/>
              <w:rPr>
                <w:sz w:val="22"/>
              </w:rPr>
            </w:pPr>
            <w:r w:rsidRPr="001C50F7">
              <w:rPr>
                <w:sz w:val="22"/>
              </w:rPr>
              <w:t>Likme laikposmā no 2014.gada 1.janvāra līdz 2014.gada 31.decembrim</w:t>
            </w:r>
            <w:r w:rsidRPr="001C50F7">
              <w:rPr>
                <w:sz w:val="22"/>
              </w:rPr>
              <w:br/>
              <w:t>(</w:t>
            </w:r>
            <w:r w:rsidRPr="001C50F7">
              <w:rPr>
                <w:i/>
                <w:iCs/>
                <w:sz w:val="22"/>
              </w:rPr>
              <w:t>euro</w:t>
            </w:r>
            <w:r w:rsidRPr="001C50F7">
              <w:rPr>
                <w:sz w:val="22"/>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1C50F7" w:rsidRPr="001C50F7" w:rsidRDefault="001C50F7">
            <w:pPr>
              <w:jc w:val="center"/>
              <w:rPr>
                <w:sz w:val="22"/>
              </w:rPr>
            </w:pPr>
            <w:r w:rsidRPr="001C50F7">
              <w:rPr>
                <w:sz w:val="22"/>
              </w:rPr>
              <w:t>Likme laikposmā no 2015.gada 1.janvāra līdz 2016.gada 31.decembrim</w:t>
            </w:r>
            <w:r w:rsidRPr="001C50F7">
              <w:rPr>
                <w:sz w:val="22"/>
              </w:rPr>
              <w:br/>
              <w:t>(</w:t>
            </w:r>
            <w:r w:rsidRPr="001C50F7">
              <w:rPr>
                <w:i/>
                <w:iCs/>
                <w:sz w:val="22"/>
              </w:rPr>
              <w:t>euro</w:t>
            </w:r>
            <w:r w:rsidRPr="001C50F7">
              <w:rPr>
                <w:sz w:val="22"/>
              </w:rPr>
              <w:t>)</w:t>
            </w:r>
          </w:p>
        </w:tc>
        <w:tc>
          <w:tcPr>
            <w:tcW w:w="650" w:type="pct"/>
            <w:tcBorders>
              <w:top w:val="outset" w:sz="6" w:space="0" w:color="auto"/>
              <w:left w:val="outset" w:sz="6" w:space="0" w:color="auto"/>
              <w:bottom w:val="outset" w:sz="6" w:space="0" w:color="auto"/>
              <w:right w:val="outset" w:sz="6" w:space="0" w:color="auto"/>
            </w:tcBorders>
            <w:vAlign w:val="center"/>
            <w:hideMark/>
          </w:tcPr>
          <w:p w:rsidR="001C50F7" w:rsidRPr="001C50F7" w:rsidRDefault="001C50F7">
            <w:pPr>
              <w:jc w:val="center"/>
              <w:rPr>
                <w:sz w:val="22"/>
              </w:rPr>
            </w:pPr>
            <w:r w:rsidRPr="001C50F7">
              <w:rPr>
                <w:sz w:val="22"/>
              </w:rPr>
              <w:t>Likme no 2017.gada 1.janvāra</w:t>
            </w:r>
            <w:r w:rsidRPr="001C50F7">
              <w:rPr>
                <w:sz w:val="22"/>
              </w:rPr>
              <w:br/>
              <w:t>(</w:t>
            </w:r>
            <w:r w:rsidRPr="001C50F7">
              <w:rPr>
                <w:i/>
                <w:iCs/>
                <w:sz w:val="22"/>
              </w:rPr>
              <w:t>euro</w:t>
            </w:r>
            <w:r w:rsidRPr="001C50F7">
              <w:rPr>
                <w:sz w:val="22"/>
              </w:rPr>
              <w:t>)</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1.</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Oglekļa dioksīda (CO</w:t>
            </w:r>
            <w:r w:rsidRPr="001C50F7">
              <w:rPr>
                <w:sz w:val="22"/>
                <w:vertAlign w:val="subscript"/>
              </w:rPr>
              <w:t>2</w:t>
            </w:r>
            <w:r w:rsidRPr="001C50F7">
              <w:rPr>
                <w:sz w:val="22"/>
              </w:rPr>
              <w:t>) emisija no likuma "Par piesārņojumu" 2.pielikuma I nodaļas 1.punktā minētās piesārņojošās darbības, ja ražošanas jauda nepārsniedz likuma "Par piesārņojumu" 2.pielikumā minēto rādītāju</w:t>
            </w:r>
          </w:p>
        </w:tc>
        <w:tc>
          <w:tcPr>
            <w:tcW w:w="5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2,85</w:t>
            </w:r>
          </w:p>
        </w:tc>
        <w:tc>
          <w:tcPr>
            <w:tcW w:w="65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3,50</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1C50F7" w:rsidRPr="001C50F7" w:rsidRDefault="001C50F7">
            <w:pPr>
              <w:jc w:val="right"/>
              <w:rPr>
                <w:sz w:val="22"/>
              </w:rPr>
            </w:pPr>
            <w:r w:rsidRPr="001C50F7">
              <w:rPr>
                <w:sz w:val="22"/>
              </w:rPr>
              <w:t>4,50</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2.</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Oglekļa dioksīda (CO</w:t>
            </w:r>
            <w:r w:rsidRPr="001C50F7">
              <w:rPr>
                <w:sz w:val="22"/>
                <w:vertAlign w:val="subscript"/>
              </w:rPr>
              <w:t>2</w:t>
            </w:r>
            <w:r w:rsidRPr="001C50F7">
              <w:rPr>
                <w:sz w:val="22"/>
              </w:rPr>
              <w:t>) emisija no likuma "Par piesārņojumu" 2.pielikuma I nodaļas 5., 6., 8., 9., 10., 11., 12., 13.,14., 15., 17., 18., 23. un 24.punktā minētās piesārņojošās darbības, ja ražošanas jauda vai saražotās produkcijas apjoms nepārsniedz likuma "Par piesārņojumu" 2.pielikuma I nodaļā minēto rādītāju un tai nav izsniegta siltumnīcefekta gāzu emisijas atļauja</w:t>
            </w:r>
          </w:p>
        </w:tc>
        <w:tc>
          <w:tcPr>
            <w:tcW w:w="5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2,85</w:t>
            </w:r>
          </w:p>
        </w:tc>
        <w:tc>
          <w:tcPr>
            <w:tcW w:w="65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3,50</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1C50F7" w:rsidRPr="001C50F7" w:rsidRDefault="001C50F7">
            <w:pPr>
              <w:jc w:val="right"/>
              <w:rPr>
                <w:sz w:val="22"/>
              </w:rPr>
            </w:pPr>
            <w:r w:rsidRPr="001C50F7">
              <w:rPr>
                <w:sz w:val="22"/>
              </w:rPr>
              <w:t>4,50</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3.</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Daļiņas PM</w:t>
            </w:r>
            <w:r w:rsidRPr="001C50F7">
              <w:rPr>
                <w:sz w:val="22"/>
                <w:vertAlign w:val="subscript"/>
              </w:rPr>
              <w:t>10</w:t>
            </w:r>
          </w:p>
        </w:tc>
        <w:tc>
          <w:tcPr>
            <w:tcW w:w="5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right"/>
              <w:rPr>
                <w:sz w:val="22"/>
              </w:rPr>
            </w:pPr>
            <w:r w:rsidRPr="001C50F7">
              <w:rPr>
                <w:sz w:val="22"/>
              </w:rPr>
              <w:t>51,22</w:t>
            </w:r>
          </w:p>
        </w:tc>
        <w:tc>
          <w:tcPr>
            <w:tcW w:w="65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right"/>
              <w:rPr>
                <w:sz w:val="22"/>
              </w:rPr>
            </w:pPr>
            <w:r w:rsidRPr="001C50F7">
              <w:rPr>
                <w:sz w:val="22"/>
              </w:rPr>
              <w:t>75,00</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1C50F7" w:rsidRPr="001C50F7" w:rsidRDefault="001C50F7">
            <w:pPr>
              <w:jc w:val="right"/>
              <w:rPr>
                <w:sz w:val="22"/>
              </w:rPr>
            </w:pPr>
            <w:r w:rsidRPr="001C50F7">
              <w:rPr>
                <w:sz w:val="22"/>
              </w:rPr>
              <w:t>75,00</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4.</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Oglekļa monoksīds (CO)</w:t>
            </w:r>
          </w:p>
        </w:tc>
        <w:tc>
          <w:tcPr>
            <w:tcW w:w="5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right"/>
              <w:rPr>
                <w:sz w:val="22"/>
              </w:rPr>
            </w:pPr>
            <w:r w:rsidRPr="001C50F7">
              <w:rPr>
                <w:sz w:val="22"/>
              </w:rPr>
              <w:t>7,83</w:t>
            </w:r>
          </w:p>
        </w:tc>
        <w:tc>
          <w:tcPr>
            <w:tcW w:w="65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right"/>
              <w:rPr>
                <w:sz w:val="22"/>
              </w:rPr>
            </w:pPr>
            <w:r w:rsidRPr="001C50F7">
              <w:rPr>
                <w:sz w:val="22"/>
              </w:rPr>
              <w:t>7,83</w:t>
            </w:r>
          </w:p>
        </w:tc>
        <w:tc>
          <w:tcPr>
            <w:tcW w:w="650" w:type="pct"/>
            <w:tcBorders>
              <w:top w:val="outset" w:sz="6" w:space="0" w:color="auto"/>
              <w:left w:val="outset" w:sz="6" w:space="0" w:color="auto"/>
              <w:bottom w:val="outset" w:sz="6" w:space="0" w:color="auto"/>
              <w:right w:val="outset" w:sz="6" w:space="0" w:color="auto"/>
            </w:tcBorders>
            <w:shd w:val="clear" w:color="auto" w:fill="FFFFFF"/>
            <w:hideMark/>
          </w:tcPr>
          <w:p w:rsidR="001C50F7" w:rsidRPr="001C50F7" w:rsidRDefault="001C50F7">
            <w:pPr>
              <w:jc w:val="right"/>
              <w:rPr>
                <w:sz w:val="22"/>
              </w:rPr>
            </w:pPr>
            <w:r w:rsidRPr="001C50F7">
              <w:rPr>
                <w:sz w:val="22"/>
              </w:rPr>
              <w:t>7,83</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5.</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Amonjaks (NH</w:t>
            </w:r>
            <w:r w:rsidRPr="001C50F7">
              <w:rPr>
                <w:sz w:val="22"/>
                <w:vertAlign w:val="subscript"/>
              </w:rPr>
              <w:t>3</w:t>
            </w:r>
            <w:r w:rsidRPr="001C50F7">
              <w:rPr>
                <w:sz w:val="22"/>
              </w:rPr>
              <w:t>), sērūdeņradis (H</w:t>
            </w:r>
            <w:r w:rsidRPr="001C50F7">
              <w:rPr>
                <w:sz w:val="22"/>
                <w:vertAlign w:val="subscript"/>
              </w:rPr>
              <w:t>2</w:t>
            </w:r>
            <w:r w:rsidRPr="001C50F7">
              <w:rPr>
                <w:sz w:val="22"/>
              </w:rPr>
              <w:t>S) un pārējie neorganiskie savienojumi</w:t>
            </w:r>
          </w:p>
        </w:tc>
        <w:tc>
          <w:tcPr>
            <w:tcW w:w="5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18,50</w:t>
            </w:r>
          </w:p>
        </w:tc>
        <w:tc>
          <w:tcPr>
            <w:tcW w:w="65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18,50</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1C50F7" w:rsidRPr="001C50F7" w:rsidRDefault="001C50F7">
            <w:pPr>
              <w:jc w:val="right"/>
              <w:rPr>
                <w:sz w:val="22"/>
              </w:rPr>
            </w:pPr>
            <w:r w:rsidRPr="001C50F7">
              <w:rPr>
                <w:sz w:val="22"/>
              </w:rPr>
              <w:t>18,50</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6.</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Sēra dioksīds (SO</w:t>
            </w:r>
            <w:r w:rsidRPr="001C50F7">
              <w:rPr>
                <w:sz w:val="22"/>
                <w:vertAlign w:val="subscript"/>
              </w:rPr>
              <w:t>2</w:t>
            </w:r>
            <w:r w:rsidRPr="001C50F7">
              <w:rPr>
                <w:sz w:val="22"/>
              </w:rPr>
              <w:t>), slāpekļa oksīdi (NO</w:t>
            </w:r>
            <w:r w:rsidRPr="001C50F7">
              <w:rPr>
                <w:sz w:val="22"/>
                <w:vertAlign w:val="subscript"/>
              </w:rPr>
              <w:t>x</w:t>
            </w:r>
            <w:r w:rsidRPr="001C50F7">
              <w:rPr>
                <w:sz w:val="22"/>
              </w:rPr>
              <w:t> – slāpekļa oksīdu summa, pārrēķināta uz NO</w:t>
            </w:r>
            <w:r w:rsidRPr="001C50F7">
              <w:rPr>
                <w:sz w:val="22"/>
                <w:vertAlign w:val="subscript"/>
              </w:rPr>
              <w:t>2</w:t>
            </w:r>
            <w:r w:rsidRPr="001C50F7">
              <w:rPr>
                <w:sz w:val="22"/>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85,37</w:t>
            </w:r>
          </w:p>
        </w:tc>
        <w:tc>
          <w:tcPr>
            <w:tcW w:w="65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85,37</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1C50F7" w:rsidRPr="001C50F7" w:rsidRDefault="001C50F7">
            <w:pPr>
              <w:jc w:val="right"/>
              <w:rPr>
                <w:sz w:val="22"/>
              </w:rPr>
            </w:pPr>
            <w:r w:rsidRPr="001C50F7">
              <w:rPr>
                <w:sz w:val="22"/>
              </w:rPr>
              <w:t>85,37</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7.</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Gaistošie organiskie savienojumi un citi ogļūdeņraži (C</w:t>
            </w:r>
            <w:r w:rsidRPr="001C50F7">
              <w:rPr>
                <w:sz w:val="22"/>
                <w:vertAlign w:val="subscript"/>
              </w:rPr>
              <w:t>n</w:t>
            </w:r>
            <w:r w:rsidRPr="001C50F7">
              <w:rPr>
                <w:sz w:val="22"/>
              </w:rPr>
              <w:t>H</w:t>
            </w:r>
            <w:r w:rsidRPr="001C50F7">
              <w:rPr>
                <w:sz w:val="22"/>
                <w:vertAlign w:val="subscript"/>
              </w:rPr>
              <w:t>m</w:t>
            </w:r>
            <w:r w:rsidRPr="001C50F7">
              <w:rPr>
                <w:sz w:val="22"/>
              </w:rPr>
              <w:t>)</w:t>
            </w:r>
          </w:p>
        </w:tc>
        <w:tc>
          <w:tcPr>
            <w:tcW w:w="5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85,37</w:t>
            </w:r>
          </w:p>
        </w:tc>
        <w:tc>
          <w:tcPr>
            <w:tcW w:w="65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85,37</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1C50F7" w:rsidRPr="001C50F7" w:rsidRDefault="001C50F7">
            <w:pPr>
              <w:jc w:val="right"/>
              <w:rPr>
                <w:sz w:val="22"/>
              </w:rPr>
            </w:pPr>
            <w:r w:rsidRPr="001C50F7">
              <w:rPr>
                <w:sz w:val="22"/>
              </w:rPr>
              <w:t>85,37</w:t>
            </w:r>
          </w:p>
        </w:tc>
      </w:tr>
      <w:tr w:rsidR="001C50F7" w:rsidTr="001C50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1C50F7" w:rsidRPr="001C50F7" w:rsidRDefault="001C50F7">
            <w:pPr>
              <w:jc w:val="center"/>
              <w:rPr>
                <w:sz w:val="22"/>
              </w:rPr>
            </w:pPr>
            <w:r w:rsidRPr="001C50F7">
              <w:rPr>
                <w:sz w:val="22"/>
              </w:rPr>
              <w:t>8.</w:t>
            </w:r>
          </w:p>
        </w:tc>
        <w:tc>
          <w:tcPr>
            <w:tcW w:w="2000" w:type="pct"/>
            <w:tcBorders>
              <w:top w:val="outset" w:sz="6" w:space="0" w:color="auto"/>
              <w:left w:val="outset" w:sz="6" w:space="0" w:color="auto"/>
              <w:bottom w:val="outset" w:sz="6" w:space="0" w:color="auto"/>
              <w:right w:val="outset" w:sz="6" w:space="0" w:color="auto"/>
            </w:tcBorders>
            <w:hideMark/>
          </w:tcPr>
          <w:p w:rsidR="001C50F7" w:rsidRPr="001C50F7" w:rsidRDefault="001C50F7">
            <w:pPr>
              <w:rPr>
                <w:sz w:val="22"/>
              </w:rPr>
            </w:pPr>
            <w:r w:rsidRPr="001C50F7">
              <w:rPr>
                <w:sz w:val="22"/>
              </w:rPr>
              <w:t>Smagie metāli (Cd, Ni, Sn, Hg, Pb, Zn, Cr, As, Se, Cu) un to savienojumi, pārrēķināti uz attiecīgo metālu, un vanādija pentoksīds, pārrēķināts uz vanādiju</w:t>
            </w:r>
          </w:p>
        </w:tc>
        <w:tc>
          <w:tcPr>
            <w:tcW w:w="5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center"/>
              <w:rPr>
                <w:sz w:val="22"/>
              </w:rPr>
            </w:pPr>
            <w:r w:rsidRPr="001C50F7">
              <w:rPr>
                <w:sz w:val="22"/>
              </w:rPr>
              <w:t>tonna</w:t>
            </w:r>
          </w:p>
        </w:tc>
        <w:tc>
          <w:tcPr>
            <w:tcW w:w="80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1138,30</w:t>
            </w:r>
          </w:p>
        </w:tc>
        <w:tc>
          <w:tcPr>
            <w:tcW w:w="650" w:type="pct"/>
            <w:tcBorders>
              <w:top w:val="outset" w:sz="6" w:space="0" w:color="auto"/>
              <w:left w:val="outset" w:sz="6" w:space="0" w:color="auto"/>
              <w:bottom w:val="outset" w:sz="6" w:space="0" w:color="auto"/>
              <w:right w:val="outset" w:sz="6" w:space="0" w:color="auto"/>
            </w:tcBorders>
            <w:vAlign w:val="bottom"/>
            <w:hideMark/>
          </w:tcPr>
          <w:p w:rsidR="001C50F7" w:rsidRPr="001C50F7" w:rsidRDefault="001C50F7">
            <w:pPr>
              <w:jc w:val="right"/>
              <w:rPr>
                <w:sz w:val="22"/>
              </w:rPr>
            </w:pPr>
            <w:r w:rsidRPr="001C50F7">
              <w:rPr>
                <w:sz w:val="22"/>
              </w:rPr>
              <w:t>1138,30</w:t>
            </w:r>
          </w:p>
        </w:tc>
        <w:tc>
          <w:tcPr>
            <w:tcW w:w="650"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1C50F7" w:rsidRPr="001C50F7" w:rsidRDefault="001C50F7">
            <w:pPr>
              <w:jc w:val="right"/>
              <w:rPr>
                <w:sz w:val="22"/>
              </w:rPr>
            </w:pPr>
            <w:r w:rsidRPr="001C50F7">
              <w:rPr>
                <w:sz w:val="22"/>
              </w:rPr>
              <w:t>1138,30</w:t>
            </w:r>
          </w:p>
        </w:tc>
      </w:tr>
    </w:tbl>
    <w:p w:rsidR="001C50F7" w:rsidRDefault="001C50F7">
      <w:pPr>
        <w:rPr>
          <w:sz w:val="22"/>
        </w:rPr>
      </w:pPr>
    </w:p>
    <w:p w:rsidR="0086732E" w:rsidRDefault="0086732E">
      <w:pPr>
        <w:rPr>
          <w:sz w:val="22"/>
        </w:rPr>
      </w:pPr>
    </w:p>
    <w:p w:rsidR="0086732E" w:rsidRDefault="0086732E">
      <w:pPr>
        <w:rPr>
          <w:sz w:val="22"/>
        </w:rPr>
      </w:pPr>
    </w:p>
    <w:p w:rsidR="0086732E" w:rsidRDefault="0086732E">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FE7B1A" w:rsidRPr="00A664D2" w:rsidTr="00FE7B1A">
        <w:tc>
          <w:tcPr>
            <w:tcW w:w="3969" w:type="dxa"/>
            <w:shd w:val="clear" w:color="auto" w:fill="auto"/>
          </w:tcPr>
          <w:p w:rsidR="00FE7B1A" w:rsidRPr="00A664D2" w:rsidRDefault="00FE7B1A" w:rsidP="00163800">
            <w:pPr>
              <w:jc w:val="center"/>
              <w:rPr>
                <w:b/>
                <w:bCs/>
                <w:iCs/>
              </w:rPr>
            </w:pPr>
            <w:r w:rsidRPr="00A664D2">
              <w:rPr>
                <w:b/>
                <w:bCs/>
                <w:iCs/>
              </w:rPr>
              <w:t>Spēkā esošā redakcija</w:t>
            </w:r>
          </w:p>
        </w:tc>
        <w:tc>
          <w:tcPr>
            <w:tcW w:w="3969" w:type="dxa"/>
          </w:tcPr>
          <w:p w:rsidR="00FE7B1A" w:rsidRPr="00A664D2" w:rsidRDefault="00FE7B1A" w:rsidP="00163800">
            <w:pPr>
              <w:jc w:val="center"/>
              <w:rPr>
                <w:b/>
              </w:rPr>
            </w:pPr>
            <w:r>
              <w:rPr>
                <w:b/>
              </w:rPr>
              <w:t>Pirmā lasījuma redakcija</w:t>
            </w:r>
          </w:p>
        </w:tc>
        <w:tc>
          <w:tcPr>
            <w:tcW w:w="567" w:type="dxa"/>
          </w:tcPr>
          <w:p w:rsidR="00FE7B1A" w:rsidRPr="001B3F41" w:rsidRDefault="00FE7B1A" w:rsidP="00655A02">
            <w:pPr>
              <w:jc w:val="center"/>
              <w:rPr>
                <w:b/>
              </w:rPr>
            </w:pPr>
            <w:r>
              <w:rPr>
                <w:b/>
              </w:rPr>
              <w:t>Nr.</w:t>
            </w:r>
          </w:p>
        </w:tc>
        <w:tc>
          <w:tcPr>
            <w:tcW w:w="3969" w:type="dxa"/>
          </w:tcPr>
          <w:p w:rsidR="00FE7B1A" w:rsidRDefault="00FE7B1A" w:rsidP="00FE7B1A">
            <w:pPr>
              <w:jc w:val="center"/>
              <w:rPr>
                <w:b/>
              </w:rPr>
            </w:pPr>
            <w:r>
              <w:rPr>
                <w:b/>
              </w:rPr>
              <w:t>Priekšlikumi</w:t>
            </w:r>
          </w:p>
          <w:p w:rsidR="00FE7B1A" w:rsidRPr="001B3F41" w:rsidRDefault="00FE7B1A" w:rsidP="00FE7B1A">
            <w:pPr>
              <w:jc w:val="center"/>
              <w:rPr>
                <w:b/>
              </w:rPr>
            </w:pPr>
            <w:r>
              <w:rPr>
                <w:b/>
              </w:rPr>
              <w:t>(</w:t>
            </w:r>
            <w:r w:rsidR="00323DED">
              <w:rPr>
                <w:b/>
              </w:rPr>
              <w:t>22</w:t>
            </w:r>
            <w:r>
              <w:rPr>
                <w:b/>
              </w:rPr>
              <w:t>)</w:t>
            </w:r>
          </w:p>
        </w:tc>
        <w:tc>
          <w:tcPr>
            <w:tcW w:w="1418" w:type="dxa"/>
          </w:tcPr>
          <w:p w:rsidR="00FE7B1A" w:rsidRPr="001B3F41" w:rsidRDefault="00FE7B1A" w:rsidP="00163800">
            <w:pPr>
              <w:jc w:val="center"/>
              <w:rPr>
                <w:b/>
              </w:rPr>
            </w:pPr>
            <w:r>
              <w:rPr>
                <w:b/>
              </w:rPr>
              <w:t>Ministru kabineta atzinums</w:t>
            </w:r>
          </w:p>
        </w:tc>
        <w:tc>
          <w:tcPr>
            <w:tcW w:w="1418" w:type="dxa"/>
          </w:tcPr>
          <w:p w:rsidR="00FE7B1A" w:rsidRPr="001B3F41" w:rsidRDefault="00FE7B1A" w:rsidP="00163800">
            <w:pPr>
              <w:jc w:val="center"/>
              <w:rPr>
                <w:b/>
              </w:rPr>
            </w:pPr>
            <w:r>
              <w:rPr>
                <w:b/>
              </w:rPr>
              <w:t>Komisijas atzinums</w:t>
            </w:r>
          </w:p>
        </w:tc>
      </w:tr>
      <w:tr w:rsidR="00FE7B1A" w:rsidRPr="00261CD0" w:rsidTr="00FE7B1A">
        <w:tc>
          <w:tcPr>
            <w:tcW w:w="3969" w:type="dxa"/>
            <w:shd w:val="clear" w:color="auto" w:fill="auto"/>
          </w:tcPr>
          <w:p w:rsidR="00FE7B1A" w:rsidRPr="00A664D2" w:rsidRDefault="00FE7B1A" w:rsidP="00163800">
            <w:pPr>
              <w:ind w:firstLine="567"/>
              <w:jc w:val="both"/>
              <w:rPr>
                <w:bCs/>
                <w:iCs/>
                <w:sz w:val="22"/>
              </w:rPr>
            </w:pPr>
          </w:p>
        </w:tc>
        <w:tc>
          <w:tcPr>
            <w:tcW w:w="3969" w:type="dxa"/>
          </w:tcPr>
          <w:p w:rsidR="00FE7B1A" w:rsidRPr="00BC1843" w:rsidRDefault="00FE7B1A" w:rsidP="00BC1843">
            <w:pPr>
              <w:ind w:firstLine="567"/>
              <w:jc w:val="both"/>
              <w:rPr>
                <w:sz w:val="22"/>
              </w:rPr>
            </w:pPr>
            <w:r w:rsidRPr="00BC1843">
              <w:rPr>
                <w:sz w:val="22"/>
              </w:rPr>
              <w:t>8. Izteikt 9. pielikuma tabulu šādā redakcijā:</w:t>
            </w:r>
          </w:p>
          <w:p w:rsidR="00FE7B1A" w:rsidRPr="006B28C8" w:rsidRDefault="00FE7B1A" w:rsidP="00BC1843">
            <w:pPr>
              <w:ind w:firstLine="567"/>
              <w:jc w:val="both"/>
              <w:rPr>
                <w:sz w:val="22"/>
              </w:rPr>
            </w:pPr>
            <w:r w:rsidRPr="00BC1843">
              <w:rPr>
                <w:bCs/>
                <w:sz w:val="22"/>
              </w:rPr>
              <w:t>"</w:t>
            </w:r>
            <w:r w:rsidRPr="00BC1843">
              <w:rPr>
                <w:b/>
                <w:bCs/>
                <w:sz w:val="22"/>
              </w:rPr>
              <w:t>Nodokļa likmes par akmeņoglēm, koksu un lignītu (brūnoglēm)</w:t>
            </w:r>
          </w:p>
          <w:p w:rsidR="00FE7B1A" w:rsidRDefault="00FE7B1A" w:rsidP="00163800">
            <w:pPr>
              <w:ind w:firstLine="567"/>
              <w:jc w:val="both"/>
              <w:rPr>
                <w:rFonts w:eastAsia="Times New Roman"/>
                <w:b/>
                <w:bCs/>
                <w:i/>
                <w:color w:val="000000"/>
                <w:sz w:val="22"/>
                <w:lang w:eastAsia="lv-LV"/>
              </w:rPr>
            </w:pPr>
          </w:p>
          <w:p w:rsidR="00FE7B1A" w:rsidRPr="006B28C8" w:rsidRDefault="00FE7B1A" w:rsidP="00163800">
            <w:pPr>
              <w:ind w:firstLine="567"/>
              <w:jc w:val="both"/>
              <w:rPr>
                <w:rFonts w:eastAsia="Times New Roman"/>
                <w:b/>
                <w:bCs/>
                <w:color w:val="000000"/>
                <w:sz w:val="22"/>
                <w:lang w:eastAsia="lv-LV"/>
              </w:rPr>
            </w:pPr>
            <w:r w:rsidRPr="006B28C8">
              <w:rPr>
                <w:rFonts w:eastAsia="Times New Roman"/>
                <w:b/>
                <w:bCs/>
                <w:i/>
                <w:color w:val="000000"/>
                <w:sz w:val="22"/>
                <w:lang w:eastAsia="lv-LV"/>
              </w:rPr>
              <w:t xml:space="preserve">ailes turpinājums </w:t>
            </w:r>
            <w:r w:rsidRPr="006B28C8">
              <w:rPr>
                <w:rFonts w:eastAsia="Times New Roman"/>
                <w:b/>
                <w:bCs/>
                <w:color w:val="000000"/>
                <w:sz w:val="22"/>
                <w:lang w:eastAsia="lv-LV"/>
              </w:rPr>
              <w:t>↓↓↓</w:t>
            </w:r>
          </w:p>
          <w:p w:rsidR="00FE7B1A" w:rsidRPr="00261CD0" w:rsidRDefault="00FE7B1A" w:rsidP="00163800">
            <w:pPr>
              <w:ind w:firstLine="567"/>
              <w:jc w:val="both"/>
            </w:pPr>
          </w:p>
        </w:tc>
        <w:tc>
          <w:tcPr>
            <w:tcW w:w="567" w:type="dxa"/>
          </w:tcPr>
          <w:p w:rsidR="00FE7B1A" w:rsidRPr="00655A02" w:rsidRDefault="00655A02" w:rsidP="00655A02">
            <w:pPr>
              <w:jc w:val="center"/>
              <w:rPr>
                <w:b/>
                <w:sz w:val="22"/>
              </w:rPr>
            </w:pPr>
            <w:r>
              <w:rPr>
                <w:b/>
                <w:sz w:val="22"/>
              </w:rPr>
              <w:t>22</w:t>
            </w:r>
          </w:p>
        </w:tc>
        <w:tc>
          <w:tcPr>
            <w:tcW w:w="3969" w:type="dxa"/>
          </w:tcPr>
          <w:p w:rsidR="00CA79EA" w:rsidRPr="00AF49E4" w:rsidRDefault="00CA79EA" w:rsidP="00CA79EA">
            <w:pPr>
              <w:ind w:firstLine="567"/>
              <w:jc w:val="both"/>
              <w:rPr>
                <w:rFonts w:eastAsia="Times New Roman"/>
                <w:b/>
                <w:iCs/>
                <w:color w:val="000000"/>
                <w:sz w:val="22"/>
                <w:u w:val="single"/>
                <w:lang w:eastAsia="lv-LV"/>
              </w:rPr>
            </w:pPr>
            <w:r w:rsidRPr="00AF49E4">
              <w:rPr>
                <w:rFonts w:eastAsia="Times New Roman"/>
                <w:b/>
                <w:iCs/>
                <w:color w:val="000000"/>
                <w:sz w:val="22"/>
                <w:u w:val="single"/>
                <w:lang w:eastAsia="lv-LV"/>
              </w:rPr>
              <w:t>Zaļo un Zemnieku savienības frakcija</w:t>
            </w:r>
          </w:p>
          <w:p w:rsidR="00F87911" w:rsidRPr="00F87911" w:rsidRDefault="00F87911" w:rsidP="00F87911">
            <w:pPr>
              <w:ind w:firstLine="567"/>
              <w:jc w:val="both"/>
              <w:rPr>
                <w:sz w:val="22"/>
              </w:rPr>
            </w:pPr>
            <w:r w:rsidRPr="00F87911">
              <w:rPr>
                <w:sz w:val="22"/>
              </w:rPr>
              <w:t>Izslēgt likumprojekta 8.</w:t>
            </w:r>
            <w:r w:rsidR="0086732E">
              <w:rPr>
                <w:sz w:val="22"/>
              </w:rPr>
              <w:t xml:space="preserve"> </w:t>
            </w:r>
            <w:r w:rsidRPr="00F87911">
              <w:rPr>
                <w:sz w:val="22"/>
              </w:rPr>
              <w:t>pantu, kas groza 9.pielikuma tabulu.</w:t>
            </w:r>
          </w:p>
          <w:p w:rsidR="00FE7B1A" w:rsidRPr="00BC1843" w:rsidRDefault="00FE7B1A" w:rsidP="00BC1843">
            <w:pPr>
              <w:ind w:firstLine="567"/>
              <w:jc w:val="both"/>
              <w:rPr>
                <w:sz w:val="22"/>
              </w:rPr>
            </w:pPr>
          </w:p>
        </w:tc>
        <w:tc>
          <w:tcPr>
            <w:tcW w:w="1418" w:type="dxa"/>
          </w:tcPr>
          <w:p w:rsidR="00FE7B1A" w:rsidRPr="00BC1843" w:rsidRDefault="00FE7B1A" w:rsidP="00BC1843">
            <w:pPr>
              <w:ind w:firstLine="567"/>
              <w:jc w:val="both"/>
              <w:rPr>
                <w:sz w:val="22"/>
              </w:rPr>
            </w:pPr>
          </w:p>
        </w:tc>
        <w:tc>
          <w:tcPr>
            <w:tcW w:w="1418" w:type="dxa"/>
          </w:tcPr>
          <w:p w:rsidR="00FE7B1A" w:rsidRPr="00BC1843" w:rsidRDefault="00FE7B1A" w:rsidP="00BC1843">
            <w:pPr>
              <w:ind w:firstLine="567"/>
              <w:jc w:val="both"/>
              <w:rPr>
                <w:sz w:val="22"/>
              </w:rPr>
            </w:pPr>
          </w:p>
        </w:tc>
      </w:tr>
    </w:tbl>
    <w:p w:rsidR="001C50F7" w:rsidRDefault="001C50F7">
      <w:pPr>
        <w:rPr>
          <w:sz w:val="22"/>
        </w:rPr>
      </w:pPr>
    </w:p>
    <w:tbl>
      <w:tblPr>
        <w:tblW w:w="498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97"/>
        <w:gridCol w:w="6297"/>
        <w:gridCol w:w="2345"/>
        <w:gridCol w:w="2818"/>
        <w:gridCol w:w="2815"/>
      </w:tblGrid>
      <w:tr w:rsidR="00BC1843" w:rsidRPr="00BC1843" w:rsidTr="00163800">
        <w:tc>
          <w:tcPr>
            <w:tcW w:w="264" w:type="pct"/>
            <w:tcBorders>
              <w:top w:val="outset" w:sz="6" w:space="0" w:color="414142"/>
              <w:left w:val="outset" w:sz="6" w:space="0" w:color="414142"/>
              <w:bottom w:val="outset" w:sz="6" w:space="0" w:color="414142"/>
              <w:right w:val="outset" w:sz="6" w:space="0" w:color="414142"/>
            </w:tcBorders>
            <w:noWrap/>
            <w:vAlign w:val="center"/>
            <w:hideMark/>
          </w:tcPr>
          <w:p w:rsidR="00BC1843" w:rsidRPr="00BC1843" w:rsidRDefault="00BC1843" w:rsidP="00BC1843">
            <w:pPr>
              <w:rPr>
                <w:sz w:val="22"/>
              </w:rPr>
            </w:pPr>
            <w:r w:rsidRPr="00BC1843">
              <w:rPr>
                <w:sz w:val="22"/>
              </w:rPr>
              <w:t>Nr.</w:t>
            </w:r>
          </w:p>
          <w:p w:rsidR="00BC1843" w:rsidRPr="00BC1843" w:rsidRDefault="00BC1843" w:rsidP="00BC1843">
            <w:pPr>
              <w:rPr>
                <w:sz w:val="22"/>
              </w:rPr>
            </w:pPr>
            <w:r w:rsidRPr="00BC1843">
              <w:rPr>
                <w:sz w:val="22"/>
              </w:rPr>
              <w:t>p. k.</w:t>
            </w:r>
          </w:p>
        </w:tc>
        <w:tc>
          <w:tcPr>
            <w:tcW w:w="2089"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Akmeņogļu, koksa un lignīta (brūnogļu) klasifikācija</w:t>
            </w:r>
          </w:p>
        </w:tc>
        <w:tc>
          <w:tcPr>
            <w:tcW w:w="778"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Mērvienība</w:t>
            </w:r>
          </w:p>
        </w:tc>
        <w:tc>
          <w:tcPr>
            <w:tcW w:w="935"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Likme laikposmā no 2019. gada 1. janvāra līdz 2019. gada 31. decembrim</w:t>
            </w:r>
            <w:r w:rsidRPr="00BC1843">
              <w:rPr>
                <w:sz w:val="22"/>
              </w:rPr>
              <w:br/>
              <w:t>(</w:t>
            </w:r>
            <w:r w:rsidRPr="00BC1843">
              <w:rPr>
                <w:i/>
                <w:iCs/>
                <w:sz w:val="22"/>
              </w:rPr>
              <w:t>euro</w:t>
            </w:r>
            <w:r w:rsidRPr="00BC1843">
              <w:rPr>
                <w:sz w:val="22"/>
              </w:rPr>
              <w:t>)</w:t>
            </w:r>
          </w:p>
        </w:tc>
        <w:tc>
          <w:tcPr>
            <w:tcW w:w="934" w:type="pct"/>
            <w:tcBorders>
              <w:top w:val="outset" w:sz="6" w:space="0" w:color="414142"/>
              <w:left w:val="outset" w:sz="6" w:space="0" w:color="414142"/>
              <w:bottom w:val="outset" w:sz="6" w:space="0" w:color="414142"/>
              <w:right w:val="outset" w:sz="6" w:space="0" w:color="414142"/>
            </w:tcBorders>
            <w:vAlign w:val="center"/>
          </w:tcPr>
          <w:p w:rsidR="00BC1843" w:rsidRPr="00BC1843" w:rsidRDefault="00BC1843" w:rsidP="00BC1843">
            <w:pPr>
              <w:rPr>
                <w:sz w:val="22"/>
              </w:rPr>
            </w:pPr>
            <w:r w:rsidRPr="00BC1843">
              <w:rPr>
                <w:sz w:val="22"/>
              </w:rPr>
              <w:t>Likme no 2020. gada 1. janvāra</w:t>
            </w:r>
            <w:r w:rsidRPr="00BC1843">
              <w:rPr>
                <w:sz w:val="22"/>
              </w:rPr>
              <w:br/>
              <w:t>(</w:t>
            </w:r>
            <w:r w:rsidRPr="00BC1843">
              <w:rPr>
                <w:i/>
                <w:iCs/>
                <w:sz w:val="22"/>
              </w:rPr>
              <w:t>euro</w:t>
            </w:r>
            <w:r w:rsidRPr="00BC1843">
              <w:rPr>
                <w:sz w:val="22"/>
              </w:rPr>
              <w:t>)</w:t>
            </w:r>
          </w:p>
        </w:tc>
      </w:tr>
      <w:tr w:rsidR="00BC1843" w:rsidRPr="00BC1843" w:rsidTr="00163800">
        <w:tc>
          <w:tcPr>
            <w:tcW w:w="264" w:type="pct"/>
            <w:tcBorders>
              <w:top w:val="outset" w:sz="6" w:space="0" w:color="414142"/>
              <w:left w:val="outset" w:sz="6" w:space="0" w:color="414142"/>
              <w:bottom w:val="outset" w:sz="6" w:space="0" w:color="414142"/>
              <w:right w:val="outset" w:sz="6" w:space="0" w:color="414142"/>
            </w:tcBorders>
            <w:hideMark/>
          </w:tcPr>
          <w:p w:rsidR="00BC1843" w:rsidRPr="00BC1843" w:rsidRDefault="00BC1843" w:rsidP="00BC1843">
            <w:pPr>
              <w:rPr>
                <w:sz w:val="22"/>
              </w:rPr>
            </w:pPr>
            <w:r w:rsidRPr="00BC1843">
              <w:rPr>
                <w:sz w:val="22"/>
              </w:rPr>
              <w:t>1.</w:t>
            </w:r>
          </w:p>
        </w:tc>
        <w:tc>
          <w:tcPr>
            <w:tcW w:w="2089" w:type="pct"/>
            <w:tcBorders>
              <w:top w:val="outset" w:sz="6" w:space="0" w:color="414142"/>
              <w:left w:val="outset" w:sz="6" w:space="0" w:color="414142"/>
              <w:bottom w:val="outset" w:sz="6" w:space="0" w:color="414142"/>
              <w:right w:val="outset" w:sz="6" w:space="0" w:color="414142"/>
            </w:tcBorders>
            <w:hideMark/>
          </w:tcPr>
          <w:p w:rsidR="00BC1843" w:rsidRPr="00BC1843" w:rsidRDefault="00BC1843" w:rsidP="00BC1843">
            <w:pPr>
              <w:rPr>
                <w:sz w:val="22"/>
              </w:rPr>
            </w:pPr>
            <w:r w:rsidRPr="00BC1843">
              <w:rPr>
                <w:sz w:val="22"/>
              </w:rPr>
              <w:t>Akmeņogles, kokss un lignīts (brūnogles) ar pavaddokumentos norādītu siltumspēju (GJ/t)</w:t>
            </w:r>
          </w:p>
        </w:tc>
        <w:tc>
          <w:tcPr>
            <w:tcW w:w="778"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GJ/t</w:t>
            </w:r>
          </w:p>
        </w:tc>
        <w:tc>
          <w:tcPr>
            <w:tcW w:w="935"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0,38</w:t>
            </w:r>
          </w:p>
        </w:tc>
        <w:tc>
          <w:tcPr>
            <w:tcW w:w="934" w:type="pct"/>
            <w:tcBorders>
              <w:top w:val="outset" w:sz="6" w:space="0" w:color="414142"/>
              <w:left w:val="outset" w:sz="6" w:space="0" w:color="414142"/>
              <w:bottom w:val="outset" w:sz="6" w:space="0" w:color="414142"/>
              <w:right w:val="outset" w:sz="6" w:space="0" w:color="414142"/>
            </w:tcBorders>
            <w:vAlign w:val="center"/>
          </w:tcPr>
          <w:p w:rsidR="00BC1843" w:rsidRPr="00BC1843" w:rsidRDefault="00BC1843" w:rsidP="00BC1843">
            <w:pPr>
              <w:rPr>
                <w:sz w:val="22"/>
              </w:rPr>
            </w:pPr>
            <w:r w:rsidRPr="00BC1843">
              <w:rPr>
                <w:sz w:val="22"/>
              </w:rPr>
              <w:t>0,76</w:t>
            </w:r>
          </w:p>
        </w:tc>
      </w:tr>
      <w:tr w:rsidR="00BC1843" w:rsidRPr="00BC1843" w:rsidTr="00163800">
        <w:tc>
          <w:tcPr>
            <w:tcW w:w="264" w:type="pct"/>
            <w:tcBorders>
              <w:top w:val="outset" w:sz="6" w:space="0" w:color="414142"/>
              <w:left w:val="outset" w:sz="6" w:space="0" w:color="414142"/>
              <w:bottom w:val="outset" w:sz="6" w:space="0" w:color="414142"/>
              <w:right w:val="outset" w:sz="6" w:space="0" w:color="414142"/>
            </w:tcBorders>
            <w:hideMark/>
          </w:tcPr>
          <w:p w:rsidR="00BC1843" w:rsidRPr="00BC1843" w:rsidRDefault="00BC1843" w:rsidP="00BC1843">
            <w:pPr>
              <w:rPr>
                <w:sz w:val="22"/>
              </w:rPr>
            </w:pPr>
            <w:r w:rsidRPr="00BC1843">
              <w:rPr>
                <w:sz w:val="22"/>
              </w:rPr>
              <w:t>2.</w:t>
            </w:r>
          </w:p>
        </w:tc>
        <w:tc>
          <w:tcPr>
            <w:tcW w:w="2089" w:type="pct"/>
            <w:tcBorders>
              <w:top w:val="outset" w:sz="6" w:space="0" w:color="414142"/>
              <w:left w:val="outset" w:sz="6" w:space="0" w:color="414142"/>
              <w:bottom w:val="outset" w:sz="6" w:space="0" w:color="414142"/>
              <w:right w:val="outset" w:sz="6" w:space="0" w:color="414142"/>
            </w:tcBorders>
            <w:hideMark/>
          </w:tcPr>
          <w:p w:rsidR="00BC1843" w:rsidRPr="00BC1843" w:rsidRDefault="00BC1843" w:rsidP="00BC1843">
            <w:pPr>
              <w:rPr>
                <w:sz w:val="22"/>
              </w:rPr>
            </w:pPr>
            <w:r w:rsidRPr="00BC1843">
              <w:rPr>
                <w:sz w:val="22"/>
              </w:rPr>
              <w:t>Akmeņogles, kokss un lignīts (brūnogles), ja pavaddokumentos nav norādīta siltumspēja</w:t>
            </w:r>
          </w:p>
        </w:tc>
        <w:tc>
          <w:tcPr>
            <w:tcW w:w="778"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t</w:t>
            </w:r>
          </w:p>
        </w:tc>
        <w:tc>
          <w:tcPr>
            <w:tcW w:w="935" w:type="pct"/>
            <w:tcBorders>
              <w:top w:val="outset" w:sz="6" w:space="0" w:color="414142"/>
              <w:left w:val="outset" w:sz="6" w:space="0" w:color="414142"/>
              <w:bottom w:val="outset" w:sz="6" w:space="0" w:color="414142"/>
              <w:right w:val="outset" w:sz="6" w:space="0" w:color="414142"/>
            </w:tcBorders>
            <w:vAlign w:val="center"/>
            <w:hideMark/>
          </w:tcPr>
          <w:p w:rsidR="00BC1843" w:rsidRPr="00BC1843" w:rsidRDefault="00BC1843" w:rsidP="00BC1843">
            <w:pPr>
              <w:rPr>
                <w:sz w:val="22"/>
              </w:rPr>
            </w:pPr>
            <w:r w:rsidRPr="00BC1843">
              <w:rPr>
                <w:sz w:val="22"/>
              </w:rPr>
              <w:t>10,65</w:t>
            </w:r>
          </w:p>
        </w:tc>
        <w:tc>
          <w:tcPr>
            <w:tcW w:w="934" w:type="pct"/>
            <w:tcBorders>
              <w:top w:val="outset" w:sz="6" w:space="0" w:color="414142"/>
              <w:left w:val="outset" w:sz="6" w:space="0" w:color="414142"/>
              <w:bottom w:val="outset" w:sz="6" w:space="0" w:color="414142"/>
              <w:right w:val="outset" w:sz="6" w:space="0" w:color="414142"/>
            </w:tcBorders>
            <w:vAlign w:val="center"/>
          </w:tcPr>
          <w:p w:rsidR="00BC1843" w:rsidRPr="00BC1843" w:rsidRDefault="00BC1843" w:rsidP="00BC1843">
            <w:pPr>
              <w:rPr>
                <w:sz w:val="22"/>
              </w:rPr>
            </w:pPr>
            <w:r w:rsidRPr="00BC1843">
              <w:rPr>
                <w:sz w:val="22"/>
              </w:rPr>
              <w:t>21,3"</w:t>
            </w:r>
          </w:p>
        </w:tc>
      </w:tr>
    </w:tbl>
    <w:p w:rsidR="00BC1843" w:rsidRDefault="00BC1843">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0"/>
        <w:gridCol w:w="3930"/>
        <w:gridCol w:w="563"/>
        <w:gridCol w:w="3930"/>
        <w:gridCol w:w="1405"/>
        <w:gridCol w:w="1405"/>
      </w:tblGrid>
      <w:tr w:rsidR="003F048C" w:rsidRPr="00A664D2" w:rsidTr="003F048C">
        <w:tc>
          <w:tcPr>
            <w:tcW w:w="3969" w:type="dxa"/>
            <w:shd w:val="clear" w:color="auto" w:fill="auto"/>
          </w:tcPr>
          <w:p w:rsidR="003F048C" w:rsidRPr="00A664D2" w:rsidRDefault="003F048C" w:rsidP="00163800">
            <w:pPr>
              <w:jc w:val="center"/>
              <w:rPr>
                <w:b/>
                <w:bCs/>
                <w:iCs/>
              </w:rPr>
            </w:pPr>
            <w:r w:rsidRPr="00A664D2">
              <w:rPr>
                <w:b/>
                <w:bCs/>
                <w:iCs/>
              </w:rPr>
              <w:t>Spēkā esošā redakcija</w:t>
            </w:r>
          </w:p>
        </w:tc>
        <w:tc>
          <w:tcPr>
            <w:tcW w:w="3969" w:type="dxa"/>
          </w:tcPr>
          <w:p w:rsidR="003F048C" w:rsidRPr="00A664D2" w:rsidRDefault="003F048C" w:rsidP="00163800">
            <w:pPr>
              <w:jc w:val="center"/>
              <w:rPr>
                <w:b/>
              </w:rPr>
            </w:pPr>
            <w:r>
              <w:rPr>
                <w:b/>
              </w:rPr>
              <w:t>Pirmā lasījuma redakcija</w:t>
            </w:r>
          </w:p>
        </w:tc>
        <w:tc>
          <w:tcPr>
            <w:tcW w:w="567" w:type="dxa"/>
          </w:tcPr>
          <w:p w:rsidR="003F048C" w:rsidRPr="001B3F41" w:rsidRDefault="003F048C" w:rsidP="00163800">
            <w:pPr>
              <w:jc w:val="center"/>
              <w:rPr>
                <w:b/>
              </w:rPr>
            </w:pPr>
            <w:r>
              <w:rPr>
                <w:b/>
              </w:rPr>
              <w:t>Nr.</w:t>
            </w:r>
          </w:p>
        </w:tc>
        <w:tc>
          <w:tcPr>
            <w:tcW w:w="3969" w:type="dxa"/>
          </w:tcPr>
          <w:p w:rsidR="003F048C" w:rsidRDefault="003F048C" w:rsidP="003F048C">
            <w:pPr>
              <w:jc w:val="center"/>
              <w:rPr>
                <w:b/>
              </w:rPr>
            </w:pPr>
            <w:r>
              <w:rPr>
                <w:b/>
              </w:rPr>
              <w:t>Priekšlikumi</w:t>
            </w:r>
          </w:p>
          <w:p w:rsidR="003F048C" w:rsidRPr="001B3F41" w:rsidRDefault="003F048C" w:rsidP="003F048C">
            <w:pPr>
              <w:jc w:val="center"/>
              <w:rPr>
                <w:b/>
              </w:rPr>
            </w:pPr>
            <w:r>
              <w:rPr>
                <w:b/>
              </w:rPr>
              <w:t>(</w:t>
            </w:r>
            <w:r w:rsidR="00323DED">
              <w:rPr>
                <w:b/>
              </w:rPr>
              <w:t>22</w:t>
            </w:r>
            <w:r>
              <w:rPr>
                <w:b/>
              </w:rPr>
              <w:t>)</w:t>
            </w:r>
          </w:p>
        </w:tc>
        <w:tc>
          <w:tcPr>
            <w:tcW w:w="1418" w:type="dxa"/>
          </w:tcPr>
          <w:p w:rsidR="003F048C" w:rsidRPr="001B3F41" w:rsidRDefault="003F048C" w:rsidP="00163800">
            <w:pPr>
              <w:jc w:val="center"/>
              <w:rPr>
                <w:b/>
              </w:rPr>
            </w:pPr>
            <w:r>
              <w:rPr>
                <w:b/>
              </w:rPr>
              <w:t>Ministru kabineta atzinums</w:t>
            </w:r>
          </w:p>
        </w:tc>
        <w:tc>
          <w:tcPr>
            <w:tcW w:w="1418" w:type="dxa"/>
          </w:tcPr>
          <w:p w:rsidR="003F048C" w:rsidRPr="001B3F41" w:rsidRDefault="003F048C" w:rsidP="00163800">
            <w:pPr>
              <w:jc w:val="center"/>
              <w:rPr>
                <w:b/>
              </w:rPr>
            </w:pPr>
            <w:r>
              <w:rPr>
                <w:b/>
              </w:rPr>
              <w:t>Komisijas atzinums</w:t>
            </w:r>
          </w:p>
        </w:tc>
      </w:tr>
      <w:tr w:rsidR="003F048C" w:rsidRPr="00A664D2" w:rsidTr="003F048C">
        <w:tc>
          <w:tcPr>
            <w:tcW w:w="3969" w:type="dxa"/>
            <w:shd w:val="clear" w:color="auto" w:fill="auto"/>
          </w:tcPr>
          <w:p w:rsidR="003F048C" w:rsidRDefault="003F048C" w:rsidP="00163800">
            <w:pPr>
              <w:ind w:firstLine="567"/>
              <w:jc w:val="right"/>
              <w:rPr>
                <w:bCs/>
                <w:iCs/>
                <w:sz w:val="22"/>
              </w:rPr>
            </w:pPr>
            <w:r w:rsidRPr="00D473E8">
              <w:rPr>
                <w:bCs/>
                <w:iCs/>
                <w:sz w:val="22"/>
              </w:rPr>
              <w:t>Dabas resursu nodokļa likuma</w:t>
            </w:r>
            <w:r w:rsidRPr="00D473E8">
              <w:rPr>
                <w:bCs/>
                <w:iCs/>
                <w:sz w:val="22"/>
              </w:rPr>
              <w:br/>
            </w:r>
            <w:r>
              <w:rPr>
                <w:bCs/>
                <w:iCs/>
                <w:sz w:val="22"/>
              </w:rPr>
              <w:t>9</w:t>
            </w:r>
            <w:r w:rsidRPr="00D473E8">
              <w:rPr>
                <w:bCs/>
                <w:iCs/>
                <w:sz w:val="22"/>
              </w:rPr>
              <w:t>.pielikums</w:t>
            </w:r>
          </w:p>
          <w:p w:rsidR="003F048C" w:rsidRPr="00BC1843" w:rsidRDefault="003F048C" w:rsidP="00163800">
            <w:pPr>
              <w:ind w:firstLine="567"/>
              <w:jc w:val="both"/>
              <w:rPr>
                <w:b/>
                <w:bCs/>
                <w:iCs/>
                <w:sz w:val="22"/>
              </w:rPr>
            </w:pPr>
            <w:r w:rsidRPr="00BC1843">
              <w:rPr>
                <w:b/>
                <w:sz w:val="22"/>
              </w:rPr>
              <w:t>Nodokļa likmes par akmeņoglēm, koksu un lignītu (brūnoglēm)</w:t>
            </w:r>
          </w:p>
          <w:p w:rsidR="003F048C" w:rsidRDefault="003F048C" w:rsidP="00163800">
            <w:pPr>
              <w:ind w:firstLine="567"/>
              <w:jc w:val="both"/>
              <w:rPr>
                <w:b/>
                <w:bCs/>
                <w:i/>
                <w:sz w:val="22"/>
              </w:rPr>
            </w:pPr>
          </w:p>
          <w:p w:rsidR="003F048C" w:rsidRDefault="003F048C" w:rsidP="00163800">
            <w:pPr>
              <w:ind w:firstLine="567"/>
              <w:jc w:val="both"/>
              <w:rPr>
                <w:b/>
                <w:bCs/>
                <w:sz w:val="22"/>
              </w:rPr>
            </w:pPr>
            <w:r w:rsidRPr="00A664D2">
              <w:rPr>
                <w:b/>
                <w:bCs/>
                <w:i/>
                <w:sz w:val="22"/>
              </w:rPr>
              <w:t xml:space="preserve">ailes turpinājums </w:t>
            </w:r>
            <w:r w:rsidRPr="00A664D2">
              <w:rPr>
                <w:b/>
                <w:bCs/>
                <w:sz w:val="22"/>
              </w:rPr>
              <w:t>↓↓↓</w:t>
            </w:r>
          </w:p>
          <w:p w:rsidR="003F048C" w:rsidRPr="00A664D2" w:rsidRDefault="003F048C" w:rsidP="00163800">
            <w:pPr>
              <w:ind w:firstLine="567"/>
              <w:jc w:val="both"/>
              <w:rPr>
                <w:bCs/>
                <w:iCs/>
                <w:sz w:val="22"/>
              </w:rPr>
            </w:pPr>
          </w:p>
        </w:tc>
        <w:tc>
          <w:tcPr>
            <w:tcW w:w="3969" w:type="dxa"/>
          </w:tcPr>
          <w:p w:rsidR="003F048C" w:rsidRPr="00A664D2" w:rsidRDefault="003F048C" w:rsidP="00163800">
            <w:pPr>
              <w:rPr>
                <w:b/>
              </w:rPr>
            </w:pPr>
          </w:p>
        </w:tc>
        <w:tc>
          <w:tcPr>
            <w:tcW w:w="567" w:type="dxa"/>
          </w:tcPr>
          <w:p w:rsidR="003F048C" w:rsidRPr="00A664D2" w:rsidRDefault="003F048C" w:rsidP="00163800">
            <w:pPr>
              <w:rPr>
                <w:b/>
              </w:rPr>
            </w:pPr>
          </w:p>
        </w:tc>
        <w:tc>
          <w:tcPr>
            <w:tcW w:w="3969" w:type="dxa"/>
          </w:tcPr>
          <w:p w:rsidR="003F048C" w:rsidRPr="00A664D2" w:rsidRDefault="003F048C" w:rsidP="00163800">
            <w:pPr>
              <w:rPr>
                <w:b/>
              </w:rPr>
            </w:pPr>
          </w:p>
        </w:tc>
        <w:tc>
          <w:tcPr>
            <w:tcW w:w="1418" w:type="dxa"/>
          </w:tcPr>
          <w:p w:rsidR="003F048C" w:rsidRPr="00A664D2" w:rsidRDefault="003F048C" w:rsidP="00163800">
            <w:pPr>
              <w:rPr>
                <w:b/>
              </w:rPr>
            </w:pPr>
          </w:p>
        </w:tc>
        <w:tc>
          <w:tcPr>
            <w:tcW w:w="1418" w:type="dxa"/>
          </w:tcPr>
          <w:p w:rsidR="003F048C" w:rsidRPr="00A664D2" w:rsidRDefault="003F048C" w:rsidP="00163800">
            <w:pPr>
              <w:rPr>
                <w:b/>
              </w:rPr>
            </w:pPr>
          </w:p>
        </w:tc>
      </w:tr>
    </w:tbl>
    <w:p w:rsidR="00BC1843" w:rsidRDefault="00BC1843">
      <w:pPr>
        <w:rPr>
          <w:sz w:val="22"/>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84"/>
        <w:gridCol w:w="2708"/>
        <w:gridCol w:w="1518"/>
        <w:gridCol w:w="2411"/>
        <w:gridCol w:w="2411"/>
        <w:gridCol w:w="2411"/>
        <w:gridCol w:w="2277"/>
      </w:tblGrid>
      <w:tr w:rsidR="00C942C7" w:rsidRPr="00C942C7" w:rsidTr="00C942C7">
        <w:trPr>
          <w:tblCellSpacing w:w="15" w:type="dxa"/>
        </w:trPr>
        <w:tc>
          <w:tcPr>
            <w:tcW w:w="450" w:type="pct"/>
            <w:tcBorders>
              <w:top w:val="outset" w:sz="6" w:space="0" w:color="auto"/>
              <w:left w:val="outset" w:sz="6" w:space="0" w:color="auto"/>
              <w:bottom w:val="outset" w:sz="6" w:space="0" w:color="auto"/>
              <w:right w:val="outset" w:sz="6" w:space="0" w:color="auto"/>
            </w:tcBorders>
            <w:noWrap/>
            <w:vAlign w:val="center"/>
            <w:hideMark/>
          </w:tcPr>
          <w:p w:rsidR="00C942C7" w:rsidRPr="00C942C7" w:rsidRDefault="00C942C7" w:rsidP="00C942C7">
            <w:pPr>
              <w:rPr>
                <w:sz w:val="22"/>
              </w:rPr>
            </w:pPr>
            <w:r w:rsidRPr="00C942C7">
              <w:rPr>
                <w:sz w:val="22"/>
              </w:rPr>
              <w:t>Nr. p. k.</w:t>
            </w:r>
          </w:p>
        </w:tc>
        <w:tc>
          <w:tcPr>
            <w:tcW w:w="900" w:type="pct"/>
            <w:tcBorders>
              <w:top w:val="outset" w:sz="6" w:space="0" w:color="auto"/>
              <w:left w:val="outset" w:sz="6" w:space="0" w:color="auto"/>
              <w:bottom w:val="outset" w:sz="6" w:space="0" w:color="auto"/>
              <w:right w:val="outset" w:sz="6" w:space="0" w:color="auto"/>
            </w:tcBorders>
            <w:vAlign w:val="center"/>
            <w:hideMark/>
          </w:tcPr>
          <w:p w:rsidR="00C942C7" w:rsidRPr="00C942C7" w:rsidRDefault="00C942C7" w:rsidP="00C942C7">
            <w:pPr>
              <w:rPr>
                <w:sz w:val="22"/>
              </w:rPr>
            </w:pPr>
            <w:r w:rsidRPr="00C942C7">
              <w:rPr>
                <w:sz w:val="22"/>
              </w:rPr>
              <w:t>Akmeņogļu, koksa un lignīta (brūnogļu) klasifikācija</w:t>
            </w:r>
          </w:p>
        </w:tc>
        <w:tc>
          <w:tcPr>
            <w:tcW w:w="500" w:type="pct"/>
            <w:tcBorders>
              <w:top w:val="outset" w:sz="6" w:space="0" w:color="auto"/>
              <w:left w:val="outset" w:sz="6" w:space="0" w:color="auto"/>
              <w:bottom w:val="outset" w:sz="6" w:space="0" w:color="auto"/>
              <w:right w:val="outset" w:sz="6" w:space="0" w:color="auto"/>
            </w:tcBorders>
            <w:vAlign w:val="center"/>
            <w:hideMark/>
          </w:tcPr>
          <w:p w:rsidR="00C942C7" w:rsidRPr="00C942C7" w:rsidRDefault="00C942C7" w:rsidP="00C942C7">
            <w:pPr>
              <w:rPr>
                <w:sz w:val="22"/>
              </w:rPr>
            </w:pPr>
            <w:r w:rsidRPr="00C942C7">
              <w:rPr>
                <w:sz w:val="22"/>
              </w:rPr>
              <w:t>Mērvienība</w:t>
            </w:r>
          </w:p>
        </w:tc>
        <w:tc>
          <w:tcPr>
            <w:tcW w:w="800" w:type="pct"/>
            <w:tcBorders>
              <w:top w:val="outset" w:sz="6" w:space="0" w:color="auto"/>
              <w:left w:val="outset" w:sz="6" w:space="0" w:color="auto"/>
              <w:bottom w:val="outset" w:sz="6" w:space="0" w:color="auto"/>
              <w:right w:val="outset" w:sz="6" w:space="0" w:color="auto"/>
            </w:tcBorders>
            <w:vAlign w:val="center"/>
            <w:hideMark/>
          </w:tcPr>
          <w:p w:rsidR="00C942C7" w:rsidRPr="00C942C7" w:rsidRDefault="00C942C7" w:rsidP="00C942C7">
            <w:pPr>
              <w:rPr>
                <w:sz w:val="22"/>
              </w:rPr>
            </w:pPr>
            <w:r w:rsidRPr="00C942C7">
              <w:rPr>
                <w:sz w:val="22"/>
              </w:rPr>
              <w:t>Likme laikposmā līdz 2016.gada 31.decembrim (</w:t>
            </w:r>
            <w:r w:rsidRPr="00C942C7">
              <w:rPr>
                <w:i/>
                <w:iCs/>
                <w:sz w:val="22"/>
              </w:rPr>
              <w:t>euro</w:t>
            </w:r>
            <w:r w:rsidRPr="00C942C7">
              <w:rPr>
                <w:sz w:val="22"/>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C942C7" w:rsidRPr="00C942C7" w:rsidRDefault="00C942C7" w:rsidP="00C942C7">
            <w:pPr>
              <w:rPr>
                <w:sz w:val="22"/>
              </w:rPr>
            </w:pPr>
            <w:r w:rsidRPr="00C942C7">
              <w:rPr>
                <w:sz w:val="22"/>
              </w:rPr>
              <w:t>Likme laikposmā no 2017.gada 1.janvāra līdz 2017.gada 31.decembrim</w:t>
            </w:r>
            <w:r w:rsidRPr="00C942C7">
              <w:rPr>
                <w:sz w:val="22"/>
              </w:rPr>
              <w:br/>
              <w:t>(</w:t>
            </w:r>
            <w:r w:rsidRPr="00C942C7">
              <w:rPr>
                <w:i/>
                <w:iCs/>
                <w:sz w:val="22"/>
              </w:rPr>
              <w:t>euro</w:t>
            </w:r>
            <w:r w:rsidRPr="00C942C7">
              <w:rPr>
                <w:sz w:val="22"/>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C942C7" w:rsidRPr="00C942C7" w:rsidRDefault="00C942C7" w:rsidP="00C942C7">
            <w:pPr>
              <w:rPr>
                <w:sz w:val="22"/>
              </w:rPr>
            </w:pPr>
            <w:r w:rsidRPr="00C942C7">
              <w:rPr>
                <w:sz w:val="22"/>
              </w:rPr>
              <w:t>Likme laikposmā no 2018.gada 1.janvāra līdz 2018.gada 31.decembrim</w:t>
            </w:r>
            <w:r w:rsidRPr="00C942C7">
              <w:rPr>
                <w:sz w:val="22"/>
              </w:rPr>
              <w:br/>
              <w:t>(</w:t>
            </w:r>
            <w:r w:rsidRPr="00C942C7">
              <w:rPr>
                <w:i/>
                <w:iCs/>
                <w:sz w:val="22"/>
              </w:rPr>
              <w:t>euro</w:t>
            </w:r>
            <w:r w:rsidRPr="00C942C7">
              <w:rPr>
                <w:sz w:val="22"/>
              </w:rPr>
              <w:t>)</w:t>
            </w:r>
          </w:p>
        </w:tc>
        <w:tc>
          <w:tcPr>
            <w:tcW w:w="800" w:type="pct"/>
            <w:tcBorders>
              <w:top w:val="outset" w:sz="6" w:space="0" w:color="auto"/>
              <w:left w:val="outset" w:sz="6" w:space="0" w:color="auto"/>
              <w:bottom w:val="outset" w:sz="6" w:space="0" w:color="auto"/>
              <w:right w:val="outset" w:sz="6" w:space="0" w:color="auto"/>
            </w:tcBorders>
            <w:vAlign w:val="center"/>
            <w:hideMark/>
          </w:tcPr>
          <w:p w:rsidR="00C942C7" w:rsidRPr="00C942C7" w:rsidRDefault="00C942C7" w:rsidP="00C942C7">
            <w:pPr>
              <w:rPr>
                <w:sz w:val="22"/>
              </w:rPr>
            </w:pPr>
            <w:r w:rsidRPr="00C942C7">
              <w:rPr>
                <w:sz w:val="22"/>
              </w:rPr>
              <w:t>Likme no 2019.gada 1.janvāra</w:t>
            </w:r>
            <w:r w:rsidRPr="00C942C7">
              <w:rPr>
                <w:sz w:val="22"/>
              </w:rPr>
              <w:br/>
              <w:t>(</w:t>
            </w:r>
            <w:r w:rsidRPr="00C942C7">
              <w:rPr>
                <w:i/>
                <w:iCs/>
                <w:sz w:val="22"/>
              </w:rPr>
              <w:t>euro</w:t>
            </w:r>
            <w:r w:rsidRPr="00C942C7">
              <w:rPr>
                <w:sz w:val="22"/>
              </w:rPr>
              <w:t>)</w:t>
            </w:r>
          </w:p>
        </w:tc>
      </w:tr>
      <w:tr w:rsidR="00C942C7" w:rsidRPr="00C942C7" w:rsidTr="00C942C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942C7" w:rsidRPr="00C942C7" w:rsidRDefault="00C942C7" w:rsidP="00C942C7">
            <w:pPr>
              <w:rPr>
                <w:sz w:val="22"/>
              </w:rPr>
            </w:pPr>
            <w:r w:rsidRPr="00C942C7">
              <w:rPr>
                <w:sz w:val="22"/>
              </w:rPr>
              <w:t>1.</w:t>
            </w:r>
          </w:p>
        </w:tc>
        <w:tc>
          <w:tcPr>
            <w:tcW w:w="900" w:type="pct"/>
            <w:tcBorders>
              <w:top w:val="outset" w:sz="6" w:space="0" w:color="auto"/>
              <w:left w:val="outset" w:sz="6" w:space="0" w:color="auto"/>
              <w:bottom w:val="outset" w:sz="6" w:space="0" w:color="auto"/>
              <w:right w:val="outset" w:sz="6" w:space="0" w:color="auto"/>
            </w:tcBorders>
            <w:hideMark/>
          </w:tcPr>
          <w:p w:rsidR="00C942C7" w:rsidRPr="00C942C7" w:rsidRDefault="00C942C7" w:rsidP="00C942C7">
            <w:pPr>
              <w:rPr>
                <w:sz w:val="22"/>
              </w:rPr>
            </w:pPr>
            <w:r w:rsidRPr="00C942C7">
              <w:rPr>
                <w:sz w:val="22"/>
              </w:rPr>
              <w:t>Akmeņogles, kokss un lignīts (brūnogles) ar pavaddoku-mentos norādītu siltumspēju (GJ/t)</w:t>
            </w:r>
          </w:p>
        </w:tc>
        <w:tc>
          <w:tcPr>
            <w:tcW w:w="5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GJ/t</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0,30</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0,35</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0,36</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0,38</w:t>
            </w:r>
          </w:p>
        </w:tc>
      </w:tr>
      <w:tr w:rsidR="00C942C7" w:rsidRPr="00C942C7" w:rsidTr="00C942C7">
        <w:trPr>
          <w:tblCellSpacing w:w="15" w:type="dxa"/>
        </w:trPr>
        <w:tc>
          <w:tcPr>
            <w:tcW w:w="450" w:type="pct"/>
            <w:tcBorders>
              <w:top w:val="outset" w:sz="6" w:space="0" w:color="auto"/>
              <w:left w:val="outset" w:sz="6" w:space="0" w:color="auto"/>
              <w:bottom w:val="outset" w:sz="6" w:space="0" w:color="auto"/>
              <w:right w:val="outset" w:sz="6" w:space="0" w:color="auto"/>
            </w:tcBorders>
            <w:hideMark/>
          </w:tcPr>
          <w:p w:rsidR="00C942C7" w:rsidRPr="00C942C7" w:rsidRDefault="00C942C7" w:rsidP="00C942C7">
            <w:pPr>
              <w:rPr>
                <w:sz w:val="22"/>
              </w:rPr>
            </w:pPr>
            <w:r w:rsidRPr="00C942C7">
              <w:rPr>
                <w:sz w:val="22"/>
              </w:rPr>
              <w:t>2.</w:t>
            </w:r>
          </w:p>
        </w:tc>
        <w:tc>
          <w:tcPr>
            <w:tcW w:w="900" w:type="pct"/>
            <w:tcBorders>
              <w:top w:val="outset" w:sz="6" w:space="0" w:color="auto"/>
              <w:left w:val="outset" w:sz="6" w:space="0" w:color="auto"/>
              <w:bottom w:val="outset" w:sz="6" w:space="0" w:color="auto"/>
              <w:right w:val="outset" w:sz="6" w:space="0" w:color="auto"/>
            </w:tcBorders>
            <w:hideMark/>
          </w:tcPr>
          <w:p w:rsidR="00C942C7" w:rsidRPr="00C942C7" w:rsidRDefault="00C942C7" w:rsidP="00C942C7">
            <w:pPr>
              <w:rPr>
                <w:sz w:val="22"/>
              </w:rPr>
            </w:pPr>
            <w:r w:rsidRPr="00C942C7">
              <w:rPr>
                <w:sz w:val="22"/>
              </w:rPr>
              <w:t>Akmeņogles, kokss un lignīts (brūnogles), ja pavaddoku-mentos nav norādīta siltumspēja</w:t>
            </w:r>
          </w:p>
        </w:tc>
        <w:tc>
          <w:tcPr>
            <w:tcW w:w="5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t</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8,54</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9,80</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10,25</w:t>
            </w:r>
          </w:p>
        </w:tc>
        <w:tc>
          <w:tcPr>
            <w:tcW w:w="800" w:type="pct"/>
            <w:tcBorders>
              <w:top w:val="outset" w:sz="6" w:space="0" w:color="auto"/>
              <w:left w:val="outset" w:sz="6" w:space="0" w:color="auto"/>
              <w:bottom w:val="outset" w:sz="6" w:space="0" w:color="auto"/>
              <w:right w:val="outset" w:sz="6" w:space="0" w:color="auto"/>
            </w:tcBorders>
            <w:vAlign w:val="bottom"/>
            <w:hideMark/>
          </w:tcPr>
          <w:p w:rsidR="00C942C7" w:rsidRPr="00C942C7" w:rsidRDefault="00C942C7" w:rsidP="00C942C7">
            <w:pPr>
              <w:rPr>
                <w:sz w:val="22"/>
              </w:rPr>
            </w:pPr>
            <w:r w:rsidRPr="00C942C7">
              <w:rPr>
                <w:sz w:val="22"/>
              </w:rPr>
              <w:t>10,65</w:t>
            </w:r>
          </w:p>
        </w:tc>
      </w:tr>
    </w:tbl>
    <w:p w:rsidR="00C942C7" w:rsidRDefault="00C942C7">
      <w:pPr>
        <w:rPr>
          <w:sz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5"/>
        <w:gridCol w:w="3931"/>
        <w:gridCol w:w="564"/>
        <w:gridCol w:w="3931"/>
        <w:gridCol w:w="1406"/>
        <w:gridCol w:w="1406"/>
      </w:tblGrid>
      <w:tr w:rsidR="001D6A4D" w:rsidRPr="00A664D2" w:rsidTr="001D6A4D">
        <w:tc>
          <w:tcPr>
            <w:tcW w:w="3964" w:type="dxa"/>
            <w:shd w:val="clear" w:color="auto" w:fill="auto"/>
          </w:tcPr>
          <w:p w:rsidR="001D6A4D" w:rsidRPr="00A664D2" w:rsidRDefault="001D6A4D" w:rsidP="00163800">
            <w:pPr>
              <w:jc w:val="center"/>
              <w:rPr>
                <w:b/>
                <w:bCs/>
                <w:iCs/>
              </w:rPr>
            </w:pPr>
            <w:r w:rsidRPr="00A664D2">
              <w:rPr>
                <w:b/>
                <w:bCs/>
                <w:iCs/>
              </w:rPr>
              <w:t>Spēkā esošā redakcija</w:t>
            </w:r>
          </w:p>
        </w:tc>
        <w:tc>
          <w:tcPr>
            <w:tcW w:w="3969" w:type="dxa"/>
          </w:tcPr>
          <w:p w:rsidR="001D6A4D" w:rsidRPr="00A664D2" w:rsidRDefault="001D6A4D" w:rsidP="00163800">
            <w:pPr>
              <w:jc w:val="center"/>
              <w:rPr>
                <w:b/>
              </w:rPr>
            </w:pPr>
            <w:r>
              <w:rPr>
                <w:b/>
              </w:rPr>
              <w:t>Pirmā lasījuma redakcija</w:t>
            </w:r>
          </w:p>
        </w:tc>
        <w:tc>
          <w:tcPr>
            <w:tcW w:w="567" w:type="dxa"/>
          </w:tcPr>
          <w:p w:rsidR="001D6A4D" w:rsidRPr="001B3F41" w:rsidRDefault="001D6A4D" w:rsidP="00163800">
            <w:pPr>
              <w:jc w:val="center"/>
              <w:rPr>
                <w:b/>
              </w:rPr>
            </w:pPr>
            <w:r>
              <w:rPr>
                <w:b/>
              </w:rPr>
              <w:t>Nr.</w:t>
            </w:r>
          </w:p>
        </w:tc>
        <w:tc>
          <w:tcPr>
            <w:tcW w:w="3969" w:type="dxa"/>
          </w:tcPr>
          <w:p w:rsidR="001D6A4D" w:rsidRDefault="001D6A4D" w:rsidP="001D6A4D">
            <w:pPr>
              <w:jc w:val="center"/>
              <w:rPr>
                <w:b/>
              </w:rPr>
            </w:pPr>
            <w:r>
              <w:rPr>
                <w:b/>
              </w:rPr>
              <w:t>Priekšlikumi</w:t>
            </w:r>
          </w:p>
          <w:p w:rsidR="001D6A4D" w:rsidRPr="001B3F41" w:rsidRDefault="001D6A4D" w:rsidP="001D6A4D">
            <w:pPr>
              <w:jc w:val="center"/>
              <w:rPr>
                <w:b/>
              </w:rPr>
            </w:pPr>
            <w:r>
              <w:rPr>
                <w:b/>
              </w:rPr>
              <w:t>(</w:t>
            </w:r>
            <w:r w:rsidR="00323DED">
              <w:rPr>
                <w:b/>
              </w:rPr>
              <w:t>22</w:t>
            </w:r>
            <w:r>
              <w:rPr>
                <w:b/>
              </w:rPr>
              <w:t>)</w:t>
            </w:r>
          </w:p>
        </w:tc>
        <w:tc>
          <w:tcPr>
            <w:tcW w:w="1418" w:type="dxa"/>
          </w:tcPr>
          <w:p w:rsidR="001D6A4D" w:rsidRPr="001B3F41" w:rsidRDefault="001D6A4D" w:rsidP="00163800">
            <w:pPr>
              <w:jc w:val="center"/>
              <w:rPr>
                <w:b/>
              </w:rPr>
            </w:pPr>
            <w:r>
              <w:rPr>
                <w:b/>
              </w:rPr>
              <w:t>Ministru kabineta atzinums</w:t>
            </w:r>
          </w:p>
        </w:tc>
        <w:tc>
          <w:tcPr>
            <w:tcW w:w="1418" w:type="dxa"/>
          </w:tcPr>
          <w:p w:rsidR="001D6A4D" w:rsidRPr="001B3F41" w:rsidRDefault="001D6A4D" w:rsidP="00163800">
            <w:pPr>
              <w:jc w:val="center"/>
              <w:rPr>
                <w:b/>
              </w:rPr>
            </w:pPr>
            <w:r>
              <w:rPr>
                <w:b/>
              </w:rPr>
              <w:t>Komisijas atzinums</w:t>
            </w:r>
          </w:p>
        </w:tc>
      </w:tr>
      <w:tr w:rsidR="001D6A4D" w:rsidRPr="00261CD0" w:rsidTr="001D6A4D">
        <w:tc>
          <w:tcPr>
            <w:tcW w:w="3964" w:type="dxa"/>
            <w:shd w:val="clear" w:color="auto" w:fill="auto"/>
          </w:tcPr>
          <w:p w:rsidR="001D6A4D" w:rsidRPr="00A664D2" w:rsidRDefault="001D6A4D" w:rsidP="00163800">
            <w:pPr>
              <w:ind w:firstLine="567"/>
              <w:jc w:val="both"/>
              <w:rPr>
                <w:bCs/>
                <w:iCs/>
                <w:sz w:val="22"/>
              </w:rPr>
            </w:pPr>
          </w:p>
        </w:tc>
        <w:tc>
          <w:tcPr>
            <w:tcW w:w="3969" w:type="dxa"/>
          </w:tcPr>
          <w:p w:rsidR="001D6A4D" w:rsidRDefault="001D6A4D" w:rsidP="00B63C96">
            <w:pPr>
              <w:jc w:val="both"/>
              <w:rPr>
                <w:rFonts w:eastAsia="Times New Roman"/>
                <w:bCs/>
                <w:color w:val="000000"/>
                <w:sz w:val="22"/>
                <w:lang w:eastAsia="lv-LV"/>
              </w:rPr>
            </w:pPr>
          </w:p>
          <w:p w:rsidR="001D6A4D" w:rsidRPr="00B63C96" w:rsidRDefault="001D6A4D" w:rsidP="00B63C96">
            <w:pPr>
              <w:ind w:firstLine="567"/>
              <w:jc w:val="both"/>
              <w:rPr>
                <w:rFonts w:eastAsia="Times New Roman"/>
                <w:bCs/>
                <w:color w:val="000000"/>
                <w:sz w:val="22"/>
                <w:lang w:eastAsia="lv-LV"/>
              </w:rPr>
            </w:pPr>
            <w:r w:rsidRPr="00D86770">
              <w:rPr>
                <w:rFonts w:eastAsia="Times New Roman"/>
                <w:bCs/>
                <w:color w:val="000000"/>
                <w:sz w:val="22"/>
                <w:lang w:eastAsia="lv-LV"/>
              </w:rPr>
              <w:t>Likums stāj</w:t>
            </w:r>
            <w:r w:rsidR="00B63C96">
              <w:rPr>
                <w:rFonts w:eastAsia="Times New Roman"/>
                <w:bCs/>
                <w:color w:val="000000"/>
                <w:sz w:val="22"/>
                <w:lang w:eastAsia="lv-LV"/>
              </w:rPr>
              <w:t>as spēkā 2020. gada 1. janvārī.</w:t>
            </w:r>
          </w:p>
        </w:tc>
        <w:tc>
          <w:tcPr>
            <w:tcW w:w="567" w:type="dxa"/>
          </w:tcPr>
          <w:p w:rsidR="001D6A4D" w:rsidRDefault="001D6A4D" w:rsidP="00D86770">
            <w:pPr>
              <w:ind w:firstLine="567"/>
              <w:jc w:val="both"/>
              <w:rPr>
                <w:rFonts w:eastAsia="Times New Roman"/>
                <w:bCs/>
                <w:color w:val="000000"/>
                <w:sz w:val="22"/>
                <w:lang w:eastAsia="lv-LV"/>
              </w:rPr>
            </w:pPr>
          </w:p>
        </w:tc>
        <w:tc>
          <w:tcPr>
            <w:tcW w:w="3969" w:type="dxa"/>
          </w:tcPr>
          <w:p w:rsidR="001D6A4D" w:rsidRDefault="001D6A4D" w:rsidP="00D86770">
            <w:pPr>
              <w:ind w:firstLine="567"/>
              <w:jc w:val="both"/>
              <w:rPr>
                <w:rFonts w:eastAsia="Times New Roman"/>
                <w:bCs/>
                <w:color w:val="000000"/>
                <w:sz w:val="22"/>
                <w:lang w:eastAsia="lv-LV"/>
              </w:rPr>
            </w:pPr>
          </w:p>
        </w:tc>
        <w:tc>
          <w:tcPr>
            <w:tcW w:w="1418" w:type="dxa"/>
          </w:tcPr>
          <w:p w:rsidR="001D6A4D" w:rsidRDefault="001D6A4D" w:rsidP="00D86770">
            <w:pPr>
              <w:ind w:firstLine="567"/>
              <w:jc w:val="both"/>
              <w:rPr>
                <w:rFonts w:eastAsia="Times New Roman"/>
                <w:bCs/>
                <w:color w:val="000000"/>
                <w:sz w:val="22"/>
                <w:lang w:eastAsia="lv-LV"/>
              </w:rPr>
            </w:pPr>
          </w:p>
        </w:tc>
        <w:tc>
          <w:tcPr>
            <w:tcW w:w="1418" w:type="dxa"/>
          </w:tcPr>
          <w:p w:rsidR="001D6A4D" w:rsidRDefault="001D6A4D" w:rsidP="00D86770">
            <w:pPr>
              <w:ind w:firstLine="567"/>
              <w:jc w:val="both"/>
              <w:rPr>
                <w:rFonts w:eastAsia="Times New Roman"/>
                <w:bCs/>
                <w:color w:val="000000"/>
                <w:sz w:val="22"/>
                <w:lang w:eastAsia="lv-LV"/>
              </w:rPr>
            </w:pPr>
          </w:p>
        </w:tc>
      </w:tr>
    </w:tbl>
    <w:p w:rsidR="00D86770" w:rsidRPr="00145D0D" w:rsidRDefault="00D86770">
      <w:pPr>
        <w:rPr>
          <w:sz w:val="22"/>
        </w:rPr>
      </w:pPr>
    </w:p>
    <w:sectPr w:rsidR="00D86770" w:rsidRPr="00145D0D" w:rsidSect="00163800">
      <w:footerReference w:type="even" r:id="rId30"/>
      <w:footerReference w:type="default" r:id="rId31"/>
      <w:pgSz w:w="16838" w:h="11906" w:orient="landscape"/>
      <w:pgMar w:top="1134"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F91" w:rsidRDefault="00B21F91">
      <w:r>
        <w:separator/>
      </w:r>
    </w:p>
  </w:endnote>
  <w:endnote w:type="continuationSeparator" w:id="0">
    <w:p w:rsidR="00B21F91" w:rsidRDefault="00B2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91" w:rsidRDefault="00B21F91" w:rsidP="0016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F91" w:rsidRDefault="00B21F91" w:rsidP="00163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F91" w:rsidRDefault="00B21F91" w:rsidP="00163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4AF5">
      <w:rPr>
        <w:rStyle w:val="PageNumber"/>
        <w:noProof/>
      </w:rPr>
      <w:t>2</w:t>
    </w:r>
    <w:r>
      <w:rPr>
        <w:rStyle w:val="PageNumber"/>
      </w:rPr>
      <w:fldChar w:fldCharType="end"/>
    </w:r>
  </w:p>
  <w:p w:rsidR="00B21F91" w:rsidRDefault="00B21F91" w:rsidP="001638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F91" w:rsidRDefault="00B21F91">
      <w:r>
        <w:separator/>
      </w:r>
    </w:p>
  </w:footnote>
  <w:footnote w:type="continuationSeparator" w:id="0">
    <w:p w:rsidR="00B21F91" w:rsidRDefault="00B21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C2A02"/>
    <w:multiLevelType w:val="hybridMultilevel"/>
    <w:tmpl w:val="0E902B3C"/>
    <w:lvl w:ilvl="0" w:tplc="86CCE3FE">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2031E06"/>
    <w:multiLevelType w:val="hybridMultilevel"/>
    <w:tmpl w:val="D5FEFA0E"/>
    <w:lvl w:ilvl="0" w:tplc="E3EEDCDE">
      <w:start w:val="4"/>
      <w:numFmt w:val="decimal"/>
      <w:lvlText w:val="%1."/>
      <w:lvlJc w:val="left"/>
      <w:pPr>
        <w:ind w:left="1069" w:hanging="360"/>
      </w:pPr>
      <w:rPr>
        <w:rFonts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6A5790F"/>
    <w:multiLevelType w:val="hybridMultilevel"/>
    <w:tmpl w:val="2D7C53D0"/>
    <w:lvl w:ilvl="0" w:tplc="D6DEB9B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375D1F08"/>
    <w:multiLevelType w:val="hybridMultilevel"/>
    <w:tmpl w:val="C54A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70BD"/>
    <w:multiLevelType w:val="hybridMultilevel"/>
    <w:tmpl w:val="EC8C53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C0B4FE7"/>
    <w:multiLevelType w:val="hybridMultilevel"/>
    <w:tmpl w:val="F308FD94"/>
    <w:lvl w:ilvl="0" w:tplc="EFE02D3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79726A7C"/>
    <w:multiLevelType w:val="hybridMultilevel"/>
    <w:tmpl w:val="E6A8720E"/>
    <w:lvl w:ilvl="0" w:tplc="35A09450">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16"/>
    <w:rsid w:val="00000209"/>
    <w:rsid w:val="00020F85"/>
    <w:rsid w:val="00024868"/>
    <w:rsid w:val="000426CA"/>
    <w:rsid w:val="00042921"/>
    <w:rsid w:val="00046CB8"/>
    <w:rsid w:val="00052EAB"/>
    <w:rsid w:val="00056624"/>
    <w:rsid w:val="000629CE"/>
    <w:rsid w:val="000717D3"/>
    <w:rsid w:val="00074B12"/>
    <w:rsid w:val="000767B2"/>
    <w:rsid w:val="000816DA"/>
    <w:rsid w:val="000D35E2"/>
    <w:rsid w:val="000E159B"/>
    <w:rsid w:val="000E2107"/>
    <w:rsid w:val="000E4D0C"/>
    <w:rsid w:val="000F155D"/>
    <w:rsid w:val="00105F56"/>
    <w:rsid w:val="001161F6"/>
    <w:rsid w:val="001248AC"/>
    <w:rsid w:val="001268F5"/>
    <w:rsid w:val="0013244D"/>
    <w:rsid w:val="00132BC5"/>
    <w:rsid w:val="00145D0D"/>
    <w:rsid w:val="00146A84"/>
    <w:rsid w:val="00157E52"/>
    <w:rsid w:val="00160883"/>
    <w:rsid w:val="0016168C"/>
    <w:rsid w:val="00161D6D"/>
    <w:rsid w:val="001636B2"/>
    <w:rsid w:val="00163800"/>
    <w:rsid w:val="0016468E"/>
    <w:rsid w:val="00164AF5"/>
    <w:rsid w:val="001846DF"/>
    <w:rsid w:val="001A1803"/>
    <w:rsid w:val="001A7561"/>
    <w:rsid w:val="001B359D"/>
    <w:rsid w:val="001B4987"/>
    <w:rsid w:val="001C0569"/>
    <w:rsid w:val="001C0907"/>
    <w:rsid w:val="001C50F7"/>
    <w:rsid w:val="001D6A4D"/>
    <w:rsid w:val="001D7290"/>
    <w:rsid w:val="001E7B89"/>
    <w:rsid w:val="001F548E"/>
    <w:rsid w:val="001F5D02"/>
    <w:rsid w:val="0021151F"/>
    <w:rsid w:val="00211AE3"/>
    <w:rsid w:val="00214FE5"/>
    <w:rsid w:val="0022488C"/>
    <w:rsid w:val="00233759"/>
    <w:rsid w:val="00242F70"/>
    <w:rsid w:val="00254016"/>
    <w:rsid w:val="00261CD0"/>
    <w:rsid w:val="0029588D"/>
    <w:rsid w:val="002B16C4"/>
    <w:rsid w:val="002C5F5C"/>
    <w:rsid w:val="002C76C3"/>
    <w:rsid w:val="002D05FD"/>
    <w:rsid w:val="002D0C5F"/>
    <w:rsid w:val="002D78C8"/>
    <w:rsid w:val="002E24FD"/>
    <w:rsid w:val="002E5ECB"/>
    <w:rsid w:val="00303D58"/>
    <w:rsid w:val="00323DED"/>
    <w:rsid w:val="0033023E"/>
    <w:rsid w:val="0033581C"/>
    <w:rsid w:val="003446BF"/>
    <w:rsid w:val="00351037"/>
    <w:rsid w:val="00356D43"/>
    <w:rsid w:val="0036461C"/>
    <w:rsid w:val="00375203"/>
    <w:rsid w:val="00376964"/>
    <w:rsid w:val="00382399"/>
    <w:rsid w:val="00386D2A"/>
    <w:rsid w:val="003A0935"/>
    <w:rsid w:val="003A34B5"/>
    <w:rsid w:val="003A4D67"/>
    <w:rsid w:val="003A5EFA"/>
    <w:rsid w:val="003A6466"/>
    <w:rsid w:val="003B4F80"/>
    <w:rsid w:val="003D4D14"/>
    <w:rsid w:val="003E53DB"/>
    <w:rsid w:val="003F048C"/>
    <w:rsid w:val="003F13E9"/>
    <w:rsid w:val="003F255F"/>
    <w:rsid w:val="003F30F6"/>
    <w:rsid w:val="00400CE7"/>
    <w:rsid w:val="00401C7C"/>
    <w:rsid w:val="00405A5F"/>
    <w:rsid w:val="0040682C"/>
    <w:rsid w:val="00415A04"/>
    <w:rsid w:val="00440F07"/>
    <w:rsid w:val="004433B5"/>
    <w:rsid w:val="00457779"/>
    <w:rsid w:val="00457CB6"/>
    <w:rsid w:val="00465888"/>
    <w:rsid w:val="004659C5"/>
    <w:rsid w:val="00466ED2"/>
    <w:rsid w:val="004677A4"/>
    <w:rsid w:val="00467954"/>
    <w:rsid w:val="0048560A"/>
    <w:rsid w:val="00486D88"/>
    <w:rsid w:val="00497098"/>
    <w:rsid w:val="00497A0D"/>
    <w:rsid w:val="004B091A"/>
    <w:rsid w:val="004B6B4F"/>
    <w:rsid w:val="004B7FF4"/>
    <w:rsid w:val="004C06D8"/>
    <w:rsid w:val="004C733D"/>
    <w:rsid w:val="004E5491"/>
    <w:rsid w:val="004F2938"/>
    <w:rsid w:val="0050497D"/>
    <w:rsid w:val="00504A68"/>
    <w:rsid w:val="00520099"/>
    <w:rsid w:val="0054488F"/>
    <w:rsid w:val="00546502"/>
    <w:rsid w:val="00572523"/>
    <w:rsid w:val="00576E16"/>
    <w:rsid w:val="00580B15"/>
    <w:rsid w:val="00581468"/>
    <w:rsid w:val="005879FD"/>
    <w:rsid w:val="00591DDB"/>
    <w:rsid w:val="005B0231"/>
    <w:rsid w:val="005B4453"/>
    <w:rsid w:val="005B4883"/>
    <w:rsid w:val="005B64C6"/>
    <w:rsid w:val="005B6C94"/>
    <w:rsid w:val="005D37BB"/>
    <w:rsid w:val="005D5F22"/>
    <w:rsid w:val="005E54AA"/>
    <w:rsid w:val="00602AB8"/>
    <w:rsid w:val="00604032"/>
    <w:rsid w:val="00605E59"/>
    <w:rsid w:val="00606DBE"/>
    <w:rsid w:val="0061617B"/>
    <w:rsid w:val="00626465"/>
    <w:rsid w:val="00632DD9"/>
    <w:rsid w:val="00634835"/>
    <w:rsid w:val="00640F9F"/>
    <w:rsid w:val="00653AA9"/>
    <w:rsid w:val="00655A02"/>
    <w:rsid w:val="00681536"/>
    <w:rsid w:val="00687F46"/>
    <w:rsid w:val="006A2924"/>
    <w:rsid w:val="006B28C8"/>
    <w:rsid w:val="006B4C3F"/>
    <w:rsid w:val="006C4F1C"/>
    <w:rsid w:val="006D0779"/>
    <w:rsid w:val="006E0266"/>
    <w:rsid w:val="006F0AD7"/>
    <w:rsid w:val="007044D0"/>
    <w:rsid w:val="00717019"/>
    <w:rsid w:val="00720B41"/>
    <w:rsid w:val="00731A02"/>
    <w:rsid w:val="00746C61"/>
    <w:rsid w:val="00751F5B"/>
    <w:rsid w:val="007674E4"/>
    <w:rsid w:val="00770F0C"/>
    <w:rsid w:val="00772DD6"/>
    <w:rsid w:val="00777B71"/>
    <w:rsid w:val="0079495B"/>
    <w:rsid w:val="007A3BC4"/>
    <w:rsid w:val="007A3FFC"/>
    <w:rsid w:val="007A59BC"/>
    <w:rsid w:val="007A699D"/>
    <w:rsid w:val="007B5EE8"/>
    <w:rsid w:val="007E2C08"/>
    <w:rsid w:val="00830FB0"/>
    <w:rsid w:val="0084288E"/>
    <w:rsid w:val="00846895"/>
    <w:rsid w:val="008564D5"/>
    <w:rsid w:val="0086732E"/>
    <w:rsid w:val="0087454D"/>
    <w:rsid w:val="00876AD8"/>
    <w:rsid w:val="00883733"/>
    <w:rsid w:val="00883897"/>
    <w:rsid w:val="00884683"/>
    <w:rsid w:val="008A2A30"/>
    <w:rsid w:val="008A5221"/>
    <w:rsid w:val="008B5441"/>
    <w:rsid w:val="008B6968"/>
    <w:rsid w:val="008D0FC9"/>
    <w:rsid w:val="008F6928"/>
    <w:rsid w:val="00903609"/>
    <w:rsid w:val="00903E38"/>
    <w:rsid w:val="00910ABE"/>
    <w:rsid w:val="00910BB2"/>
    <w:rsid w:val="0092031B"/>
    <w:rsid w:val="00924E9D"/>
    <w:rsid w:val="009265F5"/>
    <w:rsid w:val="00927192"/>
    <w:rsid w:val="00942767"/>
    <w:rsid w:val="0094485C"/>
    <w:rsid w:val="00947CB3"/>
    <w:rsid w:val="00947EED"/>
    <w:rsid w:val="009514F1"/>
    <w:rsid w:val="00953442"/>
    <w:rsid w:val="00955C25"/>
    <w:rsid w:val="009636A8"/>
    <w:rsid w:val="0096593E"/>
    <w:rsid w:val="0098171D"/>
    <w:rsid w:val="00991071"/>
    <w:rsid w:val="00993F1B"/>
    <w:rsid w:val="00996C86"/>
    <w:rsid w:val="009A330D"/>
    <w:rsid w:val="009A3D9C"/>
    <w:rsid w:val="009A495C"/>
    <w:rsid w:val="009A52CF"/>
    <w:rsid w:val="009B08A6"/>
    <w:rsid w:val="009B729D"/>
    <w:rsid w:val="009C0B94"/>
    <w:rsid w:val="009C281E"/>
    <w:rsid w:val="009D05D2"/>
    <w:rsid w:val="009D7372"/>
    <w:rsid w:val="009E63A5"/>
    <w:rsid w:val="00A00B52"/>
    <w:rsid w:val="00A11592"/>
    <w:rsid w:val="00A11B18"/>
    <w:rsid w:val="00A169B5"/>
    <w:rsid w:val="00A32E5D"/>
    <w:rsid w:val="00A400CF"/>
    <w:rsid w:val="00A44007"/>
    <w:rsid w:val="00AA1600"/>
    <w:rsid w:val="00AA7863"/>
    <w:rsid w:val="00AB03BC"/>
    <w:rsid w:val="00AB1FE4"/>
    <w:rsid w:val="00AB52C9"/>
    <w:rsid w:val="00AB5FE9"/>
    <w:rsid w:val="00AE10D0"/>
    <w:rsid w:val="00AF49E4"/>
    <w:rsid w:val="00B12903"/>
    <w:rsid w:val="00B21F91"/>
    <w:rsid w:val="00B33F56"/>
    <w:rsid w:val="00B36DAB"/>
    <w:rsid w:val="00B6215C"/>
    <w:rsid w:val="00B63C96"/>
    <w:rsid w:val="00B6582A"/>
    <w:rsid w:val="00B712D1"/>
    <w:rsid w:val="00B7430C"/>
    <w:rsid w:val="00B74AE3"/>
    <w:rsid w:val="00B800F7"/>
    <w:rsid w:val="00B80668"/>
    <w:rsid w:val="00B81B3E"/>
    <w:rsid w:val="00B86BB3"/>
    <w:rsid w:val="00BC1843"/>
    <w:rsid w:val="00BC34D1"/>
    <w:rsid w:val="00BC3C78"/>
    <w:rsid w:val="00BC5607"/>
    <w:rsid w:val="00BC6DFF"/>
    <w:rsid w:val="00BE4D1F"/>
    <w:rsid w:val="00BF1E57"/>
    <w:rsid w:val="00C127F1"/>
    <w:rsid w:val="00C17839"/>
    <w:rsid w:val="00C24714"/>
    <w:rsid w:val="00C316E1"/>
    <w:rsid w:val="00C34CF9"/>
    <w:rsid w:val="00C44ADF"/>
    <w:rsid w:val="00C55326"/>
    <w:rsid w:val="00C757AA"/>
    <w:rsid w:val="00C75A1E"/>
    <w:rsid w:val="00C825DA"/>
    <w:rsid w:val="00C942C7"/>
    <w:rsid w:val="00C946FA"/>
    <w:rsid w:val="00CA4D55"/>
    <w:rsid w:val="00CA6BC4"/>
    <w:rsid w:val="00CA79EA"/>
    <w:rsid w:val="00CB5CE2"/>
    <w:rsid w:val="00CC2218"/>
    <w:rsid w:val="00CC37E9"/>
    <w:rsid w:val="00CC3AB1"/>
    <w:rsid w:val="00CD26C6"/>
    <w:rsid w:val="00CD34B5"/>
    <w:rsid w:val="00CD5E12"/>
    <w:rsid w:val="00CD5FC9"/>
    <w:rsid w:val="00CF2763"/>
    <w:rsid w:val="00D011AD"/>
    <w:rsid w:val="00D141D1"/>
    <w:rsid w:val="00D319E6"/>
    <w:rsid w:val="00D513AD"/>
    <w:rsid w:val="00D51481"/>
    <w:rsid w:val="00D664C1"/>
    <w:rsid w:val="00D665E0"/>
    <w:rsid w:val="00D66838"/>
    <w:rsid w:val="00D7094B"/>
    <w:rsid w:val="00D74397"/>
    <w:rsid w:val="00D86770"/>
    <w:rsid w:val="00D9205B"/>
    <w:rsid w:val="00D92108"/>
    <w:rsid w:val="00D92676"/>
    <w:rsid w:val="00DC2434"/>
    <w:rsid w:val="00DD7FEF"/>
    <w:rsid w:val="00DE4D1D"/>
    <w:rsid w:val="00E0312B"/>
    <w:rsid w:val="00E12F7F"/>
    <w:rsid w:val="00E30D2D"/>
    <w:rsid w:val="00E31A90"/>
    <w:rsid w:val="00E35322"/>
    <w:rsid w:val="00E373BB"/>
    <w:rsid w:val="00E708DF"/>
    <w:rsid w:val="00E71869"/>
    <w:rsid w:val="00E86455"/>
    <w:rsid w:val="00E9681F"/>
    <w:rsid w:val="00EA0C03"/>
    <w:rsid w:val="00EA52E1"/>
    <w:rsid w:val="00EA5739"/>
    <w:rsid w:val="00EB3CE5"/>
    <w:rsid w:val="00EC158C"/>
    <w:rsid w:val="00EC3FEB"/>
    <w:rsid w:val="00EC4586"/>
    <w:rsid w:val="00EF0958"/>
    <w:rsid w:val="00EF3075"/>
    <w:rsid w:val="00EF55C3"/>
    <w:rsid w:val="00F02D66"/>
    <w:rsid w:val="00F04F02"/>
    <w:rsid w:val="00F10578"/>
    <w:rsid w:val="00F36723"/>
    <w:rsid w:val="00F36B31"/>
    <w:rsid w:val="00F37D82"/>
    <w:rsid w:val="00F5084C"/>
    <w:rsid w:val="00F51CF1"/>
    <w:rsid w:val="00F57A39"/>
    <w:rsid w:val="00F742D5"/>
    <w:rsid w:val="00F823B4"/>
    <w:rsid w:val="00F84E91"/>
    <w:rsid w:val="00F87911"/>
    <w:rsid w:val="00F96D2A"/>
    <w:rsid w:val="00F97FB5"/>
    <w:rsid w:val="00FA26C0"/>
    <w:rsid w:val="00FA4D77"/>
    <w:rsid w:val="00FA4FDD"/>
    <w:rsid w:val="00FC3F53"/>
    <w:rsid w:val="00FE50B9"/>
    <w:rsid w:val="00FE6AC7"/>
    <w:rsid w:val="00FE7B1A"/>
    <w:rsid w:val="00FF2A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AE7E"/>
  <w15:chartTrackingRefBased/>
  <w15:docId w15:val="{A7DE6B95-F4DD-4994-97B6-773FC16A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E16"/>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76E16"/>
    <w:rPr>
      <w:i/>
      <w:iCs/>
    </w:rPr>
  </w:style>
  <w:style w:type="paragraph" w:styleId="Footer">
    <w:name w:val="footer"/>
    <w:basedOn w:val="Normal"/>
    <w:link w:val="FooterChar"/>
    <w:rsid w:val="00576E1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576E16"/>
    <w:rPr>
      <w:rFonts w:eastAsia="Times New Roman" w:cs="Times New Roman"/>
      <w:szCs w:val="24"/>
      <w:lang w:val="en-GB"/>
    </w:rPr>
  </w:style>
  <w:style w:type="character" w:styleId="PageNumber">
    <w:name w:val="page number"/>
    <w:rsid w:val="00576E16"/>
  </w:style>
  <w:style w:type="paragraph" w:customStyle="1" w:styleId="naisvisr">
    <w:name w:val="naisvisr"/>
    <w:basedOn w:val="Normal"/>
    <w:rsid w:val="00576E16"/>
    <w:pPr>
      <w:spacing w:before="100" w:beforeAutospacing="1" w:after="100" w:afterAutospacing="1"/>
    </w:pPr>
    <w:rPr>
      <w:rFonts w:eastAsia="Times New Roman"/>
      <w:szCs w:val="24"/>
      <w:lang w:eastAsia="lv-LV"/>
    </w:rPr>
  </w:style>
  <w:style w:type="character" w:styleId="Hyperlink">
    <w:name w:val="Hyperlink"/>
    <w:basedOn w:val="DefaultParagraphFont"/>
    <w:uiPriority w:val="99"/>
    <w:unhideWhenUsed/>
    <w:rsid w:val="00D665E0"/>
    <w:rPr>
      <w:color w:val="0563C1" w:themeColor="hyperlink"/>
      <w:u w:val="single"/>
    </w:rPr>
  </w:style>
  <w:style w:type="paragraph" w:customStyle="1" w:styleId="tvhtml">
    <w:name w:val="tv_html"/>
    <w:basedOn w:val="Normal"/>
    <w:rsid w:val="009E63A5"/>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164A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A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29980">
      <w:bodyDiv w:val="1"/>
      <w:marLeft w:val="0"/>
      <w:marRight w:val="0"/>
      <w:marTop w:val="0"/>
      <w:marBottom w:val="0"/>
      <w:divBdr>
        <w:top w:val="none" w:sz="0" w:space="0" w:color="auto"/>
        <w:left w:val="none" w:sz="0" w:space="0" w:color="auto"/>
        <w:bottom w:val="none" w:sz="0" w:space="0" w:color="auto"/>
        <w:right w:val="none" w:sz="0" w:space="0" w:color="auto"/>
      </w:divBdr>
    </w:div>
    <w:div w:id="117771029">
      <w:bodyDiv w:val="1"/>
      <w:marLeft w:val="0"/>
      <w:marRight w:val="0"/>
      <w:marTop w:val="0"/>
      <w:marBottom w:val="0"/>
      <w:divBdr>
        <w:top w:val="none" w:sz="0" w:space="0" w:color="auto"/>
        <w:left w:val="none" w:sz="0" w:space="0" w:color="auto"/>
        <w:bottom w:val="none" w:sz="0" w:space="0" w:color="auto"/>
        <w:right w:val="none" w:sz="0" w:space="0" w:color="auto"/>
      </w:divBdr>
    </w:div>
    <w:div w:id="130711096">
      <w:bodyDiv w:val="1"/>
      <w:marLeft w:val="0"/>
      <w:marRight w:val="0"/>
      <w:marTop w:val="0"/>
      <w:marBottom w:val="0"/>
      <w:divBdr>
        <w:top w:val="none" w:sz="0" w:space="0" w:color="auto"/>
        <w:left w:val="none" w:sz="0" w:space="0" w:color="auto"/>
        <w:bottom w:val="none" w:sz="0" w:space="0" w:color="auto"/>
        <w:right w:val="none" w:sz="0" w:space="0" w:color="auto"/>
      </w:divBdr>
    </w:div>
    <w:div w:id="186724663">
      <w:bodyDiv w:val="1"/>
      <w:marLeft w:val="0"/>
      <w:marRight w:val="0"/>
      <w:marTop w:val="0"/>
      <w:marBottom w:val="0"/>
      <w:divBdr>
        <w:top w:val="none" w:sz="0" w:space="0" w:color="auto"/>
        <w:left w:val="none" w:sz="0" w:space="0" w:color="auto"/>
        <w:bottom w:val="none" w:sz="0" w:space="0" w:color="auto"/>
        <w:right w:val="none" w:sz="0" w:space="0" w:color="auto"/>
      </w:divBdr>
    </w:div>
    <w:div w:id="217861054">
      <w:bodyDiv w:val="1"/>
      <w:marLeft w:val="0"/>
      <w:marRight w:val="0"/>
      <w:marTop w:val="0"/>
      <w:marBottom w:val="0"/>
      <w:divBdr>
        <w:top w:val="none" w:sz="0" w:space="0" w:color="auto"/>
        <w:left w:val="none" w:sz="0" w:space="0" w:color="auto"/>
        <w:bottom w:val="none" w:sz="0" w:space="0" w:color="auto"/>
        <w:right w:val="none" w:sz="0" w:space="0" w:color="auto"/>
      </w:divBdr>
    </w:div>
    <w:div w:id="397676259">
      <w:bodyDiv w:val="1"/>
      <w:marLeft w:val="0"/>
      <w:marRight w:val="0"/>
      <w:marTop w:val="0"/>
      <w:marBottom w:val="0"/>
      <w:divBdr>
        <w:top w:val="none" w:sz="0" w:space="0" w:color="auto"/>
        <w:left w:val="none" w:sz="0" w:space="0" w:color="auto"/>
        <w:bottom w:val="none" w:sz="0" w:space="0" w:color="auto"/>
        <w:right w:val="none" w:sz="0" w:space="0" w:color="auto"/>
      </w:divBdr>
    </w:div>
    <w:div w:id="405759870">
      <w:bodyDiv w:val="1"/>
      <w:marLeft w:val="0"/>
      <w:marRight w:val="0"/>
      <w:marTop w:val="0"/>
      <w:marBottom w:val="0"/>
      <w:divBdr>
        <w:top w:val="none" w:sz="0" w:space="0" w:color="auto"/>
        <w:left w:val="none" w:sz="0" w:space="0" w:color="auto"/>
        <w:bottom w:val="none" w:sz="0" w:space="0" w:color="auto"/>
        <w:right w:val="none" w:sz="0" w:space="0" w:color="auto"/>
      </w:divBdr>
    </w:div>
    <w:div w:id="427845435">
      <w:bodyDiv w:val="1"/>
      <w:marLeft w:val="0"/>
      <w:marRight w:val="0"/>
      <w:marTop w:val="0"/>
      <w:marBottom w:val="0"/>
      <w:divBdr>
        <w:top w:val="none" w:sz="0" w:space="0" w:color="auto"/>
        <w:left w:val="none" w:sz="0" w:space="0" w:color="auto"/>
        <w:bottom w:val="none" w:sz="0" w:space="0" w:color="auto"/>
        <w:right w:val="none" w:sz="0" w:space="0" w:color="auto"/>
      </w:divBdr>
    </w:div>
    <w:div w:id="428744242">
      <w:bodyDiv w:val="1"/>
      <w:marLeft w:val="0"/>
      <w:marRight w:val="0"/>
      <w:marTop w:val="0"/>
      <w:marBottom w:val="0"/>
      <w:divBdr>
        <w:top w:val="none" w:sz="0" w:space="0" w:color="auto"/>
        <w:left w:val="none" w:sz="0" w:space="0" w:color="auto"/>
        <w:bottom w:val="none" w:sz="0" w:space="0" w:color="auto"/>
        <w:right w:val="none" w:sz="0" w:space="0" w:color="auto"/>
      </w:divBdr>
    </w:div>
    <w:div w:id="435953303">
      <w:bodyDiv w:val="1"/>
      <w:marLeft w:val="0"/>
      <w:marRight w:val="0"/>
      <w:marTop w:val="0"/>
      <w:marBottom w:val="0"/>
      <w:divBdr>
        <w:top w:val="none" w:sz="0" w:space="0" w:color="auto"/>
        <w:left w:val="none" w:sz="0" w:space="0" w:color="auto"/>
        <w:bottom w:val="none" w:sz="0" w:space="0" w:color="auto"/>
        <w:right w:val="none" w:sz="0" w:space="0" w:color="auto"/>
      </w:divBdr>
    </w:div>
    <w:div w:id="510725171">
      <w:bodyDiv w:val="1"/>
      <w:marLeft w:val="0"/>
      <w:marRight w:val="0"/>
      <w:marTop w:val="0"/>
      <w:marBottom w:val="0"/>
      <w:divBdr>
        <w:top w:val="none" w:sz="0" w:space="0" w:color="auto"/>
        <w:left w:val="none" w:sz="0" w:space="0" w:color="auto"/>
        <w:bottom w:val="none" w:sz="0" w:space="0" w:color="auto"/>
        <w:right w:val="none" w:sz="0" w:space="0" w:color="auto"/>
      </w:divBdr>
    </w:div>
    <w:div w:id="535583453">
      <w:bodyDiv w:val="1"/>
      <w:marLeft w:val="0"/>
      <w:marRight w:val="0"/>
      <w:marTop w:val="0"/>
      <w:marBottom w:val="0"/>
      <w:divBdr>
        <w:top w:val="none" w:sz="0" w:space="0" w:color="auto"/>
        <w:left w:val="none" w:sz="0" w:space="0" w:color="auto"/>
        <w:bottom w:val="none" w:sz="0" w:space="0" w:color="auto"/>
        <w:right w:val="none" w:sz="0" w:space="0" w:color="auto"/>
      </w:divBdr>
    </w:div>
    <w:div w:id="545994937">
      <w:bodyDiv w:val="1"/>
      <w:marLeft w:val="0"/>
      <w:marRight w:val="0"/>
      <w:marTop w:val="0"/>
      <w:marBottom w:val="0"/>
      <w:divBdr>
        <w:top w:val="none" w:sz="0" w:space="0" w:color="auto"/>
        <w:left w:val="none" w:sz="0" w:space="0" w:color="auto"/>
        <w:bottom w:val="none" w:sz="0" w:space="0" w:color="auto"/>
        <w:right w:val="none" w:sz="0" w:space="0" w:color="auto"/>
      </w:divBdr>
    </w:div>
    <w:div w:id="582300409">
      <w:bodyDiv w:val="1"/>
      <w:marLeft w:val="0"/>
      <w:marRight w:val="0"/>
      <w:marTop w:val="0"/>
      <w:marBottom w:val="0"/>
      <w:divBdr>
        <w:top w:val="none" w:sz="0" w:space="0" w:color="auto"/>
        <w:left w:val="none" w:sz="0" w:space="0" w:color="auto"/>
        <w:bottom w:val="none" w:sz="0" w:space="0" w:color="auto"/>
        <w:right w:val="none" w:sz="0" w:space="0" w:color="auto"/>
      </w:divBdr>
    </w:div>
    <w:div w:id="602224976">
      <w:bodyDiv w:val="1"/>
      <w:marLeft w:val="0"/>
      <w:marRight w:val="0"/>
      <w:marTop w:val="0"/>
      <w:marBottom w:val="0"/>
      <w:divBdr>
        <w:top w:val="none" w:sz="0" w:space="0" w:color="auto"/>
        <w:left w:val="none" w:sz="0" w:space="0" w:color="auto"/>
        <w:bottom w:val="none" w:sz="0" w:space="0" w:color="auto"/>
        <w:right w:val="none" w:sz="0" w:space="0" w:color="auto"/>
      </w:divBdr>
    </w:div>
    <w:div w:id="641230027">
      <w:bodyDiv w:val="1"/>
      <w:marLeft w:val="0"/>
      <w:marRight w:val="0"/>
      <w:marTop w:val="0"/>
      <w:marBottom w:val="0"/>
      <w:divBdr>
        <w:top w:val="none" w:sz="0" w:space="0" w:color="auto"/>
        <w:left w:val="none" w:sz="0" w:space="0" w:color="auto"/>
        <w:bottom w:val="none" w:sz="0" w:space="0" w:color="auto"/>
        <w:right w:val="none" w:sz="0" w:space="0" w:color="auto"/>
      </w:divBdr>
    </w:div>
    <w:div w:id="748116325">
      <w:bodyDiv w:val="1"/>
      <w:marLeft w:val="0"/>
      <w:marRight w:val="0"/>
      <w:marTop w:val="0"/>
      <w:marBottom w:val="0"/>
      <w:divBdr>
        <w:top w:val="none" w:sz="0" w:space="0" w:color="auto"/>
        <w:left w:val="none" w:sz="0" w:space="0" w:color="auto"/>
        <w:bottom w:val="none" w:sz="0" w:space="0" w:color="auto"/>
        <w:right w:val="none" w:sz="0" w:space="0" w:color="auto"/>
      </w:divBdr>
    </w:div>
    <w:div w:id="771171477">
      <w:bodyDiv w:val="1"/>
      <w:marLeft w:val="0"/>
      <w:marRight w:val="0"/>
      <w:marTop w:val="0"/>
      <w:marBottom w:val="0"/>
      <w:divBdr>
        <w:top w:val="none" w:sz="0" w:space="0" w:color="auto"/>
        <w:left w:val="none" w:sz="0" w:space="0" w:color="auto"/>
        <w:bottom w:val="none" w:sz="0" w:space="0" w:color="auto"/>
        <w:right w:val="none" w:sz="0" w:space="0" w:color="auto"/>
      </w:divBdr>
    </w:div>
    <w:div w:id="863834567">
      <w:bodyDiv w:val="1"/>
      <w:marLeft w:val="0"/>
      <w:marRight w:val="0"/>
      <w:marTop w:val="0"/>
      <w:marBottom w:val="0"/>
      <w:divBdr>
        <w:top w:val="none" w:sz="0" w:space="0" w:color="auto"/>
        <w:left w:val="none" w:sz="0" w:space="0" w:color="auto"/>
        <w:bottom w:val="none" w:sz="0" w:space="0" w:color="auto"/>
        <w:right w:val="none" w:sz="0" w:space="0" w:color="auto"/>
      </w:divBdr>
    </w:div>
    <w:div w:id="884947581">
      <w:bodyDiv w:val="1"/>
      <w:marLeft w:val="0"/>
      <w:marRight w:val="0"/>
      <w:marTop w:val="0"/>
      <w:marBottom w:val="0"/>
      <w:divBdr>
        <w:top w:val="none" w:sz="0" w:space="0" w:color="auto"/>
        <w:left w:val="none" w:sz="0" w:space="0" w:color="auto"/>
        <w:bottom w:val="none" w:sz="0" w:space="0" w:color="auto"/>
        <w:right w:val="none" w:sz="0" w:space="0" w:color="auto"/>
      </w:divBdr>
    </w:div>
    <w:div w:id="1050298449">
      <w:bodyDiv w:val="1"/>
      <w:marLeft w:val="0"/>
      <w:marRight w:val="0"/>
      <w:marTop w:val="0"/>
      <w:marBottom w:val="0"/>
      <w:divBdr>
        <w:top w:val="none" w:sz="0" w:space="0" w:color="auto"/>
        <w:left w:val="none" w:sz="0" w:space="0" w:color="auto"/>
        <w:bottom w:val="none" w:sz="0" w:space="0" w:color="auto"/>
        <w:right w:val="none" w:sz="0" w:space="0" w:color="auto"/>
      </w:divBdr>
    </w:div>
    <w:div w:id="1138643410">
      <w:bodyDiv w:val="1"/>
      <w:marLeft w:val="0"/>
      <w:marRight w:val="0"/>
      <w:marTop w:val="0"/>
      <w:marBottom w:val="0"/>
      <w:divBdr>
        <w:top w:val="none" w:sz="0" w:space="0" w:color="auto"/>
        <w:left w:val="none" w:sz="0" w:space="0" w:color="auto"/>
        <w:bottom w:val="none" w:sz="0" w:space="0" w:color="auto"/>
        <w:right w:val="none" w:sz="0" w:space="0" w:color="auto"/>
      </w:divBdr>
    </w:div>
    <w:div w:id="1176650846">
      <w:bodyDiv w:val="1"/>
      <w:marLeft w:val="0"/>
      <w:marRight w:val="0"/>
      <w:marTop w:val="0"/>
      <w:marBottom w:val="0"/>
      <w:divBdr>
        <w:top w:val="none" w:sz="0" w:space="0" w:color="auto"/>
        <w:left w:val="none" w:sz="0" w:space="0" w:color="auto"/>
        <w:bottom w:val="none" w:sz="0" w:space="0" w:color="auto"/>
        <w:right w:val="none" w:sz="0" w:space="0" w:color="auto"/>
      </w:divBdr>
    </w:div>
    <w:div w:id="1200440073">
      <w:bodyDiv w:val="1"/>
      <w:marLeft w:val="0"/>
      <w:marRight w:val="0"/>
      <w:marTop w:val="0"/>
      <w:marBottom w:val="0"/>
      <w:divBdr>
        <w:top w:val="none" w:sz="0" w:space="0" w:color="auto"/>
        <w:left w:val="none" w:sz="0" w:space="0" w:color="auto"/>
        <w:bottom w:val="none" w:sz="0" w:space="0" w:color="auto"/>
        <w:right w:val="none" w:sz="0" w:space="0" w:color="auto"/>
      </w:divBdr>
    </w:div>
    <w:div w:id="1282111544">
      <w:bodyDiv w:val="1"/>
      <w:marLeft w:val="0"/>
      <w:marRight w:val="0"/>
      <w:marTop w:val="0"/>
      <w:marBottom w:val="0"/>
      <w:divBdr>
        <w:top w:val="none" w:sz="0" w:space="0" w:color="auto"/>
        <w:left w:val="none" w:sz="0" w:space="0" w:color="auto"/>
        <w:bottom w:val="none" w:sz="0" w:space="0" w:color="auto"/>
        <w:right w:val="none" w:sz="0" w:space="0" w:color="auto"/>
      </w:divBdr>
    </w:div>
    <w:div w:id="1307202675">
      <w:bodyDiv w:val="1"/>
      <w:marLeft w:val="0"/>
      <w:marRight w:val="0"/>
      <w:marTop w:val="0"/>
      <w:marBottom w:val="0"/>
      <w:divBdr>
        <w:top w:val="none" w:sz="0" w:space="0" w:color="auto"/>
        <w:left w:val="none" w:sz="0" w:space="0" w:color="auto"/>
        <w:bottom w:val="none" w:sz="0" w:space="0" w:color="auto"/>
        <w:right w:val="none" w:sz="0" w:space="0" w:color="auto"/>
      </w:divBdr>
    </w:div>
    <w:div w:id="1365447637">
      <w:bodyDiv w:val="1"/>
      <w:marLeft w:val="0"/>
      <w:marRight w:val="0"/>
      <w:marTop w:val="0"/>
      <w:marBottom w:val="0"/>
      <w:divBdr>
        <w:top w:val="none" w:sz="0" w:space="0" w:color="auto"/>
        <w:left w:val="none" w:sz="0" w:space="0" w:color="auto"/>
        <w:bottom w:val="none" w:sz="0" w:space="0" w:color="auto"/>
        <w:right w:val="none" w:sz="0" w:space="0" w:color="auto"/>
      </w:divBdr>
    </w:div>
    <w:div w:id="1406804470">
      <w:bodyDiv w:val="1"/>
      <w:marLeft w:val="0"/>
      <w:marRight w:val="0"/>
      <w:marTop w:val="0"/>
      <w:marBottom w:val="0"/>
      <w:divBdr>
        <w:top w:val="none" w:sz="0" w:space="0" w:color="auto"/>
        <w:left w:val="none" w:sz="0" w:space="0" w:color="auto"/>
        <w:bottom w:val="none" w:sz="0" w:space="0" w:color="auto"/>
        <w:right w:val="none" w:sz="0" w:space="0" w:color="auto"/>
      </w:divBdr>
    </w:div>
    <w:div w:id="1420710024">
      <w:bodyDiv w:val="1"/>
      <w:marLeft w:val="0"/>
      <w:marRight w:val="0"/>
      <w:marTop w:val="0"/>
      <w:marBottom w:val="0"/>
      <w:divBdr>
        <w:top w:val="none" w:sz="0" w:space="0" w:color="auto"/>
        <w:left w:val="none" w:sz="0" w:space="0" w:color="auto"/>
        <w:bottom w:val="none" w:sz="0" w:space="0" w:color="auto"/>
        <w:right w:val="none" w:sz="0" w:space="0" w:color="auto"/>
      </w:divBdr>
    </w:div>
    <w:div w:id="1497576478">
      <w:bodyDiv w:val="1"/>
      <w:marLeft w:val="0"/>
      <w:marRight w:val="0"/>
      <w:marTop w:val="0"/>
      <w:marBottom w:val="0"/>
      <w:divBdr>
        <w:top w:val="none" w:sz="0" w:space="0" w:color="auto"/>
        <w:left w:val="none" w:sz="0" w:space="0" w:color="auto"/>
        <w:bottom w:val="none" w:sz="0" w:space="0" w:color="auto"/>
        <w:right w:val="none" w:sz="0" w:space="0" w:color="auto"/>
      </w:divBdr>
    </w:div>
    <w:div w:id="1508789754">
      <w:bodyDiv w:val="1"/>
      <w:marLeft w:val="0"/>
      <w:marRight w:val="0"/>
      <w:marTop w:val="0"/>
      <w:marBottom w:val="0"/>
      <w:divBdr>
        <w:top w:val="none" w:sz="0" w:space="0" w:color="auto"/>
        <w:left w:val="none" w:sz="0" w:space="0" w:color="auto"/>
        <w:bottom w:val="none" w:sz="0" w:space="0" w:color="auto"/>
        <w:right w:val="none" w:sz="0" w:space="0" w:color="auto"/>
      </w:divBdr>
    </w:div>
    <w:div w:id="1559391697">
      <w:bodyDiv w:val="1"/>
      <w:marLeft w:val="0"/>
      <w:marRight w:val="0"/>
      <w:marTop w:val="0"/>
      <w:marBottom w:val="0"/>
      <w:divBdr>
        <w:top w:val="none" w:sz="0" w:space="0" w:color="auto"/>
        <w:left w:val="none" w:sz="0" w:space="0" w:color="auto"/>
        <w:bottom w:val="none" w:sz="0" w:space="0" w:color="auto"/>
        <w:right w:val="none" w:sz="0" w:space="0" w:color="auto"/>
      </w:divBdr>
    </w:div>
    <w:div w:id="1593976416">
      <w:bodyDiv w:val="1"/>
      <w:marLeft w:val="0"/>
      <w:marRight w:val="0"/>
      <w:marTop w:val="0"/>
      <w:marBottom w:val="0"/>
      <w:divBdr>
        <w:top w:val="none" w:sz="0" w:space="0" w:color="auto"/>
        <w:left w:val="none" w:sz="0" w:space="0" w:color="auto"/>
        <w:bottom w:val="none" w:sz="0" w:space="0" w:color="auto"/>
        <w:right w:val="none" w:sz="0" w:space="0" w:color="auto"/>
      </w:divBdr>
    </w:div>
    <w:div w:id="1599605254">
      <w:bodyDiv w:val="1"/>
      <w:marLeft w:val="0"/>
      <w:marRight w:val="0"/>
      <w:marTop w:val="0"/>
      <w:marBottom w:val="0"/>
      <w:divBdr>
        <w:top w:val="none" w:sz="0" w:space="0" w:color="auto"/>
        <w:left w:val="none" w:sz="0" w:space="0" w:color="auto"/>
        <w:bottom w:val="none" w:sz="0" w:space="0" w:color="auto"/>
        <w:right w:val="none" w:sz="0" w:space="0" w:color="auto"/>
      </w:divBdr>
    </w:div>
    <w:div w:id="1690257757">
      <w:bodyDiv w:val="1"/>
      <w:marLeft w:val="0"/>
      <w:marRight w:val="0"/>
      <w:marTop w:val="0"/>
      <w:marBottom w:val="0"/>
      <w:divBdr>
        <w:top w:val="none" w:sz="0" w:space="0" w:color="auto"/>
        <w:left w:val="none" w:sz="0" w:space="0" w:color="auto"/>
        <w:bottom w:val="none" w:sz="0" w:space="0" w:color="auto"/>
        <w:right w:val="none" w:sz="0" w:space="0" w:color="auto"/>
      </w:divBdr>
    </w:div>
    <w:div w:id="1706057182">
      <w:bodyDiv w:val="1"/>
      <w:marLeft w:val="0"/>
      <w:marRight w:val="0"/>
      <w:marTop w:val="0"/>
      <w:marBottom w:val="0"/>
      <w:divBdr>
        <w:top w:val="none" w:sz="0" w:space="0" w:color="auto"/>
        <w:left w:val="none" w:sz="0" w:space="0" w:color="auto"/>
        <w:bottom w:val="none" w:sz="0" w:space="0" w:color="auto"/>
        <w:right w:val="none" w:sz="0" w:space="0" w:color="auto"/>
      </w:divBdr>
    </w:div>
    <w:div w:id="1730182130">
      <w:bodyDiv w:val="1"/>
      <w:marLeft w:val="0"/>
      <w:marRight w:val="0"/>
      <w:marTop w:val="0"/>
      <w:marBottom w:val="0"/>
      <w:divBdr>
        <w:top w:val="none" w:sz="0" w:space="0" w:color="auto"/>
        <w:left w:val="none" w:sz="0" w:space="0" w:color="auto"/>
        <w:bottom w:val="none" w:sz="0" w:space="0" w:color="auto"/>
        <w:right w:val="none" w:sz="0" w:space="0" w:color="auto"/>
      </w:divBdr>
    </w:div>
    <w:div w:id="1751612939">
      <w:bodyDiv w:val="1"/>
      <w:marLeft w:val="0"/>
      <w:marRight w:val="0"/>
      <w:marTop w:val="0"/>
      <w:marBottom w:val="0"/>
      <w:divBdr>
        <w:top w:val="none" w:sz="0" w:space="0" w:color="auto"/>
        <w:left w:val="none" w:sz="0" w:space="0" w:color="auto"/>
        <w:bottom w:val="none" w:sz="0" w:space="0" w:color="auto"/>
        <w:right w:val="none" w:sz="0" w:space="0" w:color="auto"/>
      </w:divBdr>
    </w:div>
    <w:div w:id="1757626265">
      <w:bodyDiv w:val="1"/>
      <w:marLeft w:val="0"/>
      <w:marRight w:val="0"/>
      <w:marTop w:val="0"/>
      <w:marBottom w:val="0"/>
      <w:divBdr>
        <w:top w:val="none" w:sz="0" w:space="0" w:color="auto"/>
        <w:left w:val="none" w:sz="0" w:space="0" w:color="auto"/>
        <w:bottom w:val="none" w:sz="0" w:space="0" w:color="auto"/>
        <w:right w:val="none" w:sz="0" w:space="0" w:color="auto"/>
      </w:divBdr>
    </w:div>
    <w:div w:id="1796177295">
      <w:bodyDiv w:val="1"/>
      <w:marLeft w:val="0"/>
      <w:marRight w:val="0"/>
      <w:marTop w:val="0"/>
      <w:marBottom w:val="0"/>
      <w:divBdr>
        <w:top w:val="none" w:sz="0" w:space="0" w:color="auto"/>
        <w:left w:val="none" w:sz="0" w:space="0" w:color="auto"/>
        <w:bottom w:val="none" w:sz="0" w:space="0" w:color="auto"/>
        <w:right w:val="none" w:sz="0" w:space="0" w:color="auto"/>
      </w:divBdr>
    </w:div>
    <w:div w:id="1815482895">
      <w:bodyDiv w:val="1"/>
      <w:marLeft w:val="0"/>
      <w:marRight w:val="0"/>
      <w:marTop w:val="0"/>
      <w:marBottom w:val="0"/>
      <w:divBdr>
        <w:top w:val="none" w:sz="0" w:space="0" w:color="auto"/>
        <w:left w:val="none" w:sz="0" w:space="0" w:color="auto"/>
        <w:bottom w:val="none" w:sz="0" w:space="0" w:color="auto"/>
        <w:right w:val="none" w:sz="0" w:space="0" w:color="auto"/>
      </w:divBdr>
    </w:div>
    <w:div w:id="1835996983">
      <w:bodyDiv w:val="1"/>
      <w:marLeft w:val="0"/>
      <w:marRight w:val="0"/>
      <w:marTop w:val="0"/>
      <w:marBottom w:val="0"/>
      <w:divBdr>
        <w:top w:val="none" w:sz="0" w:space="0" w:color="auto"/>
        <w:left w:val="none" w:sz="0" w:space="0" w:color="auto"/>
        <w:bottom w:val="none" w:sz="0" w:space="0" w:color="auto"/>
        <w:right w:val="none" w:sz="0" w:space="0" w:color="auto"/>
      </w:divBdr>
    </w:div>
    <w:div w:id="1901817249">
      <w:bodyDiv w:val="1"/>
      <w:marLeft w:val="0"/>
      <w:marRight w:val="0"/>
      <w:marTop w:val="0"/>
      <w:marBottom w:val="0"/>
      <w:divBdr>
        <w:top w:val="none" w:sz="0" w:space="0" w:color="auto"/>
        <w:left w:val="none" w:sz="0" w:space="0" w:color="auto"/>
        <w:bottom w:val="none" w:sz="0" w:space="0" w:color="auto"/>
        <w:right w:val="none" w:sz="0" w:space="0" w:color="auto"/>
      </w:divBdr>
    </w:div>
    <w:div w:id="20233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6075-par-piesarnojumu" TargetMode="External"/><Relationship Id="rId18" Type="http://schemas.openxmlformats.org/officeDocument/2006/relationships/hyperlink" Target="https://m.likumi.lv/ta/id/6075-par-piesarnojumu" TargetMode="External"/><Relationship Id="rId26" Type="http://schemas.openxmlformats.org/officeDocument/2006/relationships/hyperlink" Target="https://m.likumi.lv/ta/id/6075-par-piesarnojumu" TargetMode="External"/><Relationship Id="rId3" Type="http://schemas.openxmlformats.org/officeDocument/2006/relationships/settings" Target="settings.xml"/><Relationship Id="rId21" Type="http://schemas.openxmlformats.org/officeDocument/2006/relationships/hyperlink" Target="https://m.likumi.lv/ta/id/6075-par-piesarnojumu" TargetMode="External"/><Relationship Id="rId7" Type="http://schemas.openxmlformats.org/officeDocument/2006/relationships/hyperlink" Target="https://m.likumi.lv/ta/id/6075-par-piesarnojumu" TargetMode="External"/><Relationship Id="rId12" Type="http://schemas.openxmlformats.org/officeDocument/2006/relationships/hyperlink" Target="https://m.likumi.lv/ta/id/6075-par-piesarnojumu" TargetMode="External"/><Relationship Id="rId17" Type="http://schemas.openxmlformats.org/officeDocument/2006/relationships/hyperlink" Target="https://m.likumi.lv/ta/id/6075-par-piesarnojumu" TargetMode="External"/><Relationship Id="rId25" Type="http://schemas.openxmlformats.org/officeDocument/2006/relationships/hyperlink" Target="https://m.likumi.lv/ta/id/6075-par-piesarnojum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likumi.lv/ta/id/6075-par-piesarnojumu" TargetMode="External"/><Relationship Id="rId20" Type="http://schemas.openxmlformats.org/officeDocument/2006/relationships/hyperlink" Target="https://m.likumi.lv/ta/id/6075-par-piesarnojumu" TargetMode="External"/><Relationship Id="rId29" Type="http://schemas.openxmlformats.org/officeDocument/2006/relationships/hyperlink" Target="https://m.likumi.lv/ta/id/6075-par-piesarnojum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likumi.lv/ta/id/6075-par-piesarnojumu" TargetMode="External"/><Relationship Id="rId24" Type="http://schemas.openxmlformats.org/officeDocument/2006/relationships/hyperlink" Target="https://m.likumi.lv/ta/id/6075-par-piesarnojum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likumi.lv/ta/id/6075-par-piesarnojumu" TargetMode="External"/><Relationship Id="rId23" Type="http://schemas.openxmlformats.org/officeDocument/2006/relationships/hyperlink" Target="https://m.likumi.lv/ta/id/6075-par-piesarnojumu" TargetMode="External"/><Relationship Id="rId28" Type="http://schemas.openxmlformats.org/officeDocument/2006/relationships/hyperlink" Target="https://m.likumi.lv/ta/id/6075-par-piesarnojumu" TargetMode="External"/><Relationship Id="rId10" Type="http://schemas.openxmlformats.org/officeDocument/2006/relationships/hyperlink" Target="https://m.likumi.lv/ta/id/6075-par-piesarnojumu" TargetMode="External"/><Relationship Id="rId19" Type="http://schemas.openxmlformats.org/officeDocument/2006/relationships/hyperlink" Target="https://m.likumi.lv/ta/id/6075-par-piesarnojum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m.likumi.lv/ta/id/6075-par-piesarnojumu" TargetMode="External"/><Relationship Id="rId14" Type="http://schemas.openxmlformats.org/officeDocument/2006/relationships/hyperlink" Target="https://m.likumi.lv/ta/id/6075-par-piesarnojumu" TargetMode="External"/><Relationship Id="rId22" Type="http://schemas.openxmlformats.org/officeDocument/2006/relationships/hyperlink" Target="https://m.likumi.lv/ta/id/6075-par-piesarnojumu" TargetMode="External"/><Relationship Id="rId27" Type="http://schemas.openxmlformats.org/officeDocument/2006/relationships/hyperlink" Target="https://m.likumi.lv/ta/id/6075-par-piesarnojumu" TargetMode="External"/><Relationship Id="rId30" Type="http://schemas.openxmlformats.org/officeDocument/2006/relationships/footer" Target="footer1.xml"/><Relationship Id="rId8" Type="http://schemas.openxmlformats.org/officeDocument/2006/relationships/hyperlink" Target="https://m.likumi.lv/ta/id/6075-par-piesarnojum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18711</Words>
  <Characters>10666</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Krustiņš</dc:creator>
  <cp:keywords/>
  <dc:description/>
  <cp:lastModifiedBy>Arnis Krustiņš</cp:lastModifiedBy>
  <cp:revision>2</cp:revision>
  <cp:lastPrinted>2019-11-02T11:33:00Z</cp:lastPrinted>
  <dcterms:created xsi:type="dcterms:W3CDTF">2019-11-02T11:33:00Z</dcterms:created>
  <dcterms:modified xsi:type="dcterms:W3CDTF">2019-11-02T11:33:00Z</dcterms:modified>
</cp:coreProperties>
</file>