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r w:rsidR="001325D9">
        <w:rPr>
          <w:sz w:val="26"/>
          <w:szCs w:val="26"/>
        </w:rPr>
        <w:tab/>
      </w:r>
    </w:p>
    <w:p w:rsidR="00F5084C" w:rsidRDefault="00576E16" w:rsidP="001F548E">
      <w:pPr>
        <w:jc w:val="right"/>
        <w:rPr>
          <w:sz w:val="26"/>
          <w:szCs w:val="26"/>
        </w:rPr>
      </w:pPr>
      <w:r w:rsidRPr="00C62F8B">
        <w:rPr>
          <w:sz w:val="26"/>
          <w:szCs w:val="26"/>
        </w:rPr>
        <w:t>L</w:t>
      </w:r>
      <w:r>
        <w:rPr>
          <w:sz w:val="26"/>
          <w:szCs w:val="26"/>
        </w:rPr>
        <w:t xml:space="preserve">ikumprojekts </w:t>
      </w:r>
      <w:proofErr w:type="gramStart"/>
      <w:r w:rsidR="00745A90">
        <w:rPr>
          <w:sz w:val="26"/>
          <w:szCs w:val="26"/>
        </w:rPr>
        <w:t>(steidzams) otr</w:t>
      </w:r>
      <w:r w:rsidR="00C55326">
        <w:rPr>
          <w:sz w:val="26"/>
          <w:szCs w:val="26"/>
        </w:rPr>
        <w:t>ajam lasījumam</w:t>
      </w:r>
      <w:proofErr w:type="gramEnd"/>
    </w:p>
    <w:p w:rsidR="009B34C0" w:rsidRDefault="007F6470" w:rsidP="001846DF">
      <w:pPr>
        <w:jc w:val="center"/>
        <w:rPr>
          <w:b/>
          <w:iCs/>
          <w:sz w:val="26"/>
          <w:szCs w:val="26"/>
        </w:rPr>
      </w:pPr>
      <w:r w:rsidRPr="007F6470">
        <w:rPr>
          <w:b/>
          <w:iCs/>
          <w:sz w:val="26"/>
          <w:szCs w:val="26"/>
        </w:rPr>
        <w:t xml:space="preserve">Grozījumi likumā </w:t>
      </w:r>
      <w:r>
        <w:rPr>
          <w:b/>
          <w:iCs/>
          <w:sz w:val="26"/>
          <w:szCs w:val="26"/>
        </w:rPr>
        <w:t>“</w:t>
      </w:r>
      <w:r w:rsidRPr="007F6470">
        <w:rPr>
          <w:b/>
          <w:iCs/>
          <w:sz w:val="26"/>
          <w:szCs w:val="26"/>
        </w:rPr>
        <w:t>Par zemes dzīlēm</w:t>
      </w:r>
      <w:r>
        <w:rPr>
          <w:b/>
          <w:iCs/>
          <w:sz w:val="26"/>
          <w:szCs w:val="26"/>
        </w:rPr>
        <w:t>”</w:t>
      </w:r>
    </w:p>
    <w:p w:rsidR="00576E16" w:rsidRDefault="00FC3F53" w:rsidP="001846DF">
      <w:pPr>
        <w:jc w:val="center"/>
        <w:rPr>
          <w:rStyle w:val="Emphasis"/>
          <w:b/>
          <w:sz w:val="26"/>
          <w:szCs w:val="26"/>
        </w:rPr>
      </w:pPr>
      <w:r w:rsidRPr="00FC3F53">
        <w:rPr>
          <w:rStyle w:val="Emphasis"/>
          <w:b/>
          <w:sz w:val="26"/>
          <w:szCs w:val="26"/>
        </w:rPr>
        <w:t xml:space="preserve">(Nr. </w:t>
      </w:r>
      <w:r w:rsidR="009B34C0">
        <w:rPr>
          <w:rStyle w:val="Emphasis"/>
          <w:b/>
          <w:sz w:val="26"/>
          <w:szCs w:val="26"/>
        </w:rPr>
        <w:t>451</w:t>
      </w:r>
      <w:r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4"/>
        <w:gridCol w:w="3916"/>
        <w:gridCol w:w="568"/>
        <w:gridCol w:w="3929"/>
        <w:gridCol w:w="1412"/>
        <w:gridCol w:w="1414"/>
      </w:tblGrid>
      <w:tr w:rsidR="00745A90" w:rsidRPr="001B3F41" w:rsidTr="00745A90">
        <w:tc>
          <w:tcPr>
            <w:tcW w:w="3969" w:type="dxa"/>
            <w:shd w:val="clear" w:color="auto" w:fill="auto"/>
          </w:tcPr>
          <w:p w:rsidR="00745A90" w:rsidRPr="00F20567" w:rsidRDefault="00745A90" w:rsidP="0096593E">
            <w:pPr>
              <w:jc w:val="center"/>
              <w:rPr>
                <w:b/>
                <w:bCs/>
                <w:iCs/>
              </w:rPr>
            </w:pPr>
            <w:r w:rsidRPr="00F20567">
              <w:rPr>
                <w:b/>
              </w:rPr>
              <w:t>Spēkā esošā redakcija</w:t>
            </w:r>
          </w:p>
        </w:tc>
        <w:tc>
          <w:tcPr>
            <w:tcW w:w="3969" w:type="dxa"/>
            <w:shd w:val="clear" w:color="auto" w:fill="auto"/>
          </w:tcPr>
          <w:p w:rsidR="00745A90" w:rsidRPr="001B3F41" w:rsidRDefault="00745A90" w:rsidP="005012EB">
            <w:pPr>
              <w:jc w:val="center"/>
              <w:rPr>
                <w:b/>
              </w:rPr>
            </w:pPr>
            <w:r>
              <w:rPr>
                <w:b/>
              </w:rPr>
              <w:t>Pirmā lasījuma redakcija</w:t>
            </w:r>
          </w:p>
        </w:tc>
        <w:tc>
          <w:tcPr>
            <w:tcW w:w="568" w:type="dxa"/>
          </w:tcPr>
          <w:p w:rsidR="00745A90" w:rsidRPr="00695D06" w:rsidRDefault="00745A90" w:rsidP="00695D06">
            <w:pPr>
              <w:jc w:val="center"/>
              <w:rPr>
                <w:b/>
              </w:rPr>
            </w:pPr>
            <w:r w:rsidRPr="00695D06">
              <w:rPr>
                <w:b/>
              </w:rPr>
              <w:t>Nr.</w:t>
            </w:r>
          </w:p>
        </w:tc>
        <w:tc>
          <w:tcPr>
            <w:tcW w:w="3969" w:type="dxa"/>
          </w:tcPr>
          <w:p w:rsidR="00745A90" w:rsidRDefault="00745A90" w:rsidP="005012EB">
            <w:pPr>
              <w:jc w:val="center"/>
              <w:rPr>
                <w:b/>
              </w:rPr>
            </w:pPr>
            <w:r>
              <w:rPr>
                <w:b/>
              </w:rPr>
              <w:t>Priekšlikumi</w:t>
            </w:r>
          </w:p>
          <w:p w:rsidR="00745A90" w:rsidRPr="001B3F41" w:rsidRDefault="00745A90" w:rsidP="005012EB">
            <w:pPr>
              <w:jc w:val="center"/>
              <w:rPr>
                <w:b/>
              </w:rPr>
            </w:pPr>
            <w:r>
              <w:rPr>
                <w:b/>
              </w:rPr>
              <w:t>(</w:t>
            </w:r>
            <w:r w:rsidR="00B540D1">
              <w:rPr>
                <w:b/>
              </w:rPr>
              <w:t>3</w:t>
            </w:r>
            <w:bookmarkStart w:id="0" w:name="_GoBack"/>
            <w:bookmarkEnd w:id="0"/>
            <w:r>
              <w:rPr>
                <w:b/>
              </w:rPr>
              <w:t>)</w:t>
            </w:r>
          </w:p>
        </w:tc>
        <w:tc>
          <w:tcPr>
            <w:tcW w:w="1418" w:type="dxa"/>
          </w:tcPr>
          <w:p w:rsidR="00745A90" w:rsidRPr="001B3F41" w:rsidRDefault="00745A90" w:rsidP="005012EB">
            <w:pPr>
              <w:jc w:val="center"/>
              <w:rPr>
                <w:b/>
              </w:rPr>
            </w:pPr>
            <w:r>
              <w:rPr>
                <w:b/>
              </w:rPr>
              <w:t>Ministru kabineta atzinums</w:t>
            </w:r>
          </w:p>
        </w:tc>
        <w:tc>
          <w:tcPr>
            <w:tcW w:w="1418" w:type="dxa"/>
          </w:tcPr>
          <w:p w:rsidR="00745A90" w:rsidRPr="001B3F41" w:rsidRDefault="00745A90" w:rsidP="005012EB">
            <w:pPr>
              <w:jc w:val="center"/>
              <w:rPr>
                <w:b/>
              </w:rPr>
            </w:pPr>
            <w:r>
              <w:rPr>
                <w:b/>
              </w:rPr>
              <w:t>Komisijas atzinums</w:t>
            </w:r>
          </w:p>
        </w:tc>
      </w:tr>
      <w:tr w:rsidR="00745A90" w:rsidRPr="001B3F41" w:rsidTr="00745A90">
        <w:tc>
          <w:tcPr>
            <w:tcW w:w="3969" w:type="dxa"/>
            <w:shd w:val="clear" w:color="auto" w:fill="auto"/>
          </w:tcPr>
          <w:p w:rsidR="00745A90" w:rsidRPr="00F20567" w:rsidRDefault="00745A90" w:rsidP="00B6215C">
            <w:pPr>
              <w:ind w:firstLine="567"/>
              <w:jc w:val="both"/>
              <w:rPr>
                <w:sz w:val="22"/>
              </w:rPr>
            </w:pPr>
          </w:p>
        </w:tc>
        <w:tc>
          <w:tcPr>
            <w:tcW w:w="3969" w:type="dxa"/>
            <w:shd w:val="clear" w:color="auto" w:fill="auto"/>
          </w:tcPr>
          <w:p w:rsidR="00745A90" w:rsidRPr="005E54AA" w:rsidRDefault="00745A90" w:rsidP="00B712D1">
            <w:pPr>
              <w:ind w:firstLine="567"/>
              <w:jc w:val="both"/>
              <w:rPr>
                <w:rFonts w:eastAsia="Times New Roman"/>
                <w:iCs/>
                <w:color w:val="000000"/>
                <w:sz w:val="22"/>
                <w:lang w:eastAsia="lv-LV"/>
              </w:rPr>
            </w:pPr>
            <w:r w:rsidRPr="00D3741B">
              <w:rPr>
                <w:rFonts w:eastAsia="Times New Roman"/>
                <w:iCs/>
                <w:color w:val="000000"/>
                <w:sz w:val="22"/>
                <w:lang w:eastAsia="lv-LV"/>
              </w:rPr>
              <w:t xml:space="preserve">Izdarīt likumā "Par zemes dzīlēm" </w:t>
            </w:r>
            <w:proofErr w:type="gramStart"/>
            <w:r w:rsidRPr="00D3741B">
              <w:rPr>
                <w:rFonts w:eastAsia="Times New Roman"/>
                <w:iCs/>
                <w:color w:val="000000"/>
                <w:sz w:val="22"/>
                <w:lang w:eastAsia="lv-LV"/>
              </w:rPr>
              <w:t>(</w:t>
            </w:r>
            <w:proofErr w:type="gramEnd"/>
            <w:r w:rsidRPr="00D3741B">
              <w:rPr>
                <w:rFonts w:eastAsia="Times New Roman"/>
                <w:iCs/>
                <w:color w:val="000000"/>
                <w:sz w:val="22"/>
                <w:lang w:eastAsia="lv-LV"/>
              </w:rPr>
              <w:t>Latvijas Republikas Saeimas un Ministru Kabineta Ziņotājs, 1996, 13. nr.; 1999, 6. nr.; 2000, 18. nr.; 2005, 2. nr.; 2006, 22. nr.; 2009, 14. nr.; Latvijas Vēstnesis, 2010, 106., 178., 205. nr.; 2013, 106. nr.; 2018, 3. nr.) šādus grozījumus:</w:t>
            </w:r>
          </w:p>
        </w:tc>
        <w:tc>
          <w:tcPr>
            <w:tcW w:w="568" w:type="dxa"/>
          </w:tcPr>
          <w:p w:rsidR="00745A90" w:rsidRPr="00695D06" w:rsidRDefault="00745A90" w:rsidP="00695D06">
            <w:pPr>
              <w:jc w:val="center"/>
              <w:rPr>
                <w:rFonts w:eastAsia="Times New Roman"/>
                <w:b/>
                <w:iCs/>
                <w:color w:val="000000"/>
                <w:sz w:val="22"/>
                <w:lang w:eastAsia="lv-LV"/>
              </w:rPr>
            </w:pPr>
          </w:p>
        </w:tc>
        <w:tc>
          <w:tcPr>
            <w:tcW w:w="3969" w:type="dxa"/>
          </w:tcPr>
          <w:p w:rsidR="00745A90" w:rsidRPr="00D3741B" w:rsidRDefault="00745A90" w:rsidP="00B712D1">
            <w:pPr>
              <w:ind w:firstLine="567"/>
              <w:jc w:val="both"/>
              <w:rPr>
                <w:rFonts w:eastAsia="Times New Roman"/>
                <w:iCs/>
                <w:color w:val="000000"/>
                <w:sz w:val="22"/>
                <w:lang w:eastAsia="lv-LV"/>
              </w:rPr>
            </w:pPr>
          </w:p>
        </w:tc>
        <w:tc>
          <w:tcPr>
            <w:tcW w:w="1418" w:type="dxa"/>
          </w:tcPr>
          <w:p w:rsidR="00745A90" w:rsidRPr="00D3741B" w:rsidRDefault="00745A90" w:rsidP="00B712D1">
            <w:pPr>
              <w:ind w:firstLine="567"/>
              <w:jc w:val="both"/>
              <w:rPr>
                <w:rFonts w:eastAsia="Times New Roman"/>
                <w:iCs/>
                <w:color w:val="000000"/>
                <w:sz w:val="22"/>
                <w:lang w:eastAsia="lv-LV"/>
              </w:rPr>
            </w:pPr>
          </w:p>
        </w:tc>
        <w:tc>
          <w:tcPr>
            <w:tcW w:w="1418" w:type="dxa"/>
          </w:tcPr>
          <w:p w:rsidR="00745A90" w:rsidRPr="00D3741B" w:rsidRDefault="00745A90" w:rsidP="00B712D1">
            <w:pPr>
              <w:ind w:firstLine="567"/>
              <w:jc w:val="both"/>
              <w:rPr>
                <w:rFonts w:eastAsia="Times New Roman"/>
                <w:iCs/>
                <w:color w:val="000000"/>
                <w:sz w:val="22"/>
                <w:lang w:eastAsia="lv-LV"/>
              </w:rPr>
            </w:pPr>
          </w:p>
        </w:tc>
      </w:tr>
      <w:tr w:rsidR="00745A90" w:rsidRPr="001B3F41" w:rsidTr="00745A90">
        <w:tc>
          <w:tcPr>
            <w:tcW w:w="3969" w:type="dxa"/>
            <w:shd w:val="clear" w:color="auto" w:fill="auto"/>
          </w:tcPr>
          <w:p w:rsidR="00745A90" w:rsidRPr="00DC2C91" w:rsidRDefault="00745A90" w:rsidP="00DC2C91">
            <w:pPr>
              <w:ind w:firstLine="567"/>
              <w:jc w:val="both"/>
              <w:rPr>
                <w:sz w:val="22"/>
              </w:rPr>
            </w:pPr>
            <w:r w:rsidRPr="00DC2C91">
              <w:rPr>
                <w:b/>
                <w:bCs/>
                <w:sz w:val="22"/>
              </w:rPr>
              <w:t>4.</w:t>
            </w:r>
            <w:r>
              <w:rPr>
                <w:b/>
                <w:bCs/>
                <w:sz w:val="22"/>
              </w:rPr>
              <w:t xml:space="preserve"> </w:t>
            </w:r>
            <w:r w:rsidRPr="00DC2C91">
              <w:rPr>
                <w:b/>
                <w:bCs/>
                <w:sz w:val="22"/>
              </w:rPr>
              <w:t>pants. Zemes dzīļu fonda izmantošanas pārraudzības iestādes</w:t>
            </w:r>
          </w:p>
          <w:p w:rsidR="00745A90" w:rsidRPr="00DC2C91" w:rsidRDefault="00745A90" w:rsidP="00DC2C91">
            <w:pPr>
              <w:ind w:firstLine="567"/>
              <w:jc w:val="both"/>
              <w:rPr>
                <w:sz w:val="22"/>
              </w:rPr>
            </w:pPr>
            <w:r w:rsidRPr="00DC2C91">
              <w:rPr>
                <w:sz w:val="22"/>
              </w:rPr>
              <w:t>(1) Zemes dzīļu fonda izmantošanas pārraudzību neatkarīgi no tā piederības (īpašnieka) normatīvajos aktos noteiktajā kārtībā valsts vārdā veic:</w:t>
            </w:r>
          </w:p>
          <w:p w:rsidR="00745A90" w:rsidRPr="00990035" w:rsidRDefault="00745A90" w:rsidP="00990035">
            <w:pPr>
              <w:ind w:firstLine="567"/>
              <w:jc w:val="both"/>
              <w:rPr>
                <w:sz w:val="22"/>
              </w:rPr>
            </w:pPr>
            <w:r w:rsidRPr="00745A90">
              <w:rPr>
                <w:sz w:val="22"/>
              </w:rPr>
              <w:t>2) Ekonomikas ministrija;</w:t>
            </w:r>
          </w:p>
        </w:tc>
        <w:tc>
          <w:tcPr>
            <w:tcW w:w="3969" w:type="dxa"/>
            <w:shd w:val="clear" w:color="auto" w:fill="auto"/>
          </w:tcPr>
          <w:p w:rsidR="00745A90" w:rsidRPr="0066337E" w:rsidRDefault="00745A90" w:rsidP="0066337E">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66337E">
              <w:rPr>
                <w:rFonts w:eastAsia="Times New Roman"/>
                <w:iCs/>
                <w:color w:val="000000"/>
                <w:sz w:val="22"/>
                <w:lang w:eastAsia="lv-LV"/>
              </w:rPr>
              <w:t>4. pantā:</w:t>
            </w:r>
          </w:p>
          <w:p w:rsidR="00745A90" w:rsidRPr="0066337E" w:rsidRDefault="00745A90" w:rsidP="0066337E">
            <w:pPr>
              <w:ind w:firstLine="567"/>
              <w:jc w:val="both"/>
              <w:rPr>
                <w:rFonts w:eastAsia="Times New Roman"/>
                <w:iCs/>
                <w:color w:val="000000"/>
                <w:sz w:val="22"/>
                <w:lang w:eastAsia="lv-LV"/>
              </w:rPr>
            </w:pPr>
            <w:r w:rsidRPr="0066337E">
              <w:rPr>
                <w:rFonts w:eastAsia="Times New Roman"/>
                <w:iCs/>
                <w:color w:val="000000"/>
                <w:sz w:val="22"/>
                <w:lang w:eastAsia="lv-LV"/>
              </w:rPr>
              <w:t xml:space="preserve">izteikt pirmās </w:t>
            </w:r>
            <w:r>
              <w:rPr>
                <w:rFonts w:eastAsia="Times New Roman"/>
                <w:iCs/>
                <w:color w:val="000000"/>
                <w:sz w:val="22"/>
                <w:lang w:eastAsia="lv-LV"/>
              </w:rPr>
              <w:t>daļas 2. punktu šādā redakcijā:</w:t>
            </w:r>
          </w:p>
          <w:p w:rsidR="00745A90" w:rsidRPr="005E54AA" w:rsidRDefault="00745A90" w:rsidP="0066337E">
            <w:pPr>
              <w:ind w:firstLine="567"/>
              <w:jc w:val="both"/>
              <w:rPr>
                <w:rFonts w:eastAsia="Times New Roman"/>
                <w:iCs/>
                <w:color w:val="000000"/>
                <w:sz w:val="22"/>
                <w:lang w:eastAsia="lv-LV"/>
              </w:rPr>
            </w:pPr>
            <w:r w:rsidRPr="0066337E">
              <w:rPr>
                <w:rFonts w:eastAsia="Times New Roman"/>
                <w:iCs/>
                <w:color w:val="000000"/>
                <w:sz w:val="22"/>
                <w:lang w:eastAsia="lv-LV"/>
              </w:rPr>
              <w:t>"2) Ekonomikas ministrija un tās padotībā esošās iestādes;";</w:t>
            </w:r>
          </w:p>
        </w:tc>
        <w:tc>
          <w:tcPr>
            <w:tcW w:w="568" w:type="dxa"/>
          </w:tcPr>
          <w:p w:rsidR="00745A90" w:rsidRPr="00695D06" w:rsidRDefault="00745A90" w:rsidP="00695D06">
            <w:pPr>
              <w:jc w:val="center"/>
              <w:rPr>
                <w:rFonts w:eastAsia="Times New Roman"/>
                <w:b/>
                <w:iCs/>
                <w:color w:val="000000"/>
                <w:sz w:val="22"/>
                <w:lang w:eastAsia="lv-LV"/>
              </w:rPr>
            </w:pPr>
          </w:p>
        </w:tc>
        <w:tc>
          <w:tcPr>
            <w:tcW w:w="3969" w:type="dxa"/>
          </w:tcPr>
          <w:p w:rsidR="00745A90" w:rsidRDefault="00745A90" w:rsidP="0066337E">
            <w:pPr>
              <w:ind w:firstLine="567"/>
              <w:jc w:val="both"/>
              <w:rPr>
                <w:rFonts w:eastAsia="Times New Roman"/>
                <w:iCs/>
                <w:color w:val="000000"/>
                <w:sz w:val="22"/>
                <w:lang w:eastAsia="lv-LV"/>
              </w:rPr>
            </w:pPr>
          </w:p>
        </w:tc>
        <w:tc>
          <w:tcPr>
            <w:tcW w:w="1418" w:type="dxa"/>
          </w:tcPr>
          <w:p w:rsidR="00745A90" w:rsidRDefault="00745A90" w:rsidP="0066337E">
            <w:pPr>
              <w:ind w:firstLine="567"/>
              <w:jc w:val="both"/>
              <w:rPr>
                <w:rFonts w:eastAsia="Times New Roman"/>
                <w:iCs/>
                <w:color w:val="000000"/>
                <w:sz w:val="22"/>
                <w:lang w:eastAsia="lv-LV"/>
              </w:rPr>
            </w:pPr>
          </w:p>
        </w:tc>
        <w:tc>
          <w:tcPr>
            <w:tcW w:w="1418" w:type="dxa"/>
          </w:tcPr>
          <w:p w:rsidR="00745A90" w:rsidRDefault="00745A90" w:rsidP="0066337E">
            <w:pPr>
              <w:ind w:firstLine="567"/>
              <w:jc w:val="both"/>
              <w:rPr>
                <w:rFonts w:eastAsia="Times New Roman"/>
                <w:iCs/>
                <w:color w:val="000000"/>
                <w:sz w:val="22"/>
                <w:lang w:eastAsia="lv-LV"/>
              </w:rPr>
            </w:pPr>
          </w:p>
        </w:tc>
      </w:tr>
      <w:tr w:rsidR="00745A90" w:rsidRPr="001B3F41" w:rsidTr="00745A90">
        <w:tc>
          <w:tcPr>
            <w:tcW w:w="3969" w:type="dxa"/>
            <w:shd w:val="clear" w:color="auto" w:fill="auto"/>
          </w:tcPr>
          <w:p w:rsidR="00745A90" w:rsidRDefault="00745A90" w:rsidP="00F20567">
            <w:pPr>
              <w:ind w:firstLine="567"/>
              <w:jc w:val="both"/>
              <w:rPr>
                <w:sz w:val="22"/>
              </w:rPr>
            </w:pPr>
            <w:r w:rsidRPr="00DC2C91">
              <w:rPr>
                <w:sz w:val="22"/>
              </w:rPr>
              <w:t>(4) Ekonomikas ministrija Ministru kabineta noteiktajos licenču laukumos Ministru kabineta noteiktajā kārtībā izsniedz ogļūdeņražu meklēšanas, izpētes un ieguves licences, kā arī veic ogļūdeņražu meklēšanas, izpētes un ieguves administratīvo pārraudzību.</w:t>
            </w:r>
          </w:p>
          <w:p w:rsidR="00745A90" w:rsidRPr="00F20567" w:rsidRDefault="00745A90" w:rsidP="00F20567">
            <w:pPr>
              <w:ind w:firstLine="567"/>
              <w:jc w:val="both"/>
              <w:rPr>
                <w:sz w:val="22"/>
              </w:rPr>
            </w:pPr>
          </w:p>
        </w:tc>
        <w:tc>
          <w:tcPr>
            <w:tcW w:w="3969" w:type="dxa"/>
            <w:shd w:val="clear" w:color="auto" w:fill="auto"/>
          </w:tcPr>
          <w:p w:rsidR="00745A90" w:rsidRPr="0066337E" w:rsidRDefault="00745A90" w:rsidP="0066337E">
            <w:pPr>
              <w:ind w:firstLine="567"/>
              <w:jc w:val="both"/>
              <w:rPr>
                <w:rFonts w:eastAsia="Times New Roman"/>
                <w:iCs/>
                <w:color w:val="000000"/>
                <w:sz w:val="22"/>
                <w:lang w:eastAsia="lv-LV"/>
              </w:rPr>
            </w:pPr>
            <w:r w:rsidRPr="0066337E">
              <w:rPr>
                <w:rFonts w:eastAsia="Times New Roman"/>
                <w:iCs/>
                <w:color w:val="000000"/>
                <w:sz w:val="22"/>
                <w:lang w:eastAsia="lv-LV"/>
              </w:rPr>
              <w:t>izteikt ceturto daļu šādā redakcijā:</w:t>
            </w:r>
          </w:p>
          <w:p w:rsidR="00745A90" w:rsidRDefault="00745A90" w:rsidP="0066337E">
            <w:pPr>
              <w:ind w:firstLine="567"/>
              <w:jc w:val="both"/>
              <w:rPr>
                <w:rFonts w:eastAsia="Times New Roman"/>
                <w:iCs/>
                <w:color w:val="000000"/>
                <w:sz w:val="22"/>
                <w:lang w:eastAsia="lv-LV"/>
              </w:rPr>
            </w:pPr>
            <w:r w:rsidRPr="0066337E">
              <w:rPr>
                <w:rFonts w:eastAsia="Times New Roman"/>
                <w:iCs/>
                <w:color w:val="000000"/>
                <w:sz w:val="22"/>
                <w:lang w:eastAsia="lv-LV"/>
              </w:rPr>
              <w:t>"(4) Ministru kabinets nosaka ogļūdeņražu licenču laukumus un kārtību, kādā Būvniecības valsts kontroles birojs izsniedz ogļūdeņražu meklēšanas, izpētes un ieguves licences, kā arī veic ogļūdeņražu meklēšanas, izpētes un ieguves kontroli."</w:t>
            </w:r>
          </w:p>
        </w:tc>
        <w:tc>
          <w:tcPr>
            <w:tcW w:w="568" w:type="dxa"/>
          </w:tcPr>
          <w:p w:rsidR="00745A90" w:rsidRPr="00695D06" w:rsidRDefault="00695D06" w:rsidP="00695D06">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745A90" w:rsidRDefault="00277D86" w:rsidP="0066337E">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5B5F76" w:rsidRPr="005B5F76" w:rsidRDefault="005B5F76" w:rsidP="005B5F76">
            <w:pPr>
              <w:ind w:firstLine="567"/>
              <w:jc w:val="both"/>
              <w:rPr>
                <w:rFonts w:eastAsia="Times New Roman"/>
                <w:i/>
                <w:iCs/>
                <w:color w:val="000000"/>
                <w:sz w:val="22"/>
                <w:lang w:eastAsia="lv-LV"/>
              </w:rPr>
            </w:pPr>
            <w:r w:rsidRPr="005B5F76">
              <w:rPr>
                <w:rFonts w:eastAsia="Times New Roman"/>
                <w:i/>
                <w:iCs/>
                <w:color w:val="000000"/>
                <w:sz w:val="22"/>
                <w:lang w:eastAsia="lv-LV"/>
              </w:rPr>
              <w:t>Likumprojekta 1. pantā piedāvātajā likuma 4. panta ceturtajā daļā paredzēts noteikt, ka Ministru kabinets nosaka ogļūdeņražu licenču laukumus un kārtību, kādā Būvniecības valsts kontroles birojs izsniedz ogļūdeņražu meklēšanas, izpētes un ieguves licences, kā arī veic ogļūdeņražu meklēšanas, izpētes un ieguves kontroli.</w:t>
            </w:r>
          </w:p>
          <w:p w:rsidR="005B5F76" w:rsidRPr="005B5F76" w:rsidRDefault="005B5F76" w:rsidP="005B5F76">
            <w:pPr>
              <w:ind w:firstLine="567"/>
              <w:jc w:val="both"/>
              <w:rPr>
                <w:rFonts w:eastAsia="Times New Roman"/>
                <w:i/>
                <w:iCs/>
                <w:color w:val="000000"/>
                <w:sz w:val="22"/>
                <w:lang w:eastAsia="lv-LV"/>
              </w:rPr>
            </w:pPr>
            <w:r w:rsidRPr="005B5F76">
              <w:rPr>
                <w:rFonts w:eastAsia="Times New Roman"/>
                <w:i/>
                <w:iCs/>
                <w:color w:val="000000"/>
                <w:sz w:val="22"/>
                <w:lang w:eastAsia="lv-LV"/>
              </w:rPr>
              <w:t xml:space="preserve">No tiesību normā ietvertā formulējuma “noteikt kārtību” izriet Ministru kabineta tiesības noteikumos regulēt attiecīgā jautājuma procesuālo aspektu, proti, izstrādāt noteiktu </w:t>
            </w:r>
            <w:r w:rsidRPr="005B5F76">
              <w:rPr>
                <w:rFonts w:eastAsia="Times New Roman"/>
                <w:i/>
                <w:iCs/>
                <w:color w:val="000000"/>
                <w:sz w:val="22"/>
                <w:lang w:eastAsia="lv-LV"/>
              </w:rPr>
              <w:lastRenderedPageBreak/>
              <w:t>procedūru. Jēdziens “kārtība” nozīmē norises īstenošanas veidu vai darbības organizāciju (sk., piemēram, Satversmes tiesas 2017. gada 29. jūnija sprieduma lietā Nr. 2016-23-03 17. punktu).</w:t>
            </w:r>
          </w:p>
          <w:p w:rsidR="00277D86" w:rsidRPr="005B5F76" w:rsidRDefault="005B5F76" w:rsidP="005B5F76">
            <w:pPr>
              <w:ind w:firstLine="567"/>
              <w:jc w:val="both"/>
              <w:rPr>
                <w:rFonts w:eastAsia="Times New Roman"/>
                <w:iCs/>
                <w:color w:val="000000"/>
                <w:sz w:val="22"/>
                <w:lang w:eastAsia="lv-LV"/>
              </w:rPr>
            </w:pPr>
            <w:r w:rsidRPr="005B5F76">
              <w:rPr>
                <w:rFonts w:eastAsia="Times New Roman"/>
                <w:i/>
                <w:iCs/>
                <w:color w:val="000000"/>
                <w:sz w:val="22"/>
                <w:lang w:eastAsia="lv-LV"/>
              </w:rPr>
              <w:t>Aicinām apsvērt, vai likumprojektā piedāvātajā likuma 4. panta ceturtajā daļā papildus jēdzienam “kārtība” nebūtu paredzami arī ogļūdeņražu meklēšanas, izpētes un ieguves licenču izsniegšanas “kritēriji” (vai “prasības”, “priekšnoteikumi”).</w:t>
            </w:r>
          </w:p>
        </w:tc>
        <w:tc>
          <w:tcPr>
            <w:tcW w:w="1418" w:type="dxa"/>
          </w:tcPr>
          <w:p w:rsidR="00745A90" w:rsidRPr="0066337E" w:rsidRDefault="00745A90" w:rsidP="0066337E">
            <w:pPr>
              <w:ind w:firstLine="567"/>
              <w:jc w:val="both"/>
              <w:rPr>
                <w:rFonts w:eastAsia="Times New Roman"/>
                <w:iCs/>
                <w:color w:val="000000"/>
                <w:sz w:val="22"/>
                <w:lang w:eastAsia="lv-LV"/>
              </w:rPr>
            </w:pPr>
          </w:p>
        </w:tc>
        <w:tc>
          <w:tcPr>
            <w:tcW w:w="1418" w:type="dxa"/>
          </w:tcPr>
          <w:p w:rsidR="00745A90" w:rsidRPr="0066337E" w:rsidRDefault="00745A90" w:rsidP="0066337E">
            <w:pPr>
              <w:ind w:firstLine="567"/>
              <w:jc w:val="both"/>
              <w:rPr>
                <w:rFonts w:eastAsia="Times New Roman"/>
                <w:iCs/>
                <w:color w:val="000000"/>
                <w:sz w:val="22"/>
                <w:lang w:eastAsia="lv-LV"/>
              </w:rPr>
            </w:pPr>
          </w:p>
        </w:tc>
      </w:tr>
      <w:tr w:rsidR="00745A90" w:rsidRPr="001B3F41" w:rsidTr="00745A90">
        <w:tc>
          <w:tcPr>
            <w:tcW w:w="3969" w:type="dxa"/>
            <w:shd w:val="clear" w:color="auto" w:fill="auto"/>
          </w:tcPr>
          <w:p w:rsidR="00745A90" w:rsidRPr="00DC2C91" w:rsidRDefault="00745A90" w:rsidP="00DC2C91">
            <w:pPr>
              <w:ind w:firstLine="567"/>
              <w:jc w:val="both"/>
              <w:rPr>
                <w:sz w:val="22"/>
              </w:rPr>
            </w:pPr>
            <w:r w:rsidRPr="00DC2C91">
              <w:rPr>
                <w:b/>
                <w:bCs/>
                <w:sz w:val="22"/>
              </w:rPr>
              <w:t>10.</w:t>
            </w:r>
            <w:r>
              <w:rPr>
                <w:b/>
                <w:bCs/>
                <w:sz w:val="22"/>
              </w:rPr>
              <w:t xml:space="preserve"> </w:t>
            </w:r>
            <w:r w:rsidRPr="00DC2C91">
              <w:rPr>
                <w:b/>
                <w:bCs/>
                <w:sz w:val="22"/>
              </w:rPr>
              <w:t>pants. Zemes dzīļu izmantošanas kārtība</w:t>
            </w:r>
          </w:p>
          <w:p w:rsidR="00745A90" w:rsidRPr="00DC2C91" w:rsidRDefault="00745A90" w:rsidP="00DC2C91">
            <w:pPr>
              <w:ind w:firstLine="567"/>
              <w:jc w:val="both"/>
              <w:rPr>
                <w:sz w:val="22"/>
              </w:rPr>
            </w:pPr>
            <w:r w:rsidRPr="00DC2C91">
              <w:rPr>
                <w:sz w:val="22"/>
              </w:rPr>
              <w:t>(1) Uzsākt zemes dzīļu izmantošanu drīkst tikai tad, ja Ministru kabineta noteiktajā kārtībā (izņemot šā likuma 11.</w:t>
            </w:r>
            <w:r>
              <w:rPr>
                <w:sz w:val="22"/>
              </w:rPr>
              <w:t xml:space="preserve"> </w:t>
            </w:r>
            <w:r w:rsidRPr="00DC2C91">
              <w:rPr>
                <w:sz w:val="22"/>
              </w:rPr>
              <w:t>pantā minētos gadījumus) saņemta:</w:t>
            </w:r>
          </w:p>
          <w:p w:rsidR="00745A90" w:rsidRPr="007615C0" w:rsidRDefault="00745A90" w:rsidP="00DC2C91">
            <w:pPr>
              <w:ind w:firstLine="567"/>
              <w:jc w:val="both"/>
              <w:rPr>
                <w:sz w:val="22"/>
              </w:rPr>
            </w:pPr>
            <w:r w:rsidRPr="00DC2C91">
              <w:rPr>
                <w:sz w:val="22"/>
              </w:rPr>
              <w:t>2) Ekonomikas ministrijas izsniegta licence - šā likuma 4.</w:t>
            </w:r>
            <w:r>
              <w:rPr>
                <w:sz w:val="22"/>
              </w:rPr>
              <w:t xml:space="preserve"> </w:t>
            </w:r>
            <w:r w:rsidRPr="00DC2C91">
              <w:rPr>
                <w:sz w:val="22"/>
              </w:rPr>
              <w:t>panta ceturtajā daļā noteiktajos gadījumos;</w:t>
            </w:r>
          </w:p>
        </w:tc>
        <w:tc>
          <w:tcPr>
            <w:tcW w:w="3969" w:type="dxa"/>
            <w:shd w:val="clear" w:color="auto" w:fill="auto"/>
          </w:tcPr>
          <w:p w:rsidR="00745A90" w:rsidRDefault="00745A90" w:rsidP="00EC158C">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F6773C">
              <w:rPr>
                <w:rFonts w:eastAsia="Times New Roman"/>
                <w:iCs/>
                <w:color w:val="000000"/>
                <w:sz w:val="22"/>
                <w:lang w:eastAsia="lv-LV"/>
              </w:rPr>
              <w:t>Aizstāt 10. panta pirmās daļas 2. punktā vārdus "Ekonomikas ministrijas" ar vārdiem "Būvniecības valsts kontroles biroja".</w:t>
            </w:r>
          </w:p>
        </w:tc>
        <w:tc>
          <w:tcPr>
            <w:tcW w:w="568" w:type="dxa"/>
          </w:tcPr>
          <w:p w:rsidR="00745A90" w:rsidRPr="00695D06" w:rsidRDefault="00745A90" w:rsidP="00695D06">
            <w:pPr>
              <w:jc w:val="center"/>
              <w:rPr>
                <w:rFonts w:eastAsia="Times New Roman"/>
                <w:b/>
                <w:iCs/>
                <w:color w:val="000000"/>
                <w:sz w:val="22"/>
                <w:lang w:eastAsia="lv-LV"/>
              </w:rPr>
            </w:pPr>
          </w:p>
        </w:tc>
        <w:tc>
          <w:tcPr>
            <w:tcW w:w="3969" w:type="dxa"/>
          </w:tcPr>
          <w:p w:rsidR="00745A90" w:rsidRDefault="00745A90" w:rsidP="00EC158C">
            <w:pPr>
              <w:ind w:firstLine="567"/>
              <w:jc w:val="both"/>
              <w:rPr>
                <w:rFonts w:eastAsia="Times New Roman"/>
                <w:iCs/>
                <w:color w:val="000000"/>
                <w:sz w:val="22"/>
                <w:lang w:eastAsia="lv-LV"/>
              </w:rPr>
            </w:pPr>
          </w:p>
        </w:tc>
        <w:tc>
          <w:tcPr>
            <w:tcW w:w="1418" w:type="dxa"/>
          </w:tcPr>
          <w:p w:rsidR="00745A90" w:rsidRDefault="00745A90" w:rsidP="00EC158C">
            <w:pPr>
              <w:ind w:firstLine="567"/>
              <w:jc w:val="both"/>
              <w:rPr>
                <w:rFonts w:eastAsia="Times New Roman"/>
                <w:iCs/>
                <w:color w:val="000000"/>
                <w:sz w:val="22"/>
                <w:lang w:eastAsia="lv-LV"/>
              </w:rPr>
            </w:pPr>
          </w:p>
        </w:tc>
        <w:tc>
          <w:tcPr>
            <w:tcW w:w="1418" w:type="dxa"/>
          </w:tcPr>
          <w:p w:rsidR="00745A90" w:rsidRDefault="00745A90" w:rsidP="00EC158C">
            <w:pPr>
              <w:ind w:firstLine="567"/>
              <w:jc w:val="both"/>
              <w:rPr>
                <w:rFonts w:eastAsia="Times New Roman"/>
                <w:iCs/>
                <w:color w:val="000000"/>
                <w:sz w:val="22"/>
                <w:lang w:eastAsia="lv-LV"/>
              </w:rPr>
            </w:pPr>
          </w:p>
        </w:tc>
      </w:tr>
      <w:tr w:rsidR="00745A90" w:rsidRPr="001B3F41" w:rsidTr="00745A90">
        <w:tc>
          <w:tcPr>
            <w:tcW w:w="3969" w:type="dxa"/>
            <w:shd w:val="clear" w:color="auto" w:fill="auto"/>
          </w:tcPr>
          <w:p w:rsidR="00745A90" w:rsidRDefault="00745A90" w:rsidP="00B6215C">
            <w:pPr>
              <w:ind w:firstLine="567"/>
              <w:jc w:val="both"/>
              <w:rPr>
                <w:b/>
                <w:bCs/>
                <w:sz w:val="22"/>
              </w:rPr>
            </w:pPr>
            <w:r w:rsidRPr="00DC2C91">
              <w:rPr>
                <w:b/>
                <w:bCs/>
                <w:sz w:val="22"/>
              </w:rPr>
              <w:t>23.</w:t>
            </w:r>
            <w:r>
              <w:rPr>
                <w:b/>
                <w:bCs/>
                <w:sz w:val="22"/>
              </w:rPr>
              <w:t xml:space="preserve"> </w:t>
            </w:r>
            <w:r w:rsidRPr="00DC2C91">
              <w:rPr>
                <w:b/>
                <w:bCs/>
                <w:sz w:val="22"/>
              </w:rPr>
              <w:t>pants. Ģeoloģiskās informācijas sistēmas izveidošanas un izmantošanas pamatnoteikumi</w:t>
            </w:r>
          </w:p>
          <w:p w:rsidR="00745A90" w:rsidRPr="00DC2C91" w:rsidRDefault="00745A90" w:rsidP="00B6215C">
            <w:pPr>
              <w:ind w:firstLine="567"/>
              <w:jc w:val="both"/>
              <w:rPr>
                <w:sz w:val="22"/>
              </w:rPr>
            </w:pPr>
            <w:r w:rsidRPr="00DC2C91">
              <w:rPr>
                <w:sz w:val="22"/>
              </w:rPr>
              <w:t xml:space="preserve">(2) Pašvaldībai, ikvienai juridiskajai vai fiziskajai personai neatkarīgi no darbu finansēšanas veida zemes dzīļu izmantošanas rezultātā iegūtā ģeoloģiskā informācija jānodod valstij valsts sabiedrības ar ierobežotu atbildību “Latvijas Vides, ģeoloģijas un meteoroloģijas centrs” personā bez maksas, noslēdzot līgumu par tās izmantošanu. Informāciju, kas iegūta ogļūdeņražu ģeoloģiskās izpētes rezultātā, kā arī ogļūdeņražu meklēšanas, izpētes un ieguves darbos, valsts sabiedrība ar ierobežotu atbildību “Latvijas Vides, </w:t>
            </w:r>
            <w:r w:rsidRPr="00DC2C91">
              <w:rPr>
                <w:sz w:val="22"/>
              </w:rPr>
              <w:lastRenderedPageBreak/>
              <w:t xml:space="preserve">ģeoloģijas un meteoroloģijas centrs” iesniedz arī </w:t>
            </w:r>
            <w:r w:rsidRPr="00990035">
              <w:rPr>
                <w:sz w:val="22"/>
              </w:rPr>
              <w:t>Ekonomikas ministrijai</w:t>
            </w:r>
            <w:r w:rsidRPr="00DC2C91">
              <w:rPr>
                <w:sz w:val="22"/>
              </w:rPr>
              <w:t>. Valsts sabiedrība ar ierobežotu atbildību “Latvijas Vides, ģeoloģijas un meteoroloģijas centrs” informāciju apkopo, apstrādā un uzglabā, kā arī nodrošina tās pieejamību.</w:t>
            </w:r>
          </w:p>
        </w:tc>
        <w:tc>
          <w:tcPr>
            <w:tcW w:w="3969" w:type="dxa"/>
            <w:shd w:val="clear" w:color="auto" w:fill="auto"/>
          </w:tcPr>
          <w:p w:rsidR="00745A90" w:rsidRDefault="00745A90" w:rsidP="000912CD">
            <w:pPr>
              <w:ind w:firstLine="567"/>
              <w:jc w:val="both"/>
              <w:rPr>
                <w:rFonts w:eastAsia="Times New Roman"/>
                <w:iCs/>
                <w:color w:val="000000"/>
                <w:sz w:val="22"/>
                <w:lang w:eastAsia="lv-LV"/>
              </w:rPr>
            </w:pPr>
            <w:r>
              <w:rPr>
                <w:rFonts w:eastAsia="Times New Roman"/>
                <w:iCs/>
                <w:color w:val="000000"/>
                <w:sz w:val="22"/>
                <w:lang w:eastAsia="lv-LV"/>
              </w:rPr>
              <w:lastRenderedPageBreak/>
              <w:t xml:space="preserve">3. </w:t>
            </w:r>
            <w:r w:rsidRPr="00DC2C91">
              <w:rPr>
                <w:rFonts w:eastAsia="Times New Roman"/>
                <w:iCs/>
                <w:color w:val="000000"/>
                <w:sz w:val="22"/>
                <w:lang w:eastAsia="lv-LV"/>
              </w:rPr>
              <w:t>Aizstāt 23. panta otrajā daļā vārdus "Ekonomikas ministrijai" ar vārdiem "Būvniecības valsts kontroles birojam".</w:t>
            </w:r>
          </w:p>
        </w:tc>
        <w:tc>
          <w:tcPr>
            <w:tcW w:w="568" w:type="dxa"/>
          </w:tcPr>
          <w:p w:rsidR="00745A90" w:rsidRPr="00695D06" w:rsidRDefault="00745A90" w:rsidP="00695D06">
            <w:pPr>
              <w:jc w:val="center"/>
              <w:rPr>
                <w:rFonts w:eastAsia="Times New Roman"/>
                <w:b/>
                <w:iCs/>
                <w:color w:val="000000"/>
                <w:sz w:val="22"/>
                <w:lang w:eastAsia="lv-LV"/>
              </w:rPr>
            </w:pPr>
          </w:p>
        </w:tc>
        <w:tc>
          <w:tcPr>
            <w:tcW w:w="3969" w:type="dxa"/>
          </w:tcPr>
          <w:p w:rsidR="00745A90" w:rsidRDefault="00745A90" w:rsidP="000912CD">
            <w:pPr>
              <w:ind w:firstLine="567"/>
              <w:jc w:val="both"/>
              <w:rPr>
                <w:rFonts w:eastAsia="Times New Roman"/>
                <w:iCs/>
                <w:color w:val="000000"/>
                <w:sz w:val="22"/>
                <w:lang w:eastAsia="lv-LV"/>
              </w:rPr>
            </w:pPr>
          </w:p>
        </w:tc>
        <w:tc>
          <w:tcPr>
            <w:tcW w:w="1418" w:type="dxa"/>
          </w:tcPr>
          <w:p w:rsidR="00745A90" w:rsidRDefault="00745A90" w:rsidP="000912CD">
            <w:pPr>
              <w:ind w:firstLine="567"/>
              <w:jc w:val="both"/>
              <w:rPr>
                <w:rFonts w:eastAsia="Times New Roman"/>
                <w:iCs/>
                <w:color w:val="000000"/>
                <w:sz w:val="22"/>
                <w:lang w:eastAsia="lv-LV"/>
              </w:rPr>
            </w:pPr>
          </w:p>
        </w:tc>
        <w:tc>
          <w:tcPr>
            <w:tcW w:w="1418" w:type="dxa"/>
          </w:tcPr>
          <w:p w:rsidR="00745A90" w:rsidRDefault="00745A90" w:rsidP="000912CD">
            <w:pPr>
              <w:ind w:firstLine="567"/>
              <w:jc w:val="both"/>
              <w:rPr>
                <w:rFonts w:eastAsia="Times New Roman"/>
                <w:iCs/>
                <w:color w:val="000000"/>
                <w:sz w:val="22"/>
                <w:lang w:eastAsia="lv-LV"/>
              </w:rPr>
            </w:pPr>
          </w:p>
        </w:tc>
      </w:tr>
      <w:tr w:rsidR="00745A90" w:rsidRPr="001B3F41" w:rsidTr="00745A90">
        <w:tc>
          <w:tcPr>
            <w:tcW w:w="3969" w:type="dxa"/>
            <w:shd w:val="clear" w:color="auto" w:fill="auto"/>
          </w:tcPr>
          <w:p w:rsidR="00745A90" w:rsidRPr="00DC2C91" w:rsidRDefault="00745A90" w:rsidP="00B6215C">
            <w:pPr>
              <w:ind w:firstLine="567"/>
              <w:jc w:val="both"/>
              <w:rPr>
                <w:b/>
                <w:sz w:val="22"/>
              </w:rPr>
            </w:pPr>
            <w:r>
              <w:rPr>
                <w:b/>
                <w:sz w:val="22"/>
              </w:rPr>
              <w:t>Pārejas noteikumi</w:t>
            </w:r>
          </w:p>
        </w:tc>
        <w:tc>
          <w:tcPr>
            <w:tcW w:w="3969" w:type="dxa"/>
            <w:shd w:val="clear" w:color="auto" w:fill="auto"/>
          </w:tcPr>
          <w:p w:rsidR="00745A90" w:rsidRPr="00DC2C91" w:rsidRDefault="00745A90" w:rsidP="00DC2C91">
            <w:pPr>
              <w:ind w:firstLine="567"/>
              <w:jc w:val="both"/>
              <w:rPr>
                <w:rFonts w:eastAsia="Times New Roman"/>
                <w:iCs/>
                <w:color w:val="000000"/>
                <w:sz w:val="22"/>
                <w:lang w:eastAsia="lv-LV"/>
              </w:rPr>
            </w:pPr>
            <w:r>
              <w:rPr>
                <w:rFonts w:eastAsia="Times New Roman"/>
                <w:iCs/>
                <w:color w:val="000000"/>
                <w:sz w:val="22"/>
                <w:lang w:eastAsia="lv-LV"/>
              </w:rPr>
              <w:t xml:space="preserve">4. </w:t>
            </w:r>
            <w:r w:rsidRPr="00DC2C91">
              <w:rPr>
                <w:rFonts w:eastAsia="Times New Roman"/>
                <w:iCs/>
                <w:color w:val="000000"/>
                <w:sz w:val="22"/>
                <w:lang w:eastAsia="lv-LV"/>
              </w:rPr>
              <w:t>Papildināt pārejas noteikumus</w:t>
            </w:r>
            <w:r>
              <w:rPr>
                <w:rFonts w:eastAsia="Times New Roman"/>
                <w:iCs/>
                <w:color w:val="000000"/>
                <w:sz w:val="22"/>
                <w:lang w:eastAsia="lv-LV"/>
              </w:rPr>
              <w:t xml:space="preserve"> ar 25. punktu šādā redakcijā: </w:t>
            </w:r>
          </w:p>
          <w:p w:rsidR="00745A90" w:rsidRDefault="00745A90" w:rsidP="00990035">
            <w:pPr>
              <w:ind w:firstLine="567"/>
              <w:jc w:val="both"/>
              <w:rPr>
                <w:rFonts w:eastAsia="Times New Roman"/>
                <w:iCs/>
                <w:color w:val="000000"/>
                <w:sz w:val="22"/>
                <w:lang w:eastAsia="lv-LV"/>
              </w:rPr>
            </w:pPr>
            <w:r w:rsidRPr="00DC2C91">
              <w:rPr>
                <w:rFonts w:eastAsia="Times New Roman"/>
                <w:iCs/>
                <w:color w:val="000000"/>
                <w:sz w:val="22"/>
                <w:lang w:eastAsia="lv-LV"/>
              </w:rPr>
              <w:t xml:space="preserve">"25. Ministru kabinets līdz </w:t>
            </w:r>
            <w:r w:rsidRPr="00BB16BC">
              <w:rPr>
                <w:rFonts w:eastAsia="Times New Roman"/>
                <w:iCs/>
                <w:color w:val="000000"/>
                <w:sz w:val="22"/>
                <w:u w:val="single"/>
                <w:lang w:eastAsia="lv-LV"/>
              </w:rPr>
              <w:t>2021. gada 1. janvārim</w:t>
            </w:r>
            <w:r w:rsidRPr="00DC2C91">
              <w:rPr>
                <w:rFonts w:eastAsia="Times New Roman"/>
                <w:iCs/>
                <w:color w:val="000000"/>
                <w:sz w:val="22"/>
                <w:lang w:eastAsia="lv-LV"/>
              </w:rPr>
              <w:t xml:space="preserve"> izdod šā likuma 4. panta ceturtajā daļā minētos noteikumus. Līdz attiecīgo Ministru kabineta noteikumu spēkā stāšanās dienai ir </w:t>
            </w:r>
            <w:r w:rsidRPr="00775109">
              <w:rPr>
                <w:rFonts w:eastAsia="Times New Roman"/>
                <w:iCs/>
                <w:color w:val="000000"/>
                <w:sz w:val="22"/>
                <w:u w:val="single"/>
                <w:lang w:eastAsia="lv-LV"/>
              </w:rPr>
              <w:t>spēkā</w:t>
            </w:r>
            <w:r w:rsidRPr="00DC2C91">
              <w:rPr>
                <w:rFonts w:eastAsia="Times New Roman"/>
                <w:iCs/>
                <w:color w:val="000000"/>
                <w:sz w:val="22"/>
                <w:lang w:eastAsia="lv-LV"/>
              </w:rPr>
              <w:t xml:space="preserve"> Ministru kabineta 2015. gada 22. decembra noteikumi Nr. 805 "Noteikumi par ogļūdeņražu meklēšanu, izpēti un ieguvi", ciktāl tie nav pretrunā ar šo likumu."</w:t>
            </w:r>
          </w:p>
        </w:tc>
        <w:tc>
          <w:tcPr>
            <w:tcW w:w="568" w:type="dxa"/>
          </w:tcPr>
          <w:p w:rsidR="00745A90" w:rsidRDefault="00695D06" w:rsidP="00695D06">
            <w:pPr>
              <w:jc w:val="center"/>
              <w:rPr>
                <w:rFonts w:eastAsia="Times New Roman"/>
                <w:b/>
                <w:iCs/>
                <w:color w:val="000000"/>
                <w:sz w:val="22"/>
                <w:lang w:eastAsia="lv-LV"/>
              </w:rPr>
            </w:pPr>
            <w:r>
              <w:rPr>
                <w:rFonts w:eastAsia="Times New Roman"/>
                <w:b/>
                <w:iCs/>
                <w:color w:val="000000"/>
                <w:sz w:val="22"/>
                <w:lang w:eastAsia="lv-LV"/>
              </w:rPr>
              <w:t>2</w:t>
            </w:r>
          </w:p>
          <w:p w:rsidR="00695D06" w:rsidRDefault="00695D06" w:rsidP="00695D06">
            <w:pPr>
              <w:jc w:val="center"/>
              <w:rPr>
                <w:rFonts w:eastAsia="Times New Roman"/>
                <w:b/>
                <w:iCs/>
                <w:color w:val="000000"/>
                <w:sz w:val="22"/>
                <w:lang w:eastAsia="lv-LV"/>
              </w:rPr>
            </w:pPr>
          </w:p>
          <w:p w:rsidR="00695D06" w:rsidRDefault="00695D06" w:rsidP="00695D06">
            <w:pPr>
              <w:jc w:val="center"/>
              <w:rPr>
                <w:rFonts w:eastAsia="Times New Roman"/>
                <w:b/>
                <w:iCs/>
                <w:color w:val="000000"/>
                <w:sz w:val="22"/>
                <w:lang w:eastAsia="lv-LV"/>
              </w:rPr>
            </w:pPr>
          </w:p>
          <w:p w:rsidR="00695D06" w:rsidRDefault="00695D06" w:rsidP="00695D06">
            <w:pPr>
              <w:jc w:val="center"/>
              <w:rPr>
                <w:rFonts w:eastAsia="Times New Roman"/>
                <w:b/>
                <w:iCs/>
                <w:color w:val="000000"/>
                <w:sz w:val="22"/>
                <w:lang w:eastAsia="lv-LV"/>
              </w:rPr>
            </w:pPr>
          </w:p>
          <w:p w:rsidR="00695D06" w:rsidRDefault="00695D06" w:rsidP="00695D06">
            <w:pPr>
              <w:jc w:val="center"/>
              <w:rPr>
                <w:rFonts w:eastAsia="Times New Roman"/>
                <w:b/>
                <w:iCs/>
                <w:color w:val="000000"/>
                <w:sz w:val="22"/>
                <w:lang w:eastAsia="lv-LV"/>
              </w:rPr>
            </w:pPr>
          </w:p>
          <w:p w:rsidR="00695D06" w:rsidRDefault="00695D06" w:rsidP="00695D06">
            <w:pPr>
              <w:jc w:val="center"/>
              <w:rPr>
                <w:rFonts w:eastAsia="Times New Roman"/>
                <w:b/>
                <w:iCs/>
                <w:color w:val="000000"/>
                <w:sz w:val="22"/>
                <w:lang w:eastAsia="lv-LV"/>
              </w:rPr>
            </w:pPr>
          </w:p>
          <w:p w:rsidR="00695D06" w:rsidRDefault="00695D06" w:rsidP="00695D06">
            <w:pPr>
              <w:jc w:val="center"/>
              <w:rPr>
                <w:rFonts w:eastAsia="Times New Roman"/>
                <w:b/>
                <w:iCs/>
                <w:color w:val="000000"/>
                <w:sz w:val="22"/>
                <w:lang w:eastAsia="lv-LV"/>
              </w:rPr>
            </w:pPr>
          </w:p>
          <w:p w:rsidR="00695D06" w:rsidRPr="00695D06" w:rsidRDefault="00695D06" w:rsidP="00695D06">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BB16BC" w:rsidRDefault="00BB16BC" w:rsidP="00BB16B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745A90" w:rsidRDefault="00BB16BC" w:rsidP="00DC2C91">
            <w:pPr>
              <w:ind w:firstLine="567"/>
              <w:jc w:val="both"/>
              <w:rPr>
                <w:rFonts w:eastAsia="Times New Roman"/>
                <w:iCs/>
                <w:color w:val="000000"/>
                <w:sz w:val="22"/>
                <w:lang w:eastAsia="lv-LV"/>
              </w:rPr>
            </w:pPr>
            <w:r w:rsidRPr="00BB16BC">
              <w:rPr>
                <w:rFonts w:eastAsia="Times New Roman"/>
                <w:iCs/>
                <w:color w:val="000000"/>
                <w:sz w:val="22"/>
                <w:lang w:eastAsia="lv-LV"/>
              </w:rPr>
              <w:t>Aizstāt likumprojekta 4. pantā piedāvātajā pārejas noteikumu 25. punkta pirmajā teikumā vārdus “2021. gada 1. janvārim” ar vārdiem “2020. gada 31. decembrim”.</w:t>
            </w:r>
          </w:p>
          <w:p w:rsidR="00FE5EB0" w:rsidRDefault="00FE5EB0" w:rsidP="00DC2C91">
            <w:pPr>
              <w:ind w:firstLine="567"/>
              <w:jc w:val="both"/>
              <w:rPr>
                <w:rFonts w:eastAsia="Times New Roman"/>
                <w:iCs/>
                <w:color w:val="000000"/>
                <w:sz w:val="22"/>
                <w:lang w:eastAsia="lv-LV"/>
              </w:rPr>
            </w:pPr>
          </w:p>
          <w:p w:rsidR="00FE5EB0" w:rsidRDefault="00FE5EB0" w:rsidP="00DC2C91">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FE5EB0" w:rsidRDefault="00775109" w:rsidP="00DC2C91">
            <w:pPr>
              <w:ind w:firstLine="567"/>
              <w:jc w:val="both"/>
              <w:rPr>
                <w:rFonts w:eastAsia="Times New Roman"/>
                <w:iCs/>
                <w:color w:val="000000"/>
                <w:sz w:val="22"/>
                <w:lang w:eastAsia="lv-LV"/>
              </w:rPr>
            </w:pPr>
            <w:r w:rsidRPr="00775109">
              <w:rPr>
                <w:rFonts w:eastAsia="Times New Roman"/>
                <w:iCs/>
                <w:color w:val="000000"/>
                <w:sz w:val="22"/>
                <w:lang w:eastAsia="lv-LV"/>
              </w:rPr>
              <w:t>Aizstāt likumprojektā 4. pantā piedāvātajā pārejas noteikumu 25. punkta otrajā teikumā vārdu “spēkā” ar vārdu “piemērojami”.</w:t>
            </w:r>
          </w:p>
          <w:p w:rsidR="00695D06" w:rsidRPr="00775109" w:rsidRDefault="00695D06" w:rsidP="00DC2C91">
            <w:pPr>
              <w:ind w:firstLine="567"/>
              <w:jc w:val="both"/>
              <w:rPr>
                <w:rFonts w:eastAsia="Times New Roman"/>
                <w:iCs/>
                <w:color w:val="000000"/>
                <w:sz w:val="22"/>
                <w:lang w:eastAsia="lv-LV"/>
              </w:rPr>
            </w:pPr>
          </w:p>
        </w:tc>
        <w:tc>
          <w:tcPr>
            <w:tcW w:w="1418" w:type="dxa"/>
          </w:tcPr>
          <w:p w:rsidR="00745A90" w:rsidRDefault="00745A90" w:rsidP="00DC2C91">
            <w:pPr>
              <w:ind w:firstLine="567"/>
              <w:jc w:val="both"/>
              <w:rPr>
                <w:rFonts w:eastAsia="Times New Roman"/>
                <w:iCs/>
                <w:color w:val="000000"/>
                <w:sz w:val="22"/>
                <w:lang w:eastAsia="lv-LV"/>
              </w:rPr>
            </w:pPr>
          </w:p>
        </w:tc>
        <w:tc>
          <w:tcPr>
            <w:tcW w:w="1418" w:type="dxa"/>
          </w:tcPr>
          <w:p w:rsidR="00745A90" w:rsidRDefault="00745A90" w:rsidP="00DC2C91">
            <w:pPr>
              <w:ind w:firstLine="567"/>
              <w:jc w:val="both"/>
              <w:rPr>
                <w:rFonts w:eastAsia="Times New Roman"/>
                <w:iCs/>
                <w:color w:val="000000"/>
                <w:sz w:val="22"/>
                <w:lang w:eastAsia="lv-LV"/>
              </w:rPr>
            </w:pPr>
          </w:p>
        </w:tc>
      </w:tr>
      <w:tr w:rsidR="00745A90" w:rsidRPr="001B3F41" w:rsidTr="00745A90">
        <w:tc>
          <w:tcPr>
            <w:tcW w:w="3969" w:type="dxa"/>
            <w:shd w:val="clear" w:color="auto" w:fill="auto"/>
          </w:tcPr>
          <w:p w:rsidR="00745A90" w:rsidRPr="00F20567" w:rsidRDefault="00745A90" w:rsidP="00B6215C">
            <w:pPr>
              <w:ind w:firstLine="567"/>
              <w:jc w:val="both"/>
              <w:rPr>
                <w:sz w:val="22"/>
              </w:rPr>
            </w:pPr>
          </w:p>
        </w:tc>
        <w:tc>
          <w:tcPr>
            <w:tcW w:w="3969" w:type="dxa"/>
            <w:shd w:val="clear" w:color="auto" w:fill="auto"/>
          </w:tcPr>
          <w:p w:rsidR="00745A90" w:rsidRDefault="00745A90" w:rsidP="00EC158C">
            <w:pPr>
              <w:ind w:firstLine="567"/>
              <w:jc w:val="both"/>
              <w:rPr>
                <w:rFonts w:eastAsia="Times New Roman"/>
                <w:iCs/>
                <w:color w:val="000000"/>
                <w:sz w:val="22"/>
                <w:lang w:eastAsia="lv-LV"/>
              </w:rPr>
            </w:pPr>
            <w:r w:rsidRPr="00CD40DD">
              <w:rPr>
                <w:rFonts w:eastAsia="Times New Roman"/>
                <w:iCs/>
                <w:color w:val="000000"/>
                <w:sz w:val="22"/>
                <w:lang w:eastAsia="lv-LV"/>
              </w:rPr>
              <w:t>Likums stājas spēkā 2020. gada 1. janvārī</w:t>
            </w:r>
            <w:r>
              <w:rPr>
                <w:rFonts w:eastAsia="Times New Roman"/>
                <w:iCs/>
                <w:color w:val="000000"/>
                <w:sz w:val="22"/>
                <w:lang w:eastAsia="lv-LV"/>
              </w:rPr>
              <w:t>.</w:t>
            </w:r>
          </w:p>
        </w:tc>
        <w:tc>
          <w:tcPr>
            <w:tcW w:w="568" w:type="dxa"/>
          </w:tcPr>
          <w:p w:rsidR="00745A90" w:rsidRPr="00695D06" w:rsidRDefault="00745A90" w:rsidP="00695D06">
            <w:pPr>
              <w:jc w:val="center"/>
              <w:rPr>
                <w:rFonts w:eastAsia="Times New Roman"/>
                <w:b/>
                <w:iCs/>
                <w:color w:val="000000"/>
                <w:sz w:val="22"/>
                <w:lang w:eastAsia="lv-LV"/>
              </w:rPr>
            </w:pPr>
          </w:p>
        </w:tc>
        <w:tc>
          <w:tcPr>
            <w:tcW w:w="3969" w:type="dxa"/>
          </w:tcPr>
          <w:p w:rsidR="00745A90" w:rsidRPr="00CD40DD" w:rsidRDefault="00745A90" w:rsidP="00EC158C">
            <w:pPr>
              <w:ind w:firstLine="567"/>
              <w:jc w:val="both"/>
              <w:rPr>
                <w:rFonts w:eastAsia="Times New Roman"/>
                <w:iCs/>
                <w:color w:val="000000"/>
                <w:sz w:val="22"/>
                <w:lang w:eastAsia="lv-LV"/>
              </w:rPr>
            </w:pPr>
          </w:p>
        </w:tc>
        <w:tc>
          <w:tcPr>
            <w:tcW w:w="1418" w:type="dxa"/>
          </w:tcPr>
          <w:p w:rsidR="00745A90" w:rsidRPr="00CD40DD" w:rsidRDefault="00745A90" w:rsidP="00EC158C">
            <w:pPr>
              <w:ind w:firstLine="567"/>
              <w:jc w:val="both"/>
              <w:rPr>
                <w:rFonts w:eastAsia="Times New Roman"/>
                <w:iCs/>
                <w:color w:val="000000"/>
                <w:sz w:val="22"/>
                <w:lang w:eastAsia="lv-LV"/>
              </w:rPr>
            </w:pPr>
          </w:p>
        </w:tc>
        <w:tc>
          <w:tcPr>
            <w:tcW w:w="1418" w:type="dxa"/>
          </w:tcPr>
          <w:p w:rsidR="00745A90" w:rsidRPr="00CD40DD" w:rsidRDefault="00745A90" w:rsidP="00EC158C">
            <w:pPr>
              <w:ind w:firstLine="567"/>
              <w:jc w:val="both"/>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3D738D"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0D1">
      <w:rPr>
        <w:rStyle w:val="PageNumber"/>
        <w:noProof/>
      </w:rPr>
      <w:t>2</w:t>
    </w:r>
    <w:r>
      <w:rPr>
        <w:rStyle w:val="PageNumber"/>
      </w:rPr>
      <w:fldChar w:fldCharType="end"/>
    </w:r>
  </w:p>
  <w:p w:rsidR="00511D34" w:rsidRDefault="003D738D"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65F26"/>
    <w:multiLevelType w:val="hybridMultilevel"/>
    <w:tmpl w:val="D20CD788"/>
    <w:lvl w:ilvl="0" w:tplc="C58068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16781"/>
    <w:rsid w:val="00020F85"/>
    <w:rsid w:val="00024868"/>
    <w:rsid w:val="000426CA"/>
    <w:rsid w:val="00046CB8"/>
    <w:rsid w:val="00052EAB"/>
    <w:rsid w:val="000717D3"/>
    <w:rsid w:val="00074B12"/>
    <w:rsid w:val="000767B2"/>
    <w:rsid w:val="000816DA"/>
    <w:rsid w:val="000912CD"/>
    <w:rsid w:val="000D59A3"/>
    <w:rsid w:val="000E159B"/>
    <w:rsid w:val="000E2107"/>
    <w:rsid w:val="000E39CE"/>
    <w:rsid w:val="000E4D0C"/>
    <w:rsid w:val="000F155D"/>
    <w:rsid w:val="001161F6"/>
    <w:rsid w:val="001248AC"/>
    <w:rsid w:val="001268F5"/>
    <w:rsid w:val="001325D9"/>
    <w:rsid w:val="00132BC5"/>
    <w:rsid w:val="00146A84"/>
    <w:rsid w:val="00160883"/>
    <w:rsid w:val="0016168C"/>
    <w:rsid w:val="00161D6D"/>
    <w:rsid w:val="001636B2"/>
    <w:rsid w:val="0016468E"/>
    <w:rsid w:val="001846DF"/>
    <w:rsid w:val="001A1803"/>
    <w:rsid w:val="001A7561"/>
    <w:rsid w:val="001B359D"/>
    <w:rsid w:val="001B4987"/>
    <w:rsid w:val="001C0569"/>
    <w:rsid w:val="001D7290"/>
    <w:rsid w:val="001E5B83"/>
    <w:rsid w:val="001E7B89"/>
    <w:rsid w:val="001F548E"/>
    <w:rsid w:val="001F5D02"/>
    <w:rsid w:val="0021151F"/>
    <w:rsid w:val="00214FE5"/>
    <w:rsid w:val="0022488C"/>
    <w:rsid w:val="00233759"/>
    <w:rsid w:val="00254016"/>
    <w:rsid w:val="00277D86"/>
    <w:rsid w:val="0029588D"/>
    <w:rsid w:val="002B16C4"/>
    <w:rsid w:val="002C5F5C"/>
    <w:rsid w:val="002C76C3"/>
    <w:rsid w:val="002D05FD"/>
    <w:rsid w:val="002D0C5F"/>
    <w:rsid w:val="002E24FD"/>
    <w:rsid w:val="00303D58"/>
    <w:rsid w:val="0033023E"/>
    <w:rsid w:val="003446BF"/>
    <w:rsid w:val="00351037"/>
    <w:rsid w:val="00352292"/>
    <w:rsid w:val="00356D43"/>
    <w:rsid w:val="0036461C"/>
    <w:rsid w:val="00375203"/>
    <w:rsid w:val="00376964"/>
    <w:rsid w:val="00382399"/>
    <w:rsid w:val="00386D2A"/>
    <w:rsid w:val="003A0935"/>
    <w:rsid w:val="003A34B5"/>
    <w:rsid w:val="003A5EFA"/>
    <w:rsid w:val="003B4F80"/>
    <w:rsid w:val="003D4D14"/>
    <w:rsid w:val="003F13E9"/>
    <w:rsid w:val="003F255F"/>
    <w:rsid w:val="003F30F6"/>
    <w:rsid w:val="00400CE7"/>
    <w:rsid w:val="00401C7C"/>
    <w:rsid w:val="00405A5F"/>
    <w:rsid w:val="00415A04"/>
    <w:rsid w:val="0042641F"/>
    <w:rsid w:val="004433B5"/>
    <w:rsid w:val="00457779"/>
    <w:rsid w:val="00457CB6"/>
    <w:rsid w:val="00465888"/>
    <w:rsid w:val="004659C5"/>
    <w:rsid w:val="004677A4"/>
    <w:rsid w:val="00467954"/>
    <w:rsid w:val="0048560A"/>
    <w:rsid w:val="00486D88"/>
    <w:rsid w:val="00497098"/>
    <w:rsid w:val="00497A0D"/>
    <w:rsid w:val="004C06D8"/>
    <w:rsid w:val="004C733D"/>
    <w:rsid w:val="004E5491"/>
    <w:rsid w:val="004F2938"/>
    <w:rsid w:val="0050497D"/>
    <w:rsid w:val="00504A68"/>
    <w:rsid w:val="00520099"/>
    <w:rsid w:val="00546502"/>
    <w:rsid w:val="00572523"/>
    <w:rsid w:val="00576E16"/>
    <w:rsid w:val="00581468"/>
    <w:rsid w:val="00591DDB"/>
    <w:rsid w:val="005B4453"/>
    <w:rsid w:val="005B5F76"/>
    <w:rsid w:val="005D37BB"/>
    <w:rsid w:val="005D5F22"/>
    <w:rsid w:val="005E54AA"/>
    <w:rsid w:val="00604032"/>
    <w:rsid w:val="00606DBE"/>
    <w:rsid w:val="0061617B"/>
    <w:rsid w:val="00626465"/>
    <w:rsid w:val="00632DD9"/>
    <w:rsid w:val="00634835"/>
    <w:rsid w:val="006407D9"/>
    <w:rsid w:val="00640F9F"/>
    <w:rsid w:val="00653AA9"/>
    <w:rsid w:val="0066337E"/>
    <w:rsid w:val="00681536"/>
    <w:rsid w:val="006865F4"/>
    <w:rsid w:val="00687F46"/>
    <w:rsid w:val="00695D06"/>
    <w:rsid w:val="006D0779"/>
    <w:rsid w:val="006E0266"/>
    <w:rsid w:val="006F0AD7"/>
    <w:rsid w:val="007044D0"/>
    <w:rsid w:val="00717019"/>
    <w:rsid w:val="00720B41"/>
    <w:rsid w:val="00745A90"/>
    <w:rsid w:val="00746C61"/>
    <w:rsid w:val="007615C0"/>
    <w:rsid w:val="007674E4"/>
    <w:rsid w:val="00770F0C"/>
    <w:rsid w:val="00772DD6"/>
    <w:rsid w:val="00775109"/>
    <w:rsid w:val="00777B71"/>
    <w:rsid w:val="007A3FFC"/>
    <w:rsid w:val="007A59BC"/>
    <w:rsid w:val="007A699D"/>
    <w:rsid w:val="007B5EE8"/>
    <w:rsid w:val="007D732A"/>
    <w:rsid w:val="007E2C08"/>
    <w:rsid w:val="007F6470"/>
    <w:rsid w:val="0084288E"/>
    <w:rsid w:val="00846895"/>
    <w:rsid w:val="0087454D"/>
    <w:rsid w:val="00876AD8"/>
    <w:rsid w:val="00883733"/>
    <w:rsid w:val="00883897"/>
    <w:rsid w:val="00884683"/>
    <w:rsid w:val="008A2A30"/>
    <w:rsid w:val="008A5221"/>
    <w:rsid w:val="008B6968"/>
    <w:rsid w:val="008D0FC9"/>
    <w:rsid w:val="00903609"/>
    <w:rsid w:val="00903E38"/>
    <w:rsid w:val="00910ABE"/>
    <w:rsid w:val="00915F39"/>
    <w:rsid w:val="00927192"/>
    <w:rsid w:val="0094485C"/>
    <w:rsid w:val="00947EED"/>
    <w:rsid w:val="009514F1"/>
    <w:rsid w:val="00953442"/>
    <w:rsid w:val="00955C25"/>
    <w:rsid w:val="009636A8"/>
    <w:rsid w:val="0096593E"/>
    <w:rsid w:val="0098171D"/>
    <w:rsid w:val="00990035"/>
    <w:rsid w:val="00993F1B"/>
    <w:rsid w:val="00996C86"/>
    <w:rsid w:val="009A3D9C"/>
    <w:rsid w:val="009A52CF"/>
    <w:rsid w:val="009B08A6"/>
    <w:rsid w:val="009B34C0"/>
    <w:rsid w:val="009B729D"/>
    <w:rsid w:val="009C281E"/>
    <w:rsid w:val="009D05D2"/>
    <w:rsid w:val="009D7372"/>
    <w:rsid w:val="00A00B52"/>
    <w:rsid w:val="00A11B18"/>
    <w:rsid w:val="00A169B5"/>
    <w:rsid w:val="00A400CF"/>
    <w:rsid w:val="00A86CB0"/>
    <w:rsid w:val="00AA1600"/>
    <w:rsid w:val="00AA7863"/>
    <w:rsid w:val="00AB03BC"/>
    <w:rsid w:val="00AB1FE4"/>
    <w:rsid w:val="00AB5FE9"/>
    <w:rsid w:val="00AE10D0"/>
    <w:rsid w:val="00B12903"/>
    <w:rsid w:val="00B33F56"/>
    <w:rsid w:val="00B36DAB"/>
    <w:rsid w:val="00B540D1"/>
    <w:rsid w:val="00B6215C"/>
    <w:rsid w:val="00B6582A"/>
    <w:rsid w:val="00B712D1"/>
    <w:rsid w:val="00B7430C"/>
    <w:rsid w:val="00B74AE3"/>
    <w:rsid w:val="00B800F7"/>
    <w:rsid w:val="00B81B3E"/>
    <w:rsid w:val="00B86BB3"/>
    <w:rsid w:val="00BB16BC"/>
    <w:rsid w:val="00BC3C78"/>
    <w:rsid w:val="00BC5607"/>
    <w:rsid w:val="00BC6DFF"/>
    <w:rsid w:val="00BE4D1F"/>
    <w:rsid w:val="00BF1E57"/>
    <w:rsid w:val="00C127F1"/>
    <w:rsid w:val="00C17839"/>
    <w:rsid w:val="00C316E1"/>
    <w:rsid w:val="00C34CF9"/>
    <w:rsid w:val="00C44ADF"/>
    <w:rsid w:val="00C55326"/>
    <w:rsid w:val="00C757AA"/>
    <w:rsid w:val="00C75A1E"/>
    <w:rsid w:val="00C825DA"/>
    <w:rsid w:val="00CA4D55"/>
    <w:rsid w:val="00CB5CE2"/>
    <w:rsid w:val="00CC37E9"/>
    <w:rsid w:val="00CD26C6"/>
    <w:rsid w:val="00CD34B5"/>
    <w:rsid w:val="00CD40DD"/>
    <w:rsid w:val="00CD5E12"/>
    <w:rsid w:val="00CD5FC9"/>
    <w:rsid w:val="00CF2763"/>
    <w:rsid w:val="00D011AD"/>
    <w:rsid w:val="00D141D1"/>
    <w:rsid w:val="00D319E6"/>
    <w:rsid w:val="00D3741B"/>
    <w:rsid w:val="00D4471D"/>
    <w:rsid w:val="00D513AD"/>
    <w:rsid w:val="00D664C1"/>
    <w:rsid w:val="00D665E0"/>
    <w:rsid w:val="00D7094B"/>
    <w:rsid w:val="00D74397"/>
    <w:rsid w:val="00D9205B"/>
    <w:rsid w:val="00D92108"/>
    <w:rsid w:val="00DC2434"/>
    <w:rsid w:val="00DC2C91"/>
    <w:rsid w:val="00DD7FEF"/>
    <w:rsid w:val="00DE4D1D"/>
    <w:rsid w:val="00E0312B"/>
    <w:rsid w:val="00E12F7F"/>
    <w:rsid w:val="00E30D2D"/>
    <w:rsid w:val="00E31A90"/>
    <w:rsid w:val="00E457C1"/>
    <w:rsid w:val="00E708DF"/>
    <w:rsid w:val="00E71869"/>
    <w:rsid w:val="00E86455"/>
    <w:rsid w:val="00E9681F"/>
    <w:rsid w:val="00EA0C03"/>
    <w:rsid w:val="00EA52E1"/>
    <w:rsid w:val="00EA5739"/>
    <w:rsid w:val="00EB04B3"/>
    <w:rsid w:val="00EC158C"/>
    <w:rsid w:val="00EC3FEB"/>
    <w:rsid w:val="00EC4586"/>
    <w:rsid w:val="00EF0958"/>
    <w:rsid w:val="00EF3075"/>
    <w:rsid w:val="00EF55C3"/>
    <w:rsid w:val="00F04F02"/>
    <w:rsid w:val="00F10578"/>
    <w:rsid w:val="00F20567"/>
    <w:rsid w:val="00F36723"/>
    <w:rsid w:val="00F36B31"/>
    <w:rsid w:val="00F37D82"/>
    <w:rsid w:val="00F5084C"/>
    <w:rsid w:val="00F51CF1"/>
    <w:rsid w:val="00F6773C"/>
    <w:rsid w:val="00F823B4"/>
    <w:rsid w:val="00F97FB5"/>
    <w:rsid w:val="00FA26C0"/>
    <w:rsid w:val="00FA4FDD"/>
    <w:rsid w:val="00FB17EC"/>
    <w:rsid w:val="00FC3F53"/>
    <w:rsid w:val="00FE50B9"/>
    <w:rsid w:val="00FE5EB0"/>
    <w:rsid w:val="00FE6AC7"/>
    <w:rsid w:val="00FE7F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7725"/>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44188507">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09087468">
      <w:bodyDiv w:val="1"/>
      <w:marLeft w:val="0"/>
      <w:marRight w:val="0"/>
      <w:marTop w:val="0"/>
      <w:marBottom w:val="0"/>
      <w:divBdr>
        <w:top w:val="none" w:sz="0" w:space="0" w:color="auto"/>
        <w:left w:val="none" w:sz="0" w:space="0" w:color="auto"/>
        <w:bottom w:val="none" w:sz="0" w:space="0" w:color="auto"/>
        <w:right w:val="none" w:sz="0" w:space="0" w:color="auto"/>
      </w:divBdr>
    </w:div>
    <w:div w:id="421536698">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790905635">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114597795">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49031172">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2925</Words>
  <Characters>1668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cp:lastPrinted>2018-11-29T07:09:00Z</cp:lastPrinted>
  <dcterms:created xsi:type="dcterms:W3CDTF">2019-11-02T12:24:00Z</dcterms:created>
  <dcterms:modified xsi:type="dcterms:W3CDTF">2019-11-02T12:24:00Z</dcterms:modified>
</cp:coreProperties>
</file>