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6F427" w14:textId="2D164B57" w:rsidR="00780F88" w:rsidRPr="00D367E3" w:rsidRDefault="00780F88" w:rsidP="00B559D5">
      <w:pPr>
        <w:spacing w:after="120"/>
        <w:jc w:val="center"/>
        <w:rPr>
          <w:b/>
          <w:bCs/>
          <w:sz w:val="28"/>
          <w:szCs w:val="28"/>
          <w:lang w:eastAsia="en-US"/>
        </w:rPr>
      </w:pPr>
      <w:r w:rsidRPr="00E408C5">
        <w:rPr>
          <w:b/>
          <w:color w:val="000000" w:themeColor="text1"/>
          <w:sz w:val="28"/>
        </w:rPr>
        <w:t xml:space="preserve">Ministru kabineta </w:t>
      </w:r>
      <w:r w:rsidR="00D967AF">
        <w:rPr>
          <w:b/>
          <w:color w:val="000000" w:themeColor="text1"/>
          <w:sz w:val="28"/>
        </w:rPr>
        <w:t>rīkojumu</w:t>
      </w:r>
      <w:r w:rsidR="00D967AF" w:rsidRPr="00E408C5">
        <w:rPr>
          <w:b/>
          <w:color w:val="000000" w:themeColor="text1"/>
          <w:sz w:val="28"/>
        </w:rPr>
        <w:t xml:space="preserve"> </w:t>
      </w:r>
      <w:r w:rsidRPr="00E408C5">
        <w:rPr>
          <w:b/>
          <w:color w:val="000000" w:themeColor="text1"/>
          <w:sz w:val="28"/>
        </w:rPr>
        <w:t xml:space="preserve">projektu kopas </w:t>
      </w:r>
      <w:r w:rsidR="00A968A6">
        <w:rPr>
          <w:b/>
          <w:color w:val="000000" w:themeColor="text1"/>
          <w:sz w:val="28"/>
        </w:rPr>
        <w:t>p</w:t>
      </w:r>
      <w:r w:rsidR="00A968A6" w:rsidRPr="00A968A6">
        <w:rPr>
          <w:b/>
          <w:color w:val="000000" w:themeColor="text1"/>
          <w:sz w:val="28"/>
        </w:rPr>
        <w:t>ar informācijas sabiedrības attīstības pamatnostādņu ieviešanu publiskās pārvaldes informācijas sistēmu jomā</w:t>
      </w:r>
      <w:r w:rsidRPr="00E408C5">
        <w:rPr>
          <w:b/>
          <w:color w:val="000000" w:themeColor="text1"/>
          <w:sz w:val="28"/>
        </w:rPr>
        <w:t xml:space="preserve"> sākotnējās ietekmes novērtējuma ziņojums (apvienotā anotācija)</w:t>
      </w:r>
    </w:p>
    <w:tbl>
      <w:tblPr>
        <w:tblW w:w="5726" w:type="pct"/>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253"/>
        <w:gridCol w:w="6248"/>
      </w:tblGrid>
      <w:tr w:rsidR="00D367E3" w:rsidRPr="00D367E3" w14:paraId="2033DA32" w14:textId="77777777" w:rsidTr="00833A82">
        <w:trPr>
          <w:trHeight w:val="454"/>
        </w:trPr>
        <w:tc>
          <w:tcPr>
            <w:tcW w:w="4971" w:type="pct"/>
            <w:gridSpan w:val="2"/>
            <w:vAlign w:val="center"/>
            <w:hideMark/>
          </w:tcPr>
          <w:p w14:paraId="6EF3F611" w14:textId="77777777" w:rsidR="00B559D5" w:rsidRPr="00687811" w:rsidRDefault="00F15799" w:rsidP="00262DE5">
            <w:pPr>
              <w:jc w:val="center"/>
              <w:rPr>
                <w:b/>
                <w:bCs/>
                <w:lang w:eastAsia="en-US"/>
              </w:rPr>
            </w:pPr>
            <w:r w:rsidRPr="00687811">
              <w:rPr>
                <w:b/>
                <w:bCs/>
                <w:lang w:eastAsia="en-US"/>
              </w:rPr>
              <w:t>Tiesību akta projekta anotācijas kopsavilkums</w:t>
            </w:r>
          </w:p>
        </w:tc>
      </w:tr>
      <w:tr w:rsidR="00D367E3" w:rsidRPr="00D367E3" w14:paraId="4E3A55C6" w14:textId="77777777" w:rsidTr="00833A82">
        <w:tc>
          <w:tcPr>
            <w:tcW w:w="1702" w:type="pct"/>
            <w:hideMark/>
          </w:tcPr>
          <w:p w14:paraId="004678EC" w14:textId="77777777" w:rsidR="00B559D5" w:rsidRPr="00D367E3" w:rsidRDefault="00F15799" w:rsidP="00262DE5">
            <w:pPr>
              <w:rPr>
                <w:iCs/>
                <w:lang w:eastAsia="lv-LV"/>
              </w:rPr>
            </w:pPr>
            <w:r w:rsidRPr="00D367E3">
              <w:rPr>
                <w:iCs/>
                <w:lang w:eastAsia="lv-LV"/>
              </w:rPr>
              <w:t>Mērķis, risinājums un projekta spēkā stāšanās laiks (500 zīmes bez atstarpēm)</w:t>
            </w:r>
          </w:p>
        </w:tc>
        <w:tc>
          <w:tcPr>
            <w:tcW w:w="3254" w:type="pct"/>
          </w:tcPr>
          <w:p w14:paraId="6050A9AF" w14:textId="49519EF3" w:rsidR="00B34599" w:rsidRPr="00887F9E" w:rsidRDefault="00111F4C" w:rsidP="00C35006">
            <w:pPr>
              <w:jc w:val="both"/>
              <w:rPr>
                <w:lang w:eastAsia="lv-LV"/>
              </w:rPr>
            </w:pPr>
            <w:r w:rsidRPr="00717109">
              <w:rPr>
                <w:color w:val="000000" w:themeColor="text1"/>
              </w:rPr>
              <w:t xml:space="preserve">Ierosināto Ministru kabineta (turpmāk – MK) </w:t>
            </w:r>
            <w:r w:rsidR="00D967AF">
              <w:rPr>
                <w:color w:val="000000" w:themeColor="text1"/>
              </w:rPr>
              <w:t>rīkojumu</w:t>
            </w:r>
            <w:r w:rsidR="002C302F" w:rsidRPr="00717109">
              <w:rPr>
                <w:color w:val="000000" w:themeColor="text1"/>
              </w:rPr>
              <w:t xml:space="preserve"> </w:t>
            </w:r>
            <w:r w:rsidRPr="00717109">
              <w:rPr>
                <w:color w:val="000000" w:themeColor="text1"/>
              </w:rPr>
              <w:t xml:space="preserve">projektu mērķis ir </w:t>
            </w:r>
            <w:r w:rsidR="00D967AF">
              <w:rPr>
                <w:color w:val="000000" w:themeColor="text1"/>
              </w:rPr>
              <w:t xml:space="preserve">pārcelt </w:t>
            </w:r>
            <w:r w:rsidR="00C6299E" w:rsidRPr="00C15706">
              <w:rPr>
                <w:lang w:eastAsia="lv-LV"/>
              </w:rPr>
              <w:t>finansējumu</w:t>
            </w:r>
            <w:r w:rsidR="00C6299E">
              <w:rPr>
                <w:lang w:eastAsia="lv-LV"/>
              </w:rPr>
              <w:t xml:space="preserve"> </w:t>
            </w:r>
            <w:r w:rsidR="00802E75">
              <w:rPr>
                <w:lang w:eastAsia="lv-LV"/>
              </w:rPr>
              <w:t>98</w:t>
            </w:r>
            <w:r w:rsidR="00802E75" w:rsidRPr="003874FF">
              <w:rPr>
                <w:lang w:eastAsia="lv-LV"/>
              </w:rPr>
              <w:t xml:space="preserve"> </w:t>
            </w:r>
            <w:r w:rsidR="00802E75">
              <w:rPr>
                <w:lang w:eastAsia="lv-LV"/>
              </w:rPr>
              <w:t xml:space="preserve">536 </w:t>
            </w:r>
            <w:proofErr w:type="spellStart"/>
            <w:r w:rsidR="00C6299E">
              <w:rPr>
                <w:i/>
                <w:lang w:eastAsia="lv-LV"/>
              </w:rPr>
              <w:t>euro</w:t>
            </w:r>
            <w:proofErr w:type="spellEnd"/>
            <w:r w:rsidR="00C6299E">
              <w:rPr>
                <w:i/>
                <w:lang w:eastAsia="lv-LV"/>
              </w:rPr>
              <w:t xml:space="preserve"> </w:t>
            </w:r>
            <w:r w:rsidR="00C6299E">
              <w:rPr>
                <w:lang w:eastAsia="lv-LV"/>
              </w:rPr>
              <w:t xml:space="preserve">apmērā </w:t>
            </w:r>
            <w:r w:rsidR="007F6C0F">
              <w:rPr>
                <w:color w:val="000000" w:themeColor="text1"/>
              </w:rPr>
              <w:t xml:space="preserve">no </w:t>
            </w:r>
            <w:r w:rsidR="00955A1D">
              <w:rPr>
                <w:color w:val="000000" w:themeColor="text1"/>
              </w:rPr>
              <w:t xml:space="preserve">informācijas un komunikācijas tehnoloģiju (turpmāk – IKT) </w:t>
            </w:r>
            <w:proofErr w:type="spellStart"/>
            <w:r w:rsidR="00724100">
              <w:rPr>
                <w:lang w:eastAsia="lv-LV"/>
              </w:rPr>
              <w:t>mērķarhitektūras</w:t>
            </w:r>
            <w:proofErr w:type="spellEnd"/>
            <w:r w:rsidR="00724100">
              <w:rPr>
                <w:lang w:eastAsia="lv-LV"/>
              </w:rPr>
              <w:t xml:space="preserve"> 1</w:t>
            </w:r>
            <w:r w:rsidR="00955A1D">
              <w:rPr>
                <w:lang w:eastAsia="lv-LV"/>
              </w:rPr>
              <w:t>.</w:t>
            </w:r>
            <w:r w:rsidR="0031590B">
              <w:rPr>
                <w:lang w:eastAsia="lv-LV"/>
              </w:rPr>
              <w:t>0</w:t>
            </w:r>
            <w:r w:rsidR="00724100">
              <w:rPr>
                <w:lang w:eastAsia="lv-LV"/>
              </w:rPr>
              <w:t xml:space="preserve"> versijā iekļautā projekta</w:t>
            </w:r>
            <w:r w:rsidR="00D967AF">
              <w:rPr>
                <w:lang w:eastAsia="lv-LV"/>
              </w:rPr>
              <w:t xml:space="preserve"> </w:t>
            </w:r>
            <w:r w:rsidR="005554AA">
              <w:rPr>
                <w:lang w:eastAsia="lv-LV"/>
              </w:rPr>
              <w:t>“</w:t>
            </w:r>
            <w:r w:rsidR="00D967AF">
              <w:rPr>
                <w:lang w:eastAsia="lv-LV"/>
              </w:rPr>
              <w:t>Publiskās pārvaldes informācijas un komunikācijas tehnoloģiju arhitektūras pārvaldības sistēma</w:t>
            </w:r>
            <w:r w:rsidR="005554AA">
              <w:rPr>
                <w:lang w:eastAsia="lv-LV"/>
              </w:rPr>
              <w:t>”</w:t>
            </w:r>
            <w:r w:rsidR="00D967AF">
              <w:rPr>
                <w:lang w:eastAsia="lv-LV"/>
              </w:rPr>
              <w:t xml:space="preserve"> (turpmāk – PIKTAPS)</w:t>
            </w:r>
            <w:r w:rsidR="007F6C0F">
              <w:rPr>
                <w:lang w:eastAsia="lv-LV"/>
              </w:rPr>
              <w:t xml:space="preserve"> uz </w:t>
            </w:r>
            <w:r w:rsidR="00955A1D">
              <w:rPr>
                <w:lang w:eastAsia="lv-LV"/>
              </w:rPr>
              <w:t xml:space="preserve">IKT </w:t>
            </w:r>
            <w:proofErr w:type="spellStart"/>
            <w:r w:rsidR="00724100">
              <w:rPr>
                <w:lang w:eastAsia="lv-LV"/>
              </w:rPr>
              <w:t>mērķarhitektūras</w:t>
            </w:r>
            <w:proofErr w:type="spellEnd"/>
            <w:r w:rsidR="00724100">
              <w:rPr>
                <w:lang w:eastAsia="lv-LV"/>
              </w:rPr>
              <w:t xml:space="preserve"> </w:t>
            </w:r>
            <w:r w:rsidR="00955A1D">
              <w:rPr>
                <w:lang w:eastAsia="lv-LV"/>
              </w:rPr>
              <w:t>44</w:t>
            </w:r>
            <w:r w:rsidR="0031590B">
              <w:rPr>
                <w:lang w:eastAsia="lv-LV"/>
              </w:rPr>
              <w:t>.0</w:t>
            </w:r>
            <w:r w:rsidR="00955A1D">
              <w:rPr>
                <w:lang w:eastAsia="lv-LV"/>
              </w:rPr>
              <w:t xml:space="preserve"> versijā iekļauto </w:t>
            </w:r>
            <w:r w:rsidR="007F6C0F">
              <w:rPr>
                <w:color w:val="000000" w:themeColor="text1"/>
              </w:rPr>
              <w:t xml:space="preserve">projektu </w:t>
            </w:r>
            <w:r w:rsidR="005554AA">
              <w:rPr>
                <w:color w:val="000000" w:themeColor="text1"/>
              </w:rPr>
              <w:t>“</w:t>
            </w:r>
            <w:r w:rsidR="00955A1D" w:rsidRPr="00955A1D">
              <w:rPr>
                <w:color w:val="000000" w:themeColor="text1"/>
              </w:rPr>
              <w:t>Publiskās pārvaldes informācijas un komunikācijas tehnoloģiju arhitektūras pārvaldības sistēma</w:t>
            </w:r>
            <w:r w:rsidR="00955A1D">
              <w:rPr>
                <w:color w:val="000000" w:themeColor="text1"/>
              </w:rPr>
              <w:t xml:space="preserve"> 2.kārta</w:t>
            </w:r>
            <w:r w:rsidR="005554AA">
              <w:rPr>
                <w:color w:val="000000" w:themeColor="text1"/>
              </w:rPr>
              <w:t>”</w:t>
            </w:r>
            <w:r w:rsidR="00955A1D">
              <w:rPr>
                <w:lang w:eastAsia="lv-LV"/>
              </w:rPr>
              <w:t xml:space="preserve"> </w:t>
            </w:r>
            <w:r w:rsidR="00D01E62">
              <w:rPr>
                <w:lang w:eastAsia="lv-LV"/>
              </w:rPr>
              <w:t>projektu</w:t>
            </w:r>
            <w:r w:rsidR="00B34599" w:rsidRPr="00887F9E">
              <w:rPr>
                <w:lang w:eastAsia="lv-LV"/>
              </w:rPr>
              <w:t>.</w:t>
            </w:r>
          </w:p>
          <w:p w14:paraId="5FAE5143" w14:textId="77777777" w:rsidR="00111F4C" w:rsidRDefault="00111F4C" w:rsidP="00C35006">
            <w:pPr>
              <w:jc w:val="both"/>
              <w:rPr>
                <w:color w:val="000000" w:themeColor="text1"/>
              </w:rPr>
            </w:pPr>
            <w:r w:rsidRPr="00717109">
              <w:rPr>
                <w:color w:val="000000" w:themeColor="text1"/>
              </w:rPr>
              <w:t>MK noteikumu projekti stāsies spēkā nākamajā dienā pēc to izsludināšanas, jo tiem nav noteikts cits spēkā stāšanās termiņš.</w:t>
            </w:r>
          </w:p>
          <w:p w14:paraId="66225596" w14:textId="6FB6C80C" w:rsidR="00A61F17" w:rsidRPr="00D367E3" w:rsidRDefault="00A61F17" w:rsidP="00C35006">
            <w:pPr>
              <w:jc w:val="both"/>
              <w:rPr>
                <w:iCs/>
                <w:lang w:eastAsia="lv-LV"/>
              </w:rPr>
            </w:pPr>
          </w:p>
        </w:tc>
      </w:tr>
    </w:tbl>
    <w:p w14:paraId="2EF9778E" w14:textId="77777777" w:rsidR="00B559D5" w:rsidRPr="00D367E3" w:rsidRDefault="00B559D5" w:rsidP="00B559D5">
      <w:pPr>
        <w:jc w:val="center"/>
        <w:rPr>
          <w:b/>
          <w:bCs/>
          <w:lang w:eastAsia="en-US"/>
        </w:rPr>
      </w:pPr>
    </w:p>
    <w:tbl>
      <w:tblPr>
        <w:tblW w:w="9523"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3"/>
        <w:gridCol w:w="2556"/>
        <w:gridCol w:w="6374"/>
      </w:tblGrid>
      <w:tr w:rsidR="00D367E3" w:rsidRPr="00D367E3" w14:paraId="5C1D560F" w14:textId="77777777" w:rsidTr="0057124C">
        <w:trPr>
          <w:trHeight w:val="454"/>
        </w:trPr>
        <w:tc>
          <w:tcPr>
            <w:tcW w:w="9523" w:type="dxa"/>
            <w:gridSpan w:val="3"/>
            <w:vAlign w:val="center"/>
          </w:tcPr>
          <w:p w14:paraId="336C4845" w14:textId="77777777" w:rsidR="00B559D5" w:rsidRPr="00D367E3" w:rsidRDefault="00F15799" w:rsidP="00262DE5">
            <w:pPr>
              <w:jc w:val="center"/>
            </w:pPr>
            <w:r w:rsidRPr="00D367E3">
              <w:rPr>
                <w:b/>
                <w:bCs/>
                <w:lang w:eastAsia="en-US"/>
              </w:rPr>
              <w:t> I. Tiesību akta izstrādes nepieciešamība</w:t>
            </w:r>
          </w:p>
        </w:tc>
      </w:tr>
      <w:tr w:rsidR="00D367E3" w:rsidRPr="00D367E3" w14:paraId="390DFED0" w14:textId="77777777" w:rsidTr="00AE6288">
        <w:trPr>
          <w:trHeight w:val="271"/>
        </w:trPr>
        <w:tc>
          <w:tcPr>
            <w:tcW w:w="593" w:type="dxa"/>
          </w:tcPr>
          <w:p w14:paraId="6C7B52DD" w14:textId="77777777" w:rsidR="00B559D5" w:rsidRPr="00D367E3" w:rsidRDefault="00F15799" w:rsidP="00262DE5">
            <w:r w:rsidRPr="00D367E3">
              <w:rPr>
                <w:lang w:eastAsia="en-US"/>
              </w:rPr>
              <w:t> 1.</w:t>
            </w:r>
          </w:p>
        </w:tc>
        <w:tc>
          <w:tcPr>
            <w:tcW w:w="2556" w:type="dxa"/>
          </w:tcPr>
          <w:p w14:paraId="5226EB2F" w14:textId="77777777" w:rsidR="00B559D5" w:rsidRPr="00D367E3" w:rsidRDefault="00F15799" w:rsidP="00262DE5">
            <w:r w:rsidRPr="00D367E3">
              <w:rPr>
                <w:lang w:eastAsia="en-US"/>
              </w:rPr>
              <w:t>Pamatojums</w:t>
            </w:r>
          </w:p>
        </w:tc>
        <w:tc>
          <w:tcPr>
            <w:tcW w:w="6374" w:type="dxa"/>
          </w:tcPr>
          <w:p w14:paraId="3322BCF9" w14:textId="67EB2B49" w:rsidR="00081998" w:rsidRPr="00E408C5" w:rsidRDefault="00081998" w:rsidP="00081998">
            <w:pPr>
              <w:jc w:val="both"/>
              <w:rPr>
                <w:bCs/>
                <w:color w:val="000000" w:themeColor="text1"/>
              </w:rPr>
            </w:pPr>
            <w:r w:rsidRPr="00E408C5">
              <w:rPr>
                <w:bCs/>
                <w:color w:val="000000" w:themeColor="text1"/>
              </w:rPr>
              <w:t xml:space="preserve">MK </w:t>
            </w:r>
            <w:r w:rsidR="007F6C0F">
              <w:rPr>
                <w:bCs/>
                <w:color w:val="000000" w:themeColor="text1"/>
              </w:rPr>
              <w:t>rīkojumu</w:t>
            </w:r>
            <w:r w:rsidR="007F6C0F" w:rsidRPr="00E408C5">
              <w:rPr>
                <w:bCs/>
                <w:color w:val="000000" w:themeColor="text1"/>
              </w:rPr>
              <w:t xml:space="preserve"> </w:t>
            </w:r>
            <w:r w:rsidRPr="00E408C5">
              <w:rPr>
                <w:bCs/>
                <w:color w:val="000000" w:themeColor="text1"/>
              </w:rPr>
              <w:t>projekti par grozījumiem:</w:t>
            </w:r>
          </w:p>
          <w:p w14:paraId="7A70C848" w14:textId="6E916D63" w:rsidR="00081998" w:rsidRPr="00887F9E" w:rsidRDefault="00081998" w:rsidP="00081998">
            <w:pPr>
              <w:pStyle w:val="ListParagraph"/>
              <w:numPr>
                <w:ilvl w:val="0"/>
                <w:numId w:val="11"/>
              </w:numPr>
              <w:ind w:right="212"/>
              <w:jc w:val="both"/>
              <w:rPr>
                <w:lang w:eastAsia="lv-LV"/>
              </w:rPr>
            </w:pPr>
            <w:r w:rsidRPr="00887F9E">
              <w:rPr>
                <w:lang w:eastAsia="lv-LV"/>
              </w:rPr>
              <w:t>M</w:t>
            </w:r>
            <w:r w:rsidR="00BA14A1">
              <w:rPr>
                <w:lang w:eastAsia="lv-LV"/>
              </w:rPr>
              <w:t>K 2016. gada</w:t>
            </w:r>
            <w:r w:rsidR="002F1FED">
              <w:rPr>
                <w:lang w:eastAsia="lv-LV"/>
              </w:rPr>
              <w:t xml:space="preserve"> 10. februāra </w:t>
            </w:r>
            <w:r w:rsidRPr="00887F9E">
              <w:rPr>
                <w:lang w:eastAsia="lv-LV"/>
              </w:rPr>
              <w:t xml:space="preserve"> rīkojum</w:t>
            </w:r>
            <w:r w:rsidR="002F1FED">
              <w:rPr>
                <w:lang w:eastAsia="lv-LV"/>
              </w:rPr>
              <w:t>ā</w:t>
            </w:r>
            <w:r w:rsidRPr="00887F9E">
              <w:rPr>
                <w:lang w:eastAsia="lv-LV"/>
              </w:rPr>
              <w:t xml:space="preserve"> Nr. 136 “Par informācijas sabiedrības attīstības pamatnostādņu ieviešanu publiskās pārvaldes informācijas sistēmu jomā</w:t>
            </w:r>
            <w:r w:rsidR="0053269A">
              <w:rPr>
                <w:lang w:eastAsia="lv-LV"/>
              </w:rPr>
              <w:t xml:space="preserve">” (turpmāk – MK </w:t>
            </w:r>
            <w:r w:rsidR="002015D4">
              <w:rPr>
                <w:lang w:eastAsia="lv-LV"/>
              </w:rPr>
              <w:t xml:space="preserve">rīkojums </w:t>
            </w:r>
            <w:r w:rsidR="0053269A">
              <w:rPr>
                <w:lang w:eastAsia="lv-LV"/>
              </w:rPr>
              <w:t>Nr. 136</w:t>
            </w:r>
            <w:r w:rsidR="008A6BF7">
              <w:rPr>
                <w:lang w:eastAsia="lv-LV"/>
              </w:rPr>
              <w:t>)</w:t>
            </w:r>
            <w:r>
              <w:rPr>
                <w:lang w:eastAsia="lv-LV"/>
              </w:rPr>
              <w:t>;</w:t>
            </w:r>
          </w:p>
          <w:p w14:paraId="53C061E0" w14:textId="7F79C1B3" w:rsidR="00081998" w:rsidRDefault="00081998" w:rsidP="00081998">
            <w:pPr>
              <w:pStyle w:val="ListParagraph"/>
              <w:numPr>
                <w:ilvl w:val="0"/>
                <w:numId w:val="11"/>
              </w:numPr>
              <w:ind w:right="212"/>
              <w:jc w:val="both"/>
              <w:rPr>
                <w:lang w:eastAsia="lv-LV"/>
              </w:rPr>
            </w:pPr>
            <w:r w:rsidRPr="00887F9E">
              <w:rPr>
                <w:lang w:eastAsia="lv-LV"/>
              </w:rPr>
              <w:t>M</w:t>
            </w:r>
            <w:r w:rsidR="008A6BF7">
              <w:rPr>
                <w:lang w:eastAsia="lv-LV"/>
              </w:rPr>
              <w:t xml:space="preserve">K 2018. gada 31. oktobra </w:t>
            </w:r>
            <w:r w:rsidRPr="00887F9E">
              <w:rPr>
                <w:lang w:eastAsia="lv-LV"/>
              </w:rPr>
              <w:t>rīkojum</w:t>
            </w:r>
            <w:r w:rsidR="005554AA">
              <w:rPr>
                <w:lang w:eastAsia="lv-LV"/>
              </w:rPr>
              <w:t>ā</w:t>
            </w:r>
            <w:r w:rsidRPr="00887F9E">
              <w:rPr>
                <w:lang w:eastAsia="lv-LV"/>
              </w:rPr>
              <w:t xml:space="preserve"> Nr. </w:t>
            </w:r>
            <w:r>
              <w:rPr>
                <w:lang w:eastAsia="lv-LV"/>
              </w:rPr>
              <w:t>567</w:t>
            </w:r>
            <w:r w:rsidRPr="00887F9E">
              <w:rPr>
                <w:lang w:eastAsia="lv-LV"/>
              </w:rPr>
              <w:t xml:space="preserve"> “Par informācijas sabiedrības attīstības pamatnostādņu ieviešanu publiskās pārvaldes informācijas sistēmu jomā (</w:t>
            </w:r>
            <w:proofErr w:type="spellStart"/>
            <w:r w:rsidRPr="00887F9E">
              <w:rPr>
                <w:lang w:eastAsia="lv-LV"/>
              </w:rPr>
              <w:t>mērķarhitektūras</w:t>
            </w:r>
            <w:proofErr w:type="spellEnd"/>
            <w:r w:rsidRPr="00887F9E">
              <w:rPr>
                <w:lang w:eastAsia="lv-LV"/>
              </w:rPr>
              <w:t xml:space="preserve"> 44.0. versija)”</w:t>
            </w:r>
            <w:r>
              <w:rPr>
                <w:lang w:eastAsia="lv-LV"/>
              </w:rPr>
              <w:t xml:space="preserve"> </w:t>
            </w:r>
            <w:r w:rsidR="00366A8C">
              <w:rPr>
                <w:lang w:eastAsia="lv-LV"/>
              </w:rPr>
              <w:t xml:space="preserve">(turpmāk – MK </w:t>
            </w:r>
            <w:r w:rsidR="002015D4">
              <w:rPr>
                <w:lang w:eastAsia="lv-LV"/>
              </w:rPr>
              <w:t xml:space="preserve">rīkojums </w:t>
            </w:r>
            <w:r w:rsidR="00366A8C">
              <w:rPr>
                <w:lang w:eastAsia="lv-LV"/>
              </w:rPr>
              <w:t xml:space="preserve">Nr. </w:t>
            </w:r>
            <w:r w:rsidR="002D48AA">
              <w:rPr>
                <w:lang w:eastAsia="lv-LV"/>
              </w:rPr>
              <w:t>567</w:t>
            </w:r>
            <w:r w:rsidR="00366A8C">
              <w:rPr>
                <w:lang w:eastAsia="lv-LV"/>
              </w:rPr>
              <w:t>)</w:t>
            </w:r>
            <w:r>
              <w:rPr>
                <w:lang w:eastAsia="lv-LV"/>
              </w:rPr>
              <w:t>;</w:t>
            </w:r>
          </w:p>
          <w:p w14:paraId="722558D0" w14:textId="25939D94" w:rsidR="005554AA" w:rsidRDefault="00F003D5" w:rsidP="002015D4">
            <w:pPr>
              <w:pStyle w:val="ListParagraph"/>
              <w:numPr>
                <w:ilvl w:val="0"/>
                <w:numId w:val="11"/>
              </w:numPr>
              <w:ind w:right="212"/>
              <w:jc w:val="both"/>
              <w:rPr>
                <w:lang w:eastAsia="lv-LV"/>
              </w:rPr>
            </w:pPr>
            <w:r w:rsidRPr="00887F9E">
              <w:rPr>
                <w:lang w:eastAsia="lv-LV"/>
              </w:rPr>
              <w:t>M</w:t>
            </w:r>
            <w:r>
              <w:rPr>
                <w:lang w:eastAsia="lv-LV"/>
              </w:rPr>
              <w:t xml:space="preserve">K 2017. gada </w:t>
            </w:r>
            <w:r w:rsidR="008E7BCE">
              <w:rPr>
                <w:lang w:eastAsia="lv-LV"/>
              </w:rPr>
              <w:t>10. augusta</w:t>
            </w:r>
            <w:r w:rsidRPr="00887F9E">
              <w:rPr>
                <w:lang w:eastAsia="lv-LV"/>
              </w:rPr>
              <w:t xml:space="preserve"> rīkojum</w:t>
            </w:r>
            <w:r w:rsidR="005554AA">
              <w:rPr>
                <w:lang w:eastAsia="lv-LV"/>
              </w:rPr>
              <w:t>ā</w:t>
            </w:r>
            <w:r w:rsidRPr="00887F9E">
              <w:rPr>
                <w:lang w:eastAsia="lv-LV"/>
              </w:rPr>
              <w:t xml:space="preserve"> Nr. </w:t>
            </w:r>
            <w:r>
              <w:rPr>
                <w:lang w:eastAsia="lv-LV"/>
              </w:rPr>
              <w:t>422</w:t>
            </w:r>
            <w:r w:rsidR="008E7BCE">
              <w:rPr>
                <w:lang w:eastAsia="lv-LV"/>
              </w:rPr>
              <w:t xml:space="preserve"> </w:t>
            </w:r>
            <w:r w:rsidRPr="00887F9E">
              <w:rPr>
                <w:lang w:eastAsia="lv-LV"/>
              </w:rPr>
              <w:t xml:space="preserve">“Par darbības programmas </w:t>
            </w:r>
            <w:r w:rsidR="005554AA">
              <w:rPr>
                <w:lang w:eastAsia="lv-LV"/>
              </w:rPr>
              <w:t>“</w:t>
            </w:r>
            <w:r w:rsidRPr="00887F9E">
              <w:rPr>
                <w:lang w:eastAsia="lv-LV"/>
              </w:rPr>
              <w:t>Izaugsme un nodarbinātība</w:t>
            </w:r>
            <w:r w:rsidR="005554AA">
              <w:rPr>
                <w:lang w:eastAsia="lv-LV"/>
              </w:rPr>
              <w:t>”</w:t>
            </w:r>
            <w:r w:rsidRPr="00887F9E">
              <w:rPr>
                <w:lang w:eastAsia="lv-LV"/>
              </w:rPr>
              <w:t xml:space="preserve"> 2.2.1. specifiskā atbalsta mērķa </w:t>
            </w:r>
            <w:r w:rsidR="005554AA">
              <w:rPr>
                <w:lang w:eastAsia="lv-LV"/>
              </w:rPr>
              <w:t>“</w:t>
            </w:r>
            <w:r w:rsidRPr="00887F9E">
              <w:rPr>
                <w:lang w:eastAsia="lv-LV"/>
              </w:rPr>
              <w:t xml:space="preserve">Nodrošināt publisko datu </w:t>
            </w:r>
            <w:proofErr w:type="spellStart"/>
            <w:r w:rsidRPr="00887F9E">
              <w:rPr>
                <w:lang w:eastAsia="lv-LV"/>
              </w:rPr>
              <w:t>atkalizmantošanas</w:t>
            </w:r>
            <w:proofErr w:type="spellEnd"/>
            <w:r w:rsidRPr="00887F9E">
              <w:rPr>
                <w:lang w:eastAsia="lv-LV"/>
              </w:rPr>
              <w:t xml:space="preserve"> pieaugumu un efektīvu publiskās pārvaldes un privātā sektora mijiedarbību</w:t>
            </w:r>
            <w:r w:rsidR="005554AA">
              <w:rPr>
                <w:lang w:eastAsia="lv-LV"/>
              </w:rPr>
              <w:t>”</w:t>
            </w:r>
            <w:r w:rsidRPr="00887F9E">
              <w:rPr>
                <w:lang w:eastAsia="lv-LV"/>
              </w:rPr>
              <w:t xml:space="preserve"> 2.2.1.1. pasākuma </w:t>
            </w:r>
            <w:r w:rsidR="005554AA">
              <w:rPr>
                <w:lang w:eastAsia="lv-LV"/>
              </w:rPr>
              <w:t>“</w:t>
            </w:r>
            <w:r w:rsidRPr="00887F9E">
              <w:rPr>
                <w:lang w:eastAsia="lv-LV"/>
              </w:rPr>
              <w:t>Centralizētu publiskās pārvaldes IKT platformu izveide, publiskās pārvaldes procesu optimizēšana un attīstība</w:t>
            </w:r>
            <w:r w:rsidR="005554AA">
              <w:rPr>
                <w:lang w:eastAsia="lv-LV"/>
              </w:rPr>
              <w:t>”</w:t>
            </w:r>
            <w:r w:rsidRPr="00887F9E">
              <w:rPr>
                <w:lang w:eastAsia="lv-LV"/>
              </w:rPr>
              <w:t xml:space="preserve"> un 2.2.1.2. pasākuma </w:t>
            </w:r>
            <w:r w:rsidR="005554AA">
              <w:rPr>
                <w:lang w:eastAsia="lv-LV"/>
              </w:rPr>
              <w:t>“</w:t>
            </w:r>
            <w:r w:rsidRPr="00887F9E">
              <w:rPr>
                <w:lang w:eastAsia="lv-LV"/>
              </w:rPr>
              <w:t xml:space="preserve">Kultūras mantojuma </w:t>
            </w:r>
            <w:proofErr w:type="spellStart"/>
            <w:r w:rsidRPr="00887F9E">
              <w:rPr>
                <w:lang w:eastAsia="lv-LV"/>
              </w:rPr>
              <w:t>digitalizācija</w:t>
            </w:r>
            <w:proofErr w:type="spellEnd"/>
            <w:r w:rsidR="005554AA">
              <w:rPr>
                <w:lang w:eastAsia="lv-LV"/>
              </w:rPr>
              <w:t>”</w:t>
            </w:r>
            <w:r w:rsidRPr="00887F9E">
              <w:rPr>
                <w:lang w:eastAsia="lv-LV"/>
              </w:rPr>
              <w:t xml:space="preserve"> projektu iesniegumu atlases 2. kārtas projektu sarakstu Eiropas Savienības fondu 2014.–2020. gada plānošanas periodam”</w:t>
            </w:r>
            <w:r>
              <w:rPr>
                <w:lang w:eastAsia="lv-LV"/>
              </w:rPr>
              <w:t xml:space="preserve"> </w:t>
            </w:r>
            <w:r w:rsidR="008E7BCE">
              <w:rPr>
                <w:lang w:eastAsia="lv-LV"/>
              </w:rPr>
              <w:t xml:space="preserve">(turpmāk – MK </w:t>
            </w:r>
            <w:r w:rsidR="002015D4">
              <w:rPr>
                <w:lang w:eastAsia="lv-LV"/>
              </w:rPr>
              <w:t xml:space="preserve">rīkojums </w:t>
            </w:r>
            <w:r w:rsidR="008E7BCE">
              <w:rPr>
                <w:lang w:eastAsia="lv-LV"/>
              </w:rPr>
              <w:t>Nr. 422)</w:t>
            </w:r>
          </w:p>
          <w:p w14:paraId="75181C99" w14:textId="2B11067E" w:rsidR="001D603F" w:rsidRPr="00D367E3" w:rsidRDefault="005554AA" w:rsidP="00AE6288">
            <w:pPr>
              <w:ind w:right="212"/>
              <w:jc w:val="both"/>
              <w:rPr>
                <w:lang w:eastAsia="lv-LV"/>
              </w:rPr>
            </w:pPr>
            <w:r>
              <w:rPr>
                <w:lang w:eastAsia="lv-LV"/>
              </w:rPr>
              <w:t xml:space="preserve">izstrādāti pēc Vides aizsardzības un reģionālās attīstības ministrijas </w:t>
            </w:r>
            <w:r w:rsidR="00733167">
              <w:rPr>
                <w:lang w:eastAsia="lv-LV"/>
              </w:rPr>
              <w:t xml:space="preserve">(turpmāk – VARAM) </w:t>
            </w:r>
            <w:r>
              <w:rPr>
                <w:lang w:eastAsia="lv-LV"/>
              </w:rPr>
              <w:t>iniciatīvas.</w:t>
            </w:r>
          </w:p>
        </w:tc>
      </w:tr>
      <w:tr w:rsidR="00D367E3" w:rsidRPr="00A168F1" w14:paraId="62537BCC" w14:textId="77777777" w:rsidTr="00AE6288">
        <w:trPr>
          <w:trHeight w:val="649"/>
        </w:trPr>
        <w:tc>
          <w:tcPr>
            <w:tcW w:w="593" w:type="dxa"/>
          </w:tcPr>
          <w:p w14:paraId="68F53452" w14:textId="77777777" w:rsidR="00B559D5" w:rsidRPr="00D367E3" w:rsidRDefault="00F15799" w:rsidP="00262DE5">
            <w:r w:rsidRPr="00D367E3">
              <w:rPr>
                <w:lang w:eastAsia="en-US"/>
              </w:rPr>
              <w:t> 2.</w:t>
            </w:r>
          </w:p>
        </w:tc>
        <w:tc>
          <w:tcPr>
            <w:tcW w:w="2556" w:type="dxa"/>
          </w:tcPr>
          <w:p w14:paraId="473A5928" w14:textId="77777777" w:rsidR="00B559D5" w:rsidRDefault="00F15799" w:rsidP="00262DE5">
            <w:pPr>
              <w:rPr>
                <w:lang w:eastAsia="en-US"/>
              </w:rPr>
            </w:pPr>
            <w:r w:rsidRPr="00D367E3">
              <w:rPr>
                <w:lang w:eastAsia="en-US"/>
              </w:rPr>
              <w:t xml:space="preserve">Pašreizējā situācija un problēmas, kuru risināšanai tiesību akta projekts izstrādāts, </w:t>
            </w:r>
            <w:r w:rsidRPr="00D367E3">
              <w:rPr>
                <w:lang w:eastAsia="en-US"/>
              </w:rPr>
              <w:lastRenderedPageBreak/>
              <w:t>tiesiskā regulējuma mērķis un būtība</w:t>
            </w:r>
          </w:p>
          <w:p w14:paraId="2218A340" w14:textId="77777777" w:rsidR="00AA7509" w:rsidRPr="00AA7509" w:rsidRDefault="00AA7509" w:rsidP="00AA7509"/>
          <w:p w14:paraId="55A45A74" w14:textId="77777777" w:rsidR="00AA7509" w:rsidRPr="00AA7509" w:rsidRDefault="00AA7509" w:rsidP="00AA7509"/>
          <w:p w14:paraId="2F9A0342" w14:textId="77777777" w:rsidR="00AA7509" w:rsidRPr="00AA7509" w:rsidRDefault="00AA7509" w:rsidP="00AA7509"/>
          <w:p w14:paraId="2141A2E3" w14:textId="77777777" w:rsidR="00AA7509" w:rsidRPr="00AA7509" w:rsidRDefault="00AA7509" w:rsidP="00AA7509"/>
          <w:p w14:paraId="5D3890E6" w14:textId="77777777" w:rsidR="00AA7509" w:rsidRPr="00AA7509" w:rsidRDefault="00AA7509" w:rsidP="00AA7509"/>
          <w:p w14:paraId="6511311A" w14:textId="77777777" w:rsidR="00AA7509" w:rsidRPr="00AA7509" w:rsidRDefault="00AA7509" w:rsidP="00AA7509"/>
          <w:p w14:paraId="0BA5EAFB" w14:textId="77777777" w:rsidR="00AA7509" w:rsidRPr="00AA7509" w:rsidRDefault="00AA7509" w:rsidP="00AA7509"/>
          <w:p w14:paraId="2FE91153" w14:textId="77777777" w:rsidR="00AA7509" w:rsidRPr="00AA7509" w:rsidRDefault="00AA7509" w:rsidP="00AA7509"/>
          <w:p w14:paraId="0EA1EF8A" w14:textId="77777777" w:rsidR="00AA7509" w:rsidRPr="00AA7509" w:rsidRDefault="00AA7509" w:rsidP="00AA7509"/>
          <w:p w14:paraId="493EB3F1" w14:textId="77777777" w:rsidR="00AA7509" w:rsidRPr="00AA7509" w:rsidRDefault="00AA7509" w:rsidP="00AA7509"/>
          <w:p w14:paraId="1C527896" w14:textId="561DD29B" w:rsidR="00AA7509" w:rsidRDefault="00AA7509" w:rsidP="00AA7509"/>
          <w:p w14:paraId="51257945" w14:textId="25AA3AAA" w:rsidR="00DA43C3" w:rsidRPr="00DA43C3" w:rsidRDefault="00DA43C3" w:rsidP="00DA43C3"/>
          <w:p w14:paraId="0E994322" w14:textId="28B12BBF" w:rsidR="00DA43C3" w:rsidRPr="00DA43C3" w:rsidRDefault="00DA43C3" w:rsidP="00DA43C3"/>
          <w:p w14:paraId="2FE8014D" w14:textId="7286A250" w:rsidR="00DA43C3" w:rsidRPr="00DA43C3" w:rsidRDefault="00DA43C3" w:rsidP="00DA43C3"/>
          <w:p w14:paraId="320DD1DF" w14:textId="573926C3" w:rsidR="00DA43C3" w:rsidRPr="00DA43C3" w:rsidRDefault="00DA43C3" w:rsidP="00DA43C3"/>
          <w:p w14:paraId="4690DD02" w14:textId="77777777" w:rsidR="00DA43C3" w:rsidRPr="00DA43C3" w:rsidRDefault="00DA43C3" w:rsidP="00DA43C3"/>
          <w:p w14:paraId="5FD60822" w14:textId="3102EEF2" w:rsidR="00DA43C3" w:rsidRPr="00DA43C3" w:rsidRDefault="00DA43C3" w:rsidP="00DA43C3"/>
          <w:p w14:paraId="589597A6" w14:textId="7DE79E0F" w:rsidR="00DA43C3" w:rsidRPr="00DA43C3" w:rsidRDefault="00DA43C3" w:rsidP="00DA43C3"/>
          <w:p w14:paraId="39A78EB9" w14:textId="6C1B30FC" w:rsidR="00DA43C3" w:rsidRPr="00DA43C3" w:rsidRDefault="00DA43C3" w:rsidP="00DA43C3"/>
          <w:p w14:paraId="6A333552" w14:textId="49917BB5" w:rsidR="00DA43C3" w:rsidRPr="00DA43C3" w:rsidRDefault="00DA43C3" w:rsidP="00DA43C3"/>
          <w:p w14:paraId="6D439E53" w14:textId="77777777" w:rsidR="00DA43C3" w:rsidRPr="00DA43C3" w:rsidRDefault="00DA43C3" w:rsidP="00DA43C3"/>
          <w:p w14:paraId="2B52E904" w14:textId="26C2167F" w:rsidR="00DA43C3" w:rsidRPr="00DA43C3" w:rsidRDefault="00DA43C3" w:rsidP="00DA43C3"/>
          <w:p w14:paraId="7EE5CA05" w14:textId="50841162" w:rsidR="00DA43C3" w:rsidRPr="00DA43C3" w:rsidRDefault="00DA43C3" w:rsidP="00DA43C3"/>
          <w:p w14:paraId="759BC845" w14:textId="745EFFF1" w:rsidR="00DA43C3" w:rsidRPr="00DA43C3" w:rsidRDefault="00DA43C3" w:rsidP="00DA43C3"/>
          <w:p w14:paraId="7B8DAA92" w14:textId="04D5A425" w:rsidR="00DA43C3" w:rsidRPr="00DA43C3" w:rsidRDefault="00DA43C3" w:rsidP="00DA43C3"/>
          <w:p w14:paraId="1306D1B9" w14:textId="77777777" w:rsidR="00DA43C3" w:rsidRPr="00DA43C3" w:rsidRDefault="00DA43C3" w:rsidP="00DA43C3"/>
          <w:p w14:paraId="0FB20796" w14:textId="3BD9B838" w:rsidR="00DA43C3" w:rsidRPr="00DA43C3" w:rsidRDefault="00DA43C3" w:rsidP="00DA43C3"/>
          <w:p w14:paraId="2A7D150F" w14:textId="1B9DBCB0" w:rsidR="00DA43C3" w:rsidRPr="00DA43C3" w:rsidRDefault="00DA43C3" w:rsidP="00DA43C3"/>
          <w:p w14:paraId="0D5C766B" w14:textId="2F37AF7A" w:rsidR="00DA43C3" w:rsidRPr="00DA43C3" w:rsidRDefault="00DA43C3" w:rsidP="00DA43C3"/>
          <w:p w14:paraId="0653B58A" w14:textId="546816EB" w:rsidR="00DA43C3" w:rsidRPr="00DA43C3" w:rsidRDefault="00DA43C3" w:rsidP="00DA43C3"/>
          <w:p w14:paraId="21E527ED" w14:textId="122A6E75" w:rsidR="00AA7509" w:rsidRPr="00AA7509" w:rsidRDefault="00AA7509" w:rsidP="00DA43C3"/>
        </w:tc>
        <w:tc>
          <w:tcPr>
            <w:tcW w:w="6374" w:type="dxa"/>
          </w:tcPr>
          <w:p w14:paraId="757D06A4" w14:textId="77777777" w:rsidR="00C652D4" w:rsidRDefault="00C652D4" w:rsidP="00C652D4">
            <w:pPr>
              <w:suppressAutoHyphens w:val="0"/>
              <w:ind w:right="212"/>
              <w:jc w:val="both"/>
              <w:rPr>
                <w:lang w:eastAsia="lv-LV"/>
              </w:rPr>
            </w:pPr>
            <w:r>
              <w:rPr>
                <w:lang w:eastAsia="lv-LV"/>
              </w:rPr>
              <w:lastRenderedPageBreak/>
              <w:t xml:space="preserve">MK rīkojuma Nr.136 pielikumā minētā PIKTAPS projekta mērķa – “radīt priekšnosacījumus informācijas pārvaldības ieviešanai publiskajā pārvaldē”, un  valsts pārvaldes informācijas un komunikācijas tehnoloģiju (turpmāk – IKT) </w:t>
            </w:r>
            <w:r>
              <w:rPr>
                <w:lang w:eastAsia="lv-LV"/>
              </w:rPr>
              <w:lastRenderedPageBreak/>
              <w:t xml:space="preserve">pārvaldības informācija un atvērtie dati sasniegšanai, ir nepieciešams izveidot Valsts informācijas resursu, sistēmu un </w:t>
            </w:r>
            <w:proofErr w:type="spellStart"/>
            <w:r>
              <w:rPr>
                <w:lang w:eastAsia="lv-LV"/>
              </w:rPr>
              <w:t>sadarbspējas</w:t>
            </w:r>
            <w:proofErr w:type="spellEnd"/>
            <w:r>
              <w:rPr>
                <w:lang w:eastAsia="lv-LV"/>
              </w:rPr>
              <w:t xml:space="preserve"> informācijas sistēmu (turpmāk - VIRSIS).</w:t>
            </w:r>
          </w:p>
          <w:p w14:paraId="5874AAC7" w14:textId="77777777" w:rsidR="00C652D4" w:rsidRDefault="00C652D4" w:rsidP="00C652D4">
            <w:pPr>
              <w:suppressAutoHyphens w:val="0"/>
              <w:ind w:right="212"/>
              <w:jc w:val="both"/>
              <w:rPr>
                <w:lang w:eastAsia="lv-LV"/>
              </w:rPr>
            </w:pPr>
            <w:r>
              <w:rPr>
                <w:lang w:eastAsia="lv-LV"/>
              </w:rPr>
              <w:t>Projekta īstenošanas gaitā tika konstatētas papildus valsts pārvaldes IKT pārvaldības prasības un vajadzības, kā rezultātā ir nepieciešami VIRSIS risinājuma papildinājumi, kas neietekmē PIKTAPS iznākuma rādītāju sasniegšanu, bet ir būtiski PIKTAPS rezultāta rādītāja “Publiskās pārvaldes institūcijas, kas izmanto būtiskos arhitektūras elementus” sasniegšanai 2 un 3 gadu periodā pēc PIKTAPS beigām. Rezultātu rādītāja sasniegšana ir  tiešā veidā saistīta ar VIRSIS ieviešanu valsts pārvaldē, ieskaitot būtisko arhitektūras elementu un to saistības ar IKT infrastruktūru un datu piekļuves atļauju pārvaldību.</w:t>
            </w:r>
          </w:p>
          <w:p w14:paraId="0EC86F09" w14:textId="0B846B6C" w:rsidR="00C652D4" w:rsidRDefault="00C652D4" w:rsidP="00C652D4">
            <w:pPr>
              <w:suppressAutoHyphens w:val="0"/>
              <w:ind w:right="212"/>
              <w:jc w:val="both"/>
              <w:rPr>
                <w:lang w:eastAsia="lv-LV"/>
              </w:rPr>
            </w:pPr>
            <w:r>
              <w:rPr>
                <w:lang w:eastAsia="lv-LV"/>
              </w:rPr>
              <w:t>VIRSIS ir nepieciešami sekojoši papildinājumi:</w:t>
            </w:r>
          </w:p>
          <w:p w14:paraId="3A585E79" w14:textId="1D4AE819" w:rsidR="00C652D4" w:rsidRDefault="00C652D4" w:rsidP="00C652D4">
            <w:pPr>
              <w:pStyle w:val="ListParagraph"/>
              <w:numPr>
                <w:ilvl w:val="0"/>
                <w:numId w:val="15"/>
              </w:numPr>
              <w:ind w:right="212"/>
              <w:jc w:val="both"/>
              <w:rPr>
                <w:lang w:eastAsia="lv-LV"/>
              </w:rPr>
            </w:pPr>
            <w:r>
              <w:rPr>
                <w:lang w:eastAsia="lv-LV"/>
              </w:rPr>
              <w:t>Papildinājumi IKT resursu klasifikatorā, ieviešot “Infrastruktūra (Aparatūra)” līmeni. Papildinājumi ir nepieciešami IKT nodrošinājuma centralizācijas atbalstam un to saistības ar citiem resursiem, tādiem kā, piemēram, būtiskie arhitektūras elementi, pārvaldībai;</w:t>
            </w:r>
          </w:p>
          <w:p w14:paraId="6B2D1641" w14:textId="635F8728" w:rsidR="00C652D4" w:rsidRDefault="00C652D4" w:rsidP="00C652D4">
            <w:pPr>
              <w:pStyle w:val="ListParagraph"/>
              <w:numPr>
                <w:ilvl w:val="0"/>
                <w:numId w:val="15"/>
              </w:numPr>
              <w:ind w:right="212"/>
              <w:jc w:val="both"/>
              <w:rPr>
                <w:lang w:eastAsia="lv-LV"/>
              </w:rPr>
            </w:pPr>
            <w:r>
              <w:rPr>
                <w:lang w:eastAsia="lv-LV"/>
              </w:rPr>
              <w:t>Papildinājumi IKT pakalpojumu klasifikatorā, ieviešot “Informācijas pakalpojumu” līmeni. Papildinājumi ir nepieciešami informācijas pieprasījumu vadībai un datu piekļuves atļauju nodrošināšanai, ieskaitot tos, kurus nodrošina būtiskie arhitektūras elementi;</w:t>
            </w:r>
          </w:p>
          <w:p w14:paraId="3BBBB4B3" w14:textId="4B4E7E7A" w:rsidR="00C652D4" w:rsidRDefault="00C652D4" w:rsidP="00C652D4">
            <w:pPr>
              <w:pStyle w:val="ListParagraph"/>
              <w:numPr>
                <w:ilvl w:val="0"/>
                <w:numId w:val="15"/>
              </w:numPr>
              <w:ind w:right="212"/>
              <w:jc w:val="both"/>
              <w:rPr>
                <w:lang w:eastAsia="lv-LV"/>
              </w:rPr>
            </w:pPr>
            <w:r>
              <w:rPr>
                <w:lang w:eastAsia="lv-LV"/>
              </w:rPr>
              <w:t>Papildinājumi IKT pakalpojumu klasifikatorā, ieviešot “Informācijas pakalpojumu” līmeni, ieviešot “Kombinēto pakalpojumu” līmeni un to saistību ar būtiskajiem arhitektūras elementiem.</w:t>
            </w:r>
          </w:p>
          <w:p w14:paraId="2B0FFEE3" w14:textId="77777777" w:rsidR="00C652D4" w:rsidRDefault="00C652D4" w:rsidP="00C652D4">
            <w:pPr>
              <w:suppressAutoHyphens w:val="0"/>
              <w:ind w:right="212"/>
              <w:jc w:val="both"/>
              <w:rPr>
                <w:lang w:eastAsia="lv-LV"/>
              </w:rPr>
            </w:pPr>
            <w:r>
              <w:rPr>
                <w:lang w:eastAsia="lv-LV"/>
              </w:rPr>
              <w:t>VIRSIS papildinājumu īstenošanai ir pieejams finansējums no PIKTAPS budžeta, taču to īstenošanu vairs nav iespējams saplānot līdz PIKTAPS beigu termiņam 2019. gada 24. novembrī.</w:t>
            </w:r>
          </w:p>
          <w:p w14:paraId="14A36EB7" w14:textId="1FB2055C" w:rsidR="00BB3E14" w:rsidRPr="00887F9E" w:rsidRDefault="00C652D4" w:rsidP="00C652D4">
            <w:pPr>
              <w:suppressAutoHyphens w:val="0"/>
              <w:ind w:right="212"/>
              <w:jc w:val="both"/>
              <w:rPr>
                <w:lang w:eastAsia="lv-LV"/>
              </w:rPr>
            </w:pPr>
            <w:r>
              <w:rPr>
                <w:lang w:eastAsia="lv-LV"/>
              </w:rPr>
              <w:t xml:space="preserve">Sakarā ar augstāk minēto, ir nepieciešams pārcelt VIRSIS pielāgošanai nepieciešamos darbus un tiem pieejamos 98 536 </w:t>
            </w:r>
            <w:proofErr w:type="spellStart"/>
            <w:r w:rsidRPr="00281D74">
              <w:rPr>
                <w:i/>
                <w:lang w:eastAsia="lv-LV"/>
              </w:rPr>
              <w:t>euro</w:t>
            </w:r>
            <w:proofErr w:type="spellEnd"/>
            <w:r>
              <w:rPr>
                <w:lang w:eastAsia="lv-LV"/>
              </w:rPr>
              <w:t xml:space="preserve"> no projekta “Publiskās pārvaldes informācijas un komunikāciju tehnoloģiju arhitektūras pārvaldī</w:t>
            </w:r>
            <w:bookmarkStart w:id="0" w:name="_GoBack"/>
            <w:bookmarkEnd w:id="0"/>
            <w:r>
              <w:rPr>
                <w:lang w:eastAsia="lv-LV"/>
              </w:rPr>
              <w:t>bas sistēma” (līguma Nr. 2.2.1.1/16/I/001) uz projektu “Publiskās pārvaldes informācijas un komunikāciju tehnoloģiju arhitektūras pārvaldības sistēma 2.kārta” (līguma Nr. 2.2.1.1/19/I/002).</w:t>
            </w:r>
          </w:p>
          <w:p w14:paraId="0BFD437E" w14:textId="77D4BED9" w:rsidR="00C6299E" w:rsidRDefault="002015D4" w:rsidP="002015D4">
            <w:pPr>
              <w:suppressAutoHyphens w:val="0"/>
              <w:ind w:right="212"/>
              <w:jc w:val="both"/>
              <w:rPr>
                <w:lang w:eastAsia="lv-LV"/>
              </w:rPr>
            </w:pPr>
            <w:r>
              <w:rPr>
                <w:lang w:eastAsia="lv-LV"/>
              </w:rPr>
              <w:t xml:space="preserve">Līdz ar to </w:t>
            </w:r>
            <w:r w:rsidR="00887F9E" w:rsidRPr="00887F9E">
              <w:rPr>
                <w:lang w:eastAsia="lv-LV"/>
              </w:rPr>
              <w:t>ir nepieciešami grozījumi normatīvajos aktos</w:t>
            </w:r>
            <w:r w:rsidR="00C6299E">
              <w:rPr>
                <w:lang w:eastAsia="lv-LV"/>
              </w:rPr>
              <w:t>:</w:t>
            </w:r>
          </w:p>
          <w:p w14:paraId="5B42DD83" w14:textId="37AA8AA9" w:rsidR="00C6299E" w:rsidRDefault="002015D4" w:rsidP="00E5026B">
            <w:pPr>
              <w:suppressAutoHyphens w:val="0"/>
              <w:ind w:right="212"/>
              <w:jc w:val="both"/>
              <w:rPr>
                <w:lang w:eastAsia="lv-LV"/>
              </w:rPr>
            </w:pPr>
            <w:r w:rsidRPr="002015D4">
              <w:rPr>
                <w:lang w:eastAsia="lv-LV"/>
              </w:rPr>
              <w:t xml:space="preserve">MK </w:t>
            </w:r>
            <w:r>
              <w:rPr>
                <w:lang w:eastAsia="lv-LV"/>
              </w:rPr>
              <w:t>rīkojum</w:t>
            </w:r>
            <w:r w:rsidR="00C6299E">
              <w:rPr>
                <w:lang w:eastAsia="lv-LV"/>
              </w:rPr>
              <w:t>a</w:t>
            </w:r>
            <w:r w:rsidRPr="002015D4">
              <w:rPr>
                <w:lang w:eastAsia="lv-LV"/>
              </w:rPr>
              <w:t xml:space="preserve"> Nr. 136</w:t>
            </w:r>
            <w:r w:rsidR="00C6299E">
              <w:rPr>
                <w:lang w:eastAsia="lv-LV"/>
              </w:rPr>
              <w:t xml:space="preserve"> grozījumi paredz:</w:t>
            </w:r>
          </w:p>
          <w:p w14:paraId="65A32BEE" w14:textId="5F97905E" w:rsidR="00C6299E" w:rsidRPr="00E5026B" w:rsidRDefault="00C6299E" w:rsidP="00E5026B">
            <w:pPr>
              <w:pStyle w:val="ListParagraph"/>
              <w:numPr>
                <w:ilvl w:val="0"/>
                <w:numId w:val="11"/>
              </w:numPr>
              <w:ind w:right="212"/>
              <w:jc w:val="both"/>
              <w:rPr>
                <w:lang w:eastAsia="lv-LV"/>
              </w:rPr>
            </w:pPr>
            <w:r>
              <w:rPr>
                <w:lang w:eastAsia="lv-LV"/>
              </w:rPr>
              <w:t xml:space="preserve">samazināt PIKTAPS </w:t>
            </w:r>
            <w:r w:rsidR="00D97058">
              <w:rPr>
                <w:lang w:eastAsia="lv-LV"/>
              </w:rPr>
              <w:t xml:space="preserve">projekta </w:t>
            </w:r>
            <w:r>
              <w:rPr>
                <w:lang w:eastAsia="lv-LV"/>
              </w:rPr>
              <w:t>finansējuma apjomu</w:t>
            </w:r>
            <w:r w:rsidR="00D97058">
              <w:rPr>
                <w:lang w:eastAsia="lv-LV"/>
              </w:rPr>
              <w:t xml:space="preserve"> no 4 500 000 </w:t>
            </w:r>
            <w:proofErr w:type="spellStart"/>
            <w:r w:rsidR="00D97058">
              <w:rPr>
                <w:i/>
                <w:lang w:eastAsia="lv-LV"/>
              </w:rPr>
              <w:t>euro</w:t>
            </w:r>
            <w:proofErr w:type="spellEnd"/>
            <w:r w:rsidR="00D97058">
              <w:rPr>
                <w:lang w:eastAsia="lv-LV"/>
              </w:rPr>
              <w:t xml:space="preserve"> uz </w:t>
            </w:r>
            <w:r w:rsidR="00D97058" w:rsidRPr="00D97058">
              <w:rPr>
                <w:lang w:eastAsia="lv-LV"/>
              </w:rPr>
              <w:t xml:space="preserve">4 </w:t>
            </w:r>
            <w:r w:rsidR="0014279F">
              <w:rPr>
                <w:lang w:eastAsia="lv-LV"/>
              </w:rPr>
              <w:t xml:space="preserve">401 464 </w:t>
            </w:r>
            <w:proofErr w:type="spellStart"/>
            <w:r w:rsidR="00D97058">
              <w:rPr>
                <w:i/>
                <w:lang w:eastAsia="lv-LV"/>
              </w:rPr>
              <w:t>euro</w:t>
            </w:r>
            <w:proofErr w:type="spellEnd"/>
            <w:r w:rsidR="00D97058">
              <w:rPr>
                <w:i/>
                <w:lang w:eastAsia="lv-LV"/>
              </w:rPr>
              <w:t>;</w:t>
            </w:r>
          </w:p>
          <w:p w14:paraId="45305E48" w14:textId="010146D9" w:rsidR="00D97058" w:rsidRDefault="00D97058" w:rsidP="00E5026B">
            <w:pPr>
              <w:ind w:right="212"/>
              <w:jc w:val="both"/>
              <w:rPr>
                <w:lang w:eastAsia="lv-LV"/>
              </w:rPr>
            </w:pPr>
            <w:r w:rsidRPr="00D97058">
              <w:rPr>
                <w:lang w:eastAsia="lv-LV"/>
              </w:rPr>
              <w:t>MK rīkojum</w:t>
            </w:r>
            <w:r>
              <w:rPr>
                <w:lang w:eastAsia="lv-LV"/>
              </w:rPr>
              <w:t>a</w:t>
            </w:r>
            <w:r w:rsidRPr="00D97058">
              <w:rPr>
                <w:lang w:eastAsia="lv-LV"/>
              </w:rPr>
              <w:t xml:space="preserve"> Nr. 567</w:t>
            </w:r>
            <w:r>
              <w:rPr>
                <w:lang w:eastAsia="lv-LV"/>
              </w:rPr>
              <w:t xml:space="preserve"> grozījumi paredz:</w:t>
            </w:r>
          </w:p>
          <w:p w14:paraId="2907AF9A" w14:textId="2AE43E5E" w:rsidR="00D97058" w:rsidRPr="00E5026B" w:rsidRDefault="00D97058" w:rsidP="00E5026B">
            <w:pPr>
              <w:pStyle w:val="ListParagraph"/>
              <w:numPr>
                <w:ilvl w:val="0"/>
                <w:numId w:val="11"/>
              </w:numPr>
              <w:ind w:right="212"/>
              <w:jc w:val="both"/>
              <w:rPr>
                <w:lang w:eastAsia="lv-LV"/>
              </w:rPr>
            </w:pPr>
            <w:r>
              <w:rPr>
                <w:lang w:eastAsia="lv-LV"/>
              </w:rPr>
              <w:t>palielināt PIKTAPS 2.</w:t>
            </w:r>
            <w:r w:rsidR="00CE4614">
              <w:rPr>
                <w:lang w:eastAsia="lv-LV"/>
              </w:rPr>
              <w:t xml:space="preserve"> </w:t>
            </w:r>
            <w:r>
              <w:rPr>
                <w:lang w:eastAsia="lv-LV"/>
              </w:rPr>
              <w:t>kārta</w:t>
            </w:r>
            <w:r w:rsidR="00CE4614">
              <w:rPr>
                <w:lang w:eastAsia="lv-LV"/>
              </w:rPr>
              <w:t>s</w:t>
            </w:r>
            <w:r>
              <w:rPr>
                <w:lang w:eastAsia="lv-LV"/>
              </w:rPr>
              <w:t xml:space="preserve"> finansējuma apjomu no </w:t>
            </w:r>
            <w:r w:rsidRPr="00D97058">
              <w:rPr>
                <w:lang w:eastAsia="lv-LV"/>
              </w:rPr>
              <w:t>4 600</w:t>
            </w:r>
            <w:r>
              <w:rPr>
                <w:lang w:eastAsia="lv-LV"/>
              </w:rPr>
              <w:t> </w:t>
            </w:r>
            <w:r w:rsidRPr="00D97058">
              <w:rPr>
                <w:lang w:eastAsia="lv-LV"/>
              </w:rPr>
              <w:t>840</w:t>
            </w:r>
            <w:r>
              <w:rPr>
                <w:lang w:eastAsia="lv-LV"/>
              </w:rPr>
              <w:t xml:space="preserve"> </w:t>
            </w:r>
            <w:proofErr w:type="spellStart"/>
            <w:r>
              <w:rPr>
                <w:i/>
                <w:lang w:eastAsia="lv-LV"/>
              </w:rPr>
              <w:t>euro</w:t>
            </w:r>
            <w:proofErr w:type="spellEnd"/>
            <w:r>
              <w:rPr>
                <w:lang w:eastAsia="lv-LV"/>
              </w:rPr>
              <w:t xml:space="preserve"> uz </w:t>
            </w:r>
            <w:r w:rsidRPr="00D97058">
              <w:rPr>
                <w:lang w:eastAsia="lv-LV"/>
              </w:rPr>
              <w:t xml:space="preserve">4 </w:t>
            </w:r>
            <w:r w:rsidR="0014279F">
              <w:rPr>
                <w:lang w:eastAsia="lv-LV"/>
              </w:rPr>
              <w:t>699 </w:t>
            </w:r>
            <w:r w:rsidR="003B748B">
              <w:rPr>
                <w:lang w:eastAsia="lv-LV"/>
              </w:rPr>
              <w:t xml:space="preserve">376 </w:t>
            </w:r>
            <w:proofErr w:type="spellStart"/>
            <w:r>
              <w:rPr>
                <w:i/>
                <w:lang w:eastAsia="lv-LV"/>
              </w:rPr>
              <w:t>euro</w:t>
            </w:r>
            <w:proofErr w:type="spellEnd"/>
            <w:r>
              <w:rPr>
                <w:i/>
                <w:lang w:eastAsia="lv-LV"/>
              </w:rPr>
              <w:t>;</w:t>
            </w:r>
          </w:p>
          <w:p w14:paraId="6FCAEB8E" w14:textId="61D27AB7" w:rsidR="00D97058" w:rsidRDefault="00AF0EA6" w:rsidP="00E5026B">
            <w:pPr>
              <w:pStyle w:val="ListParagraph"/>
              <w:numPr>
                <w:ilvl w:val="0"/>
                <w:numId w:val="11"/>
              </w:numPr>
              <w:ind w:right="212"/>
              <w:jc w:val="both"/>
              <w:rPr>
                <w:lang w:eastAsia="lv-LV"/>
              </w:rPr>
            </w:pPr>
            <w:r>
              <w:rPr>
                <w:lang w:eastAsia="lv-LV"/>
              </w:rPr>
              <w:t xml:space="preserve">palielināt indikatīvajā ieguvumā 10 gadu laikā iekļauto investīciju summu uz </w:t>
            </w:r>
            <w:r w:rsidRPr="00AF0EA6">
              <w:rPr>
                <w:lang w:eastAsia="lv-LV"/>
              </w:rPr>
              <w:t xml:space="preserve">4 </w:t>
            </w:r>
            <w:r w:rsidR="0014279F">
              <w:rPr>
                <w:lang w:eastAsia="lv-LV"/>
              </w:rPr>
              <w:t>699</w:t>
            </w:r>
            <w:r w:rsidR="0014279F" w:rsidRPr="00AF0EA6">
              <w:rPr>
                <w:lang w:eastAsia="lv-LV"/>
              </w:rPr>
              <w:t xml:space="preserve"> </w:t>
            </w:r>
            <w:r w:rsidR="003B748B">
              <w:rPr>
                <w:lang w:eastAsia="lv-LV"/>
              </w:rPr>
              <w:t>376</w:t>
            </w:r>
            <w:r w:rsidR="003B748B" w:rsidRPr="00AF0EA6">
              <w:rPr>
                <w:lang w:eastAsia="lv-LV"/>
              </w:rPr>
              <w:t xml:space="preserve"> </w:t>
            </w:r>
            <w:proofErr w:type="spellStart"/>
            <w:r w:rsidRPr="00E5026B">
              <w:rPr>
                <w:i/>
                <w:lang w:eastAsia="lv-LV"/>
              </w:rPr>
              <w:t>euro</w:t>
            </w:r>
            <w:proofErr w:type="spellEnd"/>
            <w:r w:rsidR="00CE4614">
              <w:rPr>
                <w:lang w:eastAsia="lv-LV"/>
              </w:rPr>
              <w:t xml:space="preserve"> un kopējo ieguvumu summu uz</w:t>
            </w:r>
            <w:r w:rsidR="00472058">
              <w:rPr>
                <w:lang w:eastAsia="lv-LV"/>
              </w:rPr>
              <w:t xml:space="preserve"> </w:t>
            </w:r>
            <w:r w:rsidR="00CE4614" w:rsidRPr="00CE4614">
              <w:rPr>
                <w:lang w:eastAsia="lv-LV"/>
              </w:rPr>
              <w:t xml:space="preserve">13 </w:t>
            </w:r>
            <w:r w:rsidR="0014279F" w:rsidRPr="00CE4614">
              <w:rPr>
                <w:lang w:eastAsia="lv-LV"/>
              </w:rPr>
              <w:t>0</w:t>
            </w:r>
            <w:r w:rsidR="0014279F">
              <w:rPr>
                <w:lang w:eastAsia="lv-LV"/>
              </w:rPr>
              <w:t>50</w:t>
            </w:r>
            <w:r w:rsidR="0014279F" w:rsidRPr="00CE4614">
              <w:rPr>
                <w:lang w:eastAsia="lv-LV"/>
              </w:rPr>
              <w:t xml:space="preserve"> </w:t>
            </w:r>
            <w:r w:rsidR="0014279F">
              <w:rPr>
                <w:lang w:eastAsia="lv-LV"/>
              </w:rPr>
              <w:t>024</w:t>
            </w:r>
            <w:r w:rsidR="0014279F" w:rsidRPr="00CE4614">
              <w:rPr>
                <w:lang w:eastAsia="lv-LV"/>
              </w:rPr>
              <w:t xml:space="preserve"> </w:t>
            </w:r>
            <w:proofErr w:type="spellStart"/>
            <w:r w:rsidR="00CE4614" w:rsidRPr="00E5026B">
              <w:rPr>
                <w:i/>
                <w:lang w:eastAsia="lv-LV"/>
              </w:rPr>
              <w:t>euro</w:t>
            </w:r>
            <w:proofErr w:type="spellEnd"/>
            <w:r>
              <w:rPr>
                <w:lang w:eastAsia="lv-LV"/>
              </w:rPr>
              <w:t>;</w:t>
            </w:r>
          </w:p>
          <w:p w14:paraId="2EF0511B" w14:textId="4FA619AF" w:rsidR="00AF0EA6" w:rsidRDefault="00AF0EA6" w:rsidP="00E5026B">
            <w:pPr>
              <w:pStyle w:val="ListParagraph"/>
              <w:numPr>
                <w:ilvl w:val="0"/>
                <w:numId w:val="11"/>
              </w:numPr>
              <w:ind w:right="212"/>
              <w:jc w:val="both"/>
              <w:rPr>
                <w:lang w:eastAsia="lv-LV"/>
              </w:rPr>
            </w:pPr>
            <w:r>
              <w:rPr>
                <w:lang w:eastAsia="lv-LV"/>
              </w:rPr>
              <w:lastRenderedPageBreak/>
              <w:t>novērst kļūdu indikatīvā ieguvuma matemātiskajā izteiksmē.</w:t>
            </w:r>
          </w:p>
          <w:p w14:paraId="4105AE6C" w14:textId="77777777" w:rsidR="00AF0EA6" w:rsidRDefault="002015D4" w:rsidP="00E5026B">
            <w:pPr>
              <w:ind w:left="360" w:right="212"/>
              <w:jc w:val="both"/>
              <w:rPr>
                <w:lang w:eastAsia="lv-LV"/>
              </w:rPr>
            </w:pPr>
            <w:r>
              <w:rPr>
                <w:lang w:eastAsia="lv-LV"/>
              </w:rPr>
              <w:t>MK rīkojum</w:t>
            </w:r>
            <w:r w:rsidR="00AF0EA6">
              <w:rPr>
                <w:lang w:eastAsia="lv-LV"/>
              </w:rPr>
              <w:t>a</w:t>
            </w:r>
            <w:r w:rsidRPr="002015D4">
              <w:rPr>
                <w:lang w:eastAsia="lv-LV"/>
              </w:rPr>
              <w:t xml:space="preserve"> Nr. 422</w:t>
            </w:r>
            <w:r w:rsidR="00AF0EA6">
              <w:rPr>
                <w:lang w:eastAsia="lv-LV"/>
              </w:rPr>
              <w:t xml:space="preserve"> grozījumi paredz:</w:t>
            </w:r>
          </w:p>
          <w:p w14:paraId="4FD33159" w14:textId="7D16DA8C" w:rsidR="00887F9E" w:rsidRDefault="00CE4614" w:rsidP="00E5026B">
            <w:pPr>
              <w:pStyle w:val="ListParagraph"/>
              <w:numPr>
                <w:ilvl w:val="0"/>
                <w:numId w:val="11"/>
              </w:numPr>
              <w:ind w:right="212"/>
              <w:jc w:val="both"/>
              <w:rPr>
                <w:lang w:eastAsia="lv-LV"/>
              </w:rPr>
            </w:pPr>
            <w:r>
              <w:rPr>
                <w:lang w:eastAsia="lv-LV"/>
              </w:rPr>
              <w:t xml:space="preserve">finansējuma pārvirzīšanu </w:t>
            </w:r>
            <w:r w:rsidR="00AC4E2D">
              <w:rPr>
                <w:lang w:eastAsia="lv-LV"/>
              </w:rPr>
              <w:t>98</w:t>
            </w:r>
            <w:r w:rsidR="00AC4E2D" w:rsidRPr="00CE4614">
              <w:rPr>
                <w:lang w:eastAsia="lv-LV"/>
              </w:rPr>
              <w:t xml:space="preserve"> </w:t>
            </w:r>
            <w:r w:rsidR="00AC4E2D">
              <w:rPr>
                <w:lang w:eastAsia="lv-LV"/>
              </w:rPr>
              <w:t>536</w:t>
            </w:r>
            <w:r w:rsidR="00AC4E2D" w:rsidRPr="00CE4614">
              <w:rPr>
                <w:lang w:eastAsia="lv-LV"/>
              </w:rPr>
              <w:t xml:space="preserve"> </w:t>
            </w:r>
            <w:proofErr w:type="spellStart"/>
            <w:r w:rsidRPr="00E5026B">
              <w:rPr>
                <w:i/>
                <w:lang w:eastAsia="lv-LV"/>
              </w:rPr>
              <w:t>euro</w:t>
            </w:r>
            <w:proofErr w:type="spellEnd"/>
            <w:r w:rsidRPr="00CE4614">
              <w:rPr>
                <w:lang w:eastAsia="lv-LV"/>
              </w:rPr>
              <w:t xml:space="preserve"> apmērā</w:t>
            </w:r>
            <w:r>
              <w:rPr>
                <w:lang w:eastAsia="lv-LV"/>
              </w:rPr>
              <w:t xml:space="preserve"> no PIKTAPS </w:t>
            </w:r>
            <w:r w:rsidR="00472058">
              <w:rPr>
                <w:lang w:eastAsia="lv-LV"/>
              </w:rPr>
              <w:t xml:space="preserve">1.kārtas </w:t>
            </w:r>
            <w:r>
              <w:rPr>
                <w:lang w:eastAsia="lv-LV"/>
              </w:rPr>
              <w:t>projekta uz PIKTAPS 2. kārtas projektu;</w:t>
            </w:r>
          </w:p>
          <w:p w14:paraId="059C5DD2" w14:textId="77777777" w:rsidR="00847091" w:rsidRPr="00B92B8B" w:rsidRDefault="00CE4614" w:rsidP="00847091">
            <w:pPr>
              <w:pStyle w:val="ListParagraph"/>
              <w:numPr>
                <w:ilvl w:val="0"/>
                <w:numId w:val="11"/>
              </w:numPr>
              <w:ind w:right="212"/>
              <w:jc w:val="both"/>
              <w:rPr>
                <w:lang w:eastAsia="lv-LV"/>
              </w:rPr>
            </w:pPr>
            <w:r>
              <w:rPr>
                <w:lang w:eastAsia="lv-LV"/>
              </w:rPr>
              <w:t xml:space="preserve">grozījumus rīkojuma pielikumā iekļautā PIKTAPS 2. kārtas projekta norādītajā plānotajā finansējumā uz  </w:t>
            </w:r>
            <w:r w:rsidRPr="00CE4614">
              <w:rPr>
                <w:lang w:eastAsia="lv-LV"/>
              </w:rPr>
              <w:t xml:space="preserve">4 </w:t>
            </w:r>
            <w:r w:rsidR="00AC4E2D">
              <w:rPr>
                <w:lang w:eastAsia="lv-LV"/>
              </w:rPr>
              <w:t xml:space="preserve">699 376 </w:t>
            </w:r>
            <w:proofErr w:type="spellStart"/>
            <w:r>
              <w:rPr>
                <w:i/>
                <w:lang w:eastAsia="lv-LV"/>
              </w:rPr>
              <w:t>euro</w:t>
            </w:r>
            <w:proofErr w:type="spellEnd"/>
            <w:r>
              <w:rPr>
                <w:i/>
                <w:lang w:eastAsia="lv-LV"/>
              </w:rPr>
              <w:t>.</w:t>
            </w:r>
          </w:p>
          <w:p w14:paraId="7634CAC2" w14:textId="4C9A71DB" w:rsidR="00847091" w:rsidRPr="00887F9E" w:rsidRDefault="005E4DCB" w:rsidP="00B92B8B">
            <w:pPr>
              <w:ind w:right="212"/>
              <w:jc w:val="both"/>
              <w:rPr>
                <w:lang w:eastAsia="lv-LV"/>
              </w:rPr>
            </w:pPr>
            <w:r>
              <w:rPr>
                <w:lang w:eastAsia="lv-LV"/>
              </w:rPr>
              <w:t>Ar i</w:t>
            </w:r>
            <w:r w:rsidR="00847091">
              <w:rPr>
                <w:lang w:eastAsia="lv-LV"/>
              </w:rPr>
              <w:t>erosināt</w:t>
            </w:r>
            <w:r>
              <w:rPr>
                <w:lang w:eastAsia="lv-LV"/>
              </w:rPr>
              <w:t>aj</w:t>
            </w:r>
            <w:r w:rsidR="00847091">
              <w:rPr>
                <w:lang w:eastAsia="lv-LV"/>
              </w:rPr>
              <w:t>ie</w:t>
            </w:r>
            <w:r>
              <w:rPr>
                <w:lang w:eastAsia="lv-LV"/>
              </w:rPr>
              <w:t>m</w:t>
            </w:r>
            <w:r w:rsidR="00847091">
              <w:rPr>
                <w:lang w:eastAsia="lv-LV"/>
              </w:rPr>
              <w:t xml:space="preserve"> grozījum</w:t>
            </w:r>
            <w:r>
              <w:rPr>
                <w:lang w:eastAsia="lv-LV"/>
              </w:rPr>
              <w:t xml:space="preserve">u projektiem MK rīkojumos, finansējuma samazinājums PIKTAPS 1.kārtas projektā neietekmēs tā sasniedzamos mērķus un sasniedzamos iznākuma rādītājus, </w:t>
            </w:r>
            <w:r w:rsidR="008C17F0">
              <w:rPr>
                <w:lang w:eastAsia="lv-LV"/>
              </w:rPr>
              <w:t>ņemot vērā, ka</w:t>
            </w:r>
            <w:r>
              <w:rPr>
                <w:lang w:eastAsia="lv-LV"/>
              </w:rPr>
              <w:t xml:space="preserve"> VIRSIS </w:t>
            </w:r>
            <w:r w:rsidRPr="005E4DCB">
              <w:rPr>
                <w:lang w:eastAsia="lv-LV"/>
              </w:rPr>
              <w:t>risinājuma papildinājumi</w:t>
            </w:r>
            <w:r>
              <w:rPr>
                <w:lang w:eastAsia="lv-LV"/>
              </w:rPr>
              <w:t xml:space="preserve"> ir papildus konstatētās vajadz</w:t>
            </w:r>
            <w:r w:rsidR="00863E86">
              <w:rPr>
                <w:lang w:eastAsia="lv-LV"/>
              </w:rPr>
              <w:t>ības.</w:t>
            </w:r>
          </w:p>
        </w:tc>
      </w:tr>
      <w:tr w:rsidR="00D367E3" w:rsidRPr="00D367E3" w14:paraId="05472508" w14:textId="77777777" w:rsidTr="00AE6288">
        <w:trPr>
          <w:trHeight w:val="476"/>
        </w:trPr>
        <w:tc>
          <w:tcPr>
            <w:tcW w:w="593" w:type="dxa"/>
          </w:tcPr>
          <w:p w14:paraId="37C12823" w14:textId="7418F0E1" w:rsidR="00B559D5" w:rsidRPr="00D367E3" w:rsidRDefault="00F15799" w:rsidP="00262DE5">
            <w:r w:rsidRPr="00D367E3">
              <w:rPr>
                <w:lang w:eastAsia="en-US"/>
              </w:rPr>
              <w:lastRenderedPageBreak/>
              <w:t> 3.</w:t>
            </w:r>
          </w:p>
        </w:tc>
        <w:tc>
          <w:tcPr>
            <w:tcW w:w="2556" w:type="dxa"/>
          </w:tcPr>
          <w:p w14:paraId="082D9731" w14:textId="77777777" w:rsidR="00B559D5" w:rsidRPr="00D367E3" w:rsidRDefault="00F15799" w:rsidP="00262DE5">
            <w:r w:rsidRPr="00D367E3">
              <w:rPr>
                <w:lang w:eastAsia="en-US"/>
              </w:rPr>
              <w:t>Projekta izstrādē iesaistītās institūcijas un publiskas personas kapitālsabiedrības</w:t>
            </w:r>
          </w:p>
        </w:tc>
        <w:tc>
          <w:tcPr>
            <w:tcW w:w="6374" w:type="dxa"/>
          </w:tcPr>
          <w:p w14:paraId="580DE96C" w14:textId="55F0A645" w:rsidR="00B559D5" w:rsidRPr="00D367E3" w:rsidRDefault="00A168F1" w:rsidP="00262DE5">
            <w:pPr>
              <w:jc w:val="both"/>
              <w:rPr>
                <w:lang w:eastAsia="lv-LV"/>
              </w:rPr>
            </w:pPr>
            <w:r>
              <w:rPr>
                <w:lang w:eastAsia="lv-LV"/>
              </w:rPr>
              <w:t>VARAM</w:t>
            </w:r>
          </w:p>
          <w:p w14:paraId="28C0BE09" w14:textId="77777777" w:rsidR="00B559D5" w:rsidRPr="00D367E3" w:rsidRDefault="00B559D5" w:rsidP="00262DE5">
            <w:pPr>
              <w:pStyle w:val="VPBody"/>
              <w:spacing w:after="120" w:line="276" w:lineRule="auto"/>
              <w:rPr>
                <w:sz w:val="24"/>
                <w:szCs w:val="24"/>
              </w:rPr>
            </w:pPr>
          </w:p>
        </w:tc>
      </w:tr>
      <w:tr w:rsidR="00D367E3" w:rsidRPr="00D367E3" w14:paraId="7892BBAA" w14:textId="77777777" w:rsidTr="00AE6288">
        <w:trPr>
          <w:trHeight w:val="454"/>
        </w:trPr>
        <w:tc>
          <w:tcPr>
            <w:tcW w:w="593" w:type="dxa"/>
          </w:tcPr>
          <w:p w14:paraId="15645B82" w14:textId="77777777" w:rsidR="00B559D5" w:rsidRPr="00D367E3" w:rsidRDefault="00F15799" w:rsidP="00262DE5">
            <w:r w:rsidRPr="00D367E3">
              <w:rPr>
                <w:lang w:eastAsia="en-US"/>
              </w:rPr>
              <w:t> 4.</w:t>
            </w:r>
          </w:p>
        </w:tc>
        <w:tc>
          <w:tcPr>
            <w:tcW w:w="2556" w:type="dxa"/>
          </w:tcPr>
          <w:p w14:paraId="46173529" w14:textId="77777777" w:rsidR="00B559D5" w:rsidRPr="00D367E3" w:rsidRDefault="00F15799" w:rsidP="00262DE5">
            <w:r w:rsidRPr="00D367E3">
              <w:rPr>
                <w:lang w:eastAsia="en-US"/>
              </w:rPr>
              <w:t> Cita informācija</w:t>
            </w:r>
          </w:p>
        </w:tc>
        <w:tc>
          <w:tcPr>
            <w:tcW w:w="6374" w:type="dxa"/>
          </w:tcPr>
          <w:p w14:paraId="035F42CF" w14:textId="77777777" w:rsidR="00B559D5" w:rsidRPr="00D367E3" w:rsidRDefault="00F15799" w:rsidP="00262DE5">
            <w:pPr>
              <w:jc w:val="both"/>
            </w:pPr>
            <w:r w:rsidRPr="00D367E3">
              <w:rPr>
                <w:lang w:eastAsia="en-US"/>
              </w:rPr>
              <w:t>Nav.</w:t>
            </w:r>
          </w:p>
        </w:tc>
      </w:tr>
    </w:tbl>
    <w:p w14:paraId="30365900" w14:textId="77777777" w:rsidR="00B559D5" w:rsidRPr="00D367E3" w:rsidRDefault="00F15799" w:rsidP="00B559D5">
      <w:pPr>
        <w:jc w:val="both"/>
      </w:pPr>
      <w:r w:rsidRPr="00D367E3">
        <w:t> </w:t>
      </w:r>
    </w:p>
    <w:tbl>
      <w:tblPr>
        <w:tblW w:w="9523"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1"/>
        <w:gridCol w:w="2694"/>
        <w:gridCol w:w="5608"/>
      </w:tblGrid>
      <w:tr w:rsidR="00D367E3" w:rsidRPr="00D367E3" w14:paraId="3904390E" w14:textId="77777777" w:rsidTr="0057124C">
        <w:trPr>
          <w:trHeight w:val="680"/>
        </w:trPr>
        <w:tc>
          <w:tcPr>
            <w:tcW w:w="9523" w:type="dxa"/>
            <w:gridSpan w:val="3"/>
            <w:vAlign w:val="center"/>
          </w:tcPr>
          <w:p w14:paraId="300132BD" w14:textId="77777777" w:rsidR="00B559D5" w:rsidRPr="00D367E3" w:rsidRDefault="00F15799" w:rsidP="00262DE5">
            <w:pPr>
              <w:jc w:val="center"/>
            </w:pPr>
            <w:r w:rsidRPr="00D367E3">
              <w:rPr>
                <w:b/>
                <w:bCs/>
              </w:rPr>
              <w:t> II. Tiesību akta projekta ietekme uz sabiedrību, tautsaimniecības attīstību un administratīvo slogu</w:t>
            </w:r>
          </w:p>
        </w:tc>
      </w:tr>
      <w:tr w:rsidR="00D367E3" w:rsidRPr="00D367E3" w14:paraId="412C7E0B" w14:textId="77777777" w:rsidTr="0057124C">
        <w:tblPrEx>
          <w:tblCellMar>
            <w:left w:w="57" w:type="dxa"/>
            <w:right w:w="57" w:type="dxa"/>
          </w:tblCellMar>
        </w:tblPrEx>
        <w:trPr>
          <w:trHeight w:val="905"/>
        </w:trPr>
        <w:tc>
          <w:tcPr>
            <w:tcW w:w="1221" w:type="dxa"/>
          </w:tcPr>
          <w:p w14:paraId="720D90FF" w14:textId="77777777" w:rsidR="002C2B13" w:rsidRPr="00D367E3" w:rsidRDefault="002C2B13" w:rsidP="002C2B13">
            <w:r w:rsidRPr="00D367E3">
              <w:rPr>
                <w:lang w:eastAsia="en-US"/>
              </w:rPr>
              <w:t>1.</w:t>
            </w:r>
          </w:p>
        </w:tc>
        <w:tc>
          <w:tcPr>
            <w:tcW w:w="2694" w:type="dxa"/>
          </w:tcPr>
          <w:p w14:paraId="0D806859" w14:textId="77777777" w:rsidR="002C2B13" w:rsidRPr="00D367E3" w:rsidRDefault="002C2B13" w:rsidP="002C2B13">
            <w:r w:rsidRPr="00D367E3">
              <w:rPr>
                <w:lang w:eastAsia="en-US"/>
              </w:rPr>
              <w:t xml:space="preserve">Sabiedrības </w:t>
            </w:r>
            <w:proofErr w:type="spellStart"/>
            <w:r w:rsidRPr="00D367E3">
              <w:rPr>
                <w:lang w:eastAsia="en-US"/>
              </w:rPr>
              <w:t>mērķgrupas</w:t>
            </w:r>
            <w:proofErr w:type="spellEnd"/>
            <w:r w:rsidRPr="00D367E3">
              <w:rPr>
                <w:lang w:eastAsia="en-US"/>
              </w:rPr>
              <w:t>, kuras tiesiskais regulējums ietekmē vai varētu ietekmēt</w:t>
            </w:r>
          </w:p>
        </w:tc>
        <w:tc>
          <w:tcPr>
            <w:tcW w:w="5608" w:type="dxa"/>
          </w:tcPr>
          <w:p w14:paraId="7BE95345" w14:textId="53EF616D" w:rsidR="00C652D4" w:rsidRPr="00BB3E14" w:rsidRDefault="00F54DA4" w:rsidP="002C2B13">
            <w:pPr>
              <w:pStyle w:val="naiskr"/>
              <w:ind w:left="71"/>
              <w:jc w:val="both"/>
              <w:rPr>
                <w:highlight w:val="cyan"/>
              </w:rPr>
            </w:pPr>
            <w:r>
              <w:t xml:space="preserve">Izmaiņām ir </w:t>
            </w:r>
            <w:r w:rsidR="00C652D4" w:rsidRPr="00C652D4">
              <w:t>tehnisk</w:t>
            </w:r>
            <w:r>
              <w:t>s</w:t>
            </w:r>
            <w:r w:rsidR="00C652D4" w:rsidRPr="00C652D4">
              <w:t xml:space="preserve"> rakstur</w:t>
            </w:r>
            <w:r>
              <w:t>s un projektu mērķa grupas nemainās</w:t>
            </w:r>
            <w:r w:rsidR="00C652D4" w:rsidRPr="00C652D4">
              <w:t xml:space="preserve"> </w:t>
            </w:r>
          </w:p>
        </w:tc>
      </w:tr>
      <w:tr w:rsidR="00D367E3" w:rsidRPr="00D367E3" w14:paraId="5EFABE2A" w14:textId="77777777" w:rsidTr="0057124C">
        <w:tblPrEx>
          <w:tblCellMar>
            <w:left w:w="57" w:type="dxa"/>
            <w:right w:w="57" w:type="dxa"/>
          </w:tblCellMar>
        </w:tblPrEx>
        <w:trPr>
          <w:trHeight w:val="628"/>
        </w:trPr>
        <w:tc>
          <w:tcPr>
            <w:tcW w:w="1221" w:type="dxa"/>
          </w:tcPr>
          <w:p w14:paraId="62EC4F20" w14:textId="77777777" w:rsidR="002C2B13" w:rsidRPr="00D367E3" w:rsidRDefault="002C2B13" w:rsidP="002C2B13">
            <w:r w:rsidRPr="00D367E3">
              <w:rPr>
                <w:lang w:eastAsia="en-US"/>
              </w:rPr>
              <w:t>2.</w:t>
            </w:r>
          </w:p>
        </w:tc>
        <w:tc>
          <w:tcPr>
            <w:tcW w:w="2694" w:type="dxa"/>
          </w:tcPr>
          <w:p w14:paraId="1EA46461" w14:textId="77777777" w:rsidR="002C2B13" w:rsidRPr="00D367E3" w:rsidRDefault="002C2B13" w:rsidP="002C2B13">
            <w:r w:rsidRPr="00D367E3">
              <w:rPr>
                <w:lang w:eastAsia="en-US"/>
              </w:rPr>
              <w:t>Tiesiskā regulējuma ietekme uz tautsaimniecību un administratīvo slogu</w:t>
            </w:r>
          </w:p>
        </w:tc>
        <w:tc>
          <w:tcPr>
            <w:tcW w:w="5608" w:type="dxa"/>
          </w:tcPr>
          <w:p w14:paraId="0BB2A1ED" w14:textId="75369761" w:rsidR="002C2B13" w:rsidRPr="00BB3E14" w:rsidRDefault="00FD01E2" w:rsidP="002C2B13">
            <w:pPr>
              <w:pStyle w:val="naiskr"/>
              <w:spacing w:before="0" w:after="0"/>
              <w:ind w:left="71"/>
              <w:jc w:val="both"/>
              <w:rPr>
                <w:highlight w:val="cyan"/>
              </w:rPr>
            </w:pPr>
            <w:r w:rsidRPr="00E5026B">
              <w:rPr>
                <w:lang w:eastAsia="lv-LV"/>
              </w:rPr>
              <w:t>Projekts šo jomu neskar</w:t>
            </w:r>
          </w:p>
        </w:tc>
      </w:tr>
      <w:tr w:rsidR="00D367E3" w:rsidRPr="00D367E3" w14:paraId="7DF48EF0" w14:textId="77777777" w:rsidTr="0057124C">
        <w:tblPrEx>
          <w:tblCellMar>
            <w:left w:w="57" w:type="dxa"/>
            <w:right w:w="57" w:type="dxa"/>
          </w:tblCellMar>
        </w:tblPrEx>
        <w:tc>
          <w:tcPr>
            <w:tcW w:w="1221" w:type="dxa"/>
          </w:tcPr>
          <w:p w14:paraId="545E2C85" w14:textId="77777777" w:rsidR="002C2B13" w:rsidRPr="00D367E3" w:rsidRDefault="002C2B13" w:rsidP="002C2B13">
            <w:r w:rsidRPr="00D367E3">
              <w:rPr>
                <w:lang w:eastAsia="en-US"/>
              </w:rPr>
              <w:t>3.</w:t>
            </w:r>
          </w:p>
        </w:tc>
        <w:tc>
          <w:tcPr>
            <w:tcW w:w="2694" w:type="dxa"/>
          </w:tcPr>
          <w:p w14:paraId="3BDECD4C" w14:textId="77777777" w:rsidR="002C2B13" w:rsidRPr="00D367E3" w:rsidRDefault="002C2B13" w:rsidP="002C2B13">
            <w:r w:rsidRPr="00D367E3">
              <w:rPr>
                <w:lang w:eastAsia="en-US"/>
              </w:rPr>
              <w:t>Administratīvo izmaksu monetārais novērtējums</w:t>
            </w:r>
          </w:p>
        </w:tc>
        <w:tc>
          <w:tcPr>
            <w:tcW w:w="5608" w:type="dxa"/>
          </w:tcPr>
          <w:p w14:paraId="6D76B46C" w14:textId="4A5A5DC6" w:rsidR="002C2B13" w:rsidRPr="00BB3E14" w:rsidRDefault="00FD01E2" w:rsidP="002C2B13">
            <w:pPr>
              <w:jc w:val="both"/>
              <w:rPr>
                <w:highlight w:val="cyan"/>
              </w:rPr>
            </w:pPr>
            <w:r w:rsidRPr="004F4273">
              <w:rPr>
                <w:lang w:eastAsia="lv-LV"/>
              </w:rPr>
              <w:t>Projekts šo jomu neskar</w:t>
            </w:r>
          </w:p>
        </w:tc>
      </w:tr>
      <w:tr w:rsidR="00D367E3" w:rsidRPr="00D367E3" w14:paraId="6632FD16" w14:textId="77777777" w:rsidTr="0057124C">
        <w:tblPrEx>
          <w:tblCellMar>
            <w:left w:w="57" w:type="dxa"/>
            <w:right w:w="57" w:type="dxa"/>
          </w:tblCellMar>
        </w:tblPrEx>
        <w:trPr>
          <w:trHeight w:val="454"/>
        </w:trPr>
        <w:tc>
          <w:tcPr>
            <w:tcW w:w="1221" w:type="dxa"/>
          </w:tcPr>
          <w:p w14:paraId="2A1C8932" w14:textId="77777777" w:rsidR="002C2B13" w:rsidRPr="00D367E3" w:rsidRDefault="002C2B13" w:rsidP="002C2B13">
            <w:r w:rsidRPr="00D367E3">
              <w:rPr>
                <w:lang w:eastAsia="en-US"/>
              </w:rPr>
              <w:t>4.</w:t>
            </w:r>
          </w:p>
        </w:tc>
        <w:tc>
          <w:tcPr>
            <w:tcW w:w="2694" w:type="dxa"/>
          </w:tcPr>
          <w:p w14:paraId="23C80E52" w14:textId="77777777" w:rsidR="002C2B13" w:rsidRPr="00D367E3" w:rsidRDefault="002C2B13" w:rsidP="002C2B13">
            <w:r w:rsidRPr="00D367E3">
              <w:rPr>
                <w:lang w:eastAsia="en-US"/>
              </w:rPr>
              <w:t>Cita informācija</w:t>
            </w:r>
          </w:p>
        </w:tc>
        <w:tc>
          <w:tcPr>
            <w:tcW w:w="5608" w:type="dxa"/>
          </w:tcPr>
          <w:p w14:paraId="4CDA1A62" w14:textId="77777777" w:rsidR="002C2B13" w:rsidRPr="00BB3E14" w:rsidRDefault="002C2B13" w:rsidP="002C2B13">
            <w:pPr>
              <w:jc w:val="both"/>
              <w:rPr>
                <w:highlight w:val="cyan"/>
              </w:rPr>
            </w:pPr>
            <w:r w:rsidRPr="00E5026B">
              <w:rPr>
                <w:lang w:eastAsia="en-US"/>
              </w:rPr>
              <w:t xml:space="preserve">Nav </w:t>
            </w:r>
          </w:p>
        </w:tc>
      </w:tr>
    </w:tbl>
    <w:p w14:paraId="27E3CE60" w14:textId="77777777" w:rsidR="007E7A79" w:rsidRPr="00D367E3" w:rsidRDefault="007E7A79" w:rsidP="00B559D5">
      <w:pPr>
        <w:jc w:val="both"/>
      </w:pPr>
    </w:p>
    <w:tbl>
      <w:tblPr>
        <w:tblpPr w:leftFromText="180" w:rightFromText="180" w:vertAnchor="text" w:tblpXSpec="center" w:tblpY="1"/>
        <w:tblOverlap w:val="neve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671"/>
        <w:gridCol w:w="1111"/>
        <w:gridCol w:w="1140"/>
        <w:gridCol w:w="967"/>
        <w:gridCol w:w="1283"/>
        <w:gridCol w:w="967"/>
        <w:gridCol w:w="998"/>
        <w:gridCol w:w="1074"/>
      </w:tblGrid>
      <w:tr w:rsidR="004E11B5" w:rsidRPr="000A39FF" w14:paraId="7C4E5144" w14:textId="77777777" w:rsidTr="00AE6288">
        <w:trPr>
          <w:trHeight w:val="454"/>
          <w:jc w:val="center"/>
        </w:trPr>
        <w:tc>
          <w:tcPr>
            <w:tcW w:w="9211" w:type="dxa"/>
            <w:gridSpan w:val="8"/>
            <w:vAlign w:val="center"/>
          </w:tcPr>
          <w:p w14:paraId="7FDA7F30" w14:textId="4C39B998" w:rsidR="004E11B5" w:rsidRPr="00733167" w:rsidRDefault="004E11B5" w:rsidP="0057124C">
            <w:pPr>
              <w:jc w:val="center"/>
              <w:rPr>
                <w:b/>
                <w:bCs/>
                <w:iCs/>
                <w:lang w:eastAsia="lv-LV"/>
              </w:rPr>
            </w:pPr>
            <w:r w:rsidRPr="00733167">
              <w:rPr>
                <w:b/>
                <w:bCs/>
                <w:iCs/>
                <w:lang w:eastAsia="lv-LV"/>
              </w:rPr>
              <w:t>III. Tiesību akta projekta ietekme uz valsts budžetu un pašvaldību budžetiem</w:t>
            </w:r>
          </w:p>
        </w:tc>
      </w:tr>
      <w:tr w:rsidR="004E11B5" w:rsidRPr="000A39FF" w14:paraId="316E9348" w14:textId="77777777" w:rsidTr="00AE6288">
        <w:trPr>
          <w:jc w:val="center"/>
        </w:trPr>
        <w:tc>
          <w:tcPr>
            <w:tcW w:w="1671" w:type="dxa"/>
            <w:vMerge w:val="restart"/>
            <w:vAlign w:val="center"/>
            <w:hideMark/>
          </w:tcPr>
          <w:p w14:paraId="63908F38" w14:textId="77777777" w:rsidR="004E11B5" w:rsidRPr="000A39FF" w:rsidRDefault="004E11B5" w:rsidP="007E7A79">
            <w:pPr>
              <w:rPr>
                <w:iCs/>
                <w:lang w:eastAsia="lv-LV"/>
              </w:rPr>
            </w:pPr>
            <w:r w:rsidRPr="000A39FF">
              <w:rPr>
                <w:iCs/>
                <w:lang w:eastAsia="lv-LV"/>
              </w:rPr>
              <w:t>Rādītāji</w:t>
            </w:r>
          </w:p>
        </w:tc>
        <w:tc>
          <w:tcPr>
            <w:tcW w:w="2251" w:type="dxa"/>
            <w:gridSpan w:val="2"/>
            <w:vMerge w:val="restart"/>
            <w:vAlign w:val="center"/>
            <w:hideMark/>
          </w:tcPr>
          <w:p w14:paraId="3BD33860" w14:textId="482CBA34" w:rsidR="004E11B5" w:rsidRPr="000A39FF" w:rsidRDefault="004E11B5" w:rsidP="007E7A79">
            <w:pPr>
              <w:rPr>
                <w:iCs/>
                <w:lang w:eastAsia="lv-LV"/>
              </w:rPr>
            </w:pPr>
            <w:r w:rsidRPr="000A39FF">
              <w:rPr>
                <w:iCs/>
                <w:lang w:eastAsia="lv-LV"/>
              </w:rPr>
              <w:t>2019</w:t>
            </w:r>
          </w:p>
        </w:tc>
        <w:tc>
          <w:tcPr>
            <w:tcW w:w="5289" w:type="dxa"/>
            <w:gridSpan w:val="5"/>
          </w:tcPr>
          <w:p w14:paraId="31269D55" w14:textId="414632AB" w:rsidR="004E11B5" w:rsidRPr="000A39FF" w:rsidRDefault="004E11B5" w:rsidP="007E7A79">
            <w:pPr>
              <w:rPr>
                <w:iCs/>
                <w:lang w:eastAsia="lv-LV"/>
              </w:rPr>
            </w:pPr>
            <w:r w:rsidRPr="000A39FF">
              <w:rPr>
                <w:iCs/>
                <w:lang w:eastAsia="lv-LV"/>
              </w:rPr>
              <w:t>Turpmākie trīs gadi (</w:t>
            </w:r>
            <w:proofErr w:type="spellStart"/>
            <w:r w:rsidRPr="000A39FF">
              <w:rPr>
                <w:i/>
                <w:iCs/>
                <w:lang w:eastAsia="lv-LV"/>
              </w:rPr>
              <w:t>euro</w:t>
            </w:r>
            <w:proofErr w:type="spellEnd"/>
            <w:r w:rsidRPr="000A39FF">
              <w:rPr>
                <w:iCs/>
                <w:lang w:eastAsia="lv-LV"/>
              </w:rPr>
              <w:t>)</w:t>
            </w:r>
          </w:p>
        </w:tc>
      </w:tr>
      <w:tr w:rsidR="004E11B5" w:rsidRPr="000A39FF" w14:paraId="2FD5D7C7" w14:textId="77777777" w:rsidTr="00AE6288">
        <w:trPr>
          <w:jc w:val="center"/>
        </w:trPr>
        <w:tc>
          <w:tcPr>
            <w:tcW w:w="1671" w:type="dxa"/>
            <w:vMerge/>
            <w:vAlign w:val="center"/>
            <w:hideMark/>
          </w:tcPr>
          <w:p w14:paraId="7A14FCFB" w14:textId="77777777" w:rsidR="004E11B5" w:rsidRPr="000A39FF" w:rsidRDefault="004E11B5" w:rsidP="007E7A79">
            <w:pPr>
              <w:rPr>
                <w:iCs/>
                <w:lang w:eastAsia="lv-LV"/>
              </w:rPr>
            </w:pPr>
          </w:p>
        </w:tc>
        <w:tc>
          <w:tcPr>
            <w:tcW w:w="2251" w:type="dxa"/>
            <w:gridSpan w:val="2"/>
            <w:vMerge/>
            <w:vAlign w:val="center"/>
            <w:hideMark/>
          </w:tcPr>
          <w:p w14:paraId="123A227F" w14:textId="77777777" w:rsidR="004E11B5" w:rsidRPr="000A39FF" w:rsidRDefault="004E11B5" w:rsidP="007E7A79">
            <w:pPr>
              <w:rPr>
                <w:iCs/>
                <w:lang w:eastAsia="lv-LV"/>
              </w:rPr>
            </w:pPr>
          </w:p>
        </w:tc>
        <w:tc>
          <w:tcPr>
            <w:tcW w:w="2250" w:type="dxa"/>
            <w:gridSpan w:val="2"/>
          </w:tcPr>
          <w:p w14:paraId="5B4A189C" w14:textId="4BA2E219" w:rsidR="004E11B5" w:rsidRPr="000A39FF" w:rsidRDefault="004E11B5" w:rsidP="007E7A79">
            <w:pPr>
              <w:rPr>
                <w:iCs/>
                <w:lang w:eastAsia="lv-LV"/>
              </w:rPr>
            </w:pPr>
            <w:r w:rsidRPr="000A39FF">
              <w:rPr>
                <w:iCs/>
                <w:lang w:eastAsia="lv-LV"/>
              </w:rPr>
              <w:t>2020</w:t>
            </w:r>
          </w:p>
        </w:tc>
        <w:tc>
          <w:tcPr>
            <w:tcW w:w="1965" w:type="dxa"/>
            <w:gridSpan w:val="2"/>
          </w:tcPr>
          <w:p w14:paraId="449EF489" w14:textId="3A9AD58E" w:rsidR="004E11B5" w:rsidRPr="000A39FF" w:rsidRDefault="004E11B5" w:rsidP="007E7A79">
            <w:pPr>
              <w:rPr>
                <w:iCs/>
                <w:lang w:eastAsia="lv-LV"/>
              </w:rPr>
            </w:pPr>
            <w:r w:rsidRPr="000A39FF">
              <w:rPr>
                <w:iCs/>
                <w:lang w:eastAsia="lv-LV"/>
              </w:rPr>
              <w:t>2021</w:t>
            </w:r>
          </w:p>
        </w:tc>
        <w:tc>
          <w:tcPr>
            <w:tcW w:w="1074" w:type="dxa"/>
            <w:vAlign w:val="center"/>
            <w:hideMark/>
          </w:tcPr>
          <w:p w14:paraId="2117F9C6" w14:textId="11340E81" w:rsidR="004E11B5" w:rsidRPr="000A39FF" w:rsidRDefault="004E11B5" w:rsidP="007E7A79">
            <w:pPr>
              <w:rPr>
                <w:iCs/>
                <w:lang w:eastAsia="lv-LV"/>
              </w:rPr>
            </w:pPr>
            <w:r w:rsidRPr="000A39FF">
              <w:rPr>
                <w:iCs/>
                <w:lang w:eastAsia="lv-LV"/>
              </w:rPr>
              <w:t>2022</w:t>
            </w:r>
          </w:p>
        </w:tc>
      </w:tr>
      <w:tr w:rsidR="004E11B5" w:rsidRPr="000A39FF" w14:paraId="63C29CB8" w14:textId="77777777" w:rsidTr="00AE6288">
        <w:trPr>
          <w:jc w:val="center"/>
        </w:trPr>
        <w:tc>
          <w:tcPr>
            <w:tcW w:w="1671" w:type="dxa"/>
            <w:vMerge/>
            <w:vAlign w:val="center"/>
            <w:hideMark/>
          </w:tcPr>
          <w:p w14:paraId="39C3C5A2" w14:textId="77777777" w:rsidR="004E11B5" w:rsidRPr="000A39FF" w:rsidRDefault="004E11B5" w:rsidP="007E7A79">
            <w:pPr>
              <w:rPr>
                <w:iCs/>
                <w:lang w:eastAsia="lv-LV"/>
              </w:rPr>
            </w:pPr>
          </w:p>
        </w:tc>
        <w:tc>
          <w:tcPr>
            <w:tcW w:w="1111" w:type="dxa"/>
            <w:vAlign w:val="center"/>
            <w:hideMark/>
          </w:tcPr>
          <w:p w14:paraId="2681B79D" w14:textId="77777777" w:rsidR="004E11B5" w:rsidRPr="000A39FF" w:rsidRDefault="004E11B5" w:rsidP="007E7A79">
            <w:pPr>
              <w:rPr>
                <w:iCs/>
                <w:lang w:eastAsia="lv-LV"/>
              </w:rPr>
            </w:pPr>
            <w:r w:rsidRPr="000A39FF">
              <w:rPr>
                <w:iCs/>
                <w:lang w:eastAsia="lv-LV"/>
              </w:rPr>
              <w:t>saskaņā ar valsts budžetu kārtējam gadam</w:t>
            </w:r>
          </w:p>
        </w:tc>
        <w:tc>
          <w:tcPr>
            <w:tcW w:w="1140" w:type="dxa"/>
            <w:vAlign w:val="center"/>
            <w:hideMark/>
          </w:tcPr>
          <w:p w14:paraId="596DBAC1" w14:textId="77777777" w:rsidR="004E11B5" w:rsidRPr="000A39FF" w:rsidRDefault="004E11B5" w:rsidP="007E7A79">
            <w:pPr>
              <w:rPr>
                <w:iCs/>
                <w:sz w:val="22"/>
                <w:szCs w:val="22"/>
                <w:lang w:eastAsia="lv-LV"/>
              </w:rPr>
            </w:pPr>
            <w:r w:rsidRPr="000A39FF">
              <w:rPr>
                <w:iCs/>
                <w:sz w:val="22"/>
                <w:szCs w:val="22"/>
                <w:lang w:eastAsia="lv-LV"/>
              </w:rPr>
              <w:t>izmaiņas kārtējā gadā, salīdzinot ar valsts budžetu kārtējam gadam</w:t>
            </w:r>
          </w:p>
        </w:tc>
        <w:tc>
          <w:tcPr>
            <w:tcW w:w="967" w:type="dxa"/>
            <w:vAlign w:val="center"/>
          </w:tcPr>
          <w:p w14:paraId="2F46AA9B" w14:textId="0A8BED72" w:rsidR="004E11B5" w:rsidRPr="000A39FF" w:rsidRDefault="004E11B5" w:rsidP="007E7A79">
            <w:pPr>
              <w:rPr>
                <w:iCs/>
                <w:sz w:val="22"/>
                <w:szCs w:val="22"/>
                <w:lang w:eastAsia="lv-LV"/>
              </w:rPr>
            </w:pPr>
            <w:r w:rsidRPr="000A39FF">
              <w:rPr>
                <w:sz w:val="22"/>
                <w:szCs w:val="22"/>
                <w:shd w:val="clear" w:color="auto" w:fill="FFFFFF"/>
              </w:rPr>
              <w:t>saskaņā ar vidēja termiņa budžeta ietvaru</w:t>
            </w:r>
          </w:p>
        </w:tc>
        <w:tc>
          <w:tcPr>
            <w:tcW w:w="1283" w:type="dxa"/>
            <w:vAlign w:val="center"/>
            <w:hideMark/>
          </w:tcPr>
          <w:p w14:paraId="2F65EAAE" w14:textId="27096A7B" w:rsidR="004E11B5" w:rsidRPr="000A39FF" w:rsidRDefault="004E11B5" w:rsidP="007E7A79">
            <w:pPr>
              <w:rPr>
                <w:iCs/>
                <w:sz w:val="22"/>
                <w:szCs w:val="22"/>
                <w:lang w:eastAsia="lv-LV"/>
              </w:rPr>
            </w:pPr>
          </w:p>
          <w:p w14:paraId="2EF7BC14" w14:textId="27BC24DA" w:rsidR="004E11B5" w:rsidRPr="000A39FF" w:rsidRDefault="004E11B5" w:rsidP="007E7A79">
            <w:pPr>
              <w:rPr>
                <w:iCs/>
                <w:sz w:val="22"/>
                <w:szCs w:val="22"/>
                <w:lang w:eastAsia="lv-LV"/>
              </w:rPr>
            </w:pPr>
            <w:r w:rsidRPr="000A39FF">
              <w:rPr>
                <w:iCs/>
                <w:sz w:val="22"/>
                <w:szCs w:val="22"/>
                <w:lang w:eastAsia="lv-LV"/>
              </w:rPr>
              <w:t>izmaiņas, salīdzinot ar vidēja termiņa budžeta ietvaru 20</w:t>
            </w:r>
            <w:r w:rsidR="00A65175" w:rsidRPr="000A39FF">
              <w:rPr>
                <w:iCs/>
                <w:sz w:val="22"/>
                <w:szCs w:val="22"/>
                <w:lang w:eastAsia="lv-LV"/>
              </w:rPr>
              <w:t>20</w:t>
            </w:r>
            <w:r w:rsidRPr="000A39FF">
              <w:rPr>
                <w:iCs/>
                <w:sz w:val="22"/>
                <w:szCs w:val="22"/>
                <w:lang w:eastAsia="lv-LV"/>
              </w:rPr>
              <w:t xml:space="preserve"> gadam</w:t>
            </w:r>
          </w:p>
        </w:tc>
        <w:tc>
          <w:tcPr>
            <w:tcW w:w="967" w:type="dxa"/>
            <w:vAlign w:val="center"/>
          </w:tcPr>
          <w:p w14:paraId="58D8B046" w14:textId="7FD5EF19" w:rsidR="004E11B5" w:rsidRPr="000A39FF" w:rsidRDefault="004E11B5" w:rsidP="007E7A79">
            <w:pPr>
              <w:rPr>
                <w:iCs/>
                <w:sz w:val="22"/>
                <w:szCs w:val="22"/>
                <w:lang w:eastAsia="lv-LV"/>
              </w:rPr>
            </w:pPr>
            <w:r w:rsidRPr="000A39FF">
              <w:rPr>
                <w:sz w:val="22"/>
                <w:szCs w:val="22"/>
                <w:shd w:val="clear" w:color="auto" w:fill="FFFFFF"/>
              </w:rPr>
              <w:t>saskaņā ar vidēja termiņa budžeta ietvaru</w:t>
            </w:r>
          </w:p>
        </w:tc>
        <w:tc>
          <w:tcPr>
            <w:tcW w:w="998" w:type="dxa"/>
            <w:vAlign w:val="center"/>
            <w:hideMark/>
          </w:tcPr>
          <w:p w14:paraId="759795BA" w14:textId="42EB52EA" w:rsidR="004E11B5" w:rsidRPr="000A39FF" w:rsidRDefault="004E11B5" w:rsidP="007E7A79">
            <w:pPr>
              <w:rPr>
                <w:iCs/>
                <w:sz w:val="22"/>
                <w:szCs w:val="22"/>
                <w:lang w:eastAsia="lv-LV"/>
              </w:rPr>
            </w:pPr>
          </w:p>
          <w:p w14:paraId="50C8177A" w14:textId="7A0F6852" w:rsidR="004E11B5" w:rsidRPr="000A39FF" w:rsidRDefault="004E11B5" w:rsidP="007E7A79">
            <w:pPr>
              <w:rPr>
                <w:iCs/>
                <w:sz w:val="22"/>
                <w:szCs w:val="22"/>
                <w:lang w:eastAsia="lv-LV"/>
              </w:rPr>
            </w:pPr>
            <w:r w:rsidRPr="000A39FF">
              <w:rPr>
                <w:iCs/>
                <w:sz w:val="22"/>
                <w:szCs w:val="22"/>
                <w:lang w:eastAsia="lv-LV"/>
              </w:rPr>
              <w:t>izmaiņas, salīdzinot ar vidēja termiņa budžeta ietvaru 2021 gadam</w:t>
            </w:r>
          </w:p>
        </w:tc>
        <w:tc>
          <w:tcPr>
            <w:tcW w:w="1074" w:type="dxa"/>
            <w:vAlign w:val="center"/>
            <w:hideMark/>
          </w:tcPr>
          <w:p w14:paraId="27397ECF" w14:textId="3C726846" w:rsidR="004E11B5" w:rsidRPr="000A39FF" w:rsidRDefault="004E11B5" w:rsidP="007E7A79">
            <w:pPr>
              <w:rPr>
                <w:iCs/>
                <w:sz w:val="22"/>
                <w:szCs w:val="22"/>
                <w:lang w:eastAsia="lv-LV"/>
              </w:rPr>
            </w:pPr>
            <w:r w:rsidRPr="000A39FF">
              <w:rPr>
                <w:iCs/>
                <w:sz w:val="22"/>
                <w:szCs w:val="22"/>
                <w:lang w:eastAsia="lv-LV"/>
              </w:rPr>
              <w:t>izmaiņas, salīdzinot ar vidēja termiņa budžeta ietvaru 202</w:t>
            </w:r>
            <w:r w:rsidR="00B81E0A">
              <w:rPr>
                <w:iCs/>
                <w:sz w:val="22"/>
                <w:szCs w:val="22"/>
                <w:lang w:eastAsia="lv-LV"/>
              </w:rPr>
              <w:t>1</w:t>
            </w:r>
            <w:r w:rsidRPr="000A39FF">
              <w:rPr>
                <w:iCs/>
                <w:sz w:val="22"/>
                <w:szCs w:val="22"/>
                <w:lang w:eastAsia="lv-LV"/>
              </w:rPr>
              <w:t xml:space="preserve"> gadam</w:t>
            </w:r>
          </w:p>
        </w:tc>
      </w:tr>
      <w:tr w:rsidR="004E11B5" w:rsidRPr="000A39FF" w14:paraId="5F540591" w14:textId="77777777" w:rsidTr="00AE6288">
        <w:trPr>
          <w:jc w:val="center"/>
        </w:trPr>
        <w:tc>
          <w:tcPr>
            <w:tcW w:w="1671" w:type="dxa"/>
            <w:vAlign w:val="center"/>
            <w:hideMark/>
          </w:tcPr>
          <w:p w14:paraId="3C0330A9" w14:textId="77777777" w:rsidR="004E11B5" w:rsidRPr="000A39FF" w:rsidRDefault="004E11B5" w:rsidP="007E7A79">
            <w:pPr>
              <w:jc w:val="center"/>
              <w:rPr>
                <w:iCs/>
                <w:lang w:eastAsia="lv-LV"/>
              </w:rPr>
            </w:pPr>
            <w:r w:rsidRPr="000A39FF">
              <w:rPr>
                <w:iCs/>
                <w:lang w:eastAsia="lv-LV"/>
              </w:rPr>
              <w:t>1</w:t>
            </w:r>
          </w:p>
        </w:tc>
        <w:tc>
          <w:tcPr>
            <w:tcW w:w="1111" w:type="dxa"/>
            <w:vAlign w:val="center"/>
            <w:hideMark/>
          </w:tcPr>
          <w:p w14:paraId="616E99DC" w14:textId="77777777" w:rsidR="004E11B5" w:rsidRPr="000A39FF" w:rsidRDefault="004E11B5" w:rsidP="00AD4714">
            <w:pPr>
              <w:jc w:val="center"/>
              <w:rPr>
                <w:iCs/>
                <w:lang w:eastAsia="lv-LV"/>
              </w:rPr>
            </w:pPr>
            <w:r w:rsidRPr="000A39FF">
              <w:rPr>
                <w:iCs/>
                <w:lang w:eastAsia="lv-LV"/>
              </w:rPr>
              <w:t>2</w:t>
            </w:r>
          </w:p>
        </w:tc>
        <w:tc>
          <w:tcPr>
            <w:tcW w:w="1140" w:type="dxa"/>
            <w:vAlign w:val="center"/>
            <w:hideMark/>
          </w:tcPr>
          <w:p w14:paraId="6B117E49" w14:textId="77777777" w:rsidR="004E11B5" w:rsidRPr="000A39FF" w:rsidRDefault="004E11B5" w:rsidP="00AD4714">
            <w:pPr>
              <w:jc w:val="center"/>
              <w:rPr>
                <w:iCs/>
                <w:lang w:eastAsia="lv-LV"/>
              </w:rPr>
            </w:pPr>
            <w:r w:rsidRPr="000A39FF">
              <w:rPr>
                <w:iCs/>
                <w:lang w:eastAsia="lv-LV"/>
              </w:rPr>
              <w:t>3</w:t>
            </w:r>
          </w:p>
        </w:tc>
        <w:tc>
          <w:tcPr>
            <w:tcW w:w="967" w:type="dxa"/>
            <w:vAlign w:val="center"/>
          </w:tcPr>
          <w:p w14:paraId="6EBC48A9" w14:textId="537354DA" w:rsidR="004E11B5" w:rsidRPr="000A39FF" w:rsidRDefault="00AD4714" w:rsidP="00AD4714">
            <w:pPr>
              <w:jc w:val="center"/>
              <w:rPr>
                <w:iCs/>
                <w:lang w:eastAsia="lv-LV"/>
              </w:rPr>
            </w:pPr>
            <w:r w:rsidRPr="000A39FF">
              <w:rPr>
                <w:iCs/>
                <w:lang w:eastAsia="lv-LV"/>
              </w:rPr>
              <w:t>4</w:t>
            </w:r>
          </w:p>
        </w:tc>
        <w:tc>
          <w:tcPr>
            <w:tcW w:w="1283" w:type="dxa"/>
            <w:vAlign w:val="center"/>
          </w:tcPr>
          <w:p w14:paraId="7C3714A5" w14:textId="25D02FCF" w:rsidR="004E11B5" w:rsidRPr="000A39FF" w:rsidRDefault="004E11B5" w:rsidP="00AD4714">
            <w:pPr>
              <w:jc w:val="center"/>
              <w:rPr>
                <w:iCs/>
                <w:lang w:eastAsia="lv-LV"/>
              </w:rPr>
            </w:pPr>
            <w:r w:rsidRPr="000A39FF">
              <w:rPr>
                <w:iCs/>
                <w:lang w:eastAsia="lv-LV"/>
              </w:rPr>
              <w:t>5</w:t>
            </w:r>
          </w:p>
        </w:tc>
        <w:tc>
          <w:tcPr>
            <w:tcW w:w="967" w:type="dxa"/>
            <w:vAlign w:val="center"/>
          </w:tcPr>
          <w:p w14:paraId="799E84EB" w14:textId="0A8B0BA9" w:rsidR="004E11B5" w:rsidRPr="000A39FF" w:rsidRDefault="00AD4714" w:rsidP="00AD4714">
            <w:pPr>
              <w:jc w:val="center"/>
              <w:rPr>
                <w:iCs/>
                <w:lang w:eastAsia="lv-LV"/>
              </w:rPr>
            </w:pPr>
            <w:r w:rsidRPr="000A39FF">
              <w:rPr>
                <w:iCs/>
                <w:lang w:eastAsia="lv-LV"/>
              </w:rPr>
              <w:t>6</w:t>
            </w:r>
          </w:p>
        </w:tc>
        <w:tc>
          <w:tcPr>
            <w:tcW w:w="998" w:type="dxa"/>
            <w:vAlign w:val="center"/>
          </w:tcPr>
          <w:p w14:paraId="2D09D2EA" w14:textId="27E1FFCD" w:rsidR="004E11B5" w:rsidRPr="000A39FF" w:rsidRDefault="004E11B5" w:rsidP="00AD4714">
            <w:pPr>
              <w:jc w:val="center"/>
              <w:rPr>
                <w:iCs/>
                <w:lang w:eastAsia="lv-LV"/>
              </w:rPr>
            </w:pPr>
            <w:r w:rsidRPr="000A39FF">
              <w:rPr>
                <w:iCs/>
                <w:lang w:eastAsia="lv-LV"/>
              </w:rPr>
              <w:t>7</w:t>
            </w:r>
          </w:p>
        </w:tc>
        <w:tc>
          <w:tcPr>
            <w:tcW w:w="1074" w:type="dxa"/>
            <w:vAlign w:val="center"/>
            <w:hideMark/>
          </w:tcPr>
          <w:p w14:paraId="6CED1BE5" w14:textId="77EDF8B7" w:rsidR="004E11B5" w:rsidRPr="000A39FF" w:rsidRDefault="004E11B5" w:rsidP="00AD4714">
            <w:pPr>
              <w:jc w:val="center"/>
              <w:rPr>
                <w:iCs/>
                <w:lang w:eastAsia="lv-LV"/>
              </w:rPr>
            </w:pPr>
            <w:r w:rsidRPr="000A39FF">
              <w:rPr>
                <w:iCs/>
                <w:lang w:eastAsia="lv-LV"/>
              </w:rPr>
              <w:t>8</w:t>
            </w:r>
          </w:p>
        </w:tc>
      </w:tr>
      <w:tr w:rsidR="004E11B5" w:rsidRPr="000A39FF" w14:paraId="4D821198" w14:textId="77777777" w:rsidTr="00AE6288">
        <w:trPr>
          <w:jc w:val="center"/>
        </w:trPr>
        <w:tc>
          <w:tcPr>
            <w:tcW w:w="1671" w:type="dxa"/>
            <w:hideMark/>
          </w:tcPr>
          <w:p w14:paraId="356682BD" w14:textId="77777777" w:rsidR="004E11B5" w:rsidRPr="000A39FF" w:rsidRDefault="004E11B5" w:rsidP="00A93351">
            <w:pPr>
              <w:rPr>
                <w:iCs/>
                <w:lang w:eastAsia="lv-LV"/>
              </w:rPr>
            </w:pPr>
            <w:r w:rsidRPr="000A39FF">
              <w:rPr>
                <w:iCs/>
                <w:lang w:eastAsia="lv-LV"/>
              </w:rPr>
              <w:lastRenderedPageBreak/>
              <w:t>1. Budžeta ieņēmumi</w:t>
            </w:r>
          </w:p>
        </w:tc>
        <w:tc>
          <w:tcPr>
            <w:tcW w:w="1111" w:type="dxa"/>
            <w:vAlign w:val="center"/>
            <w:hideMark/>
          </w:tcPr>
          <w:p w14:paraId="38B25830" w14:textId="011837E7" w:rsidR="004E11B5" w:rsidRPr="000A39FF" w:rsidRDefault="00AD4714" w:rsidP="00AE6288">
            <w:pPr>
              <w:jc w:val="center"/>
              <w:rPr>
                <w:iCs/>
                <w:lang w:eastAsia="lv-LV"/>
              </w:rPr>
            </w:pPr>
            <w:r w:rsidRPr="000A39FF">
              <w:rPr>
                <w:iCs/>
                <w:lang w:eastAsia="lv-LV"/>
              </w:rPr>
              <w:t>0</w:t>
            </w:r>
          </w:p>
        </w:tc>
        <w:tc>
          <w:tcPr>
            <w:tcW w:w="1140" w:type="dxa"/>
            <w:vAlign w:val="center"/>
          </w:tcPr>
          <w:p w14:paraId="2CEE06E0" w14:textId="3ADC1DB1" w:rsidR="004E11B5" w:rsidRPr="000A39FF" w:rsidRDefault="00164F93" w:rsidP="00AE6288">
            <w:pPr>
              <w:jc w:val="center"/>
              <w:rPr>
                <w:iCs/>
                <w:lang w:eastAsia="lv-LV"/>
              </w:rPr>
            </w:pPr>
            <w:r w:rsidRPr="000A39FF">
              <w:rPr>
                <w:iCs/>
                <w:lang w:eastAsia="lv-LV"/>
              </w:rPr>
              <w:t>0</w:t>
            </w:r>
          </w:p>
        </w:tc>
        <w:tc>
          <w:tcPr>
            <w:tcW w:w="967" w:type="dxa"/>
            <w:vAlign w:val="center"/>
          </w:tcPr>
          <w:p w14:paraId="50B52D0E" w14:textId="19254880" w:rsidR="004E11B5" w:rsidRPr="000A39FF" w:rsidRDefault="00AD4714" w:rsidP="00AE6288">
            <w:pPr>
              <w:jc w:val="center"/>
              <w:rPr>
                <w:iCs/>
                <w:lang w:eastAsia="lv-LV"/>
              </w:rPr>
            </w:pPr>
            <w:r w:rsidRPr="000A39FF">
              <w:rPr>
                <w:iCs/>
                <w:lang w:eastAsia="lv-LV"/>
              </w:rPr>
              <w:t>0</w:t>
            </w:r>
          </w:p>
        </w:tc>
        <w:tc>
          <w:tcPr>
            <w:tcW w:w="1283" w:type="dxa"/>
            <w:vAlign w:val="center"/>
          </w:tcPr>
          <w:p w14:paraId="574D655F" w14:textId="0C171708" w:rsidR="004E11B5" w:rsidRPr="000A39FF" w:rsidRDefault="00A14F9C" w:rsidP="00AE6288">
            <w:pPr>
              <w:jc w:val="center"/>
              <w:rPr>
                <w:iCs/>
                <w:lang w:eastAsia="lv-LV"/>
              </w:rPr>
            </w:pPr>
            <w:r>
              <w:rPr>
                <w:iCs/>
                <w:lang w:eastAsia="lv-LV"/>
              </w:rPr>
              <w:t>0</w:t>
            </w:r>
          </w:p>
        </w:tc>
        <w:tc>
          <w:tcPr>
            <w:tcW w:w="967" w:type="dxa"/>
            <w:vAlign w:val="center"/>
          </w:tcPr>
          <w:p w14:paraId="254FF16D" w14:textId="1825DD78" w:rsidR="004E11B5" w:rsidRPr="000A39FF" w:rsidRDefault="00AD4714" w:rsidP="00AE6288">
            <w:pPr>
              <w:jc w:val="center"/>
              <w:rPr>
                <w:iCs/>
                <w:lang w:eastAsia="lv-LV"/>
              </w:rPr>
            </w:pPr>
            <w:r w:rsidRPr="000A39FF">
              <w:rPr>
                <w:iCs/>
                <w:lang w:eastAsia="lv-LV"/>
              </w:rPr>
              <w:t>0</w:t>
            </w:r>
          </w:p>
        </w:tc>
        <w:tc>
          <w:tcPr>
            <w:tcW w:w="998" w:type="dxa"/>
            <w:vAlign w:val="center"/>
          </w:tcPr>
          <w:p w14:paraId="047EEE61" w14:textId="7FADFAEA" w:rsidR="004E11B5" w:rsidRPr="000A39FF" w:rsidRDefault="00AD4714" w:rsidP="00AE6288">
            <w:pPr>
              <w:jc w:val="center"/>
              <w:rPr>
                <w:iCs/>
                <w:lang w:eastAsia="lv-LV"/>
              </w:rPr>
            </w:pPr>
            <w:r w:rsidRPr="000A39FF">
              <w:rPr>
                <w:iCs/>
                <w:lang w:eastAsia="lv-LV"/>
              </w:rPr>
              <w:t>0</w:t>
            </w:r>
          </w:p>
        </w:tc>
        <w:tc>
          <w:tcPr>
            <w:tcW w:w="1074" w:type="dxa"/>
            <w:vAlign w:val="center"/>
          </w:tcPr>
          <w:p w14:paraId="148BAD3F" w14:textId="507FD74C" w:rsidR="004E11B5" w:rsidRPr="000A39FF" w:rsidRDefault="00AD4714" w:rsidP="00AE6288">
            <w:pPr>
              <w:jc w:val="center"/>
              <w:rPr>
                <w:iCs/>
                <w:lang w:eastAsia="lv-LV"/>
              </w:rPr>
            </w:pPr>
            <w:r w:rsidRPr="000A39FF">
              <w:rPr>
                <w:iCs/>
                <w:lang w:eastAsia="lv-LV"/>
              </w:rPr>
              <w:t>0</w:t>
            </w:r>
          </w:p>
        </w:tc>
      </w:tr>
      <w:tr w:rsidR="004E11B5" w:rsidRPr="000A39FF" w14:paraId="2496EB73" w14:textId="77777777" w:rsidTr="00AE6288">
        <w:trPr>
          <w:jc w:val="center"/>
        </w:trPr>
        <w:tc>
          <w:tcPr>
            <w:tcW w:w="1671" w:type="dxa"/>
            <w:hideMark/>
          </w:tcPr>
          <w:p w14:paraId="11E9C78B" w14:textId="77777777" w:rsidR="004E11B5" w:rsidRPr="000A39FF" w:rsidRDefault="004E11B5" w:rsidP="00A93351">
            <w:pPr>
              <w:rPr>
                <w:iCs/>
                <w:lang w:eastAsia="lv-LV"/>
              </w:rPr>
            </w:pPr>
            <w:r w:rsidRPr="000A39FF">
              <w:rPr>
                <w:iCs/>
                <w:lang w:eastAsia="lv-LV"/>
              </w:rPr>
              <w:t>1.1. valsts pamatbudžets, tai skaitā ieņēmumi no maksas pakalpojumiem un citi pašu ieņēmumi</w:t>
            </w:r>
          </w:p>
        </w:tc>
        <w:tc>
          <w:tcPr>
            <w:tcW w:w="1111" w:type="dxa"/>
            <w:vAlign w:val="center"/>
            <w:hideMark/>
          </w:tcPr>
          <w:p w14:paraId="5098D25F" w14:textId="77777777" w:rsidR="004E11B5" w:rsidRPr="000A39FF" w:rsidRDefault="004E11B5" w:rsidP="00AE6288">
            <w:pPr>
              <w:jc w:val="center"/>
              <w:rPr>
                <w:iCs/>
                <w:lang w:eastAsia="lv-LV"/>
              </w:rPr>
            </w:pPr>
            <w:r w:rsidRPr="000A39FF">
              <w:rPr>
                <w:iCs/>
                <w:lang w:eastAsia="lv-LV"/>
              </w:rPr>
              <w:t>0</w:t>
            </w:r>
          </w:p>
        </w:tc>
        <w:tc>
          <w:tcPr>
            <w:tcW w:w="1140" w:type="dxa"/>
            <w:vAlign w:val="center"/>
          </w:tcPr>
          <w:p w14:paraId="11CB6D2B" w14:textId="55891819" w:rsidR="004E11B5" w:rsidRPr="000A39FF" w:rsidRDefault="00164F93" w:rsidP="00AE6288">
            <w:pPr>
              <w:jc w:val="center"/>
              <w:rPr>
                <w:iCs/>
                <w:lang w:eastAsia="lv-LV"/>
              </w:rPr>
            </w:pPr>
            <w:r w:rsidRPr="000A39FF">
              <w:rPr>
                <w:iCs/>
                <w:lang w:eastAsia="lv-LV"/>
              </w:rPr>
              <w:t>0</w:t>
            </w:r>
          </w:p>
        </w:tc>
        <w:tc>
          <w:tcPr>
            <w:tcW w:w="967" w:type="dxa"/>
            <w:vAlign w:val="center"/>
          </w:tcPr>
          <w:p w14:paraId="59ECC150" w14:textId="465B1717" w:rsidR="004E11B5" w:rsidRPr="000A39FF" w:rsidRDefault="00AD4714" w:rsidP="00AE6288">
            <w:pPr>
              <w:jc w:val="center"/>
              <w:rPr>
                <w:iCs/>
                <w:lang w:eastAsia="lv-LV"/>
              </w:rPr>
            </w:pPr>
            <w:r w:rsidRPr="000A39FF">
              <w:rPr>
                <w:iCs/>
                <w:lang w:eastAsia="lv-LV"/>
              </w:rPr>
              <w:t>0</w:t>
            </w:r>
          </w:p>
        </w:tc>
        <w:tc>
          <w:tcPr>
            <w:tcW w:w="1283" w:type="dxa"/>
            <w:vAlign w:val="center"/>
          </w:tcPr>
          <w:p w14:paraId="42D460D7" w14:textId="6CDB39F6" w:rsidR="004E11B5" w:rsidRPr="000A39FF" w:rsidRDefault="00A14F9C" w:rsidP="00AE6288">
            <w:pPr>
              <w:jc w:val="center"/>
              <w:rPr>
                <w:iCs/>
                <w:lang w:eastAsia="lv-LV"/>
              </w:rPr>
            </w:pPr>
            <w:r>
              <w:rPr>
                <w:iCs/>
                <w:lang w:eastAsia="lv-LV"/>
              </w:rPr>
              <w:t>0</w:t>
            </w:r>
          </w:p>
        </w:tc>
        <w:tc>
          <w:tcPr>
            <w:tcW w:w="967" w:type="dxa"/>
            <w:vAlign w:val="center"/>
          </w:tcPr>
          <w:p w14:paraId="66FEA1E7" w14:textId="11C6F15B" w:rsidR="004E11B5" w:rsidRPr="000A39FF" w:rsidRDefault="00AD4714" w:rsidP="00AE6288">
            <w:pPr>
              <w:jc w:val="center"/>
              <w:rPr>
                <w:iCs/>
                <w:lang w:eastAsia="lv-LV"/>
              </w:rPr>
            </w:pPr>
            <w:r w:rsidRPr="000A39FF">
              <w:rPr>
                <w:iCs/>
                <w:lang w:eastAsia="lv-LV"/>
              </w:rPr>
              <w:t>0</w:t>
            </w:r>
          </w:p>
        </w:tc>
        <w:tc>
          <w:tcPr>
            <w:tcW w:w="998" w:type="dxa"/>
            <w:vAlign w:val="center"/>
          </w:tcPr>
          <w:p w14:paraId="10D20A47" w14:textId="06EDAC7B" w:rsidR="004E11B5" w:rsidRPr="000A39FF" w:rsidRDefault="004E11B5" w:rsidP="00AE6288">
            <w:pPr>
              <w:jc w:val="center"/>
              <w:rPr>
                <w:iCs/>
                <w:lang w:eastAsia="lv-LV"/>
              </w:rPr>
            </w:pPr>
            <w:r w:rsidRPr="000A39FF">
              <w:rPr>
                <w:iCs/>
                <w:lang w:eastAsia="lv-LV"/>
              </w:rPr>
              <w:t>0</w:t>
            </w:r>
          </w:p>
        </w:tc>
        <w:tc>
          <w:tcPr>
            <w:tcW w:w="1074" w:type="dxa"/>
            <w:vAlign w:val="center"/>
          </w:tcPr>
          <w:p w14:paraId="64E0F153" w14:textId="48311C14" w:rsidR="004E11B5" w:rsidRPr="000A39FF" w:rsidRDefault="004E11B5" w:rsidP="00AE6288">
            <w:pPr>
              <w:jc w:val="center"/>
              <w:rPr>
                <w:iCs/>
                <w:lang w:eastAsia="lv-LV"/>
              </w:rPr>
            </w:pPr>
            <w:r w:rsidRPr="000A39FF">
              <w:rPr>
                <w:iCs/>
                <w:lang w:eastAsia="lv-LV"/>
              </w:rPr>
              <w:t>0</w:t>
            </w:r>
          </w:p>
        </w:tc>
      </w:tr>
      <w:tr w:rsidR="004E11B5" w:rsidRPr="000A39FF" w14:paraId="65877CB0" w14:textId="77777777" w:rsidTr="00AE6288">
        <w:trPr>
          <w:jc w:val="center"/>
        </w:trPr>
        <w:tc>
          <w:tcPr>
            <w:tcW w:w="1671" w:type="dxa"/>
            <w:hideMark/>
          </w:tcPr>
          <w:p w14:paraId="4CD35CA4" w14:textId="77777777" w:rsidR="004E11B5" w:rsidRPr="000A39FF" w:rsidRDefault="004E11B5" w:rsidP="00A93351">
            <w:pPr>
              <w:rPr>
                <w:iCs/>
                <w:lang w:eastAsia="lv-LV"/>
              </w:rPr>
            </w:pPr>
            <w:r w:rsidRPr="000A39FF">
              <w:rPr>
                <w:iCs/>
                <w:lang w:eastAsia="lv-LV"/>
              </w:rPr>
              <w:t>1.2. valsts speciālais budžets</w:t>
            </w:r>
          </w:p>
        </w:tc>
        <w:tc>
          <w:tcPr>
            <w:tcW w:w="1111" w:type="dxa"/>
            <w:vAlign w:val="center"/>
            <w:hideMark/>
          </w:tcPr>
          <w:p w14:paraId="6395CC74" w14:textId="134B0B6B" w:rsidR="004E11B5" w:rsidRPr="000A39FF" w:rsidRDefault="004E11B5" w:rsidP="00AE6288">
            <w:pPr>
              <w:jc w:val="center"/>
              <w:rPr>
                <w:iCs/>
                <w:lang w:eastAsia="lv-LV"/>
              </w:rPr>
            </w:pPr>
            <w:r w:rsidRPr="000A39FF">
              <w:rPr>
                <w:iCs/>
                <w:lang w:eastAsia="lv-LV"/>
              </w:rPr>
              <w:t>0</w:t>
            </w:r>
          </w:p>
        </w:tc>
        <w:tc>
          <w:tcPr>
            <w:tcW w:w="1140" w:type="dxa"/>
            <w:vAlign w:val="center"/>
          </w:tcPr>
          <w:p w14:paraId="04D165EC" w14:textId="7C96CBB4" w:rsidR="004E11B5" w:rsidRPr="000A39FF" w:rsidRDefault="004E11B5" w:rsidP="00AE6288">
            <w:pPr>
              <w:jc w:val="center"/>
              <w:rPr>
                <w:iCs/>
                <w:lang w:eastAsia="lv-LV"/>
              </w:rPr>
            </w:pPr>
            <w:r w:rsidRPr="000A39FF">
              <w:rPr>
                <w:iCs/>
                <w:lang w:eastAsia="lv-LV"/>
              </w:rPr>
              <w:t>0</w:t>
            </w:r>
          </w:p>
        </w:tc>
        <w:tc>
          <w:tcPr>
            <w:tcW w:w="967" w:type="dxa"/>
            <w:vAlign w:val="center"/>
          </w:tcPr>
          <w:p w14:paraId="09B27B90" w14:textId="2F91A25D" w:rsidR="004E11B5" w:rsidRPr="000A39FF" w:rsidRDefault="00AD4714" w:rsidP="00AE6288">
            <w:pPr>
              <w:jc w:val="center"/>
              <w:rPr>
                <w:iCs/>
                <w:lang w:eastAsia="lv-LV"/>
              </w:rPr>
            </w:pPr>
            <w:r w:rsidRPr="000A39FF">
              <w:rPr>
                <w:iCs/>
                <w:lang w:eastAsia="lv-LV"/>
              </w:rPr>
              <w:t>0</w:t>
            </w:r>
          </w:p>
        </w:tc>
        <w:tc>
          <w:tcPr>
            <w:tcW w:w="1283" w:type="dxa"/>
            <w:vAlign w:val="center"/>
          </w:tcPr>
          <w:p w14:paraId="5694DF9C" w14:textId="6AC1038F" w:rsidR="004E11B5" w:rsidRPr="000A39FF" w:rsidRDefault="004E11B5" w:rsidP="00AE6288">
            <w:pPr>
              <w:jc w:val="center"/>
              <w:rPr>
                <w:iCs/>
                <w:lang w:eastAsia="lv-LV"/>
              </w:rPr>
            </w:pPr>
            <w:r w:rsidRPr="000A39FF">
              <w:rPr>
                <w:iCs/>
                <w:lang w:eastAsia="lv-LV"/>
              </w:rPr>
              <w:t>0</w:t>
            </w:r>
          </w:p>
        </w:tc>
        <w:tc>
          <w:tcPr>
            <w:tcW w:w="967" w:type="dxa"/>
            <w:vAlign w:val="center"/>
          </w:tcPr>
          <w:p w14:paraId="05DAAE9A" w14:textId="35D5B51E" w:rsidR="004E11B5" w:rsidRPr="000A39FF" w:rsidRDefault="00A65175" w:rsidP="00AE6288">
            <w:pPr>
              <w:jc w:val="center"/>
              <w:rPr>
                <w:iCs/>
                <w:lang w:eastAsia="lv-LV"/>
              </w:rPr>
            </w:pPr>
            <w:r w:rsidRPr="000A39FF">
              <w:rPr>
                <w:iCs/>
                <w:lang w:eastAsia="lv-LV"/>
              </w:rPr>
              <w:t>0</w:t>
            </w:r>
          </w:p>
        </w:tc>
        <w:tc>
          <w:tcPr>
            <w:tcW w:w="998" w:type="dxa"/>
            <w:vAlign w:val="center"/>
          </w:tcPr>
          <w:p w14:paraId="1F627A1F" w14:textId="51961619" w:rsidR="004E11B5" w:rsidRPr="000A39FF" w:rsidRDefault="004E11B5" w:rsidP="00AE6288">
            <w:pPr>
              <w:jc w:val="center"/>
              <w:rPr>
                <w:iCs/>
                <w:lang w:eastAsia="lv-LV"/>
              </w:rPr>
            </w:pPr>
            <w:r w:rsidRPr="000A39FF">
              <w:rPr>
                <w:iCs/>
                <w:lang w:eastAsia="lv-LV"/>
              </w:rPr>
              <w:t>0</w:t>
            </w:r>
          </w:p>
        </w:tc>
        <w:tc>
          <w:tcPr>
            <w:tcW w:w="1074" w:type="dxa"/>
            <w:vAlign w:val="center"/>
          </w:tcPr>
          <w:p w14:paraId="1FF3C2DE" w14:textId="1F96DF39" w:rsidR="004E11B5" w:rsidRPr="000A39FF" w:rsidRDefault="004E11B5" w:rsidP="00AE6288">
            <w:pPr>
              <w:jc w:val="center"/>
              <w:rPr>
                <w:iCs/>
                <w:lang w:eastAsia="lv-LV"/>
              </w:rPr>
            </w:pPr>
            <w:r w:rsidRPr="000A39FF">
              <w:rPr>
                <w:iCs/>
                <w:lang w:eastAsia="lv-LV"/>
              </w:rPr>
              <w:t>0</w:t>
            </w:r>
          </w:p>
        </w:tc>
      </w:tr>
      <w:tr w:rsidR="004E11B5" w:rsidRPr="000A39FF" w14:paraId="0FBFFD8B" w14:textId="77777777" w:rsidTr="00AE6288">
        <w:trPr>
          <w:jc w:val="center"/>
        </w:trPr>
        <w:tc>
          <w:tcPr>
            <w:tcW w:w="1671" w:type="dxa"/>
            <w:hideMark/>
          </w:tcPr>
          <w:p w14:paraId="19C75511" w14:textId="77777777" w:rsidR="004E11B5" w:rsidRPr="000A39FF" w:rsidRDefault="004E11B5" w:rsidP="00A93351">
            <w:pPr>
              <w:rPr>
                <w:iCs/>
                <w:lang w:eastAsia="lv-LV"/>
              </w:rPr>
            </w:pPr>
            <w:r w:rsidRPr="000A39FF">
              <w:rPr>
                <w:iCs/>
                <w:lang w:eastAsia="lv-LV"/>
              </w:rPr>
              <w:t>1.3. pašvaldību budžets</w:t>
            </w:r>
          </w:p>
        </w:tc>
        <w:tc>
          <w:tcPr>
            <w:tcW w:w="1111" w:type="dxa"/>
            <w:vAlign w:val="center"/>
            <w:hideMark/>
          </w:tcPr>
          <w:p w14:paraId="0F171A96" w14:textId="77777777" w:rsidR="004E11B5" w:rsidRPr="000A39FF" w:rsidRDefault="004E11B5" w:rsidP="00AE6288">
            <w:pPr>
              <w:jc w:val="center"/>
              <w:rPr>
                <w:iCs/>
                <w:lang w:eastAsia="lv-LV"/>
              </w:rPr>
            </w:pPr>
            <w:r w:rsidRPr="000A39FF">
              <w:rPr>
                <w:iCs/>
                <w:lang w:eastAsia="lv-LV"/>
              </w:rPr>
              <w:t>0</w:t>
            </w:r>
          </w:p>
        </w:tc>
        <w:tc>
          <w:tcPr>
            <w:tcW w:w="1140" w:type="dxa"/>
            <w:vAlign w:val="center"/>
          </w:tcPr>
          <w:p w14:paraId="0463A2D2" w14:textId="4011C1CF" w:rsidR="004E11B5" w:rsidRPr="000A39FF" w:rsidRDefault="004E11B5" w:rsidP="00AE6288">
            <w:pPr>
              <w:jc w:val="center"/>
              <w:rPr>
                <w:iCs/>
                <w:lang w:eastAsia="lv-LV"/>
              </w:rPr>
            </w:pPr>
            <w:r w:rsidRPr="000A39FF">
              <w:rPr>
                <w:iCs/>
                <w:lang w:eastAsia="lv-LV"/>
              </w:rPr>
              <w:t>0</w:t>
            </w:r>
          </w:p>
        </w:tc>
        <w:tc>
          <w:tcPr>
            <w:tcW w:w="967" w:type="dxa"/>
            <w:vAlign w:val="center"/>
          </w:tcPr>
          <w:p w14:paraId="3730F17E" w14:textId="010E9338" w:rsidR="004E11B5" w:rsidRPr="000A39FF" w:rsidRDefault="00AD4714" w:rsidP="00AE6288">
            <w:pPr>
              <w:jc w:val="center"/>
              <w:rPr>
                <w:iCs/>
                <w:lang w:eastAsia="lv-LV"/>
              </w:rPr>
            </w:pPr>
            <w:r w:rsidRPr="000A39FF">
              <w:rPr>
                <w:iCs/>
                <w:lang w:eastAsia="lv-LV"/>
              </w:rPr>
              <w:t>0</w:t>
            </w:r>
          </w:p>
        </w:tc>
        <w:tc>
          <w:tcPr>
            <w:tcW w:w="1283" w:type="dxa"/>
            <w:vAlign w:val="center"/>
          </w:tcPr>
          <w:p w14:paraId="65A2F670" w14:textId="1F3B0B65" w:rsidR="004E11B5" w:rsidRPr="000A39FF" w:rsidRDefault="004E11B5" w:rsidP="00AE6288">
            <w:pPr>
              <w:jc w:val="center"/>
              <w:rPr>
                <w:iCs/>
                <w:lang w:eastAsia="lv-LV"/>
              </w:rPr>
            </w:pPr>
            <w:r w:rsidRPr="000A39FF">
              <w:rPr>
                <w:iCs/>
                <w:lang w:eastAsia="lv-LV"/>
              </w:rPr>
              <w:t>0</w:t>
            </w:r>
          </w:p>
        </w:tc>
        <w:tc>
          <w:tcPr>
            <w:tcW w:w="967" w:type="dxa"/>
            <w:vAlign w:val="center"/>
          </w:tcPr>
          <w:p w14:paraId="24DFFD9F" w14:textId="53B2E9FA" w:rsidR="004E11B5" w:rsidRPr="000A39FF" w:rsidRDefault="00AD4714" w:rsidP="00AE6288">
            <w:pPr>
              <w:jc w:val="center"/>
              <w:rPr>
                <w:iCs/>
                <w:lang w:eastAsia="lv-LV"/>
              </w:rPr>
            </w:pPr>
            <w:r w:rsidRPr="000A39FF">
              <w:rPr>
                <w:iCs/>
                <w:lang w:eastAsia="lv-LV"/>
              </w:rPr>
              <w:t>0</w:t>
            </w:r>
          </w:p>
        </w:tc>
        <w:tc>
          <w:tcPr>
            <w:tcW w:w="998" w:type="dxa"/>
            <w:vAlign w:val="center"/>
          </w:tcPr>
          <w:p w14:paraId="01E98810" w14:textId="3169048A" w:rsidR="004E11B5" w:rsidRPr="000A39FF" w:rsidRDefault="004E11B5" w:rsidP="00AE6288">
            <w:pPr>
              <w:jc w:val="center"/>
              <w:rPr>
                <w:iCs/>
                <w:lang w:eastAsia="lv-LV"/>
              </w:rPr>
            </w:pPr>
            <w:r w:rsidRPr="000A39FF">
              <w:rPr>
                <w:iCs/>
                <w:lang w:eastAsia="lv-LV"/>
              </w:rPr>
              <w:t>0</w:t>
            </w:r>
          </w:p>
        </w:tc>
        <w:tc>
          <w:tcPr>
            <w:tcW w:w="1074" w:type="dxa"/>
            <w:vAlign w:val="center"/>
          </w:tcPr>
          <w:p w14:paraId="771585EE" w14:textId="2BE3650E" w:rsidR="004E11B5" w:rsidRPr="000A39FF" w:rsidRDefault="004E11B5" w:rsidP="00AE6288">
            <w:pPr>
              <w:jc w:val="center"/>
              <w:rPr>
                <w:iCs/>
                <w:lang w:eastAsia="lv-LV"/>
              </w:rPr>
            </w:pPr>
            <w:r w:rsidRPr="000A39FF">
              <w:rPr>
                <w:iCs/>
                <w:lang w:eastAsia="lv-LV"/>
              </w:rPr>
              <w:t>0</w:t>
            </w:r>
          </w:p>
        </w:tc>
      </w:tr>
      <w:tr w:rsidR="004E11B5" w:rsidRPr="000A39FF" w14:paraId="1652984E" w14:textId="77777777" w:rsidTr="00AE6288">
        <w:trPr>
          <w:jc w:val="center"/>
        </w:trPr>
        <w:tc>
          <w:tcPr>
            <w:tcW w:w="1671" w:type="dxa"/>
            <w:hideMark/>
          </w:tcPr>
          <w:p w14:paraId="536E6E46" w14:textId="77777777" w:rsidR="004E11B5" w:rsidRPr="000A39FF" w:rsidRDefault="004E11B5" w:rsidP="00A93351">
            <w:pPr>
              <w:rPr>
                <w:iCs/>
                <w:lang w:eastAsia="lv-LV"/>
              </w:rPr>
            </w:pPr>
            <w:r w:rsidRPr="000A39FF">
              <w:rPr>
                <w:iCs/>
                <w:lang w:eastAsia="lv-LV"/>
              </w:rPr>
              <w:t>2. Budžeta izdevumi</w:t>
            </w:r>
          </w:p>
        </w:tc>
        <w:tc>
          <w:tcPr>
            <w:tcW w:w="1111" w:type="dxa"/>
            <w:vAlign w:val="center"/>
            <w:hideMark/>
          </w:tcPr>
          <w:p w14:paraId="4E8956C9" w14:textId="57438F72" w:rsidR="004E11B5" w:rsidRPr="000A39FF" w:rsidRDefault="00AD4714" w:rsidP="00AE6288">
            <w:pPr>
              <w:jc w:val="center"/>
              <w:rPr>
                <w:iCs/>
                <w:lang w:eastAsia="lv-LV"/>
              </w:rPr>
            </w:pPr>
            <w:r w:rsidRPr="000A39FF">
              <w:rPr>
                <w:iCs/>
                <w:lang w:eastAsia="lv-LV"/>
              </w:rPr>
              <w:t>0</w:t>
            </w:r>
          </w:p>
        </w:tc>
        <w:tc>
          <w:tcPr>
            <w:tcW w:w="1140" w:type="dxa"/>
            <w:vAlign w:val="center"/>
          </w:tcPr>
          <w:p w14:paraId="05D33151" w14:textId="42CBC656" w:rsidR="004E11B5" w:rsidRPr="000A39FF" w:rsidRDefault="009138B1" w:rsidP="00AE6288">
            <w:pPr>
              <w:jc w:val="center"/>
              <w:rPr>
                <w:iCs/>
                <w:lang w:eastAsia="lv-LV"/>
              </w:rPr>
            </w:pPr>
            <w:r w:rsidRPr="000A39FF">
              <w:rPr>
                <w:iCs/>
                <w:lang w:eastAsia="lv-LV"/>
              </w:rPr>
              <w:t>0</w:t>
            </w:r>
          </w:p>
        </w:tc>
        <w:tc>
          <w:tcPr>
            <w:tcW w:w="967" w:type="dxa"/>
            <w:vAlign w:val="center"/>
          </w:tcPr>
          <w:p w14:paraId="6E9A054E" w14:textId="27327F1F" w:rsidR="004E11B5" w:rsidRPr="000A39FF" w:rsidRDefault="00AD4714" w:rsidP="00AE6288">
            <w:pPr>
              <w:jc w:val="center"/>
              <w:rPr>
                <w:iCs/>
                <w:lang w:eastAsia="lv-LV"/>
              </w:rPr>
            </w:pPr>
            <w:r w:rsidRPr="000A39FF">
              <w:rPr>
                <w:iCs/>
                <w:lang w:eastAsia="lv-LV"/>
              </w:rPr>
              <w:t>0</w:t>
            </w:r>
          </w:p>
        </w:tc>
        <w:tc>
          <w:tcPr>
            <w:tcW w:w="1283" w:type="dxa"/>
            <w:vAlign w:val="center"/>
          </w:tcPr>
          <w:p w14:paraId="31F46FB3" w14:textId="314B8B14" w:rsidR="004E11B5" w:rsidRPr="000A39FF" w:rsidRDefault="00B81E0A" w:rsidP="00AE6288">
            <w:pPr>
              <w:jc w:val="center"/>
              <w:rPr>
                <w:iCs/>
                <w:lang w:eastAsia="lv-LV"/>
              </w:rPr>
            </w:pPr>
            <w:r>
              <w:rPr>
                <w:iCs/>
                <w:lang w:eastAsia="lv-LV"/>
              </w:rPr>
              <w:t>0</w:t>
            </w:r>
          </w:p>
        </w:tc>
        <w:tc>
          <w:tcPr>
            <w:tcW w:w="967" w:type="dxa"/>
            <w:vAlign w:val="center"/>
          </w:tcPr>
          <w:p w14:paraId="7C8C51F8" w14:textId="2D8EA093" w:rsidR="004E11B5" w:rsidRPr="000A39FF" w:rsidRDefault="00AD4714" w:rsidP="00AE6288">
            <w:pPr>
              <w:jc w:val="center"/>
              <w:rPr>
                <w:iCs/>
                <w:lang w:eastAsia="lv-LV"/>
              </w:rPr>
            </w:pPr>
            <w:r w:rsidRPr="000A39FF">
              <w:rPr>
                <w:iCs/>
                <w:lang w:eastAsia="lv-LV"/>
              </w:rPr>
              <w:t>0</w:t>
            </w:r>
          </w:p>
        </w:tc>
        <w:tc>
          <w:tcPr>
            <w:tcW w:w="998" w:type="dxa"/>
            <w:vAlign w:val="center"/>
          </w:tcPr>
          <w:p w14:paraId="5BD85B00" w14:textId="4B90CF49" w:rsidR="004E11B5" w:rsidRPr="000A39FF" w:rsidRDefault="009138B1" w:rsidP="00AE6288">
            <w:pPr>
              <w:jc w:val="center"/>
              <w:rPr>
                <w:iCs/>
                <w:lang w:eastAsia="lv-LV"/>
              </w:rPr>
            </w:pPr>
            <w:r w:rsidRPr="000A39FF">
              <w:rPr>
                <w:iCs/>
                <w:lang w:eastAsia="lv-LV"/>
              </w:rPr>
              <w:t>0</w:t>
            </w:r>
          </w:p>
        </w:tc>
        <w:tc>
          <w:tcPr>
            <w:tcW w:w="1074" w:type="dxa"/>
            <w:vAlign w:val="center"/>
          </w:tcPr>
          <w:p w14:paraId="1627F79A" w14:textId="288B6C3E" w:rsidR="004E11B5" w:rsidRPr="000A39FF" w:rsidRDefault="009138B1" w:rsidP="00AE6288">
            <w:pPr>
              <w:jc w:val="center"/>
              <w:rPr>
                <w:iCs/>
                <w:lang w:eastAsia="lv-LV"/>
              </w:rPr>
            </w:pPr>
            <w:r w:rsidRPr="000A39FF">
              <w:rPr>
                <w:iCs/>
                <w:lang w:eastAsia="lv-LV"/>
              </w:rPr>
              <w:t>0</w:t>
            </w:r>
          </w:p>
        </w:tc>
      </w:tr>
      <w:tr w:rsidR="004E11B5" w:rsidRPr="000A39FF" w14:paraId="33AC614B" w14:textId="77777777" w:rsidTr="00AE6288">
        <w:trPr>
          <w:jc w:val="center"/>
        </w:trPr>
        <w:tc>
          <w:tcPr>
            <w:tcW w:w="1671" w:type="dxa"/>
            <w:hideMark/>
          </w:tcPr>
          <w:p w14:paraId="79A99524" w14:textId="77777777" w:rsidR="004E11B5" w:rsidRPr="000A39FF" w:rsidRDefault="004E11B5" w:rsidP="00A93351">
            <w:pPr>
              <w:rPr>
                <w:iCs/>
                <w:lang w:eastAsia="lv-LV"/>
              </w:rPr>
            </w:pPr>
            <w:r w:rsidRPr="000A39FF">
              <w:rPr>
                <w:iCs/>
                <w:lang w:eastAsia="lv-LV"/>
              </w:rPr>
              <w:t>2.1. valsts pamatbudžets</w:t>
            </w:r>
          </w:p>
        </w:tc>
        <w:tc>
          <w:tcPr>
            <w:tcW w:w="1111" w:type="dxa"/>
            <w:vAlign w:val="center"/>
            <w:hideMark/>
          </w:tcPr>
          <w:p w14:paraId="79CB77BE" w14:textId="77777777" w:rsidR="004E11B5" w:rsidRPr="000A39FF" w:rsidRDefault="004E11B5" w:rsidP="00AE6288">
            <w:pPr>
              <w:jc w:val="center"/>
              <w:rPr>
                <w:iCs/>
                <w:lang w:eastAsia="lv-LV"/>
              </w:rPr>
            </w:pPr>
            <w:r w:rsidRPr="000A39FF">
              <w:rPr>
                <w:iCs/>
                <w:lang w:eastAsia="lv-LV"/>
              </w:rPr>
              <w:t>0</w:t>
            </w:r>
          </w:p>
        </w:tc>
        <w:tc>
          <w:tcPr>
            <w:tcW w:w="1140" w:type="dxa"/>
            <w:vAlign w:val="center"/>
          </w:tcPr>
          <w:p w14:paraId="0DBDA2FF" w14:textId="63A3EACA" w:rsidR="004E11B5" w:rsidRPr="000A39FF" w:rsidRDefault="009138B1" w:rsidP="00AE6288">
            <w:pPr>
              <w:jc w:val="center"/>
              <w:rPr>
                <w:iCs/>
                <w:lang w:eastAsia="lv-LV"/>
              </w:rPr>
            </w:pPr>
            <w:r w:rsidRPr="000A39FF">
              <w:rPr>
                <w:iCs/>
                <w:lang w:eastAsia="lv-LV"/>
              </w:rPr>
              <w:t>0</w:t>
            </w:r>
          </w:p>
        </w:tc>
        <w:tc>
          <w:tcPr>
            <w:tcW w:w="967" w:type="dxa"/>
            <w:vAlign w:val="center"/>
          </w:tcPr>
          <w:p w14:paraId="6157853A" w14:textId="4261D92D" w:rsidR="004E11B5" w:rsidRPr="000A39FF" w:rsidRDefault="00AD4714" w:rsidP="00AE6288">
            <w:pPr>
              <w:jc w:val="center"/>
              <w:rPr>
                <w:iCs/>
                <w:lang w:eastAsia="lv-LV"/>
              </w:rPr>
            </w:pPr>
            <w:r w:rsidRPr="000A39FF">
              <w:rPr>
                <w:iCs/>
                <w:lang w:eastAsia="lv-LV"/>
              </w:rPr>
              <w:t>0</w:t>
            </w:r>
          </w:p>
        </w:tc>
        <w:tc>
          <w:tcPr>
            <w:tcW w:w="1283" w:type="dxa"/>
            <w:vAlign w:val="center"/>
          </w:tcPr>
          <w:p w14:paraId="33DB9D6F" w14:textId="3A2349B8" w:rsidR="004E11B5" w:rsidRPr="000A39FF" w:rsidRDefault="00B81E0A" w:rsidP="00AE6288">
            <w:pPr>
              <w:jc w:val="center"/>
              <w:rPr>
                <w:iCs/>
                <w:lang w:eastAsia="lv-LV"/>
              </w:rPr>
            </w:pPr>
            <w:r>
              <w:rPr>
                <w:iCs/>
                <w:lang w:eastAsia="lv-LV"/>
              </w:rPr>
              <w:t>0</w:t>
            </w:r>
          </w:p>
        </w:tc>
        <w:tc>
          <w:tcPr>
            <w:tcW w:w="967" w:type="dxa"/>
            <w:vAlign w:val="center"/>
          </w:tcPr>
          <w:p w14:paraId="3F04B640" w14:textId="307C59D2" w:rsidR="004E11B5" w:rsidRPr="000A39FF" w:rsidRDefault="00AD4714" w:rsidP="00AE6288">
            <w:pPr>
              <w:jc w:val="center"/>
              <w:rPr>
                <w:iCs/>
                <w:lang w:eastAsia="lv-LV"/>
              </w:rPr>
            </w:pPr>
            <w:r w:rsidRPr="000A39FF">
              <w:rPr>
                <w:iCs/>
                <w:lang w:eastAsia="lv-LV"/>
              </w:rPr>
              <w:t>0</w:t>
            </w:r>
          </w:p>
        </w:tc>
        <w:tc>
          <w:tcPr>
            <w:tcW w:w="998" w:type="dxa"/>
            <w:vAlign w:val="center"/>
          </w:tcPr>
          <w:p w14:paraId="4EC29962" w14:textId="124A51A0" w:rsidR="004E11B5" w:rsidRPr="000A39FF" w:rsidRDefault="009138B1" w:rsidP="00AE6288">
            <w:pPr>
              <w:jc w:val="center"/>
              <w:rPr>
                <w:iCs/>
                <w:lang w:eastAsia="lv-LV"/>
              </w:rPr>
            </w:pPr>
            <w:r w:rsidRPr="000A39FF">
              <w:rPr>
                <w:iCs/>
                <w:lang w:eastAsia="lv-LV"/>
              </w:rPr>
              <w:t>0</w:t>
            </w:r>
          </w:p>
        </w:tc>
        <w:tc>
          <w:tcPr>
            <w:tcW w:w="1074" w:type="dxa"/>
            <w:vAlign w:val="center"/>
          </w:tcPr>
          <w:p w14:paraId="1A832197" w14:textId="14AF9C13" w:rsidR="004E11B5" w:rsidRPr="000A39FF" w:rsidRDefault="009138B1" w:rsidP="00AE6288">
            <w:pPr>
              <w:jc w:val="center"/>
              <w:rPr>
                <w:iCs/>
                <w:lang w:eastAsia="lv-LV"/>
              </w:rPr>
            </w:pPr>
            <w:r w:rsidRPr="000A39FF">
              <w:rPr>
                <w:iCs/>
                <w:lang w:eastAsia="lv-LV"/>
              </w:rPr>
              <w:t>0</w:t>
            </w:r>
          </w:p>
        </w:tc>
      </w:tr>
      <w:tr w:rsidR="004E11B5" w:rsidRPr="000A39FF" w14:paraId="744A74F3" w14:textId="77777777" w:rsidTr="00AE6288">
        <w:trPr>
          <w:jc w:val="center"/>
        </w:trPr>
        <w:tc>
          <w:tcPr>
            <w:tcW w:w="1671" w:type="dxa"/>
            <w:hideMark/>
          </w:tcPr>
          <w:p w14:paraId="771D4000" w14:textId="77777777" w:rsidR="004E11B5" w:rsidRPr="000A39FF" w:rsidRDefault="004E11B5" w:rsidP="00A93351">
            <w:pPr>
              <w:rPr>
                <w:iCs/>
                <w:lang w:eastAsia="lv-LV"/>
              </w:rPr>
            </w:pPr>
            <w:r w:rsidRPr="000A39FF">
              <w:rPr>
                <w:iCs/>
                <w:lang w:eastAsia="lv-LV"/>
              </w:rPr>
              <w:t>2.2. valsts speciālais budžets</w:t>
            </w:r>
          </w:p>
        </w:tc>
        <w:tc>
          <w:tcPr>
            <w:tcW w:w="1111" w:type="dxa"/>
            <w:vAlign w:val="center"/>
            <w:hideMark/>
          </w:tcPr>
          <w:p w14:paraId="382D4453" w14:textId="4101C41D" w:rsidR="004E11B5" w:rsidRPr="000A39FF" w:rsidRDefault="004E11B5" w:rsidP="00AE6288">
            <w:pPr>
              <w:jc w:val="center"/>
              <w:rPr>
                <w:iCs/>
                <w:lang w:eastAsia="lv-LV"/>
              </w:rPr>
            </w:pPr>
            <w:r w:rsidRPr="000A39FF">
              <w:rPr>
                <w:iCs/>
                <w:lang w:eastAsia="lv-LV"/>
              </w:rPr>
              <w:t>0</w:t>
            </w:r>
          </w:p>
        </w:tc>
        <w:tc>
          <w:tcPr>
            <w:tcW w:w="1140" w:type="dxa"/>
            <w:vAlign w:val="center"/>
          </w:tcPr>
          <w:p w14:paraId="3BA2F59A" w14:textId="3C263B1B" w:rsidR="004E11B5" w:rsidRPr="000A39FF" w:rsidRDefault="004E11B5" w:rsidP="00AE6288">
            <w:pPr>
              <w:jc w:val="center"/>
              <w:rPr>
                <w:iCs/>
                <w:lang w:eastAsia="lv-LV"/>
              </w:rPr>
            </w:pPr>
            <w:r w:rsidRPr="000A39FF">
              <w:rPr>
                <w:iCs/>
                <w:lang w:eastAsia="lv-LV"/>
              </w:rPr>
              <w:t>0</w:t>
            </w:r>
          </w:p>
        </w:tc>
        <w:tc>
          <w:tcPr>
            <w:tcW w:w="967" w:type="dxa"/>
            <w:vAlign w:val="center"/>
          </w:tcPr>
          <w:p w14:paraId="6E583DEC" w14:textId="3ED57820" w:rsidR="004E11B5" w:rsidRPr="000A39FF" w:rsidRDefault="00AD4714" w:rsidP="00AE6288">
            <w:pPr>
              <w:jc w:val="center"/>
              <w:rPr>
                <w:iCs/>
                <w:lang w:eastAsia="lv-LV"/>
              </w:rPr>
            </w:pPr>
            <w:r w:rsidRPr="000A39FF">
              <w:rPr>
                <w:iCs/>
                <w:lang w:eastAsia="lv-LV"/>
              </w:rPr>
              <w:t>0</w:t>
            </w:r>
          </w:p>
        </w:tc>
        <w:tc>
          <w:tcPr>
            <w:tcW w:w="1283" w:type="dxa"/>
            <w:vAlign w:val="center"/>
          </w:tcPr>
          <w:p w14:paraId="36062B8D" w14:textId="759EF635" w:rsidR="004E11B5" w:rsidRPr="000A39FF" w:rsidRDefault="004E11B5" w:rsidP="00AE6288">
            <w:pPr>
              <w:jc w:val="center"/>
              <w:rPr>
                <w:iCs/>
                <w:lang w:eastAsia="lv-LV"/>
              </w:rPr>
            </w:pPr>
            <w:r w:rsidRPr="000A39FF">
              <w:rPr>
                <w:iCs/>
                <w:lang w:eastAsia="lv-LV"/>
              </w:rPr>
              <w:t>0</w:t>
            </w:r>
          </w:p>
        </w:tc>
        <w:tc>
          <w:tcPr>
            <w:tcW w:w="967" w:type="dxa"/>
            <w:vAlign w:val="center"/>
          </w:tcPr>
          <w:p w14:paraId="071F4ABF" w14:textId="15D1E64A" w:rsidR="004E11B5" w:rsidRPr="000A39FF" w:rsidRDefault="00AD4714" w:rsidP="00AE6288">
            <w:pPr>
              <w:jc w:val="center"/>
              <w:rPr>
                <w:iCs/>
                <w:lang w:eastAsia="lv-LV"/>
              </w:rPr>
            </w:pPr>
            <w:r w:rsidRPr="000A39FF">
              <w:rPr>
                <w:iCs/>
                <w:lang w:eastAsia="lv-LV"/>
              </w:rPr>
              <w:t>0</w:t>
            </w:r>
          </w:p>
        </w:tc>
        <w:tc>
          <w:tcPr>
            <w:tcW w:w="998" w:type="dxa"/>
            <w:vAlign w:val="center"/>
          </w:tcPr>
          <w:p w14:paraId="0CFB839D" w14:textId="32D09635" w:rsidR="004E11B5" w:rsidRPr="000A39FF" w:rsidRDefault="004E11B5" w:rsidP="00AE6288">
            <w:pPr>
              <w:jc w:val="center"/>
              <w:rPr>
                <w:iCs/>
                <w:lang w:eastAsia="lv-LV"/>
              </w:rPr>
            </w:pPr>
            <w:r w:rsidRPr="000A39FF">
              <w:rPr>
                <w:iCs/>
                <w:lang w:eastAsia="lv-LV"/>
              </w:rPr>
              <w:t>0</w:t>
            </w:r>
          </w:p>
        </w:tc>
        <w:tc>
          <w:tcPr>
            <w:tcW w:w="1074" w:type="dxa"/>
            <w:vAlign w:val="center"/>
          </w:tcPr>
          <w:p w14:paraId="27F4C586" w14:textId="6B01A0C5" w:rsidR="004E11B5" w:rsidRPr="000A39FF" w:rsidRDefault="004E11B5" w:rsidP="00AE6288">
            <w:pPr>
              <w:jc w:val="center"/>
              <w:rPr>
                <w:iCs/>
                <w:lang w:eastAsia="lv-LV"/>
              </w:rPr>
            </w:pPr>
            <w:r w:rsidRPr="000A39FF">
              <w:rPr>
                <w:iCs/>
                <w:lang w:eastAsia="lv-LV"/>
              </w:rPr>
              <w:t>0</w:t>
            </w:r>
          </w:p>
        </w:tc>
      </w:tr>
      <w:tr w:rsidR="004E11B5" w:rsidRPr="000A39FF" w14:paraId="7F453EE9" w14:textId="77777777" w:rsidTr="00AE6288">
        <w:trPr>
          <w:jc w:val="center"/>
        </w:trPr>
        <w:tc>
          <w:tcPr>
            <w:tcW w:w="1671" w:type="dxa"/>
            <w:hideMark/>
          </w:tcPr>
          <w:p w14:paraId="67759539" w14:textId="77777777" w:rsidR="004E11B5" w:rsidRPr="000A39FF" w:rsidRDefault="004E11B5" w:rsidP="00A93351">
            <w:pPr>
              <w:rPr>
                <w:iCs/>
                <w:lang w:eastAsia="lv-LV"/>
              </w:rPr>
            </w:pPr>
            <w:r w:rsidRPr="000A39FF">
              <w:rPr>
                <w:iCs/>
                <w:lang w:eastAsia="lv-LV"/>
              </w:rPr>
              <w:t>2.3. pašvaldību budžets</w:t>
            </w:r>
          </w:p>
        </w:tc>
        <w:tc>
          <w:tcPr>
            <w:tcW w:w="1111" w:type="dxa"/>
            <w:vAlign w:val="center"/>
            <w:hideMark/>
          </w:tcPr>
          <w:p w14:paraId="24EA8ACB" w14:textId="77777777" w:rsidR="004E11B5" w:rsidRPr="000A39FF" w:rsidRDefault="004E11B5" w:rsidP="00AE6288">
            <w:pPr>
              <w:jc w:val="center"/>
              <w:rPr>
                <w:iCs/>
                <w:lang w:eastAsia="lv-LV"/>
              </w:rPr>
            </w:pPr>
            <w:r w:rsidRPr="000A39FF">
              <w:rPr>
                <w:iCs/>
                <w:lang w:eastAsia="lv-LV"/>
              </w:rPr>
              <w:t>0</w:t>
            </w:r>
          </w:p>
        </w:tc>
        <w:tc>
          <w:tcPr>
            <w:tcW w:w="1140" w:type="dxa"/>
            <w:vAlign w:val="center"/>
          </w:tcPr>
          <w:p w14:paraId="54DB547A" w14:textId="21B64391" w:rsidR="004E11B5" w:rsidRPr="000A39FF" w:rsidRDefault="004E11B5" w:rsidP="00AE6288">
            <w:pPr>
              <w:jc w:val="center"/>
              <w:rPr>
                <w:iCs/>
                <w:lang w:eastAsia="lv-LV"/>
              </w:rPr>
            </w:pPr>
            <w:r w:rsidRPr="000A39FF">
              <w:rPr>
                <w:iCs/>
                <w:lang w:eastAsia="lv-LV"/>
              </w:rPr>
              <w:t>0</w:t>
            </w:r>
          </w:p>
        </w:tc>
        <w:tc>
          <w:tcPr>
            <w:tcW w:w="967" w:type="dxa"/>
            <w:vAlign w:val="center"/>
          </w:tcPr>
          <w:p w14:paraId="70C56644" w14:textId="1E6E493B" w:rsidR="004E11B5" w:rsidRPr="000A39FF" w:rsidRDefault="00AD4714" w:rsidP="00AE6288">
            <w:pPr>
              <w:jc w:val="center"/>
              <w:rPr>
                <w:iCs/>
                <w:lang w:eastAsia="lv-LV"/>
              </w:rPr>
            </w:pPr>
            <w:r w:rsidRPr="000A39FF">
              <w:rPr>
                <w:iCs/>
                <w:lang w:eastAsia="lv-LV"/>
              </w:rPr>
              <w:t>0</w:t>
            </w:r>
          </w:p>
        </w:tc>
        <w:tc>
          <w:tcPr>
            <w:tcW w:w="1283" w:type="dxa"/>
            <w:vAlign w:val="center"/>
          </w:tcPr>
          <w:p w14:paraId="50592587" w14:textId="4A4C6B83" w:rsidR="004E11B5" w:rsidRPr="000A39FF" w:rsidRDefault="004E11B5" w:rsidP="00AE6288">
            <w:pPr>
              <w:jc w:val="center"/>
              <w:rPr>
                <w:iCs/>
                <w:lang w:eastAsia="lv-LV"/>
              </w:rPr>
            </w:pPr>
            <w:r w:rsidRPr="000A39FF">
              <w:rPr>
                <w:iCs/>
                <w:lang w:eastAsia="lv-LV"/>
              </w:rPr>
              <w:t>0</w:t>
            </w:r>
          </w:p>
        </w:tc>
        <w:tc>
          <w:tcPr>
            <w:tcW w:w="967" w:type="dxa"/>
            <w:vAlign w:val="center"/>
          </w:tcPr>
          <w:p w14:paraId="0150C251" w14:textId="116CCBC4" w:rsidR="004E11B5" w:rsidRPr="000A39FF" w:rsidRDefault="00AD4714" w:rsidP="00AE6288">
            <w:pPr>
              <w:jc w:val="center"/>
              <w:rPr>
                <w:iCs/>
                <w:lang w:eastAsia="lv-LV"/>
              </w:rPr>
            </w:pPr>
            <w:r w:rsidRPr="000A39FF">
              <w:rPr>
                <w:iCs/>
                <w:lang w:eastAsia="lv-LV"/>
              </w:rPr>
              <w:t>0</w:t>
            </w:r>
          </w:p>
        </w:tc>
        <w:tc>
          <w:tcPr>
            <w:tcW w:w="998" w:type="dxa"/>
            <w:vAlign w:val="center"/>
          </w:tcPr>
          <w:p w14:paraId="61B072CE" w14:textId="56832C8B" w:rsidR="004E11B5" w:rsidRPr="000A39FF" w:rsidRDefault="004E11B5" w:rsidP="00AE6288">
            <w:pPr>
              <w:jc w:val="center"/>
              <w:rPr>
                <w:iCs/>
                <w:lang w:eastAsia="lv-LV"/>
              </w:rPr>
            </w:pPr>
            <w:r w:rsidRPr="000A39FF">
              <w:rPr>
                <w:iCs/>
                <w:lang w:eastAsia="lv-LV"/>
              </w:rPr>
              <w:t>0</w:t>
            </w:r>
          </w:p>
        </w:tc>
        <w:tc>
          <w:tcPr>
            <w:tcW w:w="1074" w:type="dxa"/>
            <w:vAlign w:val="center"/>
          </w:tcPr>
          <w:p w14:paraId="49313183" w14:textId="5CC1F65A" w:rsidR="004E11B5" w:rsidRPr="000A39FF" w:rsidRDefault="004E11B5" w:rsidP="00AE6288">
            <w:pPr>
              <w:jc w:val="center"/>
              <w:rPr>
                <w:iCs/>
                <w:lang w:eastAsia="lv-LV"/>
              </w:rPr>
            </w:pPr>
            <w:r w:rsidRPr="000A39FF">
              <w:rPr>
                <w:iCs/>
                <w:lang w:eastAsia="lv-LV"/>
              </w:rPr>
              <w:t>0</w:t>
            </w:r>
          </w:p>
        </w:tc>
      </w:tr>
      <w:tr w:rsidR="004E11B5" w:rsidRPr="000A39FF" w14:paraId="64333EEE" w14:textId="77777777" w:rsidTr="00AE6288">
        <w:trPr>
          <w:jc w:val="center"/>
        </w:trPr>
        <w:tc>
          <w:tcPr>
            <w:tcW w:w="1671" w:type="dxa"/>
            <w:hideMark/>
          </w:tcPr>
          <w:p w14:paraId="1E8B660F" w14:textId="77777777" w:rsidR="004E11B5" w:rsidRPr="000A39FF" w:rsidRDefault="004E11B5" w:rsidP="00A93351">
            <w:pPr>
              <w:rPr>
                <w:iCs/>
                <w:lang w:eastAsia="lv-LV"/>
              </w:rPr>
            </w:pPr>
            <w:r w:rsidRPr="000A39FF">
              <w:rPr>
                <w:iCs/>
                <w:lang w:eastAsia="lv-LV"/>
              </w:rPr>
              <w:t>3. Finansiālā ietekme</w:t>
            </w:r>
          </w:p>
        </w:tc>
        <w:tc>
          <w:tcPr>
            <w:tcW w:w="1111" w:type="dxa"/>
            <w:vAlign w:val="center"/>
            <w:hideMark/>
          </w:tcPr>
          <w:p w14:paraId="64D71933" w14:textId="55E2DCD2" w:rsidR="004E11B5" w:rsidRPr="000A39FF" w:rsidRDefault="00AD4714" w:rsidP="00AE6288">
            <w:pPr>
              <w:jc w:val="center"/>
              <w:rPr>
                <w:iCs/>
                <w:lang w:eastAsia="lv-LV"/>
              </w:rPr>
            </w:pPr>
            <w:r w:rsidRPr="000A39FF">
              <w:rPr>
                <w:iCs/>
                <w:lang w:eastAsia="lv-LV"/>
              </w:rPr>
              <w:t>0</w:t>
            </w:r>
          </w:p>
        </w:tc>
        <w:tc>
          <w:tcPr>
            <w:tcW w:w="1140" w:type="dxa"/>
            <w:vAlign w:val="center"/>
          </w:tcPr>
          <w:p w14:paraId="2AEEABDF" w14:textId="59F89721" w:rsidR="004E11B5" w:rsidRPr="000A39FF" w:rsidRDefault="001D1708" w:rsidP="00AE6288">
            <w:pPr>
              <w:jc w:val="center"/>
              <w:rPr>
                <w:iCs/>
                <w:lang w:eastAsia="lv-LV"/>
              </w:rPr>
            </w:pPr>
            <w:r w:rsidRPr="000A39FF">
              <w:rPr>
                <w:iCs/>
                <w:lang w:eastAsia="lv-LV"/>
              </w:rPr>
              <w:t>0</w:t>
            </w:r>
          </w:p>
        </w:tc>
        <w:tc>
          <w:tcPr>
            <w:tcW w:w="967" w:type="dxa"/>
            <w:vAlign w:val="center"/>
          </w:tcPr>
          <w:p w14:paraId="42131DF7" w14:textId="07FC1B9A" w:rsidR="004E11B5" w:rsidRPr="000A39FF" w:rsidRDefault="00AD4714" w:rsidP="00AE6288">
            <w:pPr>
              <w:jc w:val="center"/>
              <w:rPr>
                <w:iCs/>
                <w:lang w:eastAsia="lv-LV"/>
              </w:rPr>
            </w:pPr>
            <w:r w:rsidRPr="000A39FF">
              <w:rPr>
                <w:iCs/>
                <w:lang w:eastAsia="lv-LV"/>
              </w:rPr>
              <w:t>0</w:t>
            </w:r>
          </w:p>
        </w:tc>
        <w:tc>
          <w:tcPr>
            <w:tcW w:w="1283" w:type="dxa"/>
            <w:vAlign w:val="center"/>
          </w:tcPr>
          <w:p w14:paraId="5305E9ED" w14:textId="7EB7E545" w:rsidR="004E11B5" w:rsidRPr="000A39FF" w:rsidRDefault="00B81E0A" w:rsidP="00AE6288">
            <w:pPr>
              <w:jc w:val="center"/>
              <w:rPr>
                <w:iCs/>
                <w:lang w:eastAsia="lv-LV"/>
              </w:rPr>
            </w:pPr>
            <w:r>
              <w:rPr>
                <w:iCs/>
                <w:lang w:eastAsia="lv-LV"/>
              </w:rPr>
              <w:t>0</w:t>
            </w:r>
          </w:p>
        </w:tc>
        <w:tc>
          <w:tcPr>
            <w:tcW w:w="967" w:type="dxa"/>
            <w:vAlign w:val="center"/>
          </w:tcPr>
          <w:p w14:paraId="081A256A" w14:textId="0100A955" w:rsidR="004E11B5" w:rsidRPr="000A39FF" w:rsidRDefault="00AD4714" w:rsidP="00AE6288">
            <w:pPr>
              <w:jc w:val="center"/>
              <w:rPr>
                <w:iCs/>
                <w:lang w:eastAsia="lv-LV"/>
              </w:rPr>
            </w:pPr>
            <w:r w:rsidRPr="000A39FF">
              <w:rPr>
                <w:iCs/>
                <w:lang w:eastAsia="lv-LV"/>
              </w:rPr>
              <w:t>0</w:t>
            </w:r>
          </w:p>
        </w:tc>
        <w:tc>
          <w:tcPr>
            <w:tcW w:w="998" w:type="dxa"/>
            <w:vAlign w:val="center"/>
          </w:tcPr>
          <w:p w14:paraId="0C988A1B" w14:textId="3FC207EF" w:rsidR="004E11B5" w:rsidRPr="000A39FF" w:rsidRDefault="001D1708" w:rsidP="00AE6288">
            <w:pPr>
              <w:jc w:val="center"/>
              <w:rPr>
                <w:iCs/>
                <w:lang w:eastAsia="lv-LV"/>
              </w:rPr>
            </w:pPr>
            <w:r w:rsidRPr="000A39FF">
              <w:rPr>
                <w:iCs/>
                <w:lang w:eastAsia="lv-LV"/>
              </w:rPr>
              <w:t>0</w:t>
            </w:r>
          </w:p>
        </w:tc>
        <w:tc>
          <w:tcPr>
            <w:tcW w:w="1074" w:type="dxa"/>
            <w:vAlign w:val="center"/>
          </w:tcPr>
          <w:p w14:paraId="52F6E16F" w14:textId="3E3BF94A" w:rsidR="004E11B5" w:rsidRPr="000A39FF" w:rsidRDefault="001D1708" w:rsidP="00AE6288">
            <w:pPr>
              <w:jc w:val="center"/>
              <w:rPr>
                <w:iCs/>
                <w:lang w:eastAsia="lv-LV"/>
              </w:rPr>
            </w:pPr>
            <w:r w:rsidRPr="000A39FF">
              <w:rPr>
                <w:iCs/>
                <w:lang w:eastAsia="lv-LV"/>
              </w:rPr>
              <w:t>0</w:t>
            </w:r>
          </w:p>
        </w:tc>
      </w:tr>
      <w:tr w:rsidR="004E11B5" w:rsidRPr="000A39FF" w14:paraId="44E2F1B2" w14:textId="77777777" w:rsidTr="00AE6288">
        <w:trPr>
          <w:jc w:val="center"/>
        </w:trPr>
        <w:tc>
          <w:tcPr>
            <w:tcW w:w="1671" w:type="dxa"/>
            <w:hideMark/>
          </w:tcPr>
          <w:p w14:paraId="1D0227F9" w14:textId="77777777" w:rsidR="004E11B5" w:rsidRPr="000A39FF" w:rsidRDefault="004E11B5" w:rsidP="00A93351">
            <w:pPr>
              <w:rPr>
                <w:iCs/>
                <w:lang w:eastAsia="lv-LV"/>
              </w:rPr>
            </w:pPr>
            <w:r w:rsidRPr="000A39FF">
              <w:rPr>
                <w:iCs/>
                <w:lang w:eastAsia="lv-LV"/>
              </w:rPr>
              <w:t>3.1. valsts pamatbudžets</w:t>
            </w:r>
          </w:p>
        </w:tc>
        <w:tc>
          <w:tcPr>
            <w:tcW w:w="1111" w:type="dxa"/>
            <w:vAlign w:val="center"/>
            <w:hideMark/>
          </w:tcPr>
          <w:p w14:paraId="76C44A6E" w14:textId="77777777" w:rsidR="004E11B5" w:rsidRPr="000A39FF" w:rsidRDefault="004E11B5" w:rsidP="00AE6288">
            <w:pPr>
              <w:jc w:val="center"/>
              <w:rPr>
                <w:iCs/>
                <w:lang w:eastAsia="lv-LV"/>
              </w:rPr>
            </w:pPr>
            <w:r w:rsidRPr="000A39FF">
              <w:rPr>
                <w:iCs/>
                <w:lang w:eastAsia="lv-LV"/>
              </w:rPr>
              <w:t>0</w:t>
            </w:r>
          </w:p>
        </w:tc>
        <w:tc>
          <w:tcPr>
            <w:tcW w:w="1140" w:type="dxa"/>
            <w:vAlign w:val="center"/>
          </w:tcPr>
          <w:p w14:paraId="63684908" w14:textId="4D4DEA6D" w:rsidR="004E11B5" w:rsidRPr="000A39FF" w:rsidRDefault="001D1708" w:rsidP="00AE6288">
            <w:pPr>
              <w:jc w:val="center"/>
              <w:rPr>
                <w:iCs/>
                <w:lang w:eastAsia="lv-LV"/>
              </w:rPr>
            </w:pPr>
            <w:r w:rsidRPr="000A39FF">
              <w:rPr>
                <w:iCs/>
                <w:lang w:eastAsia="lv-LV"/>
              </w:rPr>
              <w:t>0</w:t>
            </w:r>
          </w:p>
        </w:tc>
        <w:tc>
          <w:tcPr>
            <w:tcW w:w="967" w:type="dxa"/>
            <w:vAlign w:val="center"/>
          </w:tcPr>
          <w:p w14:paraId="04DA50CF" w14:textId="6DBB9B24" w:rsidR="004E11B5" w:rsidRPr="000A39FF" w:rsidRDefault="00AD4714" w:rsidP="00AE6288">
            <w:pPr>
              <w:jc w:val="center"/>
              <w:rPr>
                <w:iCs/>
                <w:lang w:eastAsia="lv-LV"/>
              </w:rPr>
            </w:pPr>
            <w:r w:rsidRPr="000A39FF">
              <w:rPr>
                <w:iCs/>
                <w:lang w:eastAsia="lv-LV"/>
              </w:rPr>
              <w:t>0</w:t>
            </w:r>
          </w:p>
        </w:tc>
        <w:tc>
          <w:tcPr>
            <w:tcW w:w="1283" w:type="dxa"/>
            <w:vAlign w:val="center"/>
          </w:tcPr>
          <w:p w14:paraId="0A13B88F" w14:textId="03B695DC" w:rsidR="004E11B5" w:rsidRPr="000A39FF" w:rsidRDefault="00B81E0A" w:rsidP="00AE6288">
            <w:pPr>
              <w:jc w:val="center"/>
              <w:rPr>
                <w:iCs/>
                <w:lang w:eastAsia="lv-LV"/>
              </w:rPr>
            </w:pPr>
            <w:r>
              <w:rPr>
                <w:iCs/>
                <w:lang w:eastAsia="lv-LV"/>
              </w:rPr>
              <w:t>0</w:t>
            </w:r>
          </w:p>
        </w:tc>
        <w:tc>
          <w:tcPr>
            <w:tcW w:w="967" w:type="dxa"/>
            <w:vAlign w:val="center"/>
          </w:tcPr>
          <w:p w14:paraId="783E6B22" w14:textId="54DC3D4A" w:rsidR="004E11B5" w:rsidRPr="000A39FF" w:rsidRDefault="00A65175" w:rsidP="00AE6288">
            <w:pPr>
              <w:jc w:val="center"/>
              <w:rPr>
                <w:iCs/>
                <w:lang w:eastAsia="lv-LV"/>
              </w:rPr>
            </w:pPr>
            <w:r w:rsidRPr="000A39FF">
              <w:rPr>
                <w:iCs/>
                <w:lang w:eastAsia="lv-LV"/>
              </w:rPr>
              <w:t>0</w:t>
            </w:r>
          </w:p>
        </w:tc>
        <w:tc>
          <w:tcPr>
            <w:tcW w:w="998" w:type="dxa"/>
            <w:vAlign w:val="center"/>
          </w:tcPr>
          <w:p w14:paraId="46CB2722" w14:textId="01A426AE" w:rsidR="004E11B5" w:rsidRPr="000A39FF" w:rsidRDefault="001D1708" w:rsidP="00AE6288">
            <w:pPr>
              <w:jc w:val="center"/>
              <w:rPr>
                <w:iCs/>
                <w:lang w:eastAsia="lv-LV"/>
              </w:rPr>
            </w:pPr>
            <w:r w:rsidRPr="000A39FF">
              <w:rPr>
                <w:iCs/>
                <w:lang w:eastAsia="lv-LV"/>
              </w:rPr>
              <w:t>0</w:t>
            </w:r>
          </w:p>
        </w:tc>
        <w:tc>
          <w:tcPr>
            <w:tcW w:w="1074" w:type="dxa"/>
            <w:vAlign w:val="center"/>
          </w:tcPr>
          <w:p w14:paraId="7AA91DA3" w14:textId="0FC73C23" w:rsidR="004E11B5" w:rsidRPr="000A39FF" w:rsidRDefault="001D1708" w:rsidP="00AE6288">
            <w:pPr>
              <w:jc w:val="center"/>
              <w:rPr>
                <w:iCs/>
                <w:lang w:eastAsia="lv-LV"/>
              </w:rPr>
            </w:pPr>
            <w:r w:rsidRPr="000A39FF">
              <w:rPr>
                <w:iCs/>
                <w:lang w:eastAsia="lv-LV"/>
              </w:rPr>
              <w:t>0</w:t>
            </w:r>
          </w:p>
        </w:tc>
      </w:tr>
      <w:tr w:rsidR="004E11B5" w:rsidRPr="000A39FF" w14:paraId="7A01DCF8" w14:textId="77777777" w:rsidTr="00AE6288">
        <w:trPr>
          <w:jc w:val="center"/>
        </w:trPr>
        <w:tc>
          <w:tcPr>
            <w:tcW w:w="1671" w:type="dxa"/>
            <w:hideMark/>
          </w:tcPr>
          <w:p w14:paraId="515F20B1" w14:textId="77777777" w:rsidR="004E11B5" w:rsidRPr="000A39FF" w:rsidRDefault="004E11B5" w:rsidP="00A93351">
            <w:pPr>
              <w:rPr>
                <w:iCs/>
                <w:lang w:eastAsia="lv-LV"/>
              </w:rPr>
            </w:pPr>
            <w:r w:rsidRPr="000A39FF">
              <w:rPr>
                <w:iCs/>
                <w:lang w:eastAsia="lv-LV"/>
              </w:rPr>
              <w:t>3.2. speciālais budžets</w:t>
            </w:r>
          </w:p>
        </w:tc>
        <w:tc>
          <w:tcPr>
            <w:tcW w:w="1111" w:type="dxa"/>
            <w:vAlign w:val="center"/>
            <w:hideMark/>
          </w:tcPr>
          <w:p w14:paraId="4975F6C6" w14:textId="7BCD67DF" w:rsidR="004E11B5" w:rsidRPr="000A39FF" w:rsidRDefault="004E11B5" w:rsidP="00AE6288">
            <w:pPr>
              <w:jc w:val="center"/>
              <w:rPr>
                <w:iCs/>
                <w:lang w:eastAsia="lv-LV"/>
              </w:rPr>
            </w:pPr>
            <w:r w:rsidRPr="000A39FF">
              <w:rPr>
                <w:iCs/>
                <w:lang w:eastAsia="lv-LV"/>
              </w:rPr>
              <w:t>0</w:t>
            </w:r>
          </w:p>
        </w:tc>
        <w:tc>
          <w:tcPr>
            <w:tcW w:w="1140" w:type="dxa"/>
            <w:vAlign w:val="center"/>
          </w:tcPr>
          <w:p w14:paraId="4D88E6EA" w14:textId="550430AE" w:rsidR="004E11B5" w:rsidRPr="000A39FF" w:rsidRDefault="004E11B5" w:rsidP="00AE6288">
            <w:pPr>
              <w:jc w:val="center"/>
              <w:rPr>
                <w:iCs/>
                <w:lang w:eastAsia="lv-LV"/>
              </w:rPr>
            </w:pPr>
            <w:r w:rsidRPr="000A39FF">
              <w:rPr>
                <w:iCs/>
                <w:lang w:eastAsia="lv-LV"/>
              </w:rPr>
              <w:t>0</w:t>
            </w:r>
          </w:p>
        </w:tc>
        <w:tc>
          <w:tcPr>
            <w:tcW w:w="967" w:type="dxa"/>
            <w:vAlign w:val="center"/>
          </w:tcPr>
          <w:p w14:paraId="2289B544" w14:textId="513B96C2" w:rsidR="004E11B5" w:rsidRPr="000A39FF" w:rsidRDefault="00AD4714" w:rsidP="00AE6288">
            <w:pPr>
              <w:jc w:val="center"/>
              <w:rPr>
                <w:iCs/>
                <w:lang w:eastAsia="lv-LV"/>
              </w:rPr>
            </w:pPr>
            <w:r w:rsidRPr="000A39FF">
              <w:rPr>
                <w:iCs/>
                <w:lang w:eastAsia="lv-LV"/>
              </w:rPr>
              <w:t>0</w:t>
            </w:r>
          </w:p>
        </w:tc>
        <w:tc>
          <w:tcPr>
            <w:tcW w:w="1283" w:type="dxa"/>
            <w:vAlign w:val="center"/>
          </w:tcPr>
          <w:p w14:paraId="270032F6" w14:textId="465AC022" w:rsidR="004E11B5" w:rsidRPr="000A39FF" w:rsidRDefault="004E11B5" w:rsidP="00AE6288">
            <w:pPr>
              <w:jc w:val="center"/>
              <w:rPr>
                <w:iCs/>
                <w:lang w:eastAsia="lv-LV"/>
              </w:rPr>
            </w:pPr>
            <w:r w:rsidRPr="000A39FF">
              <w:rPr>
                <w:iCs/>
                <w:lang w:eastAsia="lv-LV"/>
              </w:rPr>
              <w:t>0</w:t>
            </w:r>
          </w:p>
        </w:tc>
        <w:tc>
          <w:tcPr>
            <w:tcW w:w="967" w:type="dxa"/>
            <w:vAlign w:val="center"/>
          </w:tcPr>
          <w:p w14:paraId="71FE2313" w14:textId="543499E4" w:rsidR="004E11B5" w:rsidRPr="000A39FF" w:rsidRDefault="00AD4714" w:rsidP="00AE6288">
            <w:pPr>
              <w:jc w:val="center"/>
              <w:rPr>
                <w:iCs/>
                <w:lang w:eastAsia="lv-LV"/>
              </w:rPr>
            </w:pPr>
            <w:r w:rsidRPr="000A39FF">
              <w:rPr>
                <w:iCs/>
                <w:lang w:eastAsia="lv-LV"/>
              </w:rPr>
              <w:t>0</w:t>
            </w:r>
          </w:p>
        </w:tc>
        <w:tc>
          <w:tcPr>
            <w:tcW w:w="998" w:type="dxa"/>
            <w:vAlign w:val="center"/>
          </w:tcPr>
          <w:p w14:paraId="6A3DDB07" w14:textId="0DA0EF04" w:rsidR="004E11B5" w:rsidRPr="000A39FF" w:rsidRDefault="004E11B5" w:rsidP="00AE6288">
            <w:pPr>
              <w:jc w:val="center"/>
              <w:rPr>
                <w:iCs/>
                <w:lang w:eastAsia="lv-LV"/>
              </w:rPr>
            </w:pPr>
            <w:r w:rsidRPr="000A39FF">
              <w:rPr>
                <w:iCs/>
                <w:lang w:eastAsia="lv-LV"/>
              </w:rPr>
              <w:t>0</w:t>
            </w:r>
          </w:p>
        </w:tc>
        <w:tc>
          <w:tcPr>
            <w:tcW w:w="1074" w:type="dxa"/>
            <w:vAlign w:val="center"/>
          </w:tcPr>
          <w:p w14:paraId="62087874" w14:textId="0782D940" w:rsidR="004E11B5" w:rsidRPr="000A39FF" w:rsidRDefault="004E11B5" w:rsidP="00AE6288">
            <w:pPr>
              <w:jc w:val="center"/>
              <w:rPr>
                <w:iCs/>
                <w:lang w:eastAsia="lv-LV"/>
              </w:rPr>
            </w:pPr>
            <w:r w:rsidRPr="000A39FF">
              <w:rPr>
                <w:iCs/>
                <w:lang w:eastAsia="lv-LV"/>
              </w:rPr>
              <w:t>0</w:t>
            </w:r>
          </w:p>
        </w:tc>
      </w:tr>
      <w:tr w:rsidR="004E11B5" w:rsidRPr="000A39FF" w14:paraId="25595AE5" w14:textId="77777777" w:rsidTr="00AE6288">
        <w:trPr>
          <w:jc w:val="center"/>
        </w:trPr>
        <w:tc>
          <w:tcPr>
            <w:tcW w:w="1671" w:type="dxa"/>
            <w:hideMark/>
          </w:tcPr>
          <w:p w14:paraId="34870656" w14:textId="77777777" w:rsidR="004E11B5" w:rsidRPr="000A39FF" w:rsidRDefault="004E11B5" w:rsidP="00A93351">
            <w:pPr>
              <w:rPr>
                <w:iCs/>
                <w:lang w:eastAsia="lv-LV"/>
              </w:rPr>
            </w:pPr>
            <w:r w:rsidRPr="000A39FF">
              <w:rPr>
                <w:iCs/>
                <w:lang w:eastAsia="lv-LV"/>
              </w:rPr>
              <w:t>3.3. pašvaldību budžets</w:t>
            </w:r>
          </w:p>
        </w:tc>
        <w:tc>
          <w:tcPr>
            <w:tcW w:w="1111" w:type="dxa"/>
            <w:vAlign w:val="center"/>
            <w:hideMark/>
          </w:tcPr>
          <w:p w14:paraId="3B0AEEFA" w14:textId="77777777" w:rsidR="004E11B5" w:rsidRPr="000A39FF" w:rsidRDefault="004E11B5" w:rsidP="00AE6288">
            <w:pPr>
              <w:jc w:val="center"/>
              <w:rPr>
                <w:iCs/>
                <w:lang w:eastAsia="lv-LV"/>
              </w:rPr>
            </w:pPr>
            <w:r w:rsidRPr="000A39FF">
              <w:rPr>
                <w:iCs/>
                <w:lang w:eastAsia="lv-LV"/>
              </w:rPr>
              <w:t>0</w:t>
            </w:r>
          </w:p>
        </w:tc>
        <w:tc>
          <w:tcPr>
            <w:tcW w:w="1140" w:type="dxa"/>
            <w:vAlign w:val="center"/>
          </w:tcPr>
          <w:p w14:paraId="2D7ECF94" w14:textId="210B588B" w:rsidR="004E11B5" w:rsidRPr="000A39FF" w:rsidRDefault="004E11B5" w:rsidP="00AE6288">
            <w:pPr>
              <w:jc w:val="center"/>
              <w:rPr>
                <w:iCs/>
                <w:lang w:eastAsia="lv-LV"/>
              </w:rPr>
            </w:pPr>
            <w:r w:rsidRPr="000A39FF">
              <w:rPr>
                <w:iCs/>
                <w:lang w:eastAsia="lv-LV"/>
              </w:rPr>
              <w:t>0</w:t>
            </w:r>
          </w:p>
        </w:tc>
        <w:tc>
          <w:tcPr>
            <w:tcW w:w="967" w:type="dxa"/>
            <w:vAlign w:val="center"/>
          </w:tcPr>
          <w:p w14:paraId="2D5597DD" w14:textId="761372DB" w:rsidR="004E11B5" w:rsidRPr="000A39FF" w:rsidRDefault="00AD4714" w:rsidP="00AE6288">
            <w:pPr>
              <w:jc w:val="center"/>
              <w:rPr>
                <w:iCs/>
                <w:lang w:eastAsia="lv-LV"/>
              </w:rPr>
            </w:pPr>
            <w:r w:rsidRPr="000A39FF">
              <w:rPr>
                <w:iCs/>
                <w:lang w:eastAsia="lv-LV"/>
              </w:rPr>
              <w:t>0</w:t>
            </w:r>
          </w:p>
        </w:tc>
        <w:tc>
          <w:tcPr>
            <w:tcW w:w="1283" w:type="dxa"/>
            <w:vAlign w:val="center"/>
          </w:tcPr>
          <w:p w14:paraId="6EDB858D" w14:textId="17FBAE2C" w:rsidR="004E11B5" w:rsidRPr="000A39FF" w:rsidRDefault="004E11B5" w:rsidP="00AE6288">
            <w:pPr>
              <w:jc w:val="center"/>
              <w:rPr>
                <w:iCs/>
                <w:lang w:eastAsia="lv-LV"/>
              </w:rPr>
            </w:pPr>
            <w:r w:rsidRPr="000A39FF">
              <w:rPr>
                <w:iCs/>
                <w:lang w:eastAsia="lv-LV"/>
              </w:rPr>
              <w:t>0</w:t>
            </w:r>
          </w:p>
        </w:tc>
        <w:tc>
          <w:tcPr>
            <w:tcW w:w="967" w:type="dxa"/>
            <w:vAlign w:val="center"/>
          </w:tcPr>
          <w:p w14:paraId="040DB427" w14:textId="345C4E4C" w:rsidR="004E11B5" w:rsidRPr="000A39FF" w:rsidRDefault="00AD4714" w:rsidP="00AE6288">
            <w:pPr>
              <w:jc w:val="center"/>
              <w:rPr>
                <w:iCs/>
                <w:lang w:eastAsia="lv-LV"/>
              </w:rPr>
            </w:pPr>
            <w:r w:rsidRPr="000A39FF">
              <w:rPr>
                <w:iCs/>
                <w:lang w:eastAsia="lv-LV"/>
              </w:rPr>
              <w:t>0</w:t>
            </w:r>
          </w:p>
        </w:tc>
        <w:tc>
          <w:tcPr>
            <w:tcW w:w="998" w:type="dxa"/>
            <w:vAlign w:val="center"/>
          </w:tcPr>
          <w:p w14:paraId="5D269AA8" w14:textId="3D9479B4" w:rsidR="004E11B5" w:rsidRPr="000A39FF" w:rsidRDefault="004E11B5" w:rsidP="00AE6288">
            <w:pPr>
              <w:jc w:val="center"/>
              <w:rPr>
                <w:iCs/>
                <w:lang w:eastAsia="lv-LV"/>
              </w:rPr>
            </w:pPr>
            <w:r w:rsidRPr="000A39FF">
              <w:rPr>
                <w:iCs/>
                <w:lang w:eastAsia="lv-LV"/>
              </w:rPr>
              <w:t>0</w:t>
            </w:r>
          </w:p>
        </w:tc>
        <w:tc>
          <w:tcPr>
            <w:tcW w:w="1074" w:type="dxa"/>
            <w:vAlign w:val="center"/>
          </w:tcPr>
          <w:p w14:paraId="2D07F546" w14:textId="27519E34" w:rsidR="004E11B5" w:rsidRPr="000A39FF" w:rsidRDefault="004E11B5" w:rsidP="00AE6288">
            <w:pPr>
              <w:jc w:val="center"/>
              <w:rPr>
                <w:iCs/>
                <w:lang w:eastAsia="lv-LV"/>
              </w:rPr>
            </w:pPr>
            <w:r w:rsidRPr="000A39FF">
              <w:rPr>
                <w:iCs/>
                <w:lang w:eastAsia="lv-LV"/>
              </w:rPr>
              <w:t>0</w:t>
            </w:r>
          </w:p>
        </w:tc>
      </w:tr>
      <w:tr w:rsidR="004E11B5" w:rsidRPr="000A39FF" w14:paraId="39EB5B28" w14:textId="77777777" w:rsidTr="00AE6288">
        <w:trPr>
          <w:jc w:val="center"/>
        </w:trPr>
        <w:tc>
          <w:tcPr>
            <w:tcW w:w="1671" w:type="dxa"/>
            <w:hideMark/>
          </w:tcPr>
          <w:p w14:paraId="7000BC36" w14:textId="77777777" w:rsidR="004E11B5" w:rsidRPr="000A39FF" w:rsidRDefault="004E11B5" w:rsidP="00A93351">
            <w:pPr>
              <w:rPr>
                <w:iCs/>
                <w:lang w:eastAsia="lv-LV"/>
              </w:rPr>
            </w:pPr>
            <w:r w:rsidRPr="000A39FF">
              <w:rPr>
                <w:iCs/>
                <w:lang w:eastAsia="lv-LV"/>
              </w:rPr>
              <w:t>4. Finanšu līdzekļi papildu izdevumu finansēšanai (kompensējošu izdevumu samazinājumu norāda ar "+" zīmi)</w:t>
            </w:r>
          </w:p>
        </w:tc>
        <w:tc>
          <w:tcPr>
            <w:tcW w:w="1111" w:type="dxa"/>
            <w:vAlign w:val="center"/>
            <w:hideMark/>
          </w:tcPr>
          <w:p w14:paraId="67414639" w14:textId="77777777" w:rsidR="004E11B5" w:rsidRPr="000A39FF" w:rsidRDefault="004E11B5" w:rsidP="00AE6288">
            <w:pPr>
              <w:jc w:val="center"/>
              <w:rPr>
                <w:iCs/>
                <w:lang w:eastAsia="lv-LV"/>
              </w:rPr>
            </w:pPr>
            <w:r w:rsidRPr="000A39FF">
              <w:rPr>
                <w:iCs/>
                <w:lang w:eastAsia="lv-LV"/>
              </w:rPr>
              <w:t>X</w:t>
            </w:r>
          </w:p>
        </w:tc>
        <w:tc>
          <w:tcPr>
            <w:tcW w:w="1140" w:type="dxa"/>
            <w:vAlign w:val="center"/>
          </w:tcPr>
          <w:p w14:paraId="4E2FD40B" w14:textId="32D7A416" w:rsidR="004E11B5" w:rsidRPr="000A39FF" w:rsidRDefault="004E11B5" w:rsidP="00AE6288">
            <w:pPr>
              <w:jc w:val="center"/>
              <w:rPr>
                <w:iCs/>
                <w:lang w:eastAsia="lv-LV"/>
              </w:rPr>
            </w:pPr>
            <w:r w:rsidRPr="000A39FF">
              <w:rPr>
                <w:iCs/>
                <w:lang w:eastAsia="lv-LV"/>
              </w:rPr>
              <w:t>0</w:t>
            </w:r>
          </w:p>
        </w:tc>
        <w:tc>
          <w:tcPr>
            <w:tcW w:w="967" w:type="dxa"/>
            <w:vAlign w:val="center"/>
          </w:tcPr>
          <w:p w14:paraId="3FD2FDD5" w14:textId="632A285A" w:rsidR="004E11B5" w:rsidRPr="000A39FF" w:rsidRDefault="00AD4714" w:rsidP="00AE6288">
            <w:pPr>
              <w:jc w:val="center"/>
              <w:rPr>
                <w:iCs/>
                <w:lang w:eastAsia="lv-LV"/>
              </w:rPr>
            </w:pPr>
            <w:r w:rsidRPr="000A39FF">
              <w:rPr>
                <w:iCs/>
                <w:lang w:eastAsia="lv-LV"/>
              </w:rPr>
              <w:t>0</w:t>
            </w:r>
          </w:p>
        </w:tc>
        <w:tc>
          <w:tcPr>
            <w:tcW w:w="1283" w:type="dxa"/>
            <w:vAlign w:val="center"/>
          </w:tcPr>
          <w:p w14:paraId="77C67E9B" w14:textId="47AFD6DF" w:rsidR="004E11B5" w:rsidRPr="000A39FF" w:rsidRDefault="004E11B5" w:rsidP="00AE6288">
            <w:pPr>
              <w:jc w:val="center"/>
              <w:rPr>
                <w:iCs/>
                <w:lang w:eastAsia="lv-LV"/>
              </w:rPr>
            </w:pPr>
            <w:r w:rsidRPr="000A39FF">
              <w:rPr>
                <w:iCs/>
                <w:lang w:eastAsia="lv-LV"/>
              </w:rPr>
              <w:t>0</w:t>
            </w:r>
          </w:p>
        </w:tc>
        <w:tc>
          <w:tcPr>
            <w:tcW w:w="967" w:type="dxa"/>
            <w:vAlign w:val="center"/>
          </w:tcPr>
          <w:p w14:paraId="4AC87780" w14:textId="635AFB01" w:rsidR="004E11B5" w:rsidRPr="000A39FF" w:rsidRDefault="00AD4714" w:rsidP="00AE6288">
            <w:pPr>
              <w:jc w:val="center"/>
              <w:rPr>
                <w:iCs/>
                <w:lang w:eastAsia="lv-LV"/>
              </w:rPr>
            </w:pPr>
            <w:r w:rsidRPr="000A39FF">
              <w:rPr>
                <w:iCs/>
                <w:lang w:eastAsia="lv-LV"/>
              </w:rPr>
              <w:t>0</w:t>
            </w:r>
          </w:p>
        </w:tc>
        <w:tc>
          <w:tcPr>
            <w:tcW w:w="998" w:type="dxa"/>
            <w:vAlign w:val="center"/>
          </w:tcPr>
          <w:p w14:paraId="6F265A5F" w14:textId="5A1C436C" w:rsidR="004E11B5" w:rsidRPr="000A39FF" w:rsidRDefault="00C46C2D" w:rsidP="00AE6288">
            <w:pPr>
              <w:jc w:val="center"/>
              <w:rPr>
                <w:iCs/>
                <w:lang w:eastAsia="lv-LV"/>
              </w:rPr>
            </w:pPr>
            <w:r w:rsidRPr="000A39FF">
              <w:rPr>
                <w:iCs/>
                <w:lang w:eastAsia="lv-LV"/>
              </w:rPr>
              <w:t>0</w:t>
            </w:r>
          </w:p>
        </w:tc>
        <w:tc>
          <w:tcPr>
            <w:tcW w:w="1074" w:type="dxa"/>
            <w:vAlign w:val="center"/>
          </w:tcPr>
          <w:p w14:paraId="2D65EABF" w14:textId="5EC4A8A2" w:rsidR="004E11B5" w:rsidRPr="000A39FF" w:rsidRDefault="00C46C2D" w:rsidP="00AE6288">
            <w:pPr>
              <w:jc w:val="center"/>
              <w:rPr>
                <w:iCs/>
                <w:lang w:eastAsia="lv-LV"/>
              </w:rPr>
            </w:pPr>
            <w:r w:rsidRPr="000A39FF">
              <w:rPr>
                <w:iCs/>
                <w:lang w:eastAsia="lv-LV"/>
              </w:rPr>
              <w:t>0</w:t>
            </w:r>
          </w:p>
        </w:tc>
      </w:tr>
      <w:tr w:rsidR="004E11B5" w:rsidRPr="000A39FF" w14:paraId="17F4141F" w14:textId="77777777" w:rsidTr="00AE6288">
        <w:trPr>
          <w:jc w:val="center"/>
        </w:trPr>
        <w:tc>
          <w:tcPr>
            <w:tcW w:w="1671" w:type="dxa"/>
            <w:hideMark/>
          </w:tcPr>
          <w:p w14:paraId="1514E919" w14:textId="77777777" w:rsidR="004E11B5" w:rsidRPr="000A39FF" w:rsidRDefault="004E11B5" w:rsidP="00A93351">
            <w:pPr>
              <w:rPr>
                <w:iCs/>
                <w:lang w:eastAsia="lv-LV"/>
              </w:rPr>
            </w:pPr>
            <w:r w:rsidRPr="000A39FF">
              <w:rPr>
                <w:iCs/>
                <w:lang w:eastAsia="lv-LV"/>
              </w:rPr>
              <w:t>5. Precizēta finansiālā ietekme</w:t>
            </w:r>
          </w:p>
        </w:tc>
        <w:tc>
          <w:tcPr>
            <w:tcW w:w="1111" w:type="dxa"/>
            <w:vMerge w:val="restart"/>
            <w:vAlign w:val="center"/>
            <w:hideMark/>
          </w:tcPr>
          <w:p w14:paraId="2E131414" w14:textId="77777777" w:rsidR="004E11B5" w:rsidRPr="000A39FF" w:rsidRDefault="004E11B5" w:rsidP="00AE6288">
            <w:pPr>
              <w:jc w:val="center"/>
              <w:rPr>
                <w:iCs/>
                <w:lang w:eastAsia="lv-LV"/>
              </w:rPr>
            </w:pPr>
            <w:r w:rsidRPr="000A39FF">
              <w:rPr>
                <w:iCs/>
                <w:lang w:eastAsia="lv-LV"/>
              </w:rPr>
              <w:t>X</w:t>
            </w:r>
          </w:p>
        </w:tc>
        <w:tc>
          <w:tcPr>
            <w:tcW w:w="1140" w:type="dxa"/>
            <w:vAlign w:val="center"/>
          </w:tcPr>
          <w:p w14:paraId="2CF6026F" w14:textId="4DAAC555" w:rsidR="004E11B5" w:rsidRPr="000A39FF" w:rsidRDefault="008E1B57" w:rsidP="00AE6288">
            <w:pPr>
              <w:jc w:val="center"/>
              <w:rPr>
                <w:iCs/>
                <w:lang w:eastAsia="lv-LV"/>
              </w:rPr>
            </w:pPr>
            <w:r w:rsidRPr="000A39FF">
              <w:rPr>
                <w:iCs/>
                <w:lang w:eastAsia="lv-LV"/>
              </w:rPr>
              <w:t>0</w:t>
            </w:r>
          </w:p>
        </w:tc>
        <w:tc>
          <w:tcPr>
            <w:tcW w:w="967" w:type="dxa"/>
          </w:tcPr>
          <w:p w14:paraId="41D5055D" w14:textId="0356EB10" w:rsidR="004E11B5" w:rsidRPr="000A39FF" w:rsidRDefault="00AD4714" w:rsidP="00AE6288">
            <w:pPr>
              <w:jc w:val="center"/>
              <w:rPr>
                <w:iCs/>
                <w:lang w:eastAsia="lv-LV"/>
              </w:rPr>
            </w:pPr>
            <w:r w:rsidRPr="000A39FF">
              <w:rPr>
                <w:iCs/>
                <w:lang w:eastAsia="lv-LV"/>
              </w:rPr>
              <w:t>0</w:t>
            </w:r>
          </w:p>
        </w:tc>
        <w:tc>
          <w:tcPr>
            <w:tcW w:w="1283" w:type="dxa"/>
            <w:vAlign w:val="center"/>
          </w:tcPr>
          <w:p w14:paraId="0270445E" w14:textId="5C219005" w:rsidR="004E11B5" w:rsidRPr="000A39FF" w:rsidRDefault="008E1B57" w:rsidP="00AE6288">
            <w:pPr>
              <w:jc w:val="center"/>
              <w:rPr>
                <w:iCs/>
                <w:lang w:eastAsia="lv-LV"/>
              </w:rPr>
            </w:pPr>
            <w:r w:rsidRPr="000A39FF">
              <w:rPr>
                <w:iCs/>
                <w:lang w:eastAsia="lv-LV"/>
              </w:rPr>
              <w:t>0</w:t>
            </w:r>
          </w:p>
        </w:tc>
        <w:tc>
          <w:tcPr>
            <w:tcW w:w="967" w:type="dxa"/>
          </w:tcPr>
          <w:p w14:paraId="37A30CFA" w14:textId="58229959" w:rsidR="004E11B5" w:rsidRPr="000A39FF" w:rsidRDefault="00AD4714" w:rsidP="00AE6288">
            <w:pPr>
              <w:jc w:val="center"/>
              <w:rPr>
                <w:iCs/>
                <w:lang w:eastAsia="lv-LV"/>
              </w:rPr>
            </w:pPr>
            <w:r w:rsidRPr="000A39FF">
              <w:rPr>
                <w:iCs/>
                <w:lang w:eastAsia="lv-LV"/>
              </w:rPr>
              <w:t>0</w:t>
            </w:r>
          </w:p>
        </w:tc>
        <w:tc>
          <w:tcPr>
            <w:tcW w:w="998" w:type="dxa"/>
            <w:vAlign w:val="center"/>
          </w:tcPr>
          <w:p w14:paraId="1FB3C3A4" w14:textId="7C00E01E" w:rsidR="004E11B5" w:rsidRPr="000A39FF" w:rsidRDefault="008E1B57" w:rsidP="00AE6288">
            <w:pPr>
              <w:jc w:val="center"/>
              <w:rPr>
                <w:iCs/>
                <w:lang w:eastAsia="lv-LV"/>
              </w:rPr>
            </w:pPr>
            <w:r w:rsidRPr="000A39FF">
              <w:rPr>
                <w:iCs/>
                <w:lang w:eastAsia="lv-LV"/>
              </w:rPr>
              <w:t>0</w:t>
            </w:r>
          </w:p>
        </w:tc>
        <w:tc>
          <w:tcPr>
            <w:tcW w:w="1074" w:type="dxa"/>
            <w:vAlign w:val="center"/>
          </w:tcPr>
          <w:p w14:paraId="4E651C1B" w14:textId="26AFC574" w:rsidR="004E11B5" w:rsidRPr="000A39FF" w:rsidRDefault="008E1B57" w:rsidP="00AE6288">
            <w:pPr>
              <w:jc w:val="center"/>
              <w:rPr>
                <w:iCs/>
                <w:lang w:eastAsia="lv-LV"/>
              </w:rPr>
            </w:pPr>
            <w:r w:rsidRPr="000A39FF">
              <w:rPr>
                <w:iCs/>
                <w:lang w:eastAsia="lv-LV"/>
              </w:rPr>
              <w:t>0</w:t>
            </w:r>
          </w:p>
        </w:tc>
      </w:tr>
      <w:tr w:rsidR="004E11B5" w:rsidRPr="000A39FF" w14:paraId="27232154" w14:textId="77777777" w:rsidTr="00AE6288">
        <w:trPr>
          <w:jc w:val="center"/>
        </w:trPr>
        <w:tc>
          <w:tcPr>
            <w:tcW w:w="1671" w:type="dxa"/>
            <w:hideMark/>
          </w:tcPr>
          <w:p w14:paraId="09B4BAB6" w14:textId="77777777" w:rsidR="004E11B5" w:rsidRPr="000A39FF" w:rsidRDefault="004E11B5" w:rsidP="00A93351">
            <w:pPr>
              <w:rPr>
                <w:iCs/>
                <w:lang w:eastAsia="lv-LV"/>
              </w:rPr>
            </w:pPr>
            <w:r w:rsidRPr="000A39FF">
              <w:rPr>
                <w:iCs/>
                <w:lang w:eastAsia="lv-LV"/>
              </w:rPr>
              <w:t>5.1. valsts pamatbudžets</w:t>
            </w:r>
          </w:p>
        </w:tc>
        <w:tc>
          <w:tcPr>
            <w:tcW w:w="1111" w:type="dxa"/>
            <w:vMerge/>
            <w:vAlign w:val="center"/>
            <w:hideMark/>
          </w:tcPr>
          <w:p w14:paraId="756B9C99" w14:textId="77777777" w:rsidR="004E11B5" w:rsidRPr="000A39FF" w:rsidRDefault="004E11B5" w:rsidP="00AE6288">
            <w:pPr>
              <w:jc w:val="center"/>
              <w:rPr>
                <w:iCs/>
                <w:lang w:eastAsia="lv-LV"/>
              </w:rPr>
            </w:pPr>
          </w:p>
        </w:tc>
        <w:tc>
          <w:tcPr>
            <w:tcW w:w="1140" w:type="dxa"/>
            <w:vAlign w:val="center"/>
          </w:tcPr>
          <w:p w14:paraId="3C639A89" w14:textId="4BC7324A" w:rsidR="004E11B5" w:rsidRPr="000A39FF" w:rsidRDefault="008E1B57" w:rsidP="00AE6288">
            <w:pPr>
              <w:jc w:val="center"/>
              <w:rPr>
                <w:iCs/>
                <w:lang w:eastAsia="lv-LV"/>
              </w:rPr>
            </w:pPr>
            <w:r w:rsidRPr="000A39FF">
              <w:rPr>
                <w:iCs/>
                <w:lang w:eastAsia="lv-LV"/>
              </w:rPr>
              <w:t>0</w:t>
            </w:r>
          </w:p>
        </w:tc>
        <w:tc>
          <w:tcPr>
            <w:tcW w:w="967" w:type="dxa"/>
          </w:tcPr>
          <w:p w14:paraId="1DE6FAF4" w14:textId="3884845A" w:rsidR="004E11B5" w:rsidRPr="000A39FF" w:rsidRDefault="00AD4714" w:rsidP="00AE6288">
            <w:pPr>
              <w:jc w:val="center"/>
              <w:rPr>
                <w:iCs/>
                <w:lang w:eastAsia="lv-LV"/>
              </w:rPr>
            </w:pPr>
            <w:r w:rsidRPr="000A39FF">
              <w:rPr>
                <w:iCs/>
                <w:lang w:eastAsia="lv-LV"/>
              </w:rPr>
              <w:t>0</w:t>
            </w:r>
          </w:p>
        </w:tc>
        <w:tc>
          <w:tcPr>
            <w:tcW w:w="1283" w:type="dxa"/>
            <w:vAlign w:val="center"/>
          </w:tcPr>
          <w:p w14:paraId="414BB378" w14:textId="00CFEB35" w:rsidR="004E11B5" w:rsidRPr="000A39FF" w:rsidRDefault="008E1B57" w:rsidP="00AE6288">
            <w:pPr>
              <w:jc w:val="center"/>
              <w:rPr>
                <w:iCs/>
                <w:lang w:eastAsia="lv-LV"/>
              </w:rPr>
            </w:pPr>
            <w:r w:rsidRPr="000A39FF">
              <w:rPr>
                <w:iCs/>
                <w:lang w:eastAsia="lv-LV"/>
              </w:rPr>
              <w:t>0</w:t>
            </w:r>
          </w:p>
        </w:tc>
        <w:tc>
          <w:tcPr>
            <w:tcW w:w="967" w:type="dxa"/>
          </w:tcPr>
          <w:p w14:paraId="74C95C9C" w14:textId="11C8A219" w:rsidR="004E11B5" w:rsidRPr="000A39FF" w:rsidRDefault="00AD4714" w:rsidP="00AE6288">
            <w:pPr>
              <w:jc w:val="center"/>
              <w:rPr>
                <w:iCs/>
                <w:lang w:eastAsia="lv-LV"/>
              </w:rPr>
            </w:pPr>
            <w:r w:rsidRPr="000A39FF">
              <w:rPr>
                <w:iCs/>
                <w:lang w:eastAsia="lv-LV"/>
              </w:rPr>
              <w:t>0</w:t>
            </w:r>
          </w:p>
        </w:tc>
        <w:tc>
          <w:tcPr>
            <w:tcW w:w="998" w:type="dxa"/>
            <w:vAlign w:val="center"/>
          </w:tcPr>
          <w:p w14:paraId="3BB974B0" w14:textId="2CCE4954" w:rsidR="004E11B5" w:rsidRPr="000A39FF" w:rsidRDefault="008E1B57" w:rsidP="00AE6288">
            <w:pPr>
              <w:jc w:val="center"/>
              <w:rPr>
                <w:iCs/>
                <w:lang w:eastAsia="lv-LV"/>
              </w:rPr>
            </w:pPr>
            <w:r w:rsidRPr="000A39FF">
              <w:rPr>
                <w:iCs/>
                <w:lang w:eastAsia="lv-LV"/>
              </w:rPr>
              <w:t>0</w:t>
            </w:r>
          </w:p>
        </w:tc>
        <w:tc>
          <w:tcPr>
            <w:tcW w:w="1074" w:type="dxa"/>
            <w:vAlign w:val="center"/>
          </w:tcPr>
          <w:p w14:paraId="54BE6485" w14:textId="0F3D8F10" w:rsidR="004E11B5" w:rsidRPr="000A39FF" w:rsidRDefault="008E1B57" w:rsidP="00AE6288">
            <w:pPr>
              <w:jc w:val="center"/>
              <w:rPr>
                <w:iCs/>
                <w:lang w:eastAsia="lv-LV"/>
              </w:rPr>
            </w:pPr>
            <w:r w:rsidRPr="000A39FF">
              <w:rPr>
                <w:iCs/>
                <w:lang w:eastAsia="lv-LV"/>
              </w:rPr>
              <w:t>0</w:t>
            </w:r>
          </w:p>
        </w:tc>
      </w:tr>
      <w:tr w:rsidR="004E11B5" w:rsidRPr="000A39FF" w14:paraId="4A935AD9" w14:textId="77777777" w:rsidTr="00AE6288">
        <w:trPr>
          <w:jc w:val="center"/>
        </w:trPr>
        <w:tc>
          <w:tcPr>
            <w:tcW w:w="1671" w:type="dxa"/>
            <w:hideMark/>
          </w:tcPr>
          <w:p w14:paraId="09C25349" w14:textId="77777777" w:rsidR="004E11B5" w:rsidRPr="000A39FF" w:rsidRDefault="004E11B5" w:rsidP="00A93351">
            <w:pPr>
              <w:rPr>
                <w:iCs/>
                <w:lang w:eastAsia="lv-LV"/>
              </w:rPr>
            </w:pPr>
            <w:r w:rsidRPr="000A39FF">
              <w:rPr>
                <w:iCs/>
                <w:lang w:eastAsia="lv-LV"/>
              </w:rPr>
              <w:lastRenderedPageBreak/>
              <w:t>5.2. speciālais budžets</w:t>
            </w:r>
          </w:p>
        </w:tc>
        <w:tc>
          <w:tcPr>
            <w:tcW w:w="1111" w:type="dxa"/>
            <w:vMerge/>
            <w:vAlign w:val="center"/>
            <w:hideMark/>
          </w:tcPr>
          <w:p w14:paraId="7F01BABB" w14:textId="77777777" w:rsidR="004E11B5" w:rsidRPr="000A39FF" w:rsidRDefault="004E11B5" w:rsidP="00AE6288">
            <w:pPr>
              <w:jc w:val="center"/>
              <w:rPr>
                <w:iCs/>
                <w:lang w:eastAsia="lv-LV"/>
              </w:rPr>
            </w:pPr>
          </w:p>
        </w:tc>
        <w:tc>
          <w:tcPr>
            <w:tcW w:w="1140" w:type="dxa"/>
            <w:vAlign w:val="center"/>
            <w:hideMark/>
          </w:tcPr>
          <w:p w14:paraId="0065A660" w14:textId="77777777" w:rsidR="004E11B5" w:rsidRPr="000A39FF" w:rsidRDefault="004E11B5" w:rsidP="00AE6288">
            <w:pPr>
              <w:jc w:val="center"/>
              <w:rPr>
                <w:iCs/>
                <w:lang w:eastAsia="lv-LV"/>
              </w:rPr>
            </w:pPr>
            <w:r w:rsidRPr="000A39FF">
              <w:rPr>
                <w:iCs/>
                <w:lang w:eastAsia="lv-LV"/>
              </w:rPr>
              <w:t>0</w:t>
            </w:r>
          </w:p>
        </w:tc>
        <w:tc>
          <w:tcPr>
            <w:tcW w:w="967" w:type="dxa"/>
          </w:tcPr>
          <w:p w14:paraId="5693252F" w14:textId="4ED64BBC" w:rsidR="004E11B5" w:rsidRPr="000A39FF" w:rsidRDefault="00AD4714" w:rsidP="00AE6288">
            <w:pPr>
              <w:jc w:val="center"/>
              <w:rPr>
                <w:iCs/>
                <w:lang w:eastAsia="lv-LV"/>
              </w:rPr>
            </w:pPr>
            <w:r w:rsidRPr="000A39FF">
              <w:rPr>
                <w:iCs/>
                <w:lang w:eastAsia="lv-LV"/>
              </w:rPr>
              <w:t>0</w:t>
            </w:r>
          </w:p>
        </w:tc>
        <w:tc>
          <w:tcPr>
            <w:tcW w:w="1283" w:type="dxa"/>
            <w:vAlign w:val="center"/>
            <w:hideMark/>
          </w:tcPr>
          <w:p w14:paraId="304D4E74" w14:textId="41362E18" w:rsidR="004E11B5" w:rsidRPr="000A39FF" w:rsidRDefault="004E11B5" w:rsidP="00AE6288">
            <w:pPr>
              <w:jc w:val="center"/>
              <w:rPr>
                <w:iCs/>
                <w:lang w:eastAsia="lv-LV"/>
              </w:rPr>
            </w:pPr>
            <w:r w:rsidRPr="000A39FF">
              <w:rPr>
                <w:iCs/>
                <w:lang w:eastAsia="lv-LV"/>
              </w:rPr>
              <w:t>0</w:t>
            </w:r>
          </w:p>
        </w:tc>
        <w:tc>
          <w:tcPr>
            <w:tcW w:w="967" w:type="dxa"/>
          </w:tcPr>
          <w:p w14:paraId="5BE9E7B6" w14:textId="0CF1BD74" w:rsidR="004E11B5" w:rsidRPr="000A39FF" w:rsidRDefault="00AD4714" w:rsidP="00AE6288">
            <w:pPr>
              <w:jc w:val="center"/>
              <w:rPr>
                <w:iCs/>
                <w:lang w:eastAsia="lv-LV"/>
              </w:rPr>
            </w:pPr>
            <w:r w:rsidRPr="000A39FF">
              <w:rPr>
                <w:iCs/>
                <w:lang w:eastAsia="lv-LV"/>
              </w:rPr>
              <w:t>0</w:t>
            </w:r>
          </w:p>
        </w:tc>
        <w:tc>
          <w:tcPr>
            <w:tcW w:w="998" w:type="dxa"/>
            <w:vAlign w:val="center"/>
            <w:hideMark/>
          </w:tcPr>
          <w:p w14:paraId="222FA7C1" w14:textId="6BF2C7DA" w:rsidR="004E11B5" w:rsidRPr="000A39FF" w:rsidRDefault="004E11B5" w:rsidP="00AE6288">
            <w:pPr>
              <w:jc w:val="center"/>
              <w:rPr>
                <w:iCs/>
                <w:lang w:eastAsia="lv-LV"/>
              </w:rPr>
            </w:pPr>
            <w:r w:rsidRPr="000A39FF">
              <w:rPr>
                <w:iCs/>
                <w:lang w:eastAsia="lv-LV"/>
              </w:rPr>
              <w:t>0</w:t>
            </w:r>
          </w:p>
        </w:tc>
        <w:tc>
          <w:tcPr>
            <w:tcW w:w="1074" w:type="dxa"/>
            <w:vAlign w:val="center"/>
            <w:hideMark/>
          </w:tcPr>
          <w:p w14:paraId="19436C02" w14:textId="6DF9DEE1" w:rsidR="004E11B5" w:rsidRPr="000A39FF" w:rsidRDefault="004E11B5" w:rsidP="00AE6288">
            <w:pPr>
              <w:jc w:val="center"/>
              <w:rPr>
                <w:iCs/>
                <w:lang w:eastAsia="lv-LV"/>
              </w:rPr>
            </w:pPr>
            <w:r w:rsidRPr="000A39FF">
              <w:rPr>
                <w:iCs/>
                <w:lang w:eastAsia="lv-LV"/>
              </w:rPr>
              <w:t>0</w:t>
            </w:r>
          </w:p>
        </w:tc>
      </w:tr>
      <w:tr w:rsidR="004E11B5" w:rsidRPr="000A39FF" w14:paraId="1F2A2862" w14:textId="77777777" w:rsidTr="00AE6288">
        <w:trPr>
          <w:jc w:val="center"/>
        </w:trPr>
        <w:tc>
          <w:tcPr>
            <w:tcW w:w="1671" w:type="dxa"/>
            <w:hideMark/>
          </w:tcPr>
          <w:p w14:paraId="121113AC" w14:textId="77777777" w:rsidR="004E11B5" w:rsidRPr="000A39FF" w:rsidRDefault="004E11B5" w:rsidP="00A93351">
            <w:pPr>
              <w:rPr>
                <w:iCs/>
                <w:lang w:eastAsia="lv-LV"/>
              </w:rPr>
            </w:pPr>
            <w:r w:rsidRPr="000A39FF">
              <w:rPr>
                <w:iCs/>
                <w:lang w:eastAsia="lv-LV"/>
              </w:rPr>
              <w:t>5.3. pašvaldību budžets</w:t>
            </w:r>
          </w:p>
        </w:tc>
        <w:tc>
          <w:tcPr>
            <w:tcW w:w="1111" w:type="dxa"/>
            <w:vMerge/>
            <w:vAlign w:val="center"/>
            <w:hideMark/>
          </w:tcPr>
          <w:p w14:paraId="342C62FC" w14:textId="77777777" w:rsidR="004E11B5" w:rsidRPr="000A39FF" w:rsidRDefault="004E11B5" w:rsidP="00AE6288">
            <w:pPr>
              <w:jc w:val="center"/>
              <w:rPr>
                <w:iCs/>
                <w:lang w:eastAsia="lv-LV"/>
              </w:rPr>
            </w:pPr>
          </w:p>
        </w:tc>
        <w:tc>
          <w:tcPr>
            <w:tcW w:w="1140" w:type="dxa"/>
            <w:vAlign w:val="center"/>
            <w:hideMark/>
          </w:tcPr>
          <w:p w14:paraId="25DE2B8D" w14:textId="77777777" w:rsidR="004E11B5" w:rsidRPr="000A39FF" w:rsidRDefault="004E11B5" w:rsidP="00AE6288">
            <w:pPr>
              <w:jc w:val="center"/>
              <w:rPr>
                <w:iCs/>
                <w:lang w:eastAsia="lv-LV"/>
              </w:rPr>
            </w:pPr>
            <w:r w:rsidRPr="000A39FF">
              <w:rPr>
                <w:iCs/>
                <w:lang w:eastAsia="lv-LV"/>
              </w:rPr>
              <w:t>0</w:t>
            </w:r>
          </w:p>
        </w:tc>
        <w:tc>
          <w:tcPr>
            <w:tcW w:w="967" w:type="dxa"/>
          </w:tcPr>
          <w:p w14:paraId="1FA15B13" w14:textId="0E243960" w:rsidR="004E11B5" w:rsidRPr="000A39FF" w:rsidRDefault="00AD4714" w:rsidP="00AE6288">
            <w:pPr>
              <w:jc w:val="center"/>
              <w:rPr>
                <w:iCs/>
                <w:lang w:eastAsia="lv-LV"/>
              </w:rPr>
            </w:pPr>
            <w:r w:rsidRPr="000A39FF">
              <w:rPr>
                <w:iCs/>
                <w:lang w:eastAsia="lv-LV"/>
              </w:rPr>
              <w:t>0</w:t>
            </w:r>
          </w:p>
        </w:tc>
        <w:tc>
          <w:tcPr>
            <w:tcW w:w="1283" w:type="dxa"/>
            <w:vAlign w:val="center"/>
            <w:hideMark/>
          </w:tcPr>
          <w:p w14:paraId="5299C5E1" w14:textId="66066D70" w:rsidR="004E11B5" w:rsidRPr="000A39FF" w:rsidRDefault="004E11B5" w:rsidP="00AE6288">
            <w:pPr>
              <w:jc w:val="center"/>
              <w:rPr>
                <w:iCs/>
                <w:lang w:eastAsia="lv-LV"/>
              </w:rPr>
            </w:pPr>
            <w:r w:rsidRPr="000A39FF">
              <w:rPr>
                <w:iCs/>
                <w:lang w:eastAsia="lv-LV"/>
              </w:rPr>
              <w:t>0</w:t>
            </w:r>
          </w:p>
        </w:tc>
        <w:tc>
          <w:tcPr>
            <w:tcW w:w="967" w:type="dxa"/>
          </w:tcPr>
          <w:p w14:paraId="21A41E43" w14:textId="30FDC057" w:rsidR="004E11B5" w:rsidRPr="000A39FF" w:rsidRDefault="00AD4714" w:rsidP="00AE6288">
            <w:pPr>
              <w:jc w:val="center"/>
              <w:rPr>
                <w:iCs/>
                <w:lang w:eastAsia="lv-LV"/>
              </w:rPr>
            </w:pPr>
            <w:r w:rsidRPr="000A39FF">
              <w:rPr>
                <w:iCs/>
                <w:lang w:eastAsia="lv-LV"/>
              </w:rPr>
              <w:t>0</w:t>
            </w:r>
          </w:p>
        </w:tc>
        <w:tc>
          <w:tcPr>
            <w:tcW w:w="998" w:type="dxa"/>
            <w:vAlign w:val="center"/>
            <w:hideMark/>
          </w:tcPr>
          <w:p w14:paraId="41A36F39" w14:textId="376B1226" w:rsidR="004E11B5" w:rsidRPr="000A39FF" w:rsidRDefault="004E11B5" w:rsidP="00AE6288">
            <w:pPr>
              <w:jc w:val="center"/>
              <w:rPr>
                <w:iCs/>
                <w:lang w:eastAsia="lv-LV"/>
              </w:rPr>
            </w:pPr>
            <w:r w:rsidRPr="000A39FF">
              <w:rPr>
                <w:iCs/>
                <w:lang w:eastAsia="lv-LV"/>
              </w:rPr>
              <w:t>0</w:t>
            </w:r>
          </w:p>
        </w:tc>
        <w:tc>
          <w:tcPr>
            <w:tcW w:w="1074" w:type="dxa"/>
            <w:vAlign w:val="center"/>
            <w:hideMark/>
          </w:tcPr>
          <w:p w14:paraId="35EEA484" w14:textId="5DD8FEC3" w:rsidR="004E11B5" w:rsidRPr="000A39FF" w:rsidRDefault="004E11B5" w:rsidP="00AE6288">
            <w:pPr>
              <w:jc w:val="center"/>
              <w:rPr>
                <w:iCs/>
                <w:lang w:eastAsia="lv-LV"/>
              </w:rPr>
            </w:pPr>
            <w:r w:rsidRPr="000A39FF">
              <w:rPr>
                <w:iCs/>
                <w:lang w:eastAsia="lv-LV"/>
              </w:rPr>
              <w:t>0</w:t>
            </w:r>
          </w:p>
        </w:tc>
      </w:tr>
      <w:tr w:rsidR="004E11B5" w:rsidRPr="000A39FF" w14:paraId="11D84F75" w14:textId="77777777" w:rsidTr="00AE6288">
        <w:trPr>
          <w:jc w:val="center"/>
        </w:trPr>
        <w:tc>
          <w:tcPr>
            <w:tcW w:w="1671" w:type="dxa"/>
            <w:hideMark/>
          </w:tcPr>
          <w:p w14:paraId="2F5BF592" w14:textId="77777777" w:rsidR="004E11B5" w:rsidRPr="000A39FF" w:rsidRDefault="004E11B5" w:rsidP="00A93351">
            <w:pPr>
              <w:rPr>
                <w:iCs/>
                <w:lang w:eastAsia="lv-LV"/>
              </w:rPr>
            </w:pPr>
            <w:r w:rsidRPr="000A39FF">
              <w:rPr>
                <w:iCs/>
                <w:lang w:eastAsia="lv-LV"/>
              </w:rPr>
              <w:t>6. Detalizēts ieņēmumu un izdevumu aprēķins (ja nepieciešams, detalizētu ieņēmumu un izdevumu aprēķinu var pievienot anotācijas pielikumā)</w:t>
            </w:r>
          </w:p>
        </w:tc>
        <w:tc>
          <w:tcPr>
            <w:tcW w:w="7540" w:type="dxa"/>
            <w:gridSpan w:val="7"/>
            <w:vMerge w:val="restart"/>
          </w:tcPr>
          <w:p w14:paraId="6B4B23AE" w14:textId="434A78EB" w:rsidR="00847091" w:rsidRDefault="00847091" w:rsidP="00A358FF">
            <w:pPr>
              <w:jc w:val="both"/>
              <w:rPr>
                <w:lang w:eastAsia="en-US"/>
              </w:rPr>
            </w:pPr>
            <w:r>
              <w:rPr>
                <w:lang w:eastAsia="en-US"/>
              </w:rPr>
              <w:t>MK rīkojumu projektos paredzētās finansējuma izmaiņas veido finansiāli neitrālu ietekmi uz valsts budžetu.</w:t>
            </w:r>
          </w:p>
          <w:p w14:paraId="3CA4BEBA" w14:textId="77777777" w:rsidR="00847091" w:rsidRPr="000A39FF" w:rsidRDefault="00847091" w:rsidP="00A358FF">
            <w:pPr>
              <w:jc w:val="both"/>
              <w:rPr>
                <w:lang w:eastAsia="en-US"/>
              </w:rPr>
            </w:pPr>
          </w:p>
          <w:p w14:paraId="77FBCC44" w14:textId="7AD472F1" w:rsidR="004E11B5" w:rsidRPr="000A39FF" w:rsidRDefault="004E11B5" w:rsidP="00A14F9C">
            <w:pPr>
              <w:jc w:val="both"/>
              <w:rPr>
                <w:lang w:eastAsia="en-US"/>
              </w:rPr>
            </w:pPr>
          </w:p>
        </w:tc>
      </w:tr>
      <w:tr w:rsidR="004E11B5" w:rsidRPr="000A39FF" w14:paraId="4D1D0CEA" w14:textId="77777777" w:rsidTr="00AE6288">
        <w:trPr>
          <w:jc w:val="center"/>
        </w:trPr>
        <w:tc>
          <w:tcPr>
            <w:tcW w:w="1671" w:type="dxa"/>
            <w:hideMark/>
          </w:tcPr>
          <w:p w14:paraId="326CEDA2" w14:textId="77777777" w:rsidR="004E11B5" w:rsidRPr="000A39FF" w:rsidRDefault="004E11B5" w:rsidP="00A93351">
            <w:pPr>
              <w:rPr>
                <w:iCs/>
                <w:lang w:eastAsia="lv-LV"/>
              </w:rPr>
            </w:pPr>
            <w:r w:rsidRPr="000A39FF">
              <w:rPr>
                <w:iCs/>
                <w:lang w:eastAsia="lv-LV"/>
              </w:rPr>
              <w:t>6.1. detalizēts ieņēmumu aprēķins</w:t>
            </w:r>
          </w:p>
        </w:tc>
        <w:tc>
          <w:tcPr>
            <w:tcW w:w="7540" w:type="dxa"/>
            <w:gridSpan w:val="7"/>
            <w:vMerge/>
          </w:tcPr>
          <w:p w14:paraId="17E52730" w14:textId="07EDAF2B" w:rsidR="004E11B5" w:rsidRPr="000A39FF" w:rsidRDefault="004E11B5" w:rsidP="00A93351">
            <w:pPr>
              <w:rPr>
                <w:iCs/>
                <w:lang w:eastAsia="lv-LV"/>
              </w:rPr>
            </w:pPr>
          </w:p>
        </w:tc>
      </w:tr>
      <w:tr w:rsidR="004E11B5" w:rsidRPr="000A39FF" w14:paraId="1E1ED323" w14:textId="77777777" w:rsidTr="00AE6288">
        <w:trPr>
          <w:jc w:val="center"/>
        </w:trPr>
        <w:tc>
          <w:tcPr>
            <w:tcW w:w="1671" w:type="dxa"/>
            <w:hideMark/>
          </w:tcPr>
          <w:p w14:paraId="6E855ADA" w14:textId="77777777" w:rsidR="004E11B5" w:rsidRPr="000A39FF" w:rsidRDefault="004E11B5" w:rsidP="00A93351">
            <w:pPr>
              <w:rPr>
                <w:iCs/>
                <w:lang w:eastAsia="lv-LV"/>
              </w:rPr>
            </w:pPr>
            <w:r w:rsidRPr="000A39FF">
              <w:rPr>
                <w:iCs/>
                <w:lang w:eastAsia="lv-LV"/>
              </w:rPr>
              <w:t>6.2. detalizēts izdevumu aprēķins</w:t>
            </w:r>
          </w:p>
        </w:tc>
        <w:tc>
          <w:tcPr>
            <w:tcW w:w="7540" w:type="dxa"/>
            <w:gridSpan w:val="7"/>
            <w:vMerge/>
          </w:tcPr>
          <w:p w14:paraId="0CFB41FA" w14:textId="0E823B2E" w:rsidR="004E11B5" w:rsidRPr="000A39FF" w:rsidRDefault="004E11B5" w:rsidP="00A93351">
            <w:pPr>
              <w:rPr>
                <w:iCs/>
                <w:lang w:eastAsia="lv-LV"/>
              </w:rPr>
            </w:pPr>
          </w:p>
        </w:tc>
      </w:tr>
      <w:tr w:rsidR="004E11B5" w:rsidRPr="000A39FF" w14:paraId="5538001F" w14:textId="77777777" w:rsidTr="00AE6288">
        <w:trPr>
          <w:jc w:val="center"/>
        </w:trPr>
        <w:tc>
          <w:tcPr>
            <w:tcW w:w="1671" w:type="dxa"/>
            <w:hideMark/>
          </w:tcPr>
          <w:p w14:paraId="1F96ABDA" w14:textId="77777777" w:rsidR="004E11B5" w:rsidRPr="000A39FF" w:rsidRDefault="004E11B5" w:rsidP="00A93351">
            <w:pPr>
              <w:rPr>
                <w:iCs/>
                <w:lang w:eastAsia="lv-LV"/>
              </w:rPr>
            </w:pPr>
            <w:r w:rsidRPr="000A39FF">
              <w:rPr>
                <w:iCs/>
                <w:lang w:eastAsia="lv-LV"/>
              </w:rPr>
              <w:t>7. Amata vietu skaita izmaiņas</w:t>
            </w:r>
          </w:p>
        </w:tc>
        <w:tc>
          <w:tcPr>
            <w:tcW w:w="7540" w:type="dxa"/>
            <w:gridSpan w:val="7"/>
          </w:tcPr>
          <w:p w14:paraId="724B7E45" w14:textId="66E54160" w:rsidR="004E11B5" w:rsidRPr="000A39FF" w:rsidRDefault="004E11B5" w:rsidP="00A93351">
            <w:pPr>
              <w:jc w:val="both"/>
              <w:rPr>
                <w:iCs/>
                <w:lang w:eastAsia="lv-LV"/>
              </w:rPr>
            </w:pPr>
            <w:r w:rsidRPr="000A39FF">
              <w:t>nav</w:t>
            </w:r>
          </w:p>
        </w:tc>
      </w:tr>
      <w:tr w:rsidR="004E11B5" w:rsidRPr="000A39FF" w14:paraId="6B91BE04" w14:textId="77777777" w:rsidTr="00AE6288">
        <w:trPr>
          <w:jc w:val="center"/>
        </w:trPr>
        <w:tc>
          <w:tcPr>
            <w:tcW w:w="1671" w:type="dxa"/>
            <w:hideMark/>
          </w:tcPr>
          <w:p w14:paraId="60698432" w14:textId="77777777" w:rsidR="004E11B5" w:rsidRPr="000A39FF" w:rsidRDefault="004E11B5" w:rsidP="00A93351">
            <w:pPr>
              <w:rPr>
                <w:iCs/>
                <w:lang w:eastAsia="lv-LV"/>
              </w:rPr>
            </w:pPr>
            <w:r w:rsidRPr="000A39FF">
              <w:rPr>
                <w:iCs/>
                <w:lang w:eastAsia="lv-LV"/>
              </w:rPr>
              <w:t>8. Cita informācija</w:t>
            </w:r>
          </w:p>
        </w:tc>
        <w:tc>
          <w:tcPr>
            <w:tcW w:w="7540" w:type="dxa"/>
            <w:gridSpan w:val="7"/>
          </w:tcPr>
          <w:p w14:paraId="7E3C54E5" w14:textId="6FE37E61" w:rsidR="004E11B5" w:rsidRPr="000A39FF" w:rsidRDefault="004E11B5" w:rsidP="00E5026B">
            <w:pPr>
              <w:jc w:val="both"/>
              <w:rPr>
                <w:iCs/>
                <w:lang w:eastAsia="lv-LV"/>
              </w:rPr>
            </w:pPr>
            <w:r w:rsidRPr="000A39FF">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0EE800DC" w14:textId="77777777" w:rsidR="00455B87" w:rsidRPr="00D367E3" w:rsidRDefault="00F15799" w:rsidP="00B559D5">
      <w:pPr>
        <w:jc w:val="both"/>
      </w:pPr>
      <w:r w:rsidRPr="00D367E3">
        <w:br w:type="textWrapping" w:clear="all"/>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0"/>
        <w:gridCol w:w="2999"/>
        <w:gridCol w:w="5990"/>
      </w:tblGrid>
      <w:tr w:rsidR="00455B87" w:rsidRPr="00D367E3" w14:paraId="40F7C5CD" w14:textId="77777777" w:rsidTr="000C3E3D">
        <w:trPr>
          <w:trHeight w:val="454"/>
        </w:trPr>
        <w:tc>
          <w:tcPr>
            <w:tcW w:w="9639" w:type="dxa"/>
            <w:gridSpan w:val="3"/>
            <w:vAlign w:val="center"/>
          </w:tcPr>
          <w:p w14:paraId="7575BD9A" w14:textId="483116AD" w:rsidR="00455B87" w:rsidRPr="00D367E3" w:rsidRDefault="00455B87" w:rsidP="00833A82">
            <w:pPr>
              <w:pStyle w:val="naisnod"/>
              <w:spacing w:before="0" w:after="0"/>
              <w:ind w:left="57" w:right="57"/>
            </w:pPr>
            <w:r w:rsidRPr="00D367E3">
              <w:t>IV. Tiesību akta projekta ietekme uz spēkā esošo tiesību normu sistēmu</w:t>
            </w:r>
          </w:p>
        </w:tc>
      </w:tr>
      <w:tr w:rsidR="002B7D49" w:rsidRPr="00D367E3" w14:paraId="5B866BEE" w14:textId="77777777" w:rsidTr="000C3E3D">
        <w:tblPrEx>
          <w:tblCellMar>
            <w:top w:w="28" w:type="dxa"/>
            <w:left w:w="28" w:type="dxa"/>
            <w:bottom w:w="28" w:type="dxa"/>
            <w:right w:w="28" w:type="dxa"/>
          </w:tblCellMar>
        </w:tblPrEx>
        <w:trPr>
          <w:trHeight w:val="427"/>
        </w:trPr>
        <w:tc>
          <w:tcPr>
            <w:tcW w:w="650" w:type="dxa"/>
          </w:tcPr>
          <w:p w14:paraId="7C6C2DA6" w14:textId="77777777" w:rsidR="002B7D49" w:rsidRPr="00D367E3" w:rsidRDefault="002B7D49" w:rsidP="002B7D49">
            <w:pPr>
              <w:pStyle w:val="naisnod"/>
              <w:spacing w:before="0" w:after="0"/>
              <w:ind w:left="57" w:right="57"/>
              <w:jc w:val="left"/>
            </w:pPr>
            <w:r w:rsidRPr="00D367E3">
              <w:rPr>
                <w:b w:val="0"/>
                <w:bCs w:val="0"/>
              </w:rPr>
              <w:t>1.</w:t>
            </w:r>
          </w:p>
        </w:tc>
        <w:tc>
          <w:tcPr>
            <w:tcW w:w="2999" w:type="dxa"/>
          </w:tcPr>
          <w:p w14:paraId="5D2033E3" w14:textId="2BFEAE4E" w:rsidR="002B7D49" w:rsidRPr="00D367E3" w:rsidRDefault="002B7D49" w:rsidP="002B7D49">
            <w:pPr>
              <w:pStyle w:val="naisf"/>
              <w:spacing w:before="0" w:after="0"/>
              <w:ind w:left="57" w:right="57" w:firstLine="0"/>
              <w:jc w:val="left"/>
            </w:pPr>
            <w:r w:rsidRPr="00E408C5">
              <w:rPr>
                <w:color w:val="000000" w:themeColor="text1"/>
              </w:rPr>
              <w:t>Saistītie tiesību aktu projekti</w:t>
            </w:r>
          </w:p>
        </w:tc>
        <w:tc>
          <w:tcPr>
            <w:tcW w:w="5990" w:type="dxa"/>
          </w:tcPr>
          <w:p w14:paraId="51B951EB" w14:textId="77777777" w:rsidR="00CD3E82" w:rsidRPr="00E408C5" w:rsidRDefault="00CD3E82" w:rsidP="00CD3E82">
            <w:pPr>
              <w:rPr>
                <w:bCs/>
                <w:color w:val="000000" w:themeColor="text1"/>
              </w:rPr>
            </w:pPr>
            <w:r w:rsidRPr="00E408C5">
              <w:rPr>
                <w:bCs/>
                <w:color w:val="000000" w:themeColor="text1"/>
              </w:rPr>
              <w:t>Apvienotā anotācija ir sagatavota grozījumiem šādos MK noteikumos:</w:t>
            </w:r>
          </w:p>
          <w:p w14:paraId="4D888541" w14:textId="2DD43CBD" w:rsidR="00CD3E82" w:rsidRPr="00E408C5" w:rsidRDefault="00CD3E82" w:rsidP="00CD3E82">
            <w:pPr>
              <w:pStyle w:val="ListParagraph"/>
              <w:numPr>
                <w:ilvl w:val="0"/>
                <w:numId w:val="12"/>
              </w:numPr>
              <w:rPr>
                <w:color w:val="000000" w:themeColor="text1"/>
              </w:rPr>
            </w:pPr>
            <w:r w:rsidRPr="00E408C5">
              <w:rPr>
                <w:bCs/>
                <w:color w:val="000000" w:themeColor="text1"/>
              </w:rPr>
              <w:t xml:space="preserve">MK </w:t>
            </w:r>
            <w:r w:rsidR="00724100">
              <w:rPr>
                <w:bCs/>
                <w:color w:val="000000" w:themeColor="text1"/>
              </w:rPr>
              <w:t>rīkojumā</w:t>
            </w:r>
            <w:r w:rsidR="00724100" w:rsidRPr="00E408C5">
              <w:rPr>
                <w:bCs/>
                <w:color w:val="000000" w:themeColor="text1"/>
              </w:rPr>
              <w:t xml:space="preserve"> </w:t>
            </w:r>
            <w:r w:rsidRPr="00E408C5">
              <w:rPr>
                <w:bCs/>
                <w:color w:val="000000" w:themeColor="text1"/>
              </w:rPr>
              <w:t xml:space="preserve">Nr. </w:t>
            </w:r>
            <w:r w:rsidR="0064688D">
              <w:rPr>
                <w:bCs/>
                <w:color w:val="000000" w:themeColor="text1"/>
              </w:rPr>
              <w:t>136</w:t>
            </w:r>
            <w:r w:rsidRPr="00E408C5">
              <w:rPr>
                <w:bCs/>
                <w:color w:val="000000" w:themeColor="text1"/>
              </w:rPr>
              <w:t>;</w:t>
            </w:r>
          </w:p>
          <w:p w14:paraId="096CE323" w14:textId="422AF188" w:rsidR="00CD3E82" w:rsidRPr="00E408C5" w:rsidRDefault="00CD3E82" w:rsidP="00CD3E82">
            <w:pPr>
              <w:pStyle w:val="ListParagraph"/>
              <w:numPr>
                <w:ilvl w:val="0"/>
                <w:numId w:val="12"/>
              </w:numPr>
              <w:rPr>
                <w:color w:val="000000" w:themeColor="text1"/>
              </w:rPr>
            </w:pPr>
            <w:r w:rsidRPr="00E408C5">
              <w:rPr>
                <w:bCs/>
                <w:color w:val="000000" w:themeColor="text1"/>
              </w:rPr>
              <w:t xml:space="preserve">MK </w:t>
            </w:r>
            <w:r w:rsidR="00724100">
              <w:rPr>
                <w:bCs/>
                <w:color w:val="000000" w:themeColor="text1"/>
              </w:rPr>
              <w:t>rīkojumā</w:t>
            </w:r>
            <w:r w:rsidR="00724100" w:rsidRPr="00E408C5">
              <w:rPr>
                <w:bCs/>
                <w:color w:val="000000" w:themeColor="text1"/>
              </w:rPr>
              <w:t xml:space="preserve"> </w:t>
            </w:r>
            <w:r w:rsidRPr="00E408C5">
              <w:rPr>
                <w:bCs/>
                <w:color w:val="000000" w:themeColor="text1"/>
              </w:rPr>
              <w:t>Nr. 5</w:t>
            </w:r>
            <w:r w:rsidR="0064688D">
              <w:rPr>
                <w:bCs/>
                <w:color w:val="000000" w:themeColor="text1"/>
              </w:rPr>
              <w:t>67</w:t>
            </w:r>
            <w:r w:rsidRPr="00E408C5">
              <w:rPr>
                <w:bCs/>
                <w:color w:val="000000" w:themeColor="text1"/>
              </w:rPr>
              <w:t>;</w:t>
            </w:r>
          </w:p>
          <w:p w14:paraId="61F3A825" w14:textId="0480C434" w:rsidR="002B7D49" w:rsidRPr="0064688D" w:rsidRDefault="00CD3E82" w:rsidP="00E5026B">
            <w:pPr>
              <w:pStyle w:val="ListParagraph"/>
              <w:numPr>
                <w:ilvl w:val="0"/>
                <w:numId w:val="12"/>
              </w:numPr>
              <w:rPr>
                <w:color w:val="000000" w:themeColor="text1"/>
              </w:rPr>
            </w:pPr>
            <w:r w:rsidRPr="00E408C5">
              <w:rPr>
                <w:bCs/>
                <w:color w:val="000000" w:themeColor="text1"/>
              </w:rPr>
              <w:t xml:space="preserve">MK </w:t>
            </w:r>
            <w:r w:rsidR="00724100">
              <w:rPr>
                <w:bCs/>
                <w:color w:val="000000" w:themeColor="text1"/>
              </w:rPr>
              <w:t>rīkojumā</w:t>
            </w:r>
            <w:r w:rsidR="00724100" w:rsidRPr="00E408C5">
              <w:rPr>
                <w:bCs/>
                <w:color w:val="000000" w:themeColor="text1"/>
              </w:rPr>
              <w:t xml:space="preserve"> </w:t>
            </w:r>
            <w:r w:rsidRPr="00E408C5">
              <w:rPr>
                <w:bCs/>
                <w:color w:val="000000" w:themeColor="text1"/>
              </w:rPr>
              <w:t xml:space="preserve">Nr. </w:t>
            </w:r>
            <w:r w:rsidR="0064688D">
              <w:rPr>
                <w:bCs/>
                <w:color w:val="000000" w:themeColor="text1"/>
              </w:rPr>
              <w:t>422.</w:t>
            </w:r>
          </w:p>
        </w:tc>
      </w:tr>
      <w:tr w:rsidR="00455B87" w:rsidRPr="00D367E3" w14:paraId="04BC59D7" w14:textId="77777777" w:rsidTr="000C3E3D">
        <w:tblPrEx>
          <w:tblCellMar>
            <w:top w:w="28" w:type="dxa"/>
            <w:left w:w="28" w:type="dxa"/>
            <w:bottom w:w="28" w:type="dxa"/>
            <w:right w:w="28" w:type="dxa"/>
          </w:tblCellMar>
        </w:tblPrEx>
        <w:trPr>
          <w:trHeight w:val="463"/>
        </w:trPr>
        <w:tc>
          <w:tcPr>
            <w:tcW w:w="650" w:type="dxa"/>
          </w:tcPr>
          <w:p w14:paraId="4EE77728" w14:textId="77777777" w:rsidR="00455B87" w:rsidRPr="00D367E3" w:rsidRDefault="00455B87" w:rsidP="00C77AD9">
            <w:pPr>
              <w:pStyle w:val="naisnod"/>
              <w:spacing w:before="0" w:after="0"/>
              <w:ind w:left="57" w:right="57"/>
              <w:jc w:val="left"/>
            </w:pPr>
            <w:r w:rsidRPr="00D367E3">
              <w:rPr>
                <w:b w:val="0"/>
                <w:bCs w:val="0"/>
              </w:rPr>
              <w:t>2.</w:t>
            </w:r>
          </w:p>
        </w:tc>
        <w:tc>
          <w:tcPr>
            <w:tcW w:w="2999" w:type="dxa"/>
          </w:tcPr>
          <w:p w14:paraId="20D31060" w14:textId="2EE8F5C6" w:rsidR="00455B87" w:rsidRPr="00D367E3" w:rsidRDefault="00465D60" w:rsidP="00C77AD9">
            <w:pPr>
              <w:pStyle w:val="naisf"/>
              <w:spacing w:before="0" w:after="0"/>
              <w:ind w:left="57" w:right="57" w:firstLine="0"/>
              <w:jc w:val="left"/>
            </w:pPr>
            <w:r w:rsidRPr="00E408C5">
              <w:rPr>
                <w:color w:val="000000" w:themeColor="text1"/>
              </w:rPr>
              <w:t>Atbildīgā institūcija</w:t>
            </w:r>
          </w:p>
        </w:tc>
        <w:tc>
          <w:tcPr>
            <w:tcW w:w="5990" w:type="dxa"/>
          </w:tcPr>
          <w:p w14:paraId="5C27FA5B" w14:textId="53242D8F" w:rsidR="00455B87" w:rsidRPr="00D367E3" w:rsidRDefault="00CD3E82" w:rsidP="00C77AD9">
            <w:pPr>
              <w:pStyle w:val="naisnod"/>
              <w:spacing w:before="0" w:after="0"/>
              <w:ind w:right="57"/>
              <w:jc w:val="both"/>
              <w:rPr>
                <w:b w:val="0"/>
              </w:rPr>
            </w:pPr>
            <w:r>
              <w:rPr>
                <w:b w:val="0"/>
              </w:rPr>
              <w:t>VARAM</w:t>
            </w:r>
          </w:p>
        </w:tc>
      </w:tr>
      <w:tr w:rsidR="00455B87" w:rsidRPr="00D367E3" w14:paraId="694A1658" w14:textId="77777777" w:rsidTr="000C3E3D">
        <w:tblPrEx>
          <w:tblCellMar>
            <w:top w:w="28" w:type="dxa"/>
            <w:left w:w="28" w:type="dxa"/>
            <w:bottom w:w="28" w:type="dxa"/>
            <w:right w:w="28" w:type="dxa"/>
          </w:tblCellMar>
        </w:tblPrEx>
        <w:trPr>
          <w:trHeight w:val="476"/>
        </w:trPr>
        <w:tc>
          <w:tcPr>
            <w:tcW w:w="650" w:type="dxa"/>
          </w:tcPr>
          <w:p w14:paraId="48CF4C58" w14:textId="77777777" w:rsidR="00455B87" w:rsidRPr="00D367E3" w:rsidRDefault="00455B87" w:rsidP="00C77AD9">
            <w:pPr>
              <w:pStyle w:val="naiskr"/>
              <w:spacing w:before="0" w:after="0"/>
              <w:ind w:left="57" w:right="57"/>
            </w:pPr>
            <w:r w:rsidRPr="00D367E3">
              <w:t>3.</w:t>
            </w:r>
          </w:p>
        </w:tc>
        <w:tc>
          <w:tcPr>
            <w:tcW w:w="2999" w:type="dxa"/>
          </w:tcPr>
          <w:p w14:paraId="53B0B17F" w14:textId="77777777" w:rsidR="00455B87" w:rsidRPr="00D367E3" w:rsidRDefault="00455B87" w:rsidP="00C77AD9">
            <w:pPr>
              <w:pStyle w:val="naiskr"/>
              <w:spacing w:before="0" w:after="0"/>
              <w:ind w:left="57" w:right="57"/>
            </w:pPr>
            <w:r w:rsidRPr="00D367E3">
              <w:t>Cita informācija</w:t>
            </w:r>
          </w:p>
        </w:tc>
        <w:tc>
          <w:tcPr>
            <w:tcW w:w="5990" w:type="dxa"/>
          </w:tcPr>
          <w:p w14:paraId="3C9633B2" w14:textId="77777777" w:rsidR="00455B87" w:rsidRPr="00D367E3" w:rsidRDefault="00455B87" w:rsidP="00C77AD9">
            <w:pPr>
              <w:pStyle w:val="naiskr"/>
              <w:spacing w:before="0" w:after="0"/>
              <w:ind w:left="57" w:right="57"/>
            </w:pPr>
            <w:r w:rsidRPr="00D367E3">
              <w:t>Nav</w:t>
            </w:r>
          </w:p>
        </w:tc>
      </w:tr>
    </w:tbl>
    <w:p w14:paraId="51A8D931" w14:textId="77777777" w:rsidR="00B559D5" w:rsidRPr="00D367E3" w:rsidRDefault="00B559D5" w:rsidP="00B559D5">
      <w:pPr>
        <w:rPr>
          <w:iCs/>
          <w:lang w:eastAsia="en-US"/>
        </w:rPr>
      </w:pPr>
    </w:p>
    <w:tbl>
      <w:tblPr>
        <w:tblStyle w:val="TableGrid"/>
        <w:tblW w:w="9634" w:type="dxa"/>
        <w:tblInd w:w="-572" w:type="dxa"/>
        <w:tblLook w:val="04A0" w:firstRow="1" w:lastRow="0" w:firstColumn="1" w:lastColumn="0" w:noHBand="0" w:noVBand="1"/>
      </w:tblPr>
      <w:tblGrid>
        <w:gridCol w:w="9634"/>
      </w:tblGrid>
      <w:tr w:rsidR="00B15423" w:rsidRPr="00833A82" w14:paraId="1CBFF50A" w14:textId="77777777" w:rsidTr="0057124C">
        <w:trPr>
          <w:trHeight w:val="397"/>
        </w:trPr>
        <w:tc>
          <w:tcPr>
            <w:tcW w:w="9634" w:type="dxa"/>
            <w:vAlign w:val="center"/>
          </w:tcPr>
          <w:p w14:paraId="7BBD0043" w14:textId="77777777" w:rsidR="00B15423" w:rsidRPr="00833A82" w:rsidRDefault="00B15423" w:rsidP="0057124C">
            <w:pPr>
              <w:pStyle w:val="naisnod"/>
              <w:spacing w:before="0" w:after="0"/>
              <w:ind w:left="-102" w:right="57"/>
            </w:pPr>
            <w:r w:rsidRPr="00B15423">
              <w:t>V. Tiesību akta projekta atbilstība Latvijas Republikas starptautiskajām saistībām</w:t>
            </w:r>
          </w:p>
        </w:tc>
      </w:tr>
      <w:tr w:rsidR="00B15423" w:rsidRPr="00B15423" w14:paraId="2429BC64" w14:textId="77777777" w:rsidTr="0057124C">
        <w:trPr>
          <w:trHeight w:val="454"/>
        </w:trPr>
        <w:tc>
          <w:tcPr>
            <w:tcW w:w="9634" w:type="dxa"/>
            <w:vAlign w:val="center"/>
          </w:tcPr>
          <w:p w14:paraId="0B284D4A" w14:textId="77777777" w:rsidR="00B15423" w:rsidRPr="00B15423" w:rsidRDefault="00B15423" w:rsidP="00833A82">
            <w:pPr>
              <w:pStyle w:val="tvhtml"/>
              <w:spacing w:before="0" w:after="0"/>
              <w:jc w:val="center"/>
              <w:rPr>
                <w:bCs/>
              </w:rPr>
            </w:pPr>
            <w:r w:rsidRPr="00B15423">
              <w:rPr>
                <w:bCs/>
              </w:rPr>
              <w:t>Projekts šo jomu neskar</w:t>
            </w:r>
          </w:p>
        </w:tc>
      </w:tr>
    </w:tbl>
    <w:p w14:paraId="7C4EE470" w14:textId="77777777" w:rsidR="00B559D5" w:rsidRPr="00D367E3" w:rsidRDefault="00B559D5" w:rsidP="00B559D5">
      <w:pPr>
        <w:rPr>
          <w:sz w:val="20"/>
          <w:szCs w:val="20"/>
        </w:rPr>
      </w:pPr>
    </w:p>
    <w:tbl>
      <w:tblPr>
        <w:tblStyle w:val="TableGrid"/>
        <w:tblW w:w="9634" w:type="dxa"/>
        <w:tblInd w:w="-572" w:type="dxa"/>
        <w:tblLook w:val="04A0" w:firstRow="1" w:lastRow="0" w:firstColumn="1" w:lastColumn="0" w:noHBand="0" w:noVBand="1"/>
      </w:tblPr>
      <w:tblGrid>
        <w:gridCol w:w="9634"/>
      </w:tblGrid>
      <w:tr w:rsidR="00B15423" w:rsidRPr="00833A82" w14:paraId="7BC4F270" w14:textId="77777777" w:rsidTr="0057124C">
        <w:trPr>
          <w:trHeight w:val="454"/>
        </w:trPr>
        <w:tc>
          <w:tcPr>
            <w:tcW w:w="9634" w:type="dxa"/>
            <w:vAlign w:val="center"/>
          </w:tcPr>
          <w:p w14:paraId="4CC34F45" w14:textId="77777777" w:rsidR="00B15423" w:rsidRPr="00833A82" w:rsidRDefault="00B15423" w:rsidP="0057124C">
            <w:pPr>
              <w:pStyle w:val="naisnod"/>
              <w:spacing w:before="0" w:after="0"/>
              <w:ind w:left="-102" w:right="57"/>
            </w:pPr>
            <w:r w:rsidRPr="00833A82">
              <w:lastRenderedPageBreak/>
              <w:t>VI. Sabiedrības līdzdalība un komunikācijas aktivitātes</w:t>
            </w:r>
          </w:p>
        </w:tc>
      </w:tr>
      <w:tr w:rsidR="00B15423" w:rsidRPr="00B15423" w14:paraId="032204D3" w14:textId="77777777" w:rsidTr="0057124C">
        <w:trPr>
          <w:trHeight w:val="454"/>
        </w:trPr>
        <w:tc>
          <w:tcPr>
            <w:tcW w:w="9634" w:type="dxa"/>
            <w:vAlign w:val="center"/>
          </w:tcPr>
          <w:p w14:paraId="4D95B3DD" w14:textId="77777777" w:rsidR="00B15423" w:rsidRPr="00B15423" w:rsidRDefault="00B15423" w:rsidP="00833A82">
            <w:pPr>
              <w:jc w:val="center"/>
              <w:rPr>
                <w:iCs/>
                <w:lang w:eastAsia="lv-LV"/>
              </w:rPr>
            </w:pPr>
            <w:r w:rsidRPr="00B15423">
              <w:rPr>
                <w:bCs/>
              </w:rPr>
              <w:t>Projekts šo jomu neskar</w:t>
            </w:r>
          </w:p>
        </w:tc>
      </w:tr>
    </w:tbl>
    <w:p w14:paraId="4E81827F" w14:textId="77777777" w:rsidR="00836FE4" w:rsidRPr="00D367E3" w:rsidRDefault="00836FE4" w:rsidP="00B559D5">
      <w:pPr>
        <w:rPr>
          <w:iCs/>
          <w:lang w:eastAsia="en-US"/>
        </w:rPr>
      </w:pPr>
    </w:p>
    <w:tbl>
      <w:tblPr>
        <w:tblW w:w="96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4376"/>
        <w:gridCol w:w="4608"/>
      </w:tblGrid>
      <w:tr w:rsidR="00D367E3" w:rsidRPr="00D367E3" w14:paraId="732EB0F3" w14:textId="77777777" w:rsidTr="0057124C">
        <w:trPr>
          <w:trHeight w:val="454"/>
        </w:trPr>
        <w:tc>
          <w:tcPr>
            <w:tcW w:w="9642" w:type="dxa"/>
            <w:gridSpan w:val="3"/>
            <w:vAlign w:val="center"/>
          </w:tcPr>
          <w:p w14:paraId="5978324E" w14:textId="77777777" w:rsidR="00B559D5" w:rsidRPr="00D367E3" w:rsidRDefault="00F15799" w:rsidP="0057124C">
            <w:pPr>
              <w:pStyle w:val="naisnod"/>
              <w:spacing w:before="0" w:after="0"/>
              <w:ind w:left="-57" w:right="57"/>
            </w:pPr>
            <w:r w:rsidRPr="00D367E3">
              <w:t>VII. Tiesību akta projekta izpildes nodrošināšana un tās ietekme uz institūcijām</w:t>
            </w:r>
          </w:p>
        </w:tc>
      </w:tr>
      <w:tr w:rsidR="00D367E3" w:rsidRPr="00D367E3" w14:paraId="099EE1E5" w14:textId="77777777" w:rsidTr="0057124C">
        <w:tblPrEx>
          <w:tblCellMar>
            <w:top w:w="28" w:type="dxa"/>
            <w:left w:w="28" w:type="dxa"/>
            <w:bottom w:w="28" w:type="dxa"/>
            <w:right w:w="28" w:type="dxa"/>
          </w:tblCellMar>
        </w:tblPrEx>
        <w:trPr>
          <w:trHeight w:val="427"/>
        </w:trPr>
        <w:tc>
          <w:tcPr>
            <w:tcW w:w="658" w:type="dxa"/>
          </w:tcPr>
          <w:p w14:paraId="61475994" w14:textId="77777777" w:rsidR="00B559D5" w:rsidRPr="00D367E3" w:rsidRDefault="00F15799" w:rsidP="00262DE5">
            <w:pPr>
              <w:pStyle w:val="naisnod"/>
              <w:spacing w:before="0" w:after="0"/>
              <w:ind w:left="57" w:right="57"/>
              <w:jc w:val="left"/>
            </w:pPr>
            <w:r w:rsidRPr="00D367E3">
              <w:rPr>
                <w:b w:val="0"/>
                <w:bCs w:val="0"/>
              </w:rPr>
              <w:t>1.</w:t>
            </w:r>
          </w:p>
        </w:tc>
        <w:tc>
          <w:tcPr>
            <w:tcW w:w="4376" w:type="dxa"/>
          </w:tcPr>
          <w:p w14:paraId="094473FC" w14:textId="77777777" w:rsidR="00B559D5" w:rsidRPr="00D367E3" w:rsidRDefault="00F15799" w:rsidP="00262DE5">
            <w:pPr>
              <w:pStyle w:val="naisf"/>
              <w:spacing w:before="0" w:after="0"/>
              <w:ind w:left="57" w:right="57" w:firstLine="0"/>
              <w:jc w:val="left"/>
            </w:pPr>
            <w:r w:rsidRPr="00D367E3">
              <w:t xml:space="preserve">Projekta izpildē iesaistītās institūcijas </w:t>
            </w:r>
          </w:p>
        </w:tc>
        <w:tc>
          <w:tcPr>
            <w:tcW w:w="4608" w:type="dxa"/>
          </w:tcPr>
          <w:p w14:paraId="1955BF76" w14:textId="0F343168" w:rsidR="00B559D5" w:rsidRPr="00D367E3" w:rsidRDefault="00BB3E14" w:rsidP="00833A82">
            <w:pPr>
              <w:jc w:val="both"/>
              <w:rPr>
                <w:lang w:eastAsia="lv-LV"/>
              </w:rPr>
            </w:pPr>
            <w:r>
              <w:rPr>
                <w:lang w:eastAsia="lv-LV"/>
              </w:rPr>
              <w:t>VARAM</w:t>
            </w:r>
            <w:r w:rsidR="007E1F1D">
              <w:rPr>
                <w:lang w:eastAsia="lv-LV"/>
              </w:rPr>
              <w:t>, V</w:t>
            </w:r>
            <w:r w:rsidR="00733167">
              <w:rPr>
                <w:lang w:eastAsia="lv-LV"/>
              </w:rPr>
              <w:t>alsts reģionālās attīstības aģentūra</w:t>
            </w:r>
          </w:p>
        </w:tc>
      </w:tr>
      <w:tr w:rsidR="00D367E3" w:rsidRPr="00D367E3" w14:paraId="7145C8AF" w14:textId="77777777" w:rsidTr="0057124C">
        <w:tblPrEx>
          <w:tblCellMar>
            <w:top w:w="28" w:type="dxa"/>
            <w:left w:w="28" w:type="dxa"/>
            <w:bottom w:w="28" w:type="dxa"/>
            <w:right w:w="28" w:type="dxa"/>
          </w:tblCellMar>
        </w:tblPrEx>
        <w:trPr>
          <w:trHeight w:val="463"/>
        </w:trPr>
        <w:tc>
          <w:tcPr>
            <w:tcW w:w="658" w:type="dxa"/>
          </w:tcPr>
          <w:p w14:paraId="2F4CC15E" w14:textId="77777777" w:rsidR="00B559D5" w:rsidRPr="00D367E3" w:rsidRDefault="00F15799" w:rsidP="00262DE5">
            <w:pPr>
              <w:pStyle w:val="naisnod"/>
              <w:spacing w:before="0" w:after="0"/>
              <w:ind w:left="57" w:right="57"/>
              <w:jc w:val="left"/>
            </w:pPr>
            <w:r w:rsidRPr="00D367E3">
              <w:rPr>
                <w:b w:val="0"/>
                <w:bCs w:val="0"/>
              </w:rPr>
              <w:t>2.</w:t>
            </w:r>
          </w:p>
        </w:tc>
        <w:tc>
          <w:tcPr>
            <w:tcW w:w="4376" w:type="dxa"/>
          </w:tcPr>
          <w:p w14:paraId="2EA30F50" w14:textId="77777777" w:rsidR="00B559D5" w:rsidRPr="00D367E3" w:rsidRDefault="00F15799" w:rsidP="00262DE5">
            <w:pPr>
              <w:pStyle w:val="naisf"/>
              <w:spacing w:before="0" w:after="0"/>
              <w:ind w:left="57" w:right="57" w:firstLine="0"/>
              <w:jc w:val="left"/>
            </w:pPr>
            <w:r w:rsidRPr="00D367E3">
              <w:t>Projekta izpildes ietekme uz pārvaldes funkcijām un institucionālo struktūru</w:t>
            </w:r>
          </w:p>
        </w:tc>
        <w:tc>
          <w:tcPr>
            <w:tcW w:w="4608" w:type="dxa"/>
          </w:tcPr>
          <w:p w14:paraId="1846DAD4" w14:textId="02F824EB" w:rsidR="00B559D5" w:rsidRPr="00D367E3" w:rsidRDefault="002C2B13" w:rsidP="00E67A56">
            <w:pPr>
              <w:pStyle w:val="naisnod"/>
              <w:spacing w:before="0" w:after="0"/>
              <w:ind w:right="57"/>
              <w:jc w:val="both"/>
              <w:rPr>
                <w:b w:val="0"/>
              </w:rPr>
            </w:pPr>
            <w:r w:rsidRPr="00D367E3">
              <w:rPr>
                <w:b w:val="0"/>
              </w:rPr>
              <w:t>Nav attiecināms</w:t>
            </w:r>
          </w:p>
        </w:tc>
      </w:tr>
      <w:tr w:rsidR="00D367E3" w:rsidRPr="00D367E3" w14:paraId="5E06A529" w14:textId="77777777" w:rsidTr="0057124C">
        <w:tblPrEx>
          <w:tblCellMar>
            <w:top w:w="28" w:type="dxa"/>
            <w:left w:w="28" w:type="dxa"/>
            <w:bottom w:w="28" w:type="dxa"/>
            <w:right w:w="28" w:type="dxa"/>
          </w:tblCellMar>
        </w:tblPrEx>
        <w:trPr>
          <w:trHeight w:val="476"/>
        </w:trPr>
        <w:tc>
          <w:tcPr>
            <w:tcW w:w="658" w:type="dxa"/>
          </w:tcPr>
          <w:p w14:paraId="1D30E154" w14:textId="77777777" w:rsidR="00B559D5" w:rsidRPr="00D367E3" w:rsidRDefault="00F15799" w:rsidP="00262DE5">
            <w:pPr>
              <w:pStyle w:val="naiskr"/>
              <w:spacing w:before="0" w:after="0"/>
              <w:ind w:left="57" w:right="57"/>
            </w:pPr>
            <w:r w:rsidRPr="00D367E3">
              <w:t>3.</w:t>
            </w:r>
          </w:p>
        </w:tc>
        <w:tc>
          <w:tcPr>
            <w:tcW w:w="4376" w:type="dxa"/>
          </w:tcPr>
          <w:p w14:paraId="774121D0" w14:textId="77777777" w:rsidR="00B559D5" w:rsidRPr="00D367E3" w:rsidRDefault="00F15799" w:rsidP="00262DE5">
            <w:pPr>
              <w:pStyle w:val="naiskr"/>
              <w:spacing w:before="0" w:after="0"/>
              <w:ind w:left="57" w:right="57"/>
            </w:pPr>
            <w:r w:rsidRPr="00D367E3">
              <w:t>Cita informācija</w:t>
            </w:r>
          </w:p>
        </w:tc>
        <w:tc>
          <w:tcPr>
            <w:tcW w:w="4608" w:type="dxa"/>
          </w:tcPr>
          <w:p w14:paraId="18BB21A6" w14:textId="2C0EEA9E" w:rsidR="00B559D5" w:rsidRPr="00D367E3" w:rsidRDefault="00F15799" w:rsidP="00E5026B">
            <w:pPr>
              <w:pStyle w:val="naiskr"/>
              <w:spacing w:before="0" w:after="0"/>
              <w:ind w:right="57"/>
            </w:pPr>
            <w:r w:rsidRPr="00D367E3">
              <w:t>Nav</w:t>
            </w:r>
          </w:p>
        </w:tc>
      </w:tr>
    </w:tbl>
    <w:p w14:paraId="4A6D6879" w14:textId="77777777" w:rsidR="000C3E3D" w:rsidRDefault="000C3E3D" w:rsidP="000C3E3D">
      <w:pPr>
        <w:ind w:left="-567"/>
        <w:jc w:val="both"/>
      </w:pPr>
    </w:p>
    <w:p w14:paraId="5E7F6235" w14:textId="77777777" w:rsidR="000C3E3D" w:rsidRDefault="000C3E3D" w:rsidP="000C3E3D">
      <w:pPr>
        <w:ind w:left="-567"/>
        <w:jc w:val="both"/>
      </w:pPr>
    </w:p>
    <w:p w14:paraId="0D51A9F0" w14:textId="15BFF88A" w:rsidR="000C3E3D" w:rsidRDefault="000C3E3D" w:rsidP="000C3E3D">
      <w:pPr>
        <w:ind w:left="-567"/>
        <w:jc w:val="both"/>
      </w:pPr>
      <w:r>
        <w:t>Vides aizsardzības un reģionālās attīstības ministrs</w:t>
      </w:r>
      <w:r>
        <w:tab/>
        <w:t xml:space="preserve">                     </w:t>
      </w:r>
      <w:r>
        <w:tab/>
      </w:r>
      <w:r>
        <w:tab/>
      </w:r>
      <w:r>
        <w:tab/>
        <w:t>J. Pūce</w:t>
      </w:r>
    </w:p>
    <w:p w14:paraId="10F126BF" w14:textId="77777777" w:rsidR="000C3E3D" w:rsidRDefault="000C3E3D" w:rsidP="000C3E3D">
      <w:pPr>
        <w:ind w:left="-567"/>
        <w:jc w:val="both"/>
      </w:pPr>
    </w:p>
    <w:p w14:paraId="7E9CCC91" w14:textId="2C9F4CAD" w:rsidR="000C3E3D" w:rsidRDefault="000C3E3D" w:rsidP="000C3E3D">
      <w:pPr>
        <w:ind w:left="-567"/>
        <w:jc w:val="both"/>
      </w:pPr>
    </w:p>
    <w:p w14:paraId="764D5E1D" w14:textId="77777777" w:rsidR="000C3E3D" w:rsidRDefault="000C3E3D" w:rsidP="000C3E3D">
      <w:pPr>
        <w:ind w:left="-567"/>
        <w:jc w:val="both"/>
      </w:pPr>
    </w:p>
    <w:p w14:paraId="6060DF6B" w14:textId="77777777" w:rsidR="000C3E3D" w:rsidRPr="000C3E3D" w:rsidRDefault="000C3E3D" w:rsidP="000C3E3D">
      <w:pPr>
        <w:ind w:left="-567"/>
        <w:jc w:val="both"/>
        <w:rPr>
          <w:sz w:val="20"/>
          <w:szCs w:val="20"/>
        </w:rPr>
      </w:pPr>
      <w:r w:rsidRPr="000C3E3D">
        <w:rPr>
          <w:sz w:val="20"/>
          <w:szCs w:val="20"/>
        </w:rPr>
        <w:t>D. Andžāne 67026935</w:t>
      </w:r>
    </w:p>
    <w:p w14:paraId="3FFAF727" w14:textId="7F67F8BD" w:rsidR="00B559D5" w:rsidRPr="000C3E3D" w:rsidRDefault="000C3E3D" w:rsidP="000C3E3D">
      <w:pPr>
        <w:ind w:left="-567"/>
        <w:jc w:val="both"/>
        <w:rPr>
          <w:sz w:val="20"/>
          <w:szCs w:val="20"/>
          <w:highlight w:val="yellow"/>
        </w:rPr>
      </w:pPr>
      <w:r w:rsidRPr="000C3E3D">
        <w:rPr>
          <w:sz w:val="20"/>
          <w:szCs w:val="20"/>
        </w:rPr>
        <w:t>diana.andzane@varam.gov.lv</w:t>
      </w:r>
    </w:p>
    <w:sectPr w:rsidR="00B559D5" w:rsidRPr="000C3E3D" w:rsidSect="0057124C">
      <w:headerReference w:type="default" r:id="rId11"/>
      <w:footerReference w:type="default" r:id="rId12"/>
      <w:footerReference w:type="first" r:id="rId13"/>
      <w:pgSz w:w="11906" w:h="16838"/>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97625" w14:textId="77777777" w:rsidR="004F5C37" w:rsidRDefault="004F5C37">
      <w:r>
        <w:separator/>
      </w:r>
    </w:p>
  </w:endnote>
  <w:endnote w:type="continuationSeparator" w:id="0">
    <w:p w14:paraId="1D3986F3" w14:textId="77777777" w:rsidR="004F5C37" w:rsidRDefault="004F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3829" w14:textId="5AF3B18A" w:rsidR="006E119D" w:rsidRPr="0031590B" w:rsidRDefault="002015D4" w:rsidP="000C3E3D">
    <w:pPr>
      <w:pStyle w:val="Footer"/>
      <w:ind w:left="-567"/>
      <w:jc w:val="both"/>
      <w:rPr>
        <w:noProof/>
        <w:sz w:val="20"/>
      </w:rPr>
    </w:pPr>
    <w:r w:rsidRPr="0031590B">
      <w:rPr>
        <w:noProof/>
        <w:sz w:val="20"/>
      </w:rPr>
      <w:t>VARAMAnot_PIKTAPS_budzeta_pardale.docx</w:t>
    </w:r>
    <w:r w:rsidRPr="0031590B" w:rsidDel="002015D4">
      <w:rPr>
        <w:noProof/>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E74D" w14:textId="477BB535" w:rsidR="002C486E" w:rsidRPr="00E5026B" w:rsidRDefault="007E1F1D" w:rsidP="00E5026B">
    <w:pPr>
      <w:pStyle w:val="Footer"/>
      <w:jc w:val="both"/>
      <w:rPr>
        <w:noProof/>
        <w:sz w:val="20"/>
        <w:szCs w:val="20"/>
      </w:rPr>
    </w:pPr>
    <w:r w:rsidRPr="00E5026B">
      <w:rPr>
        <w:noProof/>
        <w:sz w:val="20"/>
        <w:szCs w:val="20"/>
      </w:rPr>
      <w:t>VARAMAnot_PIKTAPS_budzeta_pardale.docx</w:t>
    </w:r>
  </w:p>
  <w:p w14:paraId="0A93ED49" w14:textId="309E83ED" w:rsidR="006E119D" w:rsidRPr="00946404" w:rsidRDefault="006E119D" w:rsidP="00946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54450" w14:textId="77777777" w:rsidR="004F5C37" w:rsidRDefault="004F5C37">
      <w:r>
        <w:separator/>
      </w:r>
    </w:p>
  </w:footnote>
  <w:footnote w:type="continuationSeparator" w:id="0">
    <w:p w14:paraId="5B0ED312" w14:textId="77777777" w:rsidR="004F5C37" w:rsidRDefault="004F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4009" w14:textId="6D8B1433" w:rsidR="00352997" w:rsidRDefault="00F15799">
    <w:pPr>
      <w:pStyle w:val="Header"/>
      <w:jc w:val="center"/>
    </w:pPr>
    <w:r>
      <w:fldChar w:fldCharType="begin"/>
    </w:r>
    <w:r>
      <w:instrText xml:space="preserve"> PAGE </w:instrText>
    </w:r>
    <w:r>
      <w:fldChar w:fldCharType="separate"/>
    </w:r>
    <w:r w:rsidR="00281D74">
      <w:rPr>
        <w:noProof/>
      </w:rPr>
      <w:t>5</w:t>
    </w:r>
    <w:r>
      <w:rPr>
        <w:noProof/>
      </w:rPr>
      <w:fldChar w:fldCharType="end"/>
    </w:r>
  </w:p>
  <w:p w14:paraId="2AAD63D3" w14:textId="77777777" w:rsidR="00352997" w:rsidRPr="0031590B" w:rsidRDefault="0035299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1">
    <w:nsid w:val="00000005"/>
    <w:multiLevelType w:val="singleLevel"/>
    <w:tmpl w:val="00000005"/>
    <w:name w:val="WW8Num14"/>
    <w:lvl w:ilvl="0">
      <w:start w:val="1"/>
      <w:numFmt w:val="decimal"/>
      <w:lvlText w:val="%1)"/>
      <w:lvlJc w:val="left"/>
      <w:pPr>
        <w:tabs>
          <w:tab w:val="num" w:pos="0"/>
        </w:tabs>
        <w:ind w:left="360" w:hanging="360"/>
      </w:pPr>
    </w:lvl>
  </w:abstractNum>
  <w:abstractNum w:abstractNumId="2" w15:restartNumberingAfterBreak="1">
    <w:nsid w:val="167657DC"/>
    <w:multiLevelType w:val="multilevel"/>
    <w:tmpl w:val="A3C43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AF6D9C"/>
    <w:multiLevelType w:val="multilevel"/>
    <w:tmpl w:val="F75669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2971AA"/>
    <w:multiLevelType w:val="hybridMultilevel"/>
    <w:tmpl w:val="BEA69E98"/>
    <w:lvl w:ilvl="0" w:tplc="7806099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6543B6"/>
    <w:multiLevelType w:val="hybridMultilevel"/>
    <w:tmpl w:val="11E28B26"/>
    <w:lvl w:ilvl="0" w:tplc="14DEFFB6">
      <w:start w:val="2"/>
      <w:numFmt w:val="bullet"/>
      <w:lvlText w:val="-"/>
      <w:lvlJc w:val="left"/>
      <w:pPr>
        <w:ind w:left="720" w:hanging="360"/>
      </w:pPr>
      <w:rPr>
        <w:rFonts w:ascii="Times New Roman" w:eastAsia="Times New Roman" w:hAnsi="Times New Roman" w:cs="Times New Roman" w:hint="default"/>
      </w:rPr>
    </w:lvl>
    <w:lvl w:ilvl="1" w:tplc="7794FE62">
      <w:start w:val="4"/>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36D83434"/>
    <w:multiLevelType w:val="hybridMultilevel"/>
    <w:tmpl w:val="E9E831E2"/>
    <w:lvl w:ilvl="0" w:tplc="30AEDEB0">
      <w:start w:val="1"/>
      <w:numFmt w:val="decimal"/>
      <w:lvlText w:val="%1)"/>
      <w:lvlJc w:val="left"/>
      <w:pPr>
        <w:ind w:left="720" w:hanging="360"/>
      </w:pPr>
      <w:rPr>
        <w:rFonts w:hint="default"/>
      </w:rPr>
    </w:lvl>
    <w:lvl w:ilvl="1" w:tplc="9AAE7A64" w:tentative="1">
      <w:start w:val="1"/>
      <w:numFmt w:val="lowerLetter"/>
      <w:lvlText w:val="%2."/>
      <w:lvlJc w:val="left"/>
      <w:pPr>
        <w:ind w:left="1440" w:hanging="360"/>
      </w:pPr>
    </w:lvl>
    <w:lvl w:ilvl="2" w:tplc="B3647C30" w:tentative="1">
      <w:start w:val="1"/>
      <w:numFmt w:val="lowerRoman"/>
      <w:lvlText w:val="%3."/>
      <w:lvlJc w:val="right"/>
      <w:pPr>
        <w:ind w:left="2160" w:hanging="180"/>
      </w:pPr>
    </w:lvl>
    <w:lvl w:ilvl="3" w:tplc="AF3C3188" w:tentative="1">
      <w:start w:val="1"/>
      <w:numFmt w:val="decimal"/>
      <w:lvlText w:val="%4."/>
      <w:lvlJc w:val="left"/>
      <w:pPr>
        <w:ind w:left="2880" w:hanging="360"/>
      </w:pPr>
    </w:lvl>
    <w:lvl w:ilvl="4" w:tplc="785E0EE8" w:tentative="1">
      <w:start w:val="1"/>
      <w:numFmt w:val="lowerLetter"/>
      <w:lvlText w:val="%5."/>
      <w:lvlJc w:val="left"/>
      <w:pPr>
        <w:ind w:left="3600" w:hanging="360"/>
      </w:pPr>
    </w:lvl>
    <w:lvl w:ilvl="5" w:tplc="274264D2" w:tentative="1">
      <w:start w:val="1"/>
      <w:numFmt w:val="lowerRoman"/>
      <w:lvlText w:val="%6."/>
      <w:lvlJc w:val="right"/>
      <w:pPr>
        <w:ind w:left="4320" w:hanging="180"/>
      </w:pPr>
    </w:lvl>
    <w:lvl w:ilvl="6" w:tplc="53AA289A" w:tentative="1">
      <w:start w:val="1"/>
      <w:numFmt w:val="decimal"/>
      <w:lvlText w:val="%7."/>
      <w:lvlJc w:val="left"/>
      <w:pPr>
        <w:ind w:left="5040" w:hanging="360"/>
      </w:pPr>
    </w:lvl>
    <w:lvl w:ilvl="7" w:tplc="14C4149A" w:tentative="1">
      <w:start w:val="1"/>
      <w:numFmt w:val="lowerLetter"/>
      <w:lvlText w:val="%8."/>
      <w:lvlJc w:val="left"/>
      <w:pPr>
        <w:ind w:left="5760" w:hanging="360"/>
      </w:pPr>
    </w:lvl>
    <w:lvl w:ilvl="8" w:tplc="C03441E0" w:tentative="1">
      <w:start w:val="1"/>
      <w:numFmt w:val="lowerRoman"/>
      <w:lvlText w:val="%9."/>
      <w:lvlJc w:val="right"/>
      <w:pPr>
        <w:ind w:left="6480" w:hanging="180"/>
      </w:pPr>
    </w:lvl>
  </w:abstractNum>
  <w:abstractNum w:abstractNumId="7" w15:restartNumberingAfterBreak="0">
    <w:nsid w:val="576C1230"/>
    <w:multiLevelType w:val="hybridMultilevel"/>
    <w:tmpl w:val="A3EAC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3F461B"/>
    <w:multiLevelType w:val="hybridMultilevel"/>
    <w:tmpl w:val="F622048C"/>
    <w:lvl w:ilvl="0" w:tplc="13AACB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CA85289"/>
    <w:multiLevelType w:val="hybridMultilevel"/>
    <w:tmpl w:val="DAF234DC"/>
    <w:lvl w:ilvl="0" w:tplc="DE04F4A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4733AA"/>
    <w:multiLevelType w:val="hybridMultilevel"/>
    <w:tmpl w:val="A102462E"/>
    <w:lvl w:ilvl="0" w:tplc="14DEFFB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DB646C3"/>
    <w:multiLevelType w:val="hybridMultilevel"/>
    <w:tmpl w:val="2452A4F8"/>
    <w:lvl w:ilvl="0" w:tplc="458216FC">
      <w:start w:val="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2022AAE"/>
    <w:multiLevelType w:val="hybridMultilevel"/>
    <w:tmpl w:val="52D8C1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3307CA2"/>
    <w:multiLevelType w:val="hybridMultilevel"/>
    <w:tmpl w:val="6BFAC8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6C001262"/>
    <w:multiLevelType w:val="hybridMultilevel"/>
    <w:tmpl w:val="363271F2"/>
    <w:lvl w:ilvl="0" w:tplc="D9F04E5C">
      <w:start w:val="1"/>
      <w:numFmt w:val="decimal"/>
      <w:lvlText w:val="%1)"/>
      <w:lvlJc w:val="left"/>
      <w:pPr>
        <w:ind w:left="720" w:hanging="360"/>
      </w:pPr>
    </w:lvl>
    <w:lvl w:ilvl="1" w:tplc="88B2A67A">
      <w:start w:val="1"/>
      <w:numFmt w:val="lowerLetter"/>
      <w:lvlText w:val="%2."/>
      <w:lvlJc w:val="left"/>
      <w:pPr>
        <w:ind w:left="1440" w:hanging="360"/>
      </w:pPr>
    </w:lvl>
    <w:lvl w:ilvl="2" w:tplc="41D4B5DA">
      <w:start w:val="1"/>
      <w:numFmt w:val="lowerRoman"/>
      <w:lvlText w:val="%3."/>
      <w:lvlJc w:val="right"/>
      <w:pPr>
        <w:ind w:left="2160" w:hanging="180"/>
      </w:pPr>
    </w:lvl>
    <w:lvl w:ilvl="3" w:tplc="23AA7564">
      <w:start w:val="1"/>
      <w:numFmt w:val="decimal"/>
      <w:lvlText w:val="%4."/>
      <w:lvlJc w:val="left"/>
      <w:pPr>
        <w:ind w:left="2880" w:hanging="360"/>
      </w:pPr>
    </w:lvl>
    <w:lvl w:ilvl="4" w:tplc="15967276">
      <w:start w:val="1"/>
      <w:numFmt w:val="lowerLetter"/>
      <w:lvlText w:val="%5."/>
      <w:lvlJc w:val="left"/>
      <w:pPr>
        <w:ind w:left="3600" w:hanging="360"/>
      </w:pPr>
    </w:lvl>
    <w:lvl w:ilvl="5" w:tplc="9940A012">
      <w:start w:val="1"/>
      <w:numFmt w:val="lowerRoman"/>
      <w:lvlText w:val="%6."/>
      <w:lvlJc w:val="right"/>
      <w:pPr>
        <w:ind w:left="4320" w:hanging="180"/>
      </w:pPr>
    </w:lvl>
    <w:lvl w:ilvl="6" w:tplc="3F2E42B2">
      <w:start w:val="1"/>
      <w:numFmt w:val="decimal"/>
      <w:lvlText w:val="%7."/>
      <w:lvlJc w:val="left"/>
      <w:pPr>
        <w:ind w:left="5040" w:hanging="360"/>
      </w:pPr>
    </w:lvl>
    <w:lvl w:ilvl="7" w:tplc="210AE0DA">
      <w:start w:val="1"/>
      <w:numFmt w:val="lowerLetter"/>
      <w:lvlText w:val="%8."/>
      <w:lvlJc w:val="left"/>
      <w:pPr>
        <w:ind w:left="5760" w:hanging="360"/>
      </w:pPr>
    </w:lvl>
    <w:lvl w:ilvl="8" w:tplc="CF64C4A0">
      <w:start w:val="1"/>
      <w:numFmt w:val="lowerRoman"/>
      <w:lvlText w:val="%9."/>
      <w:lvlJc w:val="right"/>
      <w:pPr>
        <w:ind w:left="6480" w:hanging="180"/>
      </w:pPr>
    </w:lvl>
  </w:abstractNum>
  <w:abstractNum w:abstractNumId="15" w15:restartNumberingAfterBreak="0">
    <w:nsid w:val="72C41D64"/>
    <w:multiLevelType w:val="hybridMultilevel"/>
    <w:tmpl w:val="5DC6F412"/>
    <w:lvl w:ilvl="0" w:tplc="14DEFFB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7"/>
  </w:num>
  <w:num w:numId="10">
    <w:abstractNumId w:val="10"/>
  </w:num>
  <w:num w:numId="11">
    <w:abstractNumId w:val="9"/>
  </w:num>
  <w:num w:numId="12">
    <w:abstractNumId w:val="4"/>
  </w:num>
  <w:num w:numId="13">
    <w:abstractNumId w:val="13"/>
  </w:num>
  <w:num w:numId="14">
    <w:abstractNumId w:val="15"/>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D5"/>
    <w:rsid w:val="000158AA"/>
    <w:rsid w:val="000215D7"/>
    <w:rsid w:val="00023364"/>
    <w:rsid w:val="00023D5A"/>
    <w:rsid w:val="00024795"/>
    <w:rsid w:val="0003778A"/>
    <w:rsid w:val="00080B31"/>
    <w:rsid w:val="00081998"/>
    <w:rsid w:val="000975EE"/>
    <w:rsid w:val="000A39FF"/>
    <w:rsid w:val="000B2604"/>
    <w:rsid w:val="000C3E3D"/>
    <w:rsid w:val="000D0B05"/>
    <w:rsid w:val="000F52CB"/>
    <w:rsid w:val="00102821"/>
    <w:rsid w:val="00104A75"/>
    <w:rsid w:val="00106DA5"/>
    <w:rsid w:val="001114E0"/>
    <w:rsid w:val="00111F4C"/>
    <w:rsid w:val="001172D7"/>
    <w:rsid w:val="00124878"/>
    <w:rsid w:val="0014217D"/>
    <w:rsid w:val="0014279F"/>
    <w:rsid w:val="00145B49"/>
    <w:rsid w:val="00145D81"/>
    <w:rsid w:val="001560B1"/>
    <w:rsid w:val="00160AC1"/>
    <w:rsid w:val="00164F93"/>
    <w:rsid w:val="00171260"/>
    <w:rsid w:val="00171DE8"/>
    <w:rsid w:val="001937E3"/>
    <w:rsid w:val="001B0801"/>
    <w:rsid w:val="001B2914"/>
    <w:rsid w:val="001C29B0"/>
    <w:rsid w:val="001C7413"/>
    <w:rsid w:val="001D1708"/>
    <w:rsid w:val="001D603F"/>
    <w:rsid w:val="001D77CA"/>
    <w:rsid w:val="001E5604"/>
    <w:rsid w:val="001E6EFB"/>
    <w:rsid w:val="001F3262"/>
    <w:rsid w:val="001F5004"/>
    <w:rsid w:val="002015D4"/>
    <w:rsid w:val="00223C81"/>
    <w:rsid w:val="00247135"/>
    <w:rsid w:val="00257905"/>
    <w:rsid w:val="00262DE5"/>
    <w:rsid w:val="002739E0"/>
    <w:rsid w:val="00280990"/>
    <w:rsid w:val="00281D74"/>
    <w:rsid w:val="00286673"/>
    <w:rsid w:val="00287652"/>
    <w:rsid w:val="002950E6"/>
    <w:rsid w:val="00295BEE"/>
    <w:rsid w:val="002B68B8"/>
    <w:rsid w:val="002B7D49"/>
    <w:rsid w:val="002C003A"/>
    <w:rsid w:val="002C2B13"/>
    <w:rsid w:val="002C302F"/>
    <w:rsid w:val="002C3083"/>
    <w:rsid w:val="002C486E"/>
    <w:rsid w:val="002C5AED"/>
    <w:rsid w:val="002C7BC5"/>
    <w:rsid w:val="002D1D1F"/>
    <w:rsid w:val="002D3241"/>
    <w:rsid w:val="002D48AA"/>
    <w:rsid w:val="002E6827"/>
    <w:rsid w:val="002E7316"/>
    <w:rsid w:val="002F1FED"/>
    <w:rsid w:val="003067C1"/>
    <w:rsid w:val="0031590B"/>
    <w:rsid w:val="003227C4"/>
    <w:rsid w:val="0033225E"/>
    <w:rsid w:val="003338DA"/>
    <w:rsid w:val="00335A7A"/>
    <w:rsid w:val="00345EAA"/>
    <w:rsid w:val="00352997"/>
    <w:rsid w:val="00365E86"/>
    <w:rsid w:val="00366A8C"/>
    <w:rsid w:val="0037721B"/>
    <w:rsid w:val="003874FF"/>
    <w:rsid w:val="00393D20"/>
    <w:rsid w:val="00396DAC"/>
    <w:rsid w:val="003A0953"/>
    <w:rsid w:val="003B748B"/>
    <w:rsid w:val="003C38EF"/>
    <w:rsid w:val="003F4AD9"/>
    <w:rsid w:val="003F4D13"/>
    <w:rsid w:val="00401493"/>
    <w:rsid w:val="00401C73"/>
    <w:rsid w:val="00407A9D"/>
    <w:rsid w:val="00415586"/>
    <w:rsid w:val="00424068"/>
    <w:rsid w:val="00442911"/>
    <w:rsid w:val="00446113"/>
    <w:rsid w:val="00455B87"/>
    <w:rsid w:val="004628A2"/>
    <w:rsid w:val="00462A5A"/>
    <w:rsid w:val="004636BE"/>
    <w:rsid w:val="00465D60"/>
    <w:rsid w:val="00472058"/>
    <w:rsid w:val="004758A5"/>
    <w:rsid w:val="004803AD"/>
    <w:rsid w:val="004940F6"/>
    <w:rsid w:val="004B33E3"/>
    <w:rsid w:val="004D2013"/>
    <w:rsid w:val="004D4D41"/>
    <w:rsid w:val="004E11B5"/>
    <w:rsid w:val="004F048B"/>
    <w:rsid w:val="004F223E"/>
    <w:rsid w:val="004F5C37"/>
    <w:rsid w:val="00516027"/>
    <w:rsid w:val="00516A77"/>
    <w:rsid w:val="00521565"/>
    <w:rsid w:val="0053023E"/>
    <w:rsid w:val="0053269A"/>
    <w:rsid w:val="0053636E"/>
    <w:rsid w:val="00536626"/>
    <w:rsid w:val="00537167"/>
    <w:rsid w:val="005554AA"/>
    <w:rsid w:val="005574E3"/>
    <w:rsid w:val="005615DB"/>
    <w:rsid w:val="0056186B"/>
    <w:rsid w:val="0056773C"/>
    <w:rsid w:val="0057124C"/>
    <w:rsid w:val="00595EBB"/>
    <w:rsid w:val="005A3B20"/>
    <w:rsid w:val="005B36CB"/>
    <w:rsid w:val="005C3538"/>
    <w:rsid w:val="005E4DCB"/>
    <w:rsid w:val="005E6581"/>
    <w:rsid w:val="00613994"/>
    <w:rsid w:val="00623156"/>
    <w:rsid w:val="00627EFF"/>
    <w:rsid w:val="006309B3"/>
    <w:rsid w:val="00636C6C"/>
    <w:rsid w:val="00640AD9"/>
    <w:rsid w:val="0064688D"/>
    <w:rsid w:val="00646D6C"/>
    <w:rsid w:val="006519E4"/>
    <w:rsid w:val="00653D36"/>
    <w:rsid w:val="00655104"/>
    <w:rsid w:val="0066558A"/>
    <w:rsid w:val="00665A27"/>
    <w:rsid w:val="00671982"/>
    <w:rsid w:val="00672FDB"/>
    <w:rsid w:val="006850EC"/>
    <w:rsid w:val="00685880"/>
    <w:rsid w:val="00687811"/>
    <w:rsid w:val="006912DA"/>
    <w:rsid w:val="006A0D6D"/>
    <w:rsid w:val="006A7FCB"/>
    <w:rsid w:val="006C6BE4"/>
    <w:rsid w:val="006D10E7"/>
    <w:rsid w:val="006D2AE7"/>
    <w:rsid w:val="006D3D6A"/>
    <w:rsid w:val="006D577A"/>
    <w:rsid w:val="006D5BF9"/>
    <w:rsid w:val="006E119D"/>
    <w:rsid w:val="006E5E68"/>
    <w:rsid w:val="006F2877"/>
    <w:rsid w:val="006F4CE1"/>
    <w:rsid w:val="0071109B"/>
    <w:rsid w:val="00720A78"/>
    <w:rsid w:val="00724100"/>
    <w:rsid w:val="00733167"/>
    <w:rsid w:val="00740092"/>
    <w:rsid w:val="00741494"/>
    <w:rsid w:val="00743534"/>
    <w:rsid w:val="00752FE4"/>
    <w:rsid w:val="00766D18"/>
    <w:rsid w:val="00780F88"/>
    <w:rsid w:val="007830FC"/>
    <w:rsid w:val="007A42BD"/>
    <w:rsid w:val="007A7F81"/>
    <w:rsid w:val="007D0421"/>
    <w:rsid w:val="007D4228"/>
    <w:rsid w:val="007E1F1D"/>
    <w:rsid w:val="007E64E6"/>
    <w:rsid w:val="007E7A79"/>
    <w:rsid w:val="007F6C0F"/>
    <w:rsid w:val="007F7249"/>
    <w:rsid w:val="00802E75"/>
    <w:rsid w:val="00805BC4"/>
    <w:rsid w:val="00806AA7"/>
    <w:rsid w:val="00833A82"/>
    <w:rsid w:val="00835E68"/>
    <w:rsid w:val="00836FE4"/>
    <w:rsid w:val="00841A68"/>
    <w:rsid w:val="00847091"/>
    <w:rsid w:val="00854965"/>
    <w:rsid w:val="00862572"/>
    <w:rsid w:val="00863E86"/>
    <w:rsid w:val="008741D6"/>
    <w:rsid w:val="00877E2C"/>
    <w:rsid w:val="00884AAD"/>
    <w:rsid w:val="008850B0"/>
    <w:rsid w:val="00887F9E"/>
    <w:rsid w:val="00890AA6"/>
    <w:rsid w:val="00892B07"/>
    <w:rsid w:val="00895E1D"/>
    <w:rsid w:val="008A400D"/>
    <w:rsid w:val="008A6BF7"/>
    <w:rsid w:val="008B195C"/>
    <w:rsid w:val="008C17F0"/>
    <w:rsid w:val="008D6471"/>
    <w:rsid w:val="008E1B57"/>
    <w:rsid w:val="008E7BCE"/>
    <w:rsid w:val="009063EB"/>
    <w:rsid w:val="00911DD2"/>
    <w:rsid w:val="009138B1"/>
    <w:rsid w:val="009430DB"/>
    <w:rsid w:val="00946404"/>
    <w:rsid w:val="00947C74"/>
    <w:rsid w:val="00955A1D"/>
    <w:rsid w:val="0097536A"/>
    <w:rsid w:val="00976BC4"/>
    <w:rsid w:val="009806F8"/>
    <w:rsid w:val="00990BBD"/>
    <w:rsid w:val="009A17EE"/>
    <w:rsid w:val="009A3F4F"/>
    <w:rsid w:val="009A79B5"/>
    <w:rsid w:val="009B3124"/>
    <w:rsid w:val="009B4F80"/>
    <w:rsid w:val="009C4C51"/>
    <w:rsid w:val="009C5D33"/>
    <w:rsid w:val="009C6529"/>
    <w:rsid w:val="009D506B"/>
    <w:rsid w:val="009F02CD"/>
    <w:rsid w:val="009F5D97"/>
    <w:rsid w:val="00A14F9C"/>
    <w:rsid w:val="00A168F1"/>
    <w:rsid w:val="00A2257B"/>
    <w:rsid w:val="00A22DC9"/>
    <w:rsid w:val="00A3207C"/>
    <w:rsid w:val="00A33942"/>
    <w:rsid w:val="00A34BFC"/>
    <w:rsid w:val="00A358B6"/>
    <w:rsid w:val="00A358FF"/>
    <w:rsid w:val="00A5097E"/>
    <w:rsid w:val="00A52DB1"/>
    <w:rsid w:val="00A56529"/>
    <w:rsid w:val="00A61F17"/>
    <w:rsid w:val="00A65175"/>
    <w:rsid w:val="00A738DA"/>
    <w:rsid w:val="00A755CF"/>
    <w:rsid w:val="00A77BB6"/>
    <w:rsid w:val="00A80220"/>
    <w:rsid w:val="00A803E7"/>
    <w:rsid w:val="00A8574D"/>
    <w:rsid w:val="00A85E1C"/>
    <w:rsid w:val="00A8756C"/>
    <w:rsid w:val="00A87A7D"/>
    <w:rsid w:val="00A93351"/>
    <w:rsid w:val="00A968A6"/>
    <w:rsid w:val="00AA44A7"/>
    <w:rsid w:val="00AA7509"/>
    <w:rsid w:val="00AB4A40"/>
    <w:rsid w:val="00AC4E2D"/>
    <w:rsid w:val="00AD2D86"/>
    <w:rsid w:val="00AD3A6F"/>
    <w:rsid w:val="00AD40D2"/>
    <w:rsid w:val="00AD4714"/>
    <w:rsid w:val="00AE353E"/>
    <w:rsid w:val="00AE6288"/>
    <w:rsid w:val="00AF0EA6"/>
    <w:rsid w:val="00B15423"/>
    <w:rsid w:val="00B264BA"/>
    <w:rsid w:val="00B33040"/>
    <w:rsid w:val="00B34599"/>
    <w:rsid w:val="00B559D5"/>
    <w:rsid w:val="00B55F0D"/>
    <w:rsid w:val="00B5632E"/>
    <w:rsid w:val="00B71414"/>
    <w:rsid w:val="00B72709"/>
    <w:rsid w:val="00B81E0A"/>
    <w:rsid w:val="00B86F9C"/>
    <w:rsid w:val="00B92B8B"/>
    <w:rsid w:val="00B96FEA"/>
    <w:rsid w:val="00BA14A1"/>
    <w:rsid w:val="00BB174A"/>
    <w:rsid w:val="00BB3E14"/>
    <w:rsid w:val="00BB67B6"/>
    <w:rsid w:val="00BC0CD0"/>
    <w:rsid w:val="00BD0B87"/>
    <w:rsid w:val="00BD7A27"/>
    <w:rsid w:val="00C07AD8"/>
    <w:rsid w:val="00C25841"/>
    <w:rsid w:val="00C35006"/>
    <w:rsid w:val="00C42265"/>
    <w:rsid w:val="00C46C2D"/>
    <w:rsid w:val="00C60793"/>
    <w:rsid w:val="00C6299E"/>
    <w:rsid w:val="00C652D4"/>
    <w:rsid w:val="00C91FAD"/>
    <w:rsid w:val="00CB268D"/>
    <w:rsid w:val="00CD2E51"/>
    <w:rsid w:val="00CD3E82"/>
    <w:rsid w:val="00CE4614"/>
    <w:rsid w:val="00CE78E3"/>
    <w:rsid w:val="00D01227"/>
    <w:rsid w:val="00D01E62"/>
    <w:rsid w:val="00D03A83"/>
    <w:rsid w:val="00D339E1"/>
    <w:rsid w:val="00D343C2"/>
    <w:rsid w:val="00D367E3"/>
    <w:rsid w:val="00D422C0"/>
    <w:rsid w:val="00D54213"/>
    <w:rsid w:val="00D61886"/>
    <w:rsid w:val="00D71163"/>
    <w:rsid w:val="00D93539"/>
    <w:rsid w:val="00D967AF"/>
    <w:rsid w:val="00D97058"/>
    <w:rsid w:val="00DA43C3"/>
    <w:rsid w:val="00DB1B48"/>
    <w:rsid w:val="00DC3734"/>
    <w:rsid w:val="00DC77CF"/>
    <w:rsid w:val="00DD0CD0"/>
    <w:rsid w:val="00DF773A"/>
    <w:rsid w:val="00E1299E"/>
    <w:rsid w:val="00E1300F"/>
    <w:rsid w:val="00E379FE"/>
    <w:rsid w:val="00E40441"/>
    <w:rsid w:val="00E40D79"/>
    <w:rsid w:val="00E44B0E"/>
    <w:rsid w:val="00E46664"/>
    <w:rsid w:val="00E5026B"/>
    <w:rsid w:val="00E514B0"/>
    <w:rsid w:val="00E60664"/>
    <w:rsid w:val="00E67A56"/>
    <w:rsid w:val="00E77BD1"/>
    <w:rsid w:val="00E81505"/>
    <w:rsid w:val="00E83FC3"/>
    <w:rsid w:val="00E92E8E"/>
    <w:rsid w:val="00EA09FA"/>
    <w:rsid w:val="00EA53BF"/>
    <w:rsid w:val="00EC2FC0"/>
    <w:rsid w:val="00EF2A5D"/>
    <w:rsid w:val="00F003D5"/>
    <w:rsid w:val="00F0424B"/>
    <w:rsid w:val="00F15799"/>
    <w:rsid w:val="00F15C5F"/>
    <w:rsid w:val="00F24346"/>
    <w:rsid w:val="00F246A0"/>
    <w:rsid w:val="00F40167"/>
    <w:rsid w:val="00F54DA4"/>
    <w:rsid w:val="00F56F88"/>
    <w:rsid w:val="00F64998"/>
    <w:rsid w:val="00F70EAE"/>
    <w:rsid w:val="00F82D6C"/>
    <w:rsid w:val="00F865CB"/>
    <w:rsid w:val="00F94A3C"/>
    <w:rsid w:val="00FB0398"/>
    <w:rsid w:val="00FB3D0B"/>
    <w:rsid w:val="00FC36A0"/>
    <w:rsid w:val="00FD01E2"/>
    <w:rsid w:val="00FD0D66"/>
    <w:rsid w:val="00FD2B8E"/>
    <w:rsid w:val="00FE0CCD"/>
    <w:rsid w:val="00FE3A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26319B"/>
  <w15:chartTrackingRefBased/>
  <w15:docId w15:val="{7DC0A3A9-DFDE-4B61-BB65-143A5C75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F17"/>
    <w:pPr>
      <w:suppressAutoHyphens/>
      <w:spacing w:after="0" w:line="240" w:lineRule="auto"/>
    </w:pPr>
    <w:rPr>
      <w:rFonts w:ascii="Times New Roman" w:eastAsia="Times New Roman" w:hAnsi="Times New Roman" w:cs="Times New Roman"/>
      <w:sz w:val="24"/>
      <w:szCs w:val="24"/>
      <w:lang w:eastAsia="zh-CN"/>
    </w:rPr>
  </w:style>
  <w:style w:type="paragraph" w:styleId="Heading3">
    <w:name w:val="heading 3"/>
    <w:basedOn w:val="Normal"/>
    <w:next w:val="Normal"/>
    <w:link w:val="Heading3Char"/>
    <w:semiHidden/>
    <w:unhideWhenUsed/>
    <w:qFormat/>
    <w:rsid w:val="002C2B13"/>
    <w:pPr>
      <w:keepNext/>
      <w:suppressAutoHyphens w:val="0"/>
      <w:spacing w:before="240" w:after="60"/>
      <w:outlineLvl w:val="2"/>
    </w:pPr>
    <w:rPr>
      <w:rFonts w:ascii="Calibri Light" w:hAnsi="Calibri Light" w:cs="DokChamp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9D5"/>
    <w:rPr>
      <w:color w:val="0000FF"/>
      <w:u w:val="single"/>
    </w:rPr>
  </w:style>
  <w:style w:type="paragraph" w:customStyle="1" w:styleId="naisf">
    <w:name w:val="naisf"/>
    <w:basedOn w:val="Normal"/>
    <w:uiPriority w:val="99"/>
    <w:rsid w:val="00B559D5"/>
    <w:pPr>
      <w:spacing w:before="75" w:after="75"/>
      <w:ind w:firstLine="375"/>
      <w:jc w:val="both"/>
    </w:pPr>
  </w:style>
  <w:style w:type="paragraph" w:customStyle="1" w:styleId="naisnod">
    <w:name w:val="naisnod"/>
    <w:basedOn w:val="Normal"/>
    <w:uiPriority w:val="99"/>
    <w:rsid w:val="00B559D5"/>
    <w:pPr>
      <w:spacing w:before="150" w:after="150"/>
      <w:jc w:val="center"/>
    </w:pPr>
    <w:rPr>
      <w:b/>
      <w:bCs/>
    </w:rPr>
  </w:style>
  <w:style w:type="paragraph" w:customStyle="1" w:styleId="naiskr">
    <w:name w:val="naiskr"/>
    <w:basedOn w:val="Normal"/>
    <w:uiPriority w:val="99"/>
    <w:rsid w:val="00B559D5"/>
    <w:pPr>
      <w:spacing w:before="75" w:after="75"/>
    </w:pPr>
  </w:style>
  <w:style w:type="paragraph" w:styleId="Header">
    <w:name w:val="header"/>
    <w:basedOn w:val="Normal"/>
    <w:link w:val="HeaderChar1"/>
    <w:uiPriority w:val="99"/>
    <w:rsid w:val="00B559D5"/>
  </w:style>
  <w:style w:type="character" w:customStyle="1" w:styleId="HeaderChar">
    <w:name w:val="Head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uiPriority w:val="99"/>
    <w:locked/>
    <w:rsid w:val="00B559D5"/>
    <w:rPr>
      <w:rFonts w:ascii="Times New Roman" w:eastAsia="Times New Roman" w:hAnsi="Times New Roman" w:cs="Times New Roman"/>
      <w:sz w:val="24"/>
      <w:szCs w:val="24"/>
      <w:lang w:eastAsia="zh-CN"/>
    </w:rPr>
  </w:style>
  <w:style w:type="paragraph" w:styleId="Footer">
    <w:name w:val="footer"/>
    <w:basedOn w:val="Normal"/>
    <w:link w:val="FooterChar1"/>
    <w:uiPriority w:val="99"/>
    <w:rsid w:val="00B559D5"/>
  </w:style>
  <w:style w:type="character" w:customStyle="1" w:styleId="FooterChar">
    <w:name w:val="Footer Char"/>
    <w:basedOn w:val="DefaultParagraphFont"/>
    <w:uiPriority w:val="99"/>
    <w:rsid w:val="00B559D5"/>
    <w:rPr>
      <w:rFonts w:ascii="Times New Roman" w:eastAsia="Times New Roman" w:hAnsi="Times New Roman" w:cs="Times New Roman"/>
      <w:sz w:val="24"/>
      <w:szCs w:val="24"/>
      <w:lang w:eastAsia="zh-CN"/>
    </w:rPr>
  </w:style>
  <w:style w:type="character" w:customStyle="1" w:styleId="FooterChar1">
    <w:name w:val="Footer Char1"/>
    <w:basedOn w:val="DefaultParagraphFont"/>
    <w:link w:val="Footer"/>
    <w:uiPriority w:val="99"/>
    <w:locked/>
    <w:rsid w:val="00B559D5"/>
    <w:rPr>
      <w:rFonts w:ascii="Times New Roman" w:eastAsia="Times New Roman" w:hAnsi="Times New Roman" w:cs="Times New Roman"/>
      <w:sz w:val="24"/>
      <w:szCs w:val="24"/>
      <w:lang w:eastAsia="zh-CN"/>
    </w:rPr>
  </w:style>
  <w:style w:type="paragraph" w:customStyle="1" w:styleId="VPBody">
    <w:name w:val="VP Body"/>
    <w:basedOn w:val="Normal"/>
    <w:link w:val="VPBodyChar"/>
    <w:qFormat/>
    <w:rsid w:val="00B559D5"/>
    <w:pPr>
      <w:spacing w:after="160" w:line="254" w:lineRule="auto"/>
    </w:pPr>
    <w:rPr>
      <w:sz w:val="22"/>
      <w:szCs w:val="22"/>
    </w:rPr>
  </w:style>
  <w:style w:type="paragraph" w:customStyle="1" w:styleId="tvhtml">
    <w:name w:val="tv_html"/>
    <w:basedOn w:val="Normal"/>
    <w:rsid w:val="00B559D5"/>
    <w:pPr>
      <w:spacing w:before="280" w:after="280"/>
    </w:pPr>
  </w:style>
  <w:style w:type="paragraph" w:customStyle="1" w:styleId="VPTitle">
    <w:name w:val="VP Title"/>
    <w:basedOn w:val="Title"/>
    <w:qFormat/>
    <w:rsid w:val="00B559D5"/>
    <w:pPr>
      <w:keepNext/>
      <w:suppressAutoHyphens w:val="0"/>
      <w:spacing w:before="80" w:line="360" w:lineRule="auto"/>
      <w:contextualSpacing w:val="0"/>
    </w:pPr>
    <w:rPr>
      <w:rFonts w:ascii="Calibri" w:eastAsia="Times New Roman" w:hAnsi="Calibri" w:cs="Calibri"/>
      <w:b/>
      <w:bCs/>
      <w:sz w:val="48"/>
      <w:szCs w:val="48"/>
      <w:lang w:eastAsia="lv-LV"/>
    </w:rPr>
  </w:style>
  <w:style w:type="character" w:customStyle="1" w:styleId="VPBodyChar">
    <w:name w:val="VP Body Char"/>
    <w:link w:val="VPBody"/>
    <w:locked/>
    <w:rsid w:val="00B559D5"/>
    <w:rPr>
      <w:rFonts w:ascii="Times New Roman" w:eastAsia="Times New Roman" w:hAnsi="Times New Roman" w:cs="Times New Roman"/>
      <w:lang w:eastAsia="zh-CN"/>
    </w:rPr>
  </w:style>
  <w:style w:type="paragraph" w:customStyle="1" w:styleId="Default">
    <w:name w:val="Default"/>
    <w:rsid w:val="00B559D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59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D5"/>
    <w:rPr>
      <w:rFonts w:asciiTheme="majorHAnsi" w:eastAsiaTheme="majorEastAsia" w:hAnsiTheme="majorHAnsi" w:cstheme="majorBidi"/>
      <w:spacing w:val="-10"/>
      <w:kern w:val="28"/>
      <w:sz w:val="56"/>
      <w:szCs w:val="56"/>
      <w:lang w:eastAsia="zh-CN"/>
    </w:rPr>
  </w:style>
  <w:style w:type="character" w:customStyle="1" w:styleId="name">
    <w:name w:val="name"/>
    <w:rsid w:val="006E119D"/>
  </w:style>
  <w:style w:type="paragraph" w:styleId="BalloonText">
    <w:name w:val="Balloon Text"/>
    <w:basedOn w:val="Normal"/>
    <w:link w:val="BalloonTextChar"/>
    <w:uiPriority w:val="99"/>
    <w:semiHidden/>
    <w:unhideWhenUsed/>
    <w:rsid w:val="00E40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41"/>
    <w:rPr>
      <w:rFonts w:ascii="Segoe UI" w:eastAsia="Times New Roman" w:hAnsi="Segoe UI" w:cs="Segoe UI"/>
      <w:sz w:val="18"/>
      <w:szCs w:val="18"/>
      <w:lang w:eastAsia="zh-CN"/>
    </w:rPr>
  </w:style>
  <w:style w:type="character" w:styleId="CommentReference">
    <w:name w:val="annotation reference"/>
    <w:basedOn w:val="DefaultParagraphFont"/>
    <w:unhideWhenUsed/>
    <w:rsid w:val="00F40167"/>
    <w:rPr>
      <w:sz w:val="16"/>
      <w:szCs w:val="16"/>
    </w:rPr>
  </w:style>
  <w:style w:type="paragraph" w:styleId="CommentText">
    <w:name w:val="annotation text"/>
    <w:basedOn w:val="Normal"/>
    <w:link w:val="CommentTextChar"/>
    <w:uiPriority w:val="99"/>
    <w:unhideWhenUsed/>
    <w:rsid w:val="00F40167"/>
    <w:rPr>
      <w:sz w:val="20"/>
      <w:szCs w:val="20"/>
    </w:rPr>
  </w:style>
  <w:style w:type="character" w:customStyle="1" w:styleId="CommentTextChar">
    <w:name w:val="Comment Text Char"/>
    <w:basedOn w:val="DefaultParagraphFont"/>
    <w:link w:val="CommentText"/>
    <w:uiPriority w:val="99"/>
    <w:rsid w:val="00F40167"/>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40167"/>
    <w:rPr>
      <w:b/>
      <w:bCs/>
    </w:rPr>
  </w:style>
  <w:style w:type="character" w:customStyle="1" w:styleId="CommentSubjectChar">
    <w:name w:val="Comment Subject Char"/>
    <w:basedOn w:val="CommentTextChar"/>
    <w:link w:val="CommentSubject"/>
    <w:uiPriority w:val="99"/>
    <w:semiHidden/>
    <w:rsid w:val="00F40167"/>
    <w:rPr>
      <w:rFonts w:ascii="Times New Roman" w:eastAsia="Times New Roman" w:hAnsi="Times New Roman" w:cs="Times New Roman"/>
      <w:b/>
      <w:bCs/>
      <w:sz w:val="20"/>
      <w:szCs w:val="20"/>
      <w:lang w:eastAsia="zh-CN"/>
    </w:rPr>
  </w:style>
  <w:style w:type="character" w:customStyle="1" w:styleId="UnresolvedMention1">
    <w:name w:val="Unresolved Mention1"/>
    <w:basedOn w:val="DefaultParagraphFont"/>
    <w:uiPriority w:val="99"/>
    <w:semiHidden/>
    <w:unhideWhenUsed/>
    <w:rsid w:val="000975EE"/>
    <w:rPr>
      <w:color w:val="605E5C"/>
      <w:shd w:val="clear" w:color="auto" w:fill="E1DFDD"/>
    </w:rPr>
  </w:style>
  <w:style w:type="character" w:customStyle="1" w:styleId="left">
    <w:name w:val="left"/>
    <w:basedOn w:val="DefaultParagraphFont"/>
    <w:rsid w:val="000975EE"/>
  </w:style>
  <w:style w:type="character" w:customStyle="1" w:styleId="ListParagraphChar">
    <w:name w:val="List Paragraph Char"/>
    <w:aliases w:val="2 Char,H&amp;P List Paragraph Char,Strip Char,Bullet list Char,Normal bullet 2 Char,Saraksta rindkopa1 Char"/>
    <w:link w:val="ListParagraph"/>
    <w:uiPriority w:val="34"/>
    <w:qFormat/>
    <w:locked/>
    <w:rsid w:val="005615DB"/>
    <w:rPr>
      <w:rFonts w:ascii="Times New Roman" w:eastAsia="Times New Roman" w:hAnsi="Times New Roman" w:cs="Times New Roman"/>
      <w:sz w:val="24"/>
      <w:szCs w:val="24"/>
    </w:rPr>
  </w:style>
  <w:style w:type="paragraph" w:styleId="ListParagraph">
    <w:name w:val="List Paragraph"/>
    <w:aliases w:val="2,H&amp;P List Paragraph,Strip,Bullet list,Normal bullet 2,Saraksta rindkopa1"/>
    <w:basedOn w:val="Normal"/>
    <w:link w:val="ListParagraphChar"/>
    <w:uiPriority w:val="34"/>
    <w:qFormat/>
    <w:rsid w:val="005615DB"/>
    <w:pPr>
      <w:suppressAutoHyphens w:val="0"/>
      <w:ind w:left="720"/>
      <w:contextualSpacing/>
    </w:pPr>
    <w:rPr>
      <w:lang w:eastAsia="en-US"/>
    </w:rPr>
  </w:style>
  <w:style w:type="paragraph" w:styleId="Revision">
    <w:name w:val="Revision"/>
    <w:hidden/>
    <w:uiPriority w:val="99"/>
    <w:semiHidden/>
    <w:rsid w:val="00D54213"/>
    <w:pPr>
      <w:spacing w:after="0"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semiHidden/>
    <w:rsid w:val="002C2B13"/>
    <w:rPr>
      <w:rFonts w:ascii="Calibri Light" w:eastAsia="Times New Roman" w:hAnsi="Calibri Light" w:cs="DokChampa"/>
      <w:b/>
      <w:bCs/>
      <w:sz w:val="26"/>
      <w:szCs w:val="26"/>
    </w:rPr>
  </w:style>
  <w:style w:type="character" w:customStyle="1" w:styleId="UnresolvedMention2">
    <w:name w:val="Unresolved Mention2"/>
    <w:basedOn w:val="DefaultParagraphFont"/>
    <w:uiPriority w:val="99"/>
    <w:rsid w:val="00BB67B6"/>
    <w:rPr>
      <w:color w:val="605E5C"/>
      <w:shd w:val="clear" w:color="auto" w:fill="E1DFDD"/>
    </w:rPr>
  </w:style>
  <w:style w:type="paragraph" w:styleId="FootnoteText">
    <w:name w:val="footnote text"/>
    <w:aliases w:val="Footnote,Fußnote"/>
    <w:basedOn w:val="Normal"/>
    <w:link w:val="FootnoteTextChar"/>
    <w:rsid w:val="00780F88"/>
    <w:pPr>
      <w:suppressAutoHyphens w:val="0"/>
    </w:pPr>
    <w:rPr>
      <w:sz w:val="20"/>
      <w:szCs w:val="20"/>
      <w:lang w:val="en-AU" w:eastAsia="x-none"/>
    </w:rPr>
  </w:style>
  <w:style w:type="character" w:customStyle="1" w:styleId="FootnoteTextChar">
    <w:name w:val="Footnote Text Char"/>
    <w:aliases w:val="Footnote Char,Fußnote Char"/>
    <w:basedOn w:val="DefaultParagraphFont"/>
    <w:link w:val="FootnoteText"/>
    <w:rsid w:val="00780F88"/>
    <w:rPr>
      <w:rFonts w:ascii="Times New Roman" w:eastAsia="Times New Roman" w:hAnsi="Times New Roman" w:cs="Times New Roman"/>
      <w:sz w:val="20"/>
      <w:szCs w:val="20"/>
      <w:lang w:val="en-AU" w:eastAsia="x-none"/>
    </w:rPr>
  </w:style>
  <w:style w:type="character" w:styleId="FootnoteReference">
    <w:name w:val="footnote reference"/>
    <w:aliases w:val="Footnote Reference Number"/>
    <w:rsid w:val="00780F88"/>
    <w:rPr>
      <w:vertAlign w:val="superscript"/>
    </w:rPr>
  </w:style>
  <w:style w:type="table" w:styleId="TableGrid">
    <w:name w:val="Table Grid"/>
    <w:basedOn w:val="TableNormal"/>
    <w:uiPriority w:val="59"/>
    <w:rsid w:val="00B1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9" ma:contentTypeDescription="Izveidot jaunu dokumentu." ma:contentTypeScope="" ma:versionID="b7fcde3e480723a2447ddaa460264276">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ae1f15ef28efdf6a7f6f45b6681fdb21"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7CC59-886D-4148-B93C-EEA1A8557BA9}">
  <ds:schemaRefs>
    <ds:schemaRef ds:uri="f4ac1c89-c468-4115-8111-4b2433007404"/>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b7ff3f73-803f-483a-890b-71b582754ce2"/>
    <ds:schemaRef ds:uri="http://www.w3.org/XML/1998/namespace"/>
    <ds:schemaRef ds:uri="http://purl.org/dc/dcmitype/"/>
  </ds:schemaRefs>
</ds:datastoreItem>
</file>

<file path=customXml/itemProps2.xml><?xml version="1.0" encoding="utf-8"?>
<ds:datastoreItem xmlns:ds="http://schemas.openxmlformats.org/officeDocument/2006/customXml" ds:itemID="{206FBEB6-BAFA-4C60-85C9-D0CD35C4C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7B30D-3B28-4908-A85F-6849EDFE518D}">
  <ds:schemaRefs>
    <ds:schemaRef ds:uri="http://schemas.microsoft.com/sharepoint/v3/contenttype/forms"/>
  </ds:schemaRefs>
</ds:datastoreItem>
</file>

<file path=customXml/itemProps4.xml><?xml version="1.0" encoding="utf-8"?>
<ds:datastoreItem xmlns:ds="http://schemas.openxmlformats.org/officeDocument/2006/customXml" ds:itemID="{9A848FCD-0EC0-43F7-B53C-A3CF3FC3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5929</Words>
  <Characters>3381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rīkojumu projektu kopas par informācijas sabiedrības attīstības pamatnostādņu ieviešanu publiskās pārvaldes informācijas sistēmu jomā sākotnējās ietekmes novērtējuma ziņojums (apvienotā anotācija)</vt:lpstr>
    </vt:vector>
  </TitlesOfParts>
  <Company>Vides aizsardzības un reģionālās attīstības ministrija</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rīkojumu projektu kopas par informācijas sabiedrības attīstības pamatnostādņu ieviešanu publiskās pārvaldes informācijas sistēmu jomā sākotnējās ietekmes novērtējuma ziņojums (apvienotā anotācija)</dc:title>
  <dc:subject>Anotācija</dc:subject>
  <dc:creator>Diana Andzane</dc:creator>
  <dc:description>diana.andzane@varam.gov.lv t. 67026935</dc:description>
  <cp:lastModifiedBy>Lelda Kalniņa</cp:lastModifiedBy>
  <cp:revision>5</cp:revision>
  <cp:lastPrinted>2019-05-29T07:23:00Z</cp:lastPrinted>
  <dcterms:created xsi:type="dcterms:W3CDTF">2019-10-25T12:07:00Z</dcterms:created>
  <dcterms:modified xsi:type="dcterms:W3CDTF">2019-10-29T14:51:00Z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