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BEB3" w14:textId="77777777" w:rsidR="00831266" w:rsidRPr="00371588" w:rsidRDefault="000A531F" w:rsidP="00831266">
      <w:pPr>
        <w:jc w:val="center"/>
        <w:rPr>
          <w:b/>
          <w:sz w:val="28"/>
          <w:szCs w:val="28"/>
        </w:rPr>
      </w:pPr>
      <w:smartTag w:uri="schemas-tilde-lv/tildestengine" w:element="veidnes">
        <w:smartTagPr>
          <w:attr w:name="id" w:val="-1"/>
          <w:attr w:name="baseform" w:val="Izziņa"/>
          <w:attr w:name="text" w:val="Izziņa"/>
        </w:smartTagPr>
        <w:r w:rsidRPr="00371588">
          <w:rPr>
            <w:b/>
            <w:sz w:val="28"/>
            <w:szCs w:val="28"/>
          </w:rPr>
          <w:t>Izziņa</w:t>
        </w:r>
      </w:smartTag>
      <w:r w:rsidRPr="00371588">
        <w:rPr>
          <w:b/>
          <w:sz w:val="28"/>
          <w:szCs w:val="28"/>
        </w:rPr>
        <w:t xml:space="preserve"> par atzinumos sniegtajiem iebildumiem</w:t>
      </w:r>
      <w:r w:rsidR="00831266" w:rsidRPr="00371588">
        <w:rPr>
          <w:b/>
          <w:sz w:val="28"/>
          <w:szCs w:val="28"/>
        </w:rPr>
        <w:t xml:space="preserve"> </w:t>
      </w:r>
    </w:p>
    <w:p w14:paraId="2F855802" w14:textId="6F1ACB4A" w:rsidR="009B1EEA" w:rsidRPr="00371588" w:rsidRDefault="000A531F" w:rsidP="00831266">
      <w:pPr>
        <w:jc w:val="center"/>
        <w:rPr>
          <w:b/>
          <w:sz w:val="28"/>
        </w:rPr>
      </w:pPr>
      <w:r w:rsidRPr="00371588">
        <w:rPr>
          <w:b/>
          <w:sz w:val="28"/>
        </w:rPr>
        <w:t>Min</w:t>
      </w:r>
      <w:r w:rsidR="00705DBC" w:rsidRPr="00371588">
        <w:rPr>
          <w:b/>
          <w:sz w:val="28"/>
        </w:rPr>
        <w:t xml:space="preserve">istru kabineta </w:t>
      </w:r>
      <w:r w:rsidR="00007A39" w:rsidRPr="00371588">
        <w:rPr>
          <w:b/>
          <w:sz w:val="28"/>
        </w:rPr>
        <w:t>noteikumu</w:t>
      </w:r>
      <w:r w:rsidR="00705DBC" w:rsidRPr="00371588">
        <w:rPr>
          <w:b/>
          <w:sz w:val="28"/>
        </w:rPr>
        <w:t xml:space="preserve"> projektam</w:t>
      </w:r>
    </w:p>
    <w:p w14:paraId="0ACC26B4" w14:textId="07D28562" w:rsidR="00985C29" w:rsidRPr="00371588" w:rsidRDefault="00985C29" w:rsidP="00985C29">
      <w:pPr>
        <w:jc w:val="center"/>
        <w:rPr>
          <w:b/>
          <w:sz w:val="28"/>
          <w:szCs w:val="28"/>
        </w:rPr>
      </w:pPr>
      <w:r w:rsidRPr="00371588">
        <w:rPr>
          <w:b/>
          <w:sz w:val="28"/>
          <w:szCs w:val="28"/>
        </w:rPr>
        <w:t>“</w:t>
      </w:r>
      <w:r w:rsidR="00831266" w:rsidRPr="00371588">
        <w:rPr>
          <w:b/>
          <w:bCs/>
          <w:sz w:val="28"/>
        </w:rPr>
        <w:t>Grozījumi Ministru kabineta 2001.</w:t>
      </w:r>
      <w:r w:rsidR="000A7B5B">
        <w:rPr>
          <w:b/>
          <w:bCs/>
          <w:sz w:val="28"/>
        </w:rPr>
        <w:t> </w:t>
      </w:r>
      <w:r w:rsidR="00831266" w:rsidRPr="00371588">
        <w:rPr>
          <w:b/>
          <w:bCs/>
          <w:sz w:val="28"/>
        </w:rPr>
        <w:t>gada 23.</w:t>
      </w:r>
      <w:r w:rsidR="000A7B5B">
        <w:rPr>
          <w:b/>
          <w:bCs/>
          <w:sz w:val="28"/>
        </w:rPr>
        <w:t> </w:t>
      </w:r>
      <w:r w:rsidR="00831266" w:rsidRPr="00371588">
        <w:rPr>
          <w:b/>
          <w:bCs/>
          <w:sz w:val="28"/>
        </w:rPr>
        <w:t xml:space="preserve">oktobra noteikumos Nr. 448 </w:t>
      </w:r>
      <w:r w:rsidR="00831266" w:rsidRPr="00371588">
        <w:rPr>
          <w:b/>
          <w:sz w:val="28"/>
          <w:szCs w:val="28"/>
        </w:rPr>
        <w:t>“</w:t>
      </w:r>
      <w:hyperlink r:id="rId8" w:tgtFrame="_blank" w:history="1">
        <w:r w:rsidR="00831266" w:rsidRPr="00371588">
          <w:rPr>
            <w:b/>
            <w:bCs/>
            <w:sz w:val="28"/>
          </w:rPr>
          <w:t>Noteikumi par nepieciešamo izglītības līmeni personām, kuras veic uzņēmējdarbību ar ķīmiskajām vielām un ķīmiskajiem produktiem</w:t>
        </w:r>
      </w:hyperlink>
      <w:r w:rsidR="00831266" w:rsidRPr="00371588">
        <w:rPr>
          <w:b/>
          <w:sz w:val="28"/>
          <w:szCs w:val="28"/>
        </w:rPr>
        <w:t>”</w:t>
      </w:r>
      <w:r w:rsidRPr="00371588">
        <w:rPr>
          <w:b/>
          <w:sz w:val="28"/>
          <w:szCs w:val="28"/>
        </w:rPr>
        <w:t>”</w:t>
      </w:r>
    </w:p>
    <w:p w14:paraId="6C8F2033" w14:textId="4BD63F63" w:rsidR="004D1569" w:rsidRPr="00371588" w:rsidRDefault="009B1EEA" w:rsidP="004021B9">
      <w:pPr>
        <w:jc w:val="center"/>
        <w:rPr>
          <w:b/>
          <w:sz w:val="28"/>
          <w:szCs w:val="28"/>
          <w:lang w:eastAsia="en-US"/>
        </w:rPr>
      </w:pPr>
      <w:r w:rsidRPr="00371588">
        <w:rPr>
          <w:b/>
          <w:sz w:val="28"/>
          <w:szCs w:val="28"/>
        </w:rPr>
        <w:t xml:space="preserve"> </w:t>
      </w:r>
      <w:r w:rsidR="004D1569" w:rsidRPr="00371588">
        <w:rPr>
          <w:b/>
          <w:sz w:val="28"/>
          <w:szCs w:val="28"/>
        </w:rPr>
        <w:t>(VSS</w:t>
      </w:r>
      <w:r w:rsidR="001A67DB" w:rsidRPr="00371588">
        <w:rPr>
          <w:b/>
          <w:sz w:val="28"/>
          <w:szCs w:val="28"/>
        </w:rPr>
        <w:t xml:space="preserve"> </w:t>
      </w:r>
      <w:r w:rsidR="004D1569" w:rsidRPr="00371588">
        <w:rPr>
          <w:b/>
          <w:sz w:val="28"/>
          <w:szCs w:val="28"/>
        </w:rPr>
        <w:t xml:space="preserve">- </w:t>
      </w:r>
      <w:r w:rsidR="00831266" w:rsidRPr="00371588">
        <w:rPr>
          <w:b/>
          <w:sz w:val="28"/>
          <w:szCs w:val="28"/>
        </w:rPr>
        <w:t>398</w:t>
      </w:r>
      <w:r w:rsidR="004D1569" w:rsidRPr="00371588">
        <w:rPr>
          <w:b/>
          <w:sz w:val="28"/>
          <w:szCs w:val="28"/>
        </w:rPr>
        <w:t xml:space="preserve">) </w:t>
      </w:r>
    </w:p>
    <w:p w14:paraId="49D32D21" w14:textId="77777777" w:rsidR="00EA4FB1" w:rsidRPr="00371588" w:rsidRDefault="00EA4FB1" w:rsidP="00EA4FB1">
      <w:pPr>
        <w:ind w:firstLine="720"/>
        <w:jc w:val="center"/>
        <w:rPr>
          <w:b/>
          <w:bCs/>
          <w:sz w:val="28"/>
          <w:szCs w:val="28"/>
          <w:lang w:eastAsia="ko-KR"/>
        </w:rPr>
      </w:pPr>
    </w:p>
    <w:p w14:paraId="45771458" w14:textId="77777777" w:rsidR="000A531F" w:rsidRPr="00371588" w:rsidRDefault="000A531F" w:rsidP="000A531F">
      <w:pPr>
        <w:jc w:val="center"/>
        <w:rPr>
          <w:b/>
        </w:rPr>
      </w:pPr>
      <w:r w:rsidRPr="00371588">
        <w:rPr>
          <w:b/>
        </w:rPr>
        <w:t>I.</w:t>
      </w:r>
      <w:r w:rsidR="00EA4FB1" w:rsidRPr="00371588">
        <w:rPr>
          <w:b/>
        </w:rPr>
        <w:t xml:space="preserve"> </w:t>
      </w:r>
      <w:r w:rsidRPr="00371588">
        <w:rPr>
          <w:b/>
        </w:rPr>
        <w:t>Jautājumi, par kuriem saskaņošanā vienošanās nav panākta</w:t>
      </w:r>
    </w:p>
    <w:tbl>
      <w:tblPr>
        <w:tblStyle w:val="TableGrid"/>
        <w:tblW w:w="15021" w:type="dxa"/>
        <w:tblLayout w:type="fixed"/>
        <w:tblLook w:val="01E0" w:firstRow="1" w:lastRow="1" w:firstColumn="1" w:lastColumn="1" w:noHBand="0" w:noVBand="0"/>
      </w:tblPr>
      <w:tblGrid>
        <w:gridCol w:w="648"/>
        <w:gridCol w:w="1757"/>
        <w:gridCol w:w="3544"/>
        <w:gridCol w:w="4419"/>
        <w:gridCol w:w="1620"/>
        <w:gridCol w:w="3033"/>
      </w:tblGrid>
      <w:tr w:rsidR="00F21F58" w:rsidRPr="00371588" w14:paraId="2DA0C375" w14:textId="77777777" w:rsidTr="00705631">
        <w:tc>
          <w:tcPr>
            <w:tcW w:w="648" w:type="dxa"/>
            <w:vAlign w:val="center"/>
          </w:tcPr>
          <w:p w14:paraId="04544725" w14:textId="77777777" w:rsidR="000A531F" w:rsidRPr="00371588" w:rsidRDefault="000A531F" w:rsidP="007F16FC">
            <w:pPr>
              <w:jc w:val="center"/>
            </w:pPr>
            <w:r w:rsidRPr="00371588">
              <w:t>Nr.p.k.</w:t>
            </w:r>
          </w:p>
        </w:tc>
        <w:tc>
          <w:tcPr>
            <w:tcW w:w="1757" w:type="dxa"/>
            <w:vAlign w:val="center"/>
          </w:tcPr>
          <w:p w14:paraId="3039FB62" w14:textId="77777777" w:rsidR="000A531F" w:rsidRPr="00371588" w:rsidRDefault="000A531F" w:rsidP="007F16FC">
            <w:pPr>
              <w:jc w:val="center"/>
            </w:pPr>
            <w:r w:rsidRPr="00371588">
              <w:t>Saskaņošanai nosūtītā projekta redakcija (konkrēta punkta (panta) redakcija)</w:t>
            </w:r>
          </w:p>
        </w:tc>
        <w:tc>
          <w:tcPr>
            <w:tcW w:w="3544" w:type="dxa"/>
            <w:vAlign w:val="center"/>
          </w:tcPr>
          <w:p w14:paraId="3B6DA722" w14:textId="77777777" w:rsidR="000A531F" w:rsidRPr="00371588" w:rsidRDefault="000A531F" w:rsidP="007F16FC">
            <w:pPr>
              <w:jc w:val="center"/>
            </w:pPr>
            <w:r w:rsidRPr="00371588">
              <w:t>Atzinumā norādītais ministrijas (citas institūcijas) iebildums, kā arī saskaņošanā papildus izteiktais iebildums par projekta konkrēto punktu (pantu)</w:t>
            </w:r>
          </w:p>
        </w:tc>
        <w:tc>
          <w:tcPr>
            <w:tcW w:w="4419" w:type="dxa"/>
            <w:vAlign w:val="center"/>
          </w:tcPr>
          <w:p w14:paraId="78B19698" w14:textId="77777777" w:rsidR="000A531F" w:rsidRPr="00371588" w:rsidRDefault="000A531F" w:rsidP="007F16FC">
            <w:pPr>
              <w:jc w:val="center"/>
            </w:pPr>
            <w:r w:rsidRPr="00371588">
              <w:t>Atbildīgās ministrijas pamatojums iebilduma noraidījumam</w:t>
            </w:r>
          </w:p>
        </w:tc>
        <w:tc>
          <w:tcPr>
            <w:tcW w:w="1620" w:type="dxa"/>
            <w:vAlign w:val="center"/>
          </w:tcPr>
          <w:p w14:paraId="4FEB3DDA" w14:textId="77777777" w:rsidR="000A531F" w:rsidRPr="00371588" w:rsidRDefault="000A531F" w:rsidP="007F16FC">
            <w:pPr>
              <w:jc w:val="center"/>
            </w:pPr>
            <w:r w:rsidRPr="00371588">
              <w:t>Atzinuma sniedzēja uzturētais iebildums, ja tas atšķiras no atzinumā norādītā iebilduma pamatojuma</w:t>
            </w:r>
          </w:p>
        </w:tc>
        <w:tc>
          <w:tcPr>
            <w:tcW w:w="3033" w:type="dxa"/>
            <w:vAlign w:val="center"/>
          </w:tcPr>
          <w:p w14:paraId="0EB0BF1F" w14:textId="77777777" w:rsidR="000A531F" w:rsidRPr="00371588" w:rsidRDefault="000A531F" w:rsidP="007F16FC">
            <w:pPr>
              <w:jc w:val="center"/>
            </w:pPr>
            <w:r w:rsidRPr="00371588">
              <w:t>Projekta attiecīgā punkta (panta) galīgā redakcija</w:t>
            </w:r>
          </w:p>
        </w:tc>
      </w:tr>
      <w:tr w:rsidR="00F21F58" w:rsidRPr="00371588" w14:paraId="0C29CA32" w14:textId="77777777" w:rsidTr="00705631">
        <w:tc>
          <w:tcPr>
            <w:tcW w:w="648" w:type="dxa"/>
          </w:tcPr>
          <w:p w14:paraId="0B772604" w14:textId="77777777" w:rsidR="000A531F" w:rsidRPr="00371588" w:rsidRDefault="000A531F" w:rsidP="007F16FC">
            <w:pPr>
              <w:jc w:val="center"/>
            </w:pPr>
            <w:r w:rsidRPr="00371588">
              <w:t>1.</w:t>
            </w:r>
          </w:p>
        </w:tc>
        <w:tc>
          <w:tcPr>
            <w:tcW w:w="1757" w:type="dxa"/>
          </w:tcPr>
          <w:p w14:paraId="74FA1801" w14:textId="77777777" w:rsidR="000A531F" w:rsidRPr="00371588" w:rsidRDefault="000A531F" w:rsidP="007F16FC">
            <w:pPr>
              <w:jc w:val="center"/>
            </w:pPr>
            <w:r w:rsidRPr="00371588">
              <w:t>2.</w:t>
            </w:r>
          </w:p>
        </w:tc>
        <w:tc>
          <w:tcPr>
            <w:tcW w:w="3544" w:type="dxa"/>
          </w:tcPr>
          <w:p w14:paraId="3977D32D" w14:textId="77777777" w:rsidR="000A531F" w:rsidRPr="00371588" w:rsidRDefault="000A531F" w:rsidP="007F16FC">
            <w:pPr>
              <w:jc w:val="center"/>
            </w:pPr>
            <w:r w:rsidRPr="00371588">
              <w:t>3.</w:t>
            </w:r>
          </w:p>
        </w:tc>
        <w:tc>
          <w:tcPr>
            <w:tcW w:w="4419" w:type="dxa"/>
          </w:tcPr>
          <w:p w14:paraId="44ED4615" w14:textId="77777777" w:rsidR="000A531F" w:rsidRPr="00371588" w:rsidRDefault="000A531F" w:rsidP="007F16FC">
            <w:pPr>
              <w:jc w:val="center"/>
            </w:pPr>
            <w:r w:rsidRPr="00371588">
              <w:t>4.</w:t>
            </w:r>
          </w:p>
        </w:tc>
        <w:tc>
          <w:tcPr>
            <w:tcW w:w="1620" w:type="dxa"/>
          </w:tcPr>
          <w:p w14:paraId="5DA65A36" w14:textId="77777777" w:rsidR="000A531F" w:rsidRPr="00371588" w:rsidRDefault="000A531F" w:rsidP="007F16FC">
            <w:pPr>
              <w:jc w:val="center"/>
            </w:pPr>
            <w:r w:rsidRPr="00371588">
              <w:t>5.</w:t>
            </w:r>
          </w:p>
        </w:tc>
        <w:tc>
          <w:tcPr>
            <w:tcW w:w="3033" w:type="dxa"/>
          </w:tcPr>
          <w:p w14:paraId="51DFA780" w14:textId="77777777" w:rsidR="000A531F" w:rsidRPr="00371588" w:rsidRDefault="000A531F" w:rsidP="007F16FC">
            <w:pPr>
              <w:jc w:val="center"/>
            </w:pPr>
            <w:r w:rsidRPr="00371588">
              <w:t>6.</w:t>
            </w:r>
          </w:p>
        </w:tc>
      </w:tr>
      <w:tr w:rsidR="006421BF" w:rsidRPr="00371588" w14:paraId="2064E541" w14:textId="77777777" w:rsidTr="00705631">
        <w:tc>
          <w:tcPr>
            <w:tcW w:w="648" w:type="dxa"/>
          </w:tcPr>
          <w:p w14:paraId="3A3E9AD5" w14:textId="78103067" w:rsidR="006421BF" w:rsidRPr="00371588" w:rsidRDefault="006421BF" w:rsidP="007F16FC">
            <w:pPr>
              <w:jc w:val="center"/>
            </w:pPr>
          </w:p>
        </w:tc>
        <w:tc>
          <w:tcPr>
            <w:tcW w:w="1757" w:type="dxa"/>
          </w:tcPr>
          <w:p w14:paraId="0EC6BFD7" w14:textId="48C2E677" w:rsidR="006421BF" w:rsidRPr="00371588" w:rsidRDefault="006421BF" w:rsidP="007F16FC">
            <w:pPr>
              <w:jc w:val="center"/>
            </w:pPr>
          </w:p>
        </w:tc>
        <w:tc>
          <w:tcPr>
            <w:tcW w:w="3544" w:type="dxa"/>
          </w:tcPr>
          <w:p w14:paraId="7DA29702" w14:textId="77777777" w:rsidR="006421BF" w:rsidRPr="00371588" w:rsidRDefault="006421BF" w:rsidP="007F16FC">
            <w:pPr>
              <w:jc w:val="center"/>
            </w:pPr>
          </w:p>
        </w:tc>
        <w:tc>
          <w:tcPr>
            <w:tcW w:w="4419" w:type="dxa"/>
          </w:tcPr>
          <w:p w14:paraId="61882AED" w14:textId="22EBBD1E" w:rsidR="006421BF" w:rsidRPr="00371588" w:rsidRDefault="006421BF" w:rsidP="006A7FBD">
            <w:pPr>
              <w:pStyle w:val="BodyText"/>
              <w:spacing w:after="0"/>
              <w:jc w:val="both"/>
            </w:pPr>
          </w:p>
        </w:tc>
        <w:tc>
          <w:tcPr>
            <w:tcW w:w="1620" w:type="dxa"/>
          </w:tcPr>
          <w:p w14:paraId="3FE3A209" w14:textId="77777777" w:rsidR="006421BF" w:rsidRPr="00371588" w:rsidRDefault="006421BF" w:rsidP="007F16FC">
            <w:pPr>
              <w:jc w:val="center"/>
            </w:pPr>
          </w:p>
        </w:tc>
        <w:tc>
          <w:tcPr>
            <w:tcW w:w="3033" w:type="dxa"/>
          </w:tcPr>
          <w:p w14:paraId="1ACC083E" w14:textId="77777777" w:rsidR="006421BF" w:rsidRPr="00371588" w:rsidRDefault="006421BF" w:rsidP="007F16FC">
            <w:pPr>
              <w:jc w:val="center"/>
            </w:pPr>
          </w:p>
        </w:tc>
      </w:tr>
    </w:tbl>
    <w:p w14:paraId="59BBA0F7" w14:textId="77777777" w:rsidR="00AA6CE9" w:rsidRPr="00371588" w:rsidRDefault="00AA6CE9" w:rsidP="0053729A">
      <w:pPr>
        <w:jc w:val="center"/>
        <w:rPr>
          <w:b/>
        </w:rPr>
      </w:pPr>
    </w:p>
    <w:p w14:paraId="303ADE27" w14:textId="77777777" w:rsidR="00B623BC" w:rsidRPr="00371588" w:rsidRDefault="00B623BC" w:rsidP="00B623BC">
      <w:pPr>
        <w:pStyle w:val="naisf"/>
        <w:spacing w:before="0" w:after="0"/>
        <w:ind w:firstLine="0"/>
        <w:rPr>
          <w:b/>
        </w:rPr>
      </w:pPr>
      <w:r w:rsidRPr="00371588">
        <w:rPr>
          <w:b/>
        </w:rPr>
        <w:t>Informācija par starpministriju (starpinstitūciju) sanāksmi vai elektronisko saskaņošanu</w:t>
      </w:r>
    </w:p>
    <w:p w14:paraId="5D694832" w14:textId="77777777" w:rsidR="00B623BC" w:rsidRPr="00371588" w:rsidRDefault="00B623BC" w:rsidP="00B623BC">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B623BC" w:rsidRPr="00371588" w14:paraId="5FBD68DB" w14:textId="77777777" w:rsidTr="518785F8">
        <w:tc>
          <w:tcPr>
            <w:tcW w:w="6345" w:type="dxa"/>
          </w:tcPr>
          <w:p w14:paraId="2B0391B0" w14:textId="77777777" w:rsidR="00B623BC" w:rsidRPr="00371588" w:rsidRDefault="00B623BC" w:rsidP="007F16FC">
            <w:pPr>
              <w:pStyle w:val="naisf"/>
              <w:spacing w:before="0" w:after="0"/>
              <w:ind w:firstLine="0"/>
            </w:pPr>
            <w:r w:rsidRPr="00371588">
              <w:t>Datums</w:t>
            </w:r>
          </w:p>
        </w:tc>
        <w:tc>
          <w:tcPr>
            <w:tcW w:w="6237" w:type="dxa"/>
            <w:gridSpan w:val="2"/>
            <w:tcBorders>
              <w:bottom w:val="single" w:sz="4" w:space="0" w:color="auto"/>
            </w:tcBorders>
          </w:tcPr>
          <w:p w14:paraId="42F8D984" w14:textId="121C03C2" w:rsidR="00B623BC" w:rsidRPr="00371588" w:rsidRDefault="518785F8" w:rsidP="001B729A">
            <w:pPr>
              <w:pStyle w:val="NormalWeb"/>
              <w:spacing w:before="0" w:after="0"/>
              <w:ind w:firstLine="720"/>
            </w:pPr>
            <w:r w:rsidRPr="00371588">
              <w:t>2019.</w:t>
            </w:r>
            <w:r w:rsidR="000A7B5B">
              <w:t> </w:t>
            </w:r>
            <w:r w:rsidRPr="00371588">
              <w:t xml:space="preserve">gada </w:t>
            </w:r>
            <w:r w:rsidR="001B729A" w:rsidRPr="00371588">
              <w:t>23.</w:t>
            </w:r>
            <w:r w:rsidR="00850727" w:rsidRPr="00371588">
              <w:t> </w:t>
            </w:r>
            <w:r w:rsidR="001B729A" w:rsidRPr="00371588">
              <w:t>-</w:t>
            </w:r>
            <w:r w:rsidR="00850727" w:rsidRPr="00371588">
              <w:t> </w:t>
            </w:r>
            <w:r w:rsidR="001B729A" w:rsidRPr="00371588">
              <w:t>29.</w:t>
            </w:r>
            <w:r w:rsidR="000A7B5B">
              <w:t> </w:t>
            </w:r>
            <w:r w:rsidRPr="00371588">
              <w:t>augusts</w:t>
            </w:r>
            <w:r w:rsidR="000A7B5B">
              <w:t xml:space="preserve"> elektroniskā saskaņošana</w:t>
            </w:r>
          </w:p>
        </w:tc>
      </w:tr>
      <w:tr w:rsidR="00B623BC" w:rsidRPr="00371588" w14:paraId="418DDFDA" w14:textId="77777777" w:rsidTr="518785F8">
        <w:tc>
          <w:tcPr>
            <w:tcW w:w="6345" w:type="dxa"/>
          </w:tcPr>
          <w:p w14:paraId="006C737A" w14:textId="77777777" w:rsidR="00B623BC" w:rsidRPr="00371588" w:rsidRDefault="00B623BC" w:rsidP="007F16FC">
            <w:pPr>
              <w:pStyle w:val="naisf"/>
              <w:spacing w:before="0" w:after="0"/>
              <w:ind w:firstLine="0"/>
            </w:pPr>
          </w:p>
        </w:tc>
        <w:tc>
          <w:tcPr>
            <w:tcW w:w="6237" w:type="dxa"/>
            <w:gridSpan w:val="2"/>
            <w:tcBorders>
              <w:top w:val="single" w:sz="4" w:space="0" w:color="auto"/>
            </w:tcBorders>
          </w:tcPr>
          <w:p w14:paraId="5B96C199" w14:textId="77777777" w:rsidR="00B623BC" w:rsidRPr="00371588" w:rsidRDefault="00B623BC" w:rsidP="007F16FC">
            <w:pPr>
              <w:pStyle w:val="NormalWeb"/>
              <w:spacing w:before="0" w:after="0"/>
              <w:ind w:firstLine="720"/>
            </w:pPr>
          </w:p>
        </w:tc>
      </w:tr>
      <w:tr w:rsidR="00B623BC" w:rsidRPr="00371588" w14:paraId="6C513EAF" w14:textId="77777777" w:rsidTr="518785F8">
        <w:tc>
          <w:tcPr>
            <w:tcW w:w="6345" w:type="dxa"/>
          </w:tcPr>
          <w:p w14:paraId="7AD18841" w14:textId="77777777" w:rsidR="00B623BC" w:rsidRPr="00371588" w:rsidRDefault="00B623BC" w:rsidP="007F16FC">
            <w:pPr>
              <w:pStyle w:val="naiskr"/>
              <w:spacing w:before="0" w:after="0"/>
            </w:pPr>
            <w:r w:rsidRPr="00371588">
              <w:t>Saskaņošanas dalībnieki</w:t>
            </w:r>
          </w:p>
        </w:tc>
        <w:tc>
          <w:tcPr>
            <w:tcW w:w="6237" w:type="dxa"/>
            <w:gridSpan w:val="2"/>
          </w:tcPr>
          <w:p w14:paraId="5365328D" w14:textId="23AD4E7C" w:rsidR="00B623BC" w:rsidRPr="00371588" w:rsidRDefault="009D25BC" w:rsidP="009D25BC">
            <w:pPr>
              <w:pStyle w:val="NormalWeb"/>
              <w:spacing w:before="0" w:after="0"/>
              <w:ind w:firstLine="720"/>
            </w:pPr>
            <w:r w:rsidRPr="00371588">
              <w:t xml:space="preserve">Tieslietu ministrija, Veselības ministrija, Iekšlietu ministrija, Izglītības un zinātnes ministrija, Finanšu ministrija, </w:t>
            </w:r>
            <w:r w:rsidR="00C16BDF" w:rsidRPr="00371588">
              <w:t xml:space="preserve">Zemkopības ministrija, </w:t>
            </w:r>
            <w:r w:rsidRPr="00371588">
              <w:t>Latvijas Darba devēju konfederācija</w:t>
            </w:r>
          </w:p>
        </w:tc>
        <w:bookmarkStart w:id="0" w:name="_GoBack"/>
        <w:bookmarkEnd w:id="0"/>
      </w:tr>
      <w:tr w:rsidR="00B623BC" w:rsidRPr="00371588" w14:paraId="0CDA9A43" w14:textId="77777777" w:rsidTr="518785F8">
        <w:tc>
          <w:tcPr>
            <w:tcW w:w="6345" w:type="dxa"/>
          </w:tcPr>
          <w:p w14:paraId="03DEBC42" w14:textId="77777777" w:rsidR="00B623BC" w:rsidRPr="00371588" w:rsidRDefault="00B623BC" w:rsidP="007F16FC">
            <w:pPr>
              <w:pStyle w:val="naiskr"/>
              <w:spacing w:before="0" w:after="0"/>
              <w:ind w:firstLine="720"/>
            </w:pPr>
            <w:r w:rsidRPr="00371588">
              <w:t>  </w:t>
            </w:r>
          </w:p>
        </w:tc>
        <w:tc>
          <w:tcPr>
            <w:tcW w:w="6237" w:type="dxa"/>
            <w:gridSpan w:val="2"/>
            <w:tcBorders>
              <w:top w:val="single" w:sz="6" w:space="0" w:color="000000" w:themeColor="text1"/>
              <w:bottom w:val="single" w:sz="6" w:space="0" w:color="000000" w:themeColor="text1"/>
            </w:tcBorders>
          </w:tcPr>
          <w:p w14:paraId="12E8ED0C" w14:textId="77777777" w:rsidR="00B623BC" w:rsidRPr="00371588" w:rsidRDefault="00B623BC" w:rsidP="009D25BC">
            <w:pPr>
              <w:pStyle w:val="naiskr"/>
              <w:spacing w:before="0" w:after="0"/>
            </w:pPr>
          </w:p>
        </w:tc>
      </w:tr>
      <w:tr w:rsidR="00B623BC" w:rsidRPr="00371588" w14:paraId="25F92B6C" w14:textId="77777777" w:rsidTr="518785F8">
        <w:trPr>
          <w:trHeight w:val="285"/>
        </w:trPr>
        <w:tc>
          <w:tcPr>
            <w:tcW w:w="6345" w:type="dxa"/>
          </w:tcPr>
          <w:p w14:paraId="395CB8F5" w14:textId="77777777" w:rsidR="00B623BC" w:rsidRPr="00371588" w:rsidRDefault="00B623BC" w:rsidP="007F16FC">
            <w:pPr>
              <w:pStyle w:val="naiskr"/>
              <w:spacing w:before="0" w:after="0"/>
            </w:pPr>
          </w:p>
        </w:tc>
        <w:tc>
          <w:tcPr>
            <w:tcW w:w="1203" w:type="dxa"/>
          </w:tcPr>
          <w:p w14:paraId="353066D2" w14:textId="77777777" w:rsidR="00B623BC" w:rsidRPr="00371588" w:rsidRDefault="00B623BC" w:rsidP="007F16FC">
            <w:pPr>
              <w:pStyle w:val="naiskr"/>
              <w:spacing w:before="0" w:after="0"/>
              <w:ind w:firstLine="720"/>
            </w:pPr>
          </w:p>
        </w:tc>
        <w:tc>
          <w:tcPr>
            <w:tcW w:w="5034" w:type="dxa"/>
          </w:tcPr>
          <w:p w14:paraId="1CE55BA3" w14:textId="77777777" w:rsidR="00B623BC" w:rsidRPr="00371588" w:rsidRDefault="00B623BC" w:rsidP="007F16FC">
            <w:pPr>
              <w:pStyle w:val="naiskr"/>
              <w:spacing w:before="0" w:after="0"/>
              <w:ind w:firstLine="12"/>
            </w:pPr>
          </w:p>
        </w:tc>
      </w:tr>
    </w:tbl>
    <w:p w14:paraId="63039258" w14:textId="77777777" w:rsidR="00B623BC" w:rsidRPr="00371588" w:rsidRDefault="00B623BC" w:rsidP="00B623BC">
      <w:r w:rsidRPr="00371588">
        <w:br w:type="page"/>
      </w:r>
    </w:p>
    <w:tbl>
      <w:tblPr>
        <w:tblW w:w="17900" w:type="dxa"/>
        <w:tblLook w:val="00A0" w:firstRow="1" w:lastRow="0" w:firstColumn="1" w:lastColumn="0" w:noHBand="0" w:noVBand="0"/>
      </w:tblPr>
      <w:tblGrid>
        <w:gridCol w:w="6708"/>
        <w:gridCol w:w="6089"/>
        <w:gridCol w:w="69"/>
        <w:gridCol w:w="5034"/>
      </w:tblGrid>
      <w:tr w:rsidR="00B623BC" w:rsidRPr="00371588" w14:paraId="409C3233" w14:textId="77777777" w:rsidTr="009D25BC">
        <w:trPr>
          <w:trHeight w:val="285"/>
        </w:trPr>
        <w:tc>
          <w:tcPr>
            <w:tcW w:w="6708" w:type="dxa"/>
          </w:tcPr>
          <w:p w14:paraId="1B121815" w14:textId="77777777" w:rsidR="00B623BC" w:rsidRPr="00371588" w:rsidRDefault="00B623BC" w:rsidP="007F16FC">
            <w:pPr>
              <w:pStyle w:val="naiskr"/>
              <w:spacing w:before="0" w:after="0"/>
            </w:pPr>
            <w:r w:rsidRPr="00371588">
              <w:lastRenderedPageBreak/>
              <w:t>Saskaņošanas dalībnieki izskatīja šādu ministriju (citu institūciju) iebildumus</w:t>
            </w:r>
          </w:p>
        </w:tc>
        <w:tc>
          <w:tcPr>
            <w:tcW w:w="6158" w:type="dxa"/>
            <w:gridSpan w:val="2"/>
          </w:tcPr>
          <w:p w14:paraId="20329680" w14:textId="2BDFF07B" w:rsidR="00B623BC" w:rsidRPr="00371588" w:rsidRDefault="009D25BC" w:rsidP="009D25BC">
            <w:pPr>
              <w:pStyle w:val="naiskr"/>
              <w:spacing w:before="0" w:after="0"/>
              <w:ind w:firstLine="720"/>
            </w:pPr>
            <w:r w:rsidRPr="00371588">
              <w:t>Tieslietu ministrija, Veselības ministrija, Iekšlietu ministrija, Izglītības un zinātnes ministrija</w:t>
            </w:r>
          </w:p>
        </w:tc>
        <w:tc>
          <w:tcPr>
            <w:tcW w:w="5034" w:type="dxa"/>
          </w:tcPr>
          <w:p w14:paraId="4FC4812B" w14:textId="77777777" w:rsidR="00B623BC" w:rsidRPr="00371588" w:rsidRDefault="00B623BC" w:rsidP="009D25BC">
            <w:pPr>
              <w:pStyle w:val="naiskr"/>
              <w:spacing w:before="0" w:after="0"/>
              <w:ind w:firstLine="720"/>
            </w:pPr>
          </w:p>
        </w:tc>
      </w:tr>
      <w:tr w:rsidR="00B623BC" w:rsidRPr="00371588" w14:paraId="26D8F044" w14:textId="77777777" w:rsidTr="009D25BC">
        <w:trPr>
          <w:gridAfter w:val="2"/>
          <w:wAfter w:w="5103" w:type="dxa"/>
          <w:trHeight w:val="465"/>
        </w:trPr>
        <w:tc>
          <w:tcPr>
            <w:tcW w:w="6708" w:type="dxa"/>
          </w:tcPr>
          <w:p w14:paraId="433EB7BA" w14:textId="77777777" w:rsidR="00B623BC" w:rsidRPr="00371588" w:rsidRDefault="00B623BC" w:rsidP="007F16FC">
            <w:pPr>
              <w:pStyle w:val="naiskr"/>
              <w:spacing w:before="0" w:after="0"/>
              <w:ind w:firstLine="720"/>
            </w:pPr>
            <w:r w:rsidRPr="00371588">
              <w:t>  </w:t>
            </w:r>
          </w:p>
        </w:tc>
        <w:tc>
          <w:tcPr>
            <w:tcW w:w="6089" w:type="dxa"/>
            <w:tcBorders>
              <w:top w:val="single" w:sz="6" w:space="0" w:color="000000"/>
              <w:bottom w:val="single" w:sz="6" w:space="0" w:color="000000"/>
            </w:tcBorders>
          </w:tcPr>
          <w:p w14:paraId="581B354F" w14:textId="094F0A9D" w:rsidR="00B623BC" w:rsidRPr="00371588" w:rsidRDefault="00B623BC" w:rsidP="007F16FC">
            <w:pPr>
              <w:pStyle w:val="NormalWeb"/>
              <w:spacing w:before="0" w:after="0"/>
              <w:ind w:firstLine="720"/>
            </w:pPr>
          </w:p>
        </w:tc>
      </w:tr>
      <w:tr w:rsidR="00B623BC" w:rsidRPr="00371588" w14:paraId="15C60C16" w14:textId="77777777" w:rsidTr="009D25BC">
        <w:trPr>
          <w:gridAfter w:val="2"/>
          <w:wAfter w:w="5103" w:type="dxa"/>
          <w:trHeight w:val="465"/>
        </w:trPr>
        <w:tc>
          <w:tcPr>
            <w:tcW w:w="12797" w:type="dxa"/>
            <w:gridSpan w:val="2"/>
          </w:tcPr>
          <w:p w14:paraId="6B862F00" w14:textId="77777777" w:rsidR="00B623BC" w:rsidRPr="00371588" w:rsidRDefault="00B623BC" w:rsidP="007F16FC">
            <w:pPr>
              <w:pStyle w:val="naisc"/>
              <w:spacing w:before="0" w:after="0"/>
              <w:ind w:left="4820" w:firstLine="720"/>
            </w:pPr>
          </w:p>
        </w:tc>
      </w:tr>
      <w:tr w:rsidR="00B623BC" w:rsidRPr="00371588" w14:paraId="0C96785B" w14:textId="77777777" w:rsidTr="009D25BC">
        <w:trPr>
          <w:gridAfter w:val="2"/>
          <w:wAfter w:w="5103" w:type="dxa"/>
        </w:trPr>
        <w:tc>
          <w:tcPr>
            <w:tcW w:w="6708" w:type="dxa"/>
          </w:tcPr>
          <w:p w14:paraId="69CA6FD9" w14:textId="77777777" w:rsidR="00B623BC" w:rsidRPr="00371588" w:rsidRDefault="00B623BC" w:rsidP="007F16FC">
            <w:pPr>
              <w:pStyle w:val="naiskr"/>
              <w:spacing w:before="0" w:after="0"/>
            </w:pPr>
            <w:r w:rsidRPr="00371588">
              <w:t>Ministrijas (citas institūcijas), kuras nav ieradušās uz sanāksmi vai kuras nav atbildējušas uz uzaicinājumu piedalīties elektroniskajā saskaņošanā</w:t>
            </w:r>
          </w:p>
        </w:tc>
        <w:tc>
          <w:tcPr>
            <w:tcW w:w="6089" w:type="dxa"/>
          </w:tcPr>
          <w:p w14:paraId="1631B918" w14:textId="77777777" w:rsidR="00B623BC" w:rsidRPr="00371588" w:rsidRDefault="00B623BC" w:rsidP="007F16FC">
            <w:pPr>
              <w:pStyle w:val="naiskr"/>
              <w:spacing w:before="0" w:after="0"/>
              <w:ind w:firstLine="720"/>
            </w:pPr>
          </w:p>
        </w:tc>
      </w:tr>
      <w:tr w:rsidR="00B623BC" w:rsidRPr="00371588" w14:paraId="7915D9A6" w14:textId="77777777" w:rsidTr="009D25BC">
        <w:trPr>
          <w:gridAfter w:val="2"/>
          <w:wAfter w:w="5103" w:type="dxa"/>
        </w:trPr>
        <w:tc>
          <w:tcPr>
            <w:tcW w:w="6708" w:type="dxa"/>
          </w:tcPr>
          <w:p w14:paraId="0393FC1A" w14:textId="77777777" w:rsidR="00B623BC" w:rsidRPr="00371588" w:rsidRDefault="00B623BC" w:rsidP="007F16FC">
            <w:pPr>
              <w:pStyle w:val="naiskr"/>
              <w:spacing w:before="0" w:after="0"/>
              <w:ind w:firstLine="720"/>
            </w:pPr>
            <w:r w:rsidRPr="00371588">
              <w:t>  </w:t>
            </w:r>
          </w:p>
        </w:tc>
        <w:tc>
          <w:tcPr>
            <w:tcW w:w="6089" w:type="dxa"/>
            <w:tcBorders>
              <w:top w:val="single" w:sz="6" w:space="0" w:color="000000"/>
              <w:bottom w:val="single" w:sz="6" w:space="0" w:color="000000"/>
            </w:tcBorders>
          </w:tcPr>
          <w:p w14:paraId="5F3B1808" w14:textId="77777777" w:rsidR="00B623BC" w:rsidRPr="00371588" w:rsidRDefault="00B623BC" w:rsidP="007F16FC">
            <w:pPr>
              <w:pStyle w:val="naiskr"/>
              <w:spacing w:before="0" w:after="0"/>
              <w:ind w:firstLine="720"/>
            </w:pPr>
          </w:p>
        </w:tc>
      </w:tr>
      <w:tr w:rsidR="00B623BC" w:rsidRPr="00371588" w14:paraId="6AEA93C5" w14:textId="77777777" w:rsidTr="009D25BC">
        <w:trPr>
          <w:gridAfter w:val="2"/>
          <w:wAfter w:w="5103" w:type="dxa"/>
        </w:trPr>
        <w:tc>
          <w:tcPr>
            <w:tcW w:w="6708" w:type="dxa"/>
          </w:tcPr>
          <w:p w14:paraId="564BA0FA" w14:textId="77777777" w:rsidR="00B623BC" w:rsidRPr="00371588" w:rsidRDefault="00B623BC" w:rsidP="007F16FC">
            <w:pPr>
              <w:pStyle w:val="naiskr"/>
              <w:spacing w:before="0" w:after="0"/>
              <w:ind w:firstLine="720"/>
            </w:pPr>
            <w:r w:rsidRPr="00371588">
              <w:t>  </w:t>
            </w:r>
          </w:p>
        </w:tc>
        <w:tc>
          <w:tcPr>
            <w:tcW w:w="6089" w:type="dxa"/>
            <w:tcBorders>
              <w:bottom w:val="single" w:sz="6" w:space="0" w:color="000000"/>
            </w:tcBorders>
          </w:tcPr>
          <w:p w14:paraId="2E6B7169" w14:textId="77777777" w:rsidR="00B623BC" w:rsidRPr="00371588" w:rsidRDefault="00B623BC" w:rsidP="007F16FC">
            <w:pPr>
              <w:pStyle w:val="naiskr"/>
              <w:spacing w:before="0" w:after="0"/>
              <w:ind w:firstLine="720"/>
            </w:pPr>
          </w:p>
        </w:tc>
      </w:tr>
    </w:tbl>
    <w:p w14:paraId="4433E979" w14:textId="77777777" w:rsidR="00B623BC" w:rsidRPr="00371588" w:rsidRDefault="00B623BC" w:rsidP="00C73711">
      <w:pPr>
        <w:pStyle w:val="naisf"/>
        <w:spacing w:before="0" w:after="0"/>
        <w:ind w:firstLine="0"/>
        <w:jc w:val="center"/>
        <w:rPr>
          <w:b/>
          <w:sz w:val="28"/>
          <w:szCs w:val="28"/>
        </w:rPr>
      </w:pPr>
    </w:p>
    <w:p w14:paraId="16909902" w14:textId="77777777" w:rsidR="00B623BC" w:rsidRPr="00371588" w:rsidRDefault="00B623BC" w:rsidP="00C73711">
      <w:pPr>
        <w:pStyle w:val="naisf"/>
        <w:spacing w:before="0" w:after="0"/>
        <w:ind w:firstLine="0"/>
        <w:jc w:val="center"/>
        <w:rPr>
          <w:b/>
          <w:sz w:val="28"/>
          <w:szCs w:val="28"/>
        </w:rPr>
      </w:pPr>
    </w:p>
    <w:p w14:paraId="483A7FE7" w14:textId="57C8F501" w:rsidR="00C73711" w:rsidRPr="00371588" w:rsidRDefault="000A531F" w:rsidP="00C73711">
      <w:pPr>
        <w:pStyle w:val="naisf"/>
        <w:spacing w:before="0" w:after="0"/>
        <w:ind w:firstLine="0"/>
        <w:jc w:val="center"/>
        <w:rPr>
          <w:b/>
        </w:rPr>
      </w:pPr>
      <w:r w:rsidRPr="00371588">
        <w:rPr>
          <w:b/>
          <w:sz w:val="28"/>
          <w:szCs w:val="28"/>
        </w:rPr>
        <w:t>II.</w:t>
      </w:r>
      <w:r w:rsidR="000A7B5B">
        <w:rPr>
          <w:b/>
          <w:sz w:val="28"/>
          <w:szCs w:val="28"/>
        </w:rPr>
        <w:t> </w:t>
      </w:r>
      <w:r w:rsidR="00930695" w:rsidRPr="00371588">
        <w:rPr>
          <w:b/>
        </w:rPr>
        <w:t>Jautājumi, par kuriem saskaņošanā vienošanās ir panākta</w:t>
      </w:r>
    </w:p>
    <w:tbl>
      <w:tblPr>
        <w:tblStyle w:val="TableGrid"/>
        <w:tblW w:w="14596" w:type="dxa"/>
        <w:tblLayout w:type="fixed"/>
        <w:tblLook w:val="04A0" w:firstRow="1" w:lastRow="0" w:firstColumn="1" w:lastColumn="0" w:noHBand="0" w:noVBand="1"/>
      </w:tblPr>
      <w:tblGrid>
        <w:gridCol w:w="846"/>
        <w:gridCol w:w="2410"/>
        <w:gridCol w:w="4110"/>
        <w:gridCol w:w="3799"/>
        <w:gridCol w:w="3431"/>
      </w:tblGrid>
      <w:tr w:rsidR="00F21F58" w:rsidRPr="00371588" w14:paraId="0595D7DB" w14:textId="40B9FCAF" w:rsidTr="78201EB7">
        <w:tc>
          <w:tcPr>
            <w:tcW w:w="846" w:type="dxa"/>
          </w:tcPr>
          <w:p w14:paraId="30DC2540" w14:textId="77777777" w:rsidR="00E23947" w:rsidRPr="00371588" w:rsidRDefault="00E23947" w:rsidP="007F16FC">
            <w:pPr>
              <w:pStyle w:val="naisf"/>
              <w:spacing w:before="0" w:after="0"/>
              <w:ind w:firstLine="0"/>
              <w:jc w:val="center"/>
            </w:pPr>
            <w:r w:rsidRPr="00371588">
              <w:t>Nr.</w:t>
            </w:r>
          </w:p>
          <w:p w14:paraId="088DC59F" w14:textId="77777777" w:rsidR="00E23947" w:rsidRPr="00371588" w:rsidRDefault="00E23947" w:rsidP="007F16FC">
            <w:pPr>
              <w:pStyle w:val="naisf"/>
              <w:spacing w:before="0" w:after="0"/>
              <w:ind w:firstLine="0"/>
              <w:jc w:val="center"/>
            </w:pPr>
            <w:r w:rsidRPr="00371588">
              <w:t>p.k.</w:t>
            </w:r>
          </w:p>
        </w:tc>
        <w:tc>
          <w:tcPr>
            <w:tcW w:w="2410" w:type="dxa"/>
          </w:tcPr>
          <w:p w14:paraId="41E30F2C" w14:textId="77777777" w:rsidR="00E23947" w:rsidRPr="00371588" w:rsidRDefault="00E23947" w:rsidP="007F16FC">
            <w:pPr>
              <w:pStyle w:val="naisf"/>
              <w:spacing w:before="0" w:after="0"/>
              <w:ind w:firstLine="0"/>
              <w:jc w:val="center"/>
            </w:pPr>
            <w:r w:rsidRPr="00371588">
              <w:t>Saskaņošanai nosūtītā projekta redakcija (konkrēta punkta (panta) redakcija)</w:t>
            </w:r>
          </w:p>
        </w:tc>
        <w:tc>
          <w:tcPr>
            <w:tcW w:w="4110" w:type="dxa"/>
          </w:tcPr>
          <w:p w14:paraId="3EC9DD7B" w14:textId="77777777" w:rsidR="00E23947" w:rsidRPr="00371588" w:rsidRDefault="00E23947" w:rsidP="007F16FC">
            <w:pPr>
              <w:pStyle w:val="naisf"/>
              <w:spacing w:before="0" w:after="0"/>
              <w:ind w:firstLine="0"/>
              <w:jc w:val="center"/>
            </w:pPr>
            <w:r w:rsidRPr="00371588">
              <w:t>Atzinumā norādītais ministrijas (citas institūcijas) iebildums, kā arī saskaņošanā papildus izteiktais iebildums par projekta konkrēto punktu (pantu)</w:t>
            </w:r>
          </w:p>
        </w:tc>
        <w:tc>
          <w:tcPr>
            <w:tcW w:w="3799" w:type="dxa"/>
          </w:tcPr>
          <w:p w14:paraId="614290FF" w14:textId="77777777" w:rsidR="00E23947" w:rsidRPr="00371588" w:rsidRDefault="00E23947" w:rsidP="007F16FC">
            <w:pPr>
              <w:pStyle w:val="naisf"/>
              <w:spacing w:before="0" w:after="0"/>
              <w:ind w:firstLine="0"/>
              <w:jc w:val="center"/>
            </w:pPr>
            <w:r w:rsidRPr="00371588">
              <w:t>Atbildīgās ministrijas norāde par to, ka iebildums ir ņemts vērā, vai informācija par saskaņošanā panākto alternatīvo risinājumu</w:t>
            </w:r>
          </w:p>
        </w:tc>
        <w:tc>
          <w:tcPr>
            <w:tcW w:w="3431" w:type="dxa"/>
          </w:tcPr>
          <w:p w14:paraId="3A1FA110" w14:textId="571BB516" w:rsidR="00E23947" w:rsidRPr="00371588" w:rsidRDefault="00E23947" w:rsidP="007F16FC">
            <w:pPr>
              <w:pStyle w:val="naisf"/>
              <w:spacing w:before="0" w:after="0"/>
              <w:ind w:firstLine="0"/>
              <w:jc w:val="center"/>
            </w:pPr>
            <w:r w:rsidRPr="00371588">
              <w:t>Projekta attiecīgā punkta (panta) galīgā redakcija</w:t>
            </w:r>
          </w:p>
        </w:tc>
      </w:tr>
      <w:tr w:rsidR="007E7A02" w:rsidRPr="00371588" w14:paraId="586B932A" w14:textId="77777777" w:rsidTr="78201EB7">
        <w:tc>
          <w:tcPr>
            <w:tcW w:w="846" w:type="dxa"/>
          </w:tcPr>
          <w:p w14:paraId="2A34E567" w14:textId="3A30EB4B" w:rsidR="009C7974" w:rsidRPr="00371588" w:rsidRDefault="002903CF" w:rsidP="007E7A02">
            <w:pPr>
              <w:pStyle w:val="naisf"/>
              <w:spacing w:before="0" w:after="0"/>
              <w:ind w:firstLine="0"/>
              <w:jc w:val="center"/>
            </w:pPr>
            <w:r w:rsidRPr="00371588">
              <w:t>1.</w:t>
            </w:r>
          </w:p>
        </w:tc>
        <w:tc>
          <w:tcPr>
            <w:tcW w:w="2410" w:type="dxa"/>
          </w:tcPr>
          <w:p w14:paraId="4A51667A" w14:textId="536C04CC" w:rsidR="009C7974" w:rsidRPr="00371588" w:rsidRDefault="3B3E34CB" w:rsidP="3B3E34CB">
            <w:pPr>
              <w:ind w:firstLine="34"/>
              <w:jc w:val="both"/>
              <w:rPr>
                <w:lang w:eastAsia="ko-KR"/>
              </w:rPr>
            </w:pPr>
            <w:r w:rsidRPr="00371588">
              <w:t>Noteikumu projekta 5.</w:t>
            </w:r>
            <w:r w:rsidR="000A7B5B">
              <w:t> </w:t>
            </w:r>
            <w:r w:rsidRPr="00371588">
              <w:t>punkts, anotācijas 6.</w:t>
            </w:r>
            <w:r w:rsidR="000A7B5B">
              <w:t> </w:t>
            </w:r>
            <w:r w:rsidRPr="00371588">
              <w:t xml:space="preserve">punkts. </w:t>
            </w:r>
          </w:p>
        </w:tc>
        <w:tc>
          <w:tcPr>
            <w:tcW w:w="4110" w:type="dxa"/>
          </w:tcPr>
          <w:p w14:paraId="1DD13995" w14:textId="68FA3E9D" w:rsidR="009C7974" w:rsidRPr="00371588" w:rsidRDefault="644C8B93" w:rsidP="644C8B93">
            <w:pPr>
              <w:pStyle w:val="ListParagraph"/>
              <w:ind w:left="0"/>
              <w:jc w:val="both"/>
              <w:rPr>
                <w:b/>
                <w:bCs/>
              </w:rPr>
            </w:pPr>
            <w:r w:rsidRPr="00371588">
              <w:rPr>
                <w:b/>
                <w:bCs/>
              </w:rPr>
              <w:t xml:space="preserve">Tieslietu </w:t>
            </w:r>
            <w:r w:rsidR="007E7A02" w:rsidRPr="00371588">
              <w:rPr>
                <w:b/>
                <w:bCs/>
              </w:rPr>
              <w:t>ministrijas 2019. gada 24</w:t>
            </w:r>
            <w:r w:rsidRPr="00371588">
              <w:rPr>
                <w:b/>
                <w:bCs/>
              </w:rPr>
              <w:t>. </w:t>
            </w:r>
            <w:r w:rsidR="007E7A02" w:rsidRPr="00371588">
              <w:rPr>
                <w:b/>
                <w:bCs/>
              </w:rPr>
              <w:t>maija atzinums Nr. 1-9.1/5</w:t>
            </w:r>
            <w:r w:rsidRPr="00371588">
              <w:rPr>
                <w:b/>
                <w:bCs/>
              </w:rPr>
              <w:t>0</w:t>
            </w:r>
            <w:r w:rsidR="007E7A02" w:rsidRPr="00371588">
              <w:rPr>
                <w:b/>
                <w:bCs/>
              </w:rPr>
              <w:t>5</w:t>
            </w:r>
          </w:p>
          <w:p w14:paraId="5EC2885B" w14:textId="7A6F41A7" w:rsidR="007E7A02" w:rsidRPr="00371588" w:rsidRDefault="007E7A02" w:rsidP="001B729A">
            <w:pPr>
              <w:pStyle w:val="paragraph"/>
              <w:spacing w:before="0" w:beforeAutospacing="0" w:after="0" w:afterAutospacing="0"/>
              <w:jc w:val="both"/>
              <w:textAlignment w:val="baseline"/>
            </w:pPr>
            <w:r w:rsidRPr="00371588">
              <w:t>1.</w:t>
            </w:r>
            <w:r w:rsidRPr="00371588">
              <w:rPr>
                <w:rStyle w:val="normaltextrun"/>
              </w:rPr>
              <w:t>Lūdzam projekta anotācijā papildus skaidrot projekta 5. punktā paredzēto Ministru kabineta 2001. gada 23. aprīļa noteikumu Nr. 448 “Noteikumi par nepieciešamo izglītības līmeni personām, kuras veic uzņēmējdarbību ar ķīmiskajām vielām un ķīmiskajiem produktiem” (turpmāk – Noteikumi) 5. punkta grozījumu. Saskaņā ar projektu Noteikumu 5. punkta paredzēs, ka “Darbību veicējam ir </w:t>
            </w:r>
            <w:r w:rsidRPr="00371588">
              <w:rPr>
                <w:rStyle w:val="normaltextrun"/>
                <w:u w:val="single"/>
              </w:rPr>
              <w:t xml:space="preserve">jāizvērtē </w:t>
            </w:r>
            <w:r w:rsidRPr="00371588">
              <w:rPr>
                <w:rStyle w:val="normaltextrun"/>
                <w:u w:val="single"/>
              </w:rPr>
              <w:lastRenderedPageBreak/>
              <w:t>nepieciešamais</w:t>
            </w:r>
            <w:r w:rsidRPr="00371588">
              <w:rPr>
                <w:rStyle w:val="normaltextrun"/>
              </w:rPr>
              <w:t xml:space="preserve"> izglītības līmenis vai profesionālā kvalifikācija”, lai veiktu noteiktas darbības ar ķīmiskajām vielām un ķīmiskajiem produktiem. Vēršam uzmanību, ka Noteikumu 5. punktam minētajā redakcijā nav juridiskas slodzes, tai skaitā nav skaidrs, kādas ir juridiskās sekas, ja darbības veicējs šādu izvērtējumu neveiks </w:t>
            </w:r>
            <w:r w:rsidR="78201EB7" w:rsidRPr="00371588">
              <w:rPr>
                <w:rStyle w:val="normaltextrun"/>
              </w:rPr>
              <w:t xml:space="preserve"> </w:t>
            </w:r>
            <w:r w:rsidRPr="00371588">
              <w:rPr>
                <w:rStyle w:val="normaltextrun"/>
              </w:rPr>
              <w:t>vai veiks nepietiekamā apmērā, kā arī, pēc kādiem kritērijiem šāds izvērtējums veicams. </w:t>
            </w:r>
            <w:r w:rsidRPr="00371588">
              <w:rPr>
                <w:rStyle w:val="eop"/>
              </w:rPr>
              <w:t> </w:t>
            </w:r>
          </w:p>
          <w:p w14:paraId="2FD529CB" w14:textId="6559BB77" w:rsidR="009C7974" w:rsidRPr="00371588" w:rsidRDefault="007E7A02" w:rsidP="001A216E">
            <w:pPr>
              <w:pStyle w:val="paragraph"/>
              <w:spacing w:before="0" w:beforeAutospacing="0" w:after="0" w:afterAutospacing="0"/>
              <w:jc w:val="both"/>
              <w:textAlignment w:val="baseline"/>
            </w:pPr>
            <w:r w:rsidRPr="00371588">
              <w:rPr>
                <w:rStyle w:val="normaltextrun"/>
              </w:rPr>
              <w:t xml:space="preserve">Ņemot vērā, ka Noteikumu 6. – 13. punktā noteiktas </w:t>
            </w:r>
            <w:r w:rsidRPr="00371588">
              <w:rPr>
                <w:rStyle w:val="normaltextrun"/>
                <w:u w:val="single"/>
              </w:rPr>
              <w:t xml:space="preserve">konkrētas </w:t>
            </w:r>
            <w:r w:rsidRPr="00371588">
              <w:rPr>
                <w:rStyle w:val="normaltextrun"/>
              </w:rPr>
              <w:t>izglītības līmeņa prasības konkrētām darbībām ar ķīmiskajām vielām un ķīmiskajiem produktiem, ierosinām apsvērt Noteikumu 5. punkta nepieciešamību kopumā. </w:t>
            </w:r>
          </w:p>
        </w:tc>
        <w:tc>
          <w:tcPr>
            <w:tcW w:w="3799" w:type="dxa"/>
          </w:tcPr>
          <w:p w14:paraId="3E34FFEE" w14:textId="7200F35A" w:rsidR="002903CF" w:rsidRPr="00371588" w:rsidRDefault="001A216E" w:rsidP="644C8B93">
            <w:pPr>
              <w:pStyle w:val="BodyText"/>
              <w:spacing w:after="0"/>
              <w:jc w:val="both"/>
              <w:rPr>
                <w:rFonts w:eastAsia="Calibri"/>
                <w:lang w:eastAsia="en-US"/>
              </w:rPr>
            </w:pPr>
            <w:r w:rsidRPr="00371588">
              <w:rPr>
                <w:rFonts w:eastAsia="Calibri"/>
                <w:b/>
                <w:bCs/>
                <w:lang w:eastAsia="en-US"/>
              </w:rPr>
              <w:lastRenderedPageBreak/>
              <w:t>Iebildums</w:t>
            </w:r>
            <w:r w:rsidR="000F75EF" w:rsidRPr="00371588">
              <w:rPr>
                <w:rFonts w:eastAsia="Calibri"/>
                <w:b/>
                <w:bCs/>
                <w:lang w:eastAsia="en-US"/>
              </w:rPr>
              <w:t xml:space="preserve"> </w:t>
            </w:r>
            <w:r w:rsidR="002903CF" w:rsidRPr="00371588">
              <w:rPr>
                <w:rFonts w:eastAsia="Calibri"/>
                <w:b/>
                <w:bCs/>
                <w:lang w:eastAsia="en-US"/>
              </w:rPr>
              <w:t>ņemts vērā</w:t>
            </w:r>
            <w:r w:rsidR="003F44FD" w:rsidRPr="00371588">
              <w:rPr>
                <w:rFonts w:eastAsia="Calibri"/>
                <w:b/>
                <w:bCs/>
                <w:lang w:eastAsia="en-US"/>
              </w:rPr>
              <w:t>.</w:t>
            </w:r>
          </w:p>
          <w:p w14:paraId="6560E6F9" w14:textId="2984BD75" w:rsidR="002903CF" w:rsidRPr="00371588" w:rsidRDefault="50E398DA" w:rsidP="50E398DA">
            <w:pPr>
              <w:pStyle w:val="paragraph"/>
              <w:spacing w:before="0" w:beforeAutospacing="0" w:after="0" w:afterAutospacing="0"/>
              <w:jc w:val="both"/>
              <w:rPr>
                <w:rStyle w:val="normaltextrun"/>
              </w:rPr>
            </w:pPr>
            <w:r w:rsidRPr="00371588">
              <w:rPr>
                <w:rStyle w:val="normaltextrun"/>
              </w:rPr>
              <w:t>Anotācijas I sadaļas 6.</w:t>
            </w:r>
            <w:r w:rsidR="000A7B5B">
              <w:rPr>
                <w:rStyle w:val="normaltextrun"/>
              </w:rPr>
              <w:t> </w:t>
            </w:r>
            <w:r w:rsidRPr="00371588">
              <w:rPr>
                <w:rStyle w:val="normaltextrun"/>
              </w:rPr>
              <w:t xml:space="preserve">punkts tiek izteikts jaunā redakcijā: </w:t>
            </w:r>
          </w:p>
          <w:p w14:paraId="1FB11190" w14:textId="0E151DBA" w:rsidR="001A216E" w:rsidRPr="00371588" w:rsidRDefault="2F7A6562" w:rsidP="00421540">
            <w:pPr>
              <w:pStyle w:val="paragraph"/>
              <w:spacing w:before="0" w:beforeAutospacing="0" w:after="0" w:afterAutospacing="0"/>
              <w:jc w:val="both"/>
            </w:pPr>
            <w:r w:rsidRPr="00371588">
              <w:rPr>
                <w:rStyle w:val="normaltextrun"/>
              </w:rPr>
              <w:t>“Saskaņā ar Ķīmisko vielu likuma 9.</w:t>
            </w:r>
            <w:r w:rsidR="00421540" w:rsidRPr="00371588">
              <w:rPr>
                <w:rStyle w:val="normaltextrun"/>
              </w:rPr>
              <w:t> </w:t>
            </w:r>
            <w:r w:rsidRPr="00371588">
              <w:rPr>
                <w:rStyle w:val="normaltextrun"/>
              </w:rPr>
              <w:t>panta piekto daļu darbību veicējam atbilstoši attiecīgo darbību apjomam un izmantoto ķīmisko vielu vai maisījumu īpašībām</w:t>
            </w:r>
            <w:r w:rsidR="00421540" w:rsidRPr="00371588">
              <w:rPr>
                <w:rStyle w:val="normaltextrun"/>
              </w:rPr>
              <w:t xml:space="preserve"> </w:t>
            </w:r>
            <w:r w:rsidRPr="00371588">
              <w:rPr>
                <w:rStyle w:val="normaltextrun"/>
              </w:rPr>
              <w:t xml:space="preserve">nepieciešams noteikts izglītības līmenis. Darbības varbūt dažāda veida (piemēram, ražošana, marķēšana, iepakošana u.c.) ar ķīmiskajām vielām un maisījumiem, </w:t>
            </w:r>
            <w:r w:rsidRPr="00371588">
              <w:rPr>
                <w:rStyle w:val="normaltextrun"/>
              </w:rPr>
              <w:lastRenderedPageBreak/>
              <w:t xml:space="preserve">kas var tikt klasificēti dažādās bīstamības klasēs (piemēram, uzliesmojošas, </w:t>
            </w:r>
            <w:r w:rsidR="00421540" w:rsidRPr="00371588">
              <w:rPr>
                <w:rStyle w:val="normaltextrun"/>
              </w:rPr>
              <w:t xml:space="preserve">sprādzienbīstami </w:t>
            </w:r>
            <w:r w:rsidRPr="00371588">
              <w:rPr>
                <w:rStyle w:val="normaltextrun"/>
              </w:rPr>
              <w:t>akūti t</w:t>
            </w:r>
            <w:r w:rsidR="00421540" w:rsidRPr="00371588">
              <w:rPr>
                <w:rStyle w:val="normaltextrun"/>
              </w:rPr>
              <w:t>oksiskas u.c.) un tikt izmantoti</w:t>
            </w:r>
            <w:r w:rsidRPr="00371588">
              <w:rPr>
                <w:rStyle w:val="normaltextrun"/>
              </w:rPr>
              <w:t xml:space="preserve"> dažādos apjomos, kas ietekmē iespējamo risku cilvēku veselībai un videi. Pamatojoties uz šiem kritērijiem, katram darbību veicējam jāizvērtē visu apstākļu kopums, lai</w:t>
            </w:r>
            <w:r w:rsidR="00421540" w:rsidRPr="00371588">
              <w:rPr>
                <w:rStyle w:val="normaltextrun"/>
              </w:rPr>
              <w:t xml:space="preserve"> </w:t>
            </w:r>
            <w:r w:rsidRPr="00371588">
              <w:rPr>
                <w:rStyle w:val="normaltextrun"/>
              </w:rPr>
              <w:t>noteiktu nepieciešamo izglītības līmeni personām, kas veic noteiktas darbības, un, piemēram, uzņēmumā personālam</w:t>
            </w:r>
            <w:r w:rsidR="00421540" w:rsidRPr="00371588">
              <w:rPr>
                <w:rStyle w:val="normaltextrun"/>
              </w:rPr>
              <w:t>, veicot dažādu</w:t>
            </w:r>
            <w:r w:rsidRPr="00371588">
              <w:rPr>
                <w:rStyle w:val="normaltextrun"/>
              </w:rPr>
              <w:t>s darb</w:t>
            </w:r>
            <w:r w:rsidR="00421540" w:rsidRPr="00371588">
              <w:rPr>
                <w:rStyle w:val="normaltextrun"/>
              </w:rPr>
              <w:t>a uzdevumus,</w:t>
            </w:r>
            <w:r w:rsidRPr="00371588">
              <w:rPr>
                <w:rStyle w:val="normaltextrun"/>
              </w:rPr>
              <w:t xml:space="preserve"> var būt nepieciešama atšķirīgi izglītības līmeņi. Ķīmisko vielu likuma 4. pantā minētās uzraudzības un kontroles iestādes, pārbaudot darbību veicēju, tā konkrētās darbības un izmantotās ķīmiskās vielas un maisījumus, var konstatēt, vai darbību veicēj</w:t>
            </w:r>
            <w:r w:rsidR="00421540" w:rsidRPr="00371588">
              <w:rPr>
                <w:rStyle w:val="normaltextrun"/>
              </w:rPr>
              <w:t>s</w:t>
            </w:r>
            <w:r w:rsidRPr="00371588">
              <w:rPr>
                <w:rStyle w:val="normaltextrun"/>
              </w:rPr>
              <w:t xml:space="preserve"> ir izvērtēj</w:t>
            </w:r>
            <w:r w:rsidR="00421540" w:rsidRPr="00371588">
              <w:rPr>
                <w:rStyle w:val="normaltextrun"/>
              </w:rPr>
              <w:t>is visu apstākļu kopumu, un</w:t>
            </w:r>
            <w:r w:rsidRPr="00371588">
              <w:rPr>
                <w:rStyle w:val="normaltextrun"/>
              </w:rPr>
              <w:t xml:space="preserve"> </w:t>
            </w:r>
            <w:r w:rsidR="00421540" w:rsidRPr="00371588">
              <w:rPr>
                <w:rStyle w:val="normaltextrun"/>
              </w:rPr>
              <w:t xml:space="preserve">gadījumos, kad tas nav veikts, </w:t>
            </w:r>
            <w:r w:rsidRPr="00371588">
              <w:rPr>
                <w:rStyle w:val="normaltextrun"/>
              </w:rPr>
              <w:t>uzdot veikt nepieciešamos pasākumus, lai novērstu iespējamos riskus cilvēku veselībai, dzīvībai, videi un īpašumam.”</w:t>
            </w:r>
          </w:p>
        </w:tc>
        <w:tc>
          <w:tcPr>
            <w:tcW w:w="3431" w:type="dxa"/>
          </w:tcPr>
          <w:p w14:paraId="1C3840DE" w14:textId="6464EB6C" w:rsidR="009C7974" w:rsidRPr="00371588" w:rsidRDefault="50E398DA" w:rsidP="50E398DA">
            <w:pPr>
              <w:pStyle w:val="BodyText"/>
              <w:spacing w:after="0"/>
              <w:jc w:val="both"/>
              <w:rPr>
                <w:rFonts w:eastAsia="Calibri"/>
                <w:lang w:eastAsia="en-US"/>
              </w:rPr>
            </w:pPr>
            <w:r w:rsidRPr="00371588">
              <w:rPr>
                <w:rFonts w:eastAsia="Calibri"/>
                <w:lang w:eastAsia="en-US"/>
              </w:rPr>
              <w:lastRenderedPageBreak/>
              <w:t>Noteikumu projekta 5.</w:t>
            </w:r>
            <w:r w:rsidR="000A7B5B">
              <w:rPr>
                <w:rFonts w:eastAsia="Calibri"/>
                <w:lang w:eastAsia="en-US"/>
              </w:rPr>
              <w:t> </w:t>
            </w:r>
            <w:r w:rsidRPr="00371588">
              <w:rPr>
                <w:rFonts w:eastAsia="Calibri"/>
                <w:lang w:eastAsia="en-US"/>
              </w:rPr>
              <w:t>punkts “5. punktā:</w:t>
            </w:r>
          </w:p>
          <w:p w14:paraId="66FB795B" w14:textId="6EEF6AB6" w:rsidR="009C7974" w:rsidRPr="00371588" w:rsidRDefault="3B3E34CB" w:rsidP="3B3E34CB">
            <w:pPr>
              <w:pStyle w:val="BodyText"/>
              <w:spacing w:after="0"/>
              <w:jc w:val="both"/>
              <w:rPr>
                <w:rFonts w:eastAsia="Calibri"/>
                <w:lang w:eastAsia="en-US"/>
              </w:rPr>
            </w:pPr>
            <w:r w:rsidRPr="00371588">
              <w:rPr>
                <w:rFonts w:eastAsia="Calibri"/>
                <w:lang w:eastAsia="en-US"/>
              </w:rPr>
              <w:t>aizstāt vārdus “nepieciešams noteikts” ar vārdiem “jāizvērtē nepieciešamais””</w:t>
            </w:r>
          </w:p>
        </w:tc>
      </w:tr>
      <w:tr w:rsidR="00F21F58" w:rsidRPr="00371588" w14:paraId="43B7D349" w14:textId="77777777" w:rsidTr="78201EB7">
        <w:tc>
          <w:tcPr>
            <w:tcW w:w="846" w:type="dxa"/>
          </w:tcPr>
          <w:p w14:paraId="27E550F7" w14:textId="61E52215" w:rsidR="00230B7D" w:rsidRPr="00371588" w:rsidRDefault="001F5395" w:rsidP="009C7974">
            <w:pPr>
              <w:pStyle w:val="naisf"/>
              <w:spacing w:before="0" w:after="0"/>
              <w:ind w:firstLine="0"/>
              <w:jc w:val="center"/>
            </w:pPr>
            <w:r w:rsidRPr="00371588">
              <w:t>2.</w:t>
            </w:r>
          </w:p>
        </w:tc>
        <w:tc>
          <w:tcPr>
            <w:tcW w:w="2410" w:type="dxa"/>
          </w:tcPr>
          <w:p w14:paraId="235FDC30" w14:textId="08F46FB5" w:rsidR="00230B7D" w:rsidRPr="00371588" w:rsidRDefault="50E398DA" w:rsidP="50E398DA">
            <w:pPr>
              <w:ind w:firstLine="34"/>
              <w:jc w:val="both"/>
              <w:rPr>
                <w:lang w:eastAsia="ko-KR"/>
              </w:rPr>
            </w:pPr>
            <w:r w:rsidRPr="00371588">
              <w:t>Noteikumu projekta 7.</w:t>
            </w:r>
            <w:r w:rsidR="004A3BC3" w:rsidRPr="00371588">
              <w:t> </w:t>
            </w:r>
            <w:r w:rsidRPr="00371588">
              <w:t>punkts, anotācijas 9.</w:t>
            </w:r>
            <w:r w:rsidR="004A3BC3" w:rsidRPr="00371588">
              <w:t> </w:t>
            </w:r>
            <w:r w:rsidRPr="00371588">
              <w:t>punkts.</w:t>
            </w:r>
          </w:p>
        </w:tc>
        <w:tc>
          <w:tcPr>
            <w:tcW w:w="4110" w:type="dxa"/>
          </w:tcPr>
          <w:p w14:paraId="27B5D75C" w14:textId="77777777" w:rsidR="007E7A02" w:rsidRPr="00371588" w:rsidRDefault="007E7A02" w:rsidP="007E7A02">
            <w:pPr>
              <w:pStyle w:val="ListParagraph"/>
              <w:ind w:left="0"/>
              <w:jc w:val="both"/>
              <w:rPr>
                <w:b/>
                <w:bCs/>
              </w:rPr>
            </w:pPr>
            <w:r w:rsidRPr="00371588">
              <w:rPr>
                <w:b/>
                <w:bCs/>
              </w:rPr>
              <w:t>Tieslietu ministrijas 2019. gada 24. maija atzinums Nr. 1-9.1/505</w:t>
            </w:r>
          </w:p>
          <w:p w14:paraId="2F8EE9B7" w14:textId="71FC4E78" w:rsidR="00230B7D" w:rsidRPr="00371588" w:rsidRDefault="007E7A02" w:rsidP="007E7A02">
            <w:pPr>
              <w:jc w:val="both"/>
              <w:rPr>
                <w:b/>
              </w:rPr>
            </w:pPr>
            <w:r w:rsidRPr="00371588">
              <w:rPr>
                <w:rStyle w:val="normaltextrun"/>
                <w:color w:val="000000"/>
                <w:shd w:val="clear" w:color="auto" w:fill="FFFFFF"/>
              </w:rPr>
              <w:t xml:space="preserve">2.Saskaņā ar projekta anotācijā minēto projekta 7. punktā “aktualizēta norāde par nepieciešamo izglītību no </w:t>
            </w:r>
            <w:r w:rsidRPr="00371588">
              <w:rPr>
                <w:rStyle w:val="normaltextrun"/>
                <w:color w:val="000000"/>
                <w:shd w:val="clear" w:color="auto" w:fill="FFFFFF"/>
              </w:rPr>
              <w:lastRenderedPageBreak/>
              <w:t>“medicīnas, veterinārmedicīnas, ķīmijas vai dabaszinātņu jomā” uz “ārstniecībā, māszinībās, ķīmijā vai dabaszinātnēs”. Lūdzam papildināt anotācijā minēto skaidrojumu ar šādas aktualizācijas nepieciešamību, kā arī skaidrot, kā šādas izmaiņas izglītības prasībās ietekmēs to personu profesionālo darbību, kas šobrīd nodarbinātas atbilstoši spēkā esošo Noteikumu prasībām. Minētais attiecas arī uz citām projekta normām, kas paredz aktualizēt vai grozīt minimālās izglītības prasības personām, kas veic darbības ar ķīmiskajām vielām un ķīmiskajiem produktiem.  </w:t>
            </w:r>
            <w:r w:rsidRPr="00371588">
              <w:rPr>
                <w:rStyle w:val="eop"/>
                <w:color w:val="000000"/>
                <w:shd w:val="clear" w:color="auto" w:fill="FFFFFF"/>
              </w:rPr>
              <w:t> </w:t>
            </w:r>
          </w:p>
        </w:tc>
        <w:tc>
          <w:tcPr>
            <w:tcW w:w="3799" w:type="dxa"/>
          </w:tcPr>
          <w:p w14:paraId="38B846B3" w14:textId="45B2EF5F" w:rsidR="002903CF" w:rsidRPr="00371588" w:rsidRDefault="50E398DA" w:rsidP="007E7A02">
            <w:pPr>
              <w:pStyle w:val="BodyText"/>
              <w:spacing w:after="0"/>
              <w:jc w:val="both"/>
              <w:rPr>
                <w:rFonts w:eastAsia="Calibri"/>
                <w:lang w:eastAsia="en-US"/>
              </w:rPr>
            </w:pPr>
            <w:r w:rsidRPr="00371588">
              <w:rPr>
                <w:rFonts w:eastAsia="Calibri"/>
                <w:b/>
                <w:bCs/>
                <w:lang w:eastAsia="en-US"/>
              </w:rPr>
              <w:lastRenderedPageBreak/>
              <w:t>Iebildums ņemts vērā</w:t>
            </w:r>
            <w:r w:rsidR="003F44FD" w:rsidRPr="00371588">
              <w:rPr>
                <w:rFonts w:eastAsia="Calibri"/>
                <w:lang w:eastAsia="en-US"/>
              </w:rPr>
              <w:t>.</w:t>
            </w:r>
          </w:p>
          <w:p w14:paraId="5E7D04F5" w14:textId="0EA877BD" w:rsidR="00230B7D" w:rsidRPr="00371588" w:rsidRDefault="50E398DA" w:rsidP="50E398DA">
            <w:pPr>
              <w:pStyle w:val="BodyText"/>
              <w:spacing w:after="0"/>
              <w:jc w:val="both"/>
              <w:rPr>
                <w:rStyle w:val="normaltextrun"/>
              </w:rPr>
            </w:pPr>
            <w:r w:rsidRPr="00371588">
              <w:rPr>
                <w:rStyle w:val="normaltextrun"/>
              </w:rPr>
              <w:t>Anotācijas I sadaļas 6.</w:t>
            </w:r>
            <w:r w:rsidR="000A7B5B">
              <w:rPr>
                <w:rStyle w:val="normaltextrun"/>
              </w:rPr>
              <w:t> </w:t>
            </w:r>
            <w:r w:rsidRPr="00371588">
              <w:rPr>
                <w:rStyle w:val="normaltextrun"/>
              </w:rPr>
              <w:t xml:space="preserve">punkts tiek papildināts ar šādu informāciju: </w:t>
            </w:r>
          </w:p>
          <w:p w14:paraId="18A8E7E0" w14:textId="4718E20A" w:rsidR="00230B7D" w:rsidRPr="00371588" w:rsidRDefault="7049A5C2" w:rsidP="7049A5C2">
            <w:pPr>
              <w:pStyle w:val="BodyText"/>
              <w:spacing w:after="0"/>
              <w:jc w:val="both"/>
              <w:rPr>
                <w:rFonts w:eastAsia="Calibri"/>
                <w:lang w:eastAsia="en-US"/>
              </w:rPr>
            </w:pPr>
            <w:r w:rsidRPr="00371588">
              <w:rPr>
                <w:rStyle w:val="normaltextrun"/>
              </w:rPr>
              <w:t>“Aktualizācija nepieciešama saskaņā ar Ministru kabineta 2017.</w:t>
            </w:r>
            <w:r w:rsidR="000A7B5B">
              <w:rPr>
                <w:rStyle w:val="normaltextrun"/>
              </w:rPr>
              <w:t> </w:t>
            </w:r>
            <w:r w:rsidRPr="00371588">
              <w:rPr>
                <w:rStyle w:val="normaltextrun"/>
              </w:rPr>
              <w:t xml:space="preserve">gada </w:t>
            </w:r>
            <w:r w:rsidRPr="00371588">
              <w:rPr>
                <w:rStyle w:val="normaltextrun"/>
              </w:rPr>
              <w:lastRenderedPageBreak/>
              <w:t>13.</w:t>
            </w:r>
            <w:r w:rsidR="000A7B5B">
              <w:rPr>
                <w:rStyle w:val="normaltextrun"/>
              </w:rPr>
              <w:t> </w:t>
            </w:r>
            <w:r w:rsidRPr="00371588">
              <w:rPr>
                <w:rStyle w:val="normaltextrun"/>
              </w:rPr>
              <w:t>jūnija noteikumu Nr.</w:t>
            </w:r>
            <w:r w:rsidR="000A7B5B">
              <w:rPr>
                <w:rStyle w:val="normaltextrun"/>
              </w:rPr>
              <w:t> </w:t>
            </w:r>
            <w:r w:rsidRPr="00371588">
              <w:rPr>
                <w:rStyle w:val="normaltextrun"/>
              </w:rPr>
              <w:t>322 “Noteikumi par Latvijas izglītības klasifikāciju” 2.</w:t>
            </w:r>
            <w:r w:rsidR="000A7B5B">
              <w:rPr>
                <w:rStyle w:val="normaltextrun"/>
              </w:rPr>
              <w:t> </w:t>
            </w:r>
            <w:r w:rsidRPr="00371588">
              <w:rPr>
                <w:rStyle w:val="normaltextrun"/>
              </w:rPr>
              <w:t>pielikumu, jo tas neietver izglītības līmeņus</w:t>
            </w:r>
            <w:r w:rsidR="00371588" w:rsidRPr="00371588">
              <w:rPr>
                <w:rStyle w:val="normaltextrun"/>
              </w:rPr>
              <w:t xml:space="preserve"> “medicīnas, veterinārmedicīnas</w:t>
            </w:r>
            <w:r w:rsidRPr="00371588">
              <w:rPr>
                <w:rStyle w:val="normaltextrun"/>
              </w:rPr>
              <w:t xml:space="preserve">, kas attiecīgi grozīts, lai būtu saskaņā ar spēkā esošo izglītības klasifikācijas iedalījumu. Ietekme uz jau personu profesionālo darbību, kas šobrīd nodarbinātas spēkā esošo </w:t>
            </w:r>
            <w:r w:rsidR="000A7B5B">
              <w:rPr>
                <w:rStyle w:val="normaltextrun"/>
              </w:rPr>
              <w:t>MK n</w:t>
            </w:r>
            <w:r w:rsidRPr="00371588">
              <w:rPr>
                <w:rStyle w:val="normaltextrun"/>
              </w:rPr>
              <w:t xml:space="preserve">oteikumu </w:t>
            </w:r>
            <w:r w:rsidR="000A7B5B">
              <w:rPr>
                <w:rStyle w:val="normaltextrun"/>
              </w:rPr>
              <w:t xml:space="preserve">Nr. 448 </w:t>
            </w:r>
            <w:r w:rsidRPr="00371588">
              <w:rPr>
                <w:rStyle w:val="normaltextrun"/>
              </w:rPr>
              <w:t xml:space="preserve">prasībām, nav paredzama, jo </w:t>
            </w:r>
            <w:r w:rsidRPr="00371588">
              <w:rPr>
                <w:rFonts w:eastAsia="Calibri"/>
                <w:lang w:eastAsia="en-US"/>
              </w:rPr>
              <w:t xml:space="preserve">jaunās tiesību normas būs pēc būtības salāgotas ar spēkā esošajām tiesību normām, un spēkā esošās tiesību normas tiks piemērotas, ciktāl tās nebūs pretrunā jaunākām tiesību normām.” </w:t>
            </w:r>
          </w:p>
        </w:tc>
        <w:tc>
          <w:tcPr>
            <w:tcW w:w="3431" w:type="dxa"/>
          </w:tcPr>
          <w:p w14:paraId="22D44069" w14:textId="493BAB9D" w:rsidR="00230B7D" w:rsidRPr="00371588" w:rsidRDefault="00230B7D" w:rsidP="00803BC8">
            <w:pPr>
              <w:pStyle w:val="BodyTextIndent"/>
              <w:ind w:right="57"/>
              <w:rPr>
                <w:rFonts w:eastAsia="Calibri"/>
                <w:highlight w:val="green"/>
                <w:lang w:eastAsia="en-US"/>
              </w:rPr>
            </w:pPr>
          </w:p>
        </w:tc>
      </w:tr>
      <w:tr w:rsidR="00F21F58" w:rsidRPr="00371588" w14:paraId="64E12290" w14:textId="77777777" w:rsidTr="78201EB7">
        <w:tc>
          <w:tcPr>
            <w:tcW w:w="846" w:type="dxa"/>
          </w:tcPr>
          <w:p w14:paraId="68EF75C2" w14:textId="63EFB0DC" w:rsidR="004C332C" w:rsidRPr="00371588" w:rsidRDefault="001F5395" w:rsidP="001F5395">
            <w:pPr>
              <w:pStyle w:val="naisf"/>
              <w:spacing w:before="0" w:after="0"/>
              <w:ind w:firstLine="0"/>
              <w:jc w:val="center"/>
            </w:pPr>
            <w:r w:rsidRPr="00371588">
              <w:t>3</w:t>
            </w:r>
            <w:r w:rsidR="003B0A82" w:rsidRPr="00371588">
              <w:t>.</w:t>
            </w:r>
          </w:p>
        </w:tc>
        <w:tc>
          <w:tcPr>
            <w:tcW w:w="2410" w:type="dxa"/>
          </w:tcPr>
          <w:p w14:paraId="45858FC8" w14:textId="1B8C7EB3" w:rsidR="004C332C" w:rsidRPr="00371588" w:rsidRDefault="001F5395" w:rsidP="001F5395">
            <w:pPr>
              <w:jc w:val="both"/>
              <w:rPr>
                <w:color w:val="A6A6A6" w:themeColor="background1" w:themeShade="A6"/>
              </w:rPr>
            </w:pPr>
            <w:r w:rsidRPr="00371588">
              <w:t>Vispārīgs iebildums</w:t>
            </w:r>
          </w:p>
        </w:tc>
        <w:tc>
          <w:tcPr>
            <w:tcW w:w="4110" w:type="dxa"/>
          </w:tcPr>
          <w:p w14:paraId="680FF058" w14:textId="77777777" w:rsidR="001F5395" w:rsidRPr="00371588" w:rsidRDefault="001F5395" w:rsidP="001F5395">
            <w:pPr>
              <w:pStyle w:val="ListParagraph"/>
              <w:ind w:left="0"/>
              <w:jc w:val="both"/>
              <w:rPr>
                <w:b/>
                <w:bCs/>
              </w:rPr>
            </w:pPr>
            <w:r w:rsidRPr="00371588">
              <w:rPr>
                <w:b/>
                <w:bCs/>
              </w:rPr>
              <w:t>Izglītības un zinātnes ministrijas 2019. gada 24. maija atzinums Nr. 4-3.2e/19/1509</w:t>
            </w:r>
          </w:p>
          <w:p w14:paraId="1FB1E2BD" w14:textId="46844127" w:rsidR="001F5395" w:rsidRPr="00371588" w:rsidRDefault="001F5395" w:rsidP="001F5395">
            <w:pPr>
              <w:pStyle w:val="ListParagraph"/>
              <w:ind w:left="0"/>
              <w:jc w:val="both"/>
              <w:rPr>
                <w:color w:val="000000"/>
              </w:rPr>
            </w:pPr>
            <w:r w:rsidRPr="00371588">
              <w:rPr>
                <w:color w:val="000000"/>
              </w:rPr>
              <w:t xml:space="preserve">1. Noteikumu projekta būtība ir noteikt ierobežojumu (izvirzīt izglītības un kvalifikācijas prasības) personu darbībai. Tas atbilst profesionālās darbības reglamentācijas būtībai saskaņā ar likumu “Par reglamentētajām profesijām un profesionālās kvalifikācijas atzīšanu”. No minētā izriet, ka personām no ārvalstīm, kas pretendē uz profesionālo darbību noteikumu projekta tvērumam atbilstošā jomās, ir jāveic profesionālās </w:t>
            </w:r>
            <w:r w:rsidRPr="00371588">
              <w:rPr>
                <w:color w:val="000000"/>
              </w:rPr>
              <w:lastRenderedPageBreak/>
              <w:t>kvalifikācijas atzīšana. Ņemot vērā iepriekš minēto, lūdzam noteikumu projekta anotācijā:</w:t>
            </w:r>
          </w:p>
          <w:p w14:paraId="06543EB6" w14:textId="77777777" w:rsidR="001F5395" w:rsidRPr="00371588" w:rsidRDefault="001F5395" w:rsidP="001F5395">
            <w:pPr>
              <w:spacing w:before="100" w:beforeAutospacing="1" w:after="100" w:afterAutospacing="1"/>
              <w:rPr>
                <w:color w:val="000000"/>
              </w:rPr>
            </w:pPr>
            <w:r w:rsidRPr="00371588">
              <w:rPr>
                <w:color w:val="000000"/>
              </w:rPr>
              <w:t>1) skaidrot, kā tiks nodrošināta ārvalstu personu piekļuve darbam uzņēmējdarbībā ar ķīmiskajām vielām un ķīmiskajiem produktiem, ņemot vērā ka brīva darbaspēka kustība ir viena no Eiropas Savienības pamatbrīvībām;</w:t>
            </w:r>
          </w:p>
          <w:p w14:paraId="2FE9D29C" w14:textId="5C00EEE7" w:rsidR="004C332C" w:rsidRPr="00371588" w:rsidRDefault="001F5395" w:rsidP="001F5395">
            <w:pPr>
              <w:spacing w:before="100" w:beforeAutospacing="1" w:after="100" w:afterAutospacing="1"/>
              <w:rPr>
                <w:b/>
                <w:bCs/>
                <w:color w:val="A6A6A6" w:themeColor="background1" w:themeShade="A6"/>
              </w:rPr>
            </w:pPr>
            <w:r w:rsidRPr="00371588">
              <w:rPr>
                <w:color w:val="000000"/>
              </w:rPr>
              <w:t>2) nepieciešamības gadījumā aizpildīt anotācijas IV sadaļu, paredzot nepieciešamos normatīvo aktu grozījumus profesionālās kvalifikācijas atzīšanas nodrošināšanai.</w:t>
            </w:r>
          </w:p>
        </w:tc>
        <w:tc>
          <w:tcPr>
            <w:tcW w:w="3799" w:type="dxa"/>
          </w:tcPr>
          <w:p w14:paraId="7A52A62B" w14:textId="0993B33F" w:rsidR="004C332C" w:rsidRPr="00371588" w:rsidRDefault="50E398DA" w:rsidP="50E398DA">
            <w:pPr>
              <w:jc w:val="both"/>
              <w:rPr>
                <w:rStyle w:val="normaltextrun"/>
                <w:b/>
                <w:bCs/>
              </w:rPr>
            </w:pPr>
            <w:r w:rsidRPr="00371588">
              <w:rPr>
                <w:rStyle w:val="normaltextrun"/>
                <w:b/>
                <w:bCs/>
              </w:rPr>
              <w:lastRenderedPageBreak/>
              <w:t>Iebildums ņemts vērā</w:t>
            </w:r>
            <w:r w:rsidR="003F44FD" w:rsidRPr="00371588">
              <w:rPr>
                <w:rStyle w:val="normaltextrun"/>
                <w:b/>
                <w:bCs/>
              </w:rPr>
              <w:t>.</w:t>
            </w:r>
          </w:p>
          <w:p w14:paraId="23D1C31A" w14:textId="01D8E306" w:rsidR="004C332C" w:rsidRPr="00371588" w:rsidRDefault="50E398DA" w:rsidP="50E398DA">
            <w:pPr>
              <w:jc w:val="both"/>
              <w:rPr>
                <w:rStyle w:val="normaltextrun"/>
              </w:rPr>
            </w:pPr>
            <w:r w:rsidRPr="00371588">
              <w:rPr>
                <w:rStyle w:val="normaltextrun"/>
              </w:rPr>
              <w:t xml:space="preserve">Anotācijas I sadaļa papildināta ar </w:t>
            </w:r>
            <w:r w:rsidR="004A3BC3" w:rsidRPr="00371588">
              <w:rPr>
                <w:rStyle w:val="normaltextrun"/>
              </w:rPr>
              <w:t xml:space="preserve">šādu </w:t>
            </w:r>
            <w:r w:rsidRPr="00371588">
              <w:rPr>
                <w:rStyle w:val="normaltextrun"/>
              </w:rPr>
              <w:t xml:space="preserve">informāciju: </w:t>
            </w:r>
          </w:p>
          <w:p w14:paraId="082C0D16" w14:textId="1BB3ADEA" w:rsidR="004C332C" w:rsidRPr="00371588" w:rsidRDefault="7049A5C2" w:rsidP="7049A5C2">
            <w:pPr>
              <w:jc w:val="both"/>
            </w:pPr>
            <w:r w:rsidRPr="00371588">
              <w:rPr>
                <w:rStyle w:val="normaltextrun"/>
              </w:rPr>
              <w:t>“Gadījumos, kad ārvalstu personām, lai tās varētu veiktu komercdarbību ar ķīmiskām vielām un maisījumiem, jāveic profesionālā kvalifikācijas atzīšana tiek piemēroti Ministru kabineta 2005.</w:t>
            </w:r>
            <w:r w:rsidR="000A7B5B">
              <w:rPr>
                <w:rStyle w:val="normaltextrun"/>
              </w:rPr>
              <w:t> </w:t>
            </w:r>
            <w:r w:rsidRPr="00371588">
              <w:rPr>
                <w:rStyle w:val="normaltextrun"/>
              </w:rPr>
              <w:t>gada 24.</w:t>
            </w:r>
            <w:r w:rsidR="000A7B5B">
              <w:rPr>
                <w:rStyle w:val="normaltextrun"/>
              </w:rPr>
              <w:t> </w:t>
            </w:r>
            <w:r w:rsidRPr="00371588">
              <w:rPr>
                <w:rStyle w:val="normaltextrun"/>
              </w:rPr>
              <w:t>maija noteikumi Nr.</w:t>
            </w:r>
            <w:r w:rsidR="000A7B5B">
              <w:rPr>
                <w:rStyle w:val="normaltextrun"/>
              </w:rPr>
              <w:t> </w:t>
            </w:r>
            <w:r w:rsidRPr="00371588">
              <w:rPr>
                <w:rStyle w:val="normaltextrun"/>
              </w:rPr>
              <w:t xml:space="preserve">350 “Noteikumi par profesionālās kvalifikācijas atzīšanu, pamatojoties uz profesionālās pieredzes ilgumu un veidu atsevišķās ekonomiskās darbības jomās”. Likuma “Par reglamentētajām </w:t>
            </w:r>
            <w:r w:rsidRPr="00371588">
              <w:rPr>
                <w:rStyle w:val="normaltextrun"/>
              </w:rPr>
              <w:lastRenderedPageBreak/>
              <w:t>profesijām un profesionālās kvalifikācijas atzīšanu” 47.</w:t>
            </w:r>
            <w:r w:rsidR="000A7B5B">
              <w:rPr>
                <w:rStyle w:val="normaltextrun"/>
              </w:rPr>
              <w:t> </w:t>
            </w:r>
            <w:r w:rsidRPr="00371588">
              <w:rPr>
                <w:rStyle w:val="normaltextrun"/>
              </w:rPr>
              <w:t>pants ietver Eiropas Savienības (turpmāk - ES) dalībvalstu pilsoņu kvalifikācijas atzīšan</w:t>
            </w:r>
            <w:r w:rsidR="004A3BC3" w:rsidRPr="00371588">
              <w:rPr>
                <w:rStyle w:val="normaltextrun"/>
              </w:rPr>
              <w:t>u</w:t>
            </w:r>
            <w:r w:rsidRPr="00371588">
              <w:rPr>
                <w:rStyle w:val="normaltextrun"/>
              </w:rPr>
              <w:t>, pamatojoties uz pretendenta profesionālo pieredzi, bet pilsoņiem, kuru mītnes zeme ir ārpus ES, jāveic diplomu atzīšanas procedūra, saskaņā ar Izglītības likuma 11.</w:t>
            </w:r>
            <w:r w:rsidRPr="00371588">
              <w:rPr>
                <w:vertAlign w:val="superscript"/>
              </w:rPr>
              <w:t>1</w:t>
            </w:r>
            <w:r w:rsidR="000A7B5B">
              <w:t> </w:t>
            </w:r>
            <w:r w:rsidRPr="00371588">
              <w:t>pantā “Ārvalstīs izsniegto izglītības dokumentu atzīšana Latvijā”.”</w:t>
            </w:r>
          </w:p>
          <w:p w14:paraId="3841742D" w14:textId="178C3681" w:rsidR="004C332C" w:rsidRPr="00371588" w:rsidRDefault="004C332C" w:rsidP="004A3BC3">
            <w:pPr>
              <w:jc w:val="both"/>
              <w:rPr>
                <w:rStyle w:val="normaltextrun"/>
              </w:rPr>
            </w:pPr>
          </w:p>
        </w:tc>
        <w:tc>
          <w:tcPr>
            <w:tcW w:w="3431" w:type="dxa"/>
          </w:tcPr>
          <w:p w14:paraId="4212C374" w14:textId="22D742DB" w:rsidR="004C332C" w:rsidRPr="00371588" w:rsidRDefault="004C332C" w:rsidP="50E398DA">
            <w:pPr>
              <w:pStyle w:val="BodyTextIndent"/>
              <w:ind w:right="57" w:firstLine="0"/>
              <w:rPr>
                <w:rFonts w:eastAsia="Calibri"/>
                <w:highlight w:val="green"/>
                <w:lang w:eastAsia="en-US"/>
              </w:rPr>
            </w:pPr>
          </w:p>
        </w:tc>
      </w:tr>
      <w:tr w:rsidR="00F21F58" w:rsidRPr="00371588" w14:paraId="7726579A" w14:textId="77777777" w:rsidTr="78201EB7">
        <w:tc>
          <w:tcPr>
            <w:tcW w:w="846" w:type="dxa"/>
          </w:tcPr>
          <w:p w14:paraId="7F3EEC28" w14:textId="0CF6B852" w:rsidR="004C332C" w:rsidRPr="00371588" w:rsidRDefault="001F5395" w:rsidP="009C7974">
            <w:pPr>
              <w:pStyle w:val="naisf"/>
              <w:spacing w:before="0" w:after="0"/>
              <w:ind w:firstLine="0"/>
              <w:jc w:val="center"/>
            </w:pPr>
            <w:r w:rsidRPr="00371588">
              <w:t>4</w:t>
            </w:r>
            <w:r w:rsidR="003B0A82" w:rsidRPr="00371588">
              <w:t>.</w:t>
            </w:r>
          </w:p>
        </w:tc>
        <w:tc>
          <w:tcPr>
            <w:tcW w:w="2410" w:type="dxa"/>
          </w:tcPr>
          <w:p w14:paraId="2BF6B5DD" w14:textId="5E097A4D" w:rsidR="004C332C" w:rsidRPr="00371588" w:rsidRDefault="001F5395" w:rsidP="001F5395">
            <w:pPr>
              <w:ind w:firstLine="34"/>
              <w:jc w:val="both"/>
            </w:pPr>
            <w:r w:rsidRPr="00371588">
              <w:rPr>
                <w:color w:val="000000"/>
              </w:rPr>
              <w:t>Noteikumu projekta 8.punkts un noteikumu projekta anotācijas I. daļas 9.punkts</w:t>
            </w:r>
          </w:p>
        </w:tc>
        <w:tc>
          <w:tcPr>
            <w:tcW w:w="4110" w:type="dxa"/>
          </w:tcPr>
          <w:p w14:paraId="42EAF589" w14:textId="77777777" w:rsidR="001F5395" w:rsidRPr="00371588" w:rsidRDefault="001F5395" w:rsidP="001F5395">
            <w:pPr>
              <w:pStyle w:val="ListParagraph"/>
              <w:ind w:left="0"/>
              <w:jc w:val="both"/>
              <w:rPr>
                <w:b/>
                <w:bCs/>
              </w:rPr>
            </w:pPr>
            <w:bookmarkStart w:id="1" w:name="_Hlk6406819"/>
            <w:bookmarkStart w:id="2" w:name="_Hlk6406330"/>
            <w:bookmarkEnd w:id="1"/>
            <w:bookmarkEnd w:id="2"/>
            <w:r w:rsidRPr="00371588">
              <w:rPr>
                <w:b/>
                <w:bCs/>
              </w:rPr>
              <w:t>Izglītības un zinātnes ministrijas 2019. gada 24. maija atzinums Nr. 4-3.2e/19/1509</w:t>
            </w:r>
          </w:p>
          <w:p w14:paraId="03C48273" w14:textId="34B5A6FC" w:rsidR="001F5395" w:rsidRPr="00371588" w:rsidRDefault="001F5395" w:rsidP="001F5395">
            <w:pPr>
              <w:pStyle w:val="ListParagraph"/>
              <w:ind w:left="0"/>
              <w:jc w:val="both"/>
              <w:rPr>
                <w:b/>
                <w:bCs/>
              </w:rPr>
            </w:pPr>
            <w:r w:rsidRPr="00371588">
              <w:rPr>
                <w:bCs/>
              </w:rPr>
              <w:t>2.</w:t>
            </w:r>
            <w:r w:rsidRPr="00371588">
              <w:rPr>
                <w:color w:val="000000"/>
              </w:rPr>
              <w:t>Ministru kabineta 2017.gada 16.jūnija noteikumi Nr.322 “Noteikumi par Latvijas izglītības klasifikāciju” nosaka Latvijas izglītības klasifikāciju, tai skaitā Latvijas kvalifikāciju ietvarstruktūras līmeņiem atbilstošus zināšanu, prasmju un kompetenču aprakstus, kā arī izglītības tematiskās grupas, izglītības tematiskās jomas un izglītības programmu grupas. Noteikumu projekta 7.1 punkts paredz izmaiņas par nepieciešamo izglītību fiziskajai personai, kas organizē, vada un pārrauga profilaktiskās dezinfekcijas, dezinsekcijas un deratizācijas pakalpojumus objektā vai teritorijā, kā nepieciešamo izglītību noteikumu projektā nosakot profesionālo vidējo vai pirmā līmeņa augstāko profesionālo izglītību “ārstniecībā, māszinībās, ķīmijā vai dabaszinātnēs”. Saskaņā ar Ministru kabineta 2017.gada 16.jūnija noteikumiem Nr.322 “Noteikumi par Latvijas izglītības klasifikāciju” 2.pielikumu, “ārstniecība, māszinības un ķīmija” ir izglītības programmu grupas, savukārt “dabaszinātnes” ir viena no izglītības tematiskās grupas “Dabaszinātnes, matemātika un informācijas tehnoloģijas” izglītības tematiskajām jomām. No minētā izriet, ka noteikumu projekta 7.1 pantā vienlaikus ir izvirzītas gan ļoti precīzas prasības nepieciešamai izglītībai personai darbam ar ķīmiskajām vielām un maisījumiem, gan vispārīgāka prasība - izglītība dabaszinātnēs.</w:t>
            </w:r>
          </w:p>
          <w:p w14:paraId="32ABB887" w14:textId="341EACE4" w:rsidR="004C332C" w:rsidRPr="00371588" w:rsidRDefault="001F5395" w:rsidP="001F5395">
            <w:pPr>
              <w:spacing w:before="100" w:beforeAutospacing="1" w:after="100" w:afterAutospacing="1"/>
              <w:rPr>
                <w:color w:val="000000"/>
              </w:rPr>
            </w:pPr>
            <w:r w:rsidRPr="00371588">
              <w:rPr>
                <w:color w:val="000000"/>
              </w:rPr>
              <w:t>Ņemot vērā iepriekš minēto, lūdzam noteikumu projekta 8.punktā un noteikumu projekta anotācijas I. daļas 9.punktā precizēt nepieciešamo izglītību dabaszinātnēs, norādot konkrētu/-as izglītības programmas grupu/-as, saskaņā ar Ministru kabineta 2017.gada 16.jūnija noteikumu Nr.322 “Noteikumi par Latvijas izglītības klasifikāciju” 2.pielikumu.</w:t>
            </w:r>
          </w:p>
        </w:tc>
        <w:tc>
          <w:tcPr>
            <w:tcW w:w="3799" w:type="dxa"/>
          </w:tcPr>
          <w:p w14:paraId="7AEB73A2" w14:textId="7CD5CDD8" w:rsidR="50E398DA" w:rsidRPr="00371588" w:rsidRDefault="50E398DA" w:rsidP="003F44FD">
            <w:pPr>
              <w:pStyle w:val="naisf"/>
              <w:spacing w:before="0" w:after="0"/>
              <w:ind w:firstLine="0"/>
              <w:rPr>
                <w:rStyle w:val="normaltextrun"/>
              </w:rPr>
            </w:pPr>
            <w:r w:rsidRPr="00371588">
              <w:rPr>
                <w:rFonts w:eastAsia="Calibri"/>
                <w:b/>
                <w:bCs/>
                <w:lang w:eastAsia="en-US"/>
              </w:rPr>
              <w:t>Iebildums ņemts vērā</w:t>
            </w:r>
            <w:r w:rsidR="003F44FD" w:rsidRPr="00371588">
              <w:rPr>
                <w:rFonts w:eastAsia="Calibri"/>
                <w:b/>
                <w:bCs/>
                <w:lang w:eastAsia="en-US"/>
              </w:rPr>
              <w:t>.</w:t>
            </w:r>
          </w:p>
          <w:p w14:paraId="32BDB7AE" w14:textId="34304D9E" w:rsidR="50E398DA" w:rsidRPr="00371588" w:rsidRDefault="50E398DA" w:rsidP="50E398DA">
            <w:pPr>
              <w:jc w:val="both"/>
              <w:rPr>
                <w:rStyle w:val="normaltextrun"/>
              </w:rPr>
            </w:pPr>
            <w:r w:rsidRPr="00371588">
              <w:rPr>
                <w:rStyle w:val="normaltextrun"/>
              </w:rPr>
              <w:t xml:space="preserve">Noteikumu projekta 8. punkts papildināts.  </w:t>
            </w:r>
          </w:p>
          <w:p w14:paraId="19451C71" w14:textId="74C2B656" w:rsidR="50E398DA" w:rsidRPr="00371588" w:rsidRDefault="50E398DA" w:rsidP="50E398DA">
            <w:pPr>
              <w:jc w:val="both"/>
              <w:rPr>
                <w:rStyle w:val="normaltextrun"/>
              </w:rPr>
            </w:pPr>
          </w:p>
          <w:p w14:paraId="7E3778EB" w14:textId="7008FCD5" w:rsidR="50E398DA" w:rsidRPr="00371588" w:rsidRDefault="50E398DA" w:rsidP="50E398DA">
            <w:pPr>
              <w:jc w:val="both"/>
              <w:rPr>
                <w:rStyle w:val="normaltextrun"/>
                <w:b/>
                <w:bCs/>
              </w:rPr>
            </w:pPr>
            <w:r w:rsidRPr="00371588">
              <w:rPr>
                <w:rStyle w:val="normaltextrun"/>
              </w:rPr>
              <w:t xml:space="preserve">Anotācijas I sadaļas </w:t>
            </w:r>
            <w:r w:rsidRPr="00371588">
              <w:rPr>
                <w:color w:val="000000" w:themeColor="text1"/>
              </w:rPr>
              <w:t>9.punkts</w:t>
            </w:r>
            <w:r w:rsidRPr="00371588">
              <w:rPr>
                <w:rStyle w:val="normaltextrun"/>
              </w:rPr>
              <w:t xml:space="preserve"> papildināts ar informāciju:</w:t>
            </w:r>
          </w:p>
          <w:p w14:paraId="00D2D356" w14:textId="4D9227D7" w:rsidR="001A216E" w:rsidRPr="007F16FC" w:rsidRDefault="50E398DA" w:rsidP="007F16FC">
            <w:pPr>
              <w:jc w:val="both"/>
            </w:pPr>
            <w:r w:rsidRPr="00371588">
              <w:rPr>
                <w:rStyle w:val="normaltextrun"/>
              </w:rPr>
              <w:t>“Izglītības līmenim personām, kas veic darbības saskaņā ar noteikto Noteikumu 7.</w:t>
            </w:r>
            <w:r w:rsidRPr="00371588">
              <w:rPr>
                <w:rStyle w:val="normaltextrun"/>
                <w:vertAlign w:val="superscript"/>
              </w:rPr>
              <w:t>1</w:t>
            </w:r>
            <w:r w:rsidRPr="00371588">
              <w:rPr>
                <w:rStyle w:val="normaltextrun"/>
              </w:rPr>
              <w:t xml:space="preserve">. punktā, </w:t>
            </w:r>
            <w:r w:rsidR="003F44FD" w:rsidRPr="00371588">
              <w:rPr>
                <w:rStyle w:val="normaltextrun"/>
              </w:rPr>
              <w:t>noteiktas</w:t>
            </w:r>
            <w:r w:rsidRPr="00371588">
              <w:rPr>
                <w:rStyle w:val="normaltextrun"/>
              </w:rPr>
              <w:t xml:space="preserve"> no izglītības programmu grupas “ķīmija”, “bioloģija”, “bioķīmija”, kas ietvertas izglītības tematiskā grupā “Dabaszinātnes, matemātika un informācijas tehnoloģijas”, un izglītības programmu grupas “Vides zinātnē un vides pārvalde” no izglītības tematiskās jomas “Vides aizsardzība”, saskaņā ar </w:t>
            </w:r>
            <w:r w:rsidRPr="00371588">
              <w:rPr>
                <w:color w:val="000000" w:themeColor="text1"/>
              </w:rPr>
              <w:t>Ministru kabineta 2017.</w:t>
            </w:r>
            <w:r w:rsidR="003F44FD" w:rsidRPr="00371588">
              <w:rPr>
                <w:color w:val="000000" w:themeColor="text1"/>
              </w:rPr>
              <w:t> </w:t>
            </w:r>
            <w:r w:rsidRPr="00371588">
              <w:rPr>
                <w:color w:val="000000" w:themeColor="text1"/>
              </w:rPr>
              <w:t>gada 16.</w:t>
            </w:r>
            <w:r w:rsidR="003F44FD" w:rsidRPr="00371588">
              <w:rPr>
                <w:color w:val="000000" w:themeColor="text1"/>
              </w:rPr>
              <w:t> </w:t>
            </w:r>
            <w:r w:rsidRPr="00371588">
              <w:rPr>
                <w:color w:val="000000" w:themeColor="text1"/>
              </w:rPr>
              <w:t>jūnija noteikumi Nr.</w:t>
            </w:r>
            <w:r w:rsidR="003F44FD" w:rsidRPr="00371588">
              <w:rPr>
                <w:color w:val="000000" w:themeColor="text1"/>
              </w:rPr>
              <w:t> </w:t>
            </w:r>
            <w:r w:rsidRPr="00371588">
              <w:rPr>
                <w:color w:val="000000" w:themeColor="text1"/>
              </w:rPr>
              <w:t>322 “Noteikumi par Latvijas izglītības klasifikāciju”</w:t>
            </w:r>
            <w:r w:rsidRPr="00371588">
              <w:rPr>
                <w:rStyle w:val="normaltextrun"/>
              </w:rPr>
              <w:t>”.</w:t>
            </w:r>
          </w:p>
        </w:tc>
        <w:tc>
          <w:tcPr>
            <w:tcW w:w="3431" w:type="dxa"/>
          </w:tcPr>
          <w:p w14:paraId="39D3D235" w14:textId="5723BA68" w:rsidR="00F72633" w:rsidRPr="00371588" w:rsidRDefault="50E398DA" w:rsidP="50E398DA">
            <w:pPr>
              <w:pStyle w:val="BodyText"/>
              <w:spacing w:after="0"/>
              <w:jc w:val="both"/>
              <w:rPr>
                <w:rFonts w:eastAsia="Calibri"/>
                <w:lang w:eastAsia="en-US"/>
              </w:rPr>
            </w:pPr>
            <w:r w:rsidRPr="00371588">
              <w:rPr>
                <w:rFonts w:eastAsia="Calibri"/>
                <w:lang w:eastAsia="en-US"/>
              </w:rPr>
              <w:t>Noteikumu projekta 8.</w:t>
            </w:r>
            <w:r w:rsidR="000A7B5B">
              <w:rPr>
                <w:rFonts w:eastAsia="Calibri"/>
                <w:lang w:eastAsia="en-US"/>
              </w:rPr>
              <w:t> </w:t>
            </w:r>
            <w:r w:rsidRPr="00371588">
              <w:rPr>
                <w:rFonts w:eastAsia="Calibri"/>
                <w:lang w:eastAsia="en-US"/>
              </w:rPr>
              <w:t xml:space="preserve">punkts papildināts ar </w:t>
            </w:r>
            <w:r w:rsidR="003E0266" w:rsidRPr="00371588">
              <w:rPr>
                <w:rFonts w:eastAsia="Calibri"/>
                <w:lang w:eastAsia="en-US"/>
              </w:rPr>
              <w:t>programmu grupām</w:t>
            </w:r>
            <w:r w:rsidRPr="00371588">
              <w:rPr>
                <w:rFonts w:eastAsia="Calibri"/>
                <w:lang w:eastAsia="en-US"/>
              </w:rPr>
              <w:t>:</w:t>
            </w:r>
          </w:p>
          <w:p w14:paraId="330237E0" w14:textId="2282CF07" w:rsidR="00F72633" w:rsidRPr="00371588" w:rsidRDefault="50E398DA" w:rsidP="00371588">
            <w:pPr>
              <w:pStyle w:val="BodyTextIndent"/>
              <w:ind w:right="57"/>
              <w:rPr>
                <w:szCs w:val="24"/>
              </w:rPr>
            </w:pPr>
            <w:r w:rsidRPr="00371588">
              <w:rPr>
                <w:rFonts w:eastAsia="Calibri"/>
                <w:szCs w:val="24"/>
                <w:lang w:eastAsia="en-US"/>
              </w:rPr>
              <w:t>“</w:t>
            </w:r>
            <w:r w:rsidRPr="00371588">
              <w:rPr>
                <w:szCs w:val="24"/>
              </w:rPr>
              <w:t>Fiziskajai personai, kas novērtē ķīmisko vielu risku vai sagatavo reģistrācijas pieteikumu ķīmiskajai vielai, nepieciešamais izglītības līmenis ir otrā līmeņa profesionālā augstākā izglītība v</w:t>
            </w:r>
            <w:r w:rsidRPr="00371588">
              <w:rPr>
                <w:rStyle w:val="normaltextrun"/>
                <w:szCs w:val="24"/>
              </w:rPr>
              <w:t>ides zinātnē un vides pārvaldē</w:t>
            </w:r>
            <w:r w:rsidRPr="00371588">
              <w:rPr>
                <w:szCs w:val="24"/>
              </w:rPr>
              <w:t>, ķīmijas tehnoloģijās, ķīmijā, bioloģijā, bioķīmijā, ārstniecībā vai farmācijā (piektais profesionālās kvalifikācijas līmenis).”</w:t>
            </w:r>
          </w:p>
        </w:tc>
      </w:tr>
      <w:tr w:rsidR="004C332C" w:rsidRPr="00371588" w14:paraId="324D43FD" w14:textId="77777777" w:rsidTr="78201EB7">
        <w:tc>
          <w:tcPr>
            <w:tcW w:w="846" w:type="dxa"/>
          </w:tcPr>
          <w:p w14:paraId="311DD5E2" w14:textId="3DAB0556" w:rsidR="004C332C" w:rsidRPr="00371588" w:rsidRDefault="001F5395" w:rsidP="001F5395">
            <w:pPr>
              <w:pStyle w:val="naisf"/>
              <w:spacing w:before="0" w:after="0"/>
              <w:ind w:firstLine="0"/>
              <w:jc w:val="center"/>
            </w:pPr>
            <w:r w:rsidRPr="00371588">
              <w:t>5</w:t>
            </w:r>
            <w:r w:rsidR="00D95CB0" w:rsidRPr="00371588">
              <w:t>.</w:t>
            </w:r>
          </w:p>
        </w:tc>
        <w:tc>
          <w:tcPr>
            <w:tcW w:w="2410" w:type="dxa"/>
          </w:tcPr>
          <w:p w14:paraId="60A305C2" w14:textId="07523452" w:rsidR="004C332C" w:rsidRPr="00371588" w:rsidRDefault="002621FB" w:rsidP="002621FB">
            <w:pPr>
              <w:ind w:firstLine="34"/>
              <w:jc w:val="both"/>
            </w:pPr>
            <w:r w:rsidRPr="00371588">
              <w:rPr>
                <w:color w:val="000000"/>
              </w:rPr>
              <w:t>Noteikumu projekta 8. un 9.punkts</w:t>
            </w:r>
          </w:p>
        </w:tc>
        <w:tc>
          <w:tcPr>
            <w:tcW w:w="4110" w:type="dxa"/>
          </w:tcPr>
          <w:p w14:paraId="1F318BF3" w14:textId="77777777" w:rsidR="002621FB" w:rsidRPr="00371588" w:rsidRDefault="002621FB" w:rsidP="002621FB">
            <w:pPr>
              <w:pStyle w:val="ListParagraph"/>
              <w:ind w:left="0"/>
              <w:jc w:val="both"/>
              <w:rPr>
                <w:b/>
                <w:bCs/>
              </w:rPr>
            </w:pPr>
            <w:r w:rsidRPr="00371588">
              <w:rPr>
                <w:b/>
                <w:bCs/>
              </w:rPr>
              <w:t>Izglītības un zinātnes ministrijas 2019. gada 24. maija atzinums Nr. 4-3.2e/19/1509</w:t>
            </w:r>
          </w:p>
          <w:p w14:paraId="6920C854" w14:textId="4B6D4311" w:rsidR="004C332C" w:rsidRPr="00371588" w:rsidRDefault="002621FB" w:rsidP="00230B7D">
            <w:pPr>
              <w:pStyle w:val="ListParagraph"/>
              <w:ind w:left="0"/>
              <w:jc w:val="both"/>
              <w:rPr>
                <w:b/>
              </w:rPr>
            </w:pPr>
            <w:r w:rsidRPr="00371588">
              <w:rPr>
                <w:color w:val="000000"/>
              </w:rPr>
              <w:t>3.Lūdzam precizēt noteikumu projekta 8. un 9.punktu par nepieciešamo profesionālo augstāko izglītību atbilstoši Ministru kabineta 2017.gada 16.jūnija noteikumu Nr.322 “Noteikumi par Latvijas izglītības klasifikāciju” 2. pielikumam, noteikumu projekta 9.pantā norādot korektu izglītības programmas grupu izglītības tematiskajā jomā “Vides aizsardzība”.</w:t>
            </w:r>
          </w:p>
        </w:tc>
        <w:tc>
          <w:tcPr>
            <w:tcW w:w="3799" w:type="dxa"/>
          </w:tcPr>
          <w:p w14:paraId="7915B51E" w14:textId="482D855B" w:rsidR="001A216E" w:rsidRPr="00371588" w:rsidRDefault="50E398DA" w:rsidP="001A216E">
            <w:pPr>
              <w:pStyle w:val="naisf"/>
              <w:spacing w:before="0" w:after="0"/>
              <w:ind w:firstLine="0"/>
              <w:rPr>
                <w:rFonts w:eastAsia="Calibri"/>
                <w:b/>
                <w:bCs/>
                <w:lang w:eastAsia="en-US"/>
              </w:rPr>
            </w:pPr>
            <w:r w:rsidRPr="00371588">
              <w:rPr>
                <w:rFonts w:eastAsia="Calibri"/>
                <w:b/>
                <w:bCs/>
                <w:lang w:eastAsia="en-US"/>
              </w:rPr>
              <w:t>Iebildums ņemts vērā</w:t>
            </w:r>
            <w:r w:rsidR="001B4D43" w:rsidRPr="00371588">
              <w:rPr>
                <w:rFonts w:eastAsia="Calibri"/>
                <w:b/>
                <w:bCs/>
                <w:lang w:eastAsia="en-US"/>
              </w:rPr>
              <w:t>.</w:t>
            </w:r>
          </w:p>
          <w:p w14:paraId="70AF8456" w14:textId="109F58BD" w:rsidR="00F21F58" w:rsidRPr="00371588" w:rsidRDefault="50E398DA" w:rsidP="50E398DA">
            <w:pPr>
              <w:jc w:val="both"/>
              <w:rPr>
                <w:rStyle w:val="normaltextrun"/>
              </w:rPr>
            </w:pPr>
            <w:r w:rsidRPr="00371588">
              <w:rPr>
                <w:rStyle w:val="normaltextrun"/>
              </w:rPr>
              <w:t>Noteikumu p</w:t>
            </w:r>
            <w:r w:rsidR="007F16FC">
              <w:rPr>
                <w:rStyle w:val="normaltextrun"/>
              </w:rPr>
              <w:t>rojekta 8. punkts papildināts.</w:t>
            </w:r>
          </w:p>
          <w:p w14:paraId="1D370746" w14:textId="74C2B656" w:rsidR="00F21F58" w:rsidRPr="00371588" w:rsidRDefault="00F21F58" w:rsidP="50E398DA">
            <w:pPr>
              <w:jc w:val="both"/>
              <w:rPr>
                <w:rStyle w:val="normaltextrun"/>
              </w:rPr>
            </w:pPr>
          </w:p>
          <w:p w14:paraId="1CBD1CA0" w14:textId="7008FCD5" w:rsidR="00F21F58" w:rsidRPr="00371588" w:rsidRDefault="50E398DA" w:rsidP="50E398DA">
            <w:pPr>
              <w:jc w:val="both"/>
              <w:rPr>
                <w:rStyle w:val="normaltextrun"/>
                <w:b/>
                <w:bCs/>
              </w:rPr>
            </w:pPr>
            <w:r w:rsidRPr="00371588">
              <w:rPr>
                <w:rStyle w:val="normaltextrun"/>
              </w:rPr>
              <w:t xml:space="preserve">Anotācijas I sadaļas </w:t>
            </w:r>
            <w:r w:rsidRPr="00371588">
              <w:rPr>
                <w:color w:val="000000" w:themeColor="text1"/>
              </w:rPr>
              <w:t>9.punkts</w:t>
            </w:r>
            <w:r w:rsidRPr="00371588">
              <w:rPr>
                <w:rStyle w:val="normaltextrun"/>
              </w:rPr>
              <w:t xml:space="preserve"> papildināts ar informāciju:</w:t>
            </w:r>
          </w:p>
          <w:p w14:paraId="57913BF5" w14:textId="5C14BC25" w:rsidR="00F21F58" w:rsidRPr="00371588" w:rsidRDefault="50E398DA" w:rsidP="50E398DA">
            <w:pPr>
              <w:jc w:val="both"/>
              <w:rPr>
                <w:rStyle w:val="normaltextrun"/>
              </w:rPr>
            </w:pPr>
            <w:r w:rsidRPr="00371588">
              <w:rPr>
                <w:rStyle w:val="normaltextrun"/>
              </w:rPr>
              <w:t>“Izglītības līmenim personām, kas veic darbības saskaņā ar noteikto Noteikumu 7.</w:t>
            </w:r>
            <w:r w:rsidRPr="00371588">
              <w:rPr>
                <w:rStyle w:val="normaltextrun"/>
                <w:vertAlign w:val="superscript"/>
              </w:rPr>
              <w:t>1</w:t>
            </w:r>
            <w:r w:rsidRPr="00371588">
              <w:rPr>
                <w:rStyle w:val="normaltextrun"/>
              </w:rPr>
              <w:t xml:space="preserve">. punktā, </w:t>
            </w:r>
            <w:r w:rsidR="00191230" w:rsidRPr="00371588">
              <w:rPr>
                <w:rStyle w:val="normaltextrun"/>
              </w:rPr>
              <w:t xml:space="preserve">noteiktas </w:t>
            </w:r>
            <w:r w:rsidRPr="00371588">
              <w:rPr>
                <w:rStyle w:val="normaltextrun"/>
              </w:rPr>
              <w:t xml:space="preserve">no izglītības programmu grupas “ķīmija”, “bioloģija”, “bioķīmija”, kas ietvertas izglītības tematiskā grupā “Dabaszinātnes, matemātika un informācijas tehnoloģijas”, un izglītības programmu grupas “Vides zinātnē un vides pārvalde” no izglītības tematiskās jomas “Vides aizsardzība”, saskaņā ar </w:t>
            </w:r>
            <w:r w:rsidRPr="00371588">
              <w:rPr>
                <w:color w:val="000000" w:themeColor="text1"/>
              </w:rPr>
              <w:t>Ministru kabineta 2017.</w:t>
            </w:r>
            <w:r w:rsidR="00371588">
              <w:rPr>
                <w:color w:val="000000" w:themeColor="text1"/>
              </w:rPr>
              <w:t> </w:t>
            </w:r>
            <w:r w:rsidRPr="00371588">
              <w:rPr>
                <w:color w:val="000000" w:themeColor="text1"/>
              </w:rPr>
              <w:t>gada 16.</w:t>
            </w:r>
            <w:r w:rsidR="00371588">
              <w:rPr>
                <w:color w:val="000000" w:themeColor="text1"/>
              </w:rPr>
              <w:t> </w:t>
            </w:r>
            <w:r w:rsidRPr="00371588">
              <w:rPr>
                <w:color w:val="000000" w:themeColor="text1"/>
              </w:rPr>
              <w:t>jūnija noteikumi Nr.322 “Noteikumi par Latvijas izglītības klasifikāciju”</w:t>
            </w:r>
            <w:r w:rsidRPr="00371588">
              <w:rPr>
                <w:rStyle w:val="normaltextrun"/>
              </w:rPr>
              <w:t>”.</w:t>
            </w:r>
          </w:p>
          <w:p w14:paraId="5589FA50" w14:textId="010D5EE4" w:rsidR="00F21F58" w:rsidRPr="00371588" w:rsidRDefault="00F21F58" w:rsidP="50E398DA">
            <w:pPr>
              <w:jc w:val="both"/>
              <w:rPr>
                <w:rStyle w:val="normaltextrun"/>
              </w:rPr>
            </w:pPr>
          </w:p>
          <w:p w14:paraId="29B22B17" w14:textId="4C1C0687" w:rsidR="00F21F58" w:rsidRPr="00371588" w:rsidRDefault="50E398DA" w:rsidP="007F16FC">
            <w:pPr>
              <w:jc w:val="both"/>
              <w:rPr>
                <w:rFonts w:eastAsia="Calibri"/>
                <w:lang w:eastAsia="en-US"/>
              </w:rPr>
            </w:pPr>
            <w:r w:rsidRPr="00371588">
              <w:rPr>
                <w:rStyle w:val="normaltextrun"/>
              </w:rPr>
              <w:t>Noteikumu projekta 9.</w:t>
            </w:r>
            <w:r w:rsidR="000A7B5B">
              <w:rPr>
                <w:rStyle w:val="normaltextrun"/>
              </w:rPr>
              <w:t> </w:t>
            </w:r>
            <w:r w:rsidRPr="00371588">
              <w:rPr>
                <w:rStyle w:val="normaltextrun"/>
              </w:rPr>
              <w:t>punkts papildināts.</w:t>
            </w:r>
          </w:p>
        </w:tc>
        <w:tc>
          <w:tcPr>
            <w:tcW w:w="3431" w:type="dxa"/>
          </w:tcPr>
          <w:p w14:paraId="72DA0F6C" w14:textId="732D1D49" w:rsidR="004C332C" w:rsidRPr="00371588" w:rsidRDefault="50E398DA" w:rsidP="50E398DA">
            <w:pPr>
              <w:pStyle w:val="BodyText"/>
              <w:spacing w:after="0"/>
              <w:jc w:val="both"/>
              <w:rPr>
                <w:rFonts w:eastAsia="Calibri"/>
                <w:lang w:eastAsia="en-US"/>
              </w:rPr>
            </w:pPr>
            <w:r w:rsidRPr="00371588">
              <w:rPr>
                <w:rFonts w:eastAsia="Calibri"/>
                <w:lang w:eastAsia="en-US"/>
              </w:rPr>
              <w:t>Noteikumu projekta 8.</w:t>
            </w:r>
            <w:r w:rsidR="000A7B5B">
              <w:rPr>
                <w:rFonts w:eastAsia="Calibri"/>
                <w:lang w:eastAsia="en-US"/>
              </w:rPr>
              <w:t> </w:t>
            </w:r>
            <w:r w:rsidRPr="00371588">
              <w:rPr>
                <w:rFonts w:eastAsia="Calibri"/>
                <w:lang w:eastAsia="en-US"/>
              </w:rPr>
              <w:t xml:space="preserve">punkts papildināts ar izglītības </w:t>
            </w:r>
            <w:r w:rsidR="003E0266" w:rsidRPr="00371588">
              <w:rPr>
                <w:rFonts w:eastAsia="Calibri"/>
                <w:lang w:eastAsia="en-US"/>
              </w:rPr>
              <w:t>programmu grupām</w:t>
            </w:r>
            <w:r w:rsidRPr="00371588">
              <w:rPr>
                <w:rFonts w:eastAsia="Calibri"/>
                <w:lang w:eastAsia="en-US"/>
              </w:rPr>
              <w:t>:</w:t>
            </w:r>
          </w:p>
          <w:p w14:paraId="64343DBC" w14:textId="5165C47D" w:rsidR="004C332C" w:rsidRPr="00371588" w:rsidRDefault="50E398DA" w:rsidP="50E398DA">
            <w:pPr>
              <w:pStyle w:val="BodyTextIndent"/>
              <w:ind w:right="57"/>
              <w:rPr>
                <w:szCs w:val="24"/>
              </w:rPr>
            </w:pPr>
            <w:r w:rsidRPr="00371588">
              <w:rPr>
                <w:rFonts w:eastAsia="Calibri"/>
                <w:szCs w:val="24"/>
                <w:lang w:eastAsia="en-US"/>
              </w:rPr>
              <w:t>“</w:t>
            </w:r>
            <w:r w:rsidRPr="00371588">
              <w:rPr>
                <w:szCs w:val="24"/>
              </w:rPr>
              <w:t>Fiziskajai personai, kas novērtē ķīmisko vielu risku vai sagatavo reģistrācijas pieteikumu ķīmiskajai vielai, nepieciešamais izglītības līmenis ir otrā līmeņa profesionālā augstākā izglītība v</w:t>
            </w:r>
            <w:r w:rsidRPr="00371588">
              <w:rPr>
                <w:rStyle w:val="normaltextrun"/>
                <w:szCs w:val="24"/>
              </w:rPr>
              <w:t>ides zinātnē un vides pārvaldē</w:t>
            </w:r>
            <w:r w:rsidRPr="00371588">
              <w:rPr>
                <w:szCs w:val="24"/>
              </w:rPr>
              <w:t>,  ķīmijas tehnoloģijās, ķīmijā, bioloģijā, bioķīmijā, ārstniecībā vai farmācijā (piektais profesionālās kvalifikācijas līmenis).”</w:t>
            </w:r>
          </w:p>
          <w:p w14:paraId="2F629793" w14:textId="2507DAA2" w:rsidR="004C332C" w:rsidRPr="00371588" w:rsidRDefault="004C332C" w:rsidP="50E398DA">
            <w:pPr>
              <w:pStyle w:val="BodyTextIndent"/>
              <w:ind w:right="57"/>
              <w:rPr>
                <w:rFonts w:eastAsia="Calibri"/>
                <w:szCs w:val="24"/>
                <w:lang w:eastAsia="en-US"/>
              </w:rPr>
            </w:pPr>
          </w:p>
          <w:p w14:paraId="621A6D53" w14:textId="24C9815E" w:rsidR="000A7B5B" w:rsidRDefault="50E398DA" w:rsidP="00191230">
            <w:pPr>
              <w:pStyle w:val="BodyTextIndent"/>
              <w:ind w:right="57"/>
              <w:rPr>
                <w:rFonts w:eastAsia="Calibri"/>
                <w:szCs w:val="24"/>
                <w:lang w:eastAsia="en-US"/>
              </w:rPr>
            </w:pPr>
            <w:r w:rsidRPr="00371588">
              <w:rPr>
                <w:rFonts w:eastAsia="Calibri"/>
                <w:szCs w:val="24"/>
                <w:lang w:eastAsia="en-US"/>
              </w:rPr>
              <w:t>Noteikumu projekta 9.</w:t>
            </w:r>
            <w:r w:rsidR="000A7B5B">
              <w:rPr>
                <w:rFonts w:eastAsia="Calibri"/>
                <w:szCs w:val="24"/>
                <w:lang w:eastAsia="en-US"/>
              </w:rPr>
              <w:t> </w:t>
            </w:r>
            <w:r w:rsidRPr="00371588">
              <w:rPr>
                <w:rFonts w:eastAsia="Calibri"/>
                <w:szCs w:val="24"/>
                <w:lang w:eastAsia="en-US"/>
              </w:rPr>
              <w:t xml:space="preserve">punkts: </w:t>
            </w:r>
          </w:p>
          <w:p w14:paraId="332BCC66" w14:textId="2AE0E29E" w:rsidR="004C332C" w:rsidRPr="00371588" w:rsidRDefault="50E398DA" w:rsidP="00191230">
            <w:pPr>
              <w:pStyle w:val="BodyTextIndent"/>
              <w:ind w:right="57"/>
              <w:rPr>
                <w:szCs w:val="24"/>
              </w:rPr>
            </w:pPr>
            <w:r w:rsidRPr="00371588">
              <w:rPr>
                <w:szCs w:val="24"/>
              </w:rPr>
              <w:t>“</w:t>
            </w:r>
            <w:r w:rsidR="00191230" w:rsidRPr="00371588">
              <w:rPr>
                <w:szCs w:val="24"/>
              </w:rPr>
              <w:t>Ja darbību veicējs veic darbības ar ķīmiskajām vielām vai maisījumiem, kuru daudzums ir lielāks par 1000 tonnām gadā, fiziskajai personai, kas organizē vai vada šos darbus, nepieciešamais izglītības līmenis ir vismaz pirmā līmeņa profesionālā augstākā izglītība ķīmijā, vides zinātnē un vides pārvaldē, kā arī vides inženiera vai vides pārvaldības speciālista kvalifikācija, ja vienlaikus veic darbības ar vairāk nekā 50 tonnām ķīmisko vielu vai maisījumu vai vairāk nekā piecām tonnām 1., 2. un 3. kategorijas akūti toksiskām ķīmiskām vielām un maisījumiem, 1. kategorijas ķīmiskām vielām un maisījumiem ar toksisku ietekmi uz konkrētiem mērķorgāniem pēc vienreizējas vai atkārtotas iedarbības, kā arī kancerogēnām, mutagēnām vai reproduktīvajai sistēmai toksiskām ķīmiskajām vielām vai maisījumiem.</w:t>
            </w:r>
            <w:r w:rsidRPr="00371588">
              <w:rPr>
                <w:szCs w:val="24"/>
              </w:rPr>
              <w:t>”</w:t>
            </w:r>
          </w:p>
        </w:tc>
      </w:tr>
      <w:tr w:rsidR="001F5395" w:rsidRPr="00371588" w14:paraId="19FAF656" w14:textId="77777777" w:rsidTr="78201EB7">
        <w:tc>
          <w:tcPr>
            <w:tcW w:w="846" w:type="dxa"/>
          </w:tcPr>
          <w:p w14:paraId="4535CDE0" w14:textId="2C5B3247" w:rsidR="001F5395" w:rsidRPr="00371588" w:rsidRDefault="001F5395" w:rsidP="001F5395">
            <w:pPr>
              <w:pStyle w:val="naisf"/>
              <w:spacing w:before="0" w:after="0"/>
              <w:ind w:firstLine="0"/>
              <w:jc w:val="center"/>
            </w:pPr>
            <w:r w:rsidRPr="00371588">
              <w:t>6.</w:t>
            </w:r>
          </w:p>
        </w:tc>
        <w:tc>
          <w:tcPr>
            <w:tcW w:w="2410" w:type="dxa"/>
          </w:tcPr>
          <w:p w14:paraId="3C27F2C0" w14:textId="4D1B14E4" w:rsidR="001F5395" w:rsidRPr="00371588" w:rsidRDefault="002621FB" w:rsidP="007F16FC">
            <w:pPr>
              <w:ind w:firstLine="34"/>
              <w:jc w:val="both"/>
            </w:pPr>
            <w:r w:rsidRPr="00371588">
              <w:rPr>
                <w:color w:val="000000"/>
              </w:rPr>
              <w:t>Noteikumu projekta 9.punkts</w:t>
            </w:r>
          </w:p>
        </w:tc>
        <w:tc>
          <w:tcPr>
            <w:tcW w:w="4110" w:type="dxa"/>
          </w:tcPr>
          <w:p w14:paraId="04CAEEBB" w14:textId="77777777" w:rsidR="002621FB" w:rsidRPr="00371588" w:rsidRDefault="002621FB" w:rsidP="002621FB">
            <w:pPr>
              <w:pStyle w:val="ListParagraph"/>
              <w:ind w:left="0"/>
              <w:jc w:val="both"/>
              <w:rPr>
                <w:b/>
                <w:bCs/>
              </w:rPr>
            </w:pPr>
            <w:r w:rsidRPr="00371588">
              <w:rPr>
                <w:b/>
                <w:bCs/>
              </w:rPr>
              <w:t>Izglītības un zinātnes ministrijas 2019. gada 24. maija atzinums Nr. 4-3.2e/19/1509</w:t>
            </w:r>
          </w:p>
          <w:p w14:paraId="63988A90" w14:textId="13BF1D5A" w:rsidR="001F5395" w:rsidRPr="00371588" w:rsidRDefault="002621FB" w:rsidP="007F16FC">
            <w:pPr>
              <w:pStyle w:val="ListParagraph"/>
              <w:ind w:left="0"/>
              <w:jc w:val="both"/>
              <w:rPr>
                <w:b/>
              </w:rPr>
            </w:pPr>
            <w:r w:rsidRPr="00371588">
              <w:rPr>
                <w:color w:val="000000"/>
              </w:rPr>
              <w:t>4.Lūdzam precizēt noteikumu projekta 9.punktā minētās kvalifikācijas atbilstoši nozaru kvalifikācijas sistēmai un atbilstošajam profesiju standartam.</w:t>
            </w:r>
          </w:p>
        </w:tc>
        <w:tc>
          <w:tcPr>
            <w:tcW w:w="3799" w:type="dxa"/>
          </w:tcPr>
          <w:p w14:paraId="39FFCD79" w14:textId="6051D833" w:rsidR="00E064A2" w:rsidRPr="00371588" w:rsidRDefault="001A216E" w:rsidP="50E398DA">
            <w:pPr>
              <w:pStyle w:val="naisf"/>
              <w:spacing w:before="0" w:after="0"/>
              <w:ind w:firstLine="0"/>
              <w:rPr>
                <w:rStyle w:val="normaltextrun"/>
                <w:b/>
                <w:color w:val="000000"/>
                <w:shd w:val="clear" w:color="auto" w:fill="FFFFFF"/>
              </w:rPr>
            </w:pPr>
            <w:r w:rsidRPr="00371588">
              <w:rPr>
                <w:rStyle w:val="normaltextrun"/>
                <w:b/>
                <w:color w:val="000000"/>
                <w:shd w:val="clear" w:color="auto" w:fill="FFFFFF"/>
              </w:rPr>
              <w:t>Iebildums ņemts vērā</w:t>
            </w:r>
            <w:r w:rsidR="0046705B" w:rsidRPr="00371588">
              <w:rPr>
                <w:rStyle w:val="normaltextrun"/>
                <w:b/>
                <w:color w:val="000000"/>
                <w:shd w:val="clear" w:color="auto" w:fill="FFFFFF"/>
              </w:rPr>
              <w:t>.</w:t>
            </w:r>
          </w:p>
          <w:p w14:paraId="6E0895D8" w14:textId="0AAD179A" w:rsidR="009B36E2" w:rsidRPr="00371588" w:rsidRDefault="007F16FC" w:rsidP="003E0266">
            <w:pPr>
              <w:jc w:val="both"/>
              <w:rPr>
                <w:rStyle w:val="normaltextrun"/>
                <w:color w:val="000000"/>
                <w:shd w:val="clear" w:color="auto" w:fill="FFFFFF"/>
              </w:rPr>
            </w:pPr>
            <w:r>
              <w:rPr>
                <w:rStyle w:val="normaltextrun"/>
              </w:rPr>
              <w:t>Noteikumu projekta 9. </w:t>
            </w:r>
            <w:r w:rsidR="00191230" w:rsidRPr="00371588">
              <w:rPr>
                <w:rStyle w:val="normaltextrun"/>
              </w:rPr>
              <w:t xml:space="preserve">punkts papildināts, ņemot vērā </w:t>
            </w:r>
            <w:r w:rsidR="009D6A37" w:rsidRPr="00371588">
              <w:rPr>
                <w:rStyle w:val="normaltextrun"/>
                <w:color w:val="000000"/>
              </w:rPr>
              <w:t>Ministru kabineta noteikum</w:t>
            </w:r>
            <w:r w:rsidR="00191230" w:rsidRPr="00371588">
              <w:rPr>
                <w:rStyle w:val="normaltextrun"/>
                <w:color w:val="000000"/>
              </w:rPr>
              <w:t>us</w:t>
            </w:r>
            <w:r w:rsidR="001C1732" w:rsidRPr="00371588">
              <w:rPr>
                <w:rStyle w:val="normaltextrun"/>
                <w:color w:val="000000"/>
              </w:rPr>
              <w:t xml:space="preserve"> Nr.626 “</w:t>
            </w:r>
            <w:r w:rsidR="009D6A37" w:rsidRPr="00371588">
              <w:rPr>
                <w:rStyle w:val="normaltextrun"/>
                <w:color w:val="000000"/>
              </w:rPr>
              <w:t>Noteikumi par obligāti piemērojamo profesiju standartu un profesionālās kvalifikācijas prasību sarakstu un tajā iekļauto profesiju standartu un profesionālās kvalifikācijas prasību publiskošanas kārtību</w:t>
            </w:r>
            <w:r w:rsidR="001C1732" w:rsidRPr="00371588">
              <w:rPr>
                <w:rStyle w:val="normaltextrun"/>
                <w:color w:val="000000"/>
              </w:rPr>
              <w:t>”</w:t>
            </w:r>
            <w:r w:rsidR="00191230" w:rsidRPr="00371588">
              <w:rPr>
                <w:rStyle w:val="normaltextrun"/>
                <w:color w:val="000000"/>
              </w:rPr>
              <w:t xml:space="preserve">, kas </w:t>
            </w:r>
            <w:r w:rsidR="009D6A37" w:rsidRPr="00371588">
              <w:rPr>
                <w:rStyle w:val="normaltextrun"/>
                <w:color w:val="000000"/>
              </w:rPr>
              <w:t xml:space="preserve">ietver arī </w:t>
            </w:r>
            <w:r w:rsidR="00D17B1F" w:rsidRPr="00371588">
              <w:rPr>
                <w:rStyle w:val="normaltextrun"/>
                <w:color w:val="000000"/>
              </w:rPr>
              <w:t xml:space="preserve">profesionālās </w:t>
            </w:r>
            <w:r w:rsidR="00A12079" w:rsidRPr="00371588">
              <w:rPr>
                <w:rStyle w:val="normaltextrun"/>
                <w:color w:val="000000"/>
              </w:rPr>
              <w:t xml:space="preserve">kvalifikācijas </w:t>
            </w:r>
            <w:r w:rsidR="009D6A37" w:rsidRPr="00371588">
              <w:rPr>
                <w:rStyle w:val="normaltextrun"/>
                <w:color w:val="000000"/>
              </w:rPr>
              <w:t>“vides inženieris”</w:t>
            </w:r>
            <w:r w:rsidR="00D17B1F" w:rsidRPr="00371588">
              <w:rPr>
                <w:rStyle w:val="normaltextrun"/>
                <w:color w:val="000000"/>
              </w:rPr>
              <w:t xml:space="preserve"> un </w:t>
            </w:r>
            <w:r w:rsidR="009D6A37" w:rsidRPr="00371588">
              <w:rPr>
                <w:rStyle w:val="normaltextrun"/>
                <w:color w:val="000000"/>
              </w:rPr>
              <w:t>“vi</w:t>
            </w:r>
            <w:r w:rsidR="0046705B" w:rsidRPr="00371588">
              <w:rPr>
                <w:rStyle w:val="normaltextrun"/>
                <w:color w:val="000000"/>
              </w:rPr>
              <w:t>des pārvaldības speciālists”</w:t>
            </w:r>
            <w:r>
              <w:rPr>
                <w:rStyle w:val="normaltextrun"/>
                <w:color w:val="000000"/>
              </w:rPr>
              <w:t>.</w:t>
            </w:r>
          </w:p>
        </w:tc>
        <w:tc>
          <w:tcPr>
            <w:tcW w:w="3431" w:type="dxa"/>
          </w:tcPr>
          <w:p w14:paraId="6DD17477" w14:textId="6174B2C3" w:rsidR="000A7B5B" w:rsidRDefault="009D6A37" w:rsidP="009B36E2">
            <w:pPr>
              <w:pStyle w:val="BodyTextIndent"/>
              <w:ind w:right="57"/>
              <w:rPr>
                <w:rFonts w:eastAsia="Calibri"/>
                <w:lang w:eastAsia="en-US"/>
              </w:rPr>
            </w:pPr>
            <w:r w:rsidRPr="00371588">
              <w:rPr>
                <w:rFonts w:eastAsia="Calibri"/>
                <w:lang w:eastAsia="en-US"/>
              </w:rPr>
              <w:t>Noteikumu projekta 9.</w:t>
            </w:r>
            <w:r w:rsidR="000A7B5B">
              <w:rPr>
                <w:rFonts w:eastAsia="Calibri"/>
                <w:lang w:eastAsia="en-US"/>
              </w:rPr>
              <w:t> </w:t>
            </w:r>
            <w:r w:rsidRPr="00371588">
              <w:rPr>
                <w:rFonts w:eastAsia="Calibri"/>
                <w:lang w:eastAsia="en-US"/>
              </w:rPr>
              <w:t xml:space="preserve">punkts: </w:t>
            </w:r>
          </w:p>
          <w:p w14:paraId="5A697003" w14:textId="176DDC10" w:rsidR="001F5395" w:rsidRPr="00371588" w:rsidRDefault="009D6A37" w:rsidP="009B36E2">
            <w:pPr>
              <w:pStyle w:val="BodyTextIndent"/>
              <w:ind w:right="57"/>
              <w:rPr>
                <w:szCs w:val="24"/>
              </w:rPr>
            </w:pPr>
            <w:r w:rsidRPr="00371588">
              <w:rPr>
                <w:szCs w:val="24"/>
              </w:rPr>
              <w:t>“</w:t>
            </w:r>
            <w:r w:rsidR="00191230" w:rsidRPr="00371588">
              <w:rPr>
                <w:szCs w:val="24"/>
              </w:rPr>
              <w:t>Ja darbību veicējs veic darbības ar ķīmiskajām vielām vai maisījumiem, kuru daudzums ir lielāks par 1000 tonnām gadā, fiziskajai personai, kas organizē vai vada šos darbus, nepieciešamais izglītības līmenis ir vismaz pirmā līmeņa profesionālā augstākā izglītība ķīmijā, vides zinātnē un vides pārvaldē, kā arī vides inženiera vai vides pārvaldības speciālista kvalifikācija, ja vienlaikus veic darbības ar vairāk nekā 50 tonnām ķīmisko vielu vai maisījumu vai vairāk nekā piecām tonnām 1., 2. un 3. kategorijas akūti toksiskām ķīmiskām vielām un maisījumiem, 1. kategorijas ķīmiskām vielām un maisījumiem ar toksisku ietekmi uz konkrētiem mērķorgāniem pēc vienreizējas vai atkārtotas iedarbības, kā arī kancerogēnām, mutagēnām vai reproduktīvajai sistēmai toksiskām ķīmiskajām vielām vai maisījumiem.</w:t>
            </w:r>
            <w:r w:rsidRPr="00371588">
              <w:rPr>
                <w:szCs w:val="24"/>
              </w:rPr>
              <w:t>”</w:t>
            </w:r>
          </w:p>
        </w:tc>
      </w:tr>
      <w:tr w:rsidR="001F5395" w:rsidRPr="00371588" w14:paraId="5CAE61FD" w14:textId="77777777" w:rsidTr="78201EB7">
        <w:tc>
          <w:tcPr>
            <w:tcW w:w="846" w:type="dxa"/>
          </w:tcPr>
          <w:p w14:paraId="6B9C8A67" w14:textId="6252DF75" w:rsidR="001F5395" w:rsidRPr="00371588" w:rsidRDefault="001F5395" w:rsidP="001F5395">
            <w:pPr>
              <w:pStyle w:val="naisf"/>
              <w:spacing w:before="0" w:after="0"/>
              <w:ind w:firstLine="0"/>
              <w:jc w:val="center"/>
            </w:pPr>
            <w:r w:rsidRPr="00371588">
              <w:t>7.</w:t>
            </w:r>
          </w:p>
        </w:tc>
        <w:tc>
          <w:tcPr>
            <w:tcW w:w="2410" w:type="dxa"/>
          </w:tcPr>
          <w:p w14:paraId="6F768687" w14:textId="5FB19197" w:rsidR="001F5395" w:rsidRPr="00371588" w:rsidRDefault="002621FB" w:rsidP="007F16FC">
            <w:pPr>
              <w:ind w:firstLine="34"/>
              <w:jc w:val="both"/>
            </w:pPr>
            <w:r w:rsidRPr="00371588">
              <w:rPr>
                <w:color w:val="000000"/>
              </w:rPr>
              <w:t xml:space="preserve">Noteikumu projekta </w:t>
            </w:r>
            <w:r w:rsidRPr="00371588">
              <w:rPr>
                <w:rStyle w:val="normaltextrun"/>
                <w:color w:val="000000"/>
                <w:shd w:val="clear" w:color="auto" w:fill="FFFFFF"/>
              </w:rPr>
              <w:t>7</w:t>
            </w:r>
            <w:r w:rsidRPr="00371588">
              <w:rPr>
                <w:rStyle w:val="normaltextrun"/>
                <w:color w:val="000000"/>
                <w:shd w:val="clear" w:color="auto" w:fill="FFFFFF"/>
                <w:vertAlign w:val="superscript"/>
              </w:rPr>
              <w:t>1</w:t>
            </w:r>
            <w:r w:rsidRPr="00371588">
              <w:rPr>
                <w:rStyle w:val="normaltextrun"/>
                <w:color w:val="000000"/>
                <w:shd w:val="clear" w:color="auto" w:fill="FFFFFF"/>
                <w:vertAlign w:val="subscript"/>
              </w:rPr>
              <w:t>.</w:t>
            </w:r>
            <w:r w:rsidRPr="00371588">
              <w:rPr>
                <w:rStyle w:val="normaltextrun"/>
                <w:color w:val="000000"/>
                <w:shd w:val="clear" w:color="auto" w:fill="FFFFFF"/>
              </w:rPr>
              <w:t> un 11. punkts</w:t>
            </w:r>
          </w:p>
        </w:tc>
        <w:tc>
          <w:tcPr>
            <w:tcW w:w="4110" w:type="dxa"/>
          </w:tcPr>
          <w:p w14:paraId="36EB176B" w14:textId="77777777" w:rsidR="002621FB" w:rsidRPr="00371588" w:rsidRDefault="002621FB" w:rsidP="002621FB">
            <w:pPr>
              <w:pStyle w:val="ListParagraph"/>
              <w:ind w:left="0"/>
              <w:jc w:val="both"/>
              <w:rPr>
                <w:rStyle w:val="normaltextrun"/>
                <w:b/>
                <w:color w:val="000000"/>
                <w:shd w:val="clear" w:color="auto" w:fill="FFFFFF"/>
              </w:rPr>
            </w:pPr>
            <w:r w:rsidRPr="00371588">
              <w:rPr>
                <w:b/>
                <w:bCs/>
              </w:rPr>
              <w:t>Veselības ministrijas 2019. gada 27. maija atzinums Nr. </w:t>
            </w:r>
            <w:r w:rsidRPr="00371588">
              <w:rPr>
                <w:rStyle w:val="normaltextrun"/>
                <w:b/>
                <w:color w:val="000000"/>
                <w:shd w:val="clear" w:color="auto" w:fill="FFFFFF"/>
              </w:rPr>
              <w:t>01-09/2218</w:t>
            </w:r>
          </w:p>
          <w:p w14:paraId="3113E5A6" w14:textId="2E48874E" w:rsidR="001F5395" w:rsidRPr="00371588" w:rsidRDefault="002621FB" w:rsidP="002621FB">
            <w:pPr>
              <w:pStyle w:val="ListParagraph"/>
              <w:ind w:left="0"/>
              <w:jc w:val="both"/>
              <w:rPr>
                <w:b/>
              </w:rPr>
            </w:pPr>
            <w:r w:rsidRPr="00371588">
              <w:rPr>
                <w:rStyle w:val="normaltextrun"/>
                <w:color w:val="000000"/>
                <w:shd w:val="clear" w:color="auto" w:fill="FFFFFF"/>
              </w:rPr>
              <w:t>Lūdzam projektu precizēt saskaņā ar visām noteikumu Nr.322 2. pielikumā minētajām atbilstošajām izglītības programmām, lai netiktu nepamatoti ierobežots to izglītoto p</w:t>
            </w:r>
            <w:r w:rsidR="00E7682C" w:rsidRPr="00371588">
              <w:rPr>
                <w:rStyle w:val="normaltextrun"/>
                <w:color w:val="000000"/>
                <w:shd w:val="clear" w:color="auto" w:fill="FFFFFF"/>
              </w:rPr>
              <w:t>ersonu loks, kuras varētu veikt noteikumu Nr. 448 </w:t>
            </w:r>
            <w:r w:rsidRPr="00371588">
              <w:rPr>
                <w:rStyle w:val="normaltextrun"/>
                <w:color w:val="000000"/>
                <w:shd w:val="clear" w:color="auto" w:fill="FFFFFF"/>
              </w:rPr>
              <w:t>7</w:t>
            </w:r>
            <w:r w:rsidRPr="00371588">
              <w:rPr>
                <w:rStyle w:val="normaltextrun"/>
                <w:color w:val="000000"/>
                <w:shd w:val="clear" w:color="auto" w:fill="FFFFFF"/>
                <w:vertAlign w:val="superscript"/>
              </w:rPr>
              <w:t>1</w:t>
            </w:r>
            <w:r w:rsidR="00E7682C" w:rsidRPr="00371588">
              <w:rPr>
                <w:rStyle w:val="normaltextrun"/>
                <w:color w:val="000000"/>
                <w:shd w:val="clear" w:color="auto" w:fill="FFFFFF"/>
              </w:rPr>
              <w:t>. v</w:t>
            </w:r>
            <w:r w:rsidRPr="00371588">
              <w:rPr>
                <w:rStyle w:val="normaltextrun"/>
                <w:color w:val="000000"/>
                <w:shd w:val="clear" w:color="auto" w:fill="FFFFFF"/>
              </w:rPr>
              <w:t>ai 11. punktā minētās darbības ar ķīmiskajām vielām un maisījumiem. </w:t>
            </w:r>
            <w:r w:rsidRPr="00371588">
              <w:rPr>
                <w:rStyle w:val="eop"/>
                <w:color w:val="000000"/>
                <w:shd w:val="clear" w:color="auto" w:fill="FFFFFF"/>
              </w:rPr>
              <w:t>  </w:t>
            </w:r>
          </w:p>
        </w:tc>
        <w:tc>
          <w:tcPr>
            <w:tcW w:w="3799" w:type="dxa"/>
          </w:tcPr>
          <w:p w14:paraId="2DF4E7ED" w14:textId="0E566C1F" w:rsidR="001A216E" w:rsidRPr="00371588" w:rsidRDefault="50E398DA" w:rsidP="001A216E">
            <w:pPr>
              <w:pStyle w:val="naisf"/>
              <w:spacing w:before="0" w:after="0"/>
              <w:ind w:firstLine="0"/>
              <w:rPr>
                <w:rFonts w:eastAsia="Calibri"/>
                <w:b/>
                <w:bCs/>
                <w:lang w:eastAsia="en-US"/>
              </w:rPr>
            </w:pPr>
            <w:r w:rsidRPr="00371588">
              <w:rPr>
                <w:rFonts w:eastAsia="Calibri"/>
                <w:b/>
                <w:bCs/>
                <w:lang w:eastAsia="en-US"/>
              </w:rPr>
              <w:t>Iebildums ņemts vērā</w:t>
            </w:r>
            <w:r w:rsidR="00803BC8" w:rsidRPr="00371588">
              <w:rPr>
                <w:rFonts w:eastAsia="Calibri"/>
                <w:b/>
                <w:bCs/>
                <w:lang w:eastAsia="en-US"/>
              </w:rPr>
              <w:t>.</w:t>
            </w:r>
          </w:p>
          <w:p w14:paraId="15742B0C" w14:textId="1E4E5AF7" w:rsidR="001F5395" w:rsidRPr="00371588" w:rsidRDefault="00E7682C" w:rsidP="50E398DA">
            <w:pPr>
              <w:pStyle w:val="naisf"/>
              <w:spacing w:before="0" w:after="0"/>
              <w:ind w:firstLine="0"/>
              <w:rPr>
                <w:rFonts w:eastAsia="Calibri"/>
                <w:lang w:eastAsia="en-US"/>
              </w:rPr>
            </w:pPr>
            <w:r w:rsidRPr="00371588">
              <w:rPr>
                <w:rFonts w:eastAsia="Calibri"/>
                <w:lang w:eastAsia="en-US"/>
              </w:rPr>
              <w:t>N</w:t>
            </w:r>
            <w:r w:rsidRPr="00371588">
              <w:rPr>
                <w:rStyle w:val="normaltextrun"/>
                <w:color w:val="000000"/>
                <w:shd w:val="clear" w:color="auto" w:fill="FFFFFF"/>
              </w:rPr>
              <w:t xml:space="preserve">oteikumu projekta </w:t>
            </w:r>
            <w:r w:rsidR="00ED6F60" w:rsidRPr="00371588">
              <w:rPr>
                <w:rStyle w:val="normaltextrun"/>
                <w:color w:val="000000"/>
                <w:shd w:val="clear" w:color="auto" w:fill="FFFFFF"/>
              </w:rPr>
              <w:t>7.</w:t>
            </w:r>
            <w:r w:rsidR="000A7B5B">
              <w:rPr>
                <w:rStyle w:val="normaltextrun"/>
                <w:color w:val="000000"/>
                <w:shd w:val="clear" w:color="auto" w:fill="FFFFFF"/>
              </w:rPr>
              <w:t> </w:t>
            </w:r>
            <w:r w:rsidRPr="00371588">
              <w:rPr>
                <w:rStyle w:val="normaltextrun"/>
                <w:color w:val="000000"/>
                <w:shd w:val="clear" w:color="auto" w:fill="FFFFFF"/>
              </w:rPr>
              <w:t>punkts papildināts ar izglītības programmu grupām - “veterinārija”, “farmācija”, “zobārstniecība” un “sabiedrības veselība”, “</w:t>
            </w:r>
            <w:r w:rsidR="50E398DA" w:rsidRPr="00371588">
              <w:rPr>
                <w:rFonts w:eastAsia="Calibri"/>
                <w:lang w:eastAsia="en-US"/>
              </w:rPr>
              <w:t>ķīmija</w:t>
            </w:r>
            <w:r w:rsidR="007F16FC">
              <w:rPr>
                <w:rFonts w:eastAsia="Calibri"/>
                <w:lang w:eastAsia="en-US"/>
              </w:rPr>
              <w:t>”, “bioloģija” vai “bioķīmija”.</w:t>
            </w:r>
          </w:p>
          <w:p w14:paraId="58BF35EA" w14:textId="77777777" w:rsidR="00E7682C" w:rsidRPr="00371588" w:rsidRDefault="00E7682C" w:rsidP="00E7682C">
            <w:pPr>
              <w:pStyle w:val="naisf"/>
              <w:spacing w:before="0" w:after="0"/>
              <w:ind w:firstLine="0"/>
              <w:rPr>
                <w:rStyle w:val="normaltextrun"/>
                <w:color w:val="000000"/>
                <w:shd w:val="clear" w:color="auto" w:fill="FFFFFF"/>
              </w:rPr>
            </w:pPr>
          </w:p>
          <w:p w14:paraId="635DEDD7" w14:textId="7798A902" w:rsidR="00E7682C" w:rsidRPr="00371588" w:rsidRDefault="50E398DA" w:rsidP="50E398DA">
            <w:pPr>
              <w:pStyle w:val="naisf"/>
              <w:spacing w:before="0" w:after="0"/>
              <w:ind w:firstLine="0"/>
              <w:rPr>
                <w:rStyle w:val="normaltextrun"/>
                <w:color w:val="000000" w:themeColor="text1"/>
              </w:rPr>
            </w:pPr>
            <w:r w:rsidRPr="00371588">
              <w:rPr>
                <w:rFonts w:eastAsia="Calibri"/>
                <w:lang w:eastAsia="en-US"/>
              </w:rPr>
              <w:t>N</w:t>
            </w:r>
            <w:r w:rsidRPr="00371588">
              <w:rPr>
                <w:rStyle w:val="normaltextrun"/>
                <w:color w:val="000000" w:themeColor="text1"/>
              </w:rPr>
              <w:t>oteikumu projekta 8.</w:t>
            </w:r>
            <w:r w:rsidR="000A7B5B">
              <w:rPr>
                <w:rStyle w:val="normaltextrun"/>
                <w:color w:val="000000" w:themeColor="text1"/>
              </w:rPr>
              <w:t> </w:t>
            </w:r>
            <w:r w:rsidRPr="00371588">
              <w:rPr>
                <w:rStyle w:val="normaltextrun"/>
                <w:color w:val="000000" w:themeColor="text1"/>
              </w:rPr>
              <w:t>punkts papildināts ar izglītības programmu gru</w:t>
            </w:r>
            <w:r w:rsidR="007F16FC">
              <w:rPr>
                <w:rStyle w:val="normaltextrun"/>
                <w:color w:val="000000" w:themeColor="text1"/>
              </w:rPr>
              <w:t>pu “bioķīmija” un  “farmācija”.</w:t>
            </w:r>
          </w:p>
        </w:tc>
        <w:tc>
          <w:tcPr>
            <w:tcW w:w="3431" w:type="dxa"/>
          </w:tcPr>
          <w:p w14:paraId="701632CB" w14:textId="4BCC3D93" w:rsidR="001F5395" w:rsidRPr="00371588" w:rsidRDefault="50E398DA" w:rsidP="50E398DA">
            <w:pPr>
              <w:pStyle w:val="BodyText"/>
              <w:spacing w:after="0"/>
              <w:jc w:val="both"/>
              <w:rPr>
                <w:rFonts w:eastAsia="Calibri"/>
                <w:lang w:eastAsia="en-US"/>
              </w:rPr>
            </w:pPr>
            <w:r w:rsidRPr="00371588">
              <w:rPr>
                <w:rFonts w:eastAsia="Calibri"/>
                <w:lang w:eastAsia="en-US"/>
              </w:rPr>
              <w:t>Noteikumu projekta 7.</w:t>
            </w:r>
            <w:r w:rsidR="000A7B5B">
              <w:rPr>
                <w:rFonts w:eastAsia="Calibri"/>
                <w:lang w:eastAsia="en-US"/>
              </w:rPr>
              <w:t> </w:t>
            </w:r>
            <w:r w:rsidRPr="00371588">
              <w:rPr>
                <w:rFonts w:eastAsia="Calibri"/>
                <w:lang w:eastAsia="en-US"/>
              </w:rPr>
              <w:t xml:space="preserve">punkts papildināts ar izglītības </w:t>
            </w:r>
            <w:r w:rsidR="003E0266" w:rsidRPr="00371588">
              <w:rPr>
                <w:rFonts w:eastAsia="Calibri"/>
                <w:lang w:eastAsia="en-US"/>
              </w:rPr>
              <w:t>programmu grupām</w:t>
            </w:r>
            <w:r w:rsidRPr="00371588">
              <w:rPr>
                <w:rFonts w:eastAsia="Calibri"/>
                <w:lang w:eastAsia="en-US"/>
              </w:rPr>
              <w:t xml:space="preserve">: </w:t>
            </w:r>
          </w:p>
          <w:p w14:paraId="1E2FCFC1" w14:textId="2134506E" w:rsidR="001F5395" w:rsidRPr="00371588" w:rsidRDefault="50E398DA" w:rsidP="50E398DA">
            <w:pPr>
              <w:pStyle w:val="BodyText"/>
              <w:spacing w:after="0"/>
              <w:jc w:val="both"/>
              <w:rPr>
                <w:rFonts w:eastAsia="Calibri"/>
                <w:lang w:eastAsia="en-US"/>
              </w:rPr>
            </w:pPr>
            <w:r w:rsidRPr="00371588">
              <w:rPr>
                <w:rFonts w:eastAsia="Calibri"/>
                <w:lang w:eastAsia="en-US"/>
              </w:rPr>
              <w:t>Aizstāt 7.</w:t>
            </w:r>
            <w:r w:rsidRPr="00371588">
              <w:rPr>
                <w:rFonts w:eastAsia="Calibri"/>
                <w:vertAlign w:val="superscript"/>
                <w:lang w:eastAsia="en-US"/>
              </w:rPr>
              <w:t>1</w:t>
            </w:r>
            <w:r w:rsidRPr="00371588">
              <w:rPr>
                <w:rFonts w:eastAsia="Calibri"/>
                <w:lang w:eastAsia="en-US"/>
              </w:rPr>
              <w:t> punktā vārdus “medicīnas, veterinārmedicīnas, ķīmijas vai dabaszinātņu jomā.” ar “ārstniecībā, māszinībās, zobārstniecībā, farmācijā, sabiedrības veselībā, veterinārijā, ķīmijā, bioloģijā vai bioķīmijā.”</w:t>
            </w:r>
          </w:p>
          <w:p w14:paraId="0DC61339" w14:textId="4C611679" w:rsidR="001F5395" w:rsidRPr="00371588" w:rsidRDefault="001F5395" w:rsidP="50E398DA">
            <w:pPr>
              <w:pStyle w:val="BodyText"/>
              <w:spacing w:after="0"/>
              <w:jc w:val="both"/>
              <w:rPr>
                <w:sz w:val="28"/>
                <w:szCs w:val="28"/>
              </w:rPr>
            </w:pPr>
          </w:p>
          <w:p w14:paraId="42D3729A" w14:textId="75630119" w:rsidR="001F5395" w:rsidRPr="00371588" w:rsidRDefault="50E398DA" w:rsidP="50E398DA">
            <w:pPr>
              <w:pStyle w:val="BodyText"/>
              <w:spacing w:after="0"/>
              <w:jc w:val="both"/>
              <w:rPr>
                <w:rFonts w:eastAsia="Calibri"/>
                <w:lang w:eastAsia="en-US"/>
              </w:rPr>
            </w:pPr>
            <w:r w:rsidRPr="00371588">
              <w:rPr>
                <w:rFonts w:eastAsia="Calibri"/>
                <w:lang w:eastAsia="en-US"/>
              </w:rPr>
              <w:t>Noteikumu projekta 8.</w:t>
            </w:r>
            <w:r w:rsidR="000A7B5B">
              <w:rPr>
                <w:rFonts w:eastAsia="Calibri"/>
                <w:lang w:eastAsia="en-US"/>
              </w:rPr>
              <w:t> </w:t>
            </w:r>
            <w:r w:rsidRPr="00371588">
              <w:rPr>
                <w:rFonts w:eastAsia="Calibri"/>
                <w:lang w:eastAsia="en-US"/>
              </w:rPr>
              <w:t>punkts papildināts ar izglītības programm</w:t>
            </w:r>
            <w:r w:rsidR="003E0266" w:rsidRPr="00371588">
              <w:rPr>
                <w:rFonts w:eastAsia="Calibri"/>
                <w:lang w:eastAsia="en-US"/>
              </w:rPr>
              <w:t>u grupām</w:t>
            </w:r>
            <w:r w:rsidRPr="00371588">
              <w:rPr>
                <w:rFonts w:eastAsia="Calibri"/>
                <w:lang w:eastAsia="en-US"/>
              </w:rPr>
              <w:t>:</w:t>
            </w:r>
          </w:p>
          <w:p w14:paraId="257A3776" w14:textId="2694FA90" w:rsidR="001F5395" w:rsidRPr="00371588" w:rsidRDefault="50E398DA" w:rsidP="00371588">
            <w:pPr>
              <w:pStyle w:val="BodyTextIndent"/>
              <w:ind w:right="57"/>
              <w:rPr>
                <w:szCs w:val="24"/>
              </w:rPr>
            </w:pPr>
            <w:r w:rsidRPr="00371588">
              <w:rPr>
                <w:rFonts w:eastAsia="Calibri"/>
                <w:szCs w:val="24"/>
                <w:lang w:eastAsia="en-US"/>
              </w:rPr>
              <w:t>“</w:t>
            </w:r>
            <w:r w:rsidRPr="00371588">
              <w:rPr>
                <w:szCs w:val="24"/>
              </w:rPr>
              <w:t>Fiziskajai personai, kas novērtē ķīmisko vielu risku vai sagatavo reģistrācijas pieteikumu ķīmiskajai vielai, nepieciešamais izglītības līmenis ir otrā līmeņa profesionālā augstākā izglītība vides zinātnē un vides pārvaldē, ķīmijas tehnoloģijās, ķīmijā, bioloģijā, bioķīmijā, ārstniecībā vai farmācijā (piektais profesionālās kvalifikācijas līmenis).”</w:t>
            </w:r>
          </w:p>
        </w:tc>
      </w:tr>
      <w:tr w:rsidR="001F5395" w:rsidRPr="00371588" w14:paraId="588D603B" w14:textId="77777777" w:rsidTr="78201EB7">
        <w:tc>
          <w:tcPr>
            <w:tcW w:w="846" w:type="dxa"/>
          </w:tcPr>
          <w:p w14:paraId="3A853AE4" w14:textId="77777777" w:rsidR="001F5395" w:rsidRPr="00371588" w:rsidRDefault="001F5395" w:rsidP="007F16FC">
            <w:pPr>
              <w:pStyle w:val="naisf"/>
              <w:spacing w:before="0" w:after="0"/>
              <w:ind w:firstLine="0"/>
              <w:jc w:val="center"/>
            </w:pPr>
            <w:r w:rsidRPr="00371588">
              <w:t>8.</w:t>
            </w:r>
          </w:p>
        </w:tc>
        <w:tc>
          <w:tcPr>
            <w:tcW w:w="2410" w:type="dxa"/>
          </w:tcPr>
          <w:p w14:paraId="2431146C" w14:textId="06286A9E" w:rsidR="001F5395" w:rsidRPr="00371588" w:rsidRDefault="002621FB" w:rsidP="007F16FC">
            <w:pPr>
              <w:ind w:firstLine="34"/>
              <w:jc w:val="both"/>
            </w:pPr>
            <w:r w:rsidRPr="00371588">
              <w:rPr>
                <w:color w:val="000000"/>
              </w:rPr>
              <w:t>Noteikumu projekta 12.punkts</w:t>
            </w:r>
          </w:p>
        </w:tc>
        <w:tc>
          <w:tcPr>
            <w:tcW w:w="4110" w:type="dxa"/>
          </w:tcPr>
          <w:p w14:paraId="66DFA79A" w14:textId="7E88D699" w:rsidR="002621FB" w:rsidRPr="00371588" w:rsidRDefault="002621FB" w:rsidP="002621FB">
            <w:pPr>
              <w:pStyle w:val="ListParagraph"/>
              <w:ind w:left="0"/>
              <w:jc w:val="both"/>
              <w:rPr>
                <w:rStyle w:val="normaltextrun"/>
                <w:b/>
                <w:color w:val="000000"/>
                <w:shd w:val="clear" w:color="auto" w:fill="FFFFFF"/>
              </w:rPr>
            </w:pPr>
            <w:r w:rsidRPr="00371588">
              <w:rPr>
                <w:b/>
                <w:bCs/>
              </w:rPr>
              <w:t>Iekšlietu ministrijas 2019. gada 29. maija atzinums Nr. </w:t>
            </w:r>
            <w:r w:rsidRPr="00371588">
              <w:rPr>
                <w:rStyle w:val="normaltextrun"/>
                <w:b/>
                <w:color w:val="000000"/>
                <w:shd w:val="clear" w:color="auto" w:fill="FFFFFF"/>
              </w:rPr>
              <w:t>1-57/1253</w:t>
            </w:r>
          </w:p>
          <w:p w14:paraId="1EBF4CA4" w14:textId="2D2D9B1C" w:rsidR="002621FB" w:rsidRPr="00371588" w:rsidRDefault="002621FB" w:rsidP="002621FB">
            <w:pPr>
              <w:pStyle w:val="ListParagraph"/>
              <w:ind w:left="0"/>
              <w:jc w:val="both"/>
              <w:rPr>
                <w:b/>
                <w:color w:val="000000"/>
                <w:shd w:val="clear" w:color="auto" w:fill="FFFFFF"/>
              </w:rPr>
            </w:pPr>
            <w:r w:rsidRPr="00371588">
              <w:rPr>
                <w:color w:val="000000"/>
              </w:rPr>
              <w:t>1.saskaņā ar projekta 12.punktā ietverto 13.1.apakšpunktu, ja darbību veicējs veic darbības ar viegli uzliesmojošām, īpaši viegli uzliesmojošām vai sprādzienbīstamām ķīmiskajām vielām vai maisījumiem, fiziskajai personai, kas organizē, vada vai veic šos darbus, jābūt apmācītai ugunsdrošībā atbilstoši ugunsdrošības un ugunsdzēsības regulējošiem normatīvajiem aktiem.</w:t>
            </w:r>
          </w:p>
          <w:p w14:paraId="09E933AD" w14:textId="0C4F3033" w:rsidR="001F5395" w:rsidRPr="00371588" w:rsidRDefault="002621FB" w:rsidP="005A4608">
            <w:pPr>
              <w:pStyle w:val="ListParagraph"/>
              <w:ind w:left="0"/>
              <w:jc w:val="both"/>
              <w:rPr>
                <w:color w:val="000000"/>
              </w:rPr>
            </w:pPr>
            <w:r w:rsidRPr="00371588">
              <w:rPr>
                <w:color w:val="000000"/>
              </w:rPr>
              <w:t>Norādām, ka no minētā nav skaidri saprotams, tieši kāda fiziskās personas apmācība ugunsdrošībā ir paredzēta un nepieciešama, vai personai jābūt apmācītai kādā izglītības iestādē atbilstoši kādai konkrētai izglītības programmai, vai arī personai jābūt apmācītai (instruētai) tikai par objekta ugunsdrošības instrukcijā iekļautajām prasībām, vai arī ir paredzēta kāda cita apmācība. Ņemot vērā minēto, precizēt projekta sākotnējās ietekmes novērtējuma ziņojumu (anotāciju) (turpmāk – anotācija), papildinot to ar skaidrojošu informāciju, kā arī izvērtēt nepieciešamību precizēt projekta 13.1.apakšpunktu.</w:t>
            </w:r>
          </w:p>
        </w:tc>
        <w:tc>
          <w:tcPr>
            <w:tcW w:w="3799" w:type="dxa"/>
          </w:tcPr>
          <w:p w14:paraId="226E2C20" w14:textId="77777777" w:rsidR="00110CFA" w:rsidRPr="00371588" w:rsidRDefault="00110CFA" w:rsidP="00110CFA">
            <w:pPr>
              <w:pStyle w:val="naisf"/>
              <w:spacing w:before="0" w:after="0"/>
              <w:ind w:firstLine="0"/>
              <w:rPr>
                <w:rFonts w:eastAsia="Calibri"/>
                <w:b/>
                <w:bCs/>
                <w:lang w:eastAsia="en-US"/>
              </w:rPr>
            </w:pPr>
            <w:r w:rsidRPr="00371588">
              <w:rPr>
                <w:rFonts w:eastAsia="Calibri"/>
                <w:b/>
                <w:bCs/>
                <w:lang w:eastAsia="en-US"/>
              </w:rPr>
              <w:t>Iebildums ņemts vērā</w:t>
            </w:r>
          </w:p>
          <w:p w14:paraId="52702F6A" w14:textId="3698B0E1" w:rsidR="001A216E" w:rsidRPr="007F16FC" w:rsidRDefault="007D1A15" w:rsidP="007F16FC">
            <w:pPr>
              <w:pStyle w:val="NoSpacing"/>
              <w:spacing w:before="120"/>
              <w:jc w:val="both"/>
              <w:rPr>
                <w:color w:val="000000" w:themeColor="text1"/>
              </w:rPr>
            </w:pPr>
            <w:r w:rsidRPr="00371588">
              <w:rPr>
                <w:rFonts w:ascii="Times New Roman" w:hAnsi="Times New Roman"/>
                <w:color w:val="000000" w:themeColor="text1"/>
                <w:sz w:val="24"/>
                <w:szCs w:val="24"/>
              </w:rPr>
              <w:t xml:space="preserve">Noteikumu 13.1. punkta teksta redakcijā veikti precizējumi un </w:t>
            </w:r>
            <w:r w:rsidR="00ED6F60" w:rsidRPr="00371588">
              <w:rPr>
                <w:rFonts w:ascii="Times New Roman" w:hAnsi="Times New Roman"/>
                <w:color w:val="000000" w:themeColor="text1"/>
                <w:sz w:val="24"/>
                <w:szCs w:val="24"/>
              </w:rPr>
              <w:t xml:space="preserve">Anotācijas I sadaļas </w:t>
            </w:r>
            <w:r w:rsidR="0095734B" w:rsidRPr="00371588">
              <w:rPr>
                <w:rFonts w:ascii="Times New Roman" w:hAnsi="Times New Roman"/>
                <w:color w:val="000000" w:themeColor="text1"/>
                <w:sz w:val="24"/>
                <w:szCs w:val="24"/>
              </w:rPr>
              <w:t>10</w:t>
            </w:r>
            <w:r w:rsidR="00ED6F60" w:rsidRPr="00371588">
              <w:rPr>
                <w:rFonts w:ascii="Times New Roman" w:hAnsi="Times New Roman"/>
                <w:color w:val="000000" w:themeColor="text1"/>
                <w:sz w:val="24"/>
                <w:szCs w:val="24"/>
              </w:rPr>
              <w:t>.</w:t>
            </w:r>
            <w:r w:rsidR="005A4608" w:rsidRPr="00371588">
              <w:rPr>
                <w:rFonts w:ascii="Times New Roman" w:hAnsi="Times New Roman"/>
                <w:color w:val="000000" w:themeColor="text1"/>
                <w:sz w:val="24"/>
                <w:szCs w:val="24"/>
              </w:rPr>
              <w:t xml:space="preserve"> </w:t>
            </w:r>
            <w:r w:rsidR="00ED6F60" w:rsidRPr="00371588">
              <w:rPr>
                <w:rFonts w:ascii="Times New Roman" w:hAnsi="Times New Roman"/>
                <w:color w:val="000000" w:themeColor="text1"/>
                <w:sz w:val="24"/>
                <w:szCs w:val="24"/>
              </w:rPr>
              <w:t>punkts</w:t>
            </w:r>
            <w:r w:rsidR="0095734B" w:rsidRPr="00371588">
              <w:rPr>
                <w:rFonts w:ascii="Times New Roman" w:hAnsi="Times New Roman"/>
                <w:color w:val="000000" w:themeColor="text1"/>
                <w:sz w:val="24"/>
                <w:szCs w:val="24"/>
              </w:rPr>
              <w:t xml:space="preserve"> papildināts ar informāciju par </w:t>
            </w:r>
            <w:hyperlink r:id="rId9" w:tgtFrame="_blank" w:history="1">
              <w:r w:rsidR="0095734B" w:rsidRPr="00371588">
                <w:rPr>
                  <w:rFonts w:ascii="Times New Roman" w:hAnsi="Times New Roman"/>
                  <w:color w:val="000000" w:themeColor="text1"/>
                  <w:sz w:val="24"/>
                  <w:szCs w:val="24"/>
                </w:rPr>
                <w:t>Ministru kabineta 2016. gada 19. aprīļa noteikumu Nr. 238 „Ugunsdrošības noteikumi”</w:t>
              </w:r>
            </w:hyperlink>
            <w:r w:rsidRPr="00371588">
              <w:rPr>
                <w:rFonts w:ascii="Times New Roman" w:hAnsi="Times New Roman"/>
                <w:color w:val="000000" w:themeColor="text1"/>
                <w:sz w:val="24"/>
                <w:szCs w:val="24"/>
              </w:rPr>
              <w:t xml:space="preserve"> 188.</w:t>
            </w:r>
            <w:r w:rsidR="005E344F" w:rsidRPr="00371588">
              <w:rPr>
                <w:rFonts w:ascii="Times New Roman" w:hAnsi="Times New Roman"/>
                <w:color w:val="000000" w:themeColor="text1"/>
                <w:sz w:val="24"/>
                <w:szCs w:val="24"/>
              </w:rPr>
              <w:t> punktu, kas nosaka nodarbinātā pienākumu apgūt un zināt ugunsdrošības instrukciju, kas ietver informāciju par maksimāli pieļaujamais vielu un priekšmetu daudzums, kas vienlaikus var atrasties ražošanas vai noliktavas objektā</w:t>
            </w:r>
            <w:r w:rsidR="005E344F" w:rsidRPr="00371588">
              <w:rPr>
                <w:color w:val="000000" w:themeColor="text1"/>
              </w:rPr>
              <w:t xml:space="preserve">, </w:t>
            </w:r>
            <w:r w:rsidR="005E344F" w:rsidRPr="00371588">
              <w:rPr>
                <w:rFonts w:ascii="Times New Roman" w:hAnsi="Times New Roman"/>
                <w:color w:val="000000" w:themeColor="text1"/>
                <w:sz w:val="24"/>
                <w:szCs w:val="24"/>
              </w:rPr>
              <w:t>lietojamo un uzglabājamo vielu un priekšmetu sprādzienbīstamību un ugunsbīstamība, kā arī minēto vielu un priekšmetu izmantošanas, uzglabāšanas un transportēšanas kārtību.</w:t>
            </w:r>
          </w:p>
        </w:tc>
        <w:tc>
          <w:tcPr>
            <w:tcW w:w="3431" w:type="dxa"/>
          </w:tcPr>
          <w:p w14:paraId="228E69B0" w14:textId="47D8A626" w:rsidR="0095734B" w:rsidRPr="00371588" w:rsidRDefault="0095734B" w:rsidP="0095734B">
            <w:pPr>
              <w:pStyle w:val="BodyText"/>
              <w:spacing w:after="0"/>
              <w:jc w:val="both"/>
              <w:rPr>
                <w:rFonts w:eastAsia="Calibri"/>
                <w:lang w:eastAsia="en-US"/>
              </w:rPr>
            </w:pPr>
            <w:r w:rsidRPr="00371588">
              <w:rPr>
                <w:rFonts w:eastAsia="Calibri"/>
                <w:lang w:eastAsia="en-US"/>
              </w:rPr>
              <w:t>Noteikumu 13.1.</w:t>
            </w:r>
            <w:r w:rsidR="000A7B5B">
              <w:rPr>
                <w:rFonts w:eastAsia="Calibri"/>
                <w:lang w:eastAsia="en-US"/>
              </w:rPr>
              <w:t> apakš</w:t>
            </w:r>
            <w:r w:rsidRPr="00371588">
              <w:rPr>
                <w:rFonts w:eastAsia="Calibri"/>
                <w:lang w:eastAsia="en-US"/>
              </w:rPr>
              <w:t>punkt</w:t>
            </w:r>
            <w:r w:rsidR="000A7B5B">
              <w:rPr>
                <w:rFonts w:eastAsia="Calibri"/>
                <w:lang w:eastAsia="en-US"/>
              </w:rPr>
              <w:t>s izteikts šādā redakcijā</w:t>
            </w:r>
            <w:r w:rsidRPr="00371588">
              <w:rPr>
                <w:rFonts w:eastAsia="Calibri"/>
                <w:lang w:eastAsia="en-US"/>
              </w:rPr>
              <w:t xml:space="preserve">: </w:t>
            </w:r>
          </w:p>
          <w:p w14:paraId="34D7DEDC" w14:textId="5D6ADA3E" w:rsidR="001F5395" w:rsidRPr="00371588" w:rsidRDefault="0095734B" w:rsidP="00371588">
            <w:pPr>
              <w:pStyle w:val="BodyTextIndent"/>
              <w:ind w:right="57"/>
              <w:rPr>
                <w:rFonts w:eastAsia="Calibri"/>
                <w:bCs w:val="0"/>
                <w:szCs w:val="24"/>
                <w:lang w:eastAsia="en-US"/>
              </w:rPr>
            </w:pPr>
            <w:r w:rsidRPr="00371588">
              <w:rPr>
                <w:rFonts w:eastAsia="Calibri"/>
                <w:bCs w:val="0"/>
                <w:szCs w:val="24"/>
                <w:lang w:eastAsia="en-US"/>
              </w:rPr>
              <w:t>“</w:t>
            </w:r>
            <w:r w:rsidR="007D1A15" w:rsidRPr="00371588">
              <w:rPr>
                <w:rFonts w:eastAsia="Calibri"/>
                <w:bCs w:val="0"/>
                <w:szCs w:val="24"/>
                <w:lang w:eastAsia="en-US"/>
              </w:rPr>
              <w:t>13.1.</w:t>
            </w:r>
            <w:r w:rsidR="000A7B5B">
              <w:rPr>
                <w:rFonts w:eastAsia="Calibri"/>
                <w:bCs w:val="0"/>
                <w:szCs w:val="24"/>
                <w:lang w:eastAsia="en-US"/>
              </w:rPr>
              <w:t> </w:t>
            </w:r>
            <w:r w:rsidR="007D1A15" w:rsidRPr="00371588">
              <w:rPr>
                <w:rFonts w:eastAsia="Calibri"/>
                <w:bCs w:val="0"/>
                <w:szCs w:val="24"/>
                <w:lang w:eastAsia="en-US"/>
              </w:rPr>
              <w:t>viegli uzliesmojošām, īpaši viegli uzliesmojošām vai sprādzienbīstamām ķīmiskajām vielām vai mais</w:t>
            </w:r>
            <w:r w:rsidR="00850727" w:rsidRPr="00371588">
              <w:rPr>
                <w:rFonts w:eastAsia="Calibri"/>
                <w:bCs w:val="0"/>
                <w:szCs w:val="24"/>
                <w:lang w:eastAsia="en-US"/>
              </w:rPr>
              <w:t>ījumiem, fiziskajai personai, k</w:t>
            </w:r>
            <w:r w:rsidR="00371588">
              <w:rPr>
                <w:rFonts w:eastAsia="Calibri"/>
                <w:bCs w:val="0"/>
                <w:szCs w:val="24"/>
                <w:lang w:eastAsia="en-US"/>
              </w:rPr>
              <w:t>as</w:t>
            </w:r>
            <w:r w:rsidR="007D1A15" w:rsidRPr="00371588">
              <w:rPr>
                <w:rFonts w:eastAsia="Calibri"/>
                <w:bCs w:val="0"/>
                <w:szCs w:val="24"/>
                <w:lang w:eastAsia="en-US"/>
              </w:rPr>
              <w:t xml:space="preserve"> organizē, vada vai veic šos darbus, jābūt instruētai ugunsdrošībā atbilstoši ugunsdrošības un ugunsdzēsības regulējošajiem normatīvajiem aktiem”</w:t>
            </w:r>
          </w:p>
        </w:tc>
      </w:tr>
      <w:tr w:rsidR="001F5395" w:rsidRPr="00371588" w14:paraId="59E8C18B" w14:textId="77777777" w:rsidTr="78201EB7">
        <w:tc>
          <w:tcPr>
            <w:tcW w:w="846" w:type="dxa"/>
          </w:tcPr>
          <w:p w14:paraId="649F8ABD" w14:textId="4C7953E9" w:rsidR="001F5395" w:rsidRPr="00371588" w:rsidRDefault="001F5395" w:rsidP="001F5395">
            <w:pPr>
              <w:pStyle w:val="naisf"/>
              <w:spacing w:before="0" w:after="0"/>
              <w:ind w:firstLine="0"/>
              <w:jc w:val="center"/>
            </w:pPr>
            <w:r w:rsidRPr="00371588">
              <w:t>9.</w:t>
            </w:r>
          </w:p>
        </w:tc>
        <w:tc>
          <w:tcPr>
            <w:tcW w:w="2410" w:type="dxa"/>
          </w:tcPr>
          <w:p w14:paraId="579A6008" w14:textId="60FBA045" w:rsidR="001F5395" w:rsidRPr="00371588" w:rsidRDefault="009E356F" w:rsidP="007F16FC">
            <w:pPr>
              <w:ind w:firstLine="34"/>
              <w:jc w:val="both"/>
            </w:pPr>
            <w:r w:rsidRPr="00371588">
              <w:rPr>
                <w:color w:val="000000"/>
              </w:rPr>
              <w:t>Noteikumu projekta 12.punkts</w:t>
            </w:r>
          </w:p>
        </w:tc>
        <w:tc>
          <w:tcPr>
            <w:tcW w:w="4110" w:type="dxa"/>
          </w:tcPr>
          <w:p w14:paraId="00D196AF" w14:textId="77777777" w:rsidR="002621FB" w:rsidRPr="00371588" w:rsidRDefault="002621FB" w:rsidP="009D295E">
            <w:pPr>
              <w:rPr>
                <w:b/>
              </w:rPr>
            </w:pPr>
            <w:r w:rsidRPr="00371588">
              <w:rPr>
                <w:b/>
                <w:color w:val="000000"/>
              </w:rPr>
              <w:t>Iekšlietu ministrijas 2019. gada 29. maija atzinums Nr. </w:t>
            </w:r>
            <w:r w:rsidRPr="00371588">
              <w:rPr>
                <w:b/>
              </w:rPr>
              <w:t>1-57/1253</w:t>
            </w:r>
          </w:p>
          <w:p w14:paraId="0B2E15F3" w14:textId="77777777" w:rsidR="000F75EF" w:rsidRPr="00371588" w:rsidRDefault="002621FB" w:rsidP="009D295E">
            <w:pPr>
              <w:rPr>
                <w:color w:val="000000"/>
              </w:rPr>
            </w:pPr>
            <w:r w:rsidRPr="00371588">
              <w:rPr>
                <w:color w:val="000000"/>
              </w:rPr>
              <w:t>2. Saskaņā ar projekta 12.punktā ietverto 13.2.apakšpunktu, ja darbības veicējs veic darbības ar 1., 2. un 3.kategorijas akūti toksiskām ķīmiskām vielām un maisījumiem, 1.kategorijas ķīmiskām vielām un maisījumiem ar toksisku ietekmi uz konkrētiem mērķorgāniem pēc vienreizējas vai atkārtotas iedarbības, kā arī kancerogēnām, mutagēnām vai reproduktīvajai sistēmai toksiskām, kā arī īpaši viegli uzliesmojošām vai sprādzienbīstamām ķīmiskajām vielām vai ķīmiskajiem produktiem, fiziskajai personai, kas veic šos darbus, jābūt apmācītai pirmās palīdzības sniegšanā saindēšanās gadījumos atbilstoši civilās aizsardzības un katastrofas pārvaldīšanas regulējošajiem normatīvajiem aktiem.</w:t>
            </w:r>
            <w:r w:rsidR="000F75EF" w:rsidRPr="00371588">
              <w:rPr>
                <w:color w:val="000000"/>
              </w:rPr>
              <w:t xml:space="preserve"> </w:t>
            </w:r>
          </w:p>
          <w:p w14:paraId="6DF914EC" w14:textId="77777777" w:rsidR="001F5395" w:rsidRPr="00371588" w:rsidRDefault="002621FB" w:rsidP="009D295E">
            <w:pPr>
              <w:rPr>
                <w:color w:val="000000"/>
              </w:rPr>
            </w:pPr>
            <w:r w:rsidRPr="00371588">
              <w:rPr>
                <w:color w:val="000000"/>
              </w:rPr>
              <w:t>Norādām, ka civilās aizsardzības un katastrofas pārvaldīšanas jomu regulējošie normatīvie akti nenosaka kārtību, kādā veicama apmācība pirmās palīdzības sniegšanā. Kārtību, kādā nodrošina apmācību pirmās palīdzības sniegšanā, nosaka Ministru kabineta 2010.gada 3.augusta noteikumi Nr.713 “Noteikumi par kārtību, kādā nodrošina apmācību pirmās palīdzības sniegšanā, un pirmās palīdzības aptieciņas medicīnisko materiālu minimumu”, kas izdoti saskaņā ar Darba aizsardzības likuma 12. panta trešo daļu un ceturto daļu. Tāpat kārtību, kādā nodrošina apmācību pirmās palīdzības sniegšanā, pirmās palīdzības apmācības sistēmu, pirmās palīdzības sniegšanas apmācības programmas saturu nosaka Ministru kabineta 2012.gada 14.augusta noteikumi Nr.557 “Noteikumi par apmācību pirmās palīdzības sniegšanā”, kas izdoti saskaņā ar Ārstniecības likuma 9.panta trešo daļu.</w:t>
            </w:r>
          </w:p>
          <w:p w14:paraId="5862F7E9" w14:textId="7DE50172" w:rsidR="00110CFA" w:rsidRPr="00371588" w:rsidRDefault="00110CFA" w:rsidP="00110CFA">
            <w:pPr>
              <w:rPr>
                <w:color w:val="000000"/>
              </w:rPr>
            </w:pPr>
            <w:r w:rsidRPr="00371588">
              <w:rPr>
                <w:color w:val="000000"/>
              </w:rPr>
              <w:t>Ņemot vērā minēto, precizēt projekta 12.punktā ietverto 13.2.apakšpunktu, veidojot atsauci uz normatīvajiem aktiem, kas regulē jautājumus saistībā ar pirmās palīdzības sniegšanu, kā arī attiecīgi precizēt projekta anotāciju.</w:t>
            </w:r>
          </w:p>
        </w:tc>
        <w:tc>
          <w:tcPr>
            <w:tcW w:w="3799" w:type="dxa"/>
          </w:tcPr>
          <w:p w14:paraId="096F2542" w14:textId="1B25E24C" w:rsidR="00110CFA" w:rsidRPr="00371588" w:rsidRDefault="00110CFA" w:rsidP="00110CFA">
            <w:pPr>
              <w:pStyle w:val="naisf"/>
              <w:spacing w:before="0" w:after="0"/>
              <w:ind w:firstLine="0"/>
              <w:rPr>
                <w:rFonts w:eastAsia="Calibri"/>
                <w:b/>
                <w:bCs/>
                <w:lang w:eastAsia="en-US"/>
              </w:rPr>
            </w:pPr>
            <w:r w:rsidRPr="00371588">
              <w:rPr>
                <w:rFonts w:eastAsia="Calibri"/>
                <w:b/>
                <w:bCs/>
                <w:lang w:eastAsia="en-US"/>
              </w:rPr>
              <w:t>Iebildums ņemts vērā</w:t>
            </w:r>
            <w:r w:rsidR="006147C9" w:rsidRPr="00371588">
              <w:rPr>
                <w:rFonts w:eastAsia="Calibri"/>
                <w:b/>
                <w:bCs/>
                <w:lang w:eastAsia="en-US"/>
              </w:rPr>
              <w:t>.</w:t>
            </w:r>
          </w:p>
          <w:p w14:paraId="67CD79C9" w14:textId="30C013F7" w:rsidR="001F5395" w:rsidRPr="00371588" w:rsidRDefault="007F16FC" w:rsidP="008C4B72">
            <w:pPr>
              <w:pStyle w:val="naisf"/>
              <w:spacing w:before="0" w:after="0"/>
              <w:ind w:firstLine="0"/>
              <w:rPr>
                <w:rFonts w:cs="Tahoma"/>
              </w:rPr>
            </w:pPr>
            <w:r>
              <w:rPr>
                <w:color w:val="000000" w:themeColor="text1"/>
              </w:rPr>
              <w:t>Noteikumu 13.2. apakš</w:t>
            </w:r>
            <w:r w:rsidR="000D64E2" w:rsidRPr="00371588">
              <w:rPr>
                <w:color w:val="000000" w:themeColor="text1"/>
              </w:rPr>
              <w:t xml:space="preserve">punkta teksta redakcijā veikti precizējumi un Anotācijas I sadaļas </w:t>
            </w:r>
            <w:r w:rsidR="008C4B72" w:rsidRPr="00371588">
              <w:rPr>
                <w:color w:val="000000" w:themeColor="text1"/>
              </w:rPr>
              <w:t>11</w:t>
            </w:r>
            <w:r>
              <w:rPr>
                <w:color w:val="000000" w:themeColor="text1"/>
              </w:rPr>
              <w:t>. </w:t>
            </w:r>
            <w:r w:rsidR="000D64E2" w:rsidRPr="00371588">
              <w:rPr>
                <w:color w:val="000000" w:themeColor="text1"/>
              </w:rPr>
              <w:t xml:space="preserve">punkts papildināts ar informāciju par </w:t>
            </w:r>
            <w:r w:rsidR="008C4B72" w:rsidRPr="00371588">
              <w:t>Ministru kabineta 2010. gada 3. augusta noteikumiem Nr.713 “Noteikumi par kārtību, kādā nodrošina apmācību pirmās palīdzības sniegšanā, un pirmās palīdzības aptieciņas medicīnisko materiālu minimumu”, kas izdoti saskaņā a</w:t>
            </w:r>
            <w:r>
              <w:t>r Darba aizsardzības likuma 12. </w:t>
            </w:r>
            <w:r w:rsidR="008C4B72" w:rsidRPr="00371588">
              <w:t>panta trešo un ceturto daļu un kuros ir ietverts darba devēja pienākums nosūtīt darbiniekus uz apmācībām par pirmās palīdzības sniegšanu. Kā arī Ministru kabineta 2012. gada 14. augusta noteikumiem Nr. 557 “Noteikumi par apmācību pirmās palīdzības sniegšanā”, kas izdoti saskaņā ar Ārstniecības likuma 9. panta trešo daļu, kas nosaka kārtību, kādā nodrošina apmācību pirmās palīdzības sniegšanā, pirmās palīdzības apmācības sistēmu, kā arī pirmās palīdzības sniegšanas apmācības programmas saturu, t. sk., par ķīmiskajām vielām.</w:t>
            </w:r>
          </w:p>
        </w:tc>
        <w:tc>
          <w:tcPr>
            <w:tcW w:w="3431" w:type="dxa"/>
          </w:tcPr>
          <w:p w14:paraId="5FED59B9" w14:textId="1EB68F8D" w:rsidR="000D64E2" w:rsidRPr="00371588" w:rsidRDefault="000D64E2" w:rsidP="000D64E2">
            <w:pPr>
              <w:pStyle w:val="BodyText"/>
              <w:spacing w:after="0"/>
              <w:jc w:val="both"/>
              <w:rPr>
                <w:rFonts w:eastAsia="Calibri"/>
                <w:lang w:eastAsia="en-US"/>
              </w:rPr>
            </w:pPr>
            <w:r w:rsidRPr="00371588">
              <w:rPr>
                <w:rFonts w:eastAsia="Calibri"/>
                <w:lang w:eastAsia="en-US"/>
              </w:rPr>
              <w:t>Noteikumu 13.2.</w:t>
            </w:r>
            <w:r w:rsidR="000A7B5B">
              <w:rPr>
                <w:rFonts w:eastAsia="Calibri"/>
                <w:lang w:eastAsia="en-US"/>
              </w:rPr>
              <w:t> apakš</w:t>
            </w:r>
            <w:r w:rsidRPr="00371588">
              <w:rPr>
                <w:rFonts w:eastAsia="Calibri"/>
                <w:lang w:eastAsia="en-US"/>
              </w:rPr>
              <w:t>punkt</w:t>
            </w:r>
            <w:r w:rsidR="000A7B5B">
              <w:rPr>
                <w:rFonts w:eastAsia="Calibri"/>
                <w:lang w:eastAsia="en-US"/>
              </w:rPr>
              <w:t>s izteikts šādā redakcijā</w:t>
            </w:r>
            <w:r w:rsidRPr="00371588">
              <w:rPr>
                <w:rFonts w:eastAsia="Calibri"/>
                <w:lang w:eastAsia="en-US"/>
              </w:rPr>
              <w:t xml:space="preserve">: </w:t>
            </w:r>
          </w:p>
          <w:p w14:paraId="50C6138C" w14:textId="53CAAB9E" w:rsidR="001F5395" w:rsidRPr="00371588" w:rsidRDefault="008C4B72" w:rsidP="007F16FC">
            <w:pPr>
              <w:pStyle w:val="BodyText"/>
              <w:spacing w:after="0"/>
              <w:jc w:val="both"/>
              <w:rPr>
                <w:rFonts w:eastAsia="Calibri"/>
                <w:lang w:eastAsia="en-US"/>
              </w:rPr>
            </w:pPr>
            <w:r w:rsidRPr="00371588">
              <w:rPr>
                <w:rFonts w:eastAsia="Calibri"/>
                <w:lang w:eastAsia="en-US"/>
              </w:rPr>
              <w:t>“</w:t>
            </w:r>
            <w:r w:rsidR="00850727" w:rsidRPr="00371588">
              <w:rPr>
                <w:rFonts w:eastAsia="Calibri"/>
                <w:lang w:eastAsia="en-US"/>
              </w:rPr>
              <w:t>13.2. </w:t>
            </w:r>
            <w:r w:rsidRPr="00371588">
              <w:rPr>
                <w:rFonts w:eastAsia="Calibri"/>
                <w:lang w:eastAsia="en-US"/>
              </w:rPr>
              <w:t>1., 2. un 3. kategorijas akūti toksiskām ķīmiskām vielām un maisījumiem, 1. kategorijas ķīmiskām vielām un maisījumiem ar toksisku ietekmi uz konkrētiem mērķorgāniem pēc vienreizējas vai atkārtotas iedarbības, kā arī kancerogēnām, mutagēnām vai reproduktīvajai sistēmai toksiskām, kā arī īpaši viegli uzliesmojošām vai sprādzienbīstamām ķīmiskajām vielām vai maisījumiem, fiziskajai personai, k</w:t>
            </w:r>
            <w:r w:rsidR="00371588">
              <w:rPr>
                <w:rFonts w:eastAsia="Calibri"/>
                <w:lang w:eastAsia="en-US"/>
              </w:rPr>
              <w:t>as</w:t>
            </w:r>
            <w:r w:rsidRPr="00371588">
              <w:rPr>
                <w:rFonts w:eastAsia="Calibri"/>
                <w:lang w:eastAsia="en-US"/>
              </w:rPr>
              <w:t xml:space="preserve"> veic šos darbus, jābūt apmācītai pirmās palīdzības sniegšanā atbilstoši regulējošajiem normatīvajiem aktiem.”</w:t>
            </w:r>
          </w:p>
        </w:tc>
      </w:tr>
    </w:tbl>
    <w:p w14:paraId="38ADC35F" w14:textId="77777777" w:rsidR="004C332C" w:rsidRPr="00371588" w:rsidRDefault="004C332C" w:rsidP="000A531F">
      <w:pPr>
        <w:jc w:val="both"/>
        <w:rPr>
          <w:sz w:val="20"/>
          <w:szCs w:val="20"/>
        </w:rPr>
      </w:pPr>
    </w:p>
    <w:p w14:paraId="7D2CF4C4" w14:textId="77777777" w:rsidR="004C332C" w:rsidRPr="00371588" w:rsidRDefault="004C332C" w:rsidP="000A531F">
      <w:pPr>
        <w:jc w:val="both"/>
        <w:rPr>
          <w:sz w:val="20"/>
          <w:szCs w:val="20"/>
        </w:rPr>
      </w:pPr>
    </w:p>
    <w:p w14:paraId="46B74DCA" w14:textId="77777777" w:rsidR="004C332C" w:rsidRPr="00371588" w:rsidRDefault="004C332C" w:rsidP="000A531F">
      <w:pPr>
        <w:jc w:val="both"/>
        <w:rPr>
          <w:sz w:val="20"/>
          <w:szCs w:val="20"/>
        </w:rPr>
      </w:pPr>
    </w:p>
    <w:tbl>
      <w:tblPr>
        <w:tblW w:w="13884" w:type="dxa"/>
        <w:tblLayout w:type="fixed"/>
        <w:tblLook w:val="00A0" w:firstRow="1" w:lastRow="0" w:firstColumn="1" w:lastColumn="0" w:noHBand="0" w:noVBand="0"/>
      </w:tblPr>
      <w:tblGrid>
        <w:gridCol w:w="4649"/>
        <w:gridCol w:w="9235"/>
      </w:tblGrid>
      <w:tr w:rsidR="004C4960" w:rsidRPr="00371588" w14:paraId="7CBB31F2" w14:textId="77777777" w:rsidTr="007F16FC">
        <w:tc>
          <w:tcPr>
            <w:tcW w:w="3110" w:type="dxa"/>
          </w:tcPr>
          <w:p w14:paraId="6FE1C931" w14:textId="77777777" w:rsidR="004C4960" w:rsidRPr="00371588" w:rsidRDefault="004C4960" w:rsidP="007F16FC">
            <w:pPr>
              <w:pStyle w:val="naiskr"/>
              <w:spacing w:before="0" w:after="0"/>
              <w:rPr>
                <w:sz w:val="20"/>
                <w:szCs w:val="20"/>
              </w:rPr>
            </w:pPr>
          </w:p>
          <w:p w14:paraId="43F061E0" w14:textId="77777777" w:rsidR="004C4960" w:rsidRPr="00371588" w:rsidRDefault="004C4960" w:rsidP="007F16FC">
            <w:pPr>
              <w:pStyle w:val="naiskr"/>
              <w:spacing w:before="0" w:after="0"/>
            </w:pPr>
            <w:r w:rsidRPr="00371588">
              <w:t>Atbildīgā amatpersona</w:t>
            </w:r>
          </w:p>
        </w:tc>
        <w:tc>
          <w:tcPr>
            <w:tcW w:w="6178" w:type="dxa"/>
          </w:tcPr>
          <w:p w14:paraId="77E798A0" w14:textId="77777777" w:rsidR="004C4960" w:rsidRPr="00371588" w:rsidRDefault="004C4960" w:rsidP="004C4960">
            <w:pPr>
              <w:jc w:val="center"/>
            </w:pPr>
          </w:p>
          <w:p w14:paraId="0AD7328E" w14:textId="72910301" w:rsidR="004C4960" w:rsidRPr="00371588" w:rsidRDefault="004C4960" w:rsidP="004C4960">
            <w:pPr>
              <w:jc w:val="center"/>
            </w:pPr>
            <w:r w:rsidRPr="00371588">
              <w:t>Kristīne Kazerovska</w:t>
            </w:r>
          </w:p>
        </w:tc>
      </w:tr>
      <w:tr w:rsidR="004C4960" w:rsidRPr="00371588" w14:paraId="7E451787" w14:textId="77777777" w:rsidTr="007F16FC">
        <w:tc>
          <w:tcPr>
            <w:tcW w:w="3110" w:type="dxa"/>
          </w:tcPr>
          <w:p w14:paraId="3478123E" w14:textId="77777777" w:rsidR="004C4960" w:rsidRPr="00371588" w:rsidRDefault="004C4960" w:rsidP="007F16FC">
            <w:pPr>
              <w:pStyle w:val="naiskr"/>
              <w:spacing w:before="0" w:after="0"/>
              <w:ind w:firstLine="720"/>
            </w:pPr>
          </w:p>
        </w:tc>
        <w:tc>
          <w:tcPr>
            <w:tcW w:w="6178" w:type="dxa"/>
            <w:tcBorders>
              <w:top w:val="single" w:sz="6" w:space="0" w:color="000000"/>
            </w:tcBorders>
          </w:tcPr>
          <w:p w14:paraId="7D609BC7" w14:textId="77777777" w:rsidR="004C4960" w:rsidRPr="00371588" w:rsidRDefault="004C4960" w:rsidP="007F16FC">
            <w:pPr>
              <w:pStyle w:val="naisc"/>
              <w:spacing w:before="0" w:after="0"/>
              <w:ind w:firstLine="720"/>
            </w:pPr>
            <w:r w:rsidRPr="00371588">
              <w:t>(paraksts*)</w:t>
            </w:r>
          </w:p>
        </w:tc>
      </w:tr>
    </w:tbl>
    <w:p w14:paraId="3BA48829" w14:textId="77777777" w:rsidR="004C4960" w:rsidRPr="00371588" w:rsidRDefault="004C4960" w:rsidP="004C4960">
      <w:pPr>
        <w:pStyle w:val="naisf"/>
        <w:spacing w:before="0" w:after="0"/>
        <w:ind w:firstLine="0"/>
        <w:rPr>
          <w:sz w:val="16"/>
          <w:szCs w:val="16"/>
        </w:rPr>
      </w:pPr>
    </w:p>
    <w:p w14:paraId="320858F3" w14:textId="77777777" w:rsidR="004C4960" w:rsidRPr="00371588" w:rsidRDefault="004C4960" w:rsidP="004C4960">
      <w:pPr>
        <w:pStyle w:val="naisf"/>
        <w:spacing w:before="0" w:after="0"/>
        <w:ind w:firstLine="720"/>
      </w:pPr>
      <w:r w:rsidRPr="00371588">
        <w:t>Piezīme. * Dokumenta rekvizītu "paraksts" neaizpilda, ja elektroniskais dokuments ir sagatavots atbilstoši normatīvajiem aktiem par elektronisko dokumentu noformēšanu.</w:t>
      </w:r>
    </w:p>
    <w:p w14:paraId="5C863D50" w14:textId="77777777" w:rsidR="004C4960" w:rsidRPr="00371588" w:rsidRDefault="004C4960" w:rsidP="004C4960">
      <w:pPr>
        <w:pStyle w:val="naisf"/>
        <w:spacing w:before="0" w:after="0"/>
        <w:ind w:firstLine="720"/>
      </w:pPr>
    </w:p>
    <w:p w14:paraId="7508FE5E" w14:textId="77777777" w:rsidR="00196EEE" w:rsidRPr="00371588" w:rsidRDefault="00196EEE" w:rsidP="004C4960">
      <w:pPr>
        <w:pStyle w:val="naisf"/>
        <w:spacing w:before="0" w:after="0"/>
        <w:ind w:firstLine="720"/>
      </w:pPr>
    </w:p>
    <w:p w14:paraId="751353CE" w14:textId="77777777" w:rsidR="00196EEE" w:rsidRPr="00371588" w:rsidRDefault="00196EEE" w:rsidP="004C4960">
      <w:pPr>
        <w:pStyle w:val="naisf"/>
        <w:spacing w:before="0" w:after="0"/>
        <w:ind w:firstLine="720"/>
      </w:pPr>
    </w:p>
    <w:p w14:paraId="0C2FEC02" w14:textId="326A8A73" w:rsidR="00196EEE" w:rsidRPr="00371588" w:rsidRDefault="00196EEE" w:rsidP="00196EEE">
      <w:pPr>
        <w:pStyle w:val="naisf"/>
        <w:spacing w:before="0" w:after="0"/>
        <w:ind w:left="2160" w:firstLine="720"/>
        <w:jc w:val="left"/>
      </w:pPr>
      <w:r w:rsidRPr="00371588">
        <w:t>Kristīne Kazerovska</w:t>
      </w:r>
    </w:p>
    <w:tbl>
      <w:tblPr>
        <w:tblW w:w="0" w:type="auto"/>
        <w:tblLook w:val="00A0" w:firstRow="1" w:lastRow="0" w:firstColumn="1" w:lastColumn="0" w:noHBand="0" w:noVBand="0"/>
      </w:tblPr>
      <w:tblGrid>
        <w:gridCol w:w="8268"/>
      </w:tblGrid>
      <w:tr w:rsidR="00196EEE" w:rsidRPr="00371588" w14:paraId="656324B6" w14:textId="77777777" w:rsidTr="007F16FC">
        <w:tc>
          <w:tcPr>
            <w:tcW w:w="8268" w:type="dxa"/>
            <w:tcBorders>
              <w:top w:val="single" w:sz="4" w:space="0" w:color="000000"/>
            </w:tcBorders>
          </w:tcPr>
          <w:p w14:paraId="02D813DA" w14:textId="77777777" w:rsidR="00196EEE" w:rsidRPr="00371588" w:rsidRDefault="00196EEE" w:rsidP="007F16FC">
            <w:pPr>
              <w:jc w:val="center"/>
            </w:pPr>
            <w:r w:rsidRPr="00371588">
              <w:t>(par projektu atbildīgās amatpersonas vārds un uzvārds)</w:t>
            </w:r>
          </w:p>
          <w:p w14:paraId="257DC7B5" w14:textId="77777777" w:rsidR="00196EEE" w:rsidRPr="00371588" w:rsidRDefault="00196EEE" w:rsidP="007F16FC">
            <w:pPr>
              <w:jc w:val="center"/>
            </w:pPr>
          </w:p>
        </w:tc>
      </w:tr>
      <w:tr w:rsidR="00196EEE" w:rsidRPr="00371588" w14:paraId="15C89FC8" w14:textId="77777777" w:rsidTr="007F16FC">
        <w:tc>
          <w:tcPr>
            <w:tcW w:w="8268" w:type="dxa"/>
            <w:tcBorders>
              <w:bottom w:val="single" w:sz="4" w:space="0" w:color="000000"/>
            </w:tcBorders>
          </w:tcPr>
          <w:p w14:paraId="278433EC" w14:textId="194E9D5A" w:rsidR="00196EEE" w:rsidRPr="00371588" w:rsidRDefault="00196EEE" w:rsidP="00196EEE">
            <w:pPr>
              <w:pStyle w:val="naisf"/>
              <w:spacing w:before="0" w:after="0"/>
              <w:ind w:left="2160" w:hanging="2126"/>
              <w:jc w:val="center"/>
            </w:pPr>
            <w:r w:rsidRPr="00371588">
              <w:t>Vides aizsardzības departamenta Piesārņojuma novēršanas nodaļas vecākā eksperte</w:t>
            </w:r>
          </w:p>
        </w:tc>
      </w:tr>
      <w:tr w:rsidR="00196EEE" w:rsidRPr="00371588" w14:paraId="28C5B43B" w14:textId="77777777" w:rsidTr="007F16FC">
        <w:tc>
          <w:tcPr>
            <w:tcW w:w="8268" w:type="dxa"/>
            <w:tcBorders>
              <w:top w:val="single" w:sz="4" w:space="0" w:color="000000"/>
            </w:tcBorders>
          </w:tcPr>
          <w:p w14:paraId="51BAB5AA" w14:textId="77777777" w:rsidR="00196EEE" w:rsidRPr="00371588" w:rsidRDefault="00196EEE" w:rsidP="007F16FC">
            <w:pPr>
              <w:jc w:val="center"/>
            </w:pPr>
            <w:r w:rsidRPr="00371588">
              <w:t>(amats)</w:t>
            </w:r>
          </w:p>
          <w:p w14:paraId="4CA6743A" w14:textId="77777777" w:rsidR="00196EEE" w:rsidRPr="00371588" w:rsidRDefault="00196EEE" w:rsidP="007F16FC">
            <w:pPr>
              <w:jc w:val="center"/>
            </w:pPr>
          </w:p>
        </w:tc>
      </w:tr>
      <w:tr w:rsidR="00196EEE" w:rsidRPr="00371588" w14:paraId="6D8B450D" w14:textId="77777777" w:rsidTr="007F16FC">
        <w:tc>
          <w:tcPr>
            <w:tcW w:w="8268" w:type="dxa"/>
            <w:tcBorders>
              <w:bottom w:val="single" w:sz="4" w:space="0" w:color="000000"/>
            </w:tcBorders>
          </w:tcPr>
          <w:p w14:paraId="43A00922" w14:textId="2B205A0F" w:rsidR="00196EEE" w:rsidRPr="00371588" w:rsidRDefault="00196EEE" w:rsidP="007F16FC">
            <w:pPr>
              <w:pStyle w:val="naisf"/>
              <w:spacing w:before="0" w:after="0"/>
              <w:ind w:left="2160" w:firstLine="959"/>
              <w:jc w:val="left"/>
            </w:pPr>
            <w:r w:rsidRPr="00371588">
              <w:t>tālr. nr.:</w:t>
            </w:r>
            <w:r w:rsidR="007F16FC">
              <w:t> </w:t>
            </w:r>
            <w:r w:rsidRPr="00371588">
              <w:t>67026516</w:t>
            </w:r>
          </w:p>
        </w:tc>
      </w:tr>
      <w:tr w:rsidR="00196EEE" w:rsidRPr="00371588" w14:paraId="73539531" w14:textId="77777777" w:rsidTr="007F16FC">
        <w:tc>
          <w:tcPr>
            <w:tcW w:w="8268" w:type="dxa"/>
            <w:tcBorders>
              <w:top w:val="single" w:sz="4" w:space="0" w:color="000000"/>
            </w:tcBorders>
          </w:tcPr>
          <w:p w14:paraId="367E448C" w14:textId="57A024D1" w:rsidR="00196EEE" w:rsidRPr="00371588" w:rsidRDefault="007F16FC" w:rsidP="007F16FC">
            <w:pPr>
              <w:jc w:val="center"/>
            </w:pPr>
            <w:r>
              <w:t xml:space="preserve">(tālruņa </w:t>
            </w:r>
            <w:r w:rsidR="00196EEE" w:rsidRPr="00371588">
              <w:t>numurs)</w:t>
            </w:r>
          </w:p>
          <w:p w14:paraId="12E4EC8D" w14:textId="77777777" w:rsidR="00196EEE" w:rsidRPr="00371588" w:rsidRDefault="00196EEE" w:rsidP="007F16FC">
            <w:pPr>
              <w:jc w:val="center"/>
            </w:pPr>
          </w:p>
        </w:tc>
      </w:tr>
      <w:tr w:rsidR="00196EEE" w:rsidRPr="00371588" w14:paraId="61532201" w14:textId="77777777" w:rsidTr="007F16FC">
        <w:tc>
          <w:tcPr>
            <w:tcW w:w="8268" w:type="dxa"/>
            <w:tcBorders>
              <w:bottom w:val="single" w:sz="4" w:space="0" w:color="000000"/>
            </w:tcBorders>
          </w:tcPr>
          <w:p w14:paraId="688F6CF0" w14:textId="6774B602" w:rsidR="00196EEE" w:rsidRPr="00371588" w:rsidRDefault="000A7B5B" w:rsidP="00196EEE">
            <w:pPr>
              <w:jc w:val="center"/>
            </w:pPr>
            <w:r>
              <w:t>K</w:t>
            </w:r>
            <w:r w:rsidR="00196EEE" w:rsidRPr="00371588">
              <w:t>ristine.</w:t>
            </w:r>
            <w:r>
              <w:t>K</w:t>
            </w:r>
            <w:r w:rsidR="00196EEE" w:rsidRPr="00371588">
              <w:t>azerovska@varam.gov.lv</w:t>
            </w:r>
          </w:p>
        </w:tc>
      </w:tr>
      <w:tr w:rsidR="00196EEE" w:rsidRPr="00371588" w14:paraId="08E4C3C2" w14:textId="77777777" w:rsidTr="007F16FC">
        <w:tc>
          <w:tcPr>
            <w:tcW w:w="8268" w:type="dxa"/>
            <w:tcBorders>
              <w:top w:val="single" w:sz="4" w:space="0" w:color="000000"/>
            </w:tcBorders>
          </w:tcPr>
          <w:p w14:paraId="4D4C7301" w14:textId="77777777" w:rsidR="00196EEE" w:rsidRPr="00371588" w:rsidRDefault="00196EEE" w:rsidP="007F16FC">
            <w:pPr>
              <w:jc w:val="center"/>
            </w:pPr>
            <w:r w:rsidRPr="00371588">
              <w:t>(e-pasta adrese)</w:t>
            </w:r>
          </w:p>
        </w:tc>
      </w:tr>
    </w:tbl>
    <w:p w14:paraId="0D788833" w14:textId="77777777" w:rsidR="004C332C" w:rsidRPr="00371588" w:rsidRDefault="004C332C" w:rsidP="000A531F">
      <w:pPr>
        <w:jc w:val="both"/>
        <w:rPr>
          <w:sz w:val="20"/>
          <w:szCs w:val="20"/>
        </w:rPr>
      </w:pPr>
    </w:p>
    <w:sectPr w:rsidR="004C332C" w:rsidRPr="00371588" w:rsidSect="007F16FC">
      <w:headerReference w:type="even" r:id="rId10"/>
      <w:headerReference w:type="default" r:id="rId11"/>
      <w:footerReference w:type="default" r:id="rId12"/>
      <w:footerReference w:type="first" r:id="rId13"/>
      <w:pgSz w:w="16838" w:h="11906" w:orient="landscape"/>
      <w:pgMar w:top="1438" w:right="1440" w:bottom="1438" w:left="1440"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3A23042" w16cid:durableId="52A9099D"/>
  <w16cid:commentId w16cid:paraId="3C385454" w16cid:durableId="61420ED0"/>
  <w16cid:commentId w16cid:paraId="435AAC3D" w16cid:durableId="05DE1C96"/>
  <w16cid:commentId w16cid:paraId="4EC7F8E3" w16cid:durableId="406D5428"/>
  <w16cid:commentId w16cid:paraId="29459681" w16cid:durableId="119FC038"/>
  <w16cid:commentId w16cid:paraId="3BC3EAF7" w16cid:durableId="77B70A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25FC" w14:textId="77777777" w:rsidR="007F16FC" w:rsidRDefault="007F16FC" w:rsidP="000A531F">
      <w:r>
        <w:separator/>
      </w:r>
    </w:p>
  </w:endnote>
  <w:endnote w:type="continuationSeparator" w:id="0">
    <w:p w14:paraId="447E38FB" w14:textId="77777777" w:rsidR="007F16FC" w:rsidRDefault="007F16FC" w:rsidP="000A531F">
      <w:r>
        <w:continuationSeparator/>
      </w:r>
    </w:p>
  </w:endnote>
  <w:endnote w:type="continuationNotice" w:id="1">
    <w:p w14:paraId="342702F7" w14:textId="77777777" w:rsidR="00DA2C52" w:rsidRDefault="00DA2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C159" w14:textId="20854038" w:rsidR="007F16FC" w:rsidRPr="007F16FC" w:rsidRDefault="007F16FC" w:rsidP="007F16FC">
    <w:pPr>
      <w:jc w:val="both"/>
      <w:rPr>
        <w:bCs/>
        <w:sz w:val="20"/>
        <w:szCs w:val="20"/>
        <w:lang w:eastAsia="ko-KR"/>
      </w:rPr>
    </w:pPr>
    <w:r>
      <w:rPr>
        <w:bCs/>
        <w:sz w:val="20"/>
        <w:szCs w:val="20"/>
        <w:lang w:eastAsia="ko-KR"/>
      </w:rPr>
      <w:t>VARAMIzz_101019_izgl_kim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09B15" w14:textId="52AE3848" w:rsidR="007F16FC" w:rsidRPr="00CF051F" w:rsidRDefault="007F16FC" w:rsidP="00CF051F">
    <w:pPr>
      <w:jc w:val="both"/>
      <w:rPr>
        <w:bCs/>
        <w:sz w:val="20"/>
        <w:szCs w:val="20"/>
        <w:lang w:eastAsia="ko-KR"/>
      </w:rPr>
    </w:pPr>
    <w:r>
      <w:rPr>
        <w:bCs/>
        <w:sz w:val="20"/>
        <w:szCs w:val="20"/>
        <w:lang w:eastAsia="ko-KR"/>
      </w:rPr>
      <w:t>VARAMIzz_101019_izgl_kim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3C85" w14:textId="77777777" w:rsidR="007F16FC" w:rsidRDefault="007F16FC" w:rsidP="000A531F">
      <w:r>
        <w:separator/>
      </w:r>
    </w:p>
  </w:footnote>
  <w:footnote w:type="continuationSeparator" w:id="0">
    <w:p w14:paraId="65FBB972" w14:textId="77777777" w:rsidR="007F16FC" w:rsidRDefault="007F16FC" w:rsidP="000A531F">
      <w:r>
        <w:continuationSeparator/>
      </w:r>
    </w:p>
  </w:footnote>
  <w:footnote w:type="continuationNotice" w:id="1">
    <w:p w14:paraId="7A588014" w14:textId="77777777" w:rsidR="00DA2C52" w:rsidRDefault="00DA2C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D9C" w14:textId="77777777" w:rsidR="007F16FC" w:rsidRDefault="007F16FC" w:rsidP="007F16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5FE32" w14:textId="77777777" w:rsidR="007F16FC" w:rsidRDefault="007F1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1FCB" w14:textId="77777777" w:rsidR="007F16FC" w:rsidRDefault="007F16FC" w:rsidP="007F16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E16">
      <w:rPr>
        <w:rStyle w:val="PageNumber"/>
        <w:noProof/>
      </w:rPr>
      <w:t>7</w:t>
    </w:r>
    <w:r>
      <w:rPr>
        <w:rStyle w:val="PageNumber"/>
      </w:rPr>
      <w:fldChar w:fldCharType="end"/>
    </w:r>
  </w:p>
  <w:p w14:paraId="11F96333" w14:textId="77777777" w:rsidR="007F16FC" w:rsidRDefault="007F1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B60D9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D4515"/>
    <w:multiLevelType w:val="hybridMultilevel"/>
    <w:tmpl w:val="4FB67036"/>
    <w:lvl w:ilvl="0" w:tplc="613EF0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B43D13"/>
    <w:multiLevelType w:val="hybridMultilevel"/>
    <w:tmpl w:val="E5EAC866"/>
    <w:lvl w:ilvl="0" w:tplc="EB8AC24E">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67B79DE"/>
    <w:multiLevelType w:val="hybridMultilevel"/>
    <w:tmpl w:val="8FC27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EF682D"/>
    <w:multiLevelType w:val="hybridMultilevel"/>
    <w:tmpl w:val="4ABC5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372047"/>
    <w:multiLevelType w:val="hybridMultilevel"/>
    <w:tmpl w:val="32821D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522999"/>
    <w:multiLevelType w:val="hybridMultilevel"/>
    <w:tmpl w:val="256C2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3" w15:restartNumberingAfterBreak="0">
    <w:nsid w:val="6E770A5A"/>
    <w:multiLevelType w:val="hybridMultilevel"/>
    <w:tmpl w:val="26DC356E"/>
    <w:lvl w:ilvl="0" w:tplc="E73A61E6">
      <w:start w:val="1"/>
      <w:numFmt w:val="decimal"/>
      <w:suff w:val="space"/>
      <w:lvlText w:val="%1."/>
      <w:lvlJc w:val="left"/>
      <w:pPr>
        <w:ind w:left="0" w:firstLine="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0DD15BA"/>
    <w:multiLevelType w:val="multilevel"/>
    <w:tmpl w:val="8E3E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621F26"/>
    <w:multiLevelType w:val="hybridMultilevel"/>
    <w:tmpl w:val="B44405FC"/>
    <w:lvl w:ilvl="0" w:tplc="F10AA54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4C0E7B"/>
    <w:multiLevelType w:val="hybridMultilevel"/>
    <w:tmpl w:val="27403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6"/>
  </w:num>
  <w:num w:numId="7">
    <w:abstractNumId w:val="2"/>
  </w:num>
  <w:num w:numId="8">
    <w:abstractNumId w:val="0"/>
  </w:num>
  <w:num w:numId="9">
    <w:abstractNumId w:val="11"/>
  </w:num>
  <w:num w:numId="10">
    <w:abstractNumId w:val="1"/>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4"/>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1F"/>
    <w:rsid w:val="00002398"/>
    <w:rsid w:val="00007A39"/>
    <w:rsid w:val="000226A5"/>
    <w:rsid w:val="00025F0E"/>
    <w:rsid w:val="00036659"/>
    <w:rsid w:val="000400C2"/>
    <w:rsid w:val="00044F89"/>
    <w:rsid w:val="00054FE8"/>
    <w:rsid w:val="0006523D"/>
    <w:rsid w:val="000826D6"/>
    <w:rsid w:val="000A39DD"/>
    <w:rsid w:val="000A531F"/>
    <w:rsid w:val="000A7B5B"/>
    <w:rsid w:val="000B6D4A"/>
    <w:rsid w:val="000C1828"/>
    <w:rsid w:val="000D437A"/>
    <w:rsid w:val="000D4EBC"/>
    <w:rsid w:val="000D64E2"/>
    <w:rsid w:val="000E063D"/>
    <w:rsid w:val="000F5B82"/>
    <w:rsid w:val="000F75EF"/>
    <w:rsid w:val="00101436"/>
    <w:rsid w:val="00102478"/>
    <w:rsid w:val="00110CFA"/>
    <w:rsid w:val="001201D3"/>
    <w:rsid w:val="00120513"/>
    <w:rsid w:val="0013263E"/>
    <w:rsid w:val="0013486B"/>
    <w:rsid w:val="00134F5B"/>
    <w:rsid w:val="00147E12"/>
    <w:rsid w:val="001535A2"/>
    <w:rsid w:val="00161C98"/>
    <w:rsid w:val="0016507F"/>
    <w:rsid w:val="00167DA4"/>
    <w:rsid w:val="001758DD"/>
    <w:rsid w:val="00185761"/>
    <w:rsid w:val="00185895"/>
    <w:rsid w:val="00185BB1"/>
    <w:rsid w:val="00191230"/>
    <w:rsid w:val="001914B9"/>
    <w:rsid w:val="00196EEE"/>
    <w:rsid w:val="001A216E"/>
    <w:rsid w:val="001A67DB"/>
    <w:rsid w:val="001B03C1"/>
    <w:rsid w:val="001B0C1E"/>
    <w:rsid w:val="001B36DE"/>
    <w:rsid w:val="001B4D43"/>
    <w:rsid w:val="001B4F15"/>
    <w:rsid w:val="001B6B9A"/>
    <w:rsid w:val="001B729A"/>
    <w:rsid w:val="001C1732"/>
    <w:rsid w:val="001D4B43"/>
    <w:rsid w:val="001E1A14"/>
    <w:rsid w:val="001F0FA3"/>
    <w:rsid w:val="001F380D"/>
    <w:rsid w:val="001F5395"/>
    <w:rsid w:val="00212D1C"/>
    <w:rsid w:val="00227B20"/>
    <w:rsid w:val="00230B7D"/>
    <w:rsid w:val="00237CCA"/>
    <w:rsid w:val="002425CC"/>
    <w:rsid w:val="00251198"/>
    <w:rsid w:val="00252790"/>
    <w:rsid w:val="002571A4"/>
    <w:rsid w:val="002621FB"/>
    <w:rsid w:val="00264C2F"/>
    <w:rsid w:val="002707BC"/>
    <w:rsid w:val="00270D5D"/>
    <w:rsid w:val="002710B5"/>
    <w:rsid w:val="00281A6B"/>
    <w:rsid w:val="00281C2E"/>
    <w:rsid w:val="00283C11"/>
    <w:rsid w:val="00284F78"/>
    <w:rsid w:val="002903CF"/>
    <w:rsid w:val="00290A9B"/>
    <w:rsid w:val="00294AD8"/>
    <w:rsid w:val="002A1B5E"/>
    <w:rsid w:val="002C3FE8"/>
    <w:rsid w:val="002D30ED"/>
    <w:rsid w:val="002E39BD"/>
    <w:rsid w:val="002F753C"/>
    <w:rsid w:val="00302611"/>
    <w:rsid w:val="00313BC9"/>
    <w:rsid w:val="003657D6"/>
    <w:rsid w:val="00371588"/>
    <w:rsid w:val="003748AB"/>
    <w:rsid w:val="0037776F"/>
    <w:rsid w:val="0038406D"/>
    <w:rsid w:val="0038429E"/>
    <w:rsid w:val="003848CA"/>
    <w:rsid w:val="003859EB"/>
    <w:rsid w:val="0039489D"/>
    <w:rsid w:val="003A2F11"/>
    <w:rsid w:val="003B0A82"/>
    <w:rsid w:val="003C1E3D"/>
    <w:rsid w:val="003D2373"/>
    <w:rsid w:val="003D3ECF"/>
    <w:rsid w:val="003E0266"/>
    <w:rsid w:val="003E112E"/>
    <w:rsid w:val="003F44FD"/>
    <w:rsid w:val="003F67B6"/>
    <w:rsid w:val="004021B9"/>
    <w:rsid w:val="00405454"/>
    <w:rsid w:val="0041482A"/>
    <w:rsid w:val="00417F60"/>
    <w:rsid w:val="00421540"/>
    <w:rsid w:val="004227B4"/>
    <w:rsid w:val="00434E76"/>
    <w:rsid w:val="004401DB"/>
    <w:rsid w:val="0044280F"/>
    <w:rsid w:val="00447FFB"/>
    <w:rsid w:val="00452567"/>
    <w:rsid w:val="00452E1D"/>
    <w:rsid w:val="00456B92"/>
    <w:rsid w:val="00457251"/>
    <w:rsid w:val="00457893"/>
    <w:rsid w:val="00460F2C"/>
    <w:rsid w:val="004615D6"/>
    <w:rsid w:val="0046705B"/>
    <w:rsid w:val="00467813"/>
    <w:rsid w:val="00474825"/>
    <w:rsid w:val="00476BE9"/>
    <w:rsid w:val="00482746"/>
    <w:rsid w:val="00483870"/>
    <w:rsid w:val="00485BEE"/>
    <w:rsid w:val="00486CEF"/>
    <w:rsid w:val="004911C0"/>
    <w:rsid w:val="004A3325"/>
    <w:rsid w:val="004A3BC3"/>
    <w:rsid w:val="004A483E"/>
    <w:rsid w:val="004B1F71"/>
    <w:rsid w:val="004B4A96"/>
    <w:rsid w:val="004C2F02"/>
    <w:rsid w:val="004C332C"/>
    <w:rsid w:val="004C4960"/>
    <w:rsid w:val="004D1569"/>
    <w:rsid w:val="004D362F"/>
    <w:rsid w:val="004E0AEA"/>
    <w:rsid w:val="004E2E1C"/>
    <w:rsid w:val="004E5E34"/>
    <w:rsid w:val="004F47FC"/>
    <w:rsid w:val="004F565F"/>
    <w:rsid w:val="004F65A9"/>
    <w:rsid w:val="004F7FBB"/>
    <w:rsid w:val="005023AC"/>
    <w:rsid w:val="005107C9"/>
    <w:rsid w:val="005113F4"/>
    <w:rsid w:val="00511A74"/>
    <w:rsid w:val="00523477"/>
    <w:rsid w:val="005250AD"/>
    <w:rsid w:val="00530C74"/>
    <w:rsid w:val="0053729A"/>
    <w:rsid w:val="00542631"/>
    <w:rsid w:val="00546049"/>
    <w:rsid w:val="00562EF2"/>
    <w:rsid w:val="00581364"/>
    <w:rsid w:val="005A0464"/>
    <w:rsid w:val="005A45C2"/>
    <w:rsid w:val="005A4608"/>
    <w:rsid w:val="005A5CE7"/>
    <w:rsid w:val="005B5C10"/>
    <w:rsid w:val="005C28F5"/>
    <w:rsid w:val="005D2E6D"/>
    <w:rsid w:val="005D403F"/>
    <w:rsid w:val="005E344F"/>
    <w:rsid w:val="005F07E7"/>
    <w:rsid w:val="005F3723"/>
    <w:rsid w:val="005F437F"/>
    <w:rsid w:val="005F4B79"/>
    <w:rsid w:val="00601285"/>
    <w:rsid w:val="00602FC3"/>
    <w:rsid w:val="006037FB"/>
    <w:rsid w:val="00606571"/>
    <w:rsid w:val="00613483"/>
    <w:rsid w:val="00613D45"/>
    <w:rsid w:val="006147C9"/>
    <w:rsid w:val="006173FD"/>
    <w:rsid w:val="00617EB2"/>
    <w:rsid w:val="00620A19"/>
    <w:rsid w:val="00625D42"/>
    <w:rsid w:val="00632CC6"/>
    <w:rsid w:val="006404DA"/>
    <w:rsid w:val="006421BF"/>
    <w:rsid w:val="006630CC"/>
    <w:rsid w:val="00675FCC"/>
    <w:rsid w:val="00682FD1"/>
    <w:rsid w:val="006854E4"/>
    <w:rsid w:val="00693260"/>
    <w:rsid w:val="006A7FBD"/>
    <w:rsid w:val="006B04E7"/>
    <w:rsid w:val="006C196E"/>
    <w:rsid w:val="006C3195"/>
    <w:rsid w:val="006C703C"/>
    <w:rsid w:val="006D534A"/>
    <w:rsid w:val="006F5359"/>
    <w:rsid w:val="006F702B"/>
    <w:rsid w:val="007030D1"/>
    <w:rsid w:val="00705631"/>
    <w:rsid w:val="00705DBC"/>
    <w:rsid w:val="00712958"/>
    <w:rsid w:val="00716D77"/>
    <w:rsid w:val="007210AF"/>
    <w:rsid w:val="0072704D"/>
    <w:rsid w:val="0074595F"/>
    <w:rsid w:val="00745E51"/>
    <w:rsid w:val="00750089"/>
    <w:rsid w:val="00761A24"/>
    <w:rsid w:val="007621AC"/>
    <w:rsid w:val="00770AD8"/>
    <w:rsid w:val="00777983"/>
    <w:rsid w:val="0078264A"/>
    <w:rsid w:val="00783E6E"/>
    <w:rsid w:val="00794030"/>
    <w:rsid w:val="007A38FD"/>
    <w:rsid w:val="007A6A63"/>
    <w:rsid w:val="007C24D1"/>
    <w:rsid w:val="007D1A15"/>
    <w:rsid w:val="007D3819"/>
    <w:rsid w:val="007E3D6E"/>
    <w:rsid w:val="007E6055"/>
    <w:rsid w:val="007E7A02"/>
    <w:rsid w:val="007F01CB"/>
    <w:rsid w:val="007F16FC"/>
    <w:rsid w:val="007F39E0"/>
    <w:rsid w:val="007F5214"/>
    <w:rsid w:val="0080163F"/>
    <w:rsid w:val="00803BC8"/>
    <w:rsid w:val="00804B1D"/>
    <w:rsid w:val="00811CF3"/>
    <w:rsid w:val="008275EF"/>
    <w:rsid w:val="00831266"/>
    <w:rsid w:val="00840AC1"/>
    <w:rsid w:val="00845C31"/>
    <w:rsid w:val="00850727"/>
    <w:rsid w:val="00857BEB"/>
    <w:rsid w:val="008655DA"/>
    <w:rsid w:val="00865CAC"/>
    <w:rsid w:val="00870B38"/>
    <w:rsid w:val="0087276F"/>
    <w:rsid w:val="008824BD"/>
    <w:rsid w:val="008841ED"/>
    <w:rsid w:val="00887A13"/>
    <w:rsid w:val="00892943"/>
    <w:rsid w:val="008973CB"/>
    <w:rsid w:val="008A3BA3"/>
    <w:rsid w:val="008B1CF5"/>
    <w:rsid w:val="008C2198"/>
    <w:rsid w:val="008C36CC"/>
    <w:rsid w:val="008C4B72"/>
    <w:rsid w:val="008C7596"/>
    <w:rsid w:val="008D04D3"/>
    <w:rsid w:val="008D3595"/>
    <w:rsid w:val="008D74D3"/>
    <w:rsid w:val="008D7795"/>
    <w:rsid w:val="008E0F6F"/>
    <w:rsid w:val="008E5699"/>
    <w:rsid w:val="008F7246"/>
    <w:rsid w:val="0090000D"/>
    <w:rsid w:val="009110ED"/>
    <w:rsid w:val="00930695"/>
    <w:rsid w:val="0093162D"/>
    <w:rsid w:val="009375E7"/>
    <w:rsid w:val="00940E87"/>
    <w:rsid w:val="0095422F"/>
    <w:rsid w:val="0095734B"/>
    <w:rsid w:val="009637BC"/>
    <w:rsid w:val="009702A1"/>
    <w:rsid w:val="00971B02"/>
    <w:rsid w:val="00974FA1"/>
    <w:rsid w:val="00977DFB"/>
    <w:rsid w:val="0098513E"/>
    <w:rsid w:val="00985C29"/>
    <w:rsid w:val="00995CD2"/>
    <w:rsid w:val="009A0032"/>
    <w:rsid w:val="009B1EEA"/>
    <w:rsid w:val="009B36E2"/>
    <w:rsid w:val="009C1960"/>
    <w:rsid w:val="009C7974"/>
    <w:rsid w:val="009D25BC"/>
    <w:rsid w:val="009D295E"/>
    <w:rsid w:val="009D6A37"/>
    <w:rsid w:val="009D6B36"/>
    <w:rsid w:val="009D7D8E"/>
    <w:rsid w:val="009E356F"/>
    <w:rsid w:val="009E765A"/>
    <w:rsid w:val="009F0A10"/>
    <w:rsid w:val="009F7A0C"/>
    <w:rsid w:val="009F7E9F"/>
    <w:rsid w:val="00A12079"/>
    <w:rsid w:val="00A21186"/>
    <w:rsid w:val="00A31A6E"/>
    <w:rsid w:val="00A34347"/>
    <w:rsid w:val="00A34C31"/>
    <w:rsid w:val="00A36F3C"/>
    <w:rsid w:val="00A67E47"/>
    <w:rsid w:val="00A721D1"/>
    <w:rsid w:val="00A86E54"/>
    <w:rsid w:val="00AA30C8"/>
    <w:rsid w:val="00AA3C61"/>
    <w:rsid w:val="00AA6CE9"/>
    <w:rsid w:val="00AB1F69"/>
    <w:rsid w:val="00AB2D31"/>
    <w:rsid w:val="00AC59EC"/>
    <w:rsid w:val="00AD080E"/>
    <w:rsid w:val="00AF7C82"/>
    <w:rsid w:val="00B13F24"/>
    <w:rsid w:val="00B440BA"/>
    <w:rsid w:val="00B44F89"/>
    <w:rsid w:val="00B47869"/>
    <w:rsid w:val="00B623BC"/>
    <w:rsid w:val="00B641E0"/>
    <w:rsid w:val="00B77DA9"/>
    <w:rsid w:val="00B8032B"/>
    <w:rsid w:val="00B841E5"/>
    <w:rsid w:val="00B87422"/>
    <w:rsid w:val="00B93C32"/>
    <w:rsid w:val="00BA0A6B"/>
    <w:rsid w:val="00BA5B5C"/>
    <w:rsid w:val="00BB1461"/>
    <w:rsid w:val="00BB23CC"/>
    <w:rsid w:val="00BB5CE6"/>
    <w:rsid w:val="00BC0E1F"/>
    <w:rsid w:val="00BC4967"/>
    <w:rsid w:val="00BE26A8"/>
    <w:rsid w:val="00BE5546"/>
    <w:rsid w:val="00BF1B43"/>
    <w:rsid w:val="00BF56C6"/>
    <w:rsid w:val="00BF6398"/>
    <w:rsid w:val="00BF7E77"/>
    <w:rsid w:val="00C10334"/>
    <w:rsid w:val="00C16A76"/>
    <w:rsid w:val="00C16BDF"/>
    <w:rsid w:val="00C17ABB"/>
    <w:rsid w:val="00C20100"/>
    <w:rsid w:val="00C24317"/>
    <w:rsid w:val="00C263B2"/>
    <w:rsid w:val="00C27578"/>
    <w:rsid w:val="00C319A3"/>
    <w:rsid w:val="00C50CA6"/>
    <w:rsid w:val="00C52DFA"/>
    <w:rsid w:val="00C549F2"/>
    <w:rsid w:val="00C567D8"/>
    <w:rsid w:val="00C60534"/>
    <w:rsid w:val="00C70060"/>
    <w:rsid w:val="00C73711"/>
    <w:rsid w:val="00C759D4"/>
    <w:rsid w:val="00C80664"/>
    <w:rsid w:val="00C80A32"/>
    <w:rsid w:val="00C85E6E"/>
    <w:rsid w:val="00C86642"/>
    <w:rsid w:val="00C93BFD"/>
    <w:rsid w:val="00CB016A"/>
    <w:rsid w:val="00CB61B3"/>
    <w:rsid w:val="00CC5295"/>
    <w:rsid w:val="00CD3D34"/>
    <w:rsid w:val="00CD59D2"/>
    <w:rsid w:val="00CE0B71"/>
    <w:rsid w:val="00CE574F"/>
    <w:rsid w:val="00CE6807"/>
    <w:rsid w:val="00CF051F"/>
    <w:rsid w:val="00CF228A"/>
    <w:rsid w:val="00CF29E2"/>
    <w:rsid w:val="00CF6F6A"/>
    <w:rsid w:val="00CF7598"/>
    <w:rsid w:val="00D17B1F"/>
    <w:rsid w:val="00D2267D"/>
    <w:rsid w:val="00D244BD"/>
    <w:rsid w:val="00D36992"/>
    <w:rsid w:val="00D40D7D"/>
    <w:rsid w:val="00D56DC4"/>
    <w:rsid w:val="00D6413A"/>
    <w:rsid w:val="00D66F4C"/>
    <w:rsid w:val="00D70B41"/>
    <w:rsid w:val="00D836ED"/>
    <w:rsid w:val="00D84BD2"/>
    <w:rsid w:val="00D92F94"/>
    <w:rsid w:val="00D957E6"/>
    <w:rsid w:val="00D95CB0"/>
    <w:rsid w:val="00DA2C52"/>
    <w:rsid w:val="00DA2FA4"/>
    <w:rsid w:val="00DA3496"/>
    <w:rsid w:val="00DA5A2A"/>
    <w:rsid w:val="00DA6FFD"/>
    <w:rsid w:val="00DB2B70"/>
    <w:rsid w:val="00DC28A7"/>
    <w:rsid w:val="00DC7A54"/>
    <w:rsid w:val="00DF3A83"/>
    <w:rsid w:val="00DF3EEC"/>
    <w:rsid w:val="00DF59E7"/>
    <w:rsid w:val="00DF5CFC"/>
    <w:rsid w:val="00E01F2D"/>
    <w:rsid w:val="00E064A2"/>
    <w:rsid w:val="00E13779"/>
    <w:rsid w:val="00E15A76"/>
    <w:rsid w:val="00E23947"/>
    <w:rsid w:val="00E51EB0"/>
    <w:rsid w:val="00E659E5"/>
    <w:rsid w:val="00E65AF3"/>
    <w:rsid w:val="00E765F7"/>
    <w:rsid w:val="00E7682C"/>
    <w:rsid w:val="00E83435"/>
    <w:rsid w:val="00E90C3C"/>
    <w:rsid w:val="00E9372F"/>
    <w:rsid w:val="00E97C36"/>
    <w:rsid w:val="00EA0FF1"/>
    <w:rsid w:val="00EA19C2"/>
    <w:rsid w:val="00EA35D7"/>
    <w:rsid w:val="00EA3FDF"/>
    <w:rsid w:val="00EA4FB1"/>
    <w:rsid w:val="00EA5070"/>
    <w:rsid w:val="00EA671E"/>
    <w:rsid w:val="00ED020A"/>
    <w:rsid w:val="00ED6F60"/>
    <w:rsid w:val="00ED6F7D"/>
    <w:rsid w:val="00EE0A85"/>
    <w:rsid w:val="00EE57C5"/>
    <w:rsid w:val="00EE6E16"/>
    <w:rsid w:val="00EF0B8D"/>
    <w:rsid w:val="00EF21E1"/>
    <w:rsid w:val="00F00E1B"/>
    <w:rsid w:val="00F03E64"/>
    <w:rsid w:val="00F07B97"/>
    <w:rsid w:val="00F21F58"/>
    <w:rsid w:val="00F25974"/>
    <w:rsid w:val="00F32567"/>
    <w:rsid w:val="00F472DC"/>
    <w:rsid w:val="00F5086B"/>
    <w:rsid w:val="00F6740A"/>
    <w:rsid w:val="00F72633"/>
    <w:rsid w:val="00F77C0F"/>
    <w:rsid w:val="00F81962"/>
    <w:rsid w:val="00F90E24"/>
    <w:rsid w:val="00FA1E64"/>
    <w:rsid w:val="00FB0795"/>
    <w:rsid w:val="00FC00C8"/>
    <w:rsid w:val="00FC456A"/>
    <w:rsid w:val="00FC51C5"/>
    <w:rsid w:val="00FE5A22"/>
    <w:rsid w:val="00FF2261"/>
    <w:rsid w:val="06F17AE0"/>
    <w:rsid w:val="2F7A6562"/>
    <w:rsid w:val="3B3E34CB"/>
    <w:rsid w:val="50E398DA"/>
    <w:rsid w:val="518785F8"/>
    <w:rsid w:val="644C8B93"/>
    <w:rsid w:val="7049A5C2"/>
    <w:rsid w:val="78201E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91F1A9"/>
  <w15:docId w15:val="{36611D52-670C-4900-B4FA-4E728198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9"/>
    <w:unhideWhenUsed/>
    <w:qFormat/>
    <w:rsid w:val="00230B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D957E6"/>
    <w:pPr>
      <w:spacing w:after="120"/>
    </w:pPr>
  </w:style>
  <w:style w:type="character" w:customStyle="1" w:styleId="BodyTextChar">
    <w:name w:val="Body Text Char"/>
    <w:basedOn w:val="DefaultParagraphFont"/>
    <w:link w:val="BodyText"/>
    <w:uiPriority w:val="99"/>
    <w:rsid w:val="00D957E6"/>
    <w:rPr>
      <w:rFonts w:eastAsia="Times New Roman" w:cs="Times New Roman"/>
      <w:sz w:val="24"/>
      <w:szCs w:val="24"/>
      <w:lang w:eastAsia="lv-LV"/>
    </w:rPr>
  </w:style>
  <w:style w:type="paragraph" w:styleId="NoSpacing">
    <w:name w:val="No Spacing"/>
    <w:link w:val="NoSpacingChar"/>
    <w:uiPriority w:val="1"/>
    <w:qFormat/>
    <w:rsid w:val="00C567D8"/>
    <w:pPr>
      <w:spacing w:after="0" w:line="240" w:lineRule="auto"/>
    </w:pPr>
    <w:rPr>
      <w:rFonts w:asciiTheme="minorHAnsi" w:hAnsiTheme="minorHAnsi"/>
      <w:sz w:val="22"/>
    </w:rPr>
  </w:style>
  <w:style w:type="character" w:styleId="Hyperlink">
    <w:name w:val="Hyperlink"/>
    <w:basedOn w:val="DefaultParagraphFont"/>
    <w:unhideWhenUsed/>
    <w:rsid w:val="00102478"/>
    <w:rPr>
      <w:color w:val="0000FF" w:themeColor="hyperlink"/>
      <w:u w:val="single"/>
    </w:rPr>
  </w:style>
  <w:style w:type="paragraph" w:styleId="CommentText">
    <w:name w:val="annotation text"/>
    <w:basedOn w:val="Normal"/>
    <w:link w:val="CommentTextChar"/>
    <w:uiPriority w:val="99"/>
    <w:unhideWhenUsed/>
    <w:rsid w:val="00227B20"/>
    <w:rPr>
      <w:sz w:val="20"/>
      <w:szCs w:val="20"/>
    </w:rPr>
  </w:style>
  <w:style w:type="character" w:customStyle="1" w:styleId="CommentTextChar">
    <w:name w:val="Comment Text Char"/>
    <w:basedOn w:val="DefaultParagraphFont"/>
    <w:link w:val="CommentText"/>
    <w:uiPriority w:val="99"/>
    <w:rsid w:val="00227B2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27B20"/>
    <w:rPr>
      <w:b/>
      <w:bCs/>
    </w:rPr>
  </w:style>
  <w:style w:type="character" w:customStyle="1" w:styleId="CommentSubjectChar">
    <w:name w:val="Comment Subject Char"/>
    <w:basedOn w:val="CommentTextChar"/>
    <w:link w:val="CommentSubject"/>
    <w:uiPriority w:val="99"/>
    <w:semiHidden/>
    <w:rsid w:val="00227B20"/>
    <w:rPr>
      <w:rFonts w:eastAsia="Times New Roman" w:cs="Times New Roman"/>
      <w:b/>
      <w:bCs/>
      <w:sz w:val="20"/>
      <w:szCs w:val="20"/>
      <w:lang w:eastAsia="lv-LV"/>
    </w:rPr>
  </w:style>
  <w:style w:type="paragraph" w:styleId="NormalWeb">
    <w:name w:val="Normal (Web)"/>
    <w:basedOn w:val="Normal"/>
    <w:uiPriority w:val="99"/>
    <w:rsid w:val="001B36DE"/>
    <w:pPr>
      <w:spacing w:before="75" w:after="75"/>
    </w:pPr>
  </w:style>
  <w:style w:type="character" w:styleId="Emphasis">
    <w:name w:val="Emphasis"/>
    <w:qFormat/>
    <w:rsid w:val="0016507F"/>
    <w:rPr>
      <w:i/>
      <w:iCs/>
    </w:rPr>
  </w:style>
  <w:style w:type="character" w:customStyle="1" w:styleId="Heading3Char">
    <w:name w:val="Heading 3 Char"/>
    <w:basedOn w:val="DefaultParagraphFont"/>
    <w:link w:val="Heading3"/>
    <w:uiPriority w:val="99"/>
    <w:rsid w:val="00230B7D"/>
    <w:rPr>
      <w:rFonts w:eastAsia="Times New Roman" w:cs="Times New Roman"/>
      <w:b/>
      <w:bCs/>
      <w:sz w:val="27"/>
      <w:szCs w:val="27"/>
      <w:lang w:eastAsia="lv-LV"/>
    </w:rPr>
  </w:style>
  <w:style w:type="paragraph" w:customStyle="1" w:styleId="naiskr">
    <w:name w:val="naiskr"/>
    <w:basedOn w:val="Normal"/>
    <w:rsid w:val="00B623BC"/>
    <w:pPr>
      <w:spacing w:before="75" w:after="75"/>
    </w:pPr>
  </w:style>
  <w:style w:type="paragraph" w:customStyle="1" w:styleId="naisc">
    <w:name w:val="naisc"/>
    <w:basedOn w:val="Normal"/>
    <w:rsid w:val="00B623BC"/>
    <w:pPr>
      <w:spacing w:before="75" w:after="75"/>
      <w:jc w:val="center"/>
    </w:pPr>
  </w:style>
  <w:style w:type="paragraph" w:customStyle="1" w:styleId="paragraph">
    <w:name w:val="paragraph"/>
    <w:basedOn w:val="Normal"/>
    <w:rsid w:val="007E7A02"/>
    <w:pPr>
      <w:spacing w:before="100" w:beforeAutospacing="1" w:after="100" w:afterAutospacing="1"/>
    </w:pPr>
  </w:style>
  <w:style w:type="character" w:customStyle="1" w:styleId="normaltextrun">
    <w:name w:val="normaltextrun"/>
    <w:basedOn w:val="DefaultParagraphFont"/>
    <w:rsid w:val="007E7A02"/>
  </w:style>
  <w:style w:type="character" w:customStyle="1" w:styleId="eop">
    <w:name w:val="eop"/>
    <w:basedOn w:val="DefaultParagraphFont"/>
    <w:rsid w:val="007E7A02"/>
  </w:style>
  <w:style w:type="character" w:customStyle="1" w:styleId="NoSpacingChar">
    <w:name w:val="No Spacing Char"/>
    <w:link w:val="NoSpacing"/>
    <w:uiPriority w:val="1"/>
    <w:rsid w:val="005E344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754">
      <w:bodyDiv w:val="1"/>
      <w:marLeft w:val="0"/>
      <w:marRight w:val="0"/>
      <w:marTop w:val="0"/>
      <w:marBottom w:val="0"/>
      <w:divBdr>
        <w:top w:val="none" w:sz="0" w:space="0" w:color="auto"/>
        <w:left w:val="none" w:sz="0" w:space="0" w:color="auto"/>
        <w:bottom w:val="none" w:sz="0" w:space="0" w:color="auto"/>
        <w:right w:val="none" w:sz="0" w:space="0" w:color="auto"/>
      </w:divBdr>
    </w:div>
    <w:div w:id="93550959">
      <w:bodyDiv w:val="1"/>
      <w:marLeft w:val="0"/>
      <w:marRight w:val="0"/>
      <w:marTop w:val="0"/>
      <w:marBottom w:val="0"/>
      <w:divBdr>
        <w:top w:val="none" w:sz="0" w:space="0" w:color="auto"/>
        <w:left w:val="none" w:sz="0" w:space="0" w:color="auto"/>
        <w:bottom w:val="none" w:sz="0" w:space="0" w:color="auto"/>
        <w:right w:val="none" w:sz="0" w:space="0" w:color="auto"/>
      </w:divBdr>
    </w:div>
    <w:div w:id="120002774">
      <w:bodyDiv w:val="1"/>
      <w:marLeft w:val="0"/>
      <w:marRight w:val="0"/>
      <w:marTop w:val="0"/>
      <w:marBottom w:val="0"/>
      <w:divBdr>
        <w:top w:val="none" w:sz="0" w:space="0" w:color="auto"/>
        <w:left w:val="none" w:sz="0" w:space="0" w:color="auto"/>
        <w:bottom w:val="none" w:sz="0" w:space="0" w:color="auto"/>
        <w:right w:val="none" w:sz="0" w:space="0" w:color="auto"/>
      </w:divBdr>
    </w:div>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315331953">
      <w:bodyDiv w:val="1"/>
      <w:marLeft w:val="0"/>
      <w:marRight w:val="0"/>
      <w:marTop w:val="0"/>
      <w:marBottom w:val="0"/>
      <w:divBdr>
        <w:top w:val="none" w:sz="0" w:space="0" w:color="auto"/>
        <w:left w:val="none" w:sz="0" w:space="0" w:color="auto"/>
        <w:bottom w:val="none" w:sz="0" w:space="0" w:color="auto"/>
        <w:right w:val="none" w:sz="0" w:space="0" w:color="auto"/>
      </w:divBdr>
      <w:divsChild>
        <w:div w:id="1000157037">
          <w:marLeft w:val="0"/>
          <w:marRight w:val="0"/>
          <w:marTop w:val="0"/>
          <w:marBottom w:val="0"/>
          <w:divBdr>
            <w:top w:val="none" w:sz="0" w:space="0" w:color="auto"/>
            <w:left w:val="none" w:sz="0" w:space="0" w:color="auto"/>
            <w:bottom w:val="none" w:sz="0" w:space="0" w:color="auto"/>
            <w:right w:val="none" w:sz="0" w:space="0" w:color="auto"/>
          </w:divBdr>
        </w:div>
        <w:div w:id="22554982">
          <w:marLeft w:val="0"/>
          <w:marRight w:val="0"/>
          <w:marTop w:val="0"/>
          <w:marBottom w:val="0"/>
          <w:divBdr>
            <w:top w:val="none" w:sz="0" w:space="0" w:color="auto"/>
            <w:left w:val="none" w:sz="0" w:space="0" w:color="auto"/>
            <w:bottom w:val="none" w:sz="0" w:space="0" w:color="auto"/>
            <w:right w:val="none" w:sz="0" w:space="0" w:color="auto"/>
          </w:divBdr>
        </w:div>
      </w:divsChild>
    </w:div>
    <w:div w:id="1317416259">
      <w:bodyDiv w:val="1"/>
      <w:marLeft w:val="0"/>
      <w:marRight w:val="0"/>
      <w:marTop w:val="0"/>
      <w:marBottom w:val="0"/>
      <w:divBdr>
        <w:top w:val="none" w:sz="0" w:space="0" w:color="auto"/>
        <w:left w:val="none" w:sz="0" w:space="0" w:color="auto"/>
        <w:bottom w:val="none" w:sz="0" w:space="0" w:color="auto"/>
        <w:right w:val="none" w:sz="0" w:space="0" w:color="auto"/>
      </w:divBdr>
    </w:div>
    <w:div w:id="1612929767">
      <w:bodyDiv w:val="1"/>
      <w:marLeft w:val="0"/>
      <w:marRight w:val="0"/>
      <w:marTop w:val="0"/>
      <w:marBottom w:val="0"/>
      <w:divBdr>
        <w:top w:val="none" w:sz="0" w:space="0" w:color="auto"/>
        <w:left w:val="none" w:sz="0" w:space="0" w:color="auto"/>
        <w:bottom w:val="none" w:sz="0" w:space="0" w:color="auto"/>
        <w:right w:val="none" w:sz="0" w:space="0" w:color="auto"/>
      </w:divBdr>
    </w:div>
    <w:div w:id="1635451793">
      <w:bodyDiv w:val="1"/>
      <w:marLeft w:val="0"/>
      <w:marRight w:val="0"/>
      <w:marTop w:val="0"/>
      <w:marBottom w:val="0"/>
      <w:divBdr>
        <w:top w:val="none" w:sz="0" w:space="0" w:color="auto"/>
        <w:left w:val="none" w:sz="0" w:space="0" w:color="auto"/>
        <w:bottom w:val="none" w:sz="0" w:space="0" w:color="auto"/>
        <w:right w:val="none" w:sz="0" w:space="0" w:color="auto"/>
      </w:divBdr>
    </w:div>
    <w:div w:id="1796678379">
      <w:bodyDiv w:val="1"/>
      <w:marLeft w:val="0"/>
      <w:marRight w:val="0"/>
      <w:marTop w:val="0"/>
      <w:marBottom w:val="0"/>
      <w:divBdr>
        <w:top w:val="none" w:sz="0" w:space="0" w:color="auto"/>
        <w:left w:val="none" w:sz="0" w:space="0" w:color="auto"/>
        <w:bottom w:val="none" w:sz="0" w:space="0" w:color="auto"/>
        <w:right w:val="none" w:sz="0" w:space="0" w:color="auto"/>
      </w:divBdr>
    </w:div>
    <w:div w:id="2063088910">
      <w:bodyDiv w:val="1"/>
      <w:marLeft w:val="0"/>
      <w:marRight w:val="0"/>
      <w:marTop w:val="0"/>
      <w:marBottom w:val="0"/>
      <w:divBdr>
        <w:top w:val="none" w:sz="0" w:space="0" w:color="auto"/>
        <w:left w:val="none" w:sz="0" w:space="0" w:color="auto"/>
        <w:bottom w:val="none" w:sz="0" w:space="0" w:color="auto"/>
        <w:right w:val="none" w:sz="0" w:space="0" w:color="auto"/>
      </w:divBdr>
    </w:div>
    <w:div w:id="21303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045-noteikumi-par-nepieciesamo-izglitibas-limeni-personam-kuras-veic-uznemejdarbibu-ar-kimiskajam-vielam-un-kimiskajiem-produktiem" TargetMode="External"/><Relationship Id="rId13" Type="http://schemas.openxmlformats.org/officeDocument/2006/relationships/footer" Target="footer2.xml"/><Relationship Id="rId3" Type="http://schemas.openxmlformats.org/officeDocument/2006/relationships/styles" Target="styles.xml"/><Relationship Id="Rf27012266e734a68"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doc.php?id=2816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4222-E703-4E57-AB64-0A6873C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3337</Words>
  <Characters>19026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Grozījumi Ministru kabineta 2001. gada 23. oktobra noteikumos Nr. 448 "Noteikumi par nepieciešamo izglītības līmeni personām, kuras veic uzņēmējdarbību ar ķīmiskajām vielām un ķīmiskajiem produktiem"</vt:lpstr>
    </vt:vector>
  </TitlesOfParts>
  <Company>VARAM</Company>
  <LinksUpToDate>false</LinksUpToDate>
  <CharactersWithSpaces>22319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23. oktobra noteikumos Nr. 448 "Noteikumi par nepieciešamo izglītības līmeni personām, kuras veic uzņēmējdarbību ar ķīmiskajām vielām un ķīmiskajiem produktiem"</dc:title>
  <dc:subject>Izziņa</dc:subject>
  <dc:creator>Kristīne Kazerovska</dc:creator>
  <dc:description>Kristīne Kazerovska 67026516
Vides aizsardzības un reģionālās attīstības ministrijas
Vides aizsardzības departamenta
Piesārņojuma novēršanas nodaļas vecākā eksperte
Kristine.Kazerovska@varam.gov.lv</dc:description>
  <cp:lastModifiedBy>Marta Ošleja</cp:lastModifiedBy>
  <cp:revision>5</cp:revision>
  <cp:lastPrinted>2019-06-05T13:10:00Z</cp:lastPrinted>
  <dcterms:created xsi:type="dcterms:W3CDTF">2019-10-09T12:55:00Z</dcterms:created>
  <dcterms:modified xsi:type="dcterms:W3CDTF">2019-10-13T08:31:00Z</dcterms:modified>
  <cp:category>Vides politika</cp:category>
</cp:coreProperties>
</file>