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AD" w:rsidRPr="00D60FA1" w:rsidRDefault="000257AD" w:rsidP="00D60FA1">
      <w:pPr>
        <w:spacing w:after="0"/>
        <w:ind w:firstLine="284"/>
        <w:jc w:val="right"/>
        <w:rPr>
          <w:rFonts w:ascii="Times New Roman" w:hAnsi="Times New Roman"/>
          <w:bCs/>
          <w:sz w:val="24"/>
          <w:szCs w:val="24"/>
          <w:lang w:eastAsia="lv-LV"/>
        </w:rPr>
      </w:pPr>
      <w:bookmarkStart w:id="0" w:name="_GoBack"/>
      <w:bookmarkEnd w:id="0"/>
      <w:r w:rsidRPr="00D60FA1">
        <w:rPr>
          <w:rFonts w:ascii="Times New Roman" w:hAnsi="Times New Roman"/>
          <w:bCs/>
          <w:sz w:val="24"/>
          <w:szCs w:val="24"/>
          <w:lang w:eastAsia="lv-LV"/>
        </w:rPr>
        <w:t>1. pielikums informatīvajam ziņojumam</w:t>
      </w:r>
    </w:p>
    <w:p w:rsidR="000257AD" w:rsidRPr="00D60FA1" w:rsidRDefault="000257AD" w:rsidP="00D60FA1">
      <w:pPr>
        <w:spacing w:after="0"/>
        <w:ind w:firstLine="284"/>
        <w:jc w:val="right"/>
        <w:rPr>
          <w:rFonts w:ascii="Times New Roman" w:hAnsi="Times New Roman"/>
          <w:bCs/>
          <w:sz w:val="24"/>
          <w:szCs w:val="24"/>
          <w:lang w:eastAsia="lv-LV"/>
        </w:rPr>
      </w:pPr>
      <w:r w:rsidRPr="00D60FA1">
        <w:rPr>
          <w:rFonts w:ascii="Times New Roman" w:hAnsi="Times New Roman"/>
          <w:bCs/>
          <w:sz w:val="24"/>
          <w:szCs w:val="24"/>
          <w:lang w:eastAsia="lv-LV"/>
        </w:rPr>
        <w:t>“Par apbedīšanas nozares regulējuma pilnveidošanu</w:t>
      </w:r>
      <w:r w:rsidR="00F60A11">
        <w:rPr>
          <w:rFonts w:ascii="Times New Roman" w:hAnsi="Times New Roman"/>
          <w:bCs/>
          <w:sz w:val="24"/>
          <w:szCs w:val="24"/>
          <w:lang w:eastAsia="lv-LV"/>
        </w:rPr>
        <w:t>”</w:t>
      </w:r>
    </w:p>
    <w:p w:rsidR="00FF0FEB" w:rsidRDefault="00FF0FEB" w:rsidP="00FF0FEB">
      <w:pPr>
        <w:spacing w:after="0"/>
        <w:ind w:firstLine="284"/>
        <w:jc w:val="center"/>
        <w:rPr>
          <w:rFonts w:ascii="Times New Roman" w:hAnsi="Times New Roman"/>
          <w:b/>
          <w:bCs/>
          <w:sz w:val="24"/>
          <w:szCs w:val="24"/>
          <w:lang w:eastAsia="lv-LV"/>
        </w:rPr>
      </w:pPr>
      <w:r w:rsidRPr="00FF0FEB">
        <w:rPr>
          <w:rFonts w:ascii="Times New Roman" w:hAnsi="Times New Roman"/>
          <w:b/>
          <w:bCs/>
          <w:sz w:val="24"/>
          <w:szCs w:val="24"/>
          <w:lang w:eastAsia="lv-LV"/>
        </w:rPr>
        <w:t>Kapsētu un apbedīšanas tiesiskais regulējums Latvijā</w:t>
      </w:r>
    </w:p>
    <w:p w:rsidR="00FF0FEB" w:rsidRPr="00FF0FEB" w:rsidRDefault="00FF0FEB" w:rsidP="00FF0FEB">
      <w:pPr>
        <w:spacing w:after="0"/>
        <w:ind w:firstLine="284"/>
        <w:jc w:val="center"/>
        <w:rPr>
          <w:rFonts w:ascii="Times New Roman" w:hAnsi="Times New Roman"/>
          <w:b/>
          <w:bCs/>
          <w:sz w:val="24"/>
          <w:szCs w:val="24"/>
          <w:lang w:eastAsia="lv-LV"/>
        </w:rPr>
      </w:pPr>
    </w:p>
    <w:tbl>
      <w:tblPr>
        <w:tblStyle w:val="TableGrid"/>
        <w:tblW w:w="0" w:type="auto"/>
        <w:tblLook w:val="04A0" w:firstRow="1" w:lastRow="0" w:firstColumn="1" w:lastColumn="0" w:noHBand="0" w:noVBand="1"/>
      </w:tblPr>
      <w:tblGrid>
        <w:gridCol w:w="803"/>
        <w:gridCol w:w="2503"/>
        <w:gridCol w:w="5755"/>
      </w:tblGrid>
      <w:tr w:rsidR="00FF0FEB" w:rsidRPr="00FF0FEB" w:rsidTr="00947353">
        <w:tc>
          <w:tcPr>
            <w:tcW w:w="803" w:type="dxa"/>
            <w:vAlign w:val="center"/>
          </w:tcPr>
          <w:p w:rsidR="00FF0FEB" w:rsidRPr="00FF0FEB" w:rsidRDefault="00FF0FEB" w:rsidP="00947353">
            <w:pPr>
              <w:spacing w:after="0"/>
              <w:jc w:val="center"/>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Nr. p. k.</w:t>
            </w:r>
          </w:p>
        </w:tc>
        <w:tc>
          <w:tcPr>
            <w:tcW w:w="2503" w:type="dxa"/>
            <w:vAlign w:val="center"/>
          </w:tcPr>
          <w:p w:rsidR="00FF0FEB" w:rsidRPr="00FF0FEB" w:rsidRDefault="00FF0FEB" w:rsidP="00947353">
            <w:pPr>
              <w:spacing w:after="0"/>
              <w:jc w:val="center"/>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Normatīvais akts</w:t>
            </w:r>
          </w:p>
        </w:tc>
        <w:tc>
          <w:tcPr>
            <w:tcW w:w="5755" w:type="dxa"/>
            <w:vAlign w:val="center"/>
          </w:tcPr>
          <w:p w:rsidR="00FF0FEB" w:rsidRPr="00FF0FEB" w:rsidRDefault="00FF0FEB" w:rsidP="00947353">
            <w:pPr>
              <w:spacing w:after="0"/>
              <w:jc w:val="center"/>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Regulējums</w:t>
            </w:r>
          </w:p>
        </w:tc>
      </w:tr>
      <w:tr w:rsidR="00FF0FEB" w:rsidRPr="00FF0FEB" w:rsidTr="00947353">
        <w:tc>
          <w:tcPr>
            <w:tcW w:w="803" w:type="dxa"/>
            <w:vMerge w:val="restart"/>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1.</w:t>
            </w:r>
          </w:p>
        </w:tc>
        <w:tc>
          <w:tcPr>
            <w:tcW w:w="2503" w:type="dxa"/>
            <w:vMerge w:val="restart"/>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Likums “Par pašvaldībām”</w:t>
            </w:r>
          </w:p>
        </w:tc>
        <w:tc>
          <w:tcPr>
            <w:tcW w:w="5755" w:type="dxa"/>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15.</w:t>
            </w:r>
            <w:r w:rsidR="000257AD">
              <w:rPr>
                <w:rFonts w:ascii="Times New Roman" w:hAnsi="Times New Roman"/>
                <w:b/>
                <w:color w:val="000000" w:themeColor="text1"/>
                <w:sz w:val="24"/>
                <w:szCs w:val="24"/>
                <w:lang w:eastAsia="lv-LV"/>
              </w:rPr>
              <w:t> </w:t>
            </w:r>
            <w:r w:rsidRPr="00FF0FEB">
              <w:rPr>
                <w:rFonts w:ascii="Times New Roman" w:hAnsi="Times New Roman"/>
                <w:b/>
                <w:color w:val="000000" w:themeColor="text1"/>
                <w:sz w:val="24"/>
                <w:szCs w:val="24"/>
                <w:lang w:eastAsia="lv-LV"/>
              </w:rPr>
              <w:t>pants.</w:t>
            </w:r>
          </w:p>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2)</w:t>
            </w:r>
            <w:r w:rsidR="000257AD">
              <w:rPr>
                <w:rFonts w:ascii="Times New Roman" w:hAnsi="Times New Roman"/>
                <w:color w:val="000000" w:themeColor="text1"/>
                <w:sz w:val="24"/>
                <w:szCs w:val="24"/>
                <w:lang w:eastAsia="lv-LV"/>
              </w:rPr>
              <w:t> </w:t>
            </w:r>
            <w:r w:rsidRPr="00FF0FEB">
              <w:rPr>
                <w:rFonts w:ascii="Times New Roman" w:hAnsi="Times New Roman"/>
                <w:color w:val="000000" w:themeColor="text1"/>
                <w:sz w:val="24"/>
                <w:szCs w:val="24"/>
                <w:lang w:eastAsia="lv-LV"/>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FF0FEB">
              <w:rPr>
                <w:rFonts w:ascii="Times New Roman" w:hAnsi="Times New Roman"/>
                <w:color w:val="000000" w:themeColor="text1"/>
                <w:sz w:val="24"/>
                <w:szCs w:val="24"/>
                <w:lang w:eastAsia="lv-LV"/>
              </w:rPr>
              <w:t>pretplūdu</w:t>
            </w:r>
            <w:proofErr w:type="spellEnd"/>
            <w:r w:rsidRPr="00FF0FEB">
              <w:rPr>
                <w:rFonts w:ascii="Times New Roman" w:hAnsi="Times New Roman"/>
                <w:color w:val="000000" w:themeColor="text1"/>
                <w:sz w:val="24"/>
                <w:szCs w:val="24"/>
                <w:lang w:eastAsia="lv-LV"/>
              </w:rPr>
              <w:t xml:space="preserve"> pasākumi; kapsētu un beigto dzīvnieku apbedīšanas vietu izveidošana un uzturēšana);</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43.</w:t>
            </w:r>
            <w:r w:rsidR="000257AD">
              <w:rPr>
                <w:rFonts w:ascii="Times New Roman" w:hAnsi="Times New Roman"/>
                <w:b/>
                <w:color w:val="000000" w:themeColor="text1"/>
                <w:sz w:val="24"/>
                <w:szCs w:val="24"/>
                <w:lang w:eastAsia="lv-LV"/>
              </w:rPr>
              <w:t> </w:t>
            </w:r>
            <w:r w:rsidRPr="00FF0FEB">
              <w:rPr>
                <w:rFonts w:ascii="Times New Roman" w:hAnsi="Times New Roman"/>
                <w:b/>
                <w:color w:val="000000" w:themeColor="text1"/>
                <w:sz w:val="24"/>
                <w:szCs w:val="24"/>
                <w:lang w:eastAsia="lv-LV"/>
              </w:rPr>
              <w:t>panta trešā daļa.</w:t>
            </w:r>
          </w:p>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Dome var pieņemt saistošos noteikumus arī, lai nodrošinātu pašvaldības autonomo funkciju un brīvprātīgo iniciatīvu izpildi.</w:t>
            </w:r>
          </w:p>
        </w:tc>
      </w:tr>
      <w:tr w:rsidR="00FF0FEB" w:rsidRPr="00FF0FEB" w:rsidTr="00947353">
        <w:tc>
          <w:tcPr>
            <w:tcW w:w="803" w:type="dxa"/>
            <w:vMerge w:val="restart"/>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2.</w:t>
            </w:r>
          </w:p>
        </w:tc>
        <w:tc>
          <w:tcPr>
            <w:tcW w:w="2503" w:type="dxa"/>
            <w:vMerge w:val="restart"/>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Aizsargjoslu likums</w:t>
            </w:r>
          </w:p>
        </w:tc>
        <w:tc>
          <w:tcPr>
            <w:tcW w:w="5755" w:type="dxa"/>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25.</w:t>
            </w:r>
            <w:r w:rsidR="000257AD">
              <w:rPr>
                <w:rFonts w:ascii="Times New Roman" w:hAnsi="Times New Roman"/>
                <w:b/>
                <w:color w:val="000000" w:themeColor="text1"/>
                <w:sz w:val="24"/>
                <w:szCs w:val="24"/>
                <w:lang w:eastAsia="lv-LV"/>
              </w:rPr>
              <w:t> </w:t>
            </w:r>
            <w:r w:rsidRPr="00FF0FEB">
              <w:rPr>
                <w:rFonts w:ascii="Times New Roman" w:hAnsi="Times New Roman"/>
                <w:b/>
                <w:color w:val="000000" w:themeColor="text1"/>
                <w:sz w:val="24"/>
                <w:szCs w:val="24"/>
                <w:lang w:eastAsia="lv-LV"/>
              </w:rPr>
              <w:t>pants. Aizsargjoslas ap kapsētām</w:t>
            </w:r>
          </w:p>
          <w:p w:rsidR="00FF0FEB" w:rsidRPr="00FF0FEB" w:rsidRDefault="00FF0FEB" w:rsidP="00947353">
            <w:pPr>
              <w:pStyle w:val="tv213"/>
              <w:shd w:val="clear" w:color="auto" w:fill="FFFFFF"/>
              <w:spacing w:before="0" w:beforeAutospacing="0" w:after="0" w:afterAutospacing="0" w:line="293" w:lineRule="atLeast"/>
              <w:jc w:val="both"/>
              <w:rPr>
                <w:rFonts w:eastAsia="Calibri"/>
                <w:color w:val="000000" w:themeColor="text1"/>
                <w:lang w:val="lv-LV" w:eastAsia="lv-LV"/>
              </w:rPr>
            </w:pPr>
            <w:r w:rsidRPr="00FF0FEB">
              <w:rPr>
                <w:rFonts w:eastAsia="Calibri"/>
                <w:color w:val="000000" w:themeColor="text1"/>
                <w:lang w:val="lv-LV" w:eastAsia="lv-LV"/>
              </w:rPr>
              <w:t>(1) Aizsargjoslas ap kapsētām tiek noteiktas, lai nepieļautu tām piegulošo teritoriju sanitāro apstākļu pasliktināšanos.</w:t>
            </w:r>
          </w:p>
          <w:p w:rsidR="00FF0FEB" w:rsidRPr="00FF0FEB" w:rsidRDefault="00FF0FEB" w:rsidP="00947353">
            <w:pPr>
              <w:pStyle w:val="tv213"/>
              <w:shd w:val="clear" w:color="auto" w:fill="FFFFFF"/>
              <w:spacing w:before="0" w:beforeAutospacing="0" w:after="0" w:afterAutospacing="0" w:line="293" w:lineRule="atLeast"/>
              <w:jc w:val="both"/>
              <w:rPr>
                <w:b/>
                <w:color w:val="000000" w:themeColor="text1"/>
                <w:lang w:val="lv-LV" w:eastAsia="lv-LV"/>
              </w:rPr>
            </w:pPr>
            <w:r w:rsidRPr="00FF0FEB">
              <w:rPr>
                <w:rFonts w:eastAsia="Calibri"/>
                <w:color w:val="000000" w:themeColor="text1"/>
                <w:lang w:val="lv-LV" w:eastAsia="lv-LV"/>
              </w:rPr>
              <w:t>(2) Metodikas projektu, pēc kuras nosaka aizsargjoslas ap kapsētām, izstrādā Veselības ministrija.</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spacing w:after="0"/>
              <w:jc w:val="both"/>
              <w:rPr>
                <w:rFonts w:ascii="Times New Roman" w:hAnsi="Times New Roman"/>
                <w:b/>
                <w:bCs/>
                <w:color w:val="000000" w:themeColor="text1"/>
                <w:sz w:val="24"/>
                <w:szCs w:val="24"/>
                <w:shd w:val="clear" w:color="auto" w:fill="FFFFFF"/>
              </w:rPr>
            </w:pPr>
            <w:r w:rsidRPr="00FF0FEB">
              <w:rPr>
                <w:rFonts w:ascii="Times New Roman" w:hAnsi="Times New Roman"/>
                <w:b/>
                <w:bCs/>
                <w:color w:val="000000" w:themeColor="text1"/>
                <w:sz w:val="24"/>
                <w:szCs w:val="24"/>
                <w:shd w:val="clear" w:color="auto" w:fill="FFFFFF"/>
              </w:rPr>
              <w:t>52.</w:t>
            </w:r>
            <w:r w:rsidR="000257AD">
              <w:rPr>
                <w:rFonts w:ascii="Times New Roman" w:hAnsi="Times New Roman"/>
                <w:b/>
                <w:bCs/>
                <w:color w:val="000000" w:themeColor="text1"/>
                <w:sz w:val="24"/>
                <w:szCs w:val="24"/>
                <w:shd w:val="clear" w:color="auto" w:fill="FFFFFF"/>
              </w:rPr>
              <w:t> </w:t>
            </w:r>
            <w:r w:rsidRPr="00FF0FEB">
              <w:rPr>
                <w:rFonts w:ascii="Times New Roman" w:hAnsi="Times New Roman"/>
                <w:b/>
                <w:bCs/>
                <w:color w:val="000000" w:themeColor="text1"/>
                <w:sz w:val="24"/>
                <w:szCs w:val="24"/>
                <w:shd w:val="clear" w:color="auto" w:fill="FFFFFF"/>
              </w:rPr>
              <w:t>pants. Aprobežojumi aizsargjoslās ap kapsētām</w:t>
            </w:r>
          </w:p>
          <w:p w:rsidR="00FF0FEB" w:rsidRPr="00FF0FEB" w:rsidRDefault="00FF0FEB" w:rsidP="00947353">
            <w:pPr>
              <w:pStyle w:val="tv213"/>
              <w:shd w:val="clear" w:color="auto" w:fill="FFFFFF"/>
              <w:spacing w:before="0" w:beforeAutospacing="0" w:after="0" w:afterAutospacing="0" w:line="293" w:lineRule="atLeast"/>
              <w:ind w:firstLine="300"/>
              <w:jc w:val="both"/>
              <w:rPr>
                <w:color w:val="000000" w:themeColor="text1"/>
                <w:lang w:val="lv-LV"/>
              </w:rPr>
            </w:pPr>
            <w:r w:rsidRPr="00FF0FEB">
              <w:rPr>
                <w:color w:val="000000" w:themeColor="text1"/>
                <w:lang w:val="lv-LV"/>
              </w:rPr>
              <w:t>(1) Aizsargjoslās ap kapsētām papildus šā likuma </w:t>
            </w:r>
            <w:hyperlink r:id="rId7" w:anchor="p35" w:history="1">
              <w:r w:rsidRPr="00FF0FEB">
                <w:rPr>
                  <w:rStyle w:val="Hyperlink"/>
                  <w:color w:val="000000" w:themeColor="text1"/>
                  <w:lang w:val="lv-LV"/>
                </w:rPr>
                <w:t>35.pantā</w:t>
              </w:r>
            </w:hyperlink>
            <w:r w:rsidRPr="00FF0FEB">
              <w:rPr>
                <w:color w:val="000000" w:themeColor="text1"/>
                <w:lang w:val="lv-LV"/>
              </w:rPr>
              <w:t> minētajiem aprobežojumiem tiek noteikti šādi aprobežojumi:</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1) aizliegts ierīkot jaunas dzeramā ūdens ņemšanas vietas, izņemot gadījumus, kad ir veikti iespējamās dzeramā ūdens ņemšanas vietas bakterioloģiskās aizsargjoslas aprēķini un konstatēts, ka kvalitatīvu dzeramo ūdeni var nodrošināt, ievērojot aizsargjoslu ap ūdens ņemšanas vietām noteikšanas metodiku;</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2) aizliegts ierīkot atkritumu apglabāšanas poligonus;</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3) aizliegts aizkraut pievedceļus un pieejas kapsētām.</w:t>
            </w:r>
          </w:p>
          <w:p w:rsidR="00FF0FEB" w:rsidRPr="00FF0FEB" w:rsidRDefault="00FF0FEB" w:rsidP="00947353">
            <w:pPr>
              <w:pStyle w:val="tv213"/>
              <w:shd w:val="clear" w:color="auto" w:fill="FFFFFF"/>
              <w:spacing w:before="0" w:beforeAutospacing="0" w:after="0" w:afterAutospacing="0" w:line="293" w:lineRule="atLeast"/>
              <w:ind w:firstLine="300"/>
              <w:jc w:val="both"/>
              <w:rPr>
                <w:color w:val="000000" w:themeColor="text1"/>
                <w:lang w:val="lv-LV"/>
              </w:rPr>
            </w:pPr>
            <w:r w:rsidRPr="00FF0FEB">
              <w:rPr>
                <w:color w:val="000000" w:themeColor="text1"/>
                <w:lang w:val="lv-LV"/>
              </w:rPr>
              <w:t xml:space="preserve">(2) Papildus šajā pantā minētajam pašvaldības teritoriju plānojumos vai </w:t>
            </w:r>
            <w:proofErr w:type="spellStart"/>
            <w:r w:rsidRPr="00FF0FEB">
              <w:rPr>
                <w:color w:val="000000" w:themeColor="text1"/>
                <w:lang w:val="lv-LV"/>
              </w:rPr>
              <w:t>lokālplānojumos</w:t>
            </w:r>
            <w:proofErr w:type="spellEnd"/>
            <w:r w:rsidRPr="00FF0FEB">
              <w:rPr>
                <w:color w:val="000000" w:themeColor="text1"/>
                <w:lang w:val="lv-LV"/>
              </w:rPr>
              <w:t xml:space="preserve"> var noteikt aprobežojumus ētisku apsvērumu dēļ.</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spacing w:after="0"/>
              <w:jc w:val="both"/>
              <w:rPr>
                <w:rFonts w:ascii="Times New Roman" w:hAnsi="Times New Roman"/>
                <w:b/>
                <w:bCs/>
                <w:color w:val="000000" w:themeColor="text1"/>
                <w:sz w:val="24"/>
                <w:szCs w:val="24"/>
                <w:shd w:val="clear" w:color="auto" w:fill="FFFFFF"/>
              </w:rPr>
            </w:pPr>
            <w:r w:rsidRPr="00FF0FEB">
              <w:rPr>
                <w:rFonts w:ascii="Times New Roman" w:hAnsi="Times New Roman"/>
                <w:b/>
                <w:bCs/>
                <w:color w:val="000000" w:themeColor="text1"/>
                <w:sz w:val="24"/>
                <w:szCs w:val="24"/>
                <w:shd w:val="clear" w:color="auto" w:fill="FFFFFF"/>
              </w:rPr>
              <w:t>61.pants. Aizsargjoslu uzturēšana</w:t>
            </w:r>
          </w:p>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 xml:space="preserve">(1) Vides un dabas resursu aizsardzības aizsargjoslas un aizsargjoslas ap kapsētām un gar valsts autoceļiem par </w:t>
            </w:r>
            <w:r w:rsidRPr="00FF0FEB">
              <w:rPr>
                <w:rFonts w:ascii="Times New Roman" w:hAnsi="Times New Roman"/>
                <w:color w:val="000000" w:themeColor="text1"/>
                <w:sz w:val="24"/>
                <w:szCs w:val="24"/>
                <w:shd w:val="clear" w:color="auto" w:fill="FFFFFF"/>
              </w:rPr>
              <w:lastRenderedPageBreak/>
              <w:t>saviem līdzekļiem kārtībā uztur zemes īpašnieks vai tiesiskais valdītājs, ja citos normatīvajos aktos nav noteikts citādi.</w:t>
            </w:r>
          </w:p>
        </w:tc>
      </w:tr>
      <w:tr w:rsidR="00FF0FEB" w:rsidRPr="00FF0FEB" w:rsidTr="00947353">
        <w:tc>
          <w:tcPr>
            <w:tcW w:w="803" w:type="dxa"/>
            <w:vMerge w:val="restart"/>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lastRenderedPageBreak/>
              <w:t>3.</w:t>
            </w:r>
          </w:p>
        </w:tc>
        <w:tc>
          <w:tcPr>
            <w:tcW w:w="2503" w:type="dxa"/>
            <w:vMerge w:val="restart"/>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Likums “Par kultūras pieminekļu aizsardzību”</w:t>
            </w: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1. pants. Likuma objekts</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t>Kultūras pieminekļi ir kultūrvēsturiskā mantojuma daļa — kultūrvēsturiskas ainavas un atsevišķas teritorijas (senkapi, kapsētas, parki, vēsturisko notikumu norises un ievērojamu personu darbības vietas), kā arī atsevišķi kapi, ēku grupas un atsevišķas ēkas, mākslas darbi, iekārtas un priekšmeti, kuriem ir vēsturiska, zinātniska, mākslinieciska vai citāda kultūras vērtība un kuru saglabāšana nākamajām paaudzēm atbilst Latvijas valsts un tautas, kā arī starptautiskajām interesēm.</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3. pants. Aizliegums iznīcināt, pārvietot un pārveidot kultūras pieminekļus</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t>Kultūras pieminekļus ir aizliegts iznīcināt. Nekustamos kultūras pieminekļus drīkst pārvietot vai pārveidot tikai izņēmuma gadījumā ar Kultūras ministrijas Nacionālās kultūras mantojuma pārvaldes (turpmāk — Nacionālā kultūras mantojuma pārvalde) atļauju. Kultūras pieminekļa pārveidošana vai tā oriģinālo daļu aizstāšana ar jaunām daļām pieļaujama tikai tad, ja tā ir labākā iespēja, kā saglabāt pieminekli, vai arī tad, ja pārveidojuma rezultātā nepazeminās pieminekļa kultūrvēsturiskā vērtība.</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Noteikto prasību uzskaitījums ir liels, svarīgākās prasības ir šādas:</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1)</w:t>
            </w:r>
            <w:r w:rsidR="00680000">
              <w:rPr>
                <w:color w:val="000000" w:themeColor="text1"/>
                <w:lang w:val="lv-LV"/>
              </w:rPr>
              <w:t xml:space="preserve"> kultūras</w:t>
            </w:r>
            <w:r w:rsidRPr="00FF0FEB">
              <w:rPr>
                <w:color w:val="000000" w:themeColor="text1"/>
                <w:lang w:val="lv-LV"/>
              </w:rPr>
              <w:t xml:space="preserve"> piemineklis ir jāuztur sakoptā stāvoklī, un tā uzturēšanas, kopšanas un remonta darbi jāveic savlaicīgi; </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2)</w:t>
            </w:r>
            <w:r w:rsidR="00680000">
              <w:rPr>
                <w:color w:val="000000" w:themeColor="text1"/>
                <w:lang w:val="lv-LV"/>
              </w:rPr>
              <w:t xml:space="preserve"> kultūras</w:t>
            </w:r>
            <w:r w:rsidRPr="00FF0FEB">
              <w:rPr>
                <w:color w:val="000000" w:themeColor="text1"/>
                <w:lang w:val="lv-LV"/>
              </w:rPr>
              <w:t xml:space="preserve"> piemineklis ir jānodrošina pret bojāšanos (stāvokļa pasliktināšanos), ko izraisa mitrums, sals un cita klimatiskā iedarbība;</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3)</w:t>
            </w:r>
            <w:r w:rsidR="00680000">
              <w:rPr>
                <w:color w:val="000000" w:themeColor="text1"/>
                <w:lang w:val="lv-LV"/>
              </w:rPr>
              <w:t xml:space="preserve"> kultūras</w:t>
            </w:r>
            <w:r w:rsidRPr="00FF0FEB">
              <w:rPr>
                <w:color w:val="000000" w:themeColor="text1"/>
                <w:lang w:val="lv-LV"/>
              </w:rPr>
              <w:t xml:space="preserve"> piemineklī nav pieļaujama tāda saimnieciskā darbība, kas var apdraudēt tā saglabāšanu;</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4)</w:t>
            </w:r>
            <w:r w:rsidR="00680000">
              <w:rPr>
                <w:color w:val="000000" w:themeColor="text1"/>
                <w:lang w:val="lv-LV"/>
              </w:rPr>
              <w:t xml:space="preserve"> kultūras</w:t>
            </w:r>
            <w:r w:rsidRPr="00FF0FEB">
              <w:rPr>
                <w:color w:val="000000" w:themeColor="text1"/>
                <w:lang w:val="lv-LV"/>
              </w:rPr>
              <w:t xml:space="preserve"> pieminekļa restaurācijas, remonta vai rekonstrukcijas gadījumā restaurējamas un atjaunojamas tā saglabājamās vērtības;</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5)</w:t>
            </w:r>
            <w:r w:rsidR="00680000">
              <w:rPr>
                <w:color w:val="000000" w:themeColor="text1"/>
                <w:lang w:val="lv-LV"/>
              </w:rPr>
              <w:t xml:space="preserve"> </w:t>
            </w:r>
            <w:r w:rsidRPr="00FF0FEB">
              <w:rPr>
                <w:color w:val="000000" w:themeColor="text1"/>
                <w:lang w:val="lv-LV"/>
              </w:rPr>
              <w:t xml:space="preserve">pirms </w:t>
            </w:r>
            <w:r w:rsidR="00680000">
              <w:rPr>
                <w:color w:val="000000" w:themeColor="text1"/>
                <w:lang w:val="lv-LV"/>
              </w:rPr>
              <w:t>kultūras</w:t>
            </w:r>
            <w:r w:rsidRPr="00FF0FEB">
              <w:rPr>
                <w:color w:val="000000" w:themeColor="text1"/>
                <w:lang w:val="lv-LV"/>
              </w:rPr>
              <w:t xml:space="preserve"> pieminekļa pārveidošanas darbiem (konservācija, restaurācija, remonts vai rekonstrukcija) īpašnieka pienākums ir saskaņot attiecīgo darbu projektu </w:t>
            </w:r>
            <w:r w:rsidR="00680000">
              <w:rPr>
                <w:color w:val="000000" w:themeColor="text1"/>
                <w:lang w:val="lv-LV"/>
              </w:rPr>
              <w:t>NKMP</w:t>
            </w:r>
            <w:r w:rsidRPr="00FF0FEB">
              <w:rPr>
                <w:color w:val="000000" w:themeColor="text1"/>
                <w:lang w:val="lv-LV"/>
              </w:rPr>
              <w:t xml:space="preserve"> un saņemt tās rakstveida atļauju.</w:t>
            </w:r>
          </w:p>
        </w:tc>
      </w:tr>
      <w:tr w:rsidR="00FF0FEB" w:rsidRPr="00FF0FEB" w:rsidTr="00947353">
        <w:tc>
          <w:tcPr>
            <w:tcW w:w="803" w:type="dxa"/>
            <w:vMerge w:val="restart"/>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4.</w:t>
            </w:r>
          </w:p>
        </w:tc>
        <w:tc>
          <w:tcPr>
            <w:tcW w:w="2503" w:type="dxa"/>
            <w:vMerge w:val="restart"/>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Likums “Par miruša cilvēka ķermeņa aizsardzību un cilvēka audu un orgānu izmantošanu</w:t>
            </w:r>
            <w:r w:rsidR="00F60A11">
              <w:rPr>
                <w:rFonts w:ascii="Times New Roman" w:hAnsi="Times New Roman"/>
                <w:b/>
                <w:color w:val="000000" w:themeColor="text1"/>
                <w:sz w:val="24"/>
                <w:szCs w:val="24"/>
                <w:lang w:eastAsia="lv-LV"/>
              </w:rPr>
              <w:t>”</w:t>
            </w:r>
            <w:r w:rsidRPr="00FF0FEB">
              <w:rPr>
                <w:rFonts w:ascii="Times New Roman" w:hAnsi="Times New Roman"/>
                <w:b/>
                <w:color w:val="000000" w:themeColor="text1"/>
                <w:sz w:val="24"/>
                <w:szCs w:val="24"/>
                <w:lang w:eastAsia="lv-LV"/>
              </w:rPr>
              <w:t xml:space="preserve"> </w:t>
            </w:r>
            <w:r w:rsidRPr="00FF0FEB">
              <w:rPr>
                <w:rFonts w:ascii="Times New Roman" w:hAnsi="Times New Roman"/>
                <w:b/>
                <w:color w:val="000000" w:themeColor="text1"/>
                <w:sz w:val="24"/>
                <w:szCs w:val="24"/>
                <w:lang w:eastAsia="lv-LV"/>
              </w:rPr>
              <w:lastRenderedPageBreak/>
              <w:t>medicīnā”</w:t>
            </w: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lastRenderedPageBreak/>
              <w:t>1. pants. Likuma mērķis</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t xml:space="preserve">Likuma mērķis ir pasargāt miruša cilvēka ķermeni no necienīgas un nelikumīgas rīcības ar to. Likums nosaka kārtību, kādā dzīva vai miruša cilvēka ķermeņa audus un šūnas (turpmāk — audi), un orgānus var izmantot zinātniskiem pētījumiem un mācību mērķiem, </w:t>
            </w:r>
            <w:r w:rsidRPr="00FF0FEB">
              <w:rPr>
                <w:color w:val="000000" w:themeColor="text1"/>
                <w:lang w:val="lv-LV"/>
              </w:rPr>
              <w:lastRenderedPageBreak/>
              <w:t>transplantācijai, ārstniecisku preparātu un bioprotēžu izgatavošanai.</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2. pants. Cilvēka prioritārās tiesības uz savu ķermeni</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Miruša cilvēka ķermeni, audus un orgānus aizliegts izmantot pret viņa dzīves laikā izteikto gribu. Cilvēka griba, ja vien tā nav pretrunā ar spēkā esošajiem likumiem, ir obligāti jāievēro visām ārstniecības, izglītības un zinātnes iestādēm neatkarīgi no to darbības veida un pakļautības.</w:t>
            </w:r>
          </w:p>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rPr>
              <w:t>Katrs rīcībspējīgs cilvēks ir tiesīgs aizliegt vai atļaut, noformējot to dokumentāri, sava ķermeņa izmantošanu pēc nāves.</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3. pants. Aizlieguma vai atļaujas noformēšana</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Ministru kabinets nosaka kārtību, kādā persona var iesniegt Pilsonības un migrācijas lietu pārvaldei iesniegumu par aizliegumu vai atļauju izmantot tās ķermeni, audus un orgānus pēc nāves.</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Juridisks spēks ir tikai tādam rīcībspējīgas personas parakstītam aizliegumam vai atļaujai izmantot tās ķermeni, audus un orgānus pēc nāves, par kuru ziņas iekļautas Iedzīvotāju reģistrā.</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t>Kārtību, kādā ārstniecības, izglītības un zinātnes iestādes pieprasa un saņem ziņas no Iedzīvotāju reģistra par aizliegumu vai atļauju izmantot personas ķermeni, audus un orgānus pēc tās nāves, nosaka Ministru kabinets.</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4. pants. Tuvāko piederīgo tiesības</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t xml:space="preserve">Ja Iedzīvotāju reģistrā nav ziņu par mirušā cilvēka aizliegumu vai atļauju izmantot savu ķermeni, audus un orgānus pēc nāves, šā cilvēka laulātajam, vecākiem, pilngadīgajiem bērniem, brāļiem vai māsām (turpmāk — tuvākie piederīgie) ir tiesības </w:t>
            </w:r>
            <w:proofErr w:type="spellStart"/>
            <w:r w:rsidRPr="00FF0FEB">
              <w:rPr>
                <w:color w:val="000000" w:themeColor="text1"/>
                <w:lang w:val="lv-LV"/>
              </w:rPr>
              <w:t>rakstveidā</w:t>
            </w:r>
            <w:proofErr w:type="spellEnd"/>
            <w:r w:rsidRPr="00FF0FEB">
              <w:rPr>
                <w:color w:val="000000" w:themeColor="text1"/>
                <w:lang w:val="lv-LV"/>
              </w:rPr>
              <w:t xml:space="preserve"> informēt ārstniecības iestādi (audu un orgānu ieguves centrus) par viņa dzīves laikā izteikto gribu.</w:t>
            </w:r>
          </w:p>
        </w:tc>
      </w:tr>
      <w:tr w:rsidR="00FF0FEB" w:rsidRPr="00FF0FEB" w:rsidTr="00947353">
        <w:tc>
          <w:tcPr>
            <w:tcW w:w="803" w:type="dxa"/>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5.</w:t>
            </w:r>
          </w:p>
        </w:tc>
        <w:tc>
          <w:tcPr>
            <w:tcW w:w="2503" w:type="dxa"/>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
                <w:color w:val="000000" w:themeColor="text1"/>
                <w:sz w:val="24"/>
                <w:szCs w:val="24"/>
                <w:lang w:eastAsia="lv-LV"/>
              </w:rPr>
              <w:t>Reliģisko organizāciju likums</w:t>
            </w: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b/>
                <w:bCs/>
                <w:color w:val="000000" w:themeColor="text1"/>
                <w:lang w:val="lv-LV"/>
              </w:rPr>
              <w:t>16. pants. Reliģisko organizāciju īpašums</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(1) Reliģisko organizāciju īpašumā var būt kustamā un nekustamā manta. Tiesības rīkoties ar nekustamo mantu ir vienīgi reliģisko organizāciju vadības institūcijām, ja statūtos (satversmē, nolikumā) nav noteikta cita kārtība.</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(2) Ja Latvijas Republikā reģistrētas reliģiskās organizācijas garīgais centrs atrodas ārvalstī, tam nevar piederēt šīs organizācijas nekustamais īpašums, kā arī manta, kas atzīta par kultūras pieminekli.</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(3) Dievnamus, mākslas un citas vērtības, kuras atzītas par kultūras pieminekļiem, reliģiskās organizācijas uztur atbilstoši likumā "</w:t>
            </w:r>
            <w:hyperlink r:id="rId8" w:tgtFrame="_blank" w:history="1">
              <w:r w:rsidRPr="00FF0FEB">
                <w:rPr>
                  <w:rStyle w:val="Hyperlink"/>
                  <w:color w:val="000000" w:themeColor="text1"/>
                  <w:lang w:val="lv-LV"/>
                </w:rPr>
                <w:t>Par kultūras pieminekļu aizsardzību</w:t>
              </w:r>
            </w:hyperlink>
            <w:r w:rsidRPr="00FF0FEB">
              <w:rPr>
                <w:color w:val="000000" w:themeColor="text1"/>
                <w:lang w:val="lv-LV"/>
              </w:rPr>
              <w:t>" noteiktajām prasībām.</w:t>
            </w:r>
          </w:p>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eastAsia="lv-LV"/>
              </w:rPr>
            </w:pPr>
            <w:r w:rsidRPr="00FF0FEB">
              <w:rPr>
                <w:color w:val="000000" w:themeColor="text1"/>
                <w:lang w:val="lv-LV"/>
              </w:rPr>
              <w:lastRenderedPageBreak/>
              <w:t>(4) Dievnamus un rituāla priekšmetus aizliegts ieķīlāt, un uz tiem nevar vērst piedziņu pēc kreditoru pieprasījuma.</w:t>
            </w:r>
          </w:p>
        </w:tc>
      </w:tr>
      <w:tr w:rsidR="00FF0FEB" w:rsidRPr="00FF0FEB" w:rsidTr="00947353">
        <w:tc>
          <w:tcPr>
            <w:tcW w:w="803" w:type="dxa"/>
            <w:vMerge w:val="restart"/>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lastRenderedPageBreak/>
              <w:t>6.</w:t>
            </w:r>
          </w:p>
        </w:tc>
        <w:tc>
          <w:tcPr>
            <w:tcW w:w="2503" w:type="dxa"/>
            <w:vMerge w:val="restart"/>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Cs/>
                <w:color w:val="000000" w:themeColor="text1"/>
                <w:sz w:val="24"/>
                <w:szCs w:val="24"/>
                <w:lang w:eastAsia="lv-LV"/>
              </w:rPr>
              <w:t xml:space="preserve">Ministru kabineta </w:t>
            </w:r>
            <w:r w:rsidR="00F60A11">
              <w:rPr>
                <w:rFonts w:ascii="Times New Roman" w:hAnsi="Times New Roman"/>
                <w:bCs/>
                <w:color w:val="000000" w:themeColor="text1"/>
                <w:sz w:val="24"/>
                <w:szCs w:val="24"/>
                <w:lang w:eastAsia="lv-LV"/>
              </w:rPr>
              <w:t>1998. gada 29. </w:t>
            </w:r>
            <w:r w:rsidR="00F60A11" w:rsidRPr="00FF0FEB">
              <w:rPr>
                <w:rFonts w:ascii="Times New Roman" w:hAnsi="Times New Roman"/>
                <w:bCs/>
                <w:color w:val="000000" w:themeColor="text1"/>
                <w:sz w:val="24"/>
                <w:szCs w:val="24"/>
                <w:lang w:eastAsia="lv-LV"/>
              </w:rPr>
              <w:t xml:space="preserve">decembra </w:t>
            </w:r>
            <w:r w:rsidRPr="00FF0FEB">
              <w:rPr>
                <w:rFonts w:ascii="Times New Roman" w:hAnsi="Times New Roman"/>
                <w:bCs/>
                <w:color w:val="000000" w:themeColor="text1"/>
                <w:sz w:val="24"/>
                <w:szCs w:val="24"/>
                <w:lang w:eastAsia="lv-LV"/>
              </w:rPr>
              <w:t>noteikumi Nr.</w:t>
            </w:r>
            <w:r w:rsidR="00F60A11">
              <w:rPr>
                <w:rFonts w:ascii="Times New Roman" w:hAnsi="Times New Roman"/>
                <w:bCs/>
                <w:color w:val="000000" w:themeColor="text1"/>
                <w:sz w:val="24"/>
                <w:szCs w:val="24"/>
                <w:lang w:eastAsia="lv-LV"/>
              </w:rPr>
              <w:t> </w:t>
            </w:r>
            <w:r w:rsidRPr="00FF0FEB">
              <w:rPr>
                <w:rFonts w:ascii="Times New Roman" w:hAnsi="Times New Roman"/>
                <w:bCs/>
                <w:color w:val="000000" w:themeColor="text1"/>
                <w:sz w:val="24"/>
                <w:szCs w:val="24"/>
                <w:lang w:eastAsia="lv-LV"/>
              </w:rPr>
              <w:t xml:space="preserve">502 </w:t>
            </w:r>
            <w:r w:rsidRPr="00FF0FEB">
              <w:rPr>
                <w:rFonts w:ascii="Times New Roman" w:hAnsi="Times New Roman"/>
                <w:b/>
                <w:color w:val="000000" w:themeColor="text1"/>
                <w:sz w:val="24"/>
                <w:szCs w:val="24"/>
                <w:lang w:eastAsia="lv-LV"/>
              </w:rPr>
              <w:t>“Aizsargjoslu ap kapsētām noteikšanas metodika”</w:t>
            </w:r>
          </w:p>
        </w:tc>
        <w:tc>
          <w:tcPr>
            <w:tcW w:w="5755" w:type="dxa"/>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1. Šie noteikumi nosaka aizsargjoslu ap kapsētām (turpmāk — aizsargjosla) noteikšanas metodiku, lai nepieļautu kapsētām piegulošo teritoriju sanitāro apstākļu pasliktināšanos, kā arī pamatprasības jaunu kapsētu ierīkošanai.</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2. Aizsargjoslas platums ir 300 metru no kapsētas teritorijas robežas ārējās malas. Ja kapsētā ir tikai pēc kremācijas veiktie apbedījumi, aizsargjoslas platums ir 100 metru.</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4. Ja kapsēta vai atsevišķa apbedījuma vieta ir kultūras piemineklis, aizsargjosla nosakāma saskaņā ar likumu "</w:t>
            </w:r>
            <w:hyperlink r:id="rId9" w:tgtFrame="_blank" w:history="1">
              <w:r w:rsidRPr="00FF0FEB">
                <w:rPr>
                  <w:rStyle w:val="Hyperlink"/>
                  <w:rFonts w:ascii="Times New Roman" w:hAnsi="Times New Roman"/>
                  <w:color w:val="000000" w:themeColor="text1"/>
                  <w:sz w:val="24"/>
                  <w:szCs w:val="24"/>
                  <w:u w:val="none"/>
                  <w:shd w:val="clear" w:color="auto" w:fill="FFFFFF"/>
                </w:rPr>
                <w:t>Par kultūras pieminekļu aizsardzību</w:t>
              </w:r>
            </w:hyperlink>
            <w:r w:rsidRPr="00FF0FEB">
              <w:rPr>
                <w:rFonts w:ascii="Times New Roman" w:hAnsi="Times New Roman"/>
                <w:color w:val="000000" w:themeColor="text1"/>
                <w:sz w:val="24"/>
                <w:szCs w:val="24"/>
                <w:shd w:val="clear" w:color="auto" w:fill="FFFFFF"/>
              </w:rPr>
              <w:t>", bet ne šaurāka, kā noteikts šajos noteikumos.</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5. Kapsētām, kurās apbedīšana ir pārtraukta vismaz 25 gadus, aizsargjosla nav nepieciešama, izņemot kapsētas, kurās apbedīti mēra upuri, un kapsētas vai apbedījuma vietas, kuras ir kultūras pieminekļi.</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6. Aizsargjoslu likvidē pašvaldība pēc saskaņošanas ar Veselības inspekciju un Valsts kultūras pieminekļu aizsardzības inspekciju.</w:t>
            </w:r>
          </w:p>
        </w:tc>
      </w:tr>
      <w:tr w:rsidR="00FF0FEB" w:rsidRPr="00FF0FEB" w:rsidTr="00947353">
        <w:tc>
          <w:tcPr>
            <w:tcW w:w="803" w:type="dxa"/>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7.</w:t>
            </w:r>
          </w:p>
        </w:tc>
        <w:tc>
          <w:tcPr>
            <w:tcW w:w="2503" w:type="dxa"/>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Cs/>
                <w:color w:val="000000" w:themeColor="text1"/>
                <w:sz w:val="24"/>
                <w:szCs w:val="24"/>
                <w:lang w:eastAsia="lv-LV"/>
              </w:rPr>
              <w:t xml:space="preserve">Ministru kabineta </w:t>
            </w:r>
            <w:r w:rsidR="00F60A11">
              <w:rPr>
                <w:rFonts w:ascii="Times New Roman" w:hAnsi="Times New Roman"/>
                <w:bCs/>
                <w:color w:val="000000" w:themeColor="text1"/>
                <w:sz w:val="24"/>
                <w:szCs w:val="24"/>
                <w:lang w:eastAsia="lv-LV"/>
              </w:rPr>
              <w:t>2010. gada 29. </w:t>
            </w:r>
            <w:r w:rsidR="00F60A11" w:rsidRPr="00FF0FEB">
              <w:rPr>
                <w:rFonts w:ascii="Times New Roman" w:hAnsi="Times New Roman"/>
                <w:bCs/>
                <w:color w:val="000000" w:themeColor="text1"/>
                <w:sz w:val="24"/>
                <w:szCs w:val="24"/>
                <w:lang w:eastAsia="lv-LV"/>
              </w:rPr>
              <w:t xml:space="preserve">jūnija </w:t>
            </w:r>
            <w:r w:rsidRPr="00FF0FEB">
              <w:rPr>
                <w:rFonts w:ascii="Times New Roman" w:hAnsi="Times New Roman"/>
                <w:bCs/>
                <w:color w:val="000000" w:themeColor="text1"/>
                <w:sz w:val="24"/>
                <w:szCs w:val="24"/>
                <w:lang w:eastAsia="lv-LV"/>
              </w:rPr>
              <w:t>noteikumi Nr.</w:t>
            </w:r>
            <w:r w:rsidR="00F60A11">
              <w:rPr>
                <w:rFonts w:ascii="Times New Roman" w:hAnsi="Times New Roman"/>
                <w:bCs/>
                <w:color w:val="000000" w:themeColor="text1"/>
                <w:sz w:val="24"/>
                <w:szCs w:val="24"/>
                <w:lang w:eastAsia="lv-LV"/>
              </w:rPr>
              <w:t> </w:t>
            </w:r>
            <w:r w:rsidRPr="00FF0FEB">
              <w:rPr>
                <w:rFonts w:ascii="Times New Roman" w:hAnsi="Times New Roman"/>
                <w:bCs/>
                <w:color w:val="000000" w:themeColor="text1"/>
                <w:sz w:val="24"/>
                <w:szCs w:val="24"/>
                <w:lang w:eastAsia="lv-LV"/>
              </w:rPr>
              <w:t>600</w:t>
            </w:r>
            <w:r w:rsidRPr="00FF0FEB">
              <w:rPr>
                <w:rFonts w:ascii="Times New Roman" w:hAnsi="Times New Roman"/>
                <w:b/>
                <w:color w:val="000000" w:themeColor="text1"/>
                <w:sz w:val="24"/>
                <w:szCs w:val="24"/>
                <w:lang w:eastAsia="lv-LV"/>
              </w:rPr>
              <w:t xml:space="preserve"> “Kremācijas noteikumi”</w:t>
            </w: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1. Noteikumi nosaka:</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1.1. komersantu licencēšanas kārtību kremācijas veikšanai, kā arī kārtību, kādā maksājama valsts nodeva par speciālās atļaujas (licences) izsniegšanu, un valsts nodevas apmēru;</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eastAsia="lv-LV"/>
              </w:rPr>
            </w:pPr>
            <w:r w:rsidRPr="00FF0FEB">
              <w:rPr>
                <w:color w:val="000000" w:themeColor="text1"/>
                <w:lang w:val="lv-LV"/>
              </w:rPr>
              <w:t>1.2. dokumentus, kas nepieciešami, lai veiktu miruša cilvēka kremāciju, dokumentu iesniegšanas kārtību, kā arī kārtību, kādā veicama kremācija un kārtojama ar to saistītā lietvedība.</w:t>
            </w:r>
          </w:p>
        </w:tc>
      </w:tr>
      <w:tr w:rsidR="00FF0FEB" w:rsidRPr="00FF0FEB" w:rsidTr="00947353">
        <w:tc>
          <w:tcPr>
            <w:tcW w:w="803" w:type="dxa"/>
            <w:vMerge w:val="restart"/>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8.</w:t>
            </w:r>
          </w:p>
        </w:tc>
        <w:tc>
          <w:tcPr>
            <w:tcW w:w="2503" w:type="dxa"/>
            <w:vMerge w:val="restart"/>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Cs/>
                <w:color w:val="000000" w:themeColor="text1"/>
                <w:sz w:val="24"/>
                <w:szCs w:val="24"/>
                <w:lang w:eastAsia="lv-LV"/>
              </w:rPr>
              <w:t xml:space="preserve">Ministru kabineta </w:t>
            </w:r>
            <w:r w:rsidR="00F60A11">
              <w:rPr>
                <w:rFonts w:ascii="Times New Roman" w:hAnsi="Times New Roman"/>
                <w:bCs/>
                <w:color w:val="000000" w:themeColor="text1"/>
                <w:sz w:val="24"/>
                <w:szCs w:val="24"/>
                <w:lang w:eastAsia="lv-LV"/>
              </w:rPr>
              <w:t>2007. </w:t>
            </w:r>
            <w:r w:rsidR="00F60A11" w:rsidRPr="00FF0FEB">
              <w:rPr>
                <w:rFonts w:ascii="Times New Roman" w:hAnsi="Times New Roman"/>
                <w:bCs/>
                <w:color w:val="000000" w:themeColor="text1"/>
                <w:sz w:val="24"/>
                <w:szCs w:val="24"/>
                <w:lang w:eastAsia="lv-LV"/>
              </w:rPr>
              <w:t xml:space="preserve">gada 27. marta </w:t>
            </w:r>
            <w:r w:rsidRPr="00FF0FEB">
              <w:rPr>
                <w:rFonts w:ascii="Times New Roman" w:hAnsi="Times New Roman"/>
                <w:bCs/>
                <w:color w:val="000000" w:themeColor="text1"/>
                <w:sz w:val="24"/>
                <w:szCs w:val="24"/>
                <w:lang w:eastAsia="lv-LV"/>
              </w:rPr>
              <w:t>noteikumi Nr.</w:t>
            </w:r>
            <w:r w:rsidR="00F60A11">
              <w:rPr>
                <w:rFonts w:ascii="Times New Roman" w:hAnsi="Times New Roman"/>
                <w:bCs/>
                <w:color w:val="000000" w:themeColor="text1"/>
                <w:sz w:val="24"/>
                <w:szCs w:val="24"/>
                <w:lang w:eastAsia="lv-LV"/>
              </w:rPr>
              <w:t> </w:t>
            </w:r>
            <w:r w:rsidRPr="00FF0FEB">
              <w:rPr>
                <w:rFonts w:ascii="Times New Roman" w:hAnsi="Times New Roman"/>
                <w:bCs/>
                <w:color w:val="000000" w:themeColor="text1"/>
                <w:sz w:val="24"/>
                <w:szCs w:val="24"/>
                <w:lang w:eastAsia="lv-LV"/>
              </w:rPr>
              <w:t>215</w:t>
            </w:r>
            <w:r w:rsidRPr="00FF0FEB">
              <w:rPr>
                <w:rFonts w:ascii="Times New Roman" w:hAnsi="Times New Roman"/>
                <w:b/>
                <w:color w:val="000000" w:themeColor="text1"/>
                <w:sz w:val="24"/>
                <w:szCs w:val="24"/>
                <w:lang w:eastAsia="lv-LV"/>
              </w:rPr>
              <w:t xml:space="preserve"> “Kārtība, kādā veicama smadzeņu un bioloģiskās nāves fakta konstatēšana un miruša cilvēka nodošana apbedīšanai”</w:t>
            </w:r>
          </w:p>
        </w:tc>
        <w:tc>
          <w:tcPr>
            <w:tcW w:w="5755" w:type="dxa"/>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1. Noteikumi nosaka kārtību, kādā veicama smadzeņu un bioloģiskās nāves fakta konstatēšana un miruša cilvēka nodošana apbedīšanai.</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18. Ja mirušā cilvēka audi vai orgāni tikuši izņemti, uzglabāti vai izmantoti saskaņā ar normatīvajiem aktiem par cilvēka audu un orgānu izņemšanu, uzglabāšanu un izmantošanu un mirušajam veikta tiesu medicīniskā izmeklēšana vai obligātā patologanatomiskā izmeklēšana, stacionārā ārstniecības iestāde vai Valsts tiesu medicīnas ekspertīzes centrs:</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18.1. nodod mirušā cilvēka ķermeni mirušā piederīgajiem vai viņu pilnvarotām personām apbedīšanai vai kremēšanai;</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eastAsia="lv-LV"/>
              </w:rPr>
            </w:pPr>
            <w:r w:rsidRPr="00FF0FEB">
              <w:rPr>
                <w:color w:val="000000" w:themeColor="text1"/>
                <w:lang w:val="lv-LV"/>
              </w:rPr>
              <w:t xml:space="preserve">18.2. triju darbdienu laikā pēc audu vai orgānu izņemšanas vai tiesu medicīniskās izmeklēšanas </w:t>
            </w:r>
            <w:r w:rsidRPr="00FF0FEB">
              <w:rPr>
                <w:color w:val="000000" w:themeColor="text1"/>
                <w:lang w:val="lv-LV"/>
              </w:rPr>
              <w:lastRenderedPageBreak/>
              <w:t>veikšanas, ja nav saņemti iebildumi no procesa virzītāja, informē pašvaldību, kuras teritorijā ir deklarēta mirušā cilvēka pēdējā dzīvesvieta vai mirušajam konstatēts bioloģiskās nāves fakts, vai no kuras mirušais pirms nāves nogādāts ārstniecības iestādē, ja viņam nav piederīgo.</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19. Pašvaldība pēc šo noteikumu 18.2.apakšpunktā minētās informācijas saņemšanas organizē un nodrošina mirušā cilvēka:</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19.1. apbedīšanu vai kremēšanu triju darbdienu laikā;</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eastAsia="lv-LV"/>
              </w:rPr>
            </w:pPr>
            <w:r w:rsidRPr="00FF0FEB">
              <w:rPr>
                <w:color w:val="000000" w:themeColor="text1"/>
                <w:lang w:val="lv-LV"/>
              </w:rPr>
              <w:t>19.2. apbedīšanu septiņu dienu laikā, ja mirušā cilvēka personība nav noskaidrota.</w:t>
            </w:r>
          </w:p>
        </w:tc>
      </w:tr>
      <w:tr w:rsidR="00FF0FEB" w:rsidRPr="00FF0FEB" w:rsidTr="00947353">
        <w:tc>
          <w:tcPr>
            <w:tcW w:w="803" w:type="dxa"/>
            <w:vMerge w:val="restart"/>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9.</w:t>
            </w:r>
          </w:p>
        </w:tc>
        <w:tc>
          <w:tcPr>
            <w:tcW w:w="2503" w:type="dxa"/>
            <w:vMerge w:val="restart"/>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Cs/>
                <w:color w:val="000000" w:themeColor="text1"/>
                <w:sz w:val="24"/>
                <w:szCs w:val="24"/>
                <w:lang w:eastAsia="lv-LV"/>
              </w:rPr>
              <w:t xml:space="preserve">Ministru kabineta </w:t>
            </w:r>
            <w:r w:rsidR="00F60A11">
              <w:rPr>
                <w:rFonts w:ascii="Times New Roman" w:hAnsi="Times New Roman"/>
                <w:bCs/>
                <w:color w:val="000000" w:themeColor="text1"/>
                <w:sz w:val="24"/>
                <w:szCs w:val="24"/>
                <w:lang w:eastAsia="lv-LV"/>
              </w:rPr>
              <w:t>2006. gada 19. </w:t>
            </w:r>
            <w:r w:rsidR="00F60A11" w:rsidRPr="00FF0FEB">
              <w:rPr>
                <w:rFonts w:ascii="Times New Roman" w:hAnsi="Times New Roman"/>
                <w:bCs/>
                <w:color w:val="000000" w:themeColor="text1"/>
                <w:sz w:val="24"/>
                <w:szCs w:val="24"/>
                <w:lang w:eastAsia="lv-LV"/>
              </w:rPr>
              <w:t xml:space="preserve">septembra </w:t>
            </w:r>
            <w:r w:rsidRPr="00FF0FEB">
              <w:rPr>
                <w:rFonts w:ascii="Times New Roman" w:hAnsi="Times New Roman"/>
                <w:bCs/>
                <w:color w:val="000000" w:themeColor="text1"/>
                <w:sz w:val="24"/>
                <w:szCs w:val="24"/>
                <w:lang w:eastAsia="lv-LV"/>
              </w:rPr>
              <w:t>noteikumi Nr.</w:t>
            </w:r>
            <w:r w:rsidR="00F60A11">
              <w:rPr>
                <w:rFonts w:ascii="Times New Roman" w:hAnsi="Times New Roman"/>
                <w:bCs/>
                <w:color w:val="000000" w:themeColor="text1"/>
                <w:sz w:val="24"/>
                <w:szCs w:val="24"/>
                <w:lang w:eastAsia="lv-LV"/>
              </w:rPr>
              <w:t> </w:t>
            </w:r>
            <w:r w:rsidRPr="00FF0FEB">
              <w:rPr>
                <w:rFonts w:ascii="Times New Roman" w:hAnsi="Times New Roman"/>
                <w:bCs/>
                <w:color w:val="000000" w:themeColor="text1"/>
                <w:sz w:val="24"/>
                <w:szCs w:val="24"/>
                <w:lang w:eastAsia="lv-LV"/>
              </w:rPr>
              <w:t>776</w:t>
            </w:r>
            <w:r w:rsidRPr="00FF0FEB">
              <w:rPr>
                <w:rFonts w:ascii="Times New Roman" w:hAnsi="Times New Roman"/>
                <w:b/>
                <w:color w:val="000000" w:themeColor="text1"/>
                <w:sz w:val="24"/>
                <w:szCs w:val="24"/>
                <w:lang w:eastAsia="lv-LV"/>
              </w:rPr>
              <w:t xml:space="preserve"> “Valsts meža zemes atsavināšanas kārtība”</w:t>
            </w:r>
          </w:p>
        </w:tc>
        <w:tc>
          <w:tcPr>
            <w:tcW w:w="5755" w:type="dxa"/>
          </w:tcPr>
          <w:p w:rsidR="00FF0FEB" w:rsidRPr="00FF0FEB" w:rsidRDefault="00FF0FEB" w:rsidP="00947353">
            <w:pPr>
              <w:spacing w:after="0"/>
              <w:jc w:val="both"/>
              <w:rPr>
                <w:rFonts w:ascii="Times New Roman" w:hAnsi="Times New Roman"/>
                <w:color w:val="000000" w:themeColor="text1"/>
                <w:sz w:val="24"/>
                <w:szCs w:val="24"/>
                <w:shd w:val="clear" w:color="auto" w:fill="FFFFFF"/>
              </w:rPr>
            </w:pPr>
            <w:r w:rsidRPr="00FF0FEB">
              <w:rPr>
                <w:rFonts w:ascii="Times New Roman" w:hAnsi="Times New Roman"/>
                <w:color w:val="000000" w:themeColor="text1"/>
                <w:sz w:val="24"/>
                <w:szCs w:val="24"/>
                <w:shd w:val="clear" w:color="auto" w:fill="FFFFFF"/>
              </w:rPr>
              <w:t>1. Noteikumi nosaka kārtību, kādā zemesgrāmatā ierakstīto valsts meža zemi atsavina šādu pašvaldības autonomo funkciju veikšanai:</w:t>
            </w:r>
          </w:p>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1.2. kapsētu izveidošanai vai paplašināšanai;</w:t>
            </w:r>
          </w:p>
        </w:tc>
      </w:tr>
      <w:tr w:rsidR="00FF0FEB" w:rsidRPr="00FF0FEB"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7. Ja atsavināšana nepieciešama kapsētu izveidošanai vai paplašināšanai, tad papildus šo noteikumu </w:t>
            </w:r>
            <w:hyperlink r:id="rId10" w:anchor="p5" w:history="1">
              <w:r w:rsidRPr="00FF0FEB">
                <w:rPr>
                  <w:rStyle w:val="Hyperlink"/>
                  <w:color w:val="000000" w:themeColor="text1"/>
                  <w:lang w:val="lv-LV"/>
                </w:rPr>
                <w:t>5. punktā</w:t>
              </w:r>
            </w:hyperlink>
            <w:r w:rsidRPr="00FF0FEB">
              <w:rPr>
                <w:color w:val="000000" w:themeColor="text1"/>
                <w:lang w:val="lv-LV"/>
              </w:rPr>
              <w:t> minētajam ierosinājumam pievieno:</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eastAsia="lv-LV"/>
              </w:rPr>
            </w:pPr>
            <w:r w:rsidRPr="00FF0FEB">
              <w:rPr>
                <w:color w:val="000000" w:themeColor="text1"/>
                <w:lang w:val="lv-LV"/>
              </w:rPr>
              <w:t>7.1. Veselības inspekcijas atzinumu par zemes vienības atbilstību kapsētas ierīkošanas nosacījumiem un higiēnas prasībām;</w:t>
            </w:r>
          </w:p>
        </w:tc>
      </w:tr>
      <w:tr w:rsidR="00FF0FEB" w:rsidRPr="00FF0FEB" w:rsidTr="00947353">
        <w:tc>
          <w:tcPr>
            <w:tcW w:w="803" w:type="dxa"/>
            <w:vMerge w:val="restart"/>
          </w:tcPr>
          <w:p w:rsidR="00FF0FEB" w:rsidRPr="00FF0FEB"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lang w:eastAsia="lv-LV"/>
              </w:rPr>
              <w:t>10.</w:t>
            </w:r>
          </w:p>
        </w:tc>
        <w:tc>
          <w:tcPr>
            <w:tcW w:w="2503" w:type="dxa"/>
            <w:vMerge w:val="restart"/>
          </w:tcPr>
          <w:p w:rsidR="00FF0FEB" w:rsidRPr="00FF0FEB" w:rsidRDefault="00FF0FEB" w:rsidP="00947353">
            <w:pPr>
              <w:spacing w:after="0"/>
              <w:jc w:val="both"/>
              <w:rPr>
                <w:rFonts w:ascii="Times New Roman" w:hAnsi="Times New Roman"/>
                <w:b/>
                <w:color w:val="000000" w:themeColor="text1"/>
                <w:sz w:val="24"/>
                <w:szCs w:val="24"/>
                <w:lang w:eastAsia="lv-LV"/>
              </w:rPr>
            </w:pPr>
            <w:r w:rsidRPr="00FF0FEB">
              <w:rPr>
                <w:rFonts w:ascii="Times New Roman" w:hAnsi="Times New Roman"/>
                <w:bCs/>
                <w:color w:val="000000" w:themeColor="text1"/>
                <w:sz w:val="24"/>
                <w:szCs w:val="24"/>
                <w:lang w:eastAsia="lv-LV"/>
              </w:rPr>
              <w:t xml:space="preserve">Ministru kabineta </w:t>
            </w:r>
            <w:r w:rsidR="00F60A11">
              <w:rPr>
                <w:rFonts w:ascii="Times New Roman" w:hAnsi="Times New Roman"/>
                <w:bCs/>
                <w:color w:val="000000" w:themeColor="text1"/>
                <w:sz w:val="24"/>
                <w:szCs w:val="24"/>
                <w:lang w:eastAsia="lv-LV"/>
              </w:rPr>
              <w:t>2003. gada 26. </w:t>
            </w:r>
            <w:r w:rsidR="00F60A11" w:rsidRPr="00FF0FEB">
              <w:rPr>
                <w:rFonts w:ascii="Times New Roman" w:hAnsi="Times New Roman"/>
                <w:bCs/>
                <w:color w:val="000000" w:themeColor="text1"/>
                <w:sz w:val="24"/>
                <w:szCs w:val="24"/>
                <w:lang w:eastAsia="lv-LV"/>
              </w:rPr>
              <w:t xml:space="preserve">augusta </w:t>
            </w:r>
            <w:r w:rsidRPr="00FF0FEB">
              <w:rPr>
                <w:rFonts w:ascii="Times New Roman" w:hAnsi="Times New Roman"/>
                <w:bCs/>
                <w:color w:val="000000" w:themeColor="text1"/>
                <w:sz w:val="24"/>
                <w:szCs w:val="24"/>
                <w:lang w:eastAsia="lv-LV"/>
              </w:rPr>
              <w:t>noteikumi Nr.</w:t>
            </w:r>
            <w:r w:rsidR="00F60A11">
              <w:rPr>
                <w:rFonts w:ascii="Times New Roman" w:hAnsi="Times New Roman"/>
                <w:bCs/>
                <w:color w:val="000000" w:themeColor="text1"/>
                <w:sz w:val="24"/>
                <w:szCs w:val="24"/>
                <w:lang w:eastAsia="lv-LV"/>
              </w:rPr>
              <w:t> </w:t>
            </w:r>
            <w:r w:rsidRPr="00FF0FEB">
              <w:rPr>
                <w:rFonts w:ascii="Times New Roman" w:hAnsi="Times New Roman"/>
                <w:bCs/>
                <w:color w:val="000000" w:themeColor="text1"/>
                <w:sz w:val="24"/>
                <w:szCs w:val="24"/>
                <w:lang w:eastAsia="lv-LV"/>
              </w:rPr>
              <w:t>474</w:t>
            </w:r>
            <w:r w:rsidRPr="00FF0FEB">
              <w:rPr>
                <w:rFonts w:ascii="Times New Roman" w:hAnsi="Times New Roman"/>
                <w:b/>
                <w:color w:val="000000" w:themeColor="text1"/>
                <w:sz w:val="24"/>
                <w:szCs w:val="24"/>
                <w:lang w:eastAsia="lv-LV"/>
              </w:rPr>
              <w:t xml:space="preserve"> “Noteikumi par kultūras pieminekļu uzskaiti, aizsardzību, izmantošanu, restaurāciju un vidi degradējoša objekta statusa piešķiršanu”</w:t>
            </w:r>
          </w:p>
        </w:tc>
        <w:tc>
          <w:tcPr>
            <w:tcW w:w="5755" w:type="dxa"/>
          </w:tcPr>
          <w:p w:rsidR="00FF0FEB" w:rsidRPr="00FF0FEB" w:rsidRDefault="00FF0FEB" w:rsidP="00947353">
            <w:pPr>
              <w:pStyle w:val="tv213"/>
              <w:shd w:val="clear" w:color="auto" w:fill="FFFFFF"/>
              <w:spacing w:before="0" w:beforeAutospacing="0" w:after="0" w:afterAutospacing="0" w:line="293" w:lineRule="atLeast"/>
              <w:jc w:val="both"/>
              <w:rPr>
                <w:color w:val="000000" w:themeColor="text1"/>
                <w:lang w:val="lv-LV"/>
              </w:rPr>
            </w:pPr>
            <w:r w:rsidRPr="00FF0FEB">
              <w:rPr>
                <w:color w:val="000000" w:themeColor="text1"/>
                <w:lang w:val="lv-LV"/>
              </w:rPr>
              <w:t>4. Kultūras pieminekļus iedala šādās tipoloģiskajās grupās:</w:t>
            </w:r>
          </w:p>
          <w:p w:rsidR="00FF0FEB" w:rsidRPr="00FF0FEB" w:rsidRDefault="00FF0FEB" w:rsidP="00947353">
            <w:pPr>
              <w:pStyle w:val="tv213"/>
              <w:shd w:val="clear" w:color="auto" w:fill="FFFFFF"/>
              <w:spacing w:before="0" w:beforeAutospacing="0" w:after="0" w:afterAutospacing="0" w:line="293" w:lineRule="atLeast"/>
              <w:ind w:left="600"/>
              <w:jc w:val="both"/>
              <w:rPr>
                <w:color w:val="000000" w:themeColor="text1"/>
                <w:lang w:val="lv-LV"/>
              </w:rPr>
            </w:pPr>
            <w:r w:rsidRPr="00FF0FEB">
              <w:rPr>
                <w:color w:val="000000" w:themeColor="text1"/>
                <w:lang w:val="lv-LV"/>
              </w:rPr>
              <w:t xml:space="preserve">4.1. arheoloģiskie pieminekļi (senvietas, par kurām nozīmīgākā informācija tiek iegūta arheoloģiskajos izrakumos) – senās dzīvesvietas (piemēram, apmetnes, ciemi, pilskalni, </w:t>
            </w:r>
            <w:proofErr w:type="spellStart"/>
            <w:r w:rsidRPr="00FF0FEB">
              <w:rPr>
                <w:color w:val="000000" w:themeColor="text1"/>
                <w:lang w:val="lv-LV"/>
              </w:rPr>
              <w:t>ezermītnes</w:t>
            </w:r>
            <w:proofErr w:type="spellEnd"/>
            <w:r w:rsidRPr="00FF0FEB">
              <w:rPr>
                <w:color w:val="000000" w:themeColor="text1"/>
                <w:lang w:val="lv-LV"/>
              </w:rPr>
              <w:t>, mūra pilis, pilsētu vēsturiskais kultūrslānis), senkapi un to virszemes veidojumi, viduslaiku un agro jauno laiku kapsētas, senās kulta vietas (piemēram, kalni, akmeņi, koki, alas, birzis), senās saimnieciskās darbības vietas (piemēram, ražotņu, agrāro sistēmu vietas), senās kauju, apspriežu, tiesu un pulcēšanās vietas, senie ceļi, militāra rakstura būves, hidrotehniskās būves, nogrimušie kuģi un to kravas. Arheoloģiskie pieminekļi var atrasties zemē, virs zemes vai ūdenī;</w:t>
            </w:r>
          </w:p>
        </w:tc>
      </w:tr>
      <w:tr w:rsidR="00FF0FEB" w:rsidRPr="008C5D10" w:rsidTr="00947353">
        <w:tc>
          <w:tcPr>
            <w:tcW w:w="8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2503" w:type="dxa"/>
            <w:vMerge/>
          </w:tcPr>
          <w:p w:rsidR="00FF0FEB" w:rsidRPr="00FF0FEB" w:rsidRDefault="00FF0FEB" w:rsidP="00947353">
            <w:pPr>
              <w:spacing w:after="0"/>
              <w:jc w:val="both"/>
              <w:rPr>
                <w:rFonts w:ascii="Times New Roman" w:hAnsi="Times New Roman"/>
                <w:color w:val="000000" w:themeColor="text1"/>
                <w:sz w:val="24"/>
                <w:szCs w:val="24"/>
                <w:lang w:eastAsia="lv-LV"/>
              </w:rPr>
            </w:pPr>
          </w:p>
        </w:tc>
        <w:tc>
          <w:tcPr>
            <w:tcW w:w="5755" w:type="dxa"/>
          </w:tcPr>
          <w:p w:rsidR="00FF0FEB" w:rsidRPr="008C5D10" w:rsidRDefault="00FF0FEB" w:rsidP="00947353">
            <w:pPr>
              <w:spacing w:after="0"/>
              <w:jc w:val="both"/>
              <w:rPr>
                <w:rFonts w:ascii="Times New Roman" w:hAnsi="Times New Roman"/>
                <w:color w:val="000000" w:themeColor="text1"/>
                <w:sz w:val="24"/>
                <w:szCs w:val="24"/>
                <w:lang w:eastAsia="lv-LV"/>
              </w:rPr>
            </w:pPr>
            <w:r w:rsidRPr="00FF0FEB">
              <w:rPr>
                <w:rFonts w:ascii="Times New Roman" w:hAnsi="Times New Roman"/>
                <w:color w:val="000000" w:themeColor="text1"/>
                <w:sz w:val="24"/>
                <w:szCs w:val="24"/>
                <w:shd w:val="clear" w:color="auto" w:fill="FFFFFF"/>
              </w:rPr>
              <w:t xml:space="preserve">45. Inspekcija izsniedz kultūras pieminekļa īpašniekam (valdītājam) kultūras pieminekļa izmantošanas un saglabāšanas norādījumus, kas ir saistoši kultūras pieminekļu īpašniekam (valdītājam), nosaka kultūras pieminekļa, tā teritorijas un aizsardzības zonas uzturēšanas režīmu un saimnieciskās darbības ierobežojumus, lai novērstu saglabājamo un aizsargājamo kultūrvēsturisko vērtību iznīcināšanu vai bojāšanu. </w:t>
            </w:r>
            <w:r w:rsidRPr="00FF0FEB">
              <w:rPr>
                <w:rFonts w:ascii="Times New Roman" w:hAnsi="Times New Roman"/>
                <w:color w:val="000000" w:themeColor="text1"/>
                <w:sz w:val="24"/>
                <w:szCs w:val="24"/>
                <w:shd w:val="clear" w:color="auto" w:fill="FFFFFF"/>
              </w:rPr>
              <w:lastRenderedPageBreak/>
              <w:t>Minētos norādījumus inspekcija izsniedz kultūras pieminekļa īpašniekam (valdītājam) divu mēnešu laikā pēc objekta iekļaušanas valsts aizsargājamo kultūras pieminekļu sarakstā.</w:t>
            </w:r>
          </w:p>
        </w:tc>
      </w:tr>
    </w:tbl>
    <w:p w:rsidR="001822A9" w:rsidRDefault="001822A9"/>
    <w:p w:rsidR="001057C0" w:rsidRPr="00985722" w:rsidRDefault="001057C0" w:rsidP="001057C0">
      <w:pPr>
        <w:tabs>
          <w:tab w:val="left" w:pos="1134"/>
        </w:tabs>
        <w:spacing w:after="0" w:line="240" w:lineRule="auto"/>
        <w:jc w:val="both"/>
        <w:rPr>
          <w:rFonts w:ascii="Times New Roman" w:hAnsi="Times New Roman"/>
          <w:color w:val="000000" w:themeColor="text1"/>
          <w:sz w:val="28"/>
          <w:szCs w:val="28"/>
        </w:rPr>
      </w:pPr>
      <w:r w:rsidRPr="00985722">
        <w:rPr>
          <w:rFonts w:ascii="Times New Roman" w:hAnsi="Times New Roman"/>
          <w:color w:val="000000" w:themeColor="text1"/>
          <w:sz w:val="28"/>
          <w:szCs w:val="28"/>
        </w:rPr>
        <w:t>Vides aizsardzības un reģionālās attīstības ministrs</w:t>
      </w:r>
      <w:r w:rsidRPr="00985722">
        <w:rPr>
          <w:rFonts w:ascii="Times New Roman" w:hAnsi="Times New Roman"/>
          <w:color w:val="000000" w:themeColor="text1"/>
          <w:sz w:val="28"/>
          <w:szCs w:val="28"/>
        </w:rPr>
        <w:tab/>
      </w:r>
      <w:r w:rsidRPr="00985722">
        <w:rPr>
          <w:rFonts w:ascii="Times New Roman" w:hAnsi="Times New Roman"/>
          <w:color w:val="000000" w:themeColor="text1"/>
          <w:sz w:val="28"/>
          <w:szCs w:val="28"/>
        </w:rPr>
        <w:tab/>
      </w:r>
      <w:r w:rsidRPr="00985722">
        <w:rPr>
          <w:rFonts w:ascii="Times New Roman" w:hAnsi="Times New Roman"/>
          <w:color w:val="000000" w:themeColor="text1"/>
          <w:sz w:val="28"/>
          <w:szCs w:val="28"/>
        </w:rPr>
        <w:tab/>
        <w:t>Juris</w:t>
      </w:r>
      <w:r>
        <w:rPr>
          <w:rFonts w:ascii="Times New Roman" w:hAnsi="Times New Roman"/>
          <w:color w:val="000000" w:themeColor="text1"/>
          <w:sz w:val="28"/>
          <w:szCs w:val="28"/>
        </w:rPr>
        <w:t> </w:t>
      </w:r>
      <w:r w:rsidRPr="00985722">
        <w:rPr>
          <w:rFonts w:ascii="Times New Roman" w:hAnsi="Times New Roman"/>
          <w:color w:val="000000" w:themeColor="text1"/>
          <w:sz w:val="28"/>
          <w:szCs w:val="28"/>
        </w:rPr>
        <w:t>Pūce</w:t>
      </w:r>
    </w:p>
    <w:p w:rsidR="001057C0" w:rsidRPr="00985722" w:rsidRDefault="001057C0" w:rsidP="001057C0">
      <w:pPr>
        <w:tabs>
          <w:tab w:val="left" w:pos="1134"/>
        </w:tabs>
        <w:spacing w:after="0" w:line="240" w:lineRule="auto"/>
        <w:jc w:val="both"/>
        <w:rPr>
          <w:rFonts w:ascii="Times New Roman" w:hAnsi="Times New Roman"/>
          <w:color w:val="000000" w:themeColor="text1"/>
          <w:sz w:val="28"/>
          <w:szCs w:val="28"/>
        </w:rPr>
      </w:pPr>
    </w:p>
    <w:p w:rsidR="001057C0" w:rsidRPr="00985722" w:rsidRDefault="001057C0" w:rsidP="001057C0">
      <w:pPr>
        <w:tabs>
          <w:tab w:val="left" w:pos="1134"/>
        </w:tabs>
        <w:spacing w:after="0" w:line="240" w:lineRule="auto"/>
        <w:jc w:val="both"/>
        <w:rPr>
          <w:rFonts w:ascii="Times New Roman" w:hAnsi="Times New Roman"/>
          <w:color w:val="000000" w:themeColor="text1"/>
          <w:sz w:val="28"/>
          <w:szCs w:val="28"/>
        </w:rPr>
      </w:pPr>
    </w:p>
    <w:p w:rsidR="001057C0" w:rsidRDefault="001057C0" w:rsidP="008A6172">
      <w:pPr>
        <w:tabs>
          <w:tab w:val="left" w:pos="1134"/>
        </w:tabs>
        <w:spacing w:after="0" w:line="240" w:lineRule="auto"/>
        <w:jc w:val="both"/>
      </w:pPr>
      <w:r w:rsidRPr="00985722">
        <w:rPr>
          <w:rFonts w:ascii="Times New Roman" w:eastAsia="Times New Roman" w:hAnsi="Times New Roman"/>
          <w:sz w:val="28"/>
          <w:szCs w:val="28"/>
          <w:lang w:eastAsia="lv-LV"/>
        </w:rPr>
        <w:t xml:space="preserve">Valsts sekretārs </w:t>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t>Edvīns</w:t>
      </w:r>
      <w:r>
        <w:rPr>
          <w:rFonts w:ascii="Times New Roman" w:eastAsia="Times New Roman" w:hAnsi="Times New Roman"/>
          <w:sz w:val="28"/>
          <w:szCs w:val="28"/>
          <w:lang w:eastAsia="lv-LV"/>
        </w:rPr>
        <w:t> </w:t>
      </w:r>
      <w:r w:rsidRPr="00985722">
        <w:rPr>
          <w:rFonts w:ascii="Times New Roman" w:eastAsia="Times New Roman" w:hAnsi="Times New Roman"/>
          <w:sz w:val="28"/>
          <w:szCs w:val="28"/>
          <w:lang w:eastAsia="lv-LV"/>
        </w:rPr>
        <w:t>Balševics</w:t>
      </w:r>
    </w:p>
    <w:sectPr w:rsidR="001057C0" w:rsidSect="004035C1">
      <w:headerReference w:type="default" r:id="rId11"/>
      <w:footerReference w:type="default" r:id="rId12"/>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692" w:rsidRDefault="00127692" w:rsidP="004035C1">
      <w:pPr>
        <w:spacing w:after="0" w:line="240" w:lineRule="auto"/>
      </w:pPr>
      <w:r>
        <w:separator/>
      </w:r>
    </w:p>
  </w:endnote>
  <w:endnote w:type="continuationSeparator" w:id="0">
    <w:p w:rsidR="00127692" w:rsidRDefault="00127692" w:rsidP="0040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266869"/>
      <w:docPartObj>
        <w:docPartGallery w:val="Page Numbers (Bottom of Page)"/>
        <w:docPartUnique/>
      </w:docPartObj>
    </w:sdtPr>
    <w:sdtEndPr>
      <w:rPr>
        <w:noProof/>
      </w:rPr>
    </w:sdtEndPr>
    <w:sdtContent>
      <w:p w:rsidR="004035C1" w:rsidRDefault="004035C1">
        <w:pPr>
          <w:pStyle w:val="Footer"/>
          <w:jc w:val="center"/>
        </w:pPr>
        <w:r w:rsidRPr="00D60FA1">
          <w:rPr>
            <w:rFonts w:ascii="Times New Roman" w:hAnsi="Times New Roman"/>
          </w:rPr>
          <w:fldChar w:fldCharType="begin"/>
        </w:r>
        <w:r w:rsidRPr="00D60FA1">
          <w:rPr>
            <w:rFonts w:ascii="Times New Roman" w:hAnsi="Times New Roman"/>
          </w:rPr>
          <w:instrText xml:space="preserve"> PAGE   \* MERGEFORMAT </w:instrText>
        </w:r>
        <w:r w:rsidRPr="00D60FA1">
          <w:rPr>
            <w:rFonts w:ascii="Times New Roman" w:hAnsi="Times New Roman"/>
          </w:rPr>
          <w:fldChar w:fldCharType="separate"/>
        </w:r>
        <w:r w:rsidR="008E3F96">
          <w:rPr>
            <w:rFonts w:ascii="Times New Roman" w:hAnsi="Times New Roman"/>
            <w:noProof/>
          </w:rPr>
          <w:t>6</w:t>
        </w:r>
        <w:r w:rsidRPr="00D60FA1">
          <w:rPr>
            <w:rFonts w:ascii="Times New Roman" w:hAnsi="Times New Roman"/>
            <w:noProof/>
          </w:rPr>
          <w:fldChar w:fldCharType="end"/>
        </w:r>
      </w:p>
    </w:sdtContent>
  </w:sdt>
  <w:p w:rsidR="004035C1" w:rsidRDefault="0040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692" w:rsidRDefault="00127692" w:rsidP="004035C1">
      <w:pPr>
        <w:spacing w:after="0" w:line="240" w:lineRule="auto"/>
      </w:pPr>
      <w:r>
        <w:separator/>
      </w:r>
    </w:p>
  </w:footnote>
  <w:footnote w:type="continuationSeparator" w:id="0">
    <w:p w:rsidR="00127692" w:rsidRDefault="00127692" w:rsidP="00403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C1" w:rsidRPr="004035C1" w:rsidRDefault="004035C1" w:rsidP="004035C1">
    <w:pPr>
      <w:pStyle w:val="Heade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44476"/>
    <w:multiLevelType w:val="hybridMultilevel"/>
    <w:tmpl w:val="E4703F5E"/>
    <w:lvl w:ilvl="0" w:tplc="6388E50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EB"/>
    <w:rsid w:val="000257AD"/>
    <w:rsid w:val="000F1EAF"/>
    <w:rsid w:val="001057C0"/>
    <w:rsid w:val="00127692"/>
    <w:rsid w:val="00153416"/>
    <w:rsid w:val="001822A9"/>
    <w:rsid w:val="00402E23"/>
    <w:rsid w:val="004035C1"/>
    <w:rsid w:val="005E191B"/>
    <w:rsid w:val="00656ED8"/>
    <w:rsid w:val="00680000"/>
    <w:rsid w:val="00861A13"/>
    <w:rsid w:val="008A6172"/>
    <w:rsid w:val="008E3F96"/>
    <w:rsid w:val="00A673F9"/>
    <w:rsid w:val="00D60FA1"/>
    <w:rsid w:val="00D84383"/>
    <w:rsid w:val="00F60A11"/>
    <w:rsid w:val="00FF0F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EBDE0-1D06-4CB9-BA8C-BE3DE7A7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FEB"/>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FEB"/>
    <w:rPr>
      <w:color w:val="0000FF"/>
      <w:u w:val="single"/>
    </w:rPr>
  </w:style>
  <w:style w:type="table" w:styleId="TableGrid">
    <w:name w:val="Table Grid"/>
    <w:basedOn w:val="TableNormal"/>
    <w:uiPriority w:val="39"/>
    <w:rsid w:val="00FF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F0FEB"/>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F0FEB"/>
    <w:pPr>
      <w:ind w:left="720"/>
      <w:contextualSpacing/>
    </w:pPr>
  </w:style>
  <w:style w:type="paragraph" w:styleId="Header">
    <w:name w:val="header"/>
    <w:basedOn w:val="Normal"/>
    <w:link w:val="HeaderChar"/>
    <w:uiPriority w:val="99"/>
    <w:unhideWhenUsed/>
    <w:rsid w:val="004035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35C1"/>
    <w:rPr>
      <w:rFonts w:ascii="Calibri" w:eastAsia="Calibri" w:hAnsi="Calibri" w:cs="Times New Roman"/>
    </w:rPr>
  </w:style>
  <w:style w:type="paragraph" w:styleId="Footer">
    <w:name w:val="footer"/>
    <w:basedOn w:val="Normal"/>
    <w:link w:val="FooterChar"/>
    <w:uiPriority w:val="99"/>
    <w:unhideWhenUsed/>
    <w:rsid w:val="004035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35C1"/>
    <w:rPr>
      <w:rFonts w:ascii="Calibri" w:eastAsia="Calibri" w:hAnsi="Calibri" w:cs="Times New Roman"/>
    </w:rPr>
  </w:style>
  <w:style w:type="paragraph" w:styleId="BalloonText">
    <w:name w:val="Balloon Text"/>
    <w:basedOn w:val="Normal"/>
    <w:link w:val="BalloonTextChar"/>
    <w:uiPriority w:val="99"/>
    <w:semiHidden/>
    <w:unhideWhenUsed/>
    <w:rsid w:val="00025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7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2551-par-kulturas-piemineklu-aizsardzib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4234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144278" TargetMode="External"/><Relationship Id="rId4" Type="http://schemas.openxmlformats.org/officeDocument/2006/relationships/webSettings" Target="webSettings.xml"/><Relationship Id="rId9" Type="http://schemas.openxmlformats.org/officeDocument/2006/relationships/hyperlink" Target="https://likumi.lv/ta/id/72551-par-kulturas-piemineklu-aizsardzib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7714</Words>
  <Characters>4398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Par apbedīšanas nozares regulējuma pilnveidošanu</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apbedīšanas nozares regulējuma pilnveidošanu</dc:title>
  <dc:subject>1.pielikums informatīvajam ziņojumam</dc:subject>
  <dc:creator>Solvita Vaivode</dc:creator>
  <cp:keywords/>
  <dc:description>Muzikante 67026930
Dzintra.Muzikante@varam.gov.lv
Vaivode 66016749
Solvita.Vaivode@varam.gov.lv</dc:description>
  <cp:lastModifiedBy>Solvita Vaivode</cp:lastModifiedBy>
  <cp:revision>3</cp:revision>
  <dcterms:created xsi:type="dcterms:W3CDTF">2019-11-06T08:18:00Z</dcterms:created>
  <dcterms:modified xsi:type="dcterms:W3CDTF">2019-11-06T11:23:00Z</dcterms:modified>
  <cp:category>Reģionālā politika</cp:category>
</cp:coreProperties>
</file>