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8175" w14:textId="2EB33081" w:rsidR="00060D24" w:rsidRPr="003608E0" w:rsidRDefault="007472CD" w:rsidP="00F620EC">
      <w:pPr>
        <w:jc w:val="right"/>
        <w:rPr>
          <w:sz w:val="22"/>
        </w:rPr>
      </w:pPr>
      <w:r>
        <w:rPr>
          <w:sz w:val="22"/>
        </w:rPr>
        <w:t>2</w:t>
      </w:r>
      <w:r w:rsidR="00060D24" w:rsidRPr="003608E0">
        <w:rPr>
          <w:sz w:val="22"/>
        </w:rPr>
        <w:t>.pielikums </w:t>
      </w:r>
      <w:r w:rsidR="00060D24" w:rsidRPr="003608E0">
        <w:rPr>
          <w:sz w:val="22"/>
        </w:rPr>
        <w:br/>
        <w:t>Ministru kabineta </w:t>
      </w:r>
      <w:r w:rsidR="00060D24" w:rsidRPr="003608E0">
        <w:rPr>
          <w:sz w:val="22"/>
        </w:rPr>
        <w:br/>
        <w:t>201</w:t>
      </w:r>
      <w:r w:rsidR="0097379B">
        <w:rPr>
          <w:sz w:val="22"/>
        </w:rPr>
        <w:t>9</w:t>
      </w:r>
      <w:r w:rsidR="00060D24" w:rsidRPr="003608E0">
        <w:rPr>
          <w:sz w:val="22"/>
        </w:rPr>
        <w:t xml:space="preserve">.gada </w:t>
      </w:r>
      <w:proofErr w:type="spellStart"/>
      <w:r w:rsidR="00060D24" w:rsidRPr="003608E0">
        <w:rPr>
          <w:sz w:val="22"/>
        </w:rPr>
        <w:t>x.x</w:t>
      </w:r>
      <w:proofErr w:type="spellEnd"/>
      <w:r w:rsidR="00060D24" w:rsidRPr="003608E0">
        <w:rPr>
          <w:sz w:val="22"/>
        </w:rPr>
        <w:t xml:space="preserve"> noteikumiem </w:t>
      </w:r>
      <w:proofErr w:type="spellStart"/>
      <w:r w:rsidR="00060D24" w:rsidRPr="003608E0">
        <w:rPr>
          <w:sz w:val="22"/>
        </w:rPr>
        <w:t>Nr.x</w:t>
      </w:r>
      <w:proofErr w:type="spellEnd"/>
    </w:p>
    <w:p w14:paraId="50A8560C" w14:textId="77777777" w:rsidR="00060D24" w:rsidRPr="003608E0" w:rsidRDefault="00060D24" w:rsidP="00060D24">
      <w:pPr>
        <w:ind w:firstLine="709"/>
        <w:jc w:val="right"/>
      </w:pPr>
    </w:p>
    <w:p w14:paraId="64F9DD9A" w14:textId="77777777" w:rsidR="00060D24" w:rsidRPr="007C3199" w:rsidRDefault="00545D35" w:rsidP="001654F6">
      <w:pPr>
        <w:ind w:firstLine="709"/>
        <w:jc w:val="center"/>
        <w:rPr>
          <w:b/>
          <w:bCs/>
        </w:rPr>
      </w:pPr>
      <w:r w:rsidRPr="007C3199">
        <w:rPr>
          <w:b/>
          <w:bCs/>
        </w:rPr>
        <w:t>Baseina ūdens kvalitātes rādītāji</w:t>
      </w:r>
    </w:p>
    <w:p w14:paraId="60B75594" w14:textId="77777777" w:rsidR="00060D24" w:rsidRPr="007C3199" w:rsidRDefault="00060D24" w:rsidP="00060D24">
      <w:pPr>
        <w:ind w:firstLine="709"/>
        <w:jc w:val="center"/>
        <w:rPr>
          <w:bCs/>
        </w:rPr>
      </w:pP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944"/>
        <w:gridCol w:w="3733"/>
        <w:gridCol w:w="1988"/>
        <w:gridCol w:w="2396"/>
      </w:tblGrid>
      <w:tr w:rsidR="00F01ACC" w:rsidRPr="007C3199" w14:paraId="7500B3A2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5AF989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23F6C0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Kvalitātes rādītāji</w:t>
            </w:r>
            <w:r w:rsidR="002C6236"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</w:tcPr>
          <w:p w14:paraId="3BBE18DD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Maksimāli pieļaujamā norma</w:t>
            </w:r>
          </w:p>
        </w:tc>
        <w:tc>
          <w:tcPr>
            <w:tcW w:w="2396" w:type="dxa"/>
          </w:tcPr>
          <w:p w14:paraId="06CCAC75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6862414"/>
            <w:r w:rsidRPr="007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Noteikšanas biežums akreditētā laboratorijā</w:t>
            </w:r>
            <w:bookmarkEnd w:id="0"/>
          </w:p>
        </w:tc>
      </w:tr>
      <w:tr w:rsidR="00F01ACC" w:rsidRPr="007C3199" w14:paraId="169173CE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F8315B" w14:textId="77777777" w:rsidR="00F01ACC" w:rsidRPr="007C3199" w:rsidRDefault="00545D35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A524A" w14:textId="77777777" w:rsidR="00F01ACC" w:rsidRPr="007C3199" w:rsidRDefault="00545D35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Fizikāli ķīmiskie rādītāji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5783BFBE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14:paraId="745FB436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CC" w:rsidRPr="007C3199" w14:paraId="50F7D76E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1466CC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B88C74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caurspīdība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74F13101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dzidrs</w:t>
            </w:r>
          </w:p>
        </w:tc>
        <w:tc>
          <w:tcPr>
            <w:tcW w:w="2396" w:type="dxa"/>
          </w:tcPr>
          <w:p w14:paraId="63F1DEA9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ACC" w:rsidRPr="007C3199" w14:paraId="7711364F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06F3A" w14:textId="4296B6CD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7DCDC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amonijs, mg/l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30C721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6" w:type="dxa"/>
          </w:tcPr>
          <w:p w14:paraId="0954035A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0E4CDE11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01B7DD" w14:textId="77777777" w:rsidR="00F01ACC" w:rsidRPr="007C3199" w:rsidRDefault="00CC29A9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75C7E" w14:textId="77777777" w:rsidR="00F01ACC" w:rsidRPr="007C3199" w:rsidRDefault="00545D35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/>
                <w:sz w:val="24"/>
                <w:szCs w:val="24"/>
              </w:rPr>
              <w:t>Mikrobioloģiskie rādītāji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44B5A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dxa"/>
          </w:tcPr>
          <w:p w14:paraId="7FEBA604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ACC" w:rsidRPr="007C3199" w14:paraId="045D2EE2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FFA55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6365A5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Coli</w:t>
            </w:r>
            <w:proofErr w:type="spellEnd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 formas baktēriju skaits/100 ml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3F51D1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0–20</w:t>
            </w:r>
          </w:p>
        </w:tc>
        <w:tc>
          <w:tcPr>
            <w:tcW w:w="2396" w:type="dxa"/>
          </w:tcPr>
          <w:p w14:paraId="7A32A7D2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6EA5C9AB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DC56DE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D300D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 skaits/100 ml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965C6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14:paraId="1B322AEF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1D16E907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36A3D3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37B57C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P.aeruginosa</w:t>
            </w:r>
            <w:proofErr w:type="spellEnd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 skaits/100 ml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A3C1A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14:paraId="69207434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reizi mēnesī</w:t>
            </w:r>
          </w:p>
        </w:tc>
      </w:tr>
      <w:tr w:rsidR="00F01ACC" w:rsidRPr="007C3199" w14:paraId="5521C2F3" w14:textId="77777777" w:rsidTr="00832873">
        <w:tc>
          <w:tcPr>
            <w:tcW w:w="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667DE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3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FB7D94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Helmintu</w:t>
            </w:r>
            <w:proofErr w:type="spellEnd"/>
            <w:r w:rsidRPr="007C3199">
              <w:rPr>
                <w:rFonts w:ascii="Times New Roman" w:hAnsi="Times New Roman" w:cs="Times New Roman"/>
                <w:sz w:val="24"/>
                <w:szCs w:val="24"/>
              </w:rPr>
              <w:t xml:space="preserve"> skaits/10 l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D46A4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6" w:type="dxa"/>
          </w:tcPr>
          <w:p w14:paraId="305C0467" w14:textId="77777777" w:rsidR="00F01ACC" w:rsidRPr="007C3199" w:rsidRDefault="00F01ACC" w:rsidP="003608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99">
              <w:rPr>
                <w:rFonts w:ascii="Times New Roman" w:hAnsi="Times New Roman" w:cs="Times New Roman"/>
                <w:bCs/>
                <w:sz w:val="24"/>
                <w:szCs w:val="24"/>
              </w:rPr>
              <w:t>2 reizes gadā</w:t>
            </w:r>
          </w:p>
        </w:tc>
      </w:tr>
    </w:tbl>
    <w:p w14:paraId="527B72EE" w14:textId="77777777" w:rsidR="00DC23A9" w:rsidRDefault="00DC23A9" w:rsidP="004651D1">
      <w:pPr>
        <w:jc w:val="both"/>
      </w:pPr>
    </w:p>
    <w:p w14:paraId="0B40D4D3" w14:textId="067F4EBE" w:rsidR="00095DA8" w:rsidRDefault="002C6236" w:rsidP="004651D1">
      <w:pPr>
        <w:jc w:val="both"/>
      </w:pPr>
      <w:r w:rsidRPr="007C3199">
        <w:t xml:space="preserve">* Prasības </w:t>
      </w:r>
      <w:r w:rsidR="00DD4F0D" w:rsidRPr="007C3199">
        <w:t>ne</w:t>
      </w:r>
      <w:r w:rsidRPr="007C3199">
        <w:t xml:space="preserve">attiecas uz baseiniem, kas </w:t>
      </w:r>
      <w:r w:rsidR="00DD4F0D" w:rsidRPr="007C3199">
        <w:t xml:space="preserve">atrodas pirtīs (saunās) un kuru pakalpojumi netiek piedāvāti kā atsevišķi </w:t>
      </w:r>
      <w:r w:rsidR="000B7126" w:rsidRPr="007C3199">
        <w:t>baseina pakalpojumi</w:t>
      </w:r>
      <w:r w:rsidR="00F3156B" w:rsidRPr="007C3199">
        <w:t xml:space="preserve"> un uz baseiniem</w:t>
      </w:r>
      <w:r w:rsidR="00E17C89">
        <w:t xml:space="preserve"> vai</w:t>
      </w:r>
      <w:r w:rsidR="00775A5F">
        <w:t xml:space="preserve"> </w:t>
      </w:r>
      <w:r w:rsidR="00F3156B" w:rsidRPr="007C3199">
        <w:t xml:space="preserve">vannām bez </w:t>
      </w:r>
      <w:r w:rsidR="00A56E5E" w:rsidRPr="007C3199">
        <w:t xml:space="preserve">speciālām </w:t>
      </w:r>
      <w:r w:rsidR="00F3156B" w:rsidRPr="007C3199">
        <w:t>ūdens attīrīšanas iekārtām</w:t>
      </w:r>
      <w:r w:rsidR="004651D1" w:rsidRPr="007C3199">
        <w:t>, kuros ūdeni nomaina pēc katra apmeklētāja.</w:t>
      </w:r>
    </w:p>
    <w:p w14:paraId="279FFBB7" w14:textId="3F885D58" w:rsidR="00D62A81" w:rsidRDefault="00D62A81" w:rsidP="004651D1">
      <w:pPr>
        <w:jc w:val="both"/>
        <w:rPr>
          <w:bCs/>
        </w:rPr>
      </w:pPr>
    </w:p>
    <w:p w14:paraId="6D71C5D8" w14:textId="40BFD73F" w:rsidR="00D62A81" w:rsidRDefault="00D62A81" w:rsidP="004651D1">
      <w:pPr>
        <w:jc w:val="both"/>
        <w:rPr>
          <w:bCs/>
        </w:rPr>
      </w:pPr>
    </w:p>
    <w:p w14:paraId="630791BF" w14:textId="346F3C08" w:rsidR="00D62A81" w:rsidRDefault="00D62A81" w:rsidP="004651D1">
      <w:pPr>
        <w:jc w:val="both"/>
        <w:rPr>
          <w:bCs/>
        </w:rPr>
      </w:pPr>
    </w:p>
    <w:p w14:paraId="2A5ECB1C" w14:textId="77777777" w:rsidR="00D62A81" w:rsidRPr="007C3199" w:rsidRDefault="00D62A81" w:rsidP="004651D1">
      <w:pPr>
        <w:jc w:val="both"/>
        <w:rPr>
          <w:bCs/>
        </w:rPr>
      </w:pPr>
    </w:p>
    <w:p w14:paraId="212E3710" w14:textId="3CA9EB40" w:rsidR="00D62A81" w:rsidRPr="00D62A81" w:rsidRDefault="00D62A81" w:rsidP="00D62A81">
      <w:pPr>
        <w:rPr>
          <w:bCs/>
          <w:sz w:val="28"/>
          <w:szCs w:val="28"/>
        </w:rPr>
      </w:pPr>
      <w:r w:rsidRPr="00D62A81">
        <w:rPr>
          <w:bCs/>
          <w:sz w:val="28"/>
          <w:szCs w:val="28"/>
        </w:rPr>
        <w:t>Veselības ministre</w:t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  <w:t xml:space="preserve">                 I</w:t>
      </w:r>
      <w:r w:rsidR="00E17C89">
        <w:rPr>
          <w:bCs/>
          <w:sz w:val="28"/>
          <w:szCs w:val="28"/>
        </w:rPr>
        <w:t>.</w:t>
      </w:r>
      <w:r w:rsidRPr="00D62A81">
        <w:rPr>
          <w:bCs/>
          <w:sz w:val="28"/>
          <w:szCs w:val="28"/>
        </w:rPr>
        <w:t xml:space="preserve"> Viņķele</w:t>
      </w:r>
    </w:p>
    <w:p w14:paraId="05031438" w14:textId="77777777" w:rsidR="00D62A81" w:rsidRPr="00D62A81" w:rsidRDefault="00D62A81" w:rsidP="00D62A81">
      <w:pPr>
        <w:rPr>
          <w:bCs/>
          <w:sz w:val="28"/>
          <w:szCs w:val="28"/>
        </w:rPr>
      </w:pPr>
    </w:p>
    <w:p w14:paraId="622B4CAF" w14:textId="5DB2D21C" w:rsidR="00D62A81" w:rsidRPr="00D62A81" w:rsidRDefault="00D62A81" w:rsidP="00D62A81">
      <w:pPr>
        <w:rPr>
          <w:bCs/>
          <w:sz w:val="28"/>
          <w:szCs w:val="28"/>
        </w:rPr>
      </w:pPr>
      <w:r w:rsidRPr="00D62A81">
        <w:rPr>
          <w:bCs/>
          <w:sz w:val="28"/>
          <w:szCs w:val="28"/>
        </w:rPr>
        <w:t>Iesniedzējs: Veselības ministre</w:t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  <w:t xml:space="preserve">       I</w:t>
      </w:r>
      <w:r w:rsidR="00E17C89">
        <w:rPr>
          <w:bCs/>
          <w:sz w:val="28"/>
          <w:szCs w:val="28"/>
        </w:rPr>
        <w:t>.</w:t>
      </w:r>
      <w:r w:rsidRPr="00D62A81">
        <w:rPr>
          <w:bCs/>
          <w:sz w:val="28"/>
          <w:szCs w:val="28"/>
        </w:rPr>
        <w:t xml:space="preserve"> Viņķele</w:t>
      </w:r>
    </w:p>
    <w:p w14:paraId="3229B316" w14:textId="77777777" w:rsidR="00D62A81" w:rsidRPr="00D62A81" w:rsidRDefault="00D62A81" w:rsidP="00D62A81">
      <w:pPr>
        <w:rPr>
          <w:bCs/>
          <w:sz w:val="28"/>
          <w:szCs w:val="28"/>
        </w:rPr>
      </w:pPr>
    </w:p>
    <w:p w14:paraId="04C820D9" w14:textId="30337089" w:rsidR="00D62A81" w:rsidRPr="00D62A81" w:rsidRDefault="00D62A81" w:rsidP="00D62A81">
      <w:pPr>
        <w:rPr>
          <w:bCs/>
          <w:sz w:val="28"/>
          <w:szCs w:val="28"/>
        </w:rPr>
      </w:pPr>
      <w:r w:rsidRPr="00D62A81">
        <w:rPr>
          <w:bCs/>
          <w:sz w:val="28"/>
          <w:szCs w:val="28"/>
        </w:rPr>
        <w:t xml:space="preserve">Vīza: Valsts sekretāre                          </w:t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</w:r>
      <w:r w:rsidRPr="00D62A81">
        <w:rPr>
          <w:bCs/>
          <w:sz w:val="28"/>
          <w:szCs w:val="28"/>
        </w:rPr>
        <w:tab/>
        <w:t xml:space="preserve">   D</w:t>
      </w:r>
      <w:r w:rsidR="00E17C89">
        <w:rPr>
          <w:bCs/>
          <w:sz w:val="28"/>
          <w:szCs w:val="28"/>
        </w:rPr>
        <w:t>.</w:t>
      </w:r>
      <w:r w:rsidRPr="00D62A81">
        <w:rPr>
          <w:bCs/>
          <w:sz w:val="28"/>
          <w:szCs w:val="28"/>
        </w:rPr>
        <w:t xml:space="preserve"> </w:t>
      </w:r>
      <w:proofErr w:type="spellStart"/>
      <w:r w:rsidRPr="00D62A81">
        <w:rPr>
          <w:bCs/>
          <w:sz w:val="28"/>
          <w:szCs w:val="28"/>
        </w:rPr>
        <w:t>Mūrmane-Umbraško</w:t>
      </w:r>
      <w:proofErr w:type="spellEnd"/>
    </w:p>
    <w:p w14:paraId="0CA0CDBF" w14:textId="77777777" w:rsidR="00D62A81" w:rsidRPr="00D62A81" w:rsidRDefault="00D62A81" w:rsidP="00D62A81">
      <w:pPr>
        <w:rPr>
          <w:bCs/>
        </w:rPr>
      </w:pPr>
    </w:p>
    <w:p w14:paraId="1001D29C" w14:textId="77777777" w:rsidR="00D62A81" w:rsidRPr="00D62A81" w:rsidRDefault="00D62A81" w:rsidP="00D62A81">
      <w:pPr>
        <w:rPr>
          <w:bCs/>
        </w:rPr>
      </w:pPr>
      <w:r w:rsidRPr="00D62A81">
        <w:rPr>
          <w:bCs/>
        </w:rPr>
        <w:t xml:space="preserve">                                                                            </w:t>
      </w:r>
    </w:p>
    <w:p w14:paraId="51314F62" w14:textId="77777777" w:rsidR="0088039B" w:rsidRPr="007C3199" w:rsidRDefault="0088039B" w:rsidP="00223A5D">
      <w:pPr>
        <w:rPr>
          <w:bCs/>
        </w:rPr>
      </w:pPr>
      <w:bookmarkStart w:id="1" w:name="_GoBack"/>
      <w:bookmarkEnd w:id="1"/>
    </w:p>
    <w:sectPr w:rsidR="0088039B" w:rsidRPr="007C3199" w:rsidSect="0057601D">
      <w:headerReference w:type="default" r:id="rId8"/>
      <w:footerReference w:type="default" r:id="rId9"/>
      <w:footerReference w:type="first" r:id="rId10"/>
      <w:pgSz w:w="11906" w:h="16838" w:code="9"/>
      <w:pgMar w:top="156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7FBB" w14:textId="77777777" w:rsidR="00045268" w:rsidRDefault="00045268">
      <w:r>
        <w:separator/>
      </w:r>
    </w:p>
  </w:endnote>
  <w:endnote w:type="continuationSeparator" w:id="0">
    <w:p w14:paraId="16FD51C5" w14:textId="77777777" w:rsidR="00045268" w:rsidRDefault="000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0923" w14:textId="42893297" w:rsidR="00CF3BB6" w:rsidRPr="00B446E7" w:rsidRDefault="00CF3BB6" w:rsidP="00B446E7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3A16E6">
      <w:rPr>
        <w:sz w:val="20"/>
        <w:szCs w:val="20"/>
      </w:rPr>
      <w:t>14</w:t>
    </w:r>
    <w:r w:rsidR="00654DD3">
      <w:rPr>
        <w:sz w:val="20"/>
        <w:szCs w:val="20"/>
      </w:rPr>
      <w:t>03</w:t>
    </w:r>
    <w:r w:rsidR="002310CE">
      <w:rPr>
        <w:sz w:val="20"/>
        <w:szCs w:val="20"/>
      </w:rPr>
      <w:t>19_peld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C838" w14:textId="3E440EED" w:rsidR="00CF3BB6" w:rsidRPr="00425207" w:rsidRDefault="00CF3BB6" w:rsidP="00425207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="00DC23A9">
      <w:rPr>
        <w:sz w:val="20"/>
        <w:szCs w:val="20"/>
      </w:rPr>
      <w:t>p2</w:t>
    </w:r>
    <w:r>
      <w:rPr>
        <w:sz w:val="20"/>
        <w:szCs w:val="20"/>
      </w:rPr>
      <w:t>_</w:t>
    </w:r>
    <w:r w:rsidR="00BE4D93">
      <w:rPr>
        <w:sz w:val="20"/>
        <w:szCs w:val="20"/>
      </w:rPr>
      <w:t>221019</w:t>
    </w:r>
    <w:r>
      <w:rPr>
        <w:sz w:val="20"/>
        <w:szCs w:val="20"/>
      </w:rPr>
      <w:t>_</w:t>
    </w:r>
    <w:r w:rsidR="002310CE">
      <w:rPr>
        <w:sz w:val="20"/>
        <w:szCs w:val="20"/>
      </w:rPr>
      <w:t>peld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6E59" w14:textId="77777777" w:rsidR="00045268" w:rsidRDefault="00045268">
      <w:r>
        <w:separator/>
      </w:r>
    </w:p>
  </w:footnote>
  <w:footnote w:type="continuationSeparator" w:id="0">
    <w:p w14:paraId="77729D28" w14:textId="77777777" w:rsidR="00045268" w:rsidRDefault="0004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15BE8" w14:textId="77777777" w:rsidR="00CF3BB6" w:rsidRDefault="00B072A8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923D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01DBB"/>
    <w:multiLevelType w:val="hybridMultilevel"/>
    <w:tmpl w:val="05AA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0DAA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5268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3F84"/>
    <w:rsid w:val="000B5288"/>
    <w:rsid w:val="000B7126"/>
    <w:rsid w:val="000C35E5"/>
    <w:rsid w:val="000C3AA9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4D73"/>
    <w:rsid w:val="00187B64"/>
    <w:rsid w:val="00191351"/>
    <w:rsid w:val="0019143E"/>
    <w:rsid w:val="001920E1"/>
    <w:rsid w:val="00195C3B"/>
    <w:rsid w:val="00196238"/>
    <w:rsid w:val="001970EA"/>
    <w:rsid w:val="001A00C8"/>
    <w:rsid w:val="001A6067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1072E"/>
    <w:rsid w:val="00210FC0"/>
    <w:rsid w:val="00216C6D"/>
    <w:rsid w:val="00220072"/>
    <w:rsid w:val="00221B01"/>
    <w:rsid w:val="00223A5D"/>
    <w:rsid w:val="002252D0"/>
    <w:rsid w:val="00226FEB"/>
    <w:rsid w:val="00227BC0"/>
    <w:rsid w:val="002310CE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5609"/>
    <w:rsid w:val="002704AC"/>
    <w:rsid w:val="00281084"/>
    <w:rsid w:val="00281E4A"/>
    <w:rsid w:val="00281F66"/>
    <w:rsid w:val="0028200C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205E"/>
    <w:rsid w:val="002C4106"/>
    <w:rsid w:val="002C51C0"/>
    <w:rsid w:val="002C5D52"/>
    <w:rsid w:val="002C6236"/>
    <w:rsid w:val="002C77C2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3B68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5BA5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364A"/>
    <w:rsid w:val="003863F1"/>
    <w:rsid w:val="00387285"/>
    <w:rsid w:val="003904F9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B6775"/>
    <w:rsid w:val="003B7824"/>
    <w:rsid w:val="003C0F3E"/>
    <w:rsid w:val="003C1644"/>
    <w:rsid w:val="003C368A"/>
    <w:rsid w:val="003C4ED9"/>
    <w:rsid w:val="003C5319"/>
    <w:rsid w:val="003D1720"/>
    <w:rsid w:val="003E1992"/>
    <w:rsid w:val="003E2E04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203E7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491A"/>
    <w:rsid w:val="005003A0"/>
    <w:rsid w:val="00501586"/>
    <w:rsid w:val="005111D9"/>
    <w:rsid w:val="00511FE3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553E"/>
    <w:rsid w:val="00555F1A"/>
    <w:rsid w:val="00556731"/>
    <w:rsid w:val="00556FEE"/>
    <w:rsid w:val="005604ED"/>
    <w:rsid w:val="00561F64"/>
    <w:rsid w:val="005622E4"/>
    <w:rsid w:val="00563471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66AB"/>
    <w:rsid w:val="0059785F"/>
    <w:rsid w:val="005A2632"/>
    <w:rsid w:val="005A6234"/>
    <w:rsid w:val="005A731F"/>
    <w:rsid w:val="005B323F"/>
    <w:rsid w:val="005B36B0"/>
    <w:rsid w:val="005B6D50"/>
    <w:rsid w:val="005C0B71"/>
    <w:rsid w:val="005C0F4D"/>
    <w:rsid w:val="005C2472"/>
    <w:rsid w:val="005C2A8B"/>
    <w:rsid w:val="005C2DB2"/>
    <w:rsid w:val="005C2E05"/>
    <w:rsid w:val="005C78D9"/>
    <w:rsid w:val="005C7F82"/>
    <w:rsid w:val="005D0292"/>
    <w:rsid w:val="005D285F"/>
    <w:rsid w:val="005D534B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66CE"/>
    <w:rsid w:val="0061113E"/>
    <w:rsid w:val="00611829"/>
    <w:rsid w:val="00612F42"/>
    <w:rsid w:val="00615BB4"/>
    <w:rsid w:val="00616ACE"/>
    <w:rsid w:val="00621187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4350"/>
    <w:rsid w:val="006E5D5F"/>
    <w:rsid w:val="006E5FE2"/>
    <w:rsid w:val="006E6074"/>
    <w:rsid w:val="006E6314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621"/>
    <w:rsid w:val="00712B5F"/>
    <w:rsid w:val="00714B41"/>
    <w:rsid w:val="00715142"/>
    <w:rsid w:val="00715535"/>
    <w:rsid w:val="00717CFC"/>
    <w:rsid w:val="00721036"/>
    <w:rsid w:val="00723EEA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A5F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3199"/>
    <w:rsid w:val="007C3B3D"/>
    <w:rsid w:val="007C63F0"/>
    <w:rsid w:val="007C65F7"/>
    <w:rsid w:val="007D15C9"/>
    <w:rsid w:val="007D3D70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2873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80227"/>
    <w:rsid w:val="0088039B"/>
    <w:rsid w:val="00880462"/>
    <w:rsid w:val="008835CF"/>
    <w:rsid w:val="008838C6"/>
    <w:rsid w:val="00887ACE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73A"/>
    <w:rsid w:val="00980D1E"/>
    <w:rsid w:val="0098250B"/>
    <w:rsid w:val="0098390C"/>
    <w:rsid w:val="009842BB"/>
    <w:rsid w:val="00985618"/>
    <w:rsid w:val="00985E3B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C38"/>
    <w:rsid w:val="00A02CBF"/>
    <w:rsid w:val="00A02F96"/>
    <w:rsid w:val="00A0597C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31EF3"/>
    <w:rsid w:val="00A34008"/>
    <w:rsid w:val="00A36D89"/>
    <w:rsid w:val="00A37164"/>
    <w:rsid w:val="00A44233"/>
    <w:rsid w:val="00A442F3"/>
    <w:rsid w:val="00A52124"/>
    <w:rsid w:val="00A558DC"/>
    <w:rsid w:val="00A56E5E"/>
    <w:rsid w:val="00A56E93"/>
    <w:rsid w:val="00A62016"/>
    <w:rsid w:val="00A65303"/>
    <w:rsid w:val="00A67517"/>
    <w:rsid w:val="00A6794B"/>
    <w:rsid w:val="00A72EB4"/>
    <w:rsid w:val="00A732A6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EB1"/>
    <w:rsid w:val="00AA6FB6"/>
    <w:rsid w:val="00AB0A05"/>
    <w:rsid w:val="00AB0AC9"/>
    <w:rsid w:val="00AB14A1"/>
    <w:rsid w:val="00AB1DFE"/>
    <w:rsid w:val="00AB2DDE"/>
    <w:rsid w:val="00AB7105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05E1"/>
    <w:rsid w:val="00B01007"/>
    <w:rsid w:val="00B04677"/>
    <w:rsid w:val="00B072A8"/>
    <w:rsid w:val="00B11698"/>
    <w:rsid w:val="00B12F17"/>
    <w:rsid w:val="00B1462E"/>
    <w:rsid w:val="00B1583A"/>
    <w:rsid w:val="00B16A5E"/>
    <w:rsid w:val="00B2069D"/>
    <w:rsid w:val="00B249E8"/>
    <w:rsid w:val="00B255CC"/>
    <w:rsid w:val="00B276F8"/>
    <w:rsid w:val="00B276FB"/>
    <w:rsid w:val="00B27BF6"/>
    <w:rsid w:val="00B27FF1"/>
    <w:rsid w:val="00B30445"/>
    <w:rsid w:val="00B30D1A"/>
    <w:rsid w:val="00B33855"/>
    <w:rsid w:val="00B42822"/>
    <w:rsid w:val="00B4323F"/>
    <w:rsid w:val="00B439F9"/>
    <w:rsid w:val="00B441A0"/>
    <w:rsid w:val="00B446E7"/>
    <w:rsid w:val="00B45373"/>
    <w:rsid w:val="00B47B67"/>
    <w:rsid w:val="00B55687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584F"/>
    <w:rsid w:val="00BA42FF"/>
    <w:rsid w:val="00BA506B"/>
    <w:rsid w:val="00BA6721"/>
    <w:rsid w:val="00BB0D11"/>
    <w:rsid w:val="00BB487A"/>
    <w:rsid w:val="00BB50A5"/>
    <w:rsid w:val="00BC4543"/>
    <w:rsid w:val="00BD20F7"/>
    <w:rsid w:val="00BD688C"/>
    <w:rsid w:val="00BE077F"/>
    <w:rsid w:val="00BE4A71"/>
    <w:rsid w:val="00BE4D93"/>
    <w:rsid w:val="00BF2563"/>
    <w:rsid w:val="00BF26B8"/>
    <w:rsid w:val="00C00364"/>
    <w:rsid w:val="00C00A8E"/>
    <w:rsid w:val="00C04176"/>
    <w:rsid w:val="00C05B62"/>
    <w:rsid w:val="00C11E05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E4D"/>
    <w:rsid w:val="00D62A81"/>
    <w:rsid w:val="00D64092"/>
    <w:rsid w:val="00D651B6"/>
    <w:rsid w:val="00D65840"/>
    <w:rsid w:val="00D66CE7"/>
    <w:rsid w:val="00D67287"/>
    <w:rsid w:val="00D704D5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96F"/>
    <w:rsid w:val="00D962ED"/>
    <w:rsid w:val="00D97DB1"/>
    <w:rsid w:val="00DA0B88"/>
    <w:rsid w:val="00DA4BAA"/>
    <w:rsid w:val="00DA7D9F"/>
    <w:rsid w:val="00DA7F29"/>
    <w:rsid w:val="00DB3D98"/>
    <w:rsid w:val="00DB4757"/>
    <w:rsid w:val="00DB6920"/>
    <w:rsid w:val="00DC23A9"/>
    <w:rsid w:val="00DC25B2"/>
    <w:rsid w:val="00DC4163"/>
    <w:rsid w:val="00DC6CA2"/>
    <w:rsid w:val="00DD016B"/>
    <w:rsid w:val="00DD22ED"/>
    <w:rsid w:val="00DD4F0D"/>
    <w:rsid w:val="00DD5D81"/>
    <w:rsid w:val="00DD654B"/>
    <w:rsid w:val="00DD6EC8"/>
    <w:rsid w:val="00DE17DC"/>
    <w:rsid w:val="00DE756F"/>
    <w:rsid w:val="00DF6172"/>
    <w:rsid w:val="00E001F9"/>
    <w:rsid w:val="00E032E0"/>
    <w:rsid w:val="00E03B92"/>
    <w:rsid w:val="00E05670"/>
    <w:rsid w:val="00E1031D"/>
    <w:rsid w:val="00E1080A"/>
    <w:rsid w:val="00E169B9"/>
    <w:rsid w:val="00E17C89"/>
    <w:rsid w:val="00E21A1B"/>
    <w:rsid w:val="00E23F16"/>
    <w:rsid w:val="00E25C04"/>
    <w:rsid w:val="00E26E45"/>
    <w:rsid w:val="00E31BF7"/>
    <w:rsid w:val="00E3289E"/>
    <w:rsid w:val="00E33DF5"/>
    <w:rsid w:val="00E35733"/>
    <w:rsid w:val="00E368BA"/>
    <w:rsid w:val="00E36A1B"/>
    <w:rsid w:val="00E42626"/>
    <w:rsid w:val="00E43197"/>
    <w:rsid w:val="00E445FE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71EE7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7F03"/>
    <w:rsid w:val="00EE1133"/>
    <w:rsid w:val="00EE204D"/>
    <w:rsid w:val="00EE50AB"/>
    <w:rsid w:val="00EE78B1"/>
    <w:rsid w:val="00EF258D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6632"/>
    <w:rsid w:val="00F476C0"/>
    <w:rsid w:val="00F47D20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E25"/>
    <w:rsid w:val="00F801B9"/>
    <w:rsid w:val="00F844B6"/>
    <w:rsid w:val="00F852DE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A53ABC"/>
  <w15:docId w15:val="{F09480D0-A95D-488A-819A-673B91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7FC1-D9EB-41C5-A3A3-D1C2AD28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Anita Segliņa</cp:lastModifiedBy>
  <cp:revision>4</cp:revision>
  <cp:lastPrinted>2018-10-10T06:44:00Z</cp:lastPrinted>
  <dcterms:created xsi:type="dcterms:W3CDTF">2019-10-15T08:03:00Z</dcterms:created>
  <dcterms:modified xsi:type="dcterms:W3CDTF">2019-10-22T08:10:00Z</dcterms:modified>
  <cp:contentStatus>67876087, ruta.ozolina@vm.gov.lv</cp:contentStatus>
</cp:coreProperties>
</file>