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48AAF" w14:textId="77777777" w:rsidR="009C238F" w:rsidRPr="001B3D6B" w:rsidRDefault="00F8778E" w:rsidP="009C238F">
      <w:pPr>
        <w:jc w:val="center"/>
        <w:rPr>
          <w:rFonts w:eastAsia="Times New Roman" w:cs="Times New Roman"/>
          <w:b/>
          <w:szCs w:val="24"/>
          <w:lang w:eastAsia="lv-LV"/>
        </w:rPr>
      </w:pPr>
      <w:r w:rsidRPr="001B3D6B">
        <w:rPr>
          <w:rFonts w:eastAsia="Times New Roman" w:cs="Times New Roman"/>
          <w:b/>
          <w:szCs w:val="24"/>
          <w:lang w:eastAsia="lv-LV"/>
        </w:rPr>
        <w:t xml:space="preserve">  </w:t>
      </w:r>
      <w:r w:rsidR="009C238F" w:rsidRPr="001B3D6B">
        <w:rPr>
          <w:rFonts w:eastAsia="Times New Roman" w:cs="Times New Roman"/>
          <w:b/>
          <w:szCs w:val="24"/>
          <w:lang w:eastAsia="lv-LV"/>
        </w:rPr>
        <w:t>Izziņa par atzinumos sniegtajiem iebildumiem</w:t>
      </w:r>
    </w:p>
    <w:p w14:paraId="38B92DB2" w14:textId="77777777" w:rsidR="00417FEF" w:rsidRPr="001B3D6B" w:rsidRDefault="00DE1450" w:rsidP="009C238F">
      <w:pPr>
        <w:jc w:val="center"/>
        <w:rPr>
          <w:rFonts w:eastAsia="Times New Roman" w:cs="Times New Roman"/>
          <w:b/>
          <w:bCs/>
          <w:szCs w:val="24"/>
          <w:lang w:eastAsia="lv-LV"/>
        </w:rPr>
      </w:pPr>
      <w:r>
        <w:rPr>
          <w:rFonts w:eastAsia="Times New Roman" w:cs="Times New Roman"/>
          <w:b/>
          <w:bCs/>
          <w:szCs w:val="24"/>
          <w:lang w:eastAsia="lv-LV"/>
        </w:rPr>
        <w:t>Ministru kabineta rīkojuma projektam</w:t>
      </w:r>
      <w:r w:rsidR="00E72CD0" w:rsidRPr="001B3D6B">
        <w:rPr>
          <w:rFonts w:eastAsia="Times New Roman" w:cs="Times New Roman"/>
          <w:b/>
          <w:bCs/>
          <w:szCs w:val="24"/>
          <w:lang w:eastAsia="lv-LV"/>
        </w:rPr>
        <w:t xml:space="preserve"> </w:t>
      </w:r>
      <w:r w:rsidR="00EC700E" w:rsidRPr="001B3D6B">
        <w:rPr>
          <w:rFonts w:cs="Times New Roman"/>
          <w:b/>
          <w:szCs w:val="24"/>
          <w:lang w:eastAsia="lv-LV"/>
        </w:rPr>
        <w:t>“</w:t>
      </w:r>
      <w:r>
        <w:rPr>
          <w:rFonts w:cs="Times New Roman"/>
          <w:b/>
          <w:szCs w:val="24"/>
          <w:lang w:eastAsia="lv-LV"/>
        </w:rPr>
        <w:t>Par finanšu līdzekļu piešķiršanu biedrībai “</w:t>
      </w:r>
      <w:r w:rsidRPr="00DE1450">
        <w:rPr>
          <w:rFonts w:cs="Times New Roman"/>
          <w:b/>
          <w:szCs w:val="24"/>
          <w:lang w:eastAsia="lv-LV"/>
        </w:rPr>
        <w:t>BEZVESTS.LV</w:t>
      </w:r>
      <w:r w:rsidR="00EC700E" w:rsidRPr="001B3D6B">
        <w:rPr>
          <w:rFonts w:cs="Times New Roman"/>
          <w:b/>
          <w:szCs w:val="24"/>
          <w:lang w:eastAsia="lv-LV"/>
        </w:rPr>
        <w:t xml:space="preserve">” </w:t>
      </w:r>
      <w:r w:rsidR="00E72CD0" w:rsidRPr="001B3D6B">
        <w:rPr>
          <w:rFonts w:eastAsia="Times New Roman" w:cs="Times New Roman"/>
          <w:b/>
          <w:bCs/>
          <w:szCs w:val="24"/>
          <w:lang w:eastAsia="lv-LV"/>
        </w:rPr>
        <w:t>(VSS-</w:t>
      </w:r>
      <w:r>
        <w:rPr>
          <w:rFonts w:eastAsia="Times New Roman" w:cs="Times New Roman"/>
          <w:b/>
          <w:bCs/>
          <w:szCs w:val="24"/>
          <w:lang w:eastAsia="lv-LV"/>
        </w:rPr>
        <w:t>791</w:t>
      </w:r>
      <w:r w:rsidR="00E72CD0" w:rsidRPr="001B3D6B">
        <w:rPr>
          <w:rFonts w:eastAsia="Times New Roman" w:cs="Times New Roman"/>
          <w:b/>
          <w:bCs/>
          <w:szCs w:val="24"/>
          <w:lang w:eastAsia="lv-LV"/>
        </w:rPr>
        <w:t>)</w:t>
      </w:r>
    </w:p>
    <w:p w14:paraId="331AE280" w14:textId="77777777" w:rsidR="00E72CD0" w:rsidRDefault="00E72CD0" w:rsidP="009C238F">
      <w:pPr>
        <w:jc w:val="center"/>
        <w:rPr>
          <w:rFonts w:eastAsia="Times New Roman" w:cs="Times New Roman"/>
          <w:b/>
          <w:szCs w:val="24"/>
          <w:lang w:eastAsia="lv-LV"/>
        </w:rPr>
      </w:pPr>
    </w:p>
    <w:p w14:paraId="2970245D" w14:textId="77777777" w:rsidR="00E34BA4" w:rsidRPr="001B3D6B" w:rsidRDefault="00E34BA4" w:rsidP="009C238F">
      <w:pPr>
        <w:jc w:val="center"/>
        <w:rPr>
          <w:rFonts w:eastAsia="Times New Roman" w:cs="Times New Roman"/>
          <w:b/>
          <w:szCs w:val="24"/>
          <w:lang w:eastAsia="lv-LV"/>
        </w:rPr>
      </w:pPr>
    </w:p>
    <w:p w14:paraId="4E2FD1C9" w14:textId="77777777" w:rsidR="003B137A" w:rsidRPr="001B3D6B" w:rsidRDefault="003B137A" w:rsidP="003B137A">
      <w:pPr>
        <w:jc w:val="center"/>
        <w:rPr>
          <w:rFonts w:eastAsia="Times New Roman" w:cs="Times New Roman"/>
          <w:b/>
          <w:szCs w:val="24"/>
          <w:lang w:eastAsia="lv-LV"/>
        </w:rPr>
      </w:pPr>
      <w:r w:rsidRPr="001B3D6B">
        <w:rPr>
          <w:rFonts w:eastAsia="Times New Roman" w:cs="Times New Roman"/>
          <w:b/>
          <w:szCs w:val="24"/>
          <w:lang w:eastAsia="lv-LV"/>
        </w:rPr>
        <w:t>I. Jautājumi, par kuriem saskaņošanā vienošanās nav panākta</w:t>
      </w:r>
    </w:p>
    <w:tbl>
      <w:tblPr>
        <w:tblStyle w:val="TableGrid"/>
        <w:tblpPr w:leftFromText="180" w:rightFromText="180" w:vertAnchor="text" w:horzAnchor="margin" w:tblpY="31"/>
        <w:tblW w:w="15871" w:type="dxa"/>
        <w:tblLayout w:type="fixed"/>
        <w:tblLook w:val="04A0" w:firstRow="1" w:lastRow="0" w:firstColumn="1" w:lastColumn="0" w:noHBand="0" w:noVBand="1"/>
      </w:tblPr>
      <w:tblGrid>
        <w:gridCol w:w="704"/>
        <w:gridCol w:w="1956"/>
        <w:gridCol w:w="3856"/>
        <w:gridCol w:w="5216"/>
        <w:gridCol w:w="2126"/>
        <w:gridCol w:w="2013"/>
      </w:tblGrid>
      <w:tr w:rsidR="003B137A" w:rsidRPr="001B3D6B" w14:paraId="2C2DA22A" w14:textId="77777777" w:rsidTr="004D6276">
        <w:tc>
          <w:tcPr>
            <w:tcW w:w="704" w:type="dxa"/>
          </w:tcPr>
          <w:p w14:paraId="1B8FE93C" w14:textId="77777777" w:rsidR="003B137A" w:rsidRPr="001B3D6B" w:rsidRDefault="003B137A" w:rsidP="007B5727">
            <w:pPr>
              <w:jc w:val="center"/>
              <w:rPr>
                <w:rFonts w:cs="Times New Roman"/>
                <w:szCs w:val="24"/>
              </w:rPr>
            </w:pPr>
            <w:r w:rsidRPr="001B3D6B">
              <w:rPr>
                <w:rFonts w:cs="Times New Roman"/>
                <w:szCs w:val="24"/>
              </w:rPr>
              <w:t>Nr. p.k.</w:t>
            </w:r>
          </w:p>
        </w:tc>
        <w:tc>
          <w:tcPr>
            <w:tcW w:w="1956" w:type="dxa"/>
          </w:tcPr>
          <w:p w14:paraId="7AF354C5" w14:textId="77777777" w:rsidR="003B137A" w:rsidRPr="001B3D6B" w:rsidRDefault="003B137A" w:rsidP="007B5727">
            <w:pPr>
              <w:jc w:val="center"/>
              <w:rPr>
                <w:rFonts w:cs="Times New Roman"/>
                <w:szCs w:val="24"/>
              </w:rPr>
            </w:pPr>
            <w:r w:rsidRPr="001B3D6B">
              <w:rPr>
                <w:rFonts w:cs="Times New Roman"/>
                <w:szCs w:val="24"/>
              </w:rPr>
              <w:t>Saskaņošanai nosūtītā projekta redakcija (konkrēta punkta (panta) redakcija)</w:t>
            </w:r>
          </w:p>
        </w:tc>
        <w:tc>
          <w:tcPr>
            <w:tcW w:w="3856" w:type="dxa"/>
          </w:tcPr>
          <w:p w14:paraId="64080FB0" w14:textId="77777777" w:rsidR="003B137A" w:rsidRPr="001B3D6B" w:rsidRDefault="003B137A" w:rsidP="007B5727">
            <w:pPr>
              <w:jc w:val="center"/>
              <w:rPr>
                <w:rFonts w:cs="Times New Roman"/>
                <w:szCs w:val="24"/>
              </w:rPr>
            </w:pPr>
            <w:r w:rsidRPr="001B3D6B">
              <w:rPr>
                <w:rFonts w:cs="Times New Roman"/>
                <w:szCs w:val="24"/>
              </w:rPr>
              <w:t>Atzinumā norādītais ministrijas (citas institūcijas) iebildums, kā arī saskaņošanā papildus izteiktais iebildums par projekta konkrēto punktu (pantu)</w:t>
            </w:r>
          </w:p>
        </w:tc>
        <w:tc>
          <w:tcPr>
            <w:tcW w:w="5216" w:type="dxa"/>
          </w:tcPr>
          <w:p w14:paraId="244EB22C" w14:textId="77777777" w:rsidR="003B137A" w:rsidRPr="001B3D6B" w:rsidRDefault="003B137A" w:rsidP="007B5727">
            <w:pPr>
              <w:jc w:val="center"/>
              <w:rPr>
                <w:rFonts w:cs="Times New Roman"/>
                <w:szCs w:val="24"/>
              </w:rPr>
            </w:pPr>
            <w:r w:rsidRPr="001B3D6B">
              <w:rPr>
                <w:rFonts w:eastAsia="Times New Roman" w:cs="Times New Roman"/>
                <w:szCs w:val="24"/>
                <w:lang w:eastAsia="lv-LV"/>
              </w:rPr>
              <w:t>Atbildīgās ministrijas pamatojums iebilduma noraidījumam</w:t>
            </w:r>
          </w:p>
        </w:tc>
        <w:tc>
          <w:tcPr>
            <w:tcW w:w="2126" w:type="dxa"/>
          </w:tcPr>
          <w:p w14:paraId="7A1616A6" w14:textId="77777777" w:rsidR="003B137A" w:rsidRPr="001B3D6B" w:rsidRDefault="003B137A" w:rsidP="007B5727">
            <w:pPr>
              <w:jc w:val="both"/>
              <w:rPr>
                <w:rFonts w:cs="Times New Roman"/>
                <w:szCs w:val="24"/>
              </w:rPr>
            </w:pPr>
            <w:r w:rsidRPr="001B3D6B">
              <w:rPr>
                <w:rFonts w:eastAsia="Times New Roman" w:cs="Times New Roman"/>
                <w:szCs w:val="24"/>
                <w:lang w:eastAsia="lv-LV"/>
              </w:rPr>
              <w:t>Atzinuma sniedzēja uzturētais iebildums, ja tas atšķiras no atzinumā norādītā iebilduma pamatojuma</w:t>
            </w:r>
          </w:p>
        </w:tc>
        <w:tc>
          <w:tcPr>
            <w:tcW w:w="2013" w:type="dxa"/>
          </w:tcPr>
          <w:p w14:paraId="3C6FE840" w14:textId="77777777" w:rsidR="003B137A" w:rsidRPr="001B3D6B" w:rsidRDefault="003B137A" w:rsidP="007B5727">
            <w:pPr>
              <w:jc w:val="both"/>
              <w:rPr>
                <w:rFonts w:cs="Times New Roman"/>
                <w:szCs w:val="24"/>
              </w:rPr>
            </w:pPr>
            <w:r w:rsidRPr="001B3D6B">
              <w:rPr>
                <w:rFonts w:cs="Times New Roman"/>
                <w:szCs w:val="24"/>
              </w:rPr>
              <w:t>Projekta attiecīgā punkta (panta) galīgā redakcija</w:t>
            </w:r>
          </w:p>
        </w:tc>
      </w:tr>
      <w:tr w:rsidR="003B137A" w:rsidRPr="001B3D6B" w14:paraId="5CA3A217" w14:textId="77777777" w:rsidTr="004D6276">
        <w:tc>
          <w:tcPr>
            <w:tcW w:w="704" w:type="dxa"/>
            <w:vAlign w:val="center"/>
          </w:tcPr>
          <w:p w14:paraId="6DB2E099" w14:textId="77777777" w:rsidR="003B137A" w:rsidRPr="001B3D6B" w:rsidRDefault="003B137A" w:rsidP="007B5727">
            <w:pPr>
              <w:jc w:val="center"/>
              <w:rPr>
                <w:rFonts w:cs="Times New Roman"/>
                <w:szCs w:val="24"/>
              </w:rPr>
            </w:pPr>
          </w:p>
        </w:tc>
        <w:tc>
          <w:tcPr>
            <w:tcW w:w="1956" w:type="dxa"/>
            <w:vAlign w:val="center"/>
          </w:tcPr>
          <w:p w14:paraId="025F4865" w14:textId="77777777" w:rsidR="003B137A" w:rsidRPr="001B3D6B" w:rsidRDefault="003B137A" w:rsidP="007B5727">
            <w:pPr>
              <w:jc w:val="center"/>
              <w:rPr>
                <w:rFonts w:cs="Times New Roman"/>
                <w:szCs w:val="24"/>
              </w:rPr>
            </w:pPr>
            <w:r w:rsidRPr="001B3D6B">
              <w:rPr>
                <w:rFonts w:cs="Times New Roman"/>
                <w:szCs w:val="24"/>
              </w:rPr>
              <w:t>2</w:t>
            </w:r>
          </w:p>
        </w:tc>
        <w:tc>
          <w:tcPr>
            <w:tcW w:w="3856" w:type="dxa"/>
            <w:vAlign w:val="center"/>
          </w:tcPr>
          <w:p w14:paraId="1C68F315" w14:textId="77777777" w:rsidR="003B137A" w:rsidRPr="001B3D6B" w:rsidRDefault="003B137A" w:rsidP="007B5727">
            <w:pPr>
              <w:jc w:val="center"/>
              <w:rPr>
                <w:rFonts w:cs="Times New Roman"/>
                <w:szCs w:val="24"/>
              </w:rPr>
            </w:pPr>
            <w:r w:rsidRPr="001B3D6B">
              <w:rPr>
                <w:rFonts w:cs="Times New Roman"/>
                <w:szCs w:val="24"/>
              </w:rPr>
              <w:t>3</w:t>
            </w:r>
          </w:p>
        </w:tc>
        <w:tc>
          <w:tcPr>
            <w:tcW w:w="5216" w:type="dxa"/>
            <w:vAlign w:val="center"/>
          </w:tcPr>
          <w:p w14:paraId="01421C71" w14:textId="77777777" w:rsidR="003B137A" w:rsidRPr="001B3D6B" w:rsidRDefault="003B137A" w:rsidP="007B5727">
            <w:pPr>
              <w:jc w:val="center"/>
              <w:rPr>
                <w:rFonts w:cs="Times New Roman"/>
                <w:szCs w:val="24"/>
              </w:rPr>
            </w:pPr>
            <w:r w:rsidRPr="001B3D6B">
              <w:rPr>
                <w:rFonts w:cs="Times New Roman"/>
                <w:szCs w:val="24"/>
              </w:rPr>
              <w:t>4</w:t>
            </w:r>
          </w:p>
        </w:tc>
        <w:tc>
          <w:tcPr>
            <w:tcW w:w="2126" w:type="dxa"/>
          </w:tcPr>
          <w:p w14:paraId="6049BAD2" w14:textId="77777777" w:rsidR="003B137A" w:rsidRPr="001B3D6B" w:rsidRDefault="003B137A" w:rsidP="007B5727">
            <w:pPr>
              <w:jc w:val="center"/>
              <w:rPr>
                <w:rFonts w:cs="Times New Roman"/>
                <w:szCs w:val="24"/>
              </w:rPr>
            </w:pPr>
            <w:r w:rsidRPr="001B3D6B">
              <w:rPr>
                <w:rFonts w:cs="Times New Roman"/>
                <w:szCs w:val="24"/>
              </w:rPr>
              <w:t>5</w:t>
            </w:r>
          </w:p>
        </w:tc>
        <w:tc>
          <w:tcPr>
            <w:tcW w:w="2013" w:type="dxa"/>
            <w:vAlign w:val="center"/>
          </w:tcPr>
          <w:p w14:paraId="0790E4BC" w14:textId="77777777" w:rsidR="003B137A" w:rsidRPr="001B3D6B" w:rsidRDefault="003B137A" w:rsidP="007B5727">
            <w:pPr>
              <w:jc w:val="center"/>
              <w:rPr>
                <w:rFonts w:cs="Times New Roman"/>
                <w:szCs w:val="24"/>
              </w:rPr>
            </w:pPr>
            <w:r w:rsidRPr="001B3D6B">
              <w:rPr>
                <w:rFonts w:cs="Times New Roman"/>
                <w:szCs w:val="24"/>
              </w:rPr>
              <w:t>6</w:t>
            </w:r>
          </w:p>
        </w:tc>
      </w:tr>
      <w:tr w:rsidR="001E7743" w:rsidRPr="001B3D6B" w14:paraId="4CADE68E" w14:textId="77777777" w:rsidTr="004D6276">
        <w:tc>
          <w:tcPr>
            <w:tcW w:w="704" w:type="dxa"/>
            <w:vAlign w:val="center"/>
          </w:tcPr>
          <w:p w14:paraId="0C8E2320" w14:textId="77777777" w:rsidR="001E7743" w:rsidRPr="001B3D6B" w:rsidRDefault="001E7743" w:rsidP="007B5727">
            <w:pPr>
              <w:jc w:val="center"/>
              <w:rPr>
                <w:rFonts w:cs="Times New Roman"/>
                <w:szCs w:val="24"/>
              </w:rPr>
            </w:pPr>
          </w:p>
        </w:tc>
        <w:tc>
          <w:tcPr>
            <w:tcW w:w="1956" w:type="dxa"/>
            <w:vAlign w:val="center"/>
          </w:tcPr>
          <w:p w14:paraId="43E64323" w14:textId="77777777" w:rsidR="001E7743" w:rsidRPr="001B3D6B" w:rsidRDefault="001E7743" w:rsidP="007B5727">
            <w:pPr>
              <w:jc w:val="center"/>
              <w:rPr>
                <w:rFonts w:cs="Times New Roman"/>
                <w:szCs w:val="24"/>
              </w:rPr>
            </w:pPr>
          </w:p>
        </w:tc>
        <w:tc>
          <w:tcPr>
            <w:tcW w:w="3856" w:type="dxa"/>
            <w:vAlign w:val="center"/>
          </w:tcPr>
          <w:p w14:paraId="73AA7E9D" w14:textId="77777777" w:rsidR="001E7743" w:rsidRPr="001B3D6B" w:rsidRDefault="001E7743" w:rsidP="007B5727">
            <w:pPr>
              <w:jc w:val="center"/>
              <w:rPr>
                <w:rFonts w:cs="Times New Roman"/>
                <w:szCs w:val="24"/>
              </w:rPr>
            </w:pPr>
          </w:p>
        </w:tc>
        <w:tc>
          <w:tcPr>
            <w:tcW w:w="5216" w:type="dxa"/>
            <w:vAlign w:val="center"/>
          </w:tcPr>
          <w:p w14:paraId="6EC83243" w14:textId="77777777" w:rsidR="001E7743" w:rsidRPr="001B3D6B" w:rsidRDefault="001E7743" w:rsidP="007B5727">
            <w:pPr>
              <w:jc w:val="center"/>
              <w:rPr>
                <w:rFonts w:cs="Times New Roman"/>
                <w:szCs w:val="24"/>
              </w:rPr>
            </w:pPr>
          </w:p>
        </w:tc>
        <w:tc>
          <w:tcPr>
            <w:tcW w:w="2126" w:type="dxa"/>
          </w:tcPr>
          <w:p w14:paraId="113D1D78" w14:textId="77777777" w:rsidR="001E7743" w:rsidRPr="001B3D6B" w:rsidRDefault="001E7743" w:rsidP="007B5727">
            <w:pPr>
              <w:jc w:val="center"/>
              <w:rPr>
                <w:rFonts w:cs="Times New Roman"/>
                <w:szCs w:val="24"/>
              </w:rPr>
            </w:pPr>
          </w:p>
        </w:tc>
        <w:tc>
          <w:tcPr>
            <w:tcW w:w="2013" w:type="dxa"/>
            <w:vAlign w:val="center"/>
          </w:tcPr>
          <w:p w14:paraId="70A03213" w14:textId="77777777" w:rsidR="001E7743" w:rsidRPr="001B3D6B" w:rsidRDefault="001E7743" w:rsidP="007B5727">
            <w:pPr>
              <w:jc w:val="center"/>
              <w:rPr>
                <w:rFonts w:cs="Times New Roman"/>
                <w:szCs w:val="24"/>
              </w:rPr>
            </w:pPr>
          </w:p>
        </w:tc>
      </w:tr>
    </w:tbl>
    <w:p w14:paraId="4672C5E7" w14:textId="77777777" w:rsidR="00B5088B" w:rsidRDefault="00B5088B" w:rsidP="001E7743">
      <w:pPr>
        <w:pStyle w:val="naisf"/>
        <w:spacing w:before="0" w:after="0"/>
        <w:ind w:firstLine="0"/>
        <w:jc w:val="center"/>
        <w:rPr>
          <w:b/>
          <w:color w:val="000000" w:themeColor="text1"/>
        </w:rPr>
      </w:pPr>
    </w:p>
    <w:p w14:paraId="3C1F1379" w14:textId="77777777" w:rsidR="001E7743" w:rsidRPr="009C6DB3" w:rsidRDefault="001E7743" w:rsidP="00DE1450">
      <w:pPr>
        <w:pStyle w:val="naisf"/>
        <w:spacing w:before="0" w:after="0"/>
        <w:ind w:firstLine="0"/>
        <w:rPr>
          <w:b/>
          <w:color w:val="000000" w:themeColor="text1"/>
        </w:rPr>
      </w:pPr>
      <w:r w:rsidRPr="009C6DB3">
        <w:rPr>
          <w:b/>
          <w:color w:val="000000" w:themeColor="text1"/>
        </w:rPr>
        <w:t>Informācija par starpministriju (starpinstitūciju) sanāksmi vai elektronisko saskaņošanu</w:t>
      </w:r>
    </w:p>
    <w:p w14:paraId="0F3AD9A8" w14:textId="77777777" w:rsidR="001E7743" w:rsidRPr="009C6DB3" w:rsidRDefault="001E7743" w:rsidP="001E7743">
      <w:pPr>
        <w:pStyle w:val="naisf"/>
        <w:spacing w:before="0" w:after="0"/>
        <w:ind w:firstLine="0"/>
        <w:rPr>
          <w:b/>
          <w:color w:val="000000" w:themeColor="text1"/>
        </w:rPr>
      </w:pPr>
    </w:p>
    <w:tbl>
      <w:tblPr>
        <w:tblW w:w="12582" w:type="dxa"/>
        <w:tblLook w:val="00A0" w:firstRow="1" w:lastRow="0" w:firstColumn="1" w:lastColumn="0" w:noHBand="0" w:noVBand="0"/>
      </w:tblPr>
      <w:tblGrid>
        <w:gridCol w:w="6345"/>
        <w:gridCol w:w="6237"/>
      </w:tblGrid>
      <w:tr w:rsidR="001E7743" w:rsidRPr="009C6DB3" w14:paraId="0F48D0DA" w14:textId="77777777" w:rsidTr="00567116">
        <w:tc>
          <w:tcPr>
            <w:tcW w:w="6345" w:type="dxa"/>
          </w:tcPr>
          <w:p w14:paraId="5FBCCD8F" w14:textId="77777777" w:rsidR="001E7743" w:rsidRPr="009C6DB3" w:rsidRDefault="001E7743" w:rsidP="00567116">
            <w:pPr>
              <w:pStyle w:val="naisf"/>
              <w:spacing w:before="0" w:after="0"/>
              <w:ind w:firstLine="0"/>
              <w:rPr>
                <w:color w:val="000000" w:themeColor="text1"/>
              </w:rPr>
            </w:pPr>
            <w:r w:rsidRPr="009C6DB3">
              <w:rPr>
                <w:color w:val="000000" w:themeColor="text1"/>
              </w:rPr>
              <w:t>Datums</w:t>
            </w:r>
          </w:p>
        </w:tc>
        <w:tc>
          <w:tcPr>
            <w:tcW w:w="6237" w:type="dxa"/>
            <w:tcBorders>
              <w:bottom w:val="single" w:sz="4" w:space="0" w:color="auto"/>
            </w:tcBorders>
          </w:tcPr>
          <w:p w14:paraId="6926C462" w14:textId="77777777" w:rsidR="001E7743" w:rsidRPr="009C6DB3" w:rsidRDefault="00402979" w:rsidP="00DE1450">
            <w:pPr>
              <w:pStyle w:val="NormalWeb"/>
              <w:spacing w:before="0" w:beforeAutospacing="0" w:after="0" w:afterAutospacing="0"/>
              <w:jc w:val="both"/>
              <w:rPr>
                <w:color w:val="000000" w:themeColor="text1"/>
              </w:rPr>
            </w:pPr>
            <w:r>
              <w:rPr>
                <w:color w:val="000000" w:themeColor="text1"/>
              </w:rPr>
              <w:t>22.10.2019.</w:t>
            </w:r>
          </w:p>
        </w:tc>
      </w:tr>
      <w:tr w:rsidR="001E7743" w:rsidRPr="009C6DB3" w14:paraId="3CF15B53" w14:textId="77777777" w:rsidTr="00567116">
        <w:tc>
          <w:tcPr>
            <w:tcW w:w="6345" w:type="dxa"/>
          </w:tcPr>
          <w:p w14:paraId="7780E839" w14:textId="77777777" w:rsidR="001E7743" w:rsidRPr="009C6DB3" w:rsidRDefault="001E7743" w:rsidP="00567116">
            <w:pPr>
              <w:pStyle w:val="naisf"/>
              <w:spacing w:before="0" w:after="0"/>
              <w:ind w:firstLine="0"/>
              <w:rPr>
                <w:color w:val="000000" w:themeColor="text1"/>
              </w:rPr>
            </w:pPr>
          </w:p>
        </w:tc>
        <w:tc>
          <w:tcPr>
            <w:tcW w:w="6237" w:type="dxa"/>
            <w:tcBorders>
              <w:top w:val="single" w:sz="4" w:space="0" w:color="auto"/>
            </w:tcBorders>
          </w:tcPr>
          <w:p w14:paraId="2759D948" w14:textId="77777777" w:rsidR="001E7743" w:rsidRPr="009C6DB3" w:rsidRDefault="001E7743" w:rsidP="00567116">
            <w:pPr>
              <w:pStyle w:val="NormalWeb"/>
              <w:spacing w:before="0" w:beforeAutospacing="0" w:after="0" w:afterAutospacing="0"/>
              <w:ind w:firstLine="720"/>
              <w:jc w:val="both"/>
              <w:rPr>
                <w:color w:val="000000" w:themeColor="text1"/>
              </w:rPr>
            </w:pPr>
          </w:p>
        </w:tc>
      </w:tr>
      <w:tr w:rsidR="001E7743" w:rsidRPr="009C6DB3" w14:paraId="418CC049" w14:textId="77777777" w:rsidTr="00567116">
        <w:tc>
          <w:tcPr>
            <w:tcW w:w="6345" w:type="dxa"/>
          </w:tcPr>
          <w:p w14:paraId="12495386" w14:textId="77777777" w:rsidR="001E7743" w:rsidRPr="009C6DB3" w:rsidRDefault="001E7743" w:rsidP="00567116">
            <w:pPr>
              <w:pStyle w:val="naiskr"/>
              <w:spacing w:before="0" w:after="0"/>
              <w:jc w:val="both"/>
              <w:rPr>
                <w:color w:val="000000" w:themeColor="text1"/>
              </w:rPr>
            </w:pPr>
            <w:r w:rsidRPr="009C6DB3">
              <w:rPr>
                <w:color w:val="000000" w:themeColor="text1"/>
              </w:rPr>
              <w:t>Saskaņošanas dalībnieki</w:t>
            </w:r>
          </w:p>
        </w:tc>
        <w:tc>
          <w:tcPr>
            <w:tcW w:w="6237" w:type="dxa"/>
            <w:tcBorders>
              <w:bottom w:val="single" w:sz="4" w:space="0" w:color="auto"/>
            </w:tcBorders>
          </w:tcPr>
          <w:p w14:paraId="22160363" w14:textId="77777777" w:rsidR="001E7743" w:rsidRPr="009C6DB3" w:rsidRDefault="001E7743" w:rsidP="00DE1450">
            <w:pPr>
              <w:pStyle w:val="NormalWeb"/>
              <w:spacing w:before="0" w:beforeAutospacing="0" w:after="0" w:afterAutospacing="0"/>
              <w:jc w:val="both"/>
              <w:rPr>
                <w:color w:val="000000" w:themeColor="text1"/>
              </w:rPr>
            </w:pPr>
            <w:r w:rsidRPr="009C6DB3">
              <w:rPr>
                <w:color w:val="000000" w:themeColor="text1"/>
                <w:shd w:val="clear" w:color="auto" w:fill="FFFFFF"/>
              </w:rPr>
              <w:t xml:space="preserve">Tieslietu </w:t>
            </w:r>
            <w:r w:rsidR="00DE1450">
              <w:rPr>
                <w:color w:val="000000" w:themeColor="text1"/>
                <w:shd w:val="clear" w:color="auto" w:fill="FFFFFF"/>
              </w:rPr>
              <w:t>ministrija, Finanšu ministrija</w:t>
            </w:r>
          </w:p>
        </w:tc>
      </w:tr>
    </w:tbl>
    <w:p w14:paraId="4FB989C2" w14:textId="77777777" w:rsidR="001E7743" w:rsidRPr="009C6DB3" w:rsidRDefault="001E7743" w:rsidP="001E7743">
      <w:pPr>
        <w:jc w:val="both"/>
        <w:rPr>
          <w:rFonts w:cs="Times New Roman"/>
          <w:color w:val="000000" w:themeColor="text1"/>
          <w:szCs w:val="24"/>
        </w:rPr>
      </w:pPr>
    </w:p>
    <w:tbl>
      <w:tblPr>
        <w:tblW w:w="12582" w:type="dxa"/>
        <w:tblLook w:val="00A0" w:firstRow="1" w:lastRow="0" w:firstColumn="1" w:lastColumn="0" w:noHBand="0" w:noVBand="0"/>
      </w:tblPr>
      <w:tblGrid>
        <w:gridCol w:w="6345"/>
        <w:gridCol w:w="6237"/>
      </w:tblGrid>
      <w:tr w:rsidR="001E7743" w:rsidRPr="009C6DB3" w14:paraId="18564DC7" w14:textId="77777777" w:rsidTr="00567116">
        <w:trPr>
          <w:trHeight w:val="285"/>
        </w:trPr>
        <w:tc>
          <w:tcPr>
            <w:tcW w:w="6345" w:type="dxa"/>
          </w:tcPr>
          <w:p w14:paraId="1BE6BE21" w14:textId="77777777" w:rsidR="001E7743" w:rsidRPr="009C6DB3" w:rsidRDefault="001E7743" w:rsidP="00567116">
            <w:pPr>
              <w:pStyle w:val="naiskr"/>
              <w:spacing w:before="0" w:after="0"/>
              <w:jc w:val="both"/>
              <w:rPr>
                <w:color w:val="000000" w:themeColor="text1"/>
              </w:rPr>
            </w:pPr>
            <w:r w:rsidRPr="009C6DB3">
              <w:rPr>
                <w:color w:val="000000" w:themeColor="text1"/>
              </w:rPr>
              <w:t>Saskaņošanas dalībnieki izskatīja šādu ministriju (citu institūciju) iebildumus</w:t>
            </w:r>
          </w:p>
        </w:tc>
        <w:tc>
          <w:tcPr>
            <w:tcW w:w="6237" w:type="dxa"/>
            <w:tcBorders>
              <w:bottom w:val="single" w:sz="4" w:space="0" w:color="auto"/>
            </w:tcBorders>
            <w:vAlign w:val="bottom"/>
          </w:tcPr>
          <w:p w14:paraId="7E18CBFB" w14:textId="77777777" w:rsidR="001E7743" w:rsidRPr="009C6DB3" w:rsidRDefault="00EF33A6" w:rsidP="00567116">
            <w:pPr>
              <w:pStyle w:val="naiskr"/>
              <w:spacing w:before="0" w:after="0"/>
              <w:ind w:firstLine="12"/>
              <w:jc w:val="both"/>
              <w:rPr>
                <w:color w:val="000000" w:themeColor="text1"/>
              </w:rPr>
            </w:pPr>
            <w:r>
              <w:rPr>
                <w:color w:val="000000" w:themeColor="text1"/>
                <w:shd w:val="clear" w:color="auto" w:fill="FFFFFF"/>
              </w:rPr>
              <w:t>Tieslietu ministrijas</w:t>
            </w:r>
          </w:p>
        </w:tc>
      </w:tr>
      <w:tr w:rsidR="001E7743" w:rsidRPr="009C6DB3" w14:paraId="111284EE" w14:textId="77777777" w:rsidTr="00567116">
        <w:trPr>
          <w:trHeight w:val="268"/>
        </w:trPr>
        <w:tc>
          <w:tcPr>
            <w:tcW w:w="12582" w:type="dxa"/>
            <w:gridSpan w:val="2"/>
          </w:tcPr>
          <w:p w14:paraId="41F28CDB" w14:textId="77777777" w:rsidR="001E7743" w:rsidRPr="009C6DB3" w:rsidRDefault="001E7743" w:rsidP="00567116">
            <w:pPr>
              <w:pStyle w:val="naisc"/>
              <w:spacing w:before="0" w:after="0"/>
              <w:ind w:left="4820" w:firstLine="720"/>
              <w:jc w:val="both"/>
              <w:rPr>
                <w:color w:val="000000" w:themeColor="text1"/>
              </w:rPr>
            </w:pPr>
          </w:p>
        </w:tc>
      </w:tr>
      <w:tr w:rsidR="001E7743" w:rsidRPr="009C6DB3" w14:paraId="198D39E7" w14:textId="77777777" w:rsidTr="00567116">
        <w:tc>
          <w:tcPr>
            <w:tcW w:w="6345" w:type="dxa"/>
          </w:tcPr>
          <w:p w14:paraId="0E8249FF" w14:textId="77777777" w:rsidR="001E7743" w:rsidRPr="009C6DB3" w:rsidRDefault="001E7743" w:rsidP="00567116">
            <w:pPr>
              <w:pStyle w:val="naiskr"/>
              <w:spacing w:before="0" w:after="0"/>
              <w:jc w:val="both"/>
              <w:rPr>
                <w:color w:val="000000" w:themeColor="text1"/>
              </w:rPr>
            </w:pPr>
            <w:r w:rsidRPr="009C6DB3">
              <w:rPr>
                <w:color w:val="000000" w:themeColor="text1"/>
              </w:rPr>
              <w:t>Ministrijas (citas institūcijas), kuras nav ieradušās uz sanāksmi vai kuras nav atbildējušas uz uzaicinājumu piedalīties elektroniskajā saskaņošanā</w:t>
            </w:r>
          </w:p>
        </w:tc>
        <w:tc>
          <w:tcPr>
            <w:tcW w:w="6237" w:type="dxa"/>
            <w:tcBorders>
              <w:bottom w:val="single" w:sz="4" w:space="0" w:color="auto"/>
            </w:tcBorders>
            <w:vAlign w:val="bottom"/>
          </w:tcPr>
          <w:p w14:paraId="375D8392" w14:textId="77777777" w:rsidR="001E7743" w:rsidRPr="009C6DB3" w:rsidRDefault="00DE1450" w:rsidP="00567116">
            <w:pPr>
              <w:pStyle w:val="naiskr"/>
              <w:spacing w:before="0" w:after="0"/>
              <w:jc w:val="both"/>
              <w:rPr>
                <w:color w:val="000000" w:themeColor="text1"/>
              </w:rPr>
            </w:pPr>
            <w:r>
              <w:rPr>
                <w:color w:val="000000" w:themeColor="text1"/>
                <w:shd w:val="clear" w:color="auto" w:fill="FFFFFF"/>
              </w:rPr>
              <w:t>-</w:t>
            </w:r>
          </w:p>
        </w:tc>
      </w:tr>
    </w:tbl>
    <w:p w14:paraId="59F31FCB" w14:textId="77777777" w:rsidR="001E7743" w:rsidRPr="009C6DB3" w:rsidRDefault="001E7743" w:rsidP="001E7743">
      <w:pPr>
        <w:spacing w:before="150" w:after="150"/>
        <w:jc w:val="center"/>
        <w:rPr>
          <w:rFonts w:eastAsia="Times New Roman" w:cs="Times New Roman"/>
          <w:b/>
          <w:bCs/>
          <w:szCs w:val="24"/>
          <w:lang w:eastAsia="lv-LV"/>
        </w:rPr>
      </w:pPr>
    </w:p>
    <w:p w14:paraId="5F179685" w14:textId="77777777" w:rsidR="003B137A" w:rsidRPr="001B3D6B" w:rsidRDefault="003B137A" w:rsidP="003B137A">
      <w:pPr>
        <w:spacing w:before="150" w:after="150"/>
        <w:jc w:val="center"/>
        <w:rPr>
          <w:rFonts w:eastAsia="Times New Roman" w:cs="Times New Roman"/>
          <w:b/>
          <w:bCs/>
          <w:szCs w:val="24"/>
          <w:lang w:eastAsia="lv-LV"/>
        </w:rPr>
      </w:pPr>
      <w:r w:rsidRPr="001B3D6B">
        <w:rPr>
          <w:rFonts w:eastAsia="Times New Roman" w:cs="Times New Roman"/>
          <w:b/>
          <w:bCs/>
          <w:szCs w:val="24"/>
          <w:lang w:eastAsia="lv-LV"/>
        </w:rPr>
        <w:t>II.  Jautājumi, par kuriem saskaņošanā vienošanās ir panākta</w:t>
      </w:r>
    </w:p>
    <w:p w14:paraId="26F65C1C" w14:textId="77777777" w:rsidR="003B137A" w:rsidRPr="001B3D6B" w:rsidRDefault="003B137A" w:rsidP="003B137A">
      <w:pPr>
        <w:spacing w:before="150" w:after="150"/>
        <w:jc w:val="center"/>
        <w:rPr>
          <w:rFonts w:eastAsia="Times New Roman" w:cs="Times New Roman"/>
          <w:b/>
          <w:bCs/>
          <w:szCs w:val="24"/>
          <w:lang w:eastAsia="lv-LV"/>
        </w:rPr>
      </w:pPr>
    </w:p>
    <w:tbl>
      <w:tblPr>
        <w:tblStyle w:val="TableGrid"/>
        <w:tblW w:w="0" w:type="auto"/>
        <w:tblLook w:val="04A0" w:firstRow="1" w:lastRow="0" w:firstColumn="1" w:lastColumn="0" w:noHBand="0" w:noVBand="1"/>
      </w:tblPr>
      <w:tblGrid>
        <w:gridCol w:w="675"/>
        <w:gridCol w:w="2609"/>
        <w:gridCol w:w="5244"/>
        <w:gridCol w:w="3686"/>
        <w:gridCol w:w="3090"/>
      </w:tblGrid>
      <w:tr w:rsidR="003B137A" w:rsidRPr="001B3D6B" w14:paraId="44684F68" w14:textId="77777777" w:rsidTr="00E34BA4">
        <w:tc>
          <w:tcPr>
            <w:tcW w:w="675" w:type="dxa"/>
          </w:tcPr>
          <w:p w14:paraId="5438784F" w14:textId="77777777" w:rsidR="003B137A" w:rsidRPr="001B3D6B" w:rsidRDefault="003B137A" w:rsidP="007B5727">
            <w:pPr>
              <w:spacing w:before="150" w:after="150"/>
              <w:jc w:val="center"/>
              <w:rPr>
                <w:rFonts w:eastAsia="Times New Roman" w:cs="Times New Roman"/>
                <w:b/>
                <w:bCs/>
                <w:szCs w:val="24"/>
                <w:lang w:eastAsia="lv-LV"/>
              </w:rPr>
            </w:pPr>
            <w:r w:rsidRPr="001B3D6B">
              <w:rPr>
                <w:rFonts w:cs="Times New Roman"/>
                <w:szCs w:val="24"/>
              </w:rPr>
              <w:lastRenderedPageBreak/>
              <w:t>Nr. p.k.</w:t>
            </w:r>
          </w:p>
        </w:tc>
        <w:tc>
          <w:tcPr>
            <w:tcW w:w="2609" w:type="dxa"/>
          </w:tcPr>
          <w:p w14:paraId="156C5C3F" w14:textId="77777777" w:rsidR="003B137A" w:rsidRPr="001B3D6B" w:rsidRDefault="003B137A" w:rsidP="007B5727">
            <w:pPr>
              <w:spacing w:before="150" w:after="150"/>
              <w:jc w:val="center"/>
              <w:rPr>
                <w:rFonts w:eastAsia="Times New Roman" w:cs="Times New Roman"/>
                <w:b/>
                <w:bCs/>
                <w:szCs w:val="24"/>
                <w:lang w:eastAsia="lv-LV"/>
              </w:rPr>
            </w:pPr>
            <w:r w:rsidRPr="001B3D6B">
              <w:rPr>
                <w:rFonts w:cs="Times New Roman"/>
                <w:szCs w:val="24"/>
              </w:rPr>
              <w:t>Saskaņošanai nosūtītā projekta redakcija (konkrēta punkta (panta) redakcija)</w:t>
            </w:r>
          </w:p>
        </w:tc>
        <w:tc>
          <w:tcPr>
            <w:tcW w:w="5244" w:type="dxa"/>
          </w:tcPr>
          <w:p w14:paraId="791BA5CA" w14:textId="77777777" w:rsidR="003B137A" w:rsidRPr="001B3D6B" w:rsidRDefault="003B137A" w:rsidP="007B5727">
            <w:pPr>
              <w:spacing w:before="150" w:after="150"/>
              <w:jc w:val="center"/>
              <w:rPr>
                <w:rFonts w:eastAsia="Times New Roman" w:cs="Times New Roman"/>
                <w:b/>
                <w:bCs/>
                <w:szCs w:val="24"/>
                <w:lang w:eastAsia="lv-LV"/>
              </w:rPr>
            </w:pPr>
            <w:r w:rsidRPr="001B3D6B">
              <w:rPr>
                <w:rFonts w:cs="Times New Roman"/>
                <w:szCs w:val="24"/>
              </w:rPr>
              <w:t>Atzinumā norādītais ministrijas (citas institūcijas) iebildums, kā arī saskaņošanā papildus izteiktais iebildums par projekta konkrēto punktu (pantu)</w:t>
            </w:r>
          </w:p>
        </w:tc>
        <w:tc>
          <w:tcPr>
            <w:tcW w:w="3686" w:type="dxa"/>
          </w:tcPr>
          <w:p w14:paraId="34B42C79" w14:textId="77777777" w:rsidR="003B137A" w:rsidRPr="001B3D6B" w:rsidRDefault="003B137A" w:rsidP="007B5727">
            <w:pPr>
              <w:spacing w:before="150" w:after="150"/>
              <w:jc w:val="center"/>
              <w:rPr>
                <w:rFonts w:eastAsia="Times New Roman" w:cs="Times New Roman"/>
                <w:b/>
                <w:bCs/>
                <w:szCs w:val="24"/>
                <w:lang w:eastAsia="lv-LV"/>
              </w:rPr>
            </w:pPr>
            <w:r w:rsidRPr="001B3D6B">
              <w:rPr>
                <w:rFonts w:cs="Times New Roman"/>
                <w:szCs w:val="24"/>
              </w:rPr>
              <w:t>Atbildīgās ministrijas norāde par to, ka iebildums ir ņemts vērā, vai informācija par saskaņošanā panākto alternatīvo risinājumu</w:t>
            </w:r>
          </w:p>
        </w:tc>
        <w:tc>
          <w:tcPr>
            <w:tcW w:w="3090" w:type="dxa"/>
          </w:tcPr>
          <w:p w14:paraId="7F1ADB9F" w14:textId="77777777" w:rsidR="003B137A" w:rsidRPr="001B3D6B" w:rsidRDefault="003B137A" w:rsidP="007B5727">
            <w:pPr>
              <w:spacing w:before="150" w:after="150"/>
              <w:jc w:val="center"/>
              <w:rPr>
                <w:rFonts w:eastAsia="Times New Roman" w:cs="Times New Roman"/>
                <w:b/>
                <w:bCs/>
                <w:szCs w:val="24"/>
                <w:lang w:eastAsia="lv-LV"/>
              </w:rPr>
            </w:pPr>
            <w:r w:rsidRPr="001B3D6B">
              <w:rPr>
                <w:rFonts w:cs="Times New Roman"/>
                <w:szCs w:val="24"/>
              </w:rPr>
              <w:t>Projekta attiecīgā punkta (panta) galīgā redakcija</w:t>
            </w:r>
          </w:p>
        </w:tc>
      </w:tr>
      <w:tr w:rsidR="003B137A" w:rsidRPr="001B3D6B" w14:paraId="03FDA047" w14:textId="77777777" w:rsidTr="00E34BA4">
        <w:tc>
          <w:tcPr>
            <w:tcW w:w="675" w:type="dxa"/>
          </w:tcPr>
          <w:p w14:paraId="70BB314E" w14:textId="77777777" w:rsidR="003B137A" w:rsidRPr="001B3D6B" w:rsidRDefault="003B137A" w:rsidP="007B5727">
            <w:pPr>
              <w:spacing w:before="150" w:after="150"/>
              <w:jc w:val="center"/>
              <w:rPr>
                <w:rFonts w:eastAsia="Times New Roman" w:cs="Times New Roman"/>
                <w:b/>
                <w:bCs/>
                <w:szCs w:val="24"/>
                <w:lang w:eastAsia="lv-LV"/>
              </w:rPr>
            </w:pPr>
          </w:p>
        </w:tc>
        <w:tc>
          <w:tcPr>
            <w:tcW w:w="2609" w:type="dxa"/>
          </w:tcPr>
          <w:p w14:paraId="585F6616" w14:textId="77777777" w:rsidR="003B137A" w:rsidRPr="001B3D6B" w:rsidRDefault="003B137A" w:rsidP="007B5727">
            <w:pPr>
              <w:spacing w:before="150" w:after="150"/>
              <w:jc w:val="center"/>
              <w:rPr>
                <w:rFonts w:eastAsia="Times New Roman" w:cs="Times New Roman"/>
                <w:bCs/>
                <w:szCs w:val="24"/>
                <w:lang w:eastAsia="lv-LV"/>
              </w:rPr>
            </w:pPr>
            <w:r w:rsidRPr="001B3D6B">
              <w:rPr>
                <w:rFonts w:eastAsia="Times New Roman" w:cs="Times New Roman"/>
                <w:bCs/>
                <w:szCs w:val="24"/>
                <w:lang w:eastAsia="lv-LV"/>
              </w:rPr>
              <w:t>1</w:t>
            </w:r>
          </w:p>
        </w:tc>
        <w:tc>
          <w:tcPr>
            <w:tcW w:w="5244" w:type="dxa"/>
          </w:tcPr>
          <w:p w14:paraId="5EDC316F" w14:textId="77777777" w:rsidR="003B137A" w:rsidRPr="001B3D6B" w:rsidRDefault="003B137A" w:rsidP="007B5727">
            <w:pPr>
              <w:spacing w:before="150" w:after="150"/>
              <w:jc w:val="center"/>
              <w:rPr>
                <w:rFonts w:eastAsia="Times New Roman" w:cs="Times New Roman"/>
                <w:bCs/>
                <w:szCs w:val="24"/>
                <w:lang w:eastAsia="lv-LV"/>
              </w:rPr>
            </w:pPr>
            <w:r w:rsidRPr="001B3D6B">
              <w:rPr>
                <w:rFonts w:eastAsia="Times New Roman" w:cs="Times New Roman"/>
                <w:bCs/>
                <w:szCs w:val="24"/>
                <w:lang w:eastAsia="lv-LV"/>
              </w:rPr>
              <w:t>2</w:t>
            </w:r>
          </w:p>
        </w:tc>
        <w:tc>
          <w:tcPr>
            <w:tcW w:w="3686" w:type="dxa"/>
          </w:tcPr>
          <w:p w14:paraId="40614831" w14:textId="77777777" w:rsidR="003B137A" w:rsidRPr="001B3D6B" w:rsidRDefault="003B137A" w:rsidP="007B5727">
            <w:pPr>
              <w:spacing w:before="150" w:after="150"/>
              <w:jc w:val="center"/>
              <w:rPr>
                <w:rFonts w:eastAsia="Times New Roman" w:cs="Times New Roman"/>
                <w:bCs/>
                <w:szCs w:val="24"/>
                <w:lang w:eastAsia="lv-LV"/>
              </w:rPr>
            </w:pPr>
            <w:r w:rsidRPr="001B3D6B">
              <w:rPr>
                <w:rFonts w:eastAsia="Times New Roman" w:cs="Times New Roman"/>
                <w:bCs/>
                <w:szCs w:val="24"/>
                <w:lang w:eastAsia="lv-LV"/>
              </w:rPr>
              <w:t>3</w:t>
            </w:r>
          </w:p>
        </w:tc>
        <w:tc>
          <w:tcPr>
            <w:tcW w:w="3090" w:type="dxa"/>
          </w:tcPr>
          <w:p w14:paraId="6F1B439C" w14:textId="77777777" w:rsidR="003B137A" w:rsidRPr="001B3D6B" w:rsidRDefault="003B137A" w:rsidP="007B5727">
            <w:pPr>
              <w:spacing w:before="150" w:after="150"/>
              <w:jc w:val="center"/>
              <w:rPr>
                <w:rFonts w:eastAsia="Times New Roman" w:cs="Times New Roman"/>
                <w:bCs/>
                <w:szCs w:val="24"/>
                <w:lang w:eastAsia="lv-LV"/>
              </w:rPr>
            </w:pPr>
            <w:r w:rsidRPr="001B3D6B">
              <w:rPr>
                <w:rFonts w:eastAsia="Times New Roman" w:cs="Times New Roman"/>
                <w:bCs/>
                <w:szCs w:val="24"/>
                <w:lang w:eastAsia="lv-LV"/>
              </w:rPr>
              <w:t>4</w:t>
            </w:r>
          </w:p>
        </w:tc>
      </w:tr>
      <w:tr w:rsidR="00E34BA4" w:rsidRPr="001B3D6B" w14:paraId="24A96FE9" w14:textId="77777777" w:rsidTr="00E34BA4">
        <w:tc>
          <w:tcPr>
            <w:tcW w:w="675" w:type="dxa"/>
          </w:tcPr>
          <w:p w14:paraId="33FA66C9" w14:textId="77777777" w:rsidR="00E34BA4" w:rsidRPr="006F6D48" w:rsidRDefault="00E34BA4" w:rsidP="00E34BA4">
            <w:pPr>
              <w:spacing w:before="150" w:after="150"/>
              <w:jc w:val="center"/>
              <w:rPr>
                <w:rFonts w:eastAsia="Times New Roman" w:cs="Times New Roman"/>
                <w:bCs/>
                <w:szCs w:val="24"/>
                <w:lang w:eastAsia="lv-LV"/>
              </w:rPr>
            </w:pPr>
            <w:r>
              <w:rPr>
                <w:rFonts w:eastAsia="Times New Roman" w:cs="Times New Roman"/>
                <w:bCs/>
                <w:szCs w:val="24"/>
                <w:lang w:eastAsia="lv-LV"/>
              </w:rPr>
              <w:t>1.</w:t>
            </w:r>
          </w:p>
        </w:tc>
        <w:tc>
          <w:tcPr>
            <w:tcW w:w="2609" w:type="dxa"/>
          </w:tcPr>
          <w:p w14:paraId="28460031" w14:textId="77777777" w:rsidR="00E34BA4" w:rsidRDefault="00E34BA4" w:rsidP="00E34BA4">
            <w:pPr>
              <w:pStyle w:val="CommentText"/>
              <w:jc w:val="both"/>
              <w:rPr>
                <w:rFonts w:cs="Times New Roman"/>
                <w:sz w:val="24"/>
                <w:szCs w:val="24"/>
              </w:rPr>
            </w:pPr>
            <w:r>
              <w:rPr>
                <w:rFonts w:cs="Times New Roman"/>
                <w:sz w:val="24"/>
                <w:szCs w:val="24"/>
              </w:rPr>
              <w:t>Anotācijas I sadaļas 1.punkts</w:t>
            </w:r>
            <w:r w:rsidRPr="00CC36CF">
              <w:rPr>
                <w:rFonts w:cs="Times New Roman"/>
                <w:sz w:val="24"/>
                <w:szCs w:val="24"/>
              </w:rPr>
              <w:t>:</w:t>
            </w:r>
          </w:p>
          <w:p w14:paraId="2082231B" w14:textId="77777777" w:rsidR="00E34BA4" w:rsidRPr="00A43674" w:rsidRDefault="00E34BA4" w:rsidP="00E34BA4">
            <w:pPr>
              <w:ind w:firstLine="345"/>
              <w:jc w:val="both"/>
              <w:rPr>
                <w:rFonts w:eastAsia="Times New Roman" w:cs="Times New Roman"/>
                <w:szCs w:val="24"/>
                <w:lang w:eastAsia="lv-LV"/>
              </w:rPr>
            </w:pPr>
            <w:r>
              <w:rPr>
                <w:rFonts w:eastAsia="Times New Roman" w:cs="Times New Roman"/>
                <w:szCs w:val="24"/>
                <w:lang w:eastAsia="lv-LV"/>
              </w:rPr>
              <w:t>“</w:t>
            </w:r>
            <w:r w:rsidRPr="00A43674">
              <w:rPr>
                <w:rFonts w:eastAsia="Times New Roman" w:cs="Times New Roman"/>
                <w:szCs w:val="24"/>
                <w:lang w:eastAsia="lv-LV"/>
              </w:rPr>
              <w:t>Saskaņā ar likuma “Likums par budžetu un finanšu vadību” I. nodaļu, valsts budžeta finansējumu ir iespējams saņemt uz līguma pamata vai tiesību akta deleģējuma kārtībā kā līdzekļu nodrošinājumu konkrētā valsts pārvaldes uzdevuma izpildei vai noteikta mērķa (projekta vai pasākuma) īstenošanai.</w:t>
            </w:r>
          </w:p>
          <w:p w14:paraId="3B898B57" w14:textId="77777777" w:rsidR="00E34BA4" w:rsidRPr="00A43674" w:rsidRDefault="00E34BA4" w:rsidP="00E34BA4">
            <w:pPr>
              <w:ind w:firstLine="345"/>
              <w:jc w:val="both"/>
              <w:rPr>
                <w:rFonts w:eastAsia="Times New Roman" w:cs="Times New Roman"/>
                <w:szCs w:val="24"/>
                <w:lang w:eastAsia="lv-LV"/>
              </w:rPr>
            </w:pPr>
            <w:r w:rsidRPr="00A43674">
              <w:rPr>
                <w:rFonts w:eastAsia="Times New Roman" w:cs="Times New Roman"/>
                <w:szCs w:val="24"/>
                <w:lang w:eastAsia="lv-LV"/>
              </w:rPr>
              <w:t xml:space="preserve">Saskaņā ar likuma “Par valsts budžetu 2019. gadam” 53. pantu,  Aizsardzības ministrijas (turpmāk – AM) budžeta ietvaros sadarbībai ar starptautiskajām un nevalstiskajām organizācijām nepieciešamo finansējumu un tā </w:t>
            </w:r>
            <w:r w:rsidRPr="00A43674">
              <w:rPr>
                <w:rFonts w:eastAsia="Times New Roman" w:cs="Times New Roman"/>
                <w:szCs w:val="24"/>
                <w:lang w:eastAsia="lv-LV"/>
              </w:rPr>
              <w:lastRenderedPageBreak/>
              <w:t>izlietojumu, nodrošinot iesaisti starptautiskās un nacionālās drošības stiprināšanā, nosaka Ministru kabinets.</w:t>
            </w:r>
            <w:r>
              <w:rPr>
                <w:rFonts w:eastAsia="Times New Roman" w:cs="Times New Roman"/>
                <w:szCs w:val="24"/>
                <w:lang w:eastAsia="lv-LV"/>
              </w:rPr>
              <w:t>”</w:t>
            </w:r>
          </w:p>
          <w:p w14:paraId="26B35BDA" w14:textId="77777777" w:rsidR="00E34BA4" w:rsidRPr="001B3D6B" w:rsidRDefault="00E34BA4" w:rsidP="00E34BA4">
            <w:pPr>
              <w:spacing w:before="150" w:after="150"/>
              <w:jc w:val="both"/>
              <w:rPr>
                <w:rFonts w:eastAsia="Times New Roman" w:cs="Times New Roman"/>
                <w:bCs/>
                <w:szCs w:val="24"/>
                <w:lang w:eastAsia="lv-LV"/>
              </w:rPr>
            </w:pPr>
          </w:p>
        </w:tc>
        <w:tc>
          <w:tcPr>
            <w:tcW w:w="5244" w:type="dxa"/>
          </w:tcPr>
          <w:p w14:paraId="49D78C77" w14:textId="77777777" w:rsidR="00E34BA4" w:rsidRDefault="00E34BA4" w:rsidP="00E34BA4">
            <w:pPr>
              <w:jc w:val="center"/>
              <w:rPr>
                <w:rFonts w:cs="Times New Roman"/>
                <w:b/>
                <w:szCs w:val="24"/>
              </w:rPr>
            </w:pPr>
            <w:r>
              <w:rPr>
                <w:rFonts w:cs="Times New Roman"/>
                <w:b/>
                <w:szCs w:val="24"/>
              </w:rPr>
              <w:lastRenderedPageBreak/>
              <w:t>Tieslietu ministrija</w:t>
            </w:r>
          </w:p>
          <w:p w14:paraId="6D349C00" w14:textId="77777777" w:rsidR="00E34BA4" w:rsidRPr="001B3D6B" w:rsidRDefault="00E34BA4" w:rsidP="00E34BA4">
            <w:pPr>
              <w:jc w:val="center"/>
              <w:rPr>
                <w:rFonts w:cs="Times New Roman"/>
                <w:b/>
                <w:szCs w:val="24"/>
              </w:rPr>
            </w:pPr>
          </w:p>
          <w:p w14:paraId="1651A5FC" w14:textId="77777777" w:rsidR="00E34BA4" w:rsidRPr="00A86157" w:rsidRDefault="00E34BA4" w:rsidP="00E34BA4">
            <w:pPr>
              <w:widowControl w:val="0"/>
              <w:jc w:val="both"/>
              <w:rPr>
                <w:rFonts w:eastAsia="Calibri" w:cs="Times New Roman"/>
              </w:rPr>
            </w:pPr>
            <w:r w:rsidRPr="00A86157">
              <w:rPr>
                <w:rFonts w:eastAsia="Calibri" w:cs="Times New Roman"/>
              </w:rPr>
              <w:t>Projekta anotācijā ir ietverta atsauce uz Likuma par budžetu un finanšu vadību I nodaļu, kurā noteikts, ka valsts budžeta finansējumu ir iespējams saņemt uz līguma pamata vai tiesību akta deleģējuma kārtībā kā līdzekļu nodrošinājumu konkrētā valsts pārvaldes uzdevuma izpildei vai noteikta mērķa (projekta vai pasākuma) īstenošanai. Lūdzam norādīt konkrētu tiesību normu, uz kuras pamata biedrībai plānots piešķirt valsts budžeta finansējumu, jo Likuma par budžetu un finanšu vadību I nodaļā ir skaidroti tikai termini, nevis noteikta kārtība, kādā notiek valsts budžeta piešķiršana biedrībai.</w:t>
            </w:r>
          </w:p>
          <w:p w14:paraId="5559834C" w14:textId="77777777" w:rsidR="00E34BA4" w:rsidRPr="001B3D6B" w:rsidRDefault="00E34BA4" w:rsidP="00E34BA4">
            <w:pPr>
              <w:spacing w:before="150" w:after="150"/>
              <w:jc w:val="both"/>
              <w:rPr>
                <w:rFonts w:eastAsia="Times New Roman" w:cs="Times New Roman"/>
                <w:bCs/>
                <w:szCs w:val="24"/>
                <w:lang w:eastAsia="lv-LV"/>
              </w:rPr>
            </w:pPr>
          </w:p>
        </w:tc>
        <w:tc>
          <w:tcPr>
            <w:tcW w:w="3686" w:type="dxa"/>
          </w:tcPr>
          <w:p w14:paraId="660ED0C6" w14:textId="77777777" w:rsidR="00E34BA4" w:rsidRDefault="00E34BA4" w:rsidP="00E34BA4">
            <w:pPr>
              <w:spacing w:before="150" w:after="150"/>
              <w:jc w:val="center"/>
              <w:rPr>
                <w:rFonts w:eastAsia="Times New Roman" w:cs="Times New Roman"/>
                <w:b/>
                <w:bCs/>
                <w:szCs w:val="24"/>
                <w:lang w:eastAsia="lv-LV"/>
              </w:rPr>
            </w:pPr>
            <w:r>
              <w:rPr>
                <w:rFonts w:eastAsia="Times New Roman" w:cs="Times New Roman"/>
                <w:b/>
                <w:bCs/>
                <w:szCs w:val="24"/>
                <w:lang w:eastAsia="lv-LV"/>
              </w:rPr>
              <w:t>Ņemts vērā.</w:t>
            </w:r>
          </w:p>
          <w:p w14:paraId="616C37C9" w14:textId="77777777" w:rsidR="00E34BA4" w:rsidRPr="00E34BA4" w:rsidRDefault="00E34BA4" w:rsidP="00E34BA4">
            <w:pPr>
              <w:spacing w:before="150" w:after="150"/>
              <w:jc w:val="both"/>
              <w:rPr>
                <w:rFonts w:eastAsia="Times New Roman" w:cs="Times New Roman"/>
                <w:bCs/>
                <w:szCs w:val="24"/>
                <w:lang w:eastAsia="lv-LV"/>
              </w:rPr>
            </w:pPr>
            <w:r w:rsidRPr="00E34BA4">
              <w:rPr>
                <w:rFonts w:eastAsia="Times New Roman" w:cs="Times New Roman"/>
                <w:bCs/>
                <w:szCs w:val="24"/>
                <w:lang w:eastAsia="lv-LV"/>
              </w:rPr>
              <w:t>Pamatojums</w:t>
            </w:r>
            <w:r>
              <w:rPr>
                <w:rFonts w:eastAsia="Times New Roman" w:cs="Times New Roman"/>
                <w:bCs/>
                <w:szCs w:val="24"/>
                <w:lang w:eastAsia="lv-LV"/>
              </w:rPr>
              <w:t xml:space="preserve"> finansējuma piešķiršanai izriet no </w:t>
            </w:r>
            <w:r w:rsidRPr="00E34BA4">
              <w:rPr>
                <w:rFonts w:eastAsia="Times New Roman" w:cs="Times New Roman"/>
                <w:bCs/>
                <w:szCs w:val="24"/>
                <w:lang w:eastAsia="lv-LV"/>
              </w:rPr>
              <w:t>likuma “Par valst</w:t>
            </w:r>
            <w:r>
              <w:rPr>
                <w:rFonts w:eastAsia="Times New Roman" w:cs="Times New Roman"/>
                <w:bCs/>
                <w:szCs w:val="24"/>
                <w:lang w:eastAsia="lv-LV"/>
              </w:rPr>
              <w:t>s budžetu 2019. gadam” 53. panta</w:t>
            </w:r>
            <w:r w:rsidRPr="00E34BA4">
              <w:rPr>
                <w:rFonts w:eastAsia="Times New Roman" w:cs="Times New Roman"/>
                <w:bCs/>
                <w:szCs w:val="24"/>
                <w:lang w:eastAsia="lv-LV"/>
              </w:rPr>
              <w:t xml:space="preserve">, </w:t>
            </w:r>
            <w:r>
              <w:rPr>
                <w:rFonts w:eastAsia="Times New Roman" w:cs="Times New Roman"/>
                <w:bCs/>
                <w:szCs w:val="24"/>
                <w:lang w:eastAsia="lv-LV"/>
              </w:rPr>
              <w:t xml:space="preserve">proti, </w:t>
            </w:r>
            <w:r w:rsidRPr="00E34BA4">
              <w:rPr>
                <w:rFonts w:eastAsia="Times New Roman" w:cs="Times New Roman"/>
                <w:bCs/>
                <w:szCs w:val="24"/>
                <w:lang w:eastAsia="lv-LV"/>
              </w:rPr>
              <w:t>Aizsardzības ministrijas budžeta ietvaros sadarbībai ar starptautiskajām un nevalstiskajām organizācijām nepieciešamo finansējumu un tā izlietojumu, nodrošinot iesaisti starptautiskās un nacionālās drošības stiprināšanā, nosaka Ministru kabinets.</w:t>
            </w:r>
          </w:p>
        </w:tc>
        <w:tc>
          <w:tcPr>
            <w:tcW w:w="3090" w:type="dxa"/>
          </w:tcPr>
          <w:p w14:paraId="0FA4FD87" w14:textId="77777777" w:rsidR="00E34BA4" w:rsidRDefault="00E34BA4" w:rsidP="00E34BA4">
            <w:pPr>
              <w:pStyle w:val="CommentText"/>
              <w:jc w:val="both"/>
              <w:rPr>
                <w:rFonts w:cs="Times New Roman"/>
                <w:sz w:val="24"/>
                <w:szCs w:val="24"/>
              </w:rPr>
            </w:pPr>
            <w:r>
              <w:rPr>
                <w:rFonts w:cs="Times New Roman"/>
                <w:sz w:val="24"/>
                <w:szCs w:val="24"/>
              </w:rPr>
              <w:t>Anotācijas I sadaļas 1.</w:t>
            </w:r>
            <w:r w:rsidR="00CC4F97">
              <w:rPr>
                <w:rFonts w:cs="Times New Roman"/>
                <w:sz w:val="24"/>
                <w:szCs w:val="24"/>
              </w:rPr>
              <w:t> </w:t>
            </w:r>
            <w:r>
              <w:rPr>
                <w:rFonts w:cs="Times New Roman"/>
                <w:sz w:val="24"/>
                <w:szCs w:val="24"/>
              </w:rPr>
              <w:t>punkts</w:t>
            </w:r>
            <w:r w:rsidRPr="00CC36CF">
              <w:rPr>
                <w:rFonts w:cs="Times New Roman"/>
                <w:sz w:val="24"/>
                <w:szCs w:val="24"/>
              </w:rPr>
              <w:t>:</w:t>
            </w:r>
          </w:p>
          <w:p w14:paraId="479EDFE9" w14:textId="77777777" w:rsidR="00E34BA4" w:rsidRPr="00A43674" w:rsidRDefault="00E34BA4" w:rsidP="00E34BA4">
            <w:pPr>
              <w:ind w:firstLine="345"/>
              <w:jc w:val="both"/>
              <w:rPr>
                <w:rFonts w:eastAsia="Times New Roman" w:cs="Times New Roman"/>
                <w:szCs w:val="24"/>
                <w:lang w:eastAsia="lv-LV"/>
              </w:rPr>
            </w:pPr>
            <w:r>
              <w:rPr>
                <w:rFonts w:eastAsia="Times New Roman" w:cs="Times New Roman"/>
                <w:szCs w:val="24"/>
                <w:lang w:eastAsia="lv-LV"/>
              </w:rPr>
              <w:t>“</w:t>
            </w:r>
            <w:r w:rsidRPr="00A43674">
              <w:rPr>
                <w:rFonts w:eastAsia="Times New Roman" w:cs="Times New Roman"/>
                <w:szCs w:val="24"/>
                <w:lang w:eastAsia="lv-LV"/>
              </w:rPr>
              <w:t>Saskaņā ar likuma “Likums par budže</w:t>
            </w:r>
            <w:r w:rsidR="00CC4F97">
              <w:rPr>
                <w:rFonts w:eastAsia="Times New Roman" w:cs="Times New Roman"/>
                <w:szCs w:val="24"/>
                <w:lang w:eastAsia="lv-LV"/>
              </w:rPr>
              <w:t>tu un finanšu vadību” I. nodaļu</w:t>
            </w:r>
            <w:r w:rsidRPr="00A43674">
              <w:rPr>
                <w:rFonts w:eastAsia="Times New Roman" w:cs="Times New Roman"/>
                <w:szCs w:val="24"/>
                <w:lang w:eastAsia="lv-LV"/>
              </w:rPr>
              <w:t xml:space="preserve"> valsts budžeta finansējumu ir iespējams saņemt uz līguma pamata vai tiesību akta deleģējuma kārtībā kā līdzekļu nodrošinājumu konkrētā valsts pārvaldes uzdevuma izpildei vai noteikta mērķa (projekta vai pasākuma) īstenošanai.</w:t>
            </w:r>
          </w:p>
          <w:p w14:paraId="3500CC81" w14:textId="77777777" w:rsidR="00E34BA4" w:rsidRPr="00A43674" w:rsidRDefault="00E34BA4" w:rsidP="00E34BA4">
            <w:pPr>
              <w:ind w:firstLine="345"/>
              <w:jc w:val="both"/>
              <w:rPr>
                <w:rFonts w:eastAsia="Times New Roman" w:cs="Times New Roman"/>
                <w:szCs w:val="24"/>
                <w:u w:val="single"/>
                <w:lang w:eastAsia="lv-LV"/>
              </w:rPr>
            </w:pPr>
            <w:r w:rsidRPr="00A43674">
              <w:rPr>
                <w:rFonts w:eastAsia="Times New Roman" w:cs="Times New Roman"/>
                <w:szCs w:val="24"/>
                <w:u w:val="single"/>
                <w:lang w:eastAsia="lv-LV"/>
              </w:rPr>
              <w:t>Saskaņā ar likuma “Par valsts b</w:t>
            </w:r>
            <w:r w:rsidR="00CC4F97">
              <w:rPr>
                <w:rFonts w:eastAsia="Times New Roman" w:cs="Times New Roman"/>
                <w:szCs w:val="24"/>
                <w:u w:val="single"/>
                <w:lang w:eastAsia="lv-LV"/>
              </w:rPr>
              <w:t xml:space="preserve">udžetu 2019. gadam” 53. pantu </w:t>
            </w:r>
            <w:r w:rsidRPr="00A43674">
              <w:rPr>
                <w:rFonts w:eastAsia="Times New Roman" w:cs="Times New Roman"/>
                <w:szCs w:val="24"/>
                <w:u w:val="single"/>
                <w:lang w:eastAsia="lv-LV"/>
              </w:rPr>
              <w:t>Aizsardz</w:t>
            </w:r>
            <w:r w:rsidR="00CC4F97">
              <w:rPr>
                <w:rFonts w:eastAsia="Times New Roman" w:cs="Times New Roman"/>
                <w:szCs w:val="24"/>
                <w:u w:val="single"/>
                <w:lang w:eastAsia="lv-LV"/>
              </w:rPr>
              <w:t xml:space="preserve">ības ministrijas (turpmāk – AM) </w:t>
            </w:r>
            <w:r w:rsidRPr="00A43674">
              <w:rPr>
                <w:rFonts w:eastAsia="Times New Roman" w:cs="Times New Roman"/>
                <w:szCs w:val="24"/>
                <w:u w:val="single"/>
                <w:lang w:eastAsia="lv-LV"/>
              </w:rPr>
              <w:t>budžeta ietvaros sadarbībai ar starptautiskajām un nevalstiskajām organizācijām nepieciešamo finansējumu un tā izlietojumu, nodrošinot iesaisti starptautiskās un nacionālās drošības stiprināšanā, nosaka Ministru kabinets.</w:t>
            </w:r>
            <w:r w:rsidRPr="00E34BA4">
              <w:rPr>
                <w:rFonts w:eastAsia="Times New Roman" w:cs="Times New Roman"/>
                <w:szCs w:val="24"/>
                <w:u w:val="single"/>
                <w:lang w:eastAsia="lv-LV"/>
              </w:rPr>
              <w:t>”</w:t>
            </w:r>
          </w:p>
          <w:p w14:paraId="7AB2490D" w14:textId="77777777" w:rsidR="00E34BA4" w:rsidRPr="001B3D6B" w:rsidRDefault="00E34BA4" w:rsidP="00E34BA4">
            <w:pPr>
              <w:spacing w:before="150" w:after="150"/>
              <w:jc w:val="both"/>
              <w:rPr>
                <w:rFonts w:eastAsia="Times New Roman" w:cs="Times New Roman"/>
                <w:bCs/>
                <w:szCs w:val="24"/>
                <w:lang w:eastAsia="lv-LV"/>
              </w:rPr>
            </w:pPr>
          </w:p>
        </w:tc>
      </w:tr>
      <w:tr w:rsidR="00E34BA4" w:rsidRPr="001B3D6B" w14:paraId="1CBA7178" w14:textId="77777777" w:rsidTr="00E34BA4">
        <w:tc>
          <w:tcPr>
            <w:tcW w:w="675" w:type="dxa"/>
          </w:tcPr>
          <w:p w14:paraId="1336FE9C" w14:textId="77777777" w:rsidR="00E34BA4" w:rsidRDefault="00E34BA4" w:rsidP="00E34BA4">
            <w:pPr>
              <w:spacing w:before="150" w:after="150"/>
              <w:jc w:val="center"/>
              <w:rPr>
                <w:rFonts w:eastAsia="Times New Roman" w:cs="Times New Roman"/>
                <w:bCs/>
                <w:szCs w:val="24"/>
                <w:lang w:eastAsia="lv-LV"/>
              </w:rPr>
            </w:pPr>
            <w:r>
              <w:rPr>
                <w:rFonts w:eastAsia="Times New Roman" w:cs="Times New Roman"/>
                <w:bCs/>
                <w:szCs w:val="24"/>
                <w:lang w:eastAsia="lv-LV"/>
              </w:rPr>
              <w:lastRenderedPageBreak/>
              <w:t>2.</w:t>
            </w:r>
          </w:p>
        </w:tc>
        <w:tc>
          <w:tcPr>
            <w:tcW w:w="2609" w:type="dxa"/>
          </w:tcPr>
          <w:p w14:paraId="3FD26CA8" w14:textId="77777777" w:rsidR="00E34BA4" w:rsidRDefault="00566807" w:rsidP="00AE31E8">
            <w:pPr>
              <w:pStyle w:val="CommentText"/>
              <w:ind w:firstLine="184"/>
              <w:jc w:val="both"/>
              <w:rPr>
                <w:rFonts w:cs="Times New Roman"/>
                <w:sz w:val="24"/>
                <w:szCs w:val="24"/>
              </w:rPr>
            </w:pPr>
            <w:r>
              <w:rPr>
                <w:rFonts w:cs="Times New Roman"/>
                <w:sz w:val="24"/>
                <w:szCs w:val="24"/>
              </w:rPr>
              <w:t>Rīkojuma projekta 1.</w:t>
            </w:r>
            <w:r w:rsidR="002454C1">
              <w:rPr>
                <w:rFonts w:cs="Times New Roman"/>
                <w:sz w:val="24"/>
                <w:szCs w:val="24"/>
              </w:rPr>
              <w:t xml:space="preserve"> un 2.</w:t>
            </w:r>
            <w:r>
              <w:rPr>
                <w:rFonts w:cs="Times New Roman"/>
                <w:sz w:val="24"/>
                <w:szCs w:val="24"/>
              </w:rPr>
              <w:t>punkts:</w:t>
            </w:r>
          </w:p>
          <w:p w14:paraId="069F3589" w14:textId="77777777" w:rsidR="00566807" w:rsidRPr="00566807" w:rsidRDefault="00566807" w:rsidP="00AE31E8">
            <w:pPr>
              <w:pStyle w:val="CommentText"/>
              <w:jc w:val="both"/>
              <w:rPr>
                <w:rFonts w:cs="Times New Roman"/>
                <w:sz w:val="24"/>
                <w:szCs w:val="24"/>
              </w:rPr>
            </w:pPr>
            <w:r>
              <w:rPr>
                <w:rFonts w:cs="Times New Roman"/>
                <w:sz w:val="24"/>
                <w:szCs w:val="24"/>
              </w:rPr>
              <w:t>“</w:t>
            </w:r>
            <w:r w:rsidRPr="00566807">
              <w:rPr>
                <w:rFonts w:cs="Times New Roman"/>
                <w:sz w:val="24"/>
                <w:szCs w:val="24"/>
              </w:rPr>
              <w:t xml:space="preserve">1. Lai nodrošinātu atbalstu biedrībai “BEZVESTS.LV” (reģ. Nr. 40008147693) </w:t>
            </w:r>
            <w:proofErr w:type="spellStart"/>
            <w:r w:rsidRPr="00566807">
              <w:rPr>
                <w:rFonts w:cs="Times New Roman"/>
                <w:sz w:val="24"/>
                <w:szCs w:val="24"/>
              </w:rPr>
              <w:t>Atlas</w:t>
            </w:r>
            <w:proofErr w:type="spellEnd"/>
            <w:r w:rsidRPr="00566807">
              <w:rPr>
                <w:rFonts w:cs="Times New Roman"/>
                <w:sz w:val="24"/>
                <w:szCs w:val="24"/>
              </w:rPr>
              <w:t xml:space="preserve"> drona civilās versijas iegādei</w:t>
            </w:r>
            <w:r w:rsidR="00AE31E8">
              <w:rPr>
                <w:rFonts w:cs="Times New Roman"/>
                <w:sz w:val="24"/>
                <w:szCs w:val="24"/>
              </w:rPr>
              <w:t xml:space="preserve">, </w:t>
            </w:r>
            <w:r w:rsidRPr="00566807">
              <w:rPr>
                <w:rFonts w:cs="Times New Roman"/>
                <w:sz w:val="24"/>
                <w:szCs w:val="24"/>
              </w:rPr>
              <w:t xml:space="preserve">piešķirt biedrībai “BEZVESTS.LV” finanšu līdzekļus no Aizsardzības ministrijas budžeta apakšprogrammas 22.12.00 “Nacionālo bruņoto spēku uzturēšana” 22 649 </w:t>
            </w:r>
            <w:proofErr w:type="spellStart"/>
            <w:r w:rsidRPr="00566807">
              <w:rPr>
                <w:rFonts w:cs="Times New Roman"/>
                <w:i/>
                <w:sz w:val="24"/>
                <w:szCs w:val="24"/>
              </w:rPr>
              <w:t>euro</w:t>
            </w:r>
            <w:proofErr w:type="spellEnd"/>
            <w:r w:rsidRPr="00566807">
              <w:rPr>
                <w:rFonts w:cs="Times New Roman"/>
                <w:i/>
                <w:sz w:val="24"/>
                <w:szCs w:val="24"/>
              </w:rPr>
              <w:t xml:space="preserve"> </w:t>
            </w:r>
            <w:r w:rsidRPr="00566807">
              <w:rPr>
                <w:rFonts w:cs="Times New Roman"/>
                <w:sz w:val="24"/>
                <w:szCs w:val="24"/>
              </w:rPr>
              <w:t>apmērā</w:t>
            </w:r>
            <w:r>
              <w:rPr>
                <w:rFonts w:cs="Times New Roman"/>
                <w:sz w:val="24"/>
                <w:szCs w:val="24"/>
              </w:rPr>
              <w:t>.</w:t>
            </w:r>
          </w:p>
          <w:p w14:paraId="24D58DB5" w14:textId="77777777" w:rsidR="002454C1" w:rsidRPr="002454C1" w:rsidRDefault="002454C1" w:rsidP="002454C1">
            <w:pPr>
              <w:jc w:val="both"/>
              <w:rPr>
                <w:rFonts w:eastAsia="Times New Roman" w:cs="Times New Roman"/>
                <w:color w:val="000000"/>
                <w:szCs w:val="24"/>
              </w:rPr>
            </w:pPr>
            <w:r>
              <w:rPr>
                <w:rFonts w:eastAsia="Times New Roman" w:cs="Times New Roman"/>
                <w:szCs w:val="24"/>
              </w:rPr>
              <w:t xml:space="preserve">2. </w:t>
            </w:r>
            <w:r w:rsidRPr="002454C1">
              <w:rPr>
                <w:rFonts w:eastAsia="Times New Roman" w:cs="Times New Roman"/>
                <w:szCs w:val="24"/>
              </w:rPr>
              <w:t xml:space="preserve">Aizsardzības ministrijai sagatavot un noslēgt vienošanos ar šā rīkojuma 1. punktā minēto biedrību, lai sasniegtu šā rīkojuma 1. punktā minētos finanšu līdzekļu izmantošanas mērķus, un </w:t>
            </w:r>
            <w:r w:rsidRPr="002454C1">
              <w:rPr>
                <w:rFonts w:eastAsia="Times New Roman" w:cs="Times New Roman"/>
                <w:szCs w:val="24"/>
              </w:rPr>
              <w:lastRenderedPageBreak/>
              <w:t>to izpildes termiņus, paredzot šo finanšu līdzekļu izlietojuma kontroli atbilstoši mērķiem un nosakot, ka par grāmatvedības datu pareizību un finanšu līdzekļu izlietojumu atbilstoši mērķiem ir atbildīga biedrība.</w:t>
            </w:r>
            <w:r>
              <w:rPr>
                <w:rFonts w:eastAsia="Times New Roman" w:cs="Times New Roman"/>
                <w:szCs w:val="24"/>
              </w:rPr>
              <w:t>”</w:t>
            </w:r>
          </w:p>
          <w:p w14:paraId="2FAA106D" w14:textId="77777777" w:rsidR="00566807" w:rsidRPr="00CC36CF" w:rsidRDefault="00566807" w:rsidP="00AE31E8">
            <w:pPr>
              <w:pStyle w:val="CommentText"/>
              <w:ind w:firstLine="184"/>
              <w:jc w:val="both"/>
              <w:rPr>
                <w:rFonts w:cs="Times New Roman"/>
                <w:sz w:val="24"/>
                <w:szCs w:val="24"/>
              </w:rPr>
            </w:pPr>
          </w:p>
        </w:tc>
        <w:tc>
          <w:tcPr>
            <w:tcW w:w="5244" w:type="dxa"/>
          </w:tcPr>
          <w:p w14:paraId="2A44FDDD" w14:textId="77777777" w:rsidR="00E34BA4" w:rsidRDefault="00E34BA4" w:rsidP="00E34BA4">
            <w:pPr>
              <w:jc w:val="center"/>
              <w:rPr>
                <w:rFonts w:cs="Times New Roman"/>
                <w:b/>
                <w:szCs w:val="24"/>
              </w:rPr>
            </w:pPr>
            <w:r>
              <w:rPr>
                <w:rFonts w:cs="Times New Roman"/>
                <w:b/>
                <w:szCs w:val="24"/>
              </w:rPr>
              <w:lastRenderedPageBreak/>
              <w:t>Tieslietu ministrija</w:t>
            </w:r>
          </w:p>
          <w:p w14:paraId="33CBE014" w14:textId="77777777" w:rsidR="002E797F" w:rsidRPr="001B3D6B" w:rsidRDefault="002E797F" w:rsidP="00E34BA4">
            <w:pPr>
              <w:jc w:val="center"/>
              <w:rPr>
                <w:rFonts w:cs="Times New Roman"/>
                <w:b/>
                <w:szCs w:val="24"/>
              </w:rPr>
            </w:pPr>
          </w:p>
          <w:p w14:paraId="2F601C1C" w14:textId="77777777" w:rsidR="00E34BA4" w:rsidRPr="00A86157" w:rsidRDefault="00E34BA4" w:rsidP="00E34BA4">
            <w:pPr>
              <w:widowControl w:val="0"/>
              <w:jc w:val="both"/>
              <w:rPr>
                <w:rFonts w:eastAsia="Calibri" w:cs="Times New Roman"/>
              </w:rPr>
            </w:pPr>
            <w:r w:rsidRPr="00A86157">
              <w:rPr>
                <w:rFonts w:eastAsia="Calibri" w:cs="Times New Roman"/>
              </w:rPr>
              <w:t>Saskaņā ar projekta 1.punktu valsts finanšu līdzekļi biedrībai tiek piešķirti, lai īstenotu mērķi – iegādāties dronu. Projekta 2.punkts paredz, ka ar biedrību tiks slēgta vienošanās, lai sasniegtu konkrēto finanšu līdzekļu izmantošanas mērķi un tā izpildes termiņu. Proti, mērķis ir tikai drona iegāde, nevis tai sekojošā drona izmantošana bezvēsts pazudušu personu meklēšanā. Arī vienošanās, ko paredzēts slēgt ar biedrību, attiecas tikai uz finanšu līdzekļu izlietojumu un neskar citus jautājumus, ko būtu svarīgi atrunāt. Tieslietu ministrijas ieskatā būtu nepieciešams konkrēti noteikt, kādam mērķim šis drons tiks iegādāts, kāda būs tā ekspluatācijas kārtība, kas ar šo dronu notiks, piemēram, biedrības likvidācijas gadījumā, vai biedrībai vispār ir/tiks paredzēts pienākums sadarboties ar valsti bezvēsts pazudušu personu meklēšanā un citus jautājumus, kas var būt būtiski, lai sasniegtu galveno rezultātu – biedrības iesaisti personu meklēšanā ar iegādāto dronu. Papildus lūdzam projekta anotāciju papildināt ar informāciju par konkrētās biedrības līdzšinējo darbību.</w:t>
            </w:r>
          </w:p>
          <w:p w14:paraId="15232488" w14:textId="77777777" w:rsidR="00E34BA4" w:rsidRPr="001B3D6B" w:rsidRDefault="00E34BA4" w:rsidP="00E34BA4">
            <w:pPr>
              <w:jc w:val="both"/>
              <w:rPr>
                <w:rFonts w:cs="Times New Roman"/>
                <w:b/>
                <w:szCs w:val="24"/>
              </w:rPr>
            </w:pPr>
          </w:p>
        </w:tc>
        <w:tc>
          <w:tcPr>
            <w:tcW w:w="3686" w:type="dxa"/>
          </w:tcPr>
          <w:p w14:paraId="003D3E64" w14:textId="77777777" w:rsidR="00E34BA4" w:rsidRDefault="00E34BA4" w:rsidP="00E34BA4">
            <w:pPr>
              <w:spacing w:before="150" w:after="150"/>
              <w:jc w:val="center"/>
              <w:rPr>
                <w:rFonts w:eastAsia="Times New Roman" w:cs="Times New Roman"/>
                <w:b/>
                <w:bCs/>
                <w:szCs w:val="24"/>
                <w:lang w:eastAsia="lv-LV"/>
              </w:rPr>
            </w:pPr>
            <w:r w:rsidRPr="00A86157">
              <w:rPr>
                <w:rFonts w:eastAsia="Times New Roman" w:cs="Times New Roman"/>
                <w:b/>
                <w:bCs/>
                <w:szCs w:val="24"/>
                <w:lang w:eastAsia="lv-LV"/>
              </w:rPr>
              <w:t>Ņemts vērā</w:t>
            </w:r>
            <w:r w:rsidR="002E797F">
              <w:rPr>
                <w:rFonts w:eastAsia="Times New Roman" w:cs="Times New Roman"/>
                <w:b/>
                <w:bCs/>
                <w:szCs w:val="24"/>
                <w:lang w:eastAsia="lv-LV"/>
              </w:rPr>
              <w:t>.</w:t>
            </w:r>
          </w:p>
          <w:p w14:paraId="488F32A8" w14:textId="77777777" w:rsidR="00E34BA4" w:rsidRPr="00A86157" w:rsidRDefault="004E3E76" w:rsidP="002E797F">
            <w:pPr>
              <w:spacing w:before="150" w:after="150"/>
              <w:rPr>
                <w:rFonts w:eastAsia="Times New Roman" w:cs="Times New Roman"/>
                <w:bCs/>
                <w:szCs w:val="24"/>
                <w:lang w:eastAsia="lv-LV"/>
              </w:rPr>
            </w:pPr>
            <w:r>
              <w:rPr>
                <w:rFonts w:eastAsia="Times New Roman" w:cs="Times New Roman"/>
                <w:bCs/>
                <w:szCs w:val="24"/>
                <w:lang w:eastAsia="lv-LV"/>
              </w:rPr>
              <w:t>Rīkojuma projekts un a</w:t>
            </w:r>
            <w:r w:rsidR="00E34BA4" w:rsidRPr="00A86157">
              <w:rPr>
                <w:rFonts w:eastAsia="Times New Roman" w:cs="Times New Roman"/>
                <w:bCs/>
                <w:szCs w:val="24"/>
                <w:lang w:eastAsia="lv-LV"/>
              </w:rPr>
              <w:t>notācija papildin</w:t>
            </w:r>
            <w:r w:rsidR="00B903A5">
              <w:rPr>
                <w:rFonts w:eastAsia="Times New Roman" w:cs="Times New Roman"/>
                <w:bCs/>
                <w:szCs w:val="24"/>
                <w:lang w:eastAsia="lv-LV"/>
              </w:rPr>
              <w:t>āti</w:t>
            </w:r>
            <w:r w:rsidR="002E797F">
              <w:rPr>
                <w:rFonts w:eastAsia="Times New Roman" w:cs="Times New Roman"/>
                <w:bCs/>
                <w:szCs w:val="24"/>
                <w:lang w:eastAsia="lv-LV"/>
              </w:rPr>
              <w:t>.</w:t>
            </w:r>
          </w:p>
        </w:tc>
        <w:tc>
          <w:tcPr>
            <w:tcW w:w="3090" w:type="dxa"/>
          </w:tcPr>
          <w:p w14:paraId="389736F1" w14:textId="77777777" w:rsidR="004E3E76" w:rsidRPr="00FA7FB0" w:rsidRDefault="004E3E76" w:rsidP="006435F0">
            <w:pPr>
              <w:pStyle w:val="CommentText"/>
              <w:jc w:val="both"/>
              <w:rPr>
                <w:rFonts w:eastAsia="Calibri" w:cs="Times New Roman"/>
                <w:sz w:val="24"/>
                <w:szCs w:val="24"/>
              </w:rPr>
            </w:pPr>
            <w:r w:rsidRPr="00FA7FB0">
              <w:rPr>
                <w:rFonts w:eastAsia="Calibri" w:cs="Times New Roman"/>
                <w:sz w:val="24"/>
                <w:szCs w:val="24"/>
              </w:rPr>
              <w:t xml:space="preserve">Rīkojuma projekta </w:t>
            </w:r>
            <w:r w:rsidR="00566807" w:rsidRPr="00FA7FB0">
              <w:rPr>
                <w:rFonts w:eastAsia="Calibri" w:cs="Times New Roman"/>
                <w:sz w:val="24"/>
                <w:szCs w:val="24"/>
              </w:rPr>
              <w:t>1.</w:t>
            </w:r>
            <w:r w:rsidR="00CC4F97">
              <w:rPr>
                <w:rFonts w:eastAsia="Calibri" w:cs="Times New Roman"/>
                <w:sz w:val="24"/>
                <w:szCs w:val="24"/>
              </w:rPr>
              <w:t> </w:t>
            </w:r>
            <w:r w:rsidR="00566807" w:rsidRPr="00FA7FB0">
              <w:rPr>
                <w:rFonts w:eastAsia="Calibri" w:cs="Times New Roman"/>
                <w:sz w:val="24"/>
                <w:szCs w:val="24"/>
              </w:rPr>
              <w:t>punkts:</w:t>
            </w:r>
          </w:p>
          <w:p w14:paraId="1C239099" w14:textId="77777777" w:rsidR="00566807" w:rsidRPr="00FA7FB0" w:rsidRDefault="00D97DBC" w:rsidP="00D97DBC">
            <w:pPr>
              <w:jc w:val="both"/>
              <w:rPr>
                <w:rFonts w:eastAsia="Times New Roman" w:cs="Times New Roman"/>
                <w:color w:val="000000"/>
                <w:szCs w:val="24"/>
              </w:rPr>
            </w:pPr>
            <w:r>
              <w:rPr>
                <w:rFonts w:eastAsia="Times New Roman" w:cs="Times New Roman"/>
                <w:szCs w:val="24"/>
              </w:rPr>
              <w:t xml:space="preserve">     </w:t>
            </w:r>
            <w:r w:rsidR="00566807" w:rsidRPr="00566807">
              <w:rPr>
                <w:rFonts w:eastAsia="Times New Roman" w:cs="Times New Roman"/>
                <w:szCs w:val="24"/>
              </w:rPr>
              <w:t>1. Lai nodrošinātu atbalstu biedrībai “BEZVESTS.L</w:t>
            </w:r>
            <w:r w:rsidR="00CC4F97">
              <w:rPr>
                <w:rFonts w:eastAsia="Times New Roman" w:cs="Times New Roman"/>
                <w:szCs w:val="24"/>
              </w:rPr>
              <w:t xml:space="preserve">V” (reģ. Nr. 40008147693) </w:t>
            </w:r>
            <w:r w:rsidR="00566807" w:rsidRPr="00566807">
              <w:rPr>
                <w:rFonts w:eastAsia="Times New Roman" w:cs="Times New Roman"/>
                <w:szCs w:val="24"/>
              </w:rPr>
              <w:t xml:space="preserve">drona </w:t>
            </w:r>
            <w:r w:rsidR="00CC4F97">
              <w:rPr>
                <w:rFonts w:eastAsia="Times New Roman" w:cs="Times New Roman"/>
                <w:szCs w:val="24"/>
              </w:rPr>
              <w:t>“</w:t>
            </w:r>
            <w:proofErr w:type="spellStart"/>
            <w:r w:rsidR="00CC4F97">
              <w:rPr>
                <w:rFonts w:eastAsia="Times New Roman" w:cs="Times New Roman"/>
                <w:szCs w:val="24"/>
              </w:rPr>
              <w:t>Atlas</w:t>
            </w:r>
            <w:proofErr w:type="spellEnd"/>
            <w:r w:rsidR="00CC4F97">
              <w:rPr>
                <w:rFonts w:eastAsia="Times New Roman" w:cs="Times New Roman"/>
                <w:szCs w:val="24"/>
              </w:rPr>
              <w:t xml:space="preserve">” </w:t>
            </w:r>
            <w:r w:rsidR="00566807" w:rsidRPr="00566807">
              <w:rPr>
                <w:rFonts w:eastAsia="Times New Roman" w:cs="Times New Roman"/>
                <w:szCs w:val="24"/>
              </w:rPr>
              <w:t xml:space="preserve">civilās versijas iegādei, </w:t>
            </w:r>
            <w:r w:rsidR="00566807" w:rsidRPr="00566807">
              <w:rPr>
                <w:rFonts w:eastAsia="Times New Roman" w:cs="Times New Roman"/>
                <w:szCs w:val="24"/>
                <w:u w:val="single"/>
              </w:rPr>
              <w:t>tā izmantošanai bezvēsts pazudušu personu meklēšanā</w:t>
            </w:r>
            <w:r w:rsidR="00566807" w:rsidRPr="00566807">
              <w:rPr>
                <w:rFonts w:eastAsia="Times New Roman" w:cs="Times New Roman"/>
                <w:szCs w:val="24"/>
              </w:rPr>
              <w:t xml:space="preserve">, piešķirt biedrībai “BEZVESTS.LV” finanšu līdzekļus no Aizsardzības ministrijas budžeta apakšprogrammas 22.12.00 “Nacionālo bruņoto spēku uzturēšana” 22 649 </w:t>
            </w:r>
            <w:proofErr w:type="spellStart"/>
            <w:r w:rsidR="00566807" w:rsidRPr="00566807">
              <w:rPr>
                <w:rFonts w:eastAsia="Times New Roman" w:cs="Times New Roman"/>
                <w:i/>
                <w:szCs w:val="24"/>
              </w:rPr>
              <w:t>euro</w:t>
            </w:r>
            <w:proofErr w:type="spellEnd"/>
            <w:r w:rsidR="00566807" w:rsidRPr="00566807">
              <w:rPr>
                <w:rFonts w:eastAsia="Times New Roman" w:cs="Times New Roman"/>
                <w:i/>
                <w:szCs w:val="24"/>
              </w:rPr>
              <w:t xml:space="preserve"> </w:t>
            </w:r>
            <w:r w:rsidR="00566807" w:rsidRPr="00566807">
              <w:rPr>
                <w:rFonts w:eastAsia="Times New Roman" w:cs="Times New Roman"/>
                <w:szCs w:val="24"/>
              </w:rPr>
              <w:t xml:space="preserve">apmērā. </w:t>
            </w:r>
          </w:p>
          <w:p w14:paraId="1B6EF748" w14:textId="77777777" w:rsidR="004E3E76" w:rsidRPr="006041E1" w:rsidRDefault="004E3E76" w:rsidP="006435F0">
            <w:pPr>
              <w:pStyle w:val="CommentText"/>
              <w:jc w:val="both"/>
              <w:rPr>
                <w:rFonts w:eastAsia="Calibri" w:cs="Times New Roman"/>
                <w:sz w:val="24"/>
                <w:szCs w:val="24"/>
                <w:u w:val="single"/>
              </w:rPr>
            </w:pPr>
          </w:p>
          <w:p w14:paraId="0B113364" w14:textId="77777777" w:rsidR="006435F0" w:rsidRPr="005E5A38" w:rsidRDefault="006435F0" w:rsidP="006435F0">
            <w:pPr>
              <w:pStyle w:val="CommentText"/>
              <w:jc w:val="both"/>
              <w:rPr>
                <w:rFonts w:eastAsia="Calibri" w:cs="Times New Roman"/>
                <w:sz w:val="24"/>
                <w:szCs w:val="24"/>
              </w:rPr>
            </w:pPr>
            <w:r w:rsidRPr="005E5A38">
              <w:rPr>
                <w:rFonts w:eastAsia="Calibri" w:cs="Times New Roman"/>
                <w:sz w:val="24"/>
                <w:szCs w:val="24"/>
              </w:rPr>
              <w:t>Anotācijas I sadaļas 2.</w:t>
            </w:r>
            <w:r w:rsidR="00CC4F97">
              <w:rPr>
                <w:rFonts w:eastAsia="Calibri" w:cs="Times New Roman"/>
                <w:sz w:val="24"/>
                <w:szCs w:val="24"/>
              </w:rPr>
              <w:t> </w:t>
            </w:r>
            <w:r w:rsidRPr="005E5A38">
              <w:rPr>
                <w:rFonts w:eastAsia="Calibri" w:cs="Times New Roman"/>
                <w:sz w:val="24"/>
                <w:szCs w:val="24"/>
              </w:rPr>
              <w:t>punkts:</w:t>
            </w:r>
          </w:p>
          <w:p w14:paraId="2DED3994" w14:textId="77777777" w:rsidR="00E34BA4" w:rsidRPr="006041E1" w:rsidRDefault="00CC4F97" w:rsidP="00E34BA4">
            <w:pPr>
              <w:pStyle w:val="CommentText"/>
              <w:ind w:firstLine="184"/>
              <w:jc w:val="both"/>
              <w:rPr>
                <w:rFonts w:eastAsia="Calibri" w:cs="Times New Roman"/>
                <w:bCs/>
                <w:sz w:val="24"/>
                <w:szCs w:val="24"/>
                <w:u w:val="single"/>
              </w:rPr>
            </w:pPr>
            <w:r>
              <w:rPr>
                <w:rFonts w:eastAsia="Calibri" w:cs="Times New Roman"/>
                <w:sz w:val="24"/>
                <w:szCs w:val="24"/>
                <w:u w:val="single"/>
              </w:rPr>
              <w:t>Biedrība darbojas no 2009. </w:t>
            </w:r>
            <w:r w:rsidR="006435F0" w:rsidRPr="006041E1">
              <w:rPr>
                <w:rFonts w:eastAsia="Calibri" w:cs="Times New Roman"/>
                <w:sz w:val="24"/>
                <w:szCs w:val="24"/>
                <w:u w:val="single"/>
              </w:rPr>
              <w:t>gada un ir vienīgā Latvijas Republikā reģistrētā sabiedriskā organizācija, kas</w:t>
            </w:r>
            <w:r>
              <w:rPr>
                <w:rFonts w:eastAsia="Calibri" w:cs="Times New Roman"/>
                <w:sz w:val="24"/>
                <w:szCs w:val="24"/>
                <w:u w:val="single"/>
              </w:rPr>
              <w:t>,</w:t>
            </w:r>
            <w:r w:rsidR="006435F0" w:rsidRPr="006041E1">
              <w:rPr>
                <w:rFonts w:eastAsia="Calibri" w:cs="Times New Roman"/>
                <w:sz w:val="24"/>
                <w:szCs w:val="24"/>
                <w:u w:val="single"/>
              </w:rPr>
              <w:t xml:space="preserve"> apvienojot brīvprātīgos speciālistus</w:t>
            </w:r>
            <w:r>
              <w:rPr>
                <w:rFonts w:eastAsia="Calibri" w:cs="Times New Roman"/>
                <w:sz w:val="24"/>
                <w:szCs w:val="24"/>
                <w:u w:val="single"/>
              </w:rPr>
              <w:t>,</w:t>
            </w:r>
            <w:r w:rsidR="006435F0" w:rsidRPr="006041E1">
              <w:rPr>
                <w:rFonts w:eastAsia="Calibri" w:cs="Times New Roman"/>
                <w:sz w:val="24"/>
                <w:szCs w:val="24"/>
                <w:u w:val="single"/>
              </w:rPr>
              <w:t xml:space="preserve"> sadarbībā ar Valsts policiju un citām </w:t>
            </w:r>
            <w:r>
              <w:rPr>
                <w:rFonts w:eastAsia="Calibri" w:cs="Times New Roman"/>
                <w:sz w:val="24"/>
                <w:szCs w:val="24"/>
                <w:u w:val="single"/>
              </w:rPr>
              <w:t>valsts un pašvaldību struktūrām</w:t>
            </w:r>
            <w:r w:rsidR="006435F0" w:rsidRPr="006041E1">
              <w:rPr>
                <w:rFonts w:eastAsia="Calibri" w:cs="Times New Roman"/>
                <w:sz w:val="24"/>
                <w:szCs w:val="24"/>
                <w:u w:val="single"/>
              </w:rPr>
              <w:t xml:space="preserve"> bez  atlīdzības sniedz palīdzību </w:t>
            </w:r>
            <w:r w:rsidR="006435F0" w:rsidRPr="006041E1">
              <w:rPr>
                <w:rFonts w:eastAsia="Calibri" w:cs="Times New Roman"/>
                <w:sz w:val="24"/>
                <w:szCs w:val="24"/>
                <w:u w:val="single"/>
              </w:rPr>
              <w:lastRenderedPageBreak/>
              <w:t>bezvēsts pazudušo personu (bērnu un pieaugušo) meklēšanā</w:t>
            </w:r>
            <w:r w:rsidR="006435F0" w:rsidRPr="006041E1">
              <w:rPr>
                <w:rFonts w:eastAsia="Calibri" w:cs="Times New Roman"/>
                <w:bCs/>
                <w:sz w:val="24"/>
                <w:szCs w:val="24"/>
                <w:u w:val="single"/>
              </w:rPr>
              <w:t xml:space="preserve"> visā Latvijas teritorijā.</w:t>
            </w:r>
          </w:p>
          <w:p w14:paraId="00C6A9BA" w14:textId="77777777" w:rsidR="000E73E0" w:rsidRPr="000E73E0" w:rsidRDefault="000E73E0" w:rsidP="000E73E0">
            <w:pPr>
              <w:spacing w:before="240" w:after="160"/>
              <w:jc w:val="both"/>
              <w:rPr>
                <w:rFonts w:eastAsia="Calibri" w:cs="Times New Roman"/>
                <w:bCs/>
                <w:szCs w:val="24"/>
                <w:u w:val="single"/>
              </w:rPr>
            </w:pPr>
            <w:r w:rsidRPr="000E73E0">
              <w:rPr>
                <w:rFonts w:eastAsia="Calibri" w:cs="Times New Roman"/>
                <w:bCs/>
                <w:szCs w:val="24"/>
                <w:u w:val="single"/>
              </w:rPr>
              <w:t xml:space="preserve">Biedrība ir Eiropas meklēšanas organizācijas </w:t>
            </w:r>
            <w:proofErr w:type="spellStart"/>
            <w:r w:rsidRPr="00CC4F97">
              <w:rPr>
                <w:rFonts w:eastAsia="Calibri" w:cs="Times New Roman"/>
                <w:bCs/>
                <w:i/>
                <w:szCs w:val="24"/>
                <w:u w:val="single"/>
              </w:rPr>
              <w:t>Missing</w:t>
            </w:r>
            <w:proofErr w:type="spellEnd"/>
            <w:r w:rsidRPr="00CC4F97">
              <w:rPr>
                <w:rFonts w:eastAsia="Calibri" w:cs="Times New Roman"/>
                <w:bCs/>
                <w:i/>
                <w:szCs w:val="24"/>
                <w:u w:val="single"/>
              </w:rPr>
              <w:t xml:space="preserve"> </w:t>
            </w:r>
            <w:proofErr w:type="spellStart"/>
            <w:r w:rsidRPr="00CC4F97">
              <w:rPr>
                <w:rFonts w:eastAsia="Calibri" w:cs="Times New Roman"/>
                <w:bCs/>
                <w:i/>
                <w:szCs w:val="24"/>
                <w:u w:val="single"/>
              </w:rPr>
              <w:t>children</w:t>
            </w:r>
            <w:proofErr w:type="spellEnd"/>
            <w:r w:rsidRPr="00CC4F97">
              <w:rPr>
                <w:rFonts w:eastAsia="Calibri" w:cs="Times New Roman"/>
                <w:bCs/>
                <w:i/>
                <w:szCs w:val="24"/>
                <w:u w:val="single"/>
              </w:rPr>
              <w:t xml:space="preserve"> </w:t>
            </w:r>
            <w:proofErr w:type="spellStart"/>
            <w:r w:rsidRPr="00CC4F97">
              <w:rPr>
                <w:rFonts w:eastAsia="Calibri" w:cs="Times New Roman"/>
                <w:bCs/>
                <w:i/>
                <w:szCs w:val="24"/>
                <w:u w:val="single"/>
              </w:rPr>
              <w:t>Europe</w:t>
            </w:r>
            <w:proofErr w:type="spellEnd"/>
            <w:r w:rsidRPr="000E73E0">
              <w:rPr>
                <w:rFonts w:eastAsia="Calibri" w:cs="Times New Roman"/>
                <w:bCs/>
                <w:szCs w:val="24"/>
                <w:u w:val="single"/>
              </w:rPr>
              <w:t xml:space="preserve"> biedrs.</w:t>
            </w:r>
          </w:p>
          <w:p w14:paraId="6069F892" w14:textId="77777777" w:rsidR="000E73E0" w:rsidRPr="000E73E0" w:rsidRDefault="000E73E0" w:rsidP="000E73E0">
            <w:pPr>
              <w:spacing w:before="240" w:after="160"/>
              <w:jc w:val="both"/>
              <w:rPr>
                <w:rFonts w:eastAsia="Calibri" w:cs="Times New Roman"/>
                <w:bCs/>
                <w:szCs w:val="24"/>
                <w:u w:val="single"/>
              </w:rPr>
            </w:pPr>
            <w:r w:rsidRPr="000E73E0">
              <w:rPr>
                <w:rFonts w:eastAsia="Calibri" w:cs="Times New Roman"/>
                <w:bCs/>
                <w:szCs w:val="24"/>
                <w:u w:val="single"/>
              </w:rPr>
              <w:t>Kopš</w:t>
            </w:r>
            <w:r w:rsidRPr="000E73E0">
              <w:rPr>
                <w:rFonts w:eastAsia="Calibri" w:cs="Times New Roman"/>
                <w:szCs w:val="24"/>
                <w:u w:val="single"/>
              </w:rPr>
              <w:t xml:space="preserve"> biedrības </w:t>
            </w:r>
            <w:r w:rsidR="00CC4F97">
              <w:rPr>
                <w:rFonts w:eastAsia="Calibri" w:cs="Times New Roman"/>
                <w:bCs/>
                <w:szCs w:val="24"/>
                <w:u w:val="single"/>
              </w:rPr>
              <w:t>darbības uzsākšanas 2009. </w:t>
            </w:r>
            <w:r w:rsidRPr="000E73E0">
              <w:rPr>
                <w:rFonts w:eastAsia="Calibri" w:cs="Times New Roman"/>
                <w:bCs/>
                <w:szCs w:val="24"/>
                <w:u w:val="single"/>
              </w:rPr>
              <w:t>gadā</w:t>
            </w:r>
            <w:r w:rsidR="00CC4F97">
              <w:rPr>
                <w:rFonts w:eastAsia="Calibri" w:cs="Times New Roman"/>
                <w:bCs/>
                <w:szCs w:val="24"/>
                <w:u w:val="single"/>
              </w:rPr>
              <w:t xml:space="preserve"> brīvprātīgie ir veikuši ap 800 </w:t>
            </w:r>
            <w:r w:rsidRPr="000E73E0">
              <w:rPr>
                <w:rFonts w:eastAsia="Calibri" w:cs="Times New Roman"/>
                <w:bCs/>
                <w:szCs w:val="24"/>
                <w:u w:val="single"/>
              </w:rPr>
              <w:t xml:space="preserve">meklēšanas operāciju un ir </w:t>
            </w:r>
            <w:r w:rsidR="00CC4F97">
              <w:rPr>
                <w:rFonts w:eastAsia="Calibri" w:cs="Times New Roman"/>
                <w:bCs/>
                <w:szCs w:val="24"/>
                <w:u w:val="single"/>
              </w:rPr>
              <w:t>atraduši 109 </w:t>
            </w:r>
            <w:r w:rsidRPr="000E73E0">
              <w:rPr>
                <w:rFonts w:eastAsia="Calibri" w:cs="Times New Roman"/>
                <w:bCs/>
                <w:szCs w:val="24"/>
                <w:u w:val="single"/>
              </w:rPr>
              <w:t>cilvēkus. Biedrībai ir izveidojusies apjomīga pieredze meklēšanā pa sauszemi, ūdenī, kā arī no gaisa ar lidojošo iekārtu palīdzību.</w:t>
            </w:r>
          </w:p>
          <w:p w14:paraId="5C71D520" w14:textId="77777777" w:rsidR="000E73E0" w:rsidRPr="006041E1" w:rsidRDefault="000E73E0" w:rsidP="000E73E0">
            <w:pPr>
              <w:spacing w:before="240" w:after="160"/>
              <w:jc w:val="both"/>
              <w:rPr>
                <w:rFonts w:eastAsia="Calibri" w:cs="Times New Roman"/>
                <w:bCs/>
                <w:szCs w:val="24"/>
                <w:u w:val="single"/>
              </w:rPr>
            </w:pPr>
            <w:r w:rsidRPr="000E73E0">
              <w:rPr>
                <w:rFonts w:eastAsia="Calibri" w:cs="Times New Roman"/>
                <w:bCs/>
                <w:szCs w:val="24"/>
                <w:u w:val="single"/>
              </w:rPr>
              <w:t>2012. gada 20. jūnijā biedrība ir noslēgusi Sadar</w:t>
            </w:r>
            <w:r w:rsidR="00CC4F97">
              <w:rPr>
                <w:rFonts w:eastAsia="Calibri" w:cs="Times New Roman"/>
                <w:bCs/>
                <w:szCs w:val="24"/>
                <w:u w:val="single"/>
              </w:rPr>
              <w:t>bības līgumu ar Valsts policiju</w:t>
            </w:r>
            <w:r w:rsidRPr="000E73E0">
              <w:rPr>
                <w:rFonts w:eastAsia="Calibri" w:cs="Times New Roman"/>
                <w:bCs/>
                <w:szCs w:val="24"/>
                <w:u w:val="single"/>
              </w:rPr>
              <w:t xml:space="preserve"> un, piesaistot brīvprātīgos, sniedz būtisku palīdzību policijas darbā</w:t>
            </w:r>
            <w:r w:rsidR="00CC4F97">
              <w:rPr>
                <w:rFonts w:eastAsia="Calibri" w:cs="Times New Roman"/>
                <w:bCs/>
                <w:szCs w:val="24"/>
                <w:u w:val="single"/>
              </w:rPr>
              <w:t>,</w:t>
            </w:r>
            <w:r w:rsidRPr="000E73E0">
              <w:rPr>
                <w:rFonts w:eastAsia="Calibri" w:cs="Times New Roman"/>
                <w:bCs/>
                <w:szCs w:val="24"/>
                <w:u w:val="single"/>
              </w:rPr>
              <w:t xml:space="preserve"> </w:t>
            </w:r>
            <w:r w:rsidR="00CC4F97">
              <w:rPr>
                <w:rFonts w:eastAsia="Calibri" w:cs="Times New Roman"/>
                <w:bCs/>
                <w:szCs w:val="24"/>
                <w:u w:val="single"/>
              </w:rPr>
              <w:t xml:space="preserve">lai sasniegtu </w:t>
            </w:r>
            <w:r w:rsidRPr="000E73E0">
              <w:rPr>
                <w:rFonts w:eastAsia="Calibri" w:cs="Times New Roman"/>
                <w:bCs/>
                <w:szCs w:val="24"/>
                <w:u w:val="single"/>
              </w:rPr>
              <w:t>labāku</w:t>
            </w:r>
            <w:r w:rsidR="00CC4F97">
              <w:rPr>
                <w:rFonts w:eastAsia="Calibri" w:cs="Times New Roman"/>
                <w:bCs/>
                <w:szCs w:val="24"/>
                <w:u w:val="single"/>
              </w:rPr>
              <w:t>s</w:t>
            </w:r>
            <w:r w:rsidRPr="000E73E0">
              <w:rPr>
                <w:rFonts w:eastAsia="Calibri" w:cs="Times New Roman"/>
                <w:bCs/>
                <w:szCs w:val="24"/>
                <w:u w:val="single"/>
              </w:rPr>
              <w:t xml:space="preserve"> rezultātu</w:t>
            </w:r>
            <w:r w:rsidR="00CC4F97">
              <w:rPr>
                <w:rFonts w:eastAsia="Calibri" w:cs="Times New Roman"/>
                <w:bCs/>
                <w:szCs w:val="24"/>
                <w:u w:val="single"/>
              </w:rPr>
              <w:t>s pazudušo personu meklēšan</w:t>
            </w:r>
            <w:r w:rsidRPr="000E73E0">
              <w:rPr>
                <w:rFonts w:eastAsia="Calibri" w:cs="Times New Roman"/>
                <w:bCs/>
                <w:szCs w:val="24"/>
                <w:u w:val="single"/>
              </w:rPr>
              <w:t>ā.</w:t>
            </w:r>
          </w:p>
          <w:p w14:paraId="160A1AFF" w14:textId="5523B33F" w:rsidR="000E73E0" w:rsidRPr="006041E1" w:rsidRDefault="000E73E0" w:rsidP="004E3E76">
            <w:pPr>
              <w:spacing w:before="240" w:after="160"/>
              <w:jc w:val="both"/>
              <w:rPr>
                <w:rFonts w:eastAsia="Calibri" w:cs="Times New Roman"/>
                <w:bCs/>
                <w:szCs w:val="24"/>
                <w:u w:val="single"/>
              </w:rPr>
            </w:pPr>
            <w:r w:rsidRPr="006041E1">
              <w:rPr>
                <w:rFonts w:eastAsia="Calibri" w:cs="Times New Roman"/>
                <w:szCs w:val="24"/>
                <w:u w:val="single"/>
              </w:rPr>
              <w:t>Pēc rīkojuma projekta spēkā stāšanās AM plāno slēgt līgumu ar biedrību par finansē</w:t>
            </w:r>
            <w:r w:rsidR="0076022B">
              <w:rPr>
                <w:rFonts w:eastAsia="Calibri" w:cs="Times New Roman"/>
                <w:szCs w:val="24"/>
                <w:u w:val="single"/>
              </w:rPr>
              <w:t>juma piešķiršanu, līgumā nosakot finansējuma</w:t>
            </w:r>
            <w:r w:rsidRPr="006041E1">
              <w:rPr>
                <w:rFonts w:eastAsia="Calibri" w:cs="Times New Roman"/>
                <w:szCs w:val="24"/>
                <w:u w:val="single"/>
              </w:rPr>
              <w:t xml:space="preserve"> </w:t>
            </w:r>
            <w:r w:rsidRPr="006041E1">
              <w:rPr>
                <w:rFonts w:eastAsia="Calibri" w:cs="Times New Roman"/>
                <w:szCs w:val="24"/>
                <w:u w:val="single"/>
              </w:rPr>
              <w:lastRenderedPageBreak/>
              <w:t>piešķiršanas kārtību un mērķi – drona iegāde tā izmantošanai bezvēsts pazu</w:t>
            </w:r>
            <w:r w:rsidR="0076022B">
              <w:rPr>
                <w:rFonts w:eastAsia="Calibri" w:cs="Times New Roman"/>
                <w:szCs w:val="24"/>
                <w:u w:val="single"/>
              </w:rPr>
              <w:t xml:space="preserve">dušu personu meklēšanā, kā arī </w:t>
            </w:r>
            <w:r w:rsidRPr="006041E1">
              <w:rPr>
                <w:rFonts w:eastAsia="Calibri" w:cs="Times New Roman"/>
                <w:szCs w:val="24"/>
                <w:u w:val="single"/>
              </w:rPr>
              <w:t>nosacījumus, kas attiecas uz iegādātā</w:t>
            </w:r>
            <w:r w:rsidR="0076022B">
              <w:rPr>
                <w:rFonts w:eastAsia="Calibri" w:cs="Times New Roman"/>
                <w:szCs w:val="24"/>
                <w:u w:val="single"/>
              </w:rPr>
              <w:t xml:space="preserve"> drona ekspluatācijas kārtību. </w:t>
            </w:r>
            <w:r w:rsidRPr="006041E1">
              <w:rPr>
                <w:rFonts w:eastAsia="Calibri" w:cs="Times New Roman"/>
                <w:szCs w:val="24"/>
                <w:u w:val="single"/>
              </w:rPr>
              <w:t xml:space="preserve">Līgumā </w:t>
            </w:r>
            <w:r w:rsidR="004E3E76" w:rsidRPr="006041E1">
              <w:rPr>
                <w:rFonts w:eastAsia="Calibri" w:cs="Times New Roman"/>
                <w:szCs w:val="24"/>
                <w:u w:val="single"/>
              </w:rPr>
              <w:t>tiks</w:t>
            </w:r>
            <w:r w:rsidRPr="006041E1">
              <w:rPr>
                <w:rFonts w:eastAsia="Calibri" w:cs="Times New Roman"/>
                <w:szCs w:val="24"/>
                <w:u w:val="single"/>
              </w:rPr>
              <w:t xml:space="preserve"> iekļaut</w:t>
            </w:r>
            <w:r w:rsidR="004E3E76" w:rsidRPr="006041E1">
              <w:rPr>
                <w:rFonts w:eastAsia="Calibri" w:cs="Times New Roman"/>
                <w:szCs w:val="24"/>
                <w:u w:val="single"/>
              </w:rPr>
              <w:t>i</w:t>
            </w:r>
            <w:r w:rsidRPr="006041E1">
              <w:rPr>
                <w:rFonts w:eastAsia="Calibri" w:cs="Times New Roman"/>
                <w:szCs w:val="24"/>
                <w:u w:val="single"/>
              </w:rPr>
              <w:t xml:space="preserve"> nosac</w:t>
            </w:r>
            <w:r w:rsidR="004E3E76" w:rsidRPr="006041E1">
              <w:rPr>
                <w:rFonts w:eastAsia="Calibri" w:cs="Times New Roman"/>
                <w:szCs w:val="24"/>
                <w:u w:val="single"/>
              </w:rPr>
              <w:t>ījumi</w:t>
            </w:r>
            <w:r w:rsidRPr="006041E1">
              <w:rPr>
                <w:rFonts w:eastAsia="Calibri" w:cs="Times New Roman"/>
                <w:szCs w:val="24"/>
                <w:u w:val="single"/>
              </w:rPr>
              <w:t>, kas</w:t>
            </w:r>
            <w:r w:rsidR="004E3E76" w:rsidRPr="006041E1">
              <w:rPr>
                <w:rFonts w:eastAsia="Calibri" w:cs="Times New Roman"/>
                <w:szCs w:val="24"/>
                <w:u w:val="single"/>
              </w:rPr>
              <w:t xml:space="preserve"> paredz biedrībai</w:t>
            </w:r>
            <w:r w:rsidRPr="006041E1">
              <w:rPr>
                <w:rFonts w:eastAsia="Calibri" w:cs="Times New Roman"/>
                <w:szCs w:val="24"/>
                <w:u w:val="single"/>
              </w:rPr>
              <w:t xml:space="preserve"> atmaksāt piešķirtos</w:t>
            </w:r>
            <w:r w:rsidR="009305D8">
              <w:rPr>
                <w:rFonts w:eastAsia="Calibri" w:cs="Times New Roman"/>
                <w:szCs w:val="24"/>
                <w:u w:val="single"/>
              </w:rPr>
              <w:t xml:space="preserve"> finanšu līdzekļus vai atgriezt</w:t>
            </w:r>
            <w:bookmarkStart w:id="0" w:name="_GoBack"/>
            <w:bookmarkEnd w:id="0"/>
            <w:r w:rsidR="0076022B">
              <w:rPr>
                <w:rFonts w:eastAsia="Calibri" w:cs="Times New Roman"/>
                <w:szCs w:val="24"/>
                <w:u w:val="single"/>
              </w:rPr>
              <w:t xml:space="preserve"> </w:t>
            </w:r>
            <w:r w:rsidRPr="006041E1">
              <w:rPr>
                <w:rFonts w:eastAsia="Calibri" w:cs="Times New Roman"/>
                <w:szCs w:val="24"/>
                <w:u w:val="single"/>
              </w:rPr>
              <w:t>par ti</w:t>
            </w:r>
            <w:r w:rsidR="0076022B">
              <w:rPr>
                <w:rFonts w:eastAsia="Calibri" w:cs="Times New Roman"/>
                <w:szCs w:val="24"/>
                <w:u w:val="single"/>
              </w:rPr>
              <w:t xml:space="preserve">em iegādātos materiāltehniskos </w:t>
            </w:r>
            <w:r w:rsidRPr="006041E1">
              <w:rPr>
                <w:rFonts w:eastAsia="Calibri" w:cs="Times New Roman"/>
                <w:szCs w:val="24"/>
                <w:u w:val="single"/>
              </w:rPr>
              <w:t xml:space="preserve">līdzekļus AM, ja tie </w:t>
            </w:r>
            <w:r w:rsidR="0076022B">
              <w:rPr>
                <w:rFonts w:eastAsia="Calibri" w:cs="Times New Roman"/>
                <w:szCs w:val="24"/>
                <w:u w:val="single"/>
              </w:rPr>
              <w:t xml:space="preserve">netiek izmantoti </w:t>
            </w:r>
            <w:r w:rsidRPr="006041E1">
              <w:rPr>
                <w:rFonts w:eastAsia="Calibri" w:cs="Times New Roman"/>
                <w:szCs w:val="24"/>
                <w:u w:val="single"/>
              </w:rPr>
              <w:t xml:space="preserve">atbilstoši mērķim, </w:t>
            </w:r>
            <w:r w:rsidR="0076022B">
              <w:rPr>
                <w:rFonts w:eastAsia="Calibri" w:cs="Times New Roman"/>
                <w:szCs w:val="24"/>
                <w:u w:val="single"/>
              </w:rPr>
              <w:t xml:space="preserve">līgumā noteiktajai kārtībai un normatīvajiem aktiem vai </w:t>
            </w:r>
            <w:r w:rsidRPr="006041E1">
              <w:rPr>
                <w:rFonts w:eastAsia="Calibri" w:cs="Times New Roman"/>
                <w:szCs w:val="24"/>
                <w:u w:val="single"/>
              </w:rPr>
              <w:t xml:space="preserve">ja </w:t>
            </w:r>
            <w:r w:rsidR="0076022B">
              <w:rPr>
                <w:rFonts w:eastAsia="Calibri" w:cs="Times New Roman"/>
                <w:szCs w:val="24"/>
                <w:u w:val="single"/>
              </w:rPr>
              <w:t>biedrības</w:t>
            </w:r>
            <w:r w:rsidR="004E3E76" w:rsidRPr="006041E1">
              <w:rPr>
                <w:rFonts w:eastAsia="Calibri" w:cs="Times New Roman"/>
                <w:szCs w:val="24"/>
                <w:u w:val="single"/>
              </w:rPr>
              <w:t xml:space="preserve"> </w:t>
            </w:r>
            <w:r w:rsidR="0076022B">
              <w:rPr>
                <w:rFonts w:eastAsia="Calibri" w:cs="Times New Roman"/>
                <w:szCs w:val="24"/>
                <w:u w:val="single"/>
              </w:rPr>
              <w:t xml:space="preserve">darbā </w:t>
            </w:r>
            <w:r w:rsidR="004E3E76" w:rsidRPr="006041E1">
              <w:rPr>
                <w:rFonts w:eastAsia="Calibri" w:cs="Times New Roman"/>
                <w:szCs w:val="24"/>
                <w:u w:val="single"/>
              </w:rPr>
              <w:t xml:space="preserve">ir </w:t>
            </w:r>
            <w:r w:rsidRPr="006041E1">
              <w:rPr>
                <w:rFonts w:eastAsia="Calibri" w:cs="Times New Roman"/>
                <w:szCs w:val="24"/>
                <w:u w:val="single"/>
              </w:rPr>
              <w:t>konstatētas pretvalstiskas darbības.</w:t>
            </w:r>
            <w:r w:rsidRPr="006041E1">
              <w:rPr>
                <w:rFonts w:eastAsia="Times New Roman" w:cs="Times New Roman"/>
                <w:szCs w:val="24"/>
                <w:u w:val="single"/>
              </w:rPr>
              <w:t xml:space="preserve">  </w:t>
            </w:r>
          </w:p>
        </w:tc>
      </w:tr>
    </w:tbl>
    <w:p w14:paraId="379FD15A" w14:textId="77777777" w:rsidR="00483DC7" w:rsidRPr="001B3D6B" w:rsidRDefault="00483DC7" w:rsidP="003B137A">
      <w:pPr>
        <w:rPr>
          <w:rFonts w:cs="Times New Roman"/>
          <w:szCs w:val="24"/>
        </w:rPr>
      </w:pPr>
    </w:p>
    <w:p w14:paraId="092F2B7C" w14:textId="77777777" w:rsidR="003B137A" w:rsidRPr="001B3D6B" w:rsidRDefault="003B137A" w:rsidP="003B137A">
      <w:pPr>
        <w:rPr>
          <w:rFonts w:cs="Times New Roman"/>
          <w:szCs w:val="24"/>
        </w:rPr>
      </w:pPr>
      <w:r w:rsidRPr="001B3D6B">
        <w:rPr>
          <w:rFonts w:cs="Times New Roman"/>
          <w:szCs w:val="24"/>
        </w:rPr>
        <w:t xml:space="preserve">Atbildīgā </w:t>
      </w:r>
      <w:proofErr w:type="spellStart"/>
      <w:r w:rsidRPr="001B3D6B">
        <w:rPr>
          <w:rFonts w:cs="Times New Roman"/>
          <w:szCs w:val="24"/>
        </w:rPr>
        <w:t>amatpers</w:t>
      </w:r>
      <w:r w:rsidR="00A86157">
        <w:rPr>
          <w:rFonts w:cs="Times New Roman"/>
          <w:szCs w:val="24"/>
        </w:rPr>
        <w:t>ona____________________________G</w:t>
      </w:r>
      <w:proofErr w:type="spellEnd"/>
      <w:r w:rsidR="00A86157">
        <w:rPr>
          <w:rFonts w:cs="Times New Roman"/>
          <w:szCs w:val="24"/>
        </w:rPr>
        <w:t>.</w:t>
      </w:r>
      <w:r w:rsidR="00CC4F97">
        <w:rPr>
          <w:rFonts w:cs="Times New Roman"/>
          <w:szCs w:val="24"/>
        </w:rPr>
        <w:t> </w:t>
      </w:r>
      <w:r w:rsidR="00A86157">
        <w:rPr>
          <w:rFonts w:cs="Times New Roman"/>
          <w:szCs w:val="24"/>
        </w:rPr>
        <w:t>Gūtmane</w:t>
      </w:r>
    </w:p>
    <w:p w14:paraId="71A3F9F4" w14:textId="77777777" w:rsidR="003B137A" w:rsidRPr="001B3D6B" w:rsidRDefault="003B137A" w:rsidP="003B137A">
      <w:pPr>
        <w:rPr>
          <w:rFonts w:cs="Times New Roman"/>
          <w:szCs w:val="24"/>
        </w:rPr>
      </w:pPr>
    </w:p>
    <w:p w14:paraId="3AB8F18A" w14:textId="77777777" w:rsidR="003B137A" w:rsidRPr="001B3D6B" w:rsidRDefault="003B137A" w:rsidP="003B137A">
      <w:pPr>
        <w:rPr>
          <w:rFonts w:cs="Times New Roman"/>
          <w:szCs w:val="24"/>
        </w:rPr>
      </w:pPr>
    </w:p>
    <w:p w14:paraId="64170430" w14:textId="77777777" w:rsidR="003B137A" w:rsidRPr="001B3D6B" w:rsidRDefault="003B137A" w:rsidP="003B137A">
      <w:pPr>
        <w:rPr>
          <w:rFonts w:cs="Times New Roman"/>
          <w:szCs w:val="24"/>
        </w:rPr>
      </w:pPr>
    </w:p>
    <w:p w14:paraId="62088319" w14:textId="77777777" w:rsidR="00A1735B" w:rsidRDefault="00A1735B" w:rsidP="003B137A">
      <w:pPr>
        <w:rPr>
          <w:rFonts w:cs="Times New Roman"/>
          <w:sz w:val="20"/>
          <w:szCs w:val="20"/>
        </w:rPr>
      </w:pPr>
    </w:p>
    <w:p w14:paraId="7B9A31DE" w14:textId="77777777" w:rsidR="00A1735B" w:rsidRDefault="00A1735B" w:rsidP="003B137A">
      <w:pPr>
        <w:rPr>
          <w:rFonts w:cs="Times New Roman"/>
          <w:sz w:val="20"/>
          <w:szCs w:val="20"/>
        </w:rPr>
      </w:pPr>
    </w:p>
    <w:p w14:paraId="6577FF0B" w14:textId="77777777" w:rsidR="00A1735B" w:rsidRDefault="00A1735B" w:rsidP="003B137A">
      <w:pPr>
        <w:rPr>
          <w:rFonts w:cs="Times New Roman"/>
          <w:sz w:val="20"/>
          <w:szCs w:val="20"/>
        </w:rPr>
      </w:pPr>
    </w:p>
    <w:p w14:paraId="47802A54" w14:textId="77777777" w:rsidR="003B137A" w:rsidRPr="00773154" w:rsidRDefault="00A86157" w:rsidP="003B137A">
      <w:pPr>
        <w:rPr>
          <w:rFonts w:cs="Times New Roman"/>
          <w:sz w:val="20"/>
          <w:szCs w:val="20"/>
        </w:rPr>
      </w:pPr>
      <w:r>
        <w:rPr>
          <w:rFonts w:cs="Times New Roman"/>
          <w:sz w:val="20"/>
          <w:szCs w:val="20"/>
        </w:rPr>
        <w:t>Gita Gūtmane, 67335283</w:t>
      </w:r>
    </w:p>
    <w:p w14:paraId="1AE4B07C" w14:textId="77777777" w:rsidR="003B137A" w:rsidRPr="00773154" w:rsidRDefault="00A86157" w:rsidP="003B137A">
      <w:pPr>
        <w:rPr>
          <w:rFonts w:cs="Times New Roman"/>
          <w:sz w:val="20"/>
          <w:szCs w:val="20"/>
        </w:rPr>
      </w:pPr>
      <w:r>
        <w:rPr>
          <w:rFonts w:cs="Times New Roman"/>
          <w:sz w:val="20"/>
          <w:szCs w:val="20"/>
        </w:rPr>
        <w:t>Gita.Gutmane</w:t>
      </w:r>
      <w:r w:rsidR="003B137A" w:rsidRPr="00773154">
        <w:rPr>
          <w:rFonts w:cs="Times New Roman"/>
          <w:sz w:val="20"/>
          <w:szCs w:val="20"/>
        </w:rPr>
        <w:t>@mod.gov.lv</w:t>
      </w:r>
    </w:p>
    <w:p w14:paraId="525341F6" w14:textId="77777777" w:rsidR="00417FEF" w:rsidRPr="001B3D6B" w:rsidRDefault="00417FEF" w:rsidP="003B137A">
      <w:pPr>
        <w:jc w:val="center"/>
        <w:rPr>
          <w:rFonts w:eastAsia="Times New Roman" w:cs="Times New Roman"/>
          <w:b/>
          <w:szCs w:val="24"/>
          <w:lang w:eastAsia="lv-LV"/>
        </w:rPr>
      </w:pPr>
    </w:p>
    <w:sectPr w:rsidR="00417FEF" w:rsidRPr="001B3D6B" w:rsidSect="005319A8">
      <w:headerReference w:type="default" r:id="rId8"/>
      <w:footerReference w:type="default" r:id="rId9"/>
      <w:pgSz w:w="16838" w:h="11906" w:orient="landscape"/>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4B485" w14:textId="77777777" w:rsidR="000821F0" w:rsidRDefault="000821F0" w:rsidP="009929B9">
      <w:r>
        <w:separator/>
      </w:r>
    </w:p>
  </w:endnote>
  <w:endnote w:type="continuationSeparator" w:id="0">
    <w:p w14:paraId="4935E40E" w14:textId="77777777" w:rsidR="000821F0" w:rsidRDefault="000821F0" w:rsidP="0099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655033"/>
      <w:docPartObj>
        <w:docPartGallery w:val="Page Numbers (Bottom of Page)"/>
        <w:docPartUnique/>
      </w:docPartObj>
    </w:sdtPr>
    <w:sdtEndPr/>
    <w:sdtContent>
      <w:p w14:paraId="06B921E3" w14:textId="77777777" w:rsidR="00EC700E" w:rsidRPr="009B3C1B" w:rsidRDefault="00EC700E" w:rsidP="00EC700E">
        <w:pPr>
          <w:pStyle w:val="Footer"/>
          <w:rPr>
            <w:sz w:val="20"/>
            <w:szCs w:val="20"/>
          </w:rPr>
        </w:pPr>
        <w:r>
          <w:rPr>
            <w:sz w:val="20"/>
            <w:szCs w:val="20"/>
          </w:rPr>
          <w:t>AIMi</w:t>
        </w:r>
        <w:r w:rsidRPr="009B3C1B">
          <w:rPr>
            <w:sz w:val="20"/>
            <w:szCs w:val="20"/>
          </w:rPr>
          <w:t>zz_</w:t>
        </w:r>
        <w:r w:rsidR="00402979">
          <w:rPr>
            <w:sz w:val="20"/>
            <w:szCs w:val="20"/>
          </w:rPr>
          <w:t>22</w:t>
        </w:r>
        <w:r w:rsidR="00DE1450">
          <w:rPr>
            <w:sz w:val="20"/>
            <w:szCs w:val="20"/>
          </w:rPr>
          <w:t>1019_BEZVESTS</w:t>
        </w:r>
      </w:p>
      <w:p w14:paraId="0755B2D9" w14:textId="77777777" w:rsidR="00EC700E" w:rsidRDefault="00EC700E">
        <w:pPr>
          <w:pStyle w:val="Footer"/>
          <w:jc w:val="right"/>
        </w:pPr>
      </w:p>
      <w:p w14:paraId="7DBAD6D7" w14:textId="6F6B4B66" w:rsidR="00EC700E" w:rsidRDefault="00E524AE">
        <w:pPr>
          <w:pStyle w:val="Footer"/>
          <w:jc w:val="right"/>
        </w:pPr>
        <w:r>
          <w:fldChar w:fldCharType="begin"/>
        </w:r>
        <w:r w:rsidR="00773154">
          <w:instrText xml:space="preserve"> PAGE   \* MERGEFORMAT </w:instrText>
        </w:r>
        <w:r>
          <w:fldChar w:fldCharType="separate"/>
        </w:r>
        <w:r w:rsidR="009305D8">
          <w:rPr>
            <w:noProof/>
          </w:rPr>
          <w:t>5</w:t>
        </w:r>
        <w:r>
          <w:rPr>
            <w:noProof/>
          </w:rPr>
          <w:fldChar w:fldCharType="end"/>
        </w:r>
      </w:p>
    </w:sdtContent>
  </w:sdt>
  <w:p w14:paraId="03D0F629" w14:textId="77777777" w:rsidR="00126C72" w:rsidRPr="009B3C1B" w:rsidRDefault="00126C7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8FA4E" w14:textId="77777777" w:rsidR="000821F0" w:rsidRDefault="000821F0" w:rsidP="009929B9">
      <w:r>
        <w:separator/>
      </w:r>
    </w:p>
  </w:footnote>
  <w:footnote w:type="continuationSeparator" w:id="0">
    <w:p w14:paraId="78ED5EBD" w14:textId="77777777" w:rsidR="000821F0" w:rsidRDefault="000821F0" w:rsidP="0099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1529" w14:textId="77777777" w:rsidR="00126C72" w:rsidRDefault="00126C72">
    <w:pPr>
      <w:pStyle w:val="Header"/>
      <w:jc w:val="center"/>
    </w:pPr>
  </w:p>
  <w:p w14:paraId="1EFF739A" w14:textId="77777777" w:rsidR="00126C72" w:rsidRDefault="00126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5084"/>
    <w:multiLevelType w:val="hybridMultilevel"/>
    <w:tmpl w:val="3DAA18E2"/>
    <w:lvl w:ilvl="0" w:tplc="A0C2BE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DAA3226"/>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ED703E7"/>
    <w:multiLevelType w:val="hybridMultilevel"/>
    <w:tmpl w:val="4CAE2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D569C7"/>
    <w:multiLevelType w:val="hybridMultilevel"/>
    <w:tmpl w:val="FB045256"/>
    <w:lvl w:ilvl="0" w:tplc="0426000F">
      <w:start w:val="1"/>
      <w:numFmt w:val="decimal"/>
      <w:lvlText w:val="%1."/>
      <w:lvlJc w:val="left"/>
      <w:pPr>
        <w:ind w:left="900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9C6379"/>
    <w:multiLevelType w:val="hybridMultilevel"/>
    <w:tmpl w:val="C91E0B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11017CB"/>
    <w:multiLevelType w:val="hybridMultilevel"/>
    <w:tmpl w:val="FA924C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D4726C"/>
    <w:multiLevelType w:val="hybridMultilevel"/>
    <w:tmpl w:val="2BF235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674C02"/>
    <w:multiLevelType w:val="hybridMultilevel"/>
    <w:tmpl w:val="D5C21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E704C62"/>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E0872EF"/>
    <w:multiLevelType w:val="hybridMultilevel"/>
    <w:tmpl w:val="15F00354"/>
    <w:lvl w:ilvl="0" w:tplc="670EE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76D04ED5"/>
    <w:multiLevelType w:val="multilevel"/>
    <w:tmpl w:val="0570E9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0"/>
  </w:num>
  <w:num w:numId="3">
    <w:abstractNumId w:val="6"/>
  </w:num>
  <w:num w:numId="4">
    <w:abstractNumId w:val="2"/>
  </w:num>
  <w:num w:numId="5">
    <w:abstractNumId w:val="5"/>
  </w:num>
  <w:num w:numId="6">
    <w:abstractNumId w:val="4"/>
  </w:num>
  <w:num w:numId="7">
    <w:abstractNumId w:val="1"/>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8F"/>
    <w:rsid w:val="00005618"/>
    <w:rsid w:val="00014607"/>
    <w:rsid w:val="00015D23"/>
    <w:rsid w:val="00022C19"/>
    <w:rsid w:val="00025A1B"/>
    <w:rsid w:val="00031F93"/>
    <w:rsid w:val="00040805"/>
    <w:rsid w:val="00041261"/>
    <w:rsid w:val="00042844"/>
    <w:rsid w:val="00047DDC"/>
    <w:rsid w:val="00053DDE"/>
    <w:rsid w:val="00070FE3"/>
    <w:rsid w:val="0007235F"/>
    <w:rsid w:val="000729DC"/>
    <w:rsid w:val="00073C2B"/>
    <w:rsid w:val="000821F0"/>
    <w:rsid w:val="00082F5A"/>
    <w:rsid w:val="00090D2D"/>
    <w:rsid w:val="00091C20"/>
    <w:rsid w:val="00095598"/>
    <w:rsid w:val="000A508E"/>
    <w:rsid w:val="000B14D1"/>
    <w:rsid w:val="000B15F4"/>
    <w:rsid w:val="000C552C"/>
    <w:rsid w:val="000E1CDE"/>
    <w:rsid w:val="000E73E0"/>
    <w:rsid w:val="000F715D"/>
    <w:rsid w:val="00103DD4"/>
    <w:rsid w:val="00104E7F"/>
    <w:rsid w:val="0010534E"/>
    <w:rsid w:val="00107511"/>
    <w:rsid w:val="00107547"/>
    <w:rsid w:val="00110D6B"/>
    <w:rsid w:val="00111AC5"/>
    <w:rsid w:val="00116AA6"/>
    <w:rsid w:val="00116C6E"/>
    <w:rsid w:val="0012190B"/>
    <w:rsid w:val="00126C72"/>
    <w:rsid w:val="001300E9"/>
    <w:rsid w:val="0013052F"/>
    <w:rsid w:val="00132462"/>
    <w:rsid w:val="001364EC"/>
    <w:rsid w:val="001402D2"/>
    <w:rsid w:val="00140E41"/>
    <w:rsid w:val="0014396D"/>
    <w:rsid w:val="001509B1"/>
    <w:rsid w:val="001520E3"/>
    <w:rsid w:val="00157D9E"/>
    <w:rsid w:val="001652F0"/>
    <w:rsid w:val="00171A70"/>
    <w:rsid w:val="0018282D"/>
    <w:rsid w:val="00187683"/>
    <w:rsid w:val="00193180"/>
    <w:rsid w:val="001A5B0D"/>
    <w:rsid w:val="001A7A66"/>
    <w:rsid w:val="001B3D6B"/>
    <w:rsid w:val="001C3B0D"/>
    <w:rsid w:val="001C4A29"/>
    <w:rsid w:val="001C58A8"/>
    <w:rsid w:val="001C638C"/>
    <w:rsid w:val="001D2303"/>
    <w:rsid w:val="001D35D2"/>
    <w:rsid w:val="001D72DE"/>
    <w:rsid w:val="001E185D"/>
    <w:rsid w:val="001E7743"/>
    <w:rsid w:val="001F125C"/>
    <w:rsid w:val="001F73B7"/>
    <w:rsid w:val="002010DC"/>
    <w:rsid w:val="0020514C"/>
    <w:rsid w:val="00210284"/>
    <w:rsid w:val="00215A91"/>
    <w:rsid w:val="00222673"/>
    <w:rsid w:val="002239A7"/>
    <w:rsid w:val="00225AB4"/>
    <w:rsid w:val="002454C1"/>
    <w:rsid w:val="002464FC"/>
    <w:rsid w:val="0025271C"/>
    <w:rsid w:val="00263225"/>
    <w:rsid w:val="00264B3A"/>
    <w:rsid w:val="00264DEF"/>
    <w:rsid w:val="002739AF"/>
    <w:rsid w:val="0027656B"/>
    <w:rsid w:val="00277217"/>
    <w:rsid w:val="00280BAF"/>
    <w:rsid w:val="00284325"/>
    <w:rsid w:val="002865CC"/>
    <w:rsid w:val="00287D10"/>
    <w:rsid w:val="00297939"/>
    <w:rsid w:val="002A393C"/>
    <w:rsid w:val="002A7F14"/>
    <w:rsid w:val="002C0072"/>
    <w:rsid w:val="002C10F3"/>
    <w:rsid w:val="002C14C0"/>
    <w:rsid w:val="002C3FE7"/>
    <w:rsid w:val="002E0A7C"/>
    <w:rsid w:val="002E26B5"/>
    <w:rsid w:val="002E797F"/>
    <w:rsid w:val="002F7176"/>
    <w:rsid w:val="002F76FA"/>
    <w:rsid w:val="00301162"/>
    <w:rsid w:val="00305643"/>
    <w:rsid w:val="00306CB7"/>
    <w:rsid w:val="00310B34"/>
    <w:rsid w:val="0031241A"/>
    <w:rsid w:val="00322198"/>
    <w:rsid w:val="003343C6"/>
    <w:rsid w:val="003504B7"/>
    <w:rsid w:val="003520E0"/>
    <w:rsid w:val="00352A85"/>
    <w:rsid w:val="00354A6A"/>
    <w:rsid w:val="00357CD0"/>
    <w:rsid w:val="00363F01"/>
    <w:rsid w:val="0038307A"/>
    <w:rsid w:val="0038383E"/>
    <w:rsid w:val="00383E85"/>
    <w:rsid w:val="00387BF8"/>
    <w:rsid w:val="00390749"/>
    <w:rsid w:val="003A269F"/>
    <w:rsid w:val="003A65D0"/>
    <w:rsid w:val="003B137A"/>
    <w:rsid w:val="003B69A5"/>
    <w:rsid w:val="003C648E"/>
    <w:rsid w:val="003D3106"/>
    <w:rsid w:val="003E0F66"/>
    <w:rsid w:val="003E2BEF"/>
    <w:rsid w:val="003F05A4"/>
    <w:rsid w:val="003F5A2C"/>
    <w:rsid w:val="003F5CEC"/>
    <w:rsid w:val="00402979"/>
    <w:rsid w:val="00403F45"/>
    <w:rsid w:val="00417354"/>
    <w:rsid w:val="00417FEF"/>
    <w:rsid w:val="004269AB"/>
    <w:rsid w:val="00430CE2"/>
    <w:rsid w:val="004352D3"/>
    <w:rsid w:val="00435A7B"/>
    <w:rsid w:val="00444AE4"/>
    <w:rsid w:val="00453890"/>
    <w:rsid w:val="00464FE0"/>
    <w:rsid w:val="00483DC7"/>
    <w:rsid w:val="00487AAB"/>
    <w:rsid w:val="004918CA"/>
    <w:rsid w:val="004927E3"/>
    <w:rsid w:val="004934B0"/>
    <w:rsid w:val="00494C09"/>
    <w:rsid w:val="004973DC"/>
    <w:rsid w:val="004B1F12"/>
    <w:rsid w:val="004B2904"/>
    <w:rsid w:val="004C2946"/>
    <w:rsid w:val="004C4CA5"/>
    <w:rsid w:val="004D6276"/>
    <w:rsid w:val="004E079B"/>
    <w:rsid w:val="004E3E76"/>
    <w:rsid w:val="004E4BC3"/>
    <w:rsid w:val="004E527C"/>
    <w:rsid w:val="004E7B29"/>
    <w:rsid w:val="004E7F19"/>
    <w:rsid w:val="004F031B"/>
    <w:rsid w:val="004F03CD"/>
    <w:rsid w:val="004F0749"/>
    <w:rsid w:val="004F4A83"/>
    <w:rsid w:val="004F501E"/>
    <w:rsid w:val="004F7E1E"/>
    <w:rsid w:val="00502005"/>
    <w:rsid w:val="005055A8"/>
    <w:rsid w:val="005139E7"/>
    <w:rsid w:val="005319A8"/>
    <w:rsid w:val="00531C98"/>
    <w:rsid w:val="005471E7"/>
    <w:rsid w:val="005535BB"/>
    <w:rsid w:val="00553AD8"/>
    <w:rsid w:val="00555C1F"/>
    <w:rsid w:val="0055622C"/>
    <w:rsid w:val="00557DCB"/>
    <w:rsid w:val="00560C12"/>
    <w:rsid w:val="00564CD5"/>
    <w:rsid w:val="005650CB"/>
    <w:rsid w:val="00565F07"/>
    <w:rsid w:val="00566807"/>
    <w:rsid w:val="00582C96"/>
    <w:rsid w:val="005C037D"/>
    <w:rsid w:val="005C146B"/>
    <w:rsid w:val="005C1F8D"/>
    <w:rsid w:val="005D313C"/>
    <w:rsid w:val="005D7B0B"/>
    <w:rsid w:val="005E1835"/>
    <w:rsid w:val="005E4BD4"/>
    <w:rsid w:val="005E5A38"/>
    <w:rsid w:val="005F0F7D"/>
    <w:rsid w:val="005F53C1"/>
    <w:rsid w:val="00600208"/>
    <w:rsid w:val="006041E1"/>
    <w:rsid w:val="00615174"/>
    <w:rsid w:val="00615892"/>
    <w:rsid w:val="00615F13"/>
    <w:rsid w:val="006258FF"/>
    <w:rsid w:val="006269C7"/>
    <w:rsid w:val="0063280E"/>
    <w:rsid w:val="006335DE"/>
    <w:rsid w:val="0063525D"/>
    <w:rsid w:val="006435F0"/>
    <w:rsid w:val="00643A5F"/>
    <w:rsid w:val="00650BE8"/>
    <w:rsid w:val="00650F1B"/>
    <w:rsid w:val="0065108C"/>
    <w:rsid w:val="00653768"/>
    <w:rsid w:val="006547B8"/>
    <w:rsid w:val="00665E51"/>
    <w:rsid w:val="006878A8"/>
    <w:rsid w:val="00691825"/>
    <w:rsid w:val="006918AB"/>
    <w:rsid w:val="00695A30"/>
    <w:rsid w:val="0069613C"/>
    <w:rsid w:val="006A191E"/>
    <w:rsid w:val="006A3019"/>
    <w:rsid w:val="006B4B17"/>
    <w:rsid w:val="006B682F"/>
    <w:rsid w:val="006C5559"/>
    <w:rsid w:val="006C7643"/>
    <w:rsid w:val="006C7E82"/>
    <w:rsid w:val="006D1C5C"/>
    <w:rsid w:val="006D665F"/>
    <w:rsid w:val="006D7FED"/>
    <w:rsid w:val="006E2700"/>
    <w:rsid w:val="006E40F6"/>
    <w:rsid w:val="006E62C8"/>
    <w:rsid w:val="006F2E15"/>
    <w:rsid w:val="006F4C08"/>
    <w:rsid w:val="006F52AB"/>
    <w:rsid w:val="006F6D48"/>
    <w:rsid w:val="006F7817"/>
    <w:rsid w:val="00700CAE"/>
    <w:rsid w:val="007031B8"/>
    <w:rsid w:val="00705F04"/>
    <w:rsid w:val="007100AD"/>
    <w:rsid w:val="00713F07"/>
    <w:rsid w:val="00714B29"/>
    <w:rsid w:val="00715608"/>
    <w:rsid w:val="00721733"/>
    <w:rsid w:val="00726EA5"/>
    <w:rsid w:val="00727F75"/>
    <w:rsid w:val="00730B54"/>
    <w:rsid w:val="00740A7B"/>
    <w:rsid w:val="00747502"/>
    <w:rsid w:val="0075344F"/>
    <w:rsid w:val="0076022B"/>
    <w:rsid w:val="007622F3"/>
    <w:rsid w:val="00763638"/>
    <w:rsid w:val="00767B26"/>
    <w:rsid w:val="00773154"/>
    <w:rsid w:val="00775661"/>
    <w:rsid w:val="00777083"/>
    <w:rsid w:val="00782A38"/>
    <w:rsid w:val="00795657"/>
    <w:rsid w:val="00795E14"/>
    <w:rsid w:val="00797E06"/>
    <w:rsid w:val="007A4ECC"/>
    <w:rsid w:val="007A598B"/>
    <w:rsid w:val="007A735B"/>
    <w:rsid w:val="007C4B2F"/>
    <w:rsid w:val="007C4E67"/>
    <w:rsid w:val="007C6006"/>
    <w:rsid w:val="007D02B2"/>
    <w:rsid w:val="007D3B75"/>
    <w:rsid w:val="007D455D"/>
    <w:rsid w:val="007D6DFA"/>
    <w:rsid w:val="007E077F"/>
    <w:rsid w:val="007E0CE8"/>
    <w:rsid w:val="007F26B9"/>
    <w:rsid w:val="007F681D"/>
    <w:rsid w:val="00806499"/>
    <w:rsid w:val="00806CA5"/>
    <w:rsid w:val="008112B3"/>
    <w:rsid w:val="00812ED2"/>
    <w:rsid w:val="00817787"/>
    <w:rsid w:val="0082290E"/>
    <w:rsid w:val="00823AF0"/>
    <w:rsid w:val="00825202"/>
    <w:rsid w:val="00832E11"/>
    <w:rsid w:val="00846E70"/>
    <w:rsid w:val="008652BA"/>
    <w:rsid w:val="0088064A"/>
    <w:rsid w:val="00883C8C"/>
    <w:rsid w:val="00887853"/>
    <w:rsid w:val="00890C05"/>
    <w:rsid w:val="00897BE5"/>
    <w:rsid w:val="008A0544"/>
    <w:rsid w:val="008A0D49"/>
    <w:rsid w:val="008A6B6E"/>
    <w:rsid w:val="008A6BD7"/>
    <w:rsid w:val="008B5ADB"/>
    <w:rsid w:val="008B750B"/>
    <w:rsid w:val="008D1F51"/>
    <w:rsid w:val="008D503A"/>
    <w:rsid w:val="008D5D40"/>
    <w:rsid w:val="008E4F47"/>
    <w:rsid w:val="008E6538"/>
    <w:rsid w:val="008F0CD3"/>
    <w:rsid w:val="008F76BD"/>
    <w:rsid w:val="009028CE"/>
    <w:rsid w:val="00907F36"/>
    <w:rsid w:val="00910343"/>
    <w:rsid w:val="00911CE9"/>
    <w:rsid w:val="00912EDC"/>
    <w:rsid w:val="009135F5"/>
    <w:rsid w:val="009305D8"/>
    <w:rsid w:val="0093244B"/>
    <w:rsid w:val="00936481"/>
    <w:rsid w:val="00952F83"/>
    <w:rsid w:val="0095359E"/>
    <w:rsid w:val="00965E38"/>
    <w:rsid w:val="009773CE"/>
    <w:rsid w:val="00982980"/>
    <w:rsid w:val="00984006"/>
    <w:rsid w:val="0098416C"/>
    <w:rsid w:val="00990262"/>
    <w:rsid w:val="009929B9"/>
    <w:rsid w:val="009932C2"/>
    <w:rsid w:val="00996757"/>
    <w:rsid w:val="009972EF"/>
    <w:rsid w:val="009B1D04"/>
    <w:rsid w:val="009B3C1B"/>
    <w:rsid w:val="009B4407"/>
    <w:rsid w:val="009C0D07"/>
    <w:rsid w:val="009C238F"/>
    <w:rsid w:val="009D37E2"/>
    <w:rsid w:val="009E0DF3"/>
    <w:rsid w:val="009E3140"/>
    <w:rsid w:val="009E332D"/>
    <w:rsid w:val="009E7C6D"/>
    <w:rsid w:val="009E7F27"/>
    <w:rsid w:val="009F107E"/>
    <w:rsid w:val="009F136E"/>
    <w:rsid w:val="009F17AE"/>
    <w:rsid w:val="009F2021"/>
    <w:rsid w:val="009F3197"/>
    <w:rsid w:val="009F4CD2"/>
    <w:rsid w:val="00A154DF"/>
    <w:rsid w:val="00A1601D"/>
    <w:rsid w:val="00A1735B"/>
    <w:rsid w:val="00A34551"/>
    <w:rsid w:val="00A408E4"/>
    <w:rsid w:val="00A43674"/>
    <w:rsid w:val="00A455A3"/>
    <w:rsid w:val="00A45DCF"/>
    <w:rsid w:val="00A473DB"/>
    <w:rsid w:val="00A478D9"/>
    <w:rsid w:val="00A52065"/>
    <w:rsid w:val="00A521E7"/>
    <w:rsid w:val="00A66342"/>
    <w:rsid w:val="00A71BB8"/>
    <w:rsid w:val="00A8495B"/>
    <w:rsid w:val="00A85F2D"/>
    <w:rsid w:val="00A86157"/>
    <w:rsid w:val="00A86CE9"/>
    <w:rsid w:val="00A87E88"/>
    <w:rsid w:val="00A977DC"/>
    <w:rsid w:val="00AA15E2"/>
    <w:rsid w:val="00AA1EAA"/>
    <w:rsid w:val="00AB37B0"/>
    <w:rsid w:val="00AC181E"/>
    <w:rsid w:val="00AC2FDE"/>
    <w:rsid w:val="00AC62AB"/>
    <w:rsid w:val="00AD786C"/>
    <w:rsid w:val="00AE0681"/>
    <w:rsid w:val="00AE1A5A"/>
    <w:rsid w:val="00AE31E8"/>
    <w:rsid w:val="00AE32BE"/>
    <w:rsid w:val="00AF7687"/>
    <w:rsid w:val="00B0355F"/>
    <w:rsid w:val="00B05850"/>
    <w:rsid w:val="00B066F8"/>
    <w:rsid w:val="00B202A7"/>
    <w:rsid w:val="00B32370"/>
    <w:rsid w:val="00B35F53"/>
    <w:rsid w:val="00B36069"/>
    <w:rsid w:val="00B36ECE"/>
    <w:rsid w:val="00B41435"/>
    <w:rsid w:val="00B41A63"/>
    <w:rsid w:val="00B41D25"/>
    <w:rsid w:val="00B4786E"/>
    <w:rsid w:val="00B5088B"/>
    <w:rsid w:val="00B529A7"/>
    <w:rsid w:val="00B543BB"/>
    <w:rsid w:val="00B67BD3"/>
    <w:rsid w:val="00B73644"/>
    <w:rsid w:val="00B73C81"/>
    <w:rsid w:val="00B7614C"/>
    <w:rsid w:val="00B7701C"/>
    <w:rsid w:val="00B83809"/>
    <w:rsid w:val="00B84516"/>
    <w:rsid w:val="00B903A5"/>
    <w:rsid w:val="00B904D3"/>
    <w:rsid w:val="00B90538"/>
    <w:rsid w:val="00B93878"/>
    <w:rsid w:val="00BA13F3"/>
    <w:rsid w:val="00BA1C2B"/>
    <w:rsid w:val="00BA32EB"/>
    <w:rsid w:val="00BA4D43"/>
    <w:rsid w:val="00BB23E4"/>
    <w:rsid w:val="00BB6955"/>
    <w:rsid w:val="00BC081A"/>
    <w:rsid w:val="00BC24B6"/>
    <w:rsid w:val="00BD4224"/>
    <w:rsid w:val="00BE3DA2"/>
    <w:rsid w:val="00BE4D90"/>
    <w:rsid w:val="00C06F06"/>
    <w:rsid w:val="00C11050"/>
    <w:rsid w:val="00C120C3"/>
    <w:rsid w:val="00C124E3"/>
    <w:rsid w:val="00C168D6"/>
    <w:rsid w:val="00C23EFE"/>
    <w:rsid w:val="00C43882"/>
    <w:rsid w:val="00C442F9"/>
    <w:rsid w:val="00C466B7"/>
    <w:rsid w:val="00C508C0"/>
    <w:rsid w:val="00C52451"/>
    <w:rsid w:val="00C545C7"/>
    <w:rsid w:val="00C54998"/>
    <w:rsid w:val="00C579B7"/>
    <w:rsid w:val="00C57B05"/>
    <w:rsid w:val="00C6488A"/>
    <w:rsid w:val="00C66080"/>
    <w:rsid w:val="00C771F5"/>
    <w:rsid w:val="00C825E3"/>
    <w:rsid w:val="00C84EDA"/>
    <w:rsid w:val="00C87B2D"/>
    <w:rsid w:val="00C92CBF"/>
    <w:rsid w:val="00C9796F"/>
    <w:rsid w:val="00CA1260"/>
    <w:rsid w:val="00CA5D2D"/>
    <w:rsid w:val="00CB7036"/>
    <w:rsid w:val="00CB7934"/>
    <w:rsid w:val="00CC0CB0"/>
    <w:rsid w:val="00CC36CF"/>
    <w:rsid w:val="00CC4F97"/>
    <w:rsid w:val="00CD7147"/>
    <w:rsid w:val="00CE3EE1"/>
    <w:rsid w:val="00CE448F"/>
    <w:rsid w:val="00CF1B84"/>
    <w:rsid w:val="00D00F08"/>
    <w:rsid w:val="00D01FF8"/>
    <w:rsid w:val="00D026A2"/>
    <w:rsid w:val="00D179E5"/>
    <w:rsid w:val="00D21098"/>
    <w:rsid w:val="00D2337B"/>
    <w:rsid w:val="00D27E48"/>
    <w:rsid w:val="00D33B33"/>
    <w:rsid w:val="00D33F8C"/>
    <w:rsid w:val="00D432E6"/>
    <w:rsid w:val="00D45825"/>
    <w:rsid w:val="00D53EDA"/>
    <w:rsid w:val="00D56DE8"/>
    <w:rsid w:val="00D57932"/>
    <w:rsid w:val="00D57BAB"/>
    <w:rsid w:val="00D70D43"/>
    <w:rsid w:val="00D74100"/>
    <w:rsid w:val="00D74DA4"/>
    <w:rsid w:val="00D75AAF"/>
    <w:rsid w:val="00D75CBB"/>
    <w:rsid w:val="00D84989"/>
    <w:rsid w:val="00D86281"/>
    <w:rsid w:val="00D86A47"/>
    <w:rsid w:val="00D93710"/>
    <w:rsid w:val="00D97DBC"/>
    <w:rsid w:val="00DA7880"/>
    <w:rsid w:val="00DB4B68"/>
    <w:rsid w:val="00DC6D8B"/>
    <w:rsid w:val="00DD7BEB"/>
    <w:rsid w:val="00DE1450"/>
    <w:rsid w:val="00E02176"/>
    <w:rsid w:val="00E02C16"/>
    <w:rsid w:val="00E165BA"/>
    <w:rsid w:val="00E32183"/>
    <w:rsid w:val="00E34BA4"/>
    <w:rsid w:val="00E35F40"/>
    <w:rsid w:val="00E36FE3"/>
    <w:rsid w:val="00E42E34"/>
    <w:rsid w:val="00E47476"/>
    <w:rsid w:val="00E524AE"/>
    <w:rsid w:val="00E57BBF"/>
    <w:rsid w:val="00E610B2"/>
    <w:rsid w:val="00E63CF7"/>
    <w:rsid w:val="00E66D2A"/>
    <w:rsid w:val="00E7049E"/>
    <w:rsid w:val="00E72CD0"/>
    <w:rsid w:val="00E83366"/>
    <w:rsid w:val="00E85AE0"/>
    <w:rsid w:val="00E92231"/>
    <w:rsid w:val="00E95000"/>
    <w:rsid w:val="00E97594"/>
    <w:rsid w:val="00EA1106"/>
    <w:rsid w:val="00EA27EF"/>
    <w:rsid w:val="00EA55F7"/>
    <w:rsid w:val="00EB1221"/>
    <w:rsid w:val="00EC1D7B"/>
    <w:rsid w:val="00EC2628"/>
    <w:rsid w:val="00EC312A"/>
    <w:rsid w:val="00EC4167"/>
    <w:rsid w:val="00EC700E"/>
    <w:rsid w:val="00ED0CA5"/>
    <w:rsid w:val="00ED6305"/>
    <w:rsid w:val="00ED6C38"/>
    <w:rsid w:val="00EE0687"/>
    <w:rsid w:val="00EF3152"/>
    <w:rsid w:val="00EF33A6"/>
    <w:rsid w:val="00EF4AC4"/>
    <w:rsid w:val="00F104E4"/>
    <w:rsid w:val="00F115B3"/>
    <w:rsid w:val="00F159B0"/>
    <w:rsid w:val="00F16604"/>
    <w:rsid w:val="00F17B2B"/>
    <w:rsid w:val="00F24ABE"/>
    <w:rsid w:val="00F27F0B"/>
    <w:rsid w:val="00F31968"/>
    <w:rsid w:val="00F34716"/>
    <w:rsid w:val="00F36DBC"/>
    <w:rsid w:val="00F44F5F"/>
    <w:rsid w:val="00F50B54"/>
    <w:rsid w:val="00F52D86"/>
    <w:rsid w:val="00F53DAF"/>
    <w:rsid w:val="00F57618"/>
    <w:rsid w:val="00F678DD"/>
    <w:rsid w:val="00F730AC"/>
    <w:rsid w:val="00F74D55"/>
    <w:rsid w:val="00F7792B"/>
    <w:rsid w:val="00F80F5E"/>
    <w:rsid w:val="00F8778E"/>
    <w:rsid w:val="00F91077"/>
    <w:rsid w:val="00F91C8D"/>
    <w:rsid w:val="00F9278C"/>
    <w:rsid w:val="00F97E03"/>
    <w:rsid w:val="00FA5CC5"/>
    <w:rsid w:val="00FA7FB0"/>
    <w:rsid w:val="00FD03FD"/>
    <w:rsid w:val="00FD335F"/>
    <w:rsid w:val="00FD6DE2"/>
    <w:rsid w:val="00FE3AB4"/>
    <w:rsid w:val="00FE6C4B"/>
    <w:rsid w:val="00FE700A"/>
    <w:rsid w:val="00FF29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71E6AA"/>
  <w15:docId w15:val="{79BE832D-4366-4D71-B7DC-495559BD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38F"/>
    <w:rPr>
      <w:rFonts w:ascii="Tahoma" w:hAnsi="Tahoma" w:cs="Tahoma"/>
      <w:sz w:val="16"/>
      <w:szCs w:val="16"/>
    </w:rPr>
  </w:style>
  <w:style w:type="character" w:customStyle="1" w:styleId="BalloonTextChar">
    <w:name w:val="Balloon Text Char"/>
    <w:basedOn w:val="DefaultParagraphFont"/>
    <w:link w:val="BalloonText"/>
    <w:uiPriority w:val="99"/>
    <w:semiHidden/>
    <w:rsid w:val="009C238F"/>
    <w:rPr>
      <w:rFonts w:ascii="Tahoma" w:hAnsi="Tahoma" w:cs="Tahoma"/>
      <w:sz w:val="16"/>
      <w:szCs w:val="16"/>
    </w:rPr>
  </w:style>
  <w:style w:type="paragraph" w:styleId="Header">
    <w:name w:val="header"/>
    <w:basedOn w:val="Normal"/>
    <w:link w:val="HeaderChar"/>
    <w:uiPriority w:val="99"/>
    <w:unhideWhenUsed/>
    <w:rsid w:val="009929B9"/>
    <w:pPr>
      <w:tabs>
        <w:tab w:val="center" w:pos="4513"/>
        <w:tab w:val="right" w:pos="9026"/>
      </w:tabs>
    </w:pPr>
  </w:style>
  <w:style w:type="character" w:customStyle="1" w:styleId="HeaderChar">
    <w:name w:val="Header Char"/>
    <w:basedOn w:val="DefaultParagraphFont"/>
    <w:link w:val="Header"/>
    <w:uiPriority w:val="99"/>
    <w:rsid w:val="009929B9"/>
  </w:style>
  <w:style w:type="paragraph" w:styleId="Footer">
    <w:name w:val="footer"/>
    <w:basedOn w:val="Normal"/>
    <w:link w:val="FooterChar"/>
    <w:uiPriority w:val="99"/>
    <w:unhideWhenUsed/>
    <w:rsid w:val="009929B9"/>
    <w:pPr>
      <w:tabs>
        <w:tab w:val="center" w:pos="4513"/>
        <w:tab w:val="right" w:pos="9026"/>
      </w:tabs>
    </w:pPr>
  </w:style>
  <w:style w:type="character" w:customStyle="1" w:styleId="FooterChar">
    <w:name w:val="Footer Char"/>
    <w:basedOn w:val="DefaultParagraphFont"/>
    <w:link w:val="Footer"/>
    <w:uiPriority w:val="99"/>
    <w:rsid w:val="009929B9"/>
  </w:style>
  <w:style w:type="paragraph" w:styleId="ListParagraph">
    <w:name w:val="List Paragraph"/>
    <w:basedOn w:val="Normal"/>
    <w:uiPriority w:val="34"/>
    <w:qFormat/>
    <w:rsid w:val="006D7FED"/>
    <w:pPr>
      <w:ind w:left="720"/>
      <w:contextualSpacing/>
    </w:pPr>
    <w:rPr>
      <w:rFonts w:ascii="Dutch TL" w:eastAsia="Times New Roman" w:hAnsi="Dutch TL" w:cs="Times New Roman"/>
      <w:sz w:val="28"/>
      <w:szCs w:val="20"/>
      <w:lang w:eastAsia="zh-TW"/>
    </w:rPr>
  </w:style>
  <w:style w:type="character" w:styleId="CommentReference">
    <w:name w:val="annotation reference"/>
    <w:basedOn w:val="DefaultParagraphFont"/>
    <w:uiPriority w:val="99"/>
    <w:semiHidden/>
    <w:unhideWhenUsed/>
    <w:rsid w:val="00BA4D43"/>
    <w:rPr>
      <w:sz w:val="16"/>
      <w:szCs w:val="16"/>
    </w:rPr>
  </w:style>
  <w:style w:type="paragraph" w:styleId="CommentText">
    <w:name w:val="annotation text"/>
    <w:basedOn w:val="Normal"/>
    <w:link w:val="CommentTextChar"/>
    <w:uiPriority w:val="99"/>
    <w:unhideWhenUsed/>
    <w:rsid w:val="00BA4D43"/>
    <w:rPr>
      <w:sz w:val="20"/>
      <w:szCs w:val="20"/>
    </w:rPr>
  </w:style>
  <w:style w:type="character" w:customStyle="1" w:styleId="CommentTextChar">
    <w:name w:val="Comment Text Char"/>
    <w:basedOn w:val="DefaultParagraphFont"/>
    <w:link w:val="CommentText"/>
    <w:uiPriority w:val="99"/>
    <w:rsid w:val="00BA4D43"/>
    <w:rPr>
      <w:sz w:val="20"/>
      <w:szCs w:val="20"/>
    </w:rPr>
  </w:style>
  <w:style w:type="paragraph" w:styleId="CommentSubject">
    <w:name w:val="annotation subject"/>
    <w:basedOn w:val="CommentText"/>
    <w:next w:val="CommentText"/>
    <w:link w:val="CommentSubjectChar"/>
    <w:uiPriority w:val="99"/>
    <w:semiHidden/>
    <w:unhideWhenUsed/>
    <w:rsid w:val="00BA4D43"/>
    <w:rPr>
      <w:b/>
      <w:bCs/>
    </w:rPr>
  </w:style>
  <w:style w:type="character" w:customStyle="1" w:styleId="CommentSubjectChar">
    <w:name w:val="Comment Subject Char"/>
    <w:basedOn w:val="CommentTextChar"/>
    <w:link w:val="CommentSubject"/>
    <w:uiPriority w:val="99"/>
    <w:semiHidden/>
    <w:rsid w:val="00BA4D43"/>
    <w:rPr>
      <w:b/>
      <w:bCs/>
      <w:sz w:val="20"/>
      <w:szCs w:val="20"/>
    </w:rPr>
  </w:style>
  <w:style w:type="paragraph" w:styleId="Revision">
    <w:name w:val="Revision"/>
    <w:hidden/>
    <w:uiPriority w:val="99"/>
    <w:semiHidden/>
    <w:rsid w:val="00846E70"/>
  </w:style>
  <w:style w:type="paragraph" w:styleId="FootnoteText">
    <w:name w:val="footnote text"/>
    <w:basedOn w:val="Normal"/>
    <w:link w:val="FootnoteTextChar"/>
    <w:uiPriority w:val="99"/>
    <w:rsid w:val="001364EC"/>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1364EC"/>
    <w:rPr>
      <w:rFonts w:eastAsia="Times New Roman" w:cs="Times New Roman"/>
      <w:sz w:val="20"/>
      <w:szCs w:val="20"/>
      <w:lang w:eastAsia="lv-LV"/>
    </w:rPr>
  </w:style>
  <w:style w:type="character" w:styleId="FootnoteReference">
    <w:name w:val="footnote reference"/>
    <w:uiPriority w:val="99"/>
    <w:semiHidden/>
    <w:rsid w:val="001364EC"/>
    <w:rPr>
      <w:vertAlign w:val="superscript"/>
    </w:rPr>
  </w:style>
  <w:style w:type="paragraph" w:styleId="NoSpacing">
    <w:name w:val="No Spacing"/>
    <w:uiPriority w:val="1"/>
    <w:qFormat/>
    <w:rsid w:val="009F3197"/>
    <w:pPr>
      <w:widowControl w:val="0"/>
    </w:pPr>
    <w:rPr>
      <w:rFonts w:ascii="Calibri" w:eastAsia="Calibri" w:hAnsi="Calibri" w:cs="Times New Roman"/>
      <w:sz w:val="22"/>
      <w:lang w:val="en-US"/>
    </w:rPr>
  </w:style>
  <w:style w:type="character" w:styleId="Hyperlink">
    <w:name w:val="Hyperlink"/>
    <w:basedOn w:val="DefaultParagraphFont"/>
    <w:uiPriority w:val="99"/>
    <w:unhideWhenUsed/>
    <w:rsid w:val="007C6006"/>
    <w:rPr>
      <w:color w:val="0000FF" w:themeColor="hyperlink"/>
      <w:u w:val="single"/>
    </w:rPr>
  </w:style>
  <w:style w:type="character" w:customStyle="1" w:styleId="Hipersaite1">
    <w:name w:val="Hipersaite1"/>
    <w:basedOn w:val="DefaultParagraphFont"/>
    <w:uiPriority w:val="99"/>
    <w:unhideWhenUsed/>
    <w:rsid w:val="003B137A"/>
    <w:rPr>
      <w:color w:val="0000FF"/>
      <w:u w:val="single"/>
    </w:rPr>
  </w:style>
  <w:style w:type="paragraph" w:styleId="NormalWeb">
    <w:name w:val="Normal (Web)"/>
    <w:basedOn w:val="Normal"/>
    <w:uiPriority w:val="99"/>
    <w:unhideWhenUsed/>
    <w:rsid w:val="00D56DE8"/>
    <w:pPr>
      <w:spacing w:before="100" w:beforeAutospacing="1" w:after="100" w:afterAutospacing="1"/>
    </w:pPr>
    <w:rPr>
      <w:rFonts w:eastAsia="Times New Roman" w:cs="Times New Roman"/>
      <w:szCs w:val="24"/>
      <w:lang w:eastAsia="lv-LV"/>
    </w:rPr>
  </w:style>
  <w:style w:type="paragraph" w:customStyle="1" w:styleId="naisf">
    <w:name w:val="naisf"/>
    <w:basedOn w:val="Normal"/>
    <w:rsid w:val="001E7743"/>
    <w:pPr>
      <w:spacing w:before="75" w:after="75"/>
      <w:ind w:firstLine="375"/>
      <w:jc w:val="both"/>
    </w:pPr>
    <w:rPr>
      <w:rFonts w:eastAsia="Times New Roman" w:cs="Times New Roman"/>
      <w:szCs w:val="24"/>
      <w:lang w:eastAsia="lv-LV"/>
    </w:rPr>
  </w:style>
  <w:style w:type="paragraph" w:customStyle="1" w:styleId="naiskr">
    <w:name w:val="naiskr"/>
    <w:basedOn w:val="Normal"/>
    <w:rsid w:val="001E7743"/>
    <w:pPr>
      <w:spacing w:before="75" w:after="75"/>
    </w:pPr>
    <w:rPr>
      <w:rFonts w:eastAsia="Times New Roman" w:cs="Times New Roman"/>
      <w:szCs w:val="24"/>
      <w:lang w:eastAsia="lv-LV"/>
    </w:rPr>
  </w:style>
  <w:style w:type="paragraph" w:customStyle="1" w:styleId="naisc">
    <w:name w:val="naisc"/>
    <w:basedOn w:val="Normal"/>
    <w:rsid w:val="001E7743"/>
    <w:pPr>
      <w:spacing w:before="75" w:after="75"/>
      <w:jc w:val="center"/>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484">
      <w:bodyDiv w:val="1"/>
      <w:marLeft w:val="0"/>
      <w:marRight w:val="0"/>
      <w:marTop w:val="0"/>
      <w:marBottom w:val="0"/>
      <w:divBdr>
        <w:top w:val="none" w:sz="0" w:space="0" w:color="auto"/>
        <w:left w:val="none" w:sz="0" w:space="0" w:color="auto"/>
        <w:bottom w:val="none" w:sz="0" w:space="0" w:color="auto"/>
        <w:right w:val="none" w:sz="0" w:space="0" w:color="auto"/>
      </w:divBdr>
    </w:div>
    <w:div w:id="207451118">
      <w:bodyDiv w:val="1"/>
      <w:marLeft w:val="0"/>
      <w:marRight w:val="0"/>
      <w:marTop w:val="0"/>
      <w:marBottom w:val="0"/>
      <w:divBdr>
        <w:top w:val="none" w:sz="0" w:space="0" w:color="auto"/>
        <w:left w:val="none" w:sz="0" w:space="0" w:color="auto"/>
        <w:bottom w:val="none" w:sz="0" w:space="0" w:color="auto"/>
        <w:right w:val="none" w:sz="0" w:space="0" w:color="auto"/>
      </w:divBdr>
    </w:div>
    <w:div w:id="240910565">
      <w:bodyDiv w:val="1"/>
      <w:marLeft w:val="0"/>
      <w:marRight w:val="0"/>
      <w:marTop w:val="0"/>
      <w:marBottom w:val="0"/>
      <w:divBdr>
        <w:top w:val="none" w:sz="0" w:space="0" w:color="auto"/>
        <w:left w:val="none" w:sz="0" w:space="0" w:color="auto"/>
        <w:bottom w:val="none" w:sz="0" w:space="0" w:color="auto"/>
        <w:right w:val="none" w:sz="0" w:space="0" w:color="auto"/>
      </w:divBdr>
      <w:divsChild>
        <w:div w:id="1245602379">
          <w:marLeft w:val="0"/>
          <w:marRight w:val="0"/>
          <w:marTop w:val="0"/>
          <w:marBottom w:val="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sChild>
                <w:div w:id="186649492">
                  <w:marLeft w:val="0"/>
                  <w:marRight w:val="0"/>
                  <w:marTop w:val="0"/>
                  <w:marBottom w:val="0"/>
                  <w:divBdr>
                    <w:top w:val="none" w:sz="0" w:space="0" w:color="auto"/>
                    <w:left w:val="none" w:sz="0" w:space="0" w:color="auto"/>
                    <w:bottom w:val="none" w:sz="0" w:space="0" w:color="auto"/>
                    <w:right w:val="none" w:sz="0" w:space="0" w:color="auto"/>
                  </w:divBdr>
                  <w:divsChild>
                    <w:div w:id="197203906">
                      <w:marLeft w:val="0"/>
                      <w:marRight w:val="0"/>
                      <w:marTop w:val="0"/>
                      <w:marBottom w:val="0"/>
                      <w:divBdr>
                        <w:top w:val="none" w:sz="0" w:space="0" w:color="auto"/>
                        <w:left w:val="none" w:sz="0" w:space="0" w:color="auto"/>
                        <w:bottom w:val="none" w:sz="0" w:space="0" w:color="auto"/>
                        <w:right w:val="none" w:sz="0" w:space="0" w:color="auto"/>
                      </w:divBdr>
                      <w:divsChild>
                        <w:div w:id="195043167">
                          <w:marLeft w:val="0"/>
                          <w:marRight w:val="0"/>
                          <w:marTop w:val="0"/>
                          <w:marBottom w:val="0"/>
                          <w:divBdr>
                            <w:top w:val="none" w:sz="0" w:space="0" w:color="auto"/>
                            <w:left w:val="none" w:sz="0" w:space="0" w:color="auto"/>
                            <w:bottom w:val="none" w:sz="0" w:space="0" w:color="auto"/>
                            <w:right w:val="none" w:sz="0" w:space="0" w:color="auto"/>
                          </w:divBdr>
                          <w:divsChild>
                            <w:div w:id="94222426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87133">
      <w:bodyDiv w:val="1"/>
      <w:marLeft w:val="0"/>
      <w:marRight w:val="0"/>
      <w:marTop w:val="0"/>
      <w:marBottom w:val="0"/>
      <w:divBdr>
        <w:top w:val="none" w:sz="0" w:space="0" w:color="auto"/>
        <w:left w:val="none" w:sz="0" w:space="0" w:color="auto"/>
        <w:bottom w:val="none" w:sz="0" w:space="0" w:color="auto"/>
        <w:right w:val="none" w:sz="0" w:space="0" w:color="auto"/>
      </w:divBdr>
    </w:div>
    <w:div w:id="202948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CF10-99BD-4464-8141-7332AE5F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4952</Words>
  <Characters>2824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likumprojekts "Grozījumi likumā "Par nodokļiem un nodevām""</vt:lpstr>
    </vt:vector>
  </TitlesOfParts>
  <Company>Finanšu ministrija</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nodokļiem un nodevām""</dc:title>
  <dc:subject>Izziņa par atzinumos sniegtajiem iebildumiem</dc:subject>
  <dc:creator>Kristīne Voiniča</dc:creator>
  <dc:description>Kristine.Voinica@fm.gov.lv; tālr.67095567</dc:description>
  <cp:lastModifiedBy>Inese Matisane</cp:lastModifiedBy>
  <cp:revision>47</cp:revision>
  <cp:lastPrinted>2018-07-30T08:25:00Z</cp:lastPrinted>
  <dcterms:created xsi:type="dcterms:W3CDTF">2018-08-09T09:35:00Z</dcterms:created>
  <dcterms:modified xsi:type="dcterms:W3CDTF">2019-10-25T06:55:00Z</dcterms:modified>
</cp:coreProperties>
</file>