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30A08" w14:textId="77777777" w:rsidR="00C40264" w:rsidRPr="006E2423" w:rsidRDefault="00C40264" w:rsidP="00C40264">
      <w:pPr>
        <w:pStyle w:val="naisnod"/>
        <w:spacing w:before="0" w:after="0"/>
        <w:ind w:firstLine="720"/>
        <w:contextualSpacing/>
        <w:rPr>
          <w:sz w:val="28"/>
          <w:szCs w:val="28"/>
        </w:rPr>
      </w:pPr>
      <w:r w:rsidRPr="00712B66">
        <w:rPr>
          <w:sz w:val="28"/>
          <w:szCs w:val="28"/>
        </w:rPr>
        <w:t>Izziņa par at</w:t>
      </w:r>
      <w:r>
        <w:rPr>
          <w:sz w:val="28"/>
          <w:szCs w:val="28"/>
        </w:rPr>
        <w:t>zinumos sniegtajiem iebildumiem</w:t>
      </w:r>
    </w:p>
    <w:p w14:paraId="5DA4956B" w14:textId="77777777" w:rsidR="00C40264" w:rsidRPr="006E2423" w:rsidRDefault="00C40264" w:rsidP="00C40264">
      <w:pPr>
        <w:pStyle w:val="naisc"/>
        <w:spacing w:before="0" w:after="0"/>
        <w:ind w:firstLine="1080"/>
        <w:contextualSpacing/>
        <w:rPr>
          <w:b/>
          <w:sz w:val="28"/>
          <w:szCs w:val="28"/>
        </w:rPr>
      </w:pPr>
      <w:r w:rsidRPr="006E2423">
        <w:rPr>
          <w:b/>
          <w:sz w:val="28"/>
          <w:szCs w:val="28"/>
        </w:rPr>
        <w:t xml:space="preserve">par </w:t>
      </w:r>
      <w:r w:rsidR="00B36440">
        <w:rPr>
          <w:b/>
          <w:sz w:val="28"/>
          <w:szCs w:val="28"/>
        </w:rPr>
        <w:t>Latvijas Republikas valdības, Igaunijas Republikas valdības un Lietuvas Republikas valdības līguma par konsulāro palīdzību un sadarbību projektu</w:t>
      </w:r>
    </w:p>
    <w:p w14:paraId="0E0512C6" w14:textId="77777777" w:rsidR="00A161AD" w:rsidRPr="00266D6B" w:rsidRDefault="00A161AD" w:rsidP="00812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3ADF4CB" w14:textId="77777777" w:rsidR="00A161AD" w:rsidRPr="00266D6B" w:rsidRDefault="00A161AD" w:rsidP="00812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66D6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Informācija par starpministriju (starpinstitūciju) sanāksmi vai elektronisko saskaņošanu</w:t>
      </w:r>
    </w:p>
    <w:p w14:paraId="7394F8CB" w14:textId="77777777" w:rsidR="00A161AD" w:rsidRPr="00266D6B" w:rsidRDefault="00A161AD" w:rsidP="00812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12582" w:type="dxa"/>
        <w:tblLook w:val="00A0" w:firstRow="1" w:lastRow="0" w:firstColumn="1" w:lastColumn="0" w:noHBand="0" w:noVBand="0"/>
      </w:tblPr>
      <w:tblGrid>
        <w:gridCol w:w="6345"/>
        <w:gridCol w:w="363"/>
        <w:gridCol w:w="840"/>
        <w:gridCol w:w="5034"/>
      </w:tblGrid>
      <w:tr w:rsidR="00A161AD" w:rsidRPr="00266D6B" w14:paraId="77484857" w14:textId="77777777" w:rsidTr="00812068">
        <w:tc>
          <w:tcPr>
            <w:tcW w:w="6345" w:type="dxa"/>
          </w:tcPr>
          <w:p w14:paraId="35197710" w14:textId="77777777" w:rsidR="00A161AD" w:rsidRPr="00266D6B" w:rsidRDefault="00A161AD" w:rsidP="008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6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2CF96945" w14:textId="2F32F59C" w:rsidR="00A161AD" w:rsidRPr="00266D6B" w:rsidRDefault="00777B82" w:rsidP="001A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6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</w:t>
            </w:r>
            <w:r w:rsidR="006B04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ektroniskā saskaņošana līdz 2019</w:t>
            </w:r>
            <w:r w:rsidRPr="00266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gada </w:t>
            </w:r>
            <w:r w:rsidR="006B04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1A32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novembrim</w:t>
            </w:r>
          </w:p>
        </w:tc>
      </w:tr>
      <w:tr w:rsidR="00A161AD" w:rsidRPr="00266D6B" w14:paraId="06FA544E" w14:textId="77777777" w:rsidTr="00812068">
        <w:tc>
          <w:tcPr>
            <w:tcW w:w="6345" w:type="dxa"/>
          </w:tcPr>
          <w:p w14:paraId="2B0C2E5D" w14:textId="77777777" w:rsidR="00A161AD" w:rsidRPr="00266D6B" w:rsidRDefault="00A161AD" w:rsidP="008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14:paraId="0D5B69E6" w14:textId="77777777" w:rsidR="00A161AD" w:rsidRPr="00266D6B" w:rsidRDefault="00A161AD" w:rsidP="0081206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161AD" w:rsidRPr="00266D6B" w14:paraId="47B2D143" w14:textId="77777777" w:rsidTr="00812068">
        <w:tc>
          <w:tcPr>
            <w:tcW w:w="6345" w:type="dxa"/>
          </w:tcPr>
          <w:p w14:paraId="4C80ED35" w14:textId="77777777" w:rsidR="00A161AD" w:rsidRPr="00266D6B" w:rsidRDefault="00A161AD" w:rsidP="008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6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Saskaņošanas dalībnieki</w:t>
            </w:r>
          </w:p>
        </w:tc>
        <w:tc>
          <w:tcPr>
            <w:tcW w:w="6237" w:type="dxa"/>
            <w:gridSpan w:val="3"/>
          </w:tcPr>
          <w:p w14:paraId="0918DEED" w14:textId="1B93F1C9" w:rsidR="00A161AD" w:rsidRPr="00266D6B" w:rsidRDefault="00777B82" w:rsidP="00D83C00">
            <w:pPr>
              <w:pStyle w:val="NormalWeb"/>
              <w:spacing w:before="0" w:beforeAutospacing="0" w:after="0" w:afterAutospacing="0"/>
              <w:jc w:val="both"/>
            </w:pPr>
            <w:r w:rsidRPr="00266D6B">
              <w:t xml:space="preserve">Finanšu ministrija, </w:t>
            </w:r>
            <w:r w:rsidR="00253789">
              <w:t>Tieslietu ministrija</w:t>
            </w:r>
            <w:r w:rsidR="00977295">
              <w:t xml:space="preserve">, Iekšlietu ministrija </w:t>
            </w:r>
          </w:p>
          <w:p w14:paraId="1A2CE751" w14:textId="77777777" w:rsidR="00A161AD" w:rsidRPr="00266D6B" w:rsidRDefault="00A161AD" w:rsidP="0057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161AD" w:rsidRPr="00266D6B" w14:paraId="3C7503EF" w14:textId="77777777" w:rsidTr="00812068">
        <w:trPr>
          <w:trHeight w:val="285"/>
        </w:trPr>
        <w:tc>
          <w:tcPr>
            <w:tcW w:w="6345" w:type="dxa"/>
          </w:tcPr>
          <w:p w14:paraId="3212D214" w14:textId="77777777" w:rsidR="00A161AD" w:rsidRPr="00266D6B" w:rsidRDefault="00A161AD" w:rsidP="008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3" w:type="dxa"/>
            <w:gridSpan w:val="2"/>
          </w:tcPr>
          <w:p w14:paraId="171221D5" w14:textId="77777777" w:rsidR="00A161AD" w:rsidRPr="00266D6B" w:rsidRDefault="00A161AD" w:rsidP="0081206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34" w:type="dxa"/>
          </w:tcPr>
          <w:p w14:paraId="2DA8B6AE" w14:textId="77777777" w:rsidR="00A161AD" w:rsidRPr="00266D6B" w:rsidRDefault="00A161AD" w:rsidP="00812068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161AD" w:rsidRPr="00266D6B" w14:paraId="3DCA6300" w14:textId="77777777" w:rsidTr="00812068">
        <w:trPr>
          <w:trHeight w:val="285"/>
        </w:trPr>
        <w:tc>
          <w:tcPr>
            <w:tcW w:w="6708" w:type="dxa"/>
            <w:gridSpan w:val="2"/>
          </w:tcPr>
          <w:p w14:paraId="7024AFAE" w14:textId="77777777" w:rsidR="00A161AD" w:rsidRPr="00266D6B" w:rsidRDefault="00A161AD" w:rsidP="008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6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 w:type="page"/>
              <w:t>Saskaņošanas dalībnieki izskatīja šādu ministriju (citu institūciju) iebildumus</w:t>
            </w:r>
          </w:p>
        </w:tc>
        <w:tc>
          <w:tcPr>
            <w:tcW w:w="840" w:type="dxa"/>
          </w:tcPr>
          <w:p w14:paraId="4A748778" w14:textId="77777777" w:rsidR="00A161AD" w:rsidRPr="00266D6B" w:rsidRDefault="00A161AD" w:rsidP="0081206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34" w:type="dxa"/>
          </w:tcPr>
          <w:p w14:paraId="737DD7BD" w14:textId="5F214D00" w:rsidR="00A161AD" w:rsidRPr="00266D6B" w:rsidRDefault="00977295" w:rsidP="001A32B2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Tieslietu ministrija </w:t>
            </w:r>
          </w:p>
        </w:tc>
      </w:tr>
      <w:tr w:rsidR="00A161AD" w:rsidRPr="00266D6B" w14:paraId="1FE7BDFE" w14:textId="77777777" w:rsidTr="00812068">
        <w:trPr>
          <w:trHeight w:val="465"/>
        </w:trPr>
        <w:tc>
          <w:tcPr>
            <w:tcW w:w="12582" w:type="dxa"/>
            <w:gridSpan w:val="4"/>
          </w:tcPr>
          <w:p w14:paraId="1844BBDD" w14:textId="77777777" w:rsidR="00A161AD" w:rsidRPr="00266D6B" w:rsidRDefault="00A161AD" w:rsidP="00812068">
            <w:pPr>
              <w:spacing w:after="0" w:line="240" w:lineRule="auto"/>
              <w:ind w:left="48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161AD" w:rsidRPr="00266D6B" w14:paraId="0EFDBFE9" w14:textId="77777777" w:rsidTr="00812068">
        <w:tc>
          <w:tcPr>
            <w:tcW w:w="6708" w:type="dxa"/>
            <w:gridSpan w:val="2"/>
          </w:tcPr>
          <w:p w14:paraId="18706F4D" w14:textId="77777777" w:rsidR="00A161AD" w:rsidRPr="00266D6B" w:rsidRDefault="00A161AD" w:rsidP="008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6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5874" w:type="dxa"/>
            <w:gridSpan w:val="2"/>
          </w:tcPr>
          <w:p w14:paraId="2C6A8F07" w14:textId="77777777" w:rsidR="00A161AD" w:rsidRPr="00266D6B" w:rsidRDefault="00A161AD" w:rsidP="0081206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161AD" w:rsidRPr="00266D6B" w14:paraId="55628593" w14:textId="77777777" w:rsidTr="00812068">
        <w:tc>
          <w:tcPr>
            <w:tcW w:w="6708" w:type="dxa"/>
            <w:gridSpan w:val="2"/>
          </w:tcPr>
          <w:p w14:paraId="37B8023F" w14:textId="77777777" w:rsidR="00A161AD" w:rsidRPr="00266D6B" w:rsidRDefault="00A161AD" w:rsidP="0081206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6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8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93AF1FF" w14:textId="77777777" w:rsidR="00A161AD" w:rsidRPr="00266D6B" w:rsidRDefault="00A161AD" w:rsidP="0081206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FAB2C3F" w14:textId="77777777" w:rsidR="00A161AD" w:rsidRPr="00266D6B" w:rsidRDefault="00A161AD" w:rsidP="00D8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4CD508B" w14:textId="77777777" w:rsidR="00A161AD" w:rsidRPr="00266D6B" w:rsidRDefault="00A161AD" w:rsidP="00812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66D6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II. Jautājumi, par kuriem saskaņošanā vienošanās ir panākta</w:t>
      </w:r>
    </w:p>
    <w:p w14:paraId="7397AE4C" w14:textId="77777777" w:rsidR="00A161AD" w:rsidRPr="00266D6B" w:rsidRDefault="00A161AD" w:rsidP="008120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149"/>
        <w:gridCol w:w="1137"/>
        <w:gridCol w:w="3827"/>
        <w:gridCol w:w="1215"/>
        <w:gridCol w:w="2161"/>
        <w:gridCol w:w="3544"/>
      </w:tblGrid>
      <w:tr w:rsidR="00A161AD" w:rsidRPr="00266D6B" w14:paraId="479FDD97" w14:textId="77777777" w:rsidTr="00AA151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69698" w14:textId="77777777" w:rsidR="00A161AD" w:rsidRPr="00266D6B" w:rsidRDefault="00A161AD" w:rsidP="008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6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3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BF7CC" w14:textId="77777777" w:rsidR="00A161AD" w:rsidRPr="00266D6B" w:rsidRDefault="00A161AD" w:rsidP="00812068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6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Saskaņošanai nosūtītā projekta redakcija (konkrēta punkta (panta) redakcija)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E17E3" w14:textId="77777777" w:rsidR="00A161AD" w:rsidRPr="00266D6B" w:rsidRDefault="00A161AD" w:rsidP="0081206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6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743F3" w14:textId="77777777" w:rsidR="00A161AD" w:rsidRPr="00266D6B" w:rsidRDefault="00A161AD" w:rsidP="00812068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6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Atbildīgās ministrijas norāde par to, ka iebildums ir ņemts vērā, vai informācija par saskaņošanā panākto alternatīvo risinājumu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664A4" w14:textId="77777777" w:rsidR="00A161AD" w:rsidRPr="00266D6B" w:rsidRDefault="00A161AD" w:rsidP="008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6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attiecīgā punkta (panta) galīgā redakcija</w:t>
            </w:r>
          </w:p>
        </w:tc>
      </w:tr>
      <w:tr w:rsidR="00A161AD" w:rsidRPr="00266D6B" w14:paraId="470B58AD" w14:textId="77777777" w:rsidTr="00AA151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4C6FD" w14:textId="77777777" w:rsidR="00A161AD" w:rsidRPr="00266D6B" w:rsidRDefault="00A161AD" w:rsidP="008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6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CFA5" w14:textId="77777777" w:rsidR="00A161AD" w:rsidRPr="00266D6B" w:rsidRDefault="00A161AD" w:rsidP="0081206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6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D0D2" w14:textId="77777777" w:rsidR="00A161AD" w:rsidRPr="00266D6B" w:rsidRDefault="00A161AD" w:rsidP="008120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6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E701" w14:textId="77777777" w:rsidR="00A161AD" w:rsidRPr="00266D6B" w:rsidRDefault="00A161AD" w:rsidP="0081206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6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9B540" w14:textId="77777777" w:rsidR="00A161AD" w:rsidRPr="00266D6B" w:rsidRDefault="00A161AD" w:rsidP="008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6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1D76D7" w:rsidRPr="00266D6B" w14:paraId="259C37FD" w14:textId="77777777" w:rsidTr="00AA1519">
        <w:tc>
          <w:tcPr>
            <w:tcW w:w="9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3119E7" w14:textId="10370065" w:rsidR="00F35E10" w:rsidRDefault="00F35E10" w:rsidP="001D76D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16EDB2" w14:textId="77777777" w:rsidR="001D76D7" w:rsidRPr="00F35E10" w:rsidRDefault="001D76D7" w:rsidP="00F35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8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BB9AD9" w14:textId="77777777" w:rsidR="001D76D7" w:rsidRDefault="001D76D7" w:rsidP="001D76D7">
            <w:pPr>
              <w:pStyle w:val="naisc"/>
              <w:spacing w:before="0" w:after="0"/>
              <w:contextualSpacing/>
              <w:jc w:val="both"/>
            </w:pPr>
            <w:r>
              <w:t>5. pants</w:t>
            </w:r>
          </w:p>
          <w:p w14:paraId="423027D6" w14:textId="77777777" w:rsidR="001D76D7" w:rsidRDefault="001D76D7" w:rsidP="001D76D7">
            <w:pPr>
              <w:pStyle w:val="naisc"/>
              <w:spacing w:after="0"/>
              <w:contextualSpacing/>
              <w:jc w:val="both"/>
            </w:pPr>
            <w:r>
              <w:t xml:space="preserve">Ja Palīdzētājas valsts pastāvīgā diplomātiskā vai konsulārā pārstāvniecība ir saņēmusi </w:t>
            </w:r>
            <w:r>
              <w:lastRenderedPageBreak/>
              <w:t>informāciju par Palīdzības saņēmējas valsts pilsoņa nāves faktu, konsulārā amatpersona:</w:t>
            </w:r>
          </w:p>
          <w:p w14:paraId="4C750EA3" w14:textId="77777777" w:rsidR="001D76D7" w:rsidRDefault="001D76D7" w:rsidP="001D76D7">
            <w:pPr>
              <w:pStyle w:val="naisc"/>
              <w:spacing w:after="0"/>
              <w:contextualSpacing/>
              <w:jc w:val="both"/>
            </w:pPr>
          </w:p>
          <w:p w14:paraId="41BF7182" w14:textId="77777777" w:rsidR="001D76D7" w:rsidRDefault="001D76D7" w:rsidP="001D76D7">
            <w:pPr>
              <w:pStyle w:val="naisc"/>
              <w:spacing w:after="0"/>
              <w:contextualSpacing/>
              <w:jc w:val="both"/>
            </w:pPr>
            <w:r>
              <w:t>a) nekavējoties informē Palīdzības saņēmējas valsts Ārlietu ministriju vai tuvāko pastāvīgo diplomātisko vai konsulāro pārstāvniecību;</w:t>
            </w:r>
          </w:p>
          <w:p w14:paraId="68727073" w14:textId="77777777" w:rsidR="001D76D7" w:rsidRDefault="001D76D7" w:rsidP="001D76D7">
            <w:pPr>
              <w:pStyle w:val="naisc"/>
              <w:spacing w:after="0"/>
              <w:contextualSpacing/>
              <w:jc w:val="both"/>
            </w:pPr>
            <w:r>
              <w:t>b) noskaidrojusi tuvāko radinieku vēlēšanos, saskaņā ar vietējām tiesībām var piemērotā veidā sniegt palīdzību mirstīgo atlieku apglabāšanai, kremēšanai vai repatriācijai uz mītnes valsti;</w:t>
            </w:r>
          </w:p>
          <w:p w14:paraId="0950DF05" w14:textId="77777777" w:rsidR="001D76D7" w:rsidRDefault="001D76D7" w:rsidP="001D76D7">
            <w:pPr>
              <w:pStyle w:val="naisc"/>
              <w:spacing w:after="0"/>
              <w:contextualSpacing/>
              <w:jc w:val="both"/>
            </w:pPr>
            <w:r>
              <w:t>c) nodrošina iespēju tuvākajiem radiniekiem saņemt mirušās personas miršanas apliecību;</w:t>
            </w:r>
          </w:p>
          <w:p w14:paraId="7E88843A" w14:textId="77777777" w:rsidR="001D76D7" w:rsidRDefault="001D76D7" w:rsidP="001D76D7">
            <w:pPr>
              <w:pStyle w:val="naisc"/>
              <w:spacing w:before="0" w:after="0"/>
              <w:contextualSpacing/>
              <w:jc w:val="both"/>
            </w:pPr>
            <w:r>
              <w:t>d) var sniegt jebkādu citu palīdzību, kas nav pretrunā ar personas, kurai tiek sniegta palīdzība, Līgumslēdzēju Pušu interesēm un starptautisko tiesību principiem.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4594DD" w14:textId="77777777" w:rsidR="001D76D7" w:rsidRDefault="001D76D7" w:rsidP="001D76D7">
            <w:pPr>
              <w:pStyle w:val="naisc"/>
              <w:spacing w:before="0"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Tieslietu ministrija</w:t>
            </w:r>
          </w:p>
          <w:p w14:paraId="466CBC6C" w14:textId="0625A088" w:rsidR="001D76D7" w:rsidRPr="00E64081" w:rsidRDefault="001D76D7" w:rsidP="001D76D7">
            <w:pPr>
              <w:pStyle w:val="naisc"/>
              <w:contextualSpacing/>
              <w:jc w:val="both"/>
              <w:rPr>
                <w:bCs/>
                <w:iCs/>
              </w:rPr>
            </w:pPr>
            <w:r w:rsidRPr="00E64081">
              <w:rPr>
                <w:bCs/>
                <w:iCs/>
              </w:rPr>
              <w:t>Lūdzam atkārtoti izvērtēt līguma 5.</w:t>
            </w:r>
            <w:r w:rsidR="007D023C">
              <w:rPr>
                <w:bCs/>
                <w:iCs/>
              </w:rPr>
              <w:t> </w:t>
            </w:r>
            <w:r w:rsidRPr="00E64081">
              <w:rPr>
                <w:bCs/>
                <w:iCs/>
              </w:rPr>
              <w:t xml:space="preserve">panta “b” un “c” apakšpunkta mērķi un tajā lietotā jēdziena </w:t>
            </w:r>
            <w:r w:rsidRPr="00E64081">
              <w:rPr>
                <w:bCs/>
                <w:i/>
              </w:rPr>
              <w:t>“</w:t>
            </w:r>
            <w:proofErr w:type="spellStart"/>
            <w:r w:rsidRPr="00E64081">
              <w:rPr>
                <w:bCs/>
                <w:i/>
              </w:rPr>
              <w:t>next-</w:t>
            </w:r>
            <w:r w:rsidRPr="00E64081">
              <w:rPr>
                <w:bCs/>
                <w:i/>
              </w:rPr>
              <w:lastRenderedPageBreak/>
              <w:t>of-kin”</w:t>
            </w:r>
            <w:proofErr w:type="spellEnd"/>
            <w:r w:rsidRPr="00E64081">
              <w:rPr>
                <w:bCs/>
                <w:i/>
              </w:rPr>
              <w:t xml:space="preserve"> </w:t>
            </w:r>
            <w:r w:rsidRPr="00E64081">
              <w:rPr>
                <w:bCs/>
                <w:iCs/>
              </w:rPr>
              <w:t xml:space="preserve">tulkojumu līgumā latviešu valodā. Jēdziens </w:t>
            </w:r>
            <w:r w:rsidRPr="00E64081">
              <w:rPr>
                <w:bCs/>
                <w:i/>
              </w:rPr>
              <w:t>“</w:t>
            </w:r>
            <w:proofErr w:type="spellStart"/>
            <w:r w:rsidRPr="00E64081">
              <w:rPr>
                <w:bCs/>
                <w:i/>
              </w:rPr>
              <w:t>next-of-kin”</w:t>
            </w:r>
            <w:proofErr w:type="spellEnd"/>
            <w:r w:rsidRPr="00E64081">
              <w:rPr>
                <w:bCs/>
                <w:iCs/>
              </w:rPr>
              <w:t xml:space="preserve"> var tikt tulkots gan kā “tuvākie radinieki”, gan “tuvinieki”, gan iespējams arī cits tulkojums. Tādējādi lūdzam izvērtēt nepieciešamību aizstāt līguma 5. panta “b” un/vai “c” apakšpunktā jēdzienu “”tuvākie radinieki” atbilstošā locījumā ar jēdzienu “tuvinieki” (kas lietots arī </w:t>
            </w:r>
            <w:r w:rsidRPr="00E64081">
              <w:rPr>
                <w:iCs/>
              </w:rPr>
              <w:t>Konsulārās palīdzības un konsulāro pakalpojumu likuma 6. pantā</w:t>
            </w:r>
            <w:r w:rsidRPr="00E64081">
              <w:rPr>
                <w:bCs/>
                <w:iCs/>
              </w:rPr>
              <w:t xml:space="preserve">) vai “tuvākie piederīgie” (kas lietots citos Latvijas Republikas tiesību aktos) atbilstošā locījumā. Norādām, ka atbilstoši Civillikuma 206. pantam “par radniecību sauc divu vai vairāku personu starpā </w:t>
            </w:r>
            <w:r w:rsidRPr="00E64081">
              <w:rPr>
                <w:bCs/>
                <w:iCs/>
                <w:u w:val="single"/>
              </w:rPr>
              <w:t>ar dzimšanu</w:t>
            </w:r>
            <w:r w:rsidRPr="00E64081">
              <w:rPr>
                <w:bCs/>
                <w:iCs/>
              </w:rPr>
              <w:t xml:space="preserve"> radušos attiecību”. Tādējādi jēdziens “tuvākie radinieki” aptver šaurāku personu loku, nekā jēdziens “tuvinieki” vai “tuvākie piederīgie”.</w:t>
            </w:r>
          </w:p>
          <w:p w14:paraId="548568C7" w14:textId="77777777" w:rsidR="001D76D7" w:rsidRPr="00C61EB0" w:rsidRDefault="001D76D7" w:rsidP="001D76D7">
            <w:pPr>
              <w:pStyle w:val="naisc"/>
              <w:spacing w:before="0" w:after="0"/>
              <w:contextualSpacing/>
              <w:jc w:val="left"/>
              <w:rPr>
                <w:b/>
              </w:rPr>
            </w:pPr>
          </w:p>
        </w:tc>
        <w:tc>
          <w:tcPr>
            <w:tcW w:w="337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118990" w14:textId="556658C6" w:rsidR="001D76D7" w:rsidRDefault="006A4FDA" w:rsidP="001D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Iebildums ņ</w:t>
            </w:r>
            <w:r w:rsidR="001D76D7">
              <w:rPr>
                <w:rFonts w:ascii="Times New Roman" w:hAnsi="Times New Roman" w:cs="Times New Roman"/>
                <w:b/>
                <w:sz w:val="24"/>
                <w:szCs w:val="24"/>
              </w:rPr>
              <w:t>emts vērā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72909" w14:textId="77777777" w:rsidR="001D76D7" w:rsidRPr="00DA05D6" w:rsidRDefault="001D76D7" w:rsidP="001D76D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D6">
              <w:rPr>
                <w:rFonts w:ascii="Times New Roman" w:hAnsi="Times New Roman" w:cs="Times New Roman"/>
                <w:sz w:val="24"/>
                <w:szCs w:val="24"/>
              </w:rPr>
              <w:t>5. pants</w:t>
            </w:r>
          </w:p>
          <w:p w14:paraId="0D4E224D" w14:textId="77777777" w:rsidR="001D76D7" w:rsidRPr="00DA05D6" w:rsidRDefault="001D76D7" w:rsidP="001D76D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D6">
              <w:rPr>
                <w:rFonts w:ascii="Times New Roman" w:hAnsi="Times New Roman" w:cs="Times New Roman"/>
                <w:sz w:val="24"/>
                <w:szCs w:val="24"/>
              </w:rPr>
              <w:t xml:space="preserve">Ja Palīdzētājas valsts pastāvīgā diplomātiskā vai konsulārā pārstāvniecība ir saņēmusi </w:t>
            </w:r>
            <w:r w:rsidRPr="00DA0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informāciju par Palīdzības saņēmējas valsts pilsoņa nāves faktu, konsulārā amatpersona:</w:t>
            </w:r>
          </w:p>
          <w:p w14:paraId="0986AA42" w14:textId="77777777" w:rsidR="001D76D7" w:rsidRPr="00DA05D6" w:rsidRDefault="001D76D7" w:rsidP="001D76D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E67FE" w14:textId="77777777" w:rsidR="001D76D7" w:rsidRPr="00DA05D6" w:rsidRDefault="001D76D7" w:rsidP="001D76D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D6">
              <w:rPr>
                <w:rFonts w:ascii="Times New Roman" w:hAnsi="Times New Roman" w:cs="Times New Roman"/>
                <w:sz w:val="24"/>
                <w:szCs w:val="24"/>
              </w:rPr>
              <w:t>a) nekavējoties informē Palīdzības saņēmējas valsts Ārlietu ministriju vai tuvāko pastāvīgo diplomātisko vai konsulāro pārstāvniecību;</w:t>
            </w:r>
          </w:p>
          <w:p w14:paraId="0B282FBA" w14:textId="77777777" w:rsidR="001D76D7" w:rsidRPr="00DA05D6" w:rsidRDefault="001D76D7" w:rsidP="001D76D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D6">
              <w:rPr>
                <w:rFonts w:ascii="Times New Roman" w:hAnsi="Times New Roman" w:cs="Times New Roman"/>
                <w:sz w:val="24"/>
                <w:szCs w:val="24"/>
              </w:rPr>
              <w:t xml:space="preserve">b) noskaidrojusi </w:t>
            </w:r>
            <w:r w:rsidRPr="003F4E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tuvinieku</w:t>
            </w:r>
            <w:r w:rsidRPr="00DA05D6">
              <w:rPr>
                <w:rFonts w:ascii="Times New Roman" w:hAnsi="Times New Roman" w:cs="Times New Roman"/>
                <w:sz w:val="24"/>
                <w:szCs w:val="24"/>
              </w:rPr>
              <w:t xml:space="preserve"> vēlēšanos, saskaņā ar vietējām tiesībām var piemērotā veidā sniegt palīdzību mirstīgo atlieku apglabāšanai, kremēšanai vai repatriācijai uz mītnes valsti;</w:t>
            </w:r>
          </w:p>
          <w:p w14:paraId="1FBBABBE" w14:textId="77777777" w:rsidR="001D76D7" w:rsidRPr="00DA05D6" w:rsidRDefault="001D76D7" w:rsidP="001D76D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D6">
              <w:rPr>
                <w:rFonts w:ascii="Times New Roman" w:hAnsi="Times New Roman" w:cs="Times New Roman"/>
                <w:sz w:val="24"/>
                <w:szCs w:val="24"/>
              </w:rPr>
              <w:t xml:space="preserve">c) nodrošina iespēju </w:t>
            </w:r>
            <w:r w:rsidRPr="003F4E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tuviniekiem </w:t>
            </w:r>
            <w:r w:rsidRPr="00DA05D6">
              <w:rPr>
                <w:rFonts w:ascii="Times New Roman" w:hAnsi="Times New Roman" w:cs="Times New Roman"/>
                <w:sz w:val="24"/>
                <w:szCs w:val="24"/>
              </w:rPr>
              <w:t>saņemt mirušās personas miršanas apliecību;</w:t>
            </w:r>
          </w:p>
          <w:p w14:paraId="7DB86233" w14:textId="77777777" w:rsidR="001D76D7" w:rsidRDefault="001D76D7" w:rsidP="001D76D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D6">
              <w:rPr>
                <w:rFonts w:ascii="Times New Roman" w:hAnsi="Times New Roman" w:cs="Times New Roman"/>
                <w:sz w:val="24"/>
                <w:szCs w:val="24"/>
              </w:rPr>
              <w:t>d) var sniegt jebkādu citu palīdzību, kas nav pretrunā ar personas, kurai tiek sniegta palīdzība, Līgumslēdzēju Pušu interesēm un starptautisko tiesību principiem.</w:t>
            </w:r>
          </w:p>
        </w:tc>
      </w:tr>
      <w:tr w:rsidR="002F1A32" w:rsidRPr="00266D6B" w14:paraId="0BB058B2" w14:textId="77777777" w:rsidTr="00AA1519">
        <w:tc>
          <w:tcPr>
            <w:tcW w:w="9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DC14BC" w14:textId="77777777" w:rsidR="002F1A32" w:rsidRPr="00266D6B" w:rsidRDefault="002F1A32" w:rsidP="001D76D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8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14579F" w14:textId="777A9B5B" w:rsidR="002F1A32" w:rsidRDefault="006A4FDA" w:rsidP="006A4FDA">
            <w:pPr>
              <w:pStyle w:val="naisc"/>
              <w:spacing w:before="0" w:after="0"/>
              <w:contextualSpacing/>
              <w:jc w:val="both"/>
            </w:pPr>
            <w:r>
              <w:t>Noteikumu p</w:t>
            </w:r>
            <w:r w:rsidR="009F0890">
              <w:t>rojekta a</w:t>
            </w:r>
            <w:r w:rsidR="009A010E">
              <w:t>notācijas I sadaļas 2. punkts</w:t>
            </w:r>
            <w:r>
              <w:t>. Noteikumu projekta anotācijā nav iekļauta piedāvātā norāde.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725B1D" w14:textId="57F40A85" w:rsidR="002F1A32" w:rsidRPr="009A010E" w:rsidRDefault="009A010E" w:rsidP="009A010E">
            <w:pPr>
              <w:pStyle w:val="naisc"/>
              <w:spacing w:before="0" w:after="0"/>
              <w:contextualSpacing/>
              <w:jc w:val="both"/>
              <w:rPr>
                <w:b/>
              </w:rPr>
            </w:pPr>
            <w:r w:rsidRPr="009A010E">
              <w:rPr>
                <w:bCs/>
                <w:iCs/>
              </w:rPr>
              <w:t xml:space="preserve">Projekta anotācijas I sadaļas 2. punktā cita starpā skaidrots, ka “[..] Viļņā 1999. gada 5. februārī parakstītais Latvijas Republikas valdības, Igaunijas Republikas valdības un Lietuvas Republikas valdības līgums par konsulāro sadarbību un palīdzību </w:t>
            </w:r>
            <w:r w:rsidRPr="009A010E">
              <w:rPr>
                <w:bCs/>
                <w:iCs/>
              </w:rPr>
              <w:lastRenderedPageBreak/>
              <w:t xml:space="preserve">(turpmāk – 1999. gada līgums) uzskatāms par novecojušu, jo tā normas nonāk pretrunā vai pārklājas ar spēkā esošo regulējumu. Tādēļ šāda līguma atstāšana spēkā varētu būt maldinoša privātpersonām”. Lūdzam precizēt projekta anotācijas I sadaļas 2. punktu, </w:t>
            </w:r>
            <w:proofErr w:type="spellStart"/>
            <w:r w:rsidR="00A97202">
              <w:rPr>
                <w:bCs/>
                <w:iCs/>
              </w:rPr>
              <w:t>izvērstāk</w:t>
            </w:r>
            <w:proofErr w:type="spellEnd"/>
            <w:r w:rsidRPr="009A010E">
              <w:rPr>
                <w:bCs/>
                <w:iCs/>
              </w:rPr>
              <w:t xml:space="preserve"> skaidrojot 1999. gada līguma izbeigšanas kārtību (vai veidu, kā līgums zaudēs spēku). Lūdzam ņemt arī vērā, ka 1999. gada līgums ir apstiprināts ar </w:t>
            </w:r>
            <w:r w:rsidRPr="009A010E">
              <w:rPr>
                <w:iCs/>
              </w:rPr>
              <w:t xml:space="preserve">Ministru kabineta </w:t>
            </w:r>
            <w:r w:rsidRPr="009A010E">
              <w:rPr>
                <w:bCs/>
                <w:iCs/>
              </w:rPr>
              <w:t>1999. gada 27. janvāra</w:t>
            </w:r>
            <w:r w:rsidRPr="009A010E">
              <w:rPr>
                <w:b/>
                <w:bCs/>
                <w:iCs/>
              </w:rPr>
              <w:t xml:space="preserve"> </w:t>
            </w:r>
            <w:r w:rsidRPr="009A010E">
              <w:rPr>
                <w:iCs/>
              </w:rPr>
              <w:t>rīkojumu Nr. 37 “</w:t>
            </w:r>
            <w:r w:rsidRPr="009A010E">
              <w:t>Par Latvijas Republikas valdības, Igaunijas Republikas valdības un Lietuvas Republikas valdības līgumu par konsulāro sadarbību un palīdzību”</w:t>
            </w:r>
            <w:r w:rsidRPr="009A010E">
              <w:rPr>
                <w:iCs/>
              </w:rPr>
              <w:t>.</w:t>
            </w:r>
          </w:p>
        </w:tc>
        <w:tc>
          <w:tcPr>
            <w:tcW w:w="337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1E0DAD" w14:textId="14A2F8B8" w:rsidR="002F1A32" w:rsidRDefault="006A4FDA" w:rsidP="001D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Iebildums ņ</w:t>
            </w:r>
            <w:r w:rsidR="009A010E" w:rsidRPr="009A010E">
              <w:rPr>
                <w:rFonts w:ascii="Times New Roman" w:hAnsi="Times New Roman" w:cs="Times New Roman"/>
                <w:b/>
                <w:sz w:val="24"/>
                <w:szCs w:val="24"/>
              </w:rPr>
              <w:t>emts vērā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F6AC8" w14:textId="22C9B93D" w:rsidR="002F1A32" w:rsidRPr="00DA05D6" w:rsidRDefault="00FB6FEC" w:rsidP="00DB53B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Izveidots </w:t>
            </w:r>
            <w:r w:rsidR="005B52F9">
              <w:rPr>
                <w:rFonts w:ascii="Times New Roman" w:hAnsi="Times New Roman" w:cs="Times New Roman"/>
                <w:sz w:val="24"/>
                <w:szCs w:val="24"/>
              </w:rPr>
              <w:t xml:space="preserve">un līdz ar dokumentu paketi tiks iesniegts izskatīšanai attiecīgs </w:t>
            </w:r>
            <w:r w:rsidR="00DF66BF">
              <w:rPr>
                <w:rFonts w:ascii="Times New Roman" w:hAnsi="Times New Roman" w:cs="Times New Roman"/>
                <w:sz w:val="24"/>
                <w:szCs w:val="24"/>
              </w:rPr>
              <w:t>Ministru kabineta rīkojuma projekts</w:t>
            </w:r>
            <w:r w:rsidR="005B52F9">
              <w:rPr>
                <w:rFonts w:ascii="Times New Roman" w:hAnsi="Times New Roman" w:cs="Times New Roman"/>
                <w:sz w:val="24"/>
                <w:szCs w:val="24"/>
              </w:rPr>
              <w:t xml:space="preserve">, ar kuru spēku zaudē </w:t>
            </w:r>
            <w:r w:rsidR="005B52F9" w:rsidRPr="005B52F9">
              <w:rPr>
                <w:rFonts w:ascii="Times New Roman" w:hAnsi="Times New Roman" w:cs="Times New Roman"/>
                <w:sz w:val="24"/>
                <w:szCs w:val="24"/>
              </w:rPr>
              <w:t>Ministru kabineta 1999.</w:t>
            </w:r>
            <w:r w:rsidR="00DB53BC">
              <w:rPr>
                <w:rFonts w:ascii="Times New Roman" w:hAnsi="Times New Roman" w:cs="Times New Roman"/>
                <w:sz w:val="24"/>
                <w:szCs w:val="24"/>
              </w:rPr>
              <w:t> gada 27. </w:t>
            </w:r>
            <w:r w:rsidR="005B52F9" w:rsidRPr="005B52F9">
              <w:rPr>
                <w:rFonts w:ascii="Times New Roman" w:hAnsi="Times New Roman" w:cs="Times New Roman"/>
                <w:sz w:val="24"/>
                <w:szCs w:val="24"/>
              </w:rPr>
              <w:t>janvāra rīkojum</w:t>
            </w:r>
            <w:r w:rsidR="00620B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B53BC">
              <w:rPr>
                <w:rFonts w:ascii="Times New Roman" w:hAnsi="Times New Roman" w:cs="Times New Roman"/>
                <w:sz w:val="24"/>
                <w:szCs w:val="24"/>
              </w:rPr>
              <w:t xml:space="preserve"> Nr. </w:t>
            </w:r>
            <w:r w:rsidR="005B52F9" w:rsidRPr="005B52F9">
              <w:rPr>
                <w:rFonts w:ascii="Times New Roman" w:hAnsi="Times New Roman" w:cs="Times New Roman"/>
                <w:sz w:val="24"/>
                <w:szCs w:val="24"/>
              </w:rPr>
              <w:t xml:space="preserve">37 “Par Latvijas Republikas </w:t>
            </w:r>
            <w:r w:rsidR="005B52F9" w:rsidRPr="005B5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valdības, Igaunijas Republikas valdības un Lietuvas Republikas valdības līgumu par konsulāro sadarbību un palīdzību”</w:t>
            </w:r>
            <w:r w:rsidR="005B52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702">
              <w:rPr>
                <w:rFonts w:ascii="Times New Roman" w:hAnsi="Times New Roman" w:cs="Times New Roman"/>
                <w:sz w:val="24"/>
                <w:szCs w:val="24"/>
              </w:rPr>
              <w:t>Noteikumu projekt</w:t>
            </w:r>
            <w:r w:rsidR="00DF6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0470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2F1A32">
              <w:rPr>
                <w:rFonts w:ascii="Times New Roman" w:hAnsi="Times New Roman" w:cs="Times New Roman"/>
                <w:sz w:val="24"/>
                <w:szCs w:val="24"/>
              </w:rPr>
              <w:t xml:space="preserve">notācija papildināta ar tekstu, ka </w:t>
            </w:r>
            <w:r w:rsidR="00DF66B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F66BF" w:rsidRPr="00DF66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īdz ar Līguma spēkā stāšanos spēku zaudēs 1999. gada 5. februāra Latvijas Republikas valdības, Igaunijas Republikas valdības un Lietuvas Republikas valdības līgums par konsulāro sadarbību un palīdzību un </w:t>
            </w:r>
            <w:r w:rsidR="00DF66BF" w:rsidRPr="00DF66BF">
              <w:rPr>
                <w:rFonts w:ascii="Times New Roman" w:hAnsi="Times New Roman" w:cs="Times New Roman"/>
                <w:sz w:val="24"/>
                <w:szCs w:val="24"/>
              </w:rPr>
              <w:t>Ministru kabineta 1999. gada 27. janvāra rīkojums Nr. 37 "Par Latvijas Republikas valdības, Igaunijas Republikas valdības un Lietuvas Republikas valdības līgumu par konsulāro palīdzību un sadarbību”.</w:t>
            </w:r>
          </w:p>
        </w:tc>
      </w:tr>
      <w:tr w:rsidR="00527133" w:rsidRPr="00266D6B" w14:paraId="79048988" w14:textId="77777777" w:rsidTr="0081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705" w:type="dxa"/>
        </w:trPr>
        <w:tc>
          <w:tcPr>
            <w:tcW w:w="3108" w:type="dxa"/>
            <w:gridSpan w:val="2"/>
          </w:tcPr>
          <w:p w14:paraId="3D3E1C56" w14:textId="77777777" w:rsidR="00527133" w:rsidRPr="00266D6B" w:rsidRDefault="00527133" w:rsidP="005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D1EBB5" w14:textId="77777777" w:rsidR="00527133" w:rsidRPr="00266D6B" w:rsidRDefault="00527133" w:rsidP="0052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6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6179" w:type="dxa"/>
            <w:gridSpan w:val="3"/>
          </w:tcPr>
          <w:p w14:paraId="1A4C37C7" w14:textId="77777777" w:rsidR="00527133" w:rsidRPr="00266D6B" w:rsidRDefault="00527133" w:rsidP="0052713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6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527133" w:rsidRPr="00266D6B" w14:paraId="18202F0B" w14:textId="77777777" w:rsidTr="0081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705" w:type="dxa"/>
        </w:trPr>
        <w:tc>
          <w:tcPr>
            <w:tcW w:w="3108" w:type="dxa"/>
            <w:gridSpan w:val="2"/>
          </w:tcPr>
          <w:p w14:paraId="3E1D281C" w14:textId="77777777" w:rsidR="00527133" w:rsidRPr="00266D6B" w:rsidRDefault="00527133" w:rsidP="0052713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79" w:type="dxa"/>
            <w:gridSpan w:val="3"/>
            <w:tcBorders>
              <w:top w:val="single" w:sz="6" w:space="0" w:color="000000"/>
            </w:tcBorders>
          </w:tcPr>
          <w:p w14:paraId="7F987DD4" w14:textId="77777777" w:rsidR="00527133" w:rsidRPr="00266D6B" w:rsidRDefault="00527133" w:rsidP="0052713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6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(paraksts)</w:t>
            </w:r>
          </w:p>
        </w:tc>
      </w:tr>
    </w:tbl>
    <w:p w14:paraId="25B98ABF" w14:textId="77777777" w:rsidR="00A161AD" w:rsidRPr="00266D6B" w:rsidRDefault="00A161AD" w:rsidP="008120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0C7B61" w14:textId="77777777" w:rsidR="00A161AD" w:rsidRPr="00266D6B" w:rsidRDefault="00A161AD" w:rsidP="008120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E628B5" w14:textId="5C1679B8" w:rsidR="00A161AD" w:rsidRPr="00266D6B" w:rsidRDefault="00EA21AB" w:rsidP="00EA21AB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</w:t>
      </w:r>
      <w:bookmarkStart w:id="0" w:name="_GoBack"/>
      <w:bookmarkEnd w:id="0"/>
      <w:r w:rsidR="00DC1CD2">
        <w:rPr>
          <w:rFonts w:ascii="Times New Roman" w:eastAsia="Times New Roman" w:hAnsi="Times New Roman" w:cs="Times New Roman"/>
          <w:sz w:val="24"/>
          <w:szCs w:val="24"/>
          <w:lang w:eastAsia="lv-LV"/>
        </w:rPr>
        <w:t>Annija Roga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68"/>
      </w:tblGrid>
      <w:tr w:rsidR="00A161AD" w:rsidRPr="00266D6B" w14:paraId="20CE6D8F" w14:textId="77777777" w:rsidTr="00812068">
        <w:tc>
          <w:tcPr>
            <w:tcW w:w="8268" w:type="dxa"/>
            <w:tcBorders>
              <w:top w:val="single" w:sz="4" w:space="0" w:color="000000"/>
            </w:tcBorders>
          </w:tcPr>
          <w:p w14:paraId="37B473E2" w14:textId="72BF8611" w:rsidR="00A161AD" w:rsidRPr="00D83C00" w:rsidRDefault="00A161AD" w:rsidP="008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83C0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(par projektu atbildīgās amatpersonas vārds un uzvārds)</w:t>
            </w:r>
          </w:p>
        </w:tc>
      </w:tr>
      <w:tr w:rsidR="00A161AD" w:rsidRPr="00266D6B" w14:paraId="06AD2E77" w14:textId="77777777" w:rsidTr="00812068">
        <w:tc>
          <w:tcPr>
            <w:tcW w:w="8268" w:type="dxa"/>
            <w:tcBorders>
              <w:bottom w:val="single" w:sz="4" w:space="0" w:color="000000"/>
            </w:tcBorders>
          </w:tcPr>
          <w:p w14:paraId="2A4DD33A" w14:textId="768EC5EA" w:rsidR="00A161AD" w:rsidRPr="00266D6B" w:rsidRDefault="000628DD" w:rsidP="0089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628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Konsulārā</w:t>
            </w:r>
            <w:r w:rsidR="00DC1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departamenta Konsulāri tiesisko jautājumu nodaļas vecākā referente</w:t>
            </w:r>
          </w:p>
        </w:tc>
      </w:tr>
      <w:tr w:rsidR="00A161AD" w:rsidRPr="00266D6B" w14:paraId="6AD9BAD8" w14:textId="77777777" w:rsidTr="00812068">
        <w:tc>
          <w:tcPr>
            <w:tcW w:w="8268" w:type="dxa"/>
            <w:tcBorders>
              <w:top w:val="single" w:sz="4" w:space="0" w:color="000000"/>
            </w:tcBorders>
          </w:tcPr>
          <w:p w14:paraId="3CDC4F44" w14:textId="77777777" w:rsidR="00A161AD" w:rsidRPr="00D83C00" w:rsidRDefault="00A161AD" w:rsidP="008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83C0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(amats)</w:t>
            </w:r>
          </w:p>
        </w:tc>
      </w:tr>
      <w:tr w:rsidR="00A161AD" w:rsidRPr="00266D6B" w14:paraId="1B881A19" w14:textId="77777777" w:rsidTr="00812068">
        <w:tc>
          <w:tcPr>
            <w:tcW w:w="8268" w:type="dxa"/>
            <w:tcBorders>
              <w:bottom w:val="single" w:sz="4" w:space="0" w:color="000000"/>
            </w:tcBorders>
          </w:tcPr>
          <w:p w14:paraId="3DE1D3D3" w14:textId="3532E457" w:rsidR="00A161AD" w:rsidRPr="00266D6B" w:rsidRDefault="00281ABE" w:rsidP="00812068">
            <w:pPr>
              <w:spacing w:after="0" w:line="240" w:lineRule="auto"/>
              <w:ind w:firstLine="297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DC1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67016375</w:t>
            </w:r>
          </w:p>
        </w:tc>
      </w:tr>
      <w:tr w:rsidR="00A161AD" w:rsidRPr="00266D6B" w14:paraId="642984AD" w14:textId="77777777" w:rsidTr="00812068">
        <w:tc>
          <w:tcPr>
            <w:tcW w:w="8268" w:type="dxa"/>
            <w:tcBorders>
              <w:top w:val="single" w:sz="4" w:space="0" w:color="000000"/>
            </w:tcBorders>
          </w:tcPr>
          <w:p w14:paraId="4F5DFFC2" w14:textId="77777777" w:rsidR="00A161AD" w:rsidRPr="00D83C00" w:rsidRDefault="00A161AD" w:rsidP="008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83C0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(tālruņa un faksa numurs)</w:t>
            </w:r>
          </w:p>
        </w:tc>
      </w:tr>
      <w:tr w:rsidR="00A161AD" w:rsidRPr="00266D6B" w14:paraId="00A52400" w14:textId="77777777" w:rsidTr="00812068">
        <w:tc>
          <w:tcPr>
            <w:tcW w:w="8268" w:type="dxa"/>
            <w:tcBorders>
              <w:bottom w:val="single" w:sz="4" w:space="0" w:color="000000"/>
            </w:tcBorders>
          </w:tcPr>
          <w:p w14:paraId="27D3BA77" w14:textId="22F1D855" w:rsidR="00A161AD" w:rsidRPr="00266D6B" w:rsidRDefault="00281ABE" w:rsidP="00812068">
            <w:pPr>
              <w:spacing w:after="0" w:line="240" w:lineRule="auto"/>
              <w:ind w:firstLine="212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</w:t>
            </w:r>
            <w:r w:rsidR="00DC1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Annija.Roga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@mfa.gov.lv</w:t>
            </w:r>
          </w:p>
        </w:tc>
      </w:tr>
      <w:tr w:rsidR="00A161AD" w:rsidRPr="00266D6B" w14:paraId="1C54706F" w14:textId="77777777" w:rsidTr="00812068">
        <w:tc>
          <w:tcPr>
            <w:tcW w:w="8268" w:type="dxa"/>
            <w:tcBorders>
              <w:top w:val="single" w:sz="4" w:space="0" w:color="000000"/>
            </w:tcBorders>
          </w:tcPr>
          <w:p w14:paraId="5A62D363" w14:textId="0723404D" w:rsidR="00A161AD" w:rsidRPr="00D83C00" w:rsidRDefault="00A161AD" w:rsidP="00E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83C0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e-pasta adrese)</w:t>
            </w:r>
          </w:p>
        </w:tc>
      </w:tr>
    </w:tbl>
    <w:p w14:paraId="1457B62D" w14:textId="72F3D12B" w:rsidR="00C1317C" w:rsidRPr="00266D6B" w:rsidRDefault="00C1317C" w:rsidP="0081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317C" w:rsidRPr="00266D6B" w:rsidSect="00777B82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FF43D" w14:textId="77777777" w:rsidR="00A161AD" w:rsidRDefault="00A161AD" w:rsidP="00A161AD">
      <w:pPr>
        <w:spacing w:after="0" w:line="240" w:lineRule="auto"/>
      </w:pPr>
      <w:r>
        <w:separator/>
      </w:r>
    </w:p>
  </w:endnote>
  <w:endnote w:type="continuationSeparator" w:id="0">
    <w:p w14:paraId="0AE921E7" w14:textId="77777777" w:rsidR="00A161AD" w:rsidRDefault="00A161AD" w:rsidP="00A1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56C3C" w14:textId="77106CEE" w:rsidR="00812068" w:rsidRPr="00F35E10" w:rsidRDefault="00545817" w:rsidP="00F35E10">
    <w:pPr>
      <w:pStyle w:val="Footer"/>
    </w:pPr>
    <w:r>
      <w:rPr>
        <w:rFonts w:eastAsiaTheme="minorHAnsi"/>
        <w:sz w:val="20"/>
        <w:szCs w:val="20"/>
        <w:lang w:eastAsia="en-US"/>
      </w:rPr>
      <w:t>AMizz_1</w:t>
    </w:r>
    <w:r w:rsidR="00F35E10" w:rsidRPr="00F35E10">
      <w:rPr>
        <w:rFonts w:eastAsiaTheme="minorHAnsi"/>
        <w:sz w:val="20"/>
        <w:szCs w:val="20"/>
        <w:lang w:eastAsia="en-US"/>
      </w:rPr>
      <w:t>4112019_B3lig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396D4" w14:textId="66EF7107" w:rsidR="00606E99" w:rsidRPr="00606E99" w:rsidRDefault="007A47CC" w:rsidP="001D341E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AMizz_1</w:t>
    </w:r>
    <w:r w:rsidR="00F35E10">
      <w:rPr>
        <w:rFonts w:ascii="Times New Roman" w:hAnsi="Times New Roman" w:cs="Times New Roman"/>
        <w:sz w:val="20"/>
        <w:szCs w:val="20"/>
      </w:rPr>
      <w:t>4112019_B3lig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AA3F9" w14:textId="77777777" w:rsidR="00A161AD" w:rsidRDefault="00A161AD" w:rsidP="00A161AD">
      <w:pPr>
        <w:spacing w:after="0" w:line="240" w:lineRule="auto"/>
      </w:pPr>
      <w:r>
        <w:separator/>
      </w:r>
    </w:p>
  </w:footnote>
  <w:footnote w:type="continuationSeparator" w:id="0">
    <w:p w14:paraId="3991B9BA" w14:textId="77777777" w:rsidR="00A161AD" w:rsidRDefault="00A161AD" w:rsidP="00A1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69718" w14:textId="77777777" w:rsidR="00812068" w:rsidRDefault="00812068" w:rsidP="008120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F4CE3" w14:textId="77777777" w:rsidR="00812068" w:rsidRDefault="00812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24C23" w14:textId="0FD6FE5B" w:rsidR="00812068" w:rsidRDefault="00812068" w:rsidP="008120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1AB">
      <w:rPr>
        <w:rStyle w:val="PageNumber"/>
        <w:noProof/>
      </w:rPr>
      <w:t>4</w:t>
    </w:r>
    <w:r>
      <w:rPr>
        <w:rStyle w:val="PageNumber"/>
      </w:rPr>
      <w:fldChar w:fldCharType="end"/>
    </w:r>
  </w:p>
  <w:p w14:paraId="03AFA592" w14:textId="77777777" w:rsidR="00812068" w:rsidRDefault="00812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84A"/>
    <w:multiLevelType w:val="multilevel"/>
    <w:tmpl w:val="FD101BC8"/>
    <w:lvl w:ilvl="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4252780"/>
    <w:multiLevelType w:val="hybridMultilevel"/>
    <w:tmpl w:val="DD4C307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060185"/>
    <w:multiLevelType w:val="hybridMultilevel"/>
    <w:tmpl w:val="022A4C08"/>
    <w:lvl w:ilvl="0" w:tplc="BD6C676C">
      <w:start w:val="2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23B930BA"/>
    <w:multiLevelType w:val="hybridMultilevel"/>
    <w:tmpl w:val="6BCCD43C"/>
    <w:lvl w:ilvl="0" w:tplc="5142B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8237F3C"/>
    <w:multiLevelType w:val="hybridMultilevel"/>
    <w:tmpl w:val="548AAF34"/>
    <w:lvl w:ilvl="0" w:tplc="DA3CD6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7893C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ED13DF"/>
    <w:multiLevelType w:val="hybridMultilevel"/>
    <w:tmpl w:val="9A6C96D8"/>
    <w:lvl w:ilvl="0" w:tplc="65BC40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A130B"/>
    <w:multiLevelType w:val="hybridMultilevel"/>
    <w:tmpl w:val="4C24795E"/>
    <w:lvl w:ilvl="0" w:tplc="C2F820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40059A1"/>
    <w:multiLevelType w:val="hybridMultilevel"/>
    <w:tmpl w:val="15CC914E"/>
    <w:lvl w:ilvl="0" w:tplc="D1CE6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470B8"/>
    <w:multiLevelType w:val="hybridMultilevel"/>
    <w:tmpl w:val="D8BC32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8744F"/>
    <w:multiLevelType w:val="hybridMultilevel"/>
    <w:tmpl w:val="9A6C96D8"/>
    <w:lvl w:ilvl="0" w:tplc="65BC40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E02CE"/>
    <w:multiLevelType w:val="hybridMultilevel"/>
    <w:tmpl w:val="6BCCD43C"/>
    <w:lvl w:ilvl="0" w:tplc="5142B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9266C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472AFE"/>
    <w:multiLevelType w:val="hybridMultilevel"/>
    <w:tmpl w:val="72BC1F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6"/>
  </w:num>
  <w:num w:numId="5">
    <w:abstractNumId w:val="10"/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AD"/>
    <w:rsid w:val="00001B0B"/>
    <w:rsid w:val="0001416C"/>
    <w:rsid w:val="00036C31"/>
    <w:rsid w:val="000542EE"/>
    <w:rsid w:val="000556DF"/>
    <w:rsid w:val="000628DD"/>
    <w:rsid w:val="00075093"/>
    <w:rsid w:val="000864D2"/>
    <w:rsid w:val="0009515F"/>
    <w:rsid w:val="000B191E"/>
    <w:rsid w:val="000B6258"/>
    <w:rsid w:val="000C5609"/>
    <w:rsid w:val="00121A7D"/>
    <w:rsid w:val="0012308D"/>
    <w:rsid w:val="001368D9"/>
    <w:rsid w:val="0013788C"/>
    <w:rsid w:val="001472B4"/>
    <w:rsid w:val="001659F3"/>
    <w:rsid w:val="00192D7C"/>
    <w:rsid w:val="00197687"/>
    <w:rsid w:val="001A32B2"/>
    <w:rsid w:val="001D341E"/>
    <w:rsid w:val="001D76D7"/>
    <w:rsid w:val="00253789"/>
    <w:rsid w:val="0025620E"/>
    <w:rsid w:val="00266D6B"/>
    <w:rsid w:val="00281ABE"/>
    <w:rsid w:val="00293139"/>
    <w:rsid w:val="002A2788"/>
    <w:rsid w:val="002B1843"/>
    <w:rsid w:val="002E106D"/>
    <w:rsid w:val="002F1A32"/>
    <w:rsid w:val="002F4E92"/>
    <w:rsid w:val="00332914"/>
    <w:rsid w:val="00336872"/>
    <w:rsid w:val="003B7702"/>
    <w:rsid w:val="003D15E2"/>
    <w:rsid w:val="003F4EC2"/>
    <w:rsid w:val="004378CF"/>
    <w:rsid w:val="00451357"/>
    <w:rsid w:val="00491269"/>
    <w:rsid w:val="004A7A7C"/>
    <w:rsid w:val="004B386C"/>
    <w:rsid w:val="004C3FA8"/>
    <w:rsid w:val="004C5ACF"/>
    <w:rsid w:val="004C6735"/>
    <w:rsid w:val="004F371E"/>
    <w:rsid w:val="00500F09"/>
    <w:rsid w:val="00501AAC"/>
    <w:rsid w:val="00507998"/>
    <w:rsid w:val="00516723"/>
    <w:rsid w:val="00524DAE"/>
    <w:rsid w:val="00527060"/>
    <w:rsid w:val="00527133"/>
    <w:rsid w:val="00535B40"/>
    <w:rsid w:val="005418D6"/>
    <w:rsid w:val="00543D08"/>
    <w:rsid w:val="00545817"/>
    <w:rsid w:val="005712DB"/>
    <w:rsid w:val="005800B2"/>
    <w:rsid w:val="00583A01"/>
    <w:rsid w:val="00597B1F"/>
    <w:rsid w:val="005A3EFE"/>
    <w:rsid w:val="005B1BB6"/>
    <w:rsid w:val="005B52F9"/>
    <w:rsid w:val="005F23E1"/>
    <w:rsid w:val="005F7029"/>
    <w:rsid w:val="00606E99"/>
    <w:rsid w:val="00612B42"/>
    <w:rsid w:val="00620BBB"/>
    <w:rsid w:val="00626638"/>
    <w:rsid w:val="006339BA"/>
    <w:rsid w:val="00642CBE"/>
    <w:rsid w:val="0067749B"/>
    <w:rsid w:val="00685BA6"/>
    <w:rsid w:val="00697A4C"/>
    <w:rsid w:val="006A4FDA"/>
    <w:rsid w:val="006B046A"/>
    <w:rsid w:val="006B2386"/>
    <w:rsid w:val="006D4A13"/>
    <w:rsid w:val="006F4D4B"/>
    <w:rsid w:val="0070095C"/>
    <w:rsid w:val="00730F61"/>
    <w:rsid w:val="0073743A"/>
    <w:rsid w:val="007747C6"/>
    <w:rsid w:val="00777B82"/>
    <w:rsid w:val="007821D1"/>
    <w:rsid w:val="00795BBC"/>
    <w:rsid w:val="007A008B"/>
    <w:rsid w:val="007A47CC"/>
    <w:rsid w:val="007B0AA5"/>
    <w:rsid w:val="007C2392"/>
    <w:rsid w:val="007D023C"/>
    <w:rsid w:val="007D619B"/>
    <w:rsid w:val="007F0A1B"/>
    <w:rsid w:val="008025EA"/>
    <w:rsid w:val="00804702"/>
    <w:rsid w:val="00812068"/>
    <w:rsid w:val="00863BCE"/>
    <w:rsid w:val="00874917"/>
    <w:rsid w:val="008864F4"/>
    <w:rsid w:val="008919F1"/>
    <w:rsid w:val="00895F7C"/>
    <w:rsid w:val="00896451"/>
    <w:rsid w:val="008976A4"/>
    <w:rsid w:val="008B08DB"/>
    <w:rsid w:val="008C4181"/>
    <w:rsid w:val="008D3F36"/>
    <w:rsid w:val="00901F69"/>
    <w:rsid w:val="00921735"/>
    <w:rsid w:val="009276F4"/>
    <w:rsid w:val="00950990"/>
    <w:rsid w:val="00974F67"/>
    <w:rsid w:val="00977295"/>
    <w:rsid w:val="00987BF3"/>
    <w:rsid w:val="00987F56"/>
    <w:rsid w:val="00992EBE"/>
    <w:rsid w:val="009A010E"/>
    <w:rsid w:val="009A3CE3"/>
    <w:rsid w:val="009B3EEC"/>
    <w:rsid w:val="009C02A6"/>
    <w:rsid w:val="009D4AC8"/>
    <w:rsid w:val="009F0890"/>
    <w:rsid w:val="00A161AD"/>
    <w:rsid w:val="00A217C5"/>
    <w:rsid w:val="00A35E2F"/>
    <w:rsid w:val="00A5546D"/>
    <w:rsid w:val="00A57BE1"/>
    <w:rsid w:val="00A807C5"/>
    <w:rsid w:val="00A911D2"/>
    <w:rsid w:val="00A970D8"/>
    <w:rsid w:val="00A97202"/>
    <w:rsid w:val="00AA1519"/>
    <w:rsid w:val="00AA1B38"/>
    <w:rsid w:val="00AB4CF3"/>
    <w:rsid w:val="00AC6779"/>
    <w:rsid w:val="00AF0036"/>
    <w:rsid w:val="00AF0DF8"/>
    <w:rsid w:val="00B0699E"/>
    <w:rsid w:val="00B36440"/>
    <w:rsid w:val="00B45672"/>
    <w:rsid w:val="00B468DA"/>
    <w:rsid w:val="00B87D5E"/>
    <w:rsid w:val="00B96B4B"/>
    <w:rsid w:val="00BE4E62"/>
    <w:rsid w:val="00BF6EAC"/>
    <w:rsid w:val="00C04E0D"/>
    <w:rsid w:val="00C05869"/>
    <w:rsid w:val="00C1317C"/>
    <w:rsid w:val="00C15033"/>
    <w:rsid w:val="00C20ED7"/>
    <w:rsid w:val="00C26B3A"/>
    <w:rsid w:val="00C40264"/>
    <w:rsid w:val="00C508AC"/>
    <w:rsid w:val="00C5706C"/>
    <w:rsid w:val="00C61EB0"/>
    <w:rsid w:val="00C638BC"/>
    <w:rsid w:val="00C91DDA"/>
    <w:rsid w:val="00C94931"/>
    <w:rsid w:val="00C977FF"/>
    <w:rsid w:val="00CB7876"/>
    <w:rsid w:val="00CC2313"/>
    <w:rsid w:val="00CE2C00"/>
    <w:rsid w:val="00D410C2"/>
    <w:rsid w:val="00D466B2"/>
    <w:rsid w:val="00D730A5"/>
    <w:rsid w:val="00D83C00"/>
    <w:rsid w:val="00DA05D6"/>
    <w:rsid w:val="00DA638C"/>
    <w:rsid w:val="00DB17BA"/>
    <w:rsid w:val="00DB2DBF"/>
    <w:rsid w:val="00DB53BC"/>
    <w:rsid w:val="00DC02F7"/>
    <w:rsid w:val="00DC1CD2"/>
    <w:rsid w:val="00DC531F"/>
    <w:rsid w:val="00DF66BF"/>
    <w:rsid w:val="00E02FCC"/>
    <w:rsid w:val="00E152A8"/>
    <w:rsid w:val="00E55B1E"/>
    <w:rsid w:val="00E64081"/>
    <w:rsid w:val="00E71F42"/>
    <w:rsid w:val="00E81572"/>
    <w:rsid w:val="00E912C1"/>
    <w:rsid w:val="00E95054"/>
    <w:rsid w:val="00EA21AB"/>
    <w:rsid w:val="00EF6A5E"/>
    <w:rsid w:val="00F002C7"/>
    <w:rsid w:val="00F00301"/>
    <w:rsid w:val="00F14700"/>
    <w:rsid w:val="00F23D6B"/>
    <w:rsid w:val="00F33D32"/>
    <w:rsid w:val="00F35E10"/>
    <w:rsid w:val="00F40C58"/>
    <w:rsid w:val="00F428D0"/>
    <w:rsid w:val="00F5373A"/>
    <w:rsid w:val="00F80D21"/>
    <w:rsid w:val="00F929DA"/>
    <w:rsid w:val="00F97268"/>
    <w:rsid w:val="00FA135E"/>
    <w:rsid w:val="00FB5344"/>
    <w:rsid w:val="00FB64F2"/>
    <w:rsid w:val="00FB6FEC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D9A29"/>
  <w15:docId w15:val="{2BB68D1B-4D40-4694-96C3-F6B0E730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E99"/>
    <w:pPr>
      <w:keepNext/>
      <w:spacing w:after="0" w:line="240" w:lineRule="auto"/>
      <w:ind w:right="3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F69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61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A161A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A161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61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161A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A161AD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4C5ACF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4C5ACF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C5A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F4D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D4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4D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308D"/>
    <w:rPr>
      <w:strike w:val="0"/>
      <w:dstrike w:val="0"/>
      <w:color w:val="574636"/>
      <w:sz w:val="18"/>
      <w:szCs w:val="18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23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7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5A3EF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naisnod">
    <w:name w:val="naisnod"/>
    <w:basedOn w:val="Normal"/>
    <w:uiPriority w:val="99"/>
    <w:rsid w:val="00C40264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c">
    <w:name w:val="naisc"/>
    <w:basedOn w:val="Normal"/>
    <w:rsid w:val="00C40264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zvabri">
    <w:name w:val="zvabri"/>
    <w:basedOn w:val="Normal"/>
    <w:uiPriority w:val="99"/>
    <w:rsid w:val="00E5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606E99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901F69"/>
    <w:rPr>
      <w:rFonts w:ascii="Times New Roman" w:hAnsi="Times New Roman" w:cs="Times New Roman"/>
      <w:b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468DA"/>
    <w:pPr>
      <w:spacing w:after="0" w:line="240" w:lineRule="auto"/>
      <w:ind w:firstLine="300"/>
      <w:jc w:val="center"/>
    </w:pPr>
    <w:rPr>
      <w:rFonts w:ascii="Times New Roman" w:eastAsia="Times New Roman" w:hAnsi="Times New Roman" w:cs="Times New Roman"/>
      <w:bCs/>
      <w:color w:val="414142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468DA"/>
    <w:rPr>
      <w:rFonts w:ascii="Times New Roman" w:eastAsia="Times New Roman" w:hAnsi="Times New Roman" w:cs="Times New Roman"/>
      <w:bCs/>
      <w:color w:val="414142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F4EC2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F4EC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D1AE-6065-4EFD-813E-450EE3C7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3650</Words>
  <Characters>2081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Izziņa par atzinumos sniegtajiem iebildumiem par Ministru kabineta noteikumu projektu "Grozījumi Ministru kabineta 2010. gada28. septembra noteikumos Nr. 916 "Dokumentu izstrādāšanas un noformēšanas kārtība""</vt:lpstr>
      <vt:lpstr>Izziņa par atzinumos sniegtajiem iebildumiem par Ministru kabineta noteikumu projektu "Grozījumi Ministru kabineta 2010. gada28. septembra noteikumos Nr. 916 "Dokumentu izstrādāšanas un noformēšanas kārtība"" </vt:lpstr>
    </vt:vector>
  </TitlesOfParts>
  <Company>Tieslietu Sektors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 par atzinumos sniegtajiem iebildumiem par Ministru kabineta noteikumu projektu "Grozījumi Ministru kabineta 2010. gada28. septembra noteikumos Nr. 916 "Dokumentu izstrādāšanas un noformēšanas kārtība""</dc:title>
  <dc:subject/>
  <dc:creator>Erika Inkina</dc:creator>
  <cp:keywords/>
  <dc:description/>
  <cp:lastModifiedBy>Annija Roga</cp:lastModifiedBy>
  <cp:revision>6</cp:revision>
  <cp:lastPrinted>2019-11-19T07:51:00Z</cp:lastPrinted>
  <dcterms:created xsi:type="dcterms:W3CDTF">2019-11-05T10:19:00Z</dcterms:created>
  <dcterms:modified xsi:type="dcterms:W3CDTF">2019-11-19T07:52:00Z</dcterms:modified>
</cp:coreProperties>
</file>