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9D42C7" w:rsidRDefault="00D67D43" w:rsidP="00894C55">
      <w:pPr>
        <w:shd w:val="clear" w:color="auto" w:fill="FFFFFF"/>
        <w:spacing w:after="0" w:line="240" w:lineRule="auto"/>
        <w:jc w:val="center"/>
        <w:rPr>
          <w:rFonts w:ascii="Times New Roman" w:eastAsia="Times New Roman" w:hAnsi="Times New Roman" w:cs="Times New Roman"/>
          <w:b/>
          <w:bCs/>
          <w:lang w:eastAsia="lv-LV"/>
        </w:rPr>
      </w:pPr>
      <w:sdt>
        <w:sdtPr>
          <w:rPr>
            <w:rFonts w:ascii="Times New Roman" w:eastAsia="Times New Roman" w:hAnsi="Times New Roman" w:cs="Times New Roman"/>
            <w:b/>
            <w:bCs/>
            <w:lang w:eastAsia="lv-LV"/>
          </w:rPr>
          <w:id w:val="882755678"/>
          <w:placeholder>
            <w:docPart w:val="B2513C7936974E769D1103048039203D"/>
          </w:placeholder>
          <w:showingPlcHdr/>
        </w:sdtPr>
        <w:sdtEndPr/>
        <w:sdtContent>
          <w:r w:rsidR="00E90C01" w:rsidRPr="009D42C7">
            <w:rPr>
              <w:rStyle w:val="PlaceholderText"/>
              <w:rFonts w:ascii="Times New Roman" w:hAnsi="Times New Roman" w:cs="Times New Roman"/>
              <w:b/>
              <w:color w:val="auto"/>
            </w:rPr>
            <w:t>Tiesību akta</w:t>
          </w:r>
        </w:sdtContent>
      </w:sdt>
      <w:r w:rsidR="00894C55" w:rsidRPr="009D42C7">
        <w:rPr>
          <w:rFonts w:ascii="Times New Roman" w:eastAsia="Times New Roman" w:hAnsi="Times New Roman" w:cs="Times New Roman"/>
          <w:b/>
          <w:bCs/>
          <w:lang w:eastAsia="lv-LV"/>
        </w:rPr>
        <w:t xml:space="preserve"> projekta</w:t>
      </w:r>
      <w:r w:rsidR="003B0BF9" w:rsidRPr="009D42C7">
        <w:rPr>
          <w:rFonts w:ascii="Times New Roman" w:eastAsia="Times New Roman" w:hAnsi="Times New Roman" w:cs="Times New Roman"/>
          <w:b/>
          <w:bCs/>
          <w:lang w:eastAsia="lv-LV"/>
        </w:rPr>
        <w:br/>
      </w:r>
      <w:r w:rsidR="00894C55" w:rsidRPr="009D42C7">
        <w:rPr>
          <w:rFonts w:ascii="Times New Roman" w:eastAsia="Times New Roman" w:hAnsi="Times New Roman" w:cs="Times New Roman"/>
          <w:b/>
          <w:bCs/>
          <w:lang w:eastAsia="lv-LV"/>
        </w:rPr>
        <w:t>sākotnējās ietekmes novērtējuma ziņojums (anotācija)</w:t>
      </w:r>
    </w:p>
    <w:p w:rsidR="00E5323B" w:rsidRPr="009D42C7" w:rsidRDefault="00E5323B" w:rsidP="00894C55">
      <w:pPr>
        <w:shd w:val="clear" w:color="auto" w:fill="FFFFFF"/>
        <w:spacing w:after="0" w:line="240" w:lineRule="auto"/>
        <w:jc w:val="center"/>
        <w:rPr>
          <w:rFonts w:ascii="Times New Roman" w:eastAsia="Times New Roman" w:hAnsi="Times New Roman" w:cs="Times New Roman"/>
          <w:b/>
          <w:bCs/>
          <w:lang w:eastAsia="lv-LV"/>
        </w:rPr>
      </w:pPr>
    </w:p>
    <w:tbl>
      <w:tblPr>
        <w:tblStyle w:val="TableGrid"/>
        <w:tblW w:w="5000" w:type="pct"/>
        <w:tblLook w:val="04A0" w:firstRow="1" w:lastRow="0" w:firstColumn="1" w:lastColumn="0" w:noHBand="0" w:noVBand="1"/>
      </w:tblPr>
      <w:tblGrid>
        <w:gridCol w:w="3624"/>
        <w:gridCol w:w="5437"/>
      </w:tblGrid>
      <w:tr w:rsidR="0044609B" w:rsidRPr="009D42C7" w:rsidTr="00456175">
        <w:tc>
          <w:tcPr>
            <w:tcW w:w="0" w:type="auto"/>
            <w:gridSpan w:val="2"/>
            <w:hideMark/>
          </w:tcPr>
          <w:p w:rsidR="00655F2C" w:rsidRPr="009D42C7" w:rsidRDefault="00E5323B" w:rsidP="00E5323B">
            <w:pPr>
              <w:rPr>
                <w:rFonts w:ascii="Times New Roman" w:eastAsia="Times New Roman" w:hAnsi="Times New Roman" w:cs="Times New Roman"/>
                <w:b/>
                <w:bCs/>
                <w:iCs/>
                <w:lang w:val="sv-SE" w:eastAsia="lv-LV"/>
              </w:rPr>
            </w:pPr>
            <w:r w:rsidRPr="009D42C7">
              <w:rPr>
                <w:rFonts w:ascii="Times New Roman" w:eastAsia="Times New Roman" w:hAnsi="Times New Roman" w:cs="Times New Roman"/>
                <w:b/>
                <w:bCs/>
                <w:iCs/>
                <w:lang w:val="sv-SE" w:eastAsia="lv-LV"/>
              </w:rPr>
              <w:t>Tiesību akta projekta anotācijas kopsavilkums</w:t>
            </w:r>
          </w:p>
        </w:tc>
      </w:tr>
      <w:tr w:rsidR="0044609B" w:rsidRPr="009D42C7" w:rsidTr="00456175">
        <w:tc>
          <w:tcPr>
            <w:tcW w:w="1980" w:type="pct"/>
            <w:hideMark/>
          </w:tcPr>
          <w:p w:rsidR="00E5323B" w:rsidRPr="009D42C7" w:rsidRDefault="00E5323B" w:rsidP="00E5323B">
            <w:pPr>
              <w:rPr>
                <w:rFonts w:ascii="Times New Roman" w:eastAsia="Times New Roman" w:hAnsi="Times New Roman" w:cs="Times New Roman"/>
                <w:iCs/>
                <w:lang w:val="sv-SE" w:eastAsia="lv-LV"/>
              </w:rPr>
            </w:pPr>
            <w:r w:rsidRPr="009D42C7">
              <w:rPr>
                <w:rFonts w:ascii="Times New Roman" w:eastAsia="Times New Roman" w:hAnsi="Times New Roman" w:cs="Times New Roman"/>
                <w:iCs/>
                <w:lang w:val="sv-SE" w:eastAsia="lv-LV"/>
              </w:rPr>
              <w:t>Mērķis, risinājums un projekta spēkā stāšanās laiks (500 zīmes bez atstarpēm)</w:t>
            </w:r>
          </w:p>
        </w:tc>
        <w:tc>
          <w:tcPr>
            <w:tcW w:w="2971" w:type="pct"/>
            <w:hideMark/>
          </w:tcPr>
          <w:p w:rsidR="00E5323B" w:rsidRPr="009D42C7" w:rsidRDefault="00795640" w:rsidP="00795640">
            <w:pPr>
              <w:rPr>
                <w:rFonts w:ascii="Times New Roman" w:eastAsia="Times New Roman" w:hAnsi="Times New Roman" w:cs="Times New Roman"/>
                <w:iCs/>
                <w:lang w:val="sv-SE" w:eastAsia="lv-LV"/>
              </w:rPr>
            </w:pPr>
            <w:r w:rsidRPr="009D42C7">
              <w:rPr>
                <w:rFonts w:ascii="Times New Roman" w:eastAsia="Times New Roman" w:hAnsi="Times New Roman" w:cs="Times New Roman"/>
                <w:iCs/>
                <w:lang w:val="sv-SE" w:eastAsia="lv-LV"/>
              </w:rPr>
              <w:t>Likumprojekta ”Grozījumi Militārpersonu izdienas pensiju likumā” mērķis ir noteikt militārpersonu izdienas pensijas apmēru un piešķiršanas nosacījumus militārpersonai, kura atvaļināta no Nacionālo bruņoto spēku komandiera vai Nacionālo bruņoto spēku Apvienotā štāba priekšnieka amata.</w:t>
            </w:r>
          </w:p>
          <w:p w:rsidR="00795640" w:rsidRPr="009D42C7" w:rsidRDefault="00795640" w:rsidP="00795640">
            <w:pPr>
              <w:rPr>
                <w:rFonts w:ascii="Times New Roman" w:eastAsia="Times New Roman" w:hAnsi="Times New Roman" w:cs="Times New Roman"/>
                <w:iCs/>
                <w:lang w:val="sv-SE" w:eastAsia="lv-LV"/>
              </w:rPr>
            </w:pPr>
            <w:r w:rsidRPr="009D42C7">
              <w:rPr>
                <w:rFonts w:ascii="Times New Roman" w:eastAsia="Times New Roman" w:hAnsi="Times New Roman" w:cs="Times New Roman"/>
                <w:iCs/>
                <w:lang w:eastAsia="lv-LV"/>
              </w:rPr>
              <w:t>Likumprojekts stāsies spēkā atbilstoši Oficiālo publikāciju un tiesiskās informācijas likuma 7. pantam.</w:t>
            </w:r>
          </w:p>
        </w:tc>
      </w:tr>
    </w:tbl>
    <w:p w:rsidR="00E5323B" w:rsidRPr="009D42C7" w:rsidRDefault="00E5323B" w:rsidP="00E5323B">
      <w:pPr>
        <w:spacing w:after="0" w:line="240" w:lineRule="auto"/>
        <w:rPr>
          <w:rFonts w:ascii="Times New Roman" w:eastAsia="Times New Roman" w:hAnsi="Times New Roman" w:cs="Times New Roman"/>
          <w:iCs/>
          <w:lang w:val="sv-SE" w:eastAsia="lv-LV"/>
        </w:rPr>
      </w:pPr>
      <w:r w:rsidRPr="009D42C7">
        <w:rPr>
          <w:rFonts w:ascii="Times New Roman" w:eastAsia="Times New Roman" w:hAnsi="Times New Roman" w:cs="Times New Roman"/>
          <w:iCs/>
          <w:lang w:val="sv-SE" w:eastAsia="lv-LV"/>
        </w:rPr>
        <w:t xml:space="preserve">  </w:t>
      </w:r>
    </w:p>
    <w:tbl>
      <w:tblPr>
        <w:tblStyle w:val="TableGrid"/>
        <w:tblW w:w="5000" w:type="pct"/>
        <w:tblLook w:val="04A0" w:firstRow="1" w:lastRow="0" w:firstColumn="1" w:lastColumn="0" w:noHBand="0" w:noVBand="1"/>
      </w:tblPr>
      <w:tblGrid>
        <w:gridCol w:w="543"/>
        <w:gridCol w:w="3081"/>
        <w:gridCol w:w="5437"/>
      </w:tblGrid>
      <w:tr w:rsidR="0044609B" w:rsidRPr="009D42C7" w:rsidTr="00456175">
        <w:tc>
          <w:tcPr>
            <w:tcW w:w="0" w:type="auto"/>
            <w:gridSpan w:val="3"/>
            <w:hideMark/>
          </w:tcPr>
          <w:p w:rsidR="00655F2C" w:rsidRPr="009D42C7" w:rsidRDefault="00E5323B" w:rsidP="00E5323B">
            <w:pPr>
              <w:rPr>
                <w:rFonts w:ascii="Times New Roman" w:eastAsia="Times New Roman" w:hAnsi="Times New Roman" w:cs="Times New Roman"/>
                <w:b/>
                <w:bCs/>
                <w:iCs/>
                <w:lang w:val="sv-SE" w:eastAsia="lv-LV"/>
              </w:rPr>
            </w:pPr>
            <w:r w:rsidRPr="009D42C7">
              <w:rPr>
                <w:rFonts w:ascii="Times New Roman" w:eastAsia="Times New Roman" w:hAnsi="Times New Roman" w:cs="Times New Roman"/>
                <w:b/>
                <w:bCs/>
                <w:iCs/>
                <w:lang w:val="sv-SE" w:eastAsia="lv-LV"/>
              </w:rPr>
              <w:t>I. Tiesību akta projekta izstrādes nepieciešamība</w:t>
            </w:r>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1.</w:t>
            </w:r>
          </w:p>
        </w:tc>
        <w:tc>
          <w:tcPr>
            <w:tcW w:w="1700"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Pamatojums</w:t>
            </w:r>
            <w:proofErr w:type="spellEnd"/>
          </w:p>
        </w:tc>
        <w:tc>
          <w:tcPr>
            <w:tcW w:w="3000" w:type="pct"/>
          </w:tcPr>
          <w:p w:rsidR="00E5323B" w:rsidRPr="009D42C7" w:rsidRDefault="005A7F73"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Nacionālo</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bruņoto</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spēku</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iniciatīva</w:t>
            </w:r>
            <w:proofErr w:type="spellEnd"/>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2.</w:t>
            </w:r>
          </w:p>
        </w:tc>
        <w:tc>
          <w:tcPr>
            <w:tcW w:w="1700"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Pašreizējā</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situācija</w:t>
            </w:r>
            <w:proofErr w:type="spellEnd"/>
            <w:r w:rsidRPr="009D42C7">
              <w:rPr>
                <w:rFonts w:ascii="Times New Roman" w:eastAsia="Times New Roman" w:hAnsi="Times New Roman" w:cs="Times New Roman"/>
                <w:iCs/>
                <w:lang w:val="en-US" w:eastAsia="lv-LV"/>
              </w:rPr>
              <w:t xml:space="preserve"> un </w:t>
            </w:r>
            <w:proofErr w:type="spellStart"/>
            <w:r w:rsidRPr="009D42C7">
              <w:rPr>
                <w:rFonts w:ascii="Times New Roman" w:eastAsia="Times New Roman" w:hAnsi="Times New Roman" w:cs="Times New Roman"/>
                <w:iCs/>
                <w:lang w:val="en-US" w:eastAsia="lv-LV"/>
              </w:rPr>
              <w:t>problēmas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kuru</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risināšanai</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tiesību</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akta</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projekts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izstrādāts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tiesiskā</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regulējuma</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mērķis</w:t>
            </w:r>
            <w:proofErr w:type="spellEnd"/>
            <w:r w:rsidRPr="009D42C7">
              <w:rPr>
                <w:rFonts w:ascii="Times New Roman" w:eastAsia="Times New Roman" w:hAnsi="Times New Roman" w:cs="Times New Roman"/>
                <w:iCs/>
                <w:lang w:val="en-US" w:eastAsia="lv-LV"/>
              </w:rPr>
              <w:t xml:space="preserve"> un </w:t>
            </w:r>
            <w:proofErr w:type="spellStart"/>
            <w:r w:rsidRPr="009D42C7">
              <w:rPr>
                <w:rFonts w:ascii="Times New Roman" w:eastAsia="Times New Roman" w:hAnsi="Times New Roman" w:cs="Times New Roman"/>
                <w:iCs/>
                <w:lang w:val="en-US" w:eastAsia="lv-LV"/>
              </w:rPr>
              <w:t>būtība</w:t>
            </w:r>
            <w:proofErr w:type="spellEnd"/>
          </w:p>
        </w:tc>
        <w:tc>
          <w:tcPr>
            <w:tcW w:w="3000" w:type="pct"/>
            <w:hideMark/>
          </w:tcPr>
          <w:p w:rsidR="00E5323B" w:rsidRPr="009D42C7" w:rsidRDefault="00795640" w:rsidP="0094566D">
            <w:pPr>
              <w:jc w:val="both"/>
              <w:rPr>
                <w:rFonts w:ascii="Times New Roman" w:eastAsia="Times New Roman" w:hAnsi="Times New Roman" w:cs="Times New Roman"/>
                <w:iCs/>
                <w:lang w:eastAsia="lv-LV"/>
              </w:rPr>
            </w:pPr>
            <w:r w:rsidRPr="009D42C7">
              <w:rPr>
                <w:rFonts w:ascii="Times New Roman" w:eastAsia="Times New Roman" w:hAnsi="Times New Roman" w:cs="Times New Roman"/>
                <w:iCs/>
                <w:lang w:eastAsia="lv-LV"/>
              </w:rPr>
              <w:t xml:space="preserve">Militārpersonu izdienas pensiju likums (turpmāk – </w:t>
            </w:r>
            <w:r w:rsidR="0044609B" w:rsidRPr="009D42C7">
              <w:rPr>
                <w:rFonts w:ascii="Times New Roman" w:eastAsia="Times New Roman" w:hAnsi="Times New Roman" w:cs="Times New Roman"/>
                <w:iCs/>
                <w:lang w:eastAsia="lv-LV"/>
              </w:rPr>
              <w:t>MIPL</w:t>
            </w:r>
            <w:r w:rsidRPr="009D42C7">
              <w:rPr>
                <w:rFonts w:ascii="Times New Roman" w:eastAsia="Times New Roman" w:hAnsi="Times New Roman" w:cs="Times New Roman"/>
                <w:iCs/>
                <w:lang w:eastAsia="lv-LV"/>
              </w:rPr>
              <w:t>)</w:t>
            </w:r>
            <w:r w:rsidR="0044609B" w:rsidRPr="009D42C7">
              <w:rPr>
                <w:rFonts w:ascii="Times New Roman" w:eastAsia="Times New Roman" w:hAnsi="Times New Roman" w:cs="Times New Roman"/>
                <w:iCs/>
                <w:lang w:eastAsia="lv-LV"/>
              </w:rPr>
              <w:t xml:space="preserve"> nosaka</w:t>
            </w:r>
            <w:r w:rsidR="00630328" w:rsidRPr="009D42C7">
              <w:rPr>
                <w:rFonts w:ascii="Times New Roman" w:eastAsia="Times New Roman" w:hAnsi="Times New Roman" w:cs="Times New Roman"/>
                <w:iCs/>
                <w:lang w:eastAsia="lv-LV"/>
              </w:rPr>
              <w:t>,</w:t>
            </w:r>
            <w:r w:rsidR="0044609B" w:rsidRPr="009D42C7">
              <w:rPr>
                <w:rFonts w:ascii="Times New Roman" w:eastAsia="Times New Roman" w:hAnsi="Times New Roman" w:cs="Times New Roman"/>
                <w:iCs/>
                <w:lang w:eastAsia="lv-LV"/>
              </w:rPr>
              <w:t xml:space="preserve"> ka </w:t>
            </w:r>
            <w:r w:rsidRPr="009D42C7">
              <w:rPr>
                <w:rFonts w:ascii="Times New Roman" w:eastAsia="Times New Roman" w:hAnsi="Times New Roman" w:cs="Times New Roman"/>
                <w:iCs/>
                <w:lang w:eastAsia="lv-LV"/>
              </w:rPr>
              <w:t>t</w:t>
            </w:r>
            <w:r w:rsidR="0044609B" w:rsidRPr="009D42C7">
              <w:rPr>
                <w:rFonts w:ascii="Times New Roman" w:eastAsia="Times New Roman" w:hAnsi="Times New Roman" w:cs="Times New Roman"/>
                <w:iCs/>
                <w:lang w:eastAsia="lv-LV"/>
              </w:rPr>
              <w:t>iesības uz izdienas pensiju ir militārpersonai, kurai saskaņā ar šā likuma </w:t>
            </w:r>
            <w:hyperlink r:id="rId6" w:anchor="p3" w:tgtFrame="_blank" w:history="1">
              <w:r w:rsidR="0044609B" w:rsidRPr="009D42C7">
                <w:t>3.pantu</w:t>
              </w:r>
            </w:hyperlink>
            <w:r w:rsidR="0044609B" w:rsidRPr="009D42C7">
              <w:rPr>
                <w:rFonts w:ascii="Times New Roman" w:eastAsia="Times New Roman" w:hAnsi="Times New Roman" w:cs="Times New Roman"/>
                <w:iCs/>
                <w:lang w:eastAsia="lv-LV"/>
              </w:rPr>
              <w:t> </w:t>
            </w:r>
            <w:r w:rsidRPr="009D42C7">
              <w:rPr>
                <w:rFonts w:ascii="Times New Roman" w:eastAsia="Times New Roman" w:hAnsi="Times New Roman" w:cs="Times New Roman"/>
                <w:iCs/>
                <w:lang w:eastAsia="lv-LV"/>
              </w:rPr>
              <w:t xml:space="preserve">kopējais </w:t>
            </w:r>
            <w:r w:rsidR="0044609B" w:rsidRPr="009D42C7">
              <w:rPr>
                <w:rFonts w:ascii="Times New Roman" w:eastAsia="Times New Roman" w:hAnsi="Times New Roman" w:cs="Times New Roman"/>
                <w:iCs/>
                <w:lang w:eastAsia="lv-LV"/>
              </w:rPr>
              <w:t>aprēķinātais izdienas stāžs ir  ne mazāks par 20 gadiem, ja militārpersona nodienējusi ne mazāk kā 15 gadus, kā arī pared</w:t>
            </w:r>
            <w:r w:rsidR="009F5AA6" w:rsidRPr="009D42C7">
              <w:rPr>
                <w:rFonts w:ascii="Times New Roman" w:eastAsia="Times New Roman" w:hAnsi="Times New Roman" w:cs="Times New Roman"/>
                <w:iCs/>
                <w:lang w:eastAsia="lv-LV"/>
              </w:rPr>
              <w:t>z atsevišķus izņēmuma gadījumus, kas noteikti l</w:t>
            </w:r>
            <w:r w:rsidRPr="009D42C7">
              <w:rPr>
                <w:rFonts w:ascii="Times New Roman" w:eastAsia="Times New Roman" w:hAnsi="Times New Roman" w:cs="Times New Roman"/>
                <w:iCs/>
                <w:lang w:eastAsia="lv-LV"/>
              </w:rPr>
              <w:t>ikuma otrā panta pirmās daļas 2</w:t>
            </w:r>
            <w:r w:rsidR="009F5AA6" w:rsidRPr="009D42C7">
              <w:rPr>
                <w:rFonts w:ascii="Times New Roman" w:eastAsia="Times New Roman" w:hAnsi="Times New Roman" w:cs="Times New Roman"/>
                <w:iCs/>
                <w:lang w:eastAsia="lv-LV"/>
              </w:rPr>
              <w:t xml:space="preserve">.apakšpunktā. Nacionālo bruņoto spēku komandiera un Apvienotā štāba priekšnieka amati ir karavīra karjerā augstākie sasniedzamie amati. </w:t>
            </w:r>
            <w:r w:rsidR="009E57BF" w:rsidRPr="009D42C7">
              <w:rPr>
                <w:rFonts w:ascii="Times New Roman" w:eastAsia="Times New Roman" w:hAnsi="Times New Roman" w:cs="Times New Roman"/>
                <w:iCs/>
                <w:lang w:eastAsia="lv-LV"/>
              </w:rPr>
              <w:t>To izpildei nepieciešama augsta atbildības sajūta, nevainojama reputācija, kā arī nopietna profesionālā pieredze</w:t>
            </w:r>
            <w:r w:rsidRPr="009D42C7">
              <w:rPr>
                <w:rFonts w:ascii="Times New Roman" w:eastAsia="Times New Roman" w:hAnsi="Times New Roman" w:cs="Times New Roman"/>
                <w:iCs/>
                <w:lang w:eastAsia="lv-LV"/>
              </w:rPr>
              <w:t xml:space="preserve">. Gadījumā, ja militārpersonas kopējais izdienas stāžs nesasniedz MIPL otrajā pantā noteikto izdienas stāža apmēru, tad militārpersonu izdienas pensija netiek piešķirta. </w:t>
            </w:r>
          </w:p>
          <w:p w:rsidR="00795640" w:rsidRPr="009D42C7" w:rsidRDefault="00795640" w:rsidP="0094566D">
            <w:pPr>
              <w:jc w:val="both"/>
              <w:rPr>
                <w:rFonts w:ascii="Times New Roman" w:eastAsia="Times New Roman" w:hAnsi="Times New Roman" w:cs="Times New Roman"/>
                <w:iCs/>
                <w:lang w:eastAsia="lv-LV"/>
              </w:rPr>
            </w:pPr>
            <w:r w:rsidRPr="009D42C7">
              <w:rPr>
                <w:rFonts w:ascii="Times New Roman" w:eastAsia="Times New Roman" w:hAnsi="Times New Roman" w:cs="Times New Roman"/>
                <w:iCs/>
                <w:lang w:eastAsia="lv-LV"/>
              </w:rPr>
              <w:t xml:space="preserve">Likumprojektā ”Grozījumi Militārpersonu izdienas pensiju likumā” tiek noteikts, ka militārpersonai, kura </w:t>
            </w:r>
            <w:r w:rsidR="009E57BF" w:rsidRPr="009D42C7">
              <w:rPr>
                <w:rFonts w:ascii="Times New Roman" w:eastAsia="Times New Roman" w:hAnsi="Times New Roman" w:cs="Times New Roman"/>
                <w:iCs/>
                <w:lang w:eastAsia="lv-LV"/>
              </w:rPr>
              <w:t>bijusi iecelta</w:t>
            </w:r>
            <w:r w:rsidRPr="009D42C7">
              <w:rPr>
                <w:rFonts w:ascii="Times New Roman" w:eastAsia="Times New Roman" w:hAnsi="Times New Roman" w:cs="Times New Roman"/>
                <w:iCs/>
                <w:lang w:eastAsia="lv-LV"/>
              </w:rPr>
              <w:t xml:space="preserve"> Nacionālo bruņoto spēku komandiera vai Nacionālo bruņoto spēku Ap</w:t>
            </w:r>
            <w:r w:rsidR="009E57BF" w:rsidRPr="009D42C7">
              <w:rPr>
                <w:rFonts w:ascii="Times New Roman" w:eastAsia="Times New Roman" w:hAnsi="Times New Roman" w:cs="Times New Roman"/>
                <w:iCs/>
                <w:lang w:eastAsia="lv-LV"/>
              </w:rPr>
              <w:t>vienotā štāba priekšnieka amatā</w:t>
            </w:r>
            <w:r w:rsidRPr="009D42C7">
              <w:rPr>
                <w:rFonts w:ascii="Times New Roman" w:eastAsia="Times New Roman" w:hAnsi="Times New Roman" w:cs="Times New Roman"/>
                <w:iCs/>
                <w:lang w:eastAsia="lv-LV"/>
              </w:rPr>
              <w:t xml:space="preserve"> tiek piešķirta militārpersonu izdienas pensija neatkarīgi no k</w:t>
            </w:r>
            <w:r w:rsidR="00630328" w:rsidRPr="009D42C7">
              <w:rPr>
                <w:rFonts w:ascii="Times New Roman" w:eastAsia="Times New Roman" w:hAnsi="Times New Roman" w:cs="Times New Roman"/>
                <w:iCs/>
                <w:lang w:eastAsia="lv-LV"/>
              </w:rPr>
              <w:t>opējā aprēķinātā izdienas stāža vai</w:t>
            </w:r>
            <w:r w:rsidRPr="009D42C7">
              <w:rPr>
                <w:rFonts w:ascii="Times New Roman" w:eastAsia="Times New Roman" w:hAnsi="Times New Roman" w:cs="Times New Roman"/>
                <w:iCs/>
                <w:lang w:eastAsia="lv-LV"/>
              </w:rPr>
              <w:t xml:space="preserve"> militārpersonas vecuma. Pensija</w:t>
            </w:r>
            <w:r w:rsidR="00850EB1" w:rsidRPr="009D42C7">
              <w:rPr>
                <w:rFonts w:ascii="Times New Roman" w:eastAsia="Times New Roman" w:hAnsi="Times New Roman" w:cs="Times New Roman"/>
                <w:iCs/>
                <w:lang w:eastAsia="lv-LV"/>
              </w:rPr>
              <w:t>s apmērs</w:t>
            </w:r>
            <w:r w:rsidRPr="009D42C7">
              <w:rPr>
                <w:rFonts w:ascii="Times New Roman" w:eastAsia="Times New Roman" w:hAnsi="Times New Roman" w:cs="Times New Roman"/>
                <w:iCs/>
                <w:lang w:eastAsia="lv-LV"/>
              </w:rPr>
              <w:t xml:space="preserve"> tiek aprēķināt</w:t>
            </w:r>
            <w:r w:rsidR="00850EB1" w:rsidRPr="009D42C7">
              <w:rPr>
                <w:rFonts w:ascii="Times New Roman" w:eastAsia="Times New Roman" w:hAnsi="Times New Roman" w:cs="Times New Roman"/>
                <w:iCs/>
                <w:lang w:eastAsia="lv-LV"/>
              </w:rPr>
              <w:t>s</w:t>
            </w:r>
            <w:r w:rsidRPr="009D42C7">
              <w:rPr>
                <w:rFonts w:ascii="Times New Roman" w:eastAsia="Times New Roman" w:hAnsi="Times New Roman" w:cs="Times New Roman"/>
                <w:iCs/>
                <w:lang w:eastAsia="lv-LV"/>
              </w:rPr>
              <w:t xml:space="preserve"> 80% apmēr</w:t>
            </w:r>
            <w:r w:rsidR="00850EB1" w:rsidRPr="009D42C7">
              <w:rPr>
                <w:rFonts w:ascii="Times New Roman" w:eastAsia="Times New Roman" w:hAnsi="Times New Roman" w:cs="Times New Roman"/>
                <w:iCs/>
                <w:lang w:eastAsia="lv-LV"/>
              </w:rPr>
              <w:t>ā no MIPL piektajā pantā noteiktā kārtībā</w:t>
            </w:r>
            <w:r w:rsidR="00630328" w:rsidRPr="009D42C7">
              <w:rPr>
                <w:rFonts w:ascii="Times New Roman" w:eastAsia="Times New Roman" w:hAnsi="Times New Roman" w:cs="Times New Roman"/>
                <w:iCs/>
                <w:lang w:eastAsia="lv-LV"/>
              </w:rPr>
              <w:t xml:space="preserve"> aprēķinātā dienesta atalgojuma, ja amatpersona  amatā nodienējusi ne mazāk kā divus gadus, kas ir puse no Nacionālo bruņoto spēku komandiera un Apvienotā štāba priekšnieka amatā noteiktā pilnvaru laika.</w:t>
            </w:r>
            <w:r w:rsidR="009E57BF" w:rsidRPr="009D42C7">
              <w:rPr>
                <w:rFonts w:ascii="Times New Roman" w:eastAsia="Times New Roman" w:hAnsi="Times New Roman" w:cs="Times New Roman"/>
                <w:iCs/>
                <w:lang w:eastAsia="lv-LV"/>
              </w:rPr>
              <w:t xml:space="preserve"> </w:t>
            </w:r>
          </w:p>
          <w:p w:rsidR="00630328" w:rsidRPr="009D42C7" w:rsidRDefault="00630328" w:rsidP="0094566D">
            <w:pPr>
              <w:pStyle w:val="labojumupamats"/>
              <w:shd w:val="clear" w:color="auto" w:fill="FFFFFF"/>
              <w:spacing w:before="0" w:beforeAutospacing="0" w:after="0" w:afterAutospacing="0"/>
              <w:jc w:val="both"/>
              <w:rPr>
                <w:iCs/>
                <w:sz w:val="22"/>
                <w:szCs w:val="22"/>
              </w:rPr>
            </w:pPr>
            <w:r w:rsidRPr="009D42C7">
              <w:rPr>
                <w:iCs/>
                <w:sz w:val="22"/>
                <w:szCs w:val="22"/>
              </w:rPr>
              <w:t>MPIL 10. pantā noteikti gadījumi, kuros izdienas pensiju izmaksa tiek pārtraukta vai tiek grozīts tās apmērs. Militārā dienesta likuma (turpmāk – MDL) 16. panta otrajā daļā noteikts, ka militārajā dienesta nevar iesaukt un pieņemt Latvijas pilsoni, kurš ir sodīts par tīšu noziedzīgu nodarījumu, par valsts noslēpuma izpaušanu aiz neuzmanības, nonāvēšanu aiz neuzmanības, miesas bojājumu nodarīšanu aiz neuzmanības vai militārā dienesta mantas iznīcināšanu vai bojāšanu aiz neuzmanības, — neatkarīgi no sodāmības dzēšanas vai noņemšanas; 2) kas kriminālprocesā ir atzīts par aizdomās turēto vai apsūdzēto; 3) kas par šīs daļas </w:t>
            </w:r>
            <w:hyperlink r:id="rId7" w:anchor="p1" w:history="1">
              <w:r w:rsidRPr="009D42C7">
                <w:rPr>
                  <w:iCs/>
                  <w:sz w:val="22"/>
                  <w:szCs w:val="22"/>
                </w:rPr>
                <w:t>1.</w:t>
              </w:r>
            </w:hyperlink>
            <w:r w:rsidRPr="009D42C7">
              <w:rPr>
                <w:iCs/>
                <w:sz w:val="22"/>
                <w:szCs w:val="22"/>
              </w:rPr>
              <w:t xml:space="preserve"> punktā minētu noziedzīgu nodarījumu notiesāts, atbrīvojot no soda, vai kriminālprocess pret to izbeigts uz nereabilitējoša pamata; 4) kas ir sodīts par noziedzīga nodarījuma izdarīšanu aiz neuzmanības, </w:t>
            </w:r>
            <w:r w:rsidRPr="009D42C7">
              <w:rPr>
                <w:iCs/>
                <w:sz w:val="22"/>
                <w:szCs w:val="22"/>
              </w:rPr>
              <w:lastRenderedPageBreak/>
              <w:t>izņemot šīs daļas </w:t>
            </w:r>
            <w:hyperlink r:id="rId8" w:anchor="p1" w:history="1">
              <w:r w:rsidRPr="009D42C7">
                <w:rPr>
                  <w:iCs/>
                  <w:sz w:val="22"/>
                  <w:szCs w:val="22"/>
                </w:rPr>
                <w:t>1.</w:t>
              </w:r>
            </w:hyperlink>
            <w:r w:rsidRPr="009D42C7">
              <w:rPr>
                <w:iCs/>
                <w:sz w:val="22"/>
                <w:szCs w:val="22"/>
              </w:rPr>
              <w:t> punktā minētos noziedzīgos nodarījumus, ja sodāmība nav noņemta vai nav dzēsta likumā noteiktajā kārtībā.</w:t>
            </w:r>
            <w:r w:rsidR="000F54B8" w:rsidRPr="009D42C7">
              <w:rPr>
                <w:iCs/>
                <w:sz w:val="22"/>
                <w:szCs w:val="22"/>
              </w:rPr>
              <w:t xml:space="preserve"> </w:t>
            </w:r>
            <w:r w:rsidRPr="009D42C7">
              <w:rPr>
                <w:iCs/>
                <w:sz w:val="22"/>
                <w:szCs w:val="22"/>
              </w:rPr>
              <w:t xml:space="preserve">Savukārt MDL 43.panta otrajā daļā noteikts, ka profesionālā dienesta līgumu pirms termiņa pēc vadības iniciatīvas izbeidz, ja </w:t>
            </w:r>
            <w:r w:rsidR="000F54B8" w:rsidRPr="009D42C7">
              <w:rPr>
                <w:iCs/>
                <w:sz w:val="22"/>
                <w:szCs w:val="22"/>
              </w:rPr>
              <w:t>karavīrs ir sodīts par tīšu noziedzīgu nodarījumu, par valsts noslēpuma izpaušanu aiz neuzmanības, nonāvēšanu aiz neuzmanības, miesas bojājumu nodarīšanu aiz neuzmanības vai militārā dienesta mantas iznīcināšanu vai bojāšanu aiz neuzmanības, — neatkarīgi no sodāmības dzēšanas vai noņemšanas, ja karavīrs par šīs daļas 9. punktā minēto noziedzīgo nodarījumu notiesāts, atbrīvojot no soda, vai kriminālprocess pret to izbeigts uz nereabilitējoša pamata, karavīrs ir sodīts par noziedzīga nodarījuma izdarīšanu aiz neuzmanības, izņemot šīs daļas 9. punktā minēto, ja sodāmība nav noņemta vai nav dzēsta likumā noteiktajā kārtībā. Ņemot vērā šos komplektēšanas un atvaļināšanas noteikumus MIPL 10.pants  papildināts ar sesto daļu, nosakot, ka izdienas pensijas izmaksu pārtrauc, ja karavīrs pēc atvaļināšanas sodīts par tīša noziedzīga nodarījuma izdarīšanu, kas izdarīts militārā dienesta laikā. Pants papildināts ar septīto daļu nosakot tiesai pienākumu desmit dienu laikā no sprieduma spēkā stāšanās paziņot Aizsardzības ministrijai par militārpersonu saukšanu pie kriminālatbildības par tīšu noziedzīgu nodarījumu izdarīšanu militārā dienesta laikā.</w:t>
            </w:r>
            <w:r w:rsidR="006B694D" w:rsidRPr="009D42C7">
              <w:rPr>
                <w:iCs/>
                <w:sz w:val="22"/>
                <w:szCs w:val="22"/>
              </w:rPr>
              <w:t xml:space="preserve"> Pants papildināts arī ar astoto daļu, nosakot, ka gadījumā, ja pret noziedzīgu nodarījumu izdarījušo izdienas pensijas saņēmēju tiek izbeigts kriminālprocess uz nereabilitējoša pamata, tad izmeklētājam vai prokuroram par kriminālprocesa izbeigšanu desmit dienu laikā jāinformē Aizsardzības ministrija.</w:t>
            </w:r>
            <w:r w:rsidR="000F54B8" w:rsidRPr="009D42C7">
              <w:rPr>
                <w:iCs/>
                <w:sz w:val="22"/>
                <w:szCs w:val="22"/>
              </w:rPr>
              <w:t xml:space="preserve"> Papildus tiek paredzēts pienākums Nacionālajiem bruņotajiem spēkiem kontrolēt kriminālprocesu, kuros iesaistītas atvaļinātās militārpersonas, norises gaitu un informēt Aizsardzības ministriju par personām, kurām nepieciešams pārtraukt izdienas pensijas izmaksu sakarā ar notiesājoša tiesas sprieduma spēkā stāšanos</w:t>
            </w:r>
            <w:r w:rsidR="006B694D" w:rsidRPr="009D42C7">
              <w:rPr>
                <w:iCs/>
                <w:sz w:val="22"/>
                <w:szCs w:val="22"/>
              </w:rPr>
              <w:t xml:space="preserve"> vai kriminālprocesa izbeigšanu uz nereabilitējoša pamata</w:t>
            </w:r>
            <w:r w:rsidR="000F54B8" w:rsidRPr="009D42C7">
              <w:rPr>
                <w:iCs/>
                <w:sz w:val="22"/>
                <w:szCs w:val="22"/>
              </w:rPr>
              <w:t>.</w:t>
            </w:r>
          </w:p>
          <w:p w:rsidR="00630328" w:rsidRPr="009D42C7" w:rsidRDefault="000F54B8" w:rsidP="0094566D">
            <w:pPr>
              <w:pStyle w:val="labojumupamats"/>
              <w:shd w:val="clear" w:color="auto" w:fill="FFFFFF"/>
              <w:spacing w:before="0" w:beforeAutospacing="0" w:after="0" w:afterAutospacing="0" w:line="293" w:lineRule="atLeast"/>
              <w:jc w:val="both"/>
              <w:rPr>
                <w:iCs/>
                <w:sz w:val="22"/>
                <w:szCs w:val="22"/>
              </w:rPr>
            </w:pPr>
            <w:r w:rsidRPr="009D42C7">
              <w:rPr>
                <w:iCs/>
                <w:sz w:val="22"/>
                <w:szCs w:val="22"/>
              </w:rPr>
              <w:t>Lai nodrošinātu vienādu attieksmi pret militārpersonām, kuras atvaļin</w:t>
            </w:r>
            <w:r w:rsidR="0094566D" w:rsidRPr="009D42C7">
              <w:rPr>
                <w:iCs/>
                <w:sz w:val="22"/>
                <w:szCs w:val="22"/>
              </w:rPr>
              <w:t>ātas no N</w:t>
            </w:r>
            <w:r w:rsidRPr="009D42C7">
              <w:rPr>
                <w:iCs/>
                <w:sz w:val="22"/>
                <w:szCs w:val="22"/>
              </w:rPr>
              <w:t>acionālo bruņoto spēku komandiera vai Apvienotā štāba priekšnieka amata un kur</w:t>
            </w:r>
            <w:r w:rsidR="0094566D" w:rsidRPr="009D42C7">
              <w:rPr>
                <w:iCs/>
                <w:sz w:val="22"/>
                <w:szCs w:val="22"/>
              </w:rPr>
              <w:t>a</w:t>
            </w:r>
            <w:r w:rsidRPr="009D42C7">
              <w:rPr>
                <w:iCs/>
                <w:sz w:val="22"/>
                <w:szCs w:val="22"/>
              </w:rPr>
              <w:t xml:space="preserve">s jau saņem izdienas pensiju, MPIL Pārejas noteikumi papildināti ar 32.punktu, kurā noteikts, ka </w:t>
            </w:r>
            <w:r w:rsidR="006B694D" w:rsidRPr="009D42C7">
              <w:rPr>
                <w:iCs/>
                <w:sz w:val="22"/>
                <w:szCs w:val="22"/>
              </w:rPr>
              <w:t>no 2020.gada 1.septembra</w:t>
            </w:r>
            <w:r w:rsidRPr="009D42C7">
              <w:rPr>
                <w:iCs/>
                <w:sz w:val="22"/>
                <w:szCs w:val="22"/>
              </w:rPr>
              <w:t xml:space="preserve"> tiek veikts izdienas pārrēķins </w:t>
            </w:r>
            <w:r w:rsidR="0094566D" w:rsidRPr="009D42C7">
              <w:rPr>
                <w:iCs/>
                <w:sz w:val="22"/>
                <w:szCs w:val="22"/>
              </w:rPr>
              <w:t>visām attiecīgos amatus pildījušām amatpersonām un noteikts izdienas pensijas apmērs 80% apmērā.</w:t>
            </w:r>
          </w:p>
          <w:p w:rsidR="00630328" w:rsidRPr="009D42C7" w:rsidRDefault="00630328" w:rsidP="0094566D">
            <w:pPr>
              <w:jc w:val="both"/>
              <w:rPr>
                <w:rFonts w:ascii="Times New Roman" w:eastAsia="Times New Roman" w:hAnsi="Times New Roman" w:cs="Times New Roman"/>
                <w:iCs/>
                <w:lang w:eastAsia="lv-LV"/>
              </w:rPr>
            </w:pPr>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eastAsia="lv-LV"/>
              </w:rPr>
            </w:pPr>
            <w:r w:rsidRPr="009D42C7">
              <w:rPr>
                <w:rFonts w:ascii="Times New Roman" w:eastAsia="Times New Roman" w:hAnsi="Times New Roman" w:cs="Times New Roman"/>
                <w:iCs/>
                <w:lang w:eastAsia="lv-LV"/>
              </w:rPr>
              <w:lastRenderedPageBreak/>
              <w:t>3.</w:t>
            </w:r>
          </w:p>
        </w:tc>
        <w:tc>
          <w:tcPr>
            <w:tcW w:w="1700" w:type="pct"/>
            <w:hideMark/>
          </w:tcPr>
          <w:p w:rsidR="00E5323B" w:rsidRPr="009D42C7" w:rsidRDefault="00E5323B" w:rsidP="00E5323B">
            <w:pPr>
              <w:rPr>
                <w:rFonts w:ascii="Times New Roman" w:eastAsia="Times New Roman" w:hAnsi="Times New Roman" w:cs="Times New Roman"/>
                <w:iCs/>
                <w:lang w:eastAsia="lv-LV"/>
              </w:rPr>
            </w:pPr>
            <w:r w:rsidRPr="009D42C7">
              <w:rPr>
                <w:rFonts w:ascii="Times New Roman" w:eastAsia="Times New Roman" w:hAnsi="Times New Roman" w:cs="Times New Roman"/>
                <w:iCs/>
                <w:lang w:eastAsia="lv-LV"/>
              </w:rPr>
              <w:t>Projekta izstrādē iesaistītās institūcijas un publiskas personas kapitālsabiedrības</w:t>
            </w:r>
          </w:p>
        </w:tc>
        <w:tc>
          <w:tcPr>
            <w:tcW w:w="3000" w:type="pct"/>
            <w:hideMark/>
          </w:tcPr>
          <w:p w:rsidR="00E5323B" w:rsidRPr="009D42C7" w:rsidRDefault="00B97A48" w:rsidP="00E5323B">
            <w:pPr>
              <w:rPr>
                <w:rFonts w:ascii="Times New Roman" w:eastAsia="Times New Roman" w:hAnsi="Times New Roman" w:cs="Times New Roman"/>
                <w:iCs/>
                <w:lang w:eastAsia="lv-LV"/>
              </w:rPr>
            </w:pPr>
            <w:r w:rsidRPr="009D42C7">
              <w:rPr>
                <w:rFonts w:ascii="Times New Roman" w:eastAsia="Times New Roman" w:hAnsi="Times New Roman" w:cs="Times New Roman"/>
                <w:iCs/>
                <w:lang w:eastAsia="lv-LV"/>
              </w:rPr>
              <w:t>Nacionālie bruņotie spēki</w:t>
            </w:r>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eastAsia="lv-LV"/>
              </w:rPr>
            </w:pPr>
            <w:r w:rsidRPr="009D42C7">
              <w:rPr>
                <w:rFonts w:ascii="Times New Roman" w:eastAsia="Times New Roman" w:hAnsi="Times New Roman" w:cs="Times New Roman"/>
                <w:iCs/>
                <w:lang w:eastAsia="lv-LV"/>
              </w:rPr>
              <w:t>4.</w:t>
            </w:r>
          </w:p>
        </w:tc>
        <w:tc>
          <w:tcPr>
            <w:tcW w:w="1700" w:type="pct"/>
            <w:hideMark/>
          </w:tcPr>
          <w:p w:rsidR="00E5323B"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eastAsia="lv-LV"/>
              </w:rPr>
              <w:t xml:space="preserve">Cita </w:t>
            </w:r>
            <w:proofErr w:type="spellStart"/>
            <w:r w:rsidRPr="009D42C7">
              <w:rPr>
                <w:rFonts w:ascii="Times New Roman" w:eastAsia="Times New Roman" w:hAnsi="Times New Roman" w:cs="Times New Roman"/>
                <w:iCs/>
                <w:lang w:eastAsia="lv-LV"/>
              </w:rPr>
              <w:t>info</w:t>
            </w:r>
            <w:r w:rsidRPr="009D42C7">
              <w:rPr>
                <w:rFonts w:ascii="Times New Roman" w:eastAsia="Times New Roman" w:hAnsi="Times New Roman" w:cs="Times New Roman"/>
                <w:iCs/>
                <w:lang w:val="en-US" w:eastAsia="lv-LV"/>
              </w:rPr>
              <w:t>rmācija</w:t>
            </w:r>
            <w:proofErr w:type="spellEnd"/>
          </w:p>
        </w:tc>
        <w:tc>
          <w:tcPr>
            <w:tcW w:w="3000" w:type="pct"/>
            <w:hideMark/>
          </w:tcPr>
          <w:p w:rsidR="00E5323B" w:rsidRPr="009D42C7" w:rsidRDefault="00B97A48"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Nav</w:t>
            </w:r>
            <w:proofErr w:type="spellEnd"/>
          </w:p>
        </w:tc>
      </w:tr>
    </w:tbl>
    <w:p w:rsidR="00E5323B" w:rsidRPr="009D42C7" w:rsidRDefault="00E5323B" w:rsidP="00E5323B">
      <w:pPr>
        <w:spacing w:after="0" w:line="240" w:lineRule="auto"/>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 xml:space="preserve">  </w:t>
      </w:r>
    </w:p>
    <w:tbl>
      <w:tblPr>
        <w:tblStyle w:val="TableGrid"/>
        <w:tblW w:w="5000" w:type="pct"/>
        <w:tblLook w:val="04A0" w:firstRow="1" w:lastRow="0" w:firstColumn="1" w:lastColumn="0" w:noHBand="0" w:noVBand="1"/>
      </w:tblPr>
      <w:tblGrid>
        <w:gridCol w:w="543"/>
        <w:gridCol w:w="3081"/>
        <w:gridCol w:w="5437"/>
      </w:tblGrid>
      <w:tr w:rsidR="0044609B" w:rsidRPr="009D42C7" w:rsidTr="00456175">
        <w:tc>
          <w:tcPr>
            <w:tcW w:w="0" w:type="auto"/>
            <w:gridSpan w:val="3"/>
            <w:hideMark/>
          </w:tcPr>
          <w:p w:rsidR="00655F2C" w:rsidRPr="009D42C7" w:rsidRDefault="00E5323B" w:rsidP="00E5323B">
            <w:pPr>
              <w:rPr>
                <w:rFonts w:ascii="Times New Roman" w:eastAsia="Times New Roman" w:hAnsi="Times New Roman" w:cs="Times New Roman"/>
                <w:b/>
                <w:bCs/>
                <w:iCs/>
                <w:lang w:val="en-US" w:eastAsia="lv-LV"/>
              </w:rPr>
            </w:pPr>
            <w:r w:rsidRPr="009D42C7">
              <w:rPr>
                <w:rFonts w:ascii="Times New Roman" w:eastAsia="Times New Roman" w:hAnsi="Times New Roman" w:cs="Times New Roman"/>
                <w:b/>
                <w:bCs/>
                <w:iCs/>
                <w:lang w:val="en-US" w:eastAsia="lv-LV"/>
              </w:rPr>
              <w:t xml:space="preserve">II. </w:t>
            </w:r>
            <w:proofErr w:type="spellStart"/>
            <w:r w:rsidRPr="009D42C7">
              <w:rPr>
                <w:rFonts w:ascii="Times New Roman" w:eastAsia="Times New Roman" w:hAnsi="Times New Roman" w:cs="Times New Roman"/>
                <w:b/>
                <w:bCs/>
                <w:iCs/>
                <w:lang w:val="en-US" w:eastAsia="lv-LV"/>
              </w:rPr>
              <w:t>Tiesību</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akta</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projekta</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ietekme</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uz</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sabiedrību</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tautsaimniecības</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attīstību</w:t>
            </w:r>
            <w:proofErr w:type="spellEnd"/>
            <w:r w:rsidRPr="009D42C7">
              <w:rPr>
                <w:rFonts w:ascii="Times New Roman" w:eastAsia="Times New Roman" w:hAnsi="Times New Roman" w:cs="Times New Roman"/>
                <w:b/>
                <w:bCs/>
                <w:iCs/>
                <w:lang w:val="en-US" w:eastAsia="lv-LV"/>
              </w:rPr>
              <w:t xml:space="preserve"> un </w:t>
            </w:r>
            <w:proofErr w:type="spellStart"/>
            <w:r w:rsidRPr="009D42C7">
              <w:rPr>
                <w:rFonts w:ascii="Times New Roman" w:eastAsia="Times New Roman" w:hAnsi="Times New Roman" w:cs="Times New Roman"/>
                <w:b/>
                <w:bCs/>
                <w:iCs/>
                <w:lang w:val="en-US" w:eastAsia="lv-LV"/>
              </w:rPr>
              <w:t>administratīvo</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slogu</w:t>
            </w:r>
            <w:proofErr w:type="spellEnd"/>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lastRenderedPageBreak/>
              <w:t>1.</w:t>
            </w:r>
          </w:p>
        </w:tc>
        <w:tc>
          <w:tcPr>
            <w:tcW w:w="1700"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Sabiedrības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mērķgrupas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kuras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tiesiskais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regulējums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ietekmē</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vai</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varētu</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ietekmēt</w:t>
            </w:r>
            <w:proofErr w:type="spellEnd"/>
          </w:p>
        </w:tc>
        <w:tc>
          <w:tcPr>
            <w:tcW w:w="3000" w:type="pct"/>
          </w:tcPr>
          <w:p w:rsidR="00E5323B" w:rsidRPr="009D42C7" w:rsidRDefault="00E5323B" w:rsidP="00E5323B">
            <w:pPr>
              <w:rPr>
                <w:rFonts w:ascii="Times New Roman" w:eastAsia="Times New Roman" w:hAnsi="Times New Roman" w:cs="Times New Roman"/>
                <w:iCs/>
                <w:lang w:val="en-US" w:eastAsia="lv-LV"/>
              </w:rPr>
            </w:pPr>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2.</w:t>
            </w:r>
          </w:p>
        </w:tc>
        <w:tc>
          <w:tcPr>
            <w:tcW w:w="1700"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Tiesiskā</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regulējuma</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ietekme</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uz</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tautsaimniecību</w:t>
            </w:r>
            <w:proofErr w:type="spellEnd"/>
            <w:r w:rsidRPr="009D42C7">
              <w:rPr>
                <w:rFonts w:ascii="Times New Roman" w:eastAsia="Times New Roman" w:hAnsi="Times New Roman" w:cs="Times New Roman"/>
                <w:iCs/>
                <w:lang w:val="en-US" w:eastAsia="lv-LV"/>
              </w:rPr>
              <w:t xml:space="preserve"> un </w:t>
            </w:r>
            <w:proofErr w:type="spellStart"/>
            <w:r w:rsidRPr="009D42C7">
              <w:rPr>
                <w:rFonts w:ascii="Times New Roman" w:eastAsia="Times New Roman" w:hAnsi="Times New Roman" w:cs="Times New Roman"/>
                <w:iCs/>
                <w:lang w:val="en-US" w:eastAsia="lv-LV"/>
              </w:rPr>
              <w:t>administratīvo</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slogu</w:t>
            </w:r>
            <w:proofErr w:type="spellEnd"/>
          </w:p>
        </w:tc>
        <w:tc>
          <w:tcPr>
            <w:tcW w:w="3000" w:type="pct"/>
            <w:hideMark/>
          </w:tcPr>
          <w:p w:rsidR="00E5323B" w:rsidRPr="009D42C7" w:rsidRDefault="00B97A48"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eastAsia="lv-LV"/>
              </w:rPr>
              <w:t>Likumprojekts šo jomu neskar.</w:t>
            </w:r>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3.</w:t>
            </w:r>
          </w:p>
        </w:tc>
        <w:tc>
          <w:tcPr>
            <w:tcW w:w="1700"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Administratīvo</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izmaksu</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monetārs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novērtējums</w:t>
            </w:r>
            <w:proofErr w:type="spellEnd"/>
          </w:p>
        </w:tc>
        <w:tc>
          <w:tcPr>
            <w:tcW w:w="3000" w:type="pct"/>
            <w:hideMark/>
          </w:tcPr>
          <w:p w:rsidR="00E5323B" w:rsidRPr="009D42C7" w:rsidRDefault="0044609B" w:rsidP="00E5323B">
            <w:pPr>
              <w:rPr>
                <w:rFonts w:ascii="Times New Roman" w:eastAsia="Times New Roman" w:hAnsi="Times New Roman" w:cs="Times New Roman"/>
                <w:iCs/>
                <w:lang w:val="sv-SE" w:eastAsia="lv-LV"/>
              </w:rPr>
            </w:pPr>
            <w:r w:rsidRPr="009D42C7">
              <w:rPr>
                <w:rFonts w:ascii="Times New Roman" w:eastAsia="Times New Roman" w:hAnsi="Times New Roman" w:cs="Times New Roman"/>
                <w:iCs/>
                <w:lang w:val="sv-SE" w:eastAsia="lv-LV"/>
              </w:rPr>
              <w:t>Nav</w:t>
            </w:r>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4.</w:t>
            </w:r>
          </w:p>
        </w:tc>
        <w:tc>
          <w:tcPr>
            <w:tcW w:w="1700"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Atbilstības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izmaksu</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monetārs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novērtējums</w:t>
            </w:r>
            <w:proofErr w:type="spellEnd"/>
          </w:p>
        </w:tc>
        <w:tc>
          <w:tcPr>
            <w:tcW w:w="3000" w:type="pct"/>
            <w:hideMark/>
          </w:tcPr>
          <w:p w:rsidR="00E5323B" w:rsidRPr="009D42C7" w:rsidRDefault="0044609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Nav</w:t>
            </w:r>
            <w:proofErr w:type="spellEnd"/>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5.</w:t>
            </w:r>
          </w:p>
        </w:tc>
        <w:tc>
          <w:tcPr>
            <w:tcW w:w="1700"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Cita</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informācija</w:t>
            </w:r>
            <w:proofErr w:type="spellEnd"/>
          </w:p>
        </w:tc>
        <w:tc>
          <w:tcPr>
            <w:tcW w:w="3000" w:type="pct"/>
            <w:hideMark/>
          </w:tcPr>
          <w:p w:rsidR="00E5323B" w:rsidRPr="009D42C7" w:rsidRDefault="0044609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Nav</w:t>
            </w:r>
            <w:proofErr w:type="spellEnd"/>
          </w:p>
        </w:tc>
      </w:tr>
    </w:tbl>
    <w:p w:rsidR="00E5323B" w:rsidRPr="009D42C7" w:rsidRDefault="00E5323B" w:rsidP="00E5323B">
      <w:pPr>
        <w:spacing w:after="0" w:line="240" w:lineRule="auto"/>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 xml:space="preserve">  </w:t>
      </w:r>
    </w:p>
    <w:tbl>
      <w:tblPr>
        <w:tblStyle w:val="TableGrid"/>
        <w:tblW w:w="5000" w:type="pct"/>
        <w:tblLook w:val="04A0" w:firstRow="1" w:lastRow="0" w:firstColumn="1" w:lastColumn="0" w:noHBand="0" w:noVBand="1"/>
      </w:tblPr>
      <w:tblGrid>
        <w:gridCol w:w="9061"/>
      </w:tblGrid>
      <w:tr w:rsidR="0044609B" w:rsidRPr="009D42C7" w:rsidTr="00456175">
        <w:tc>
          <w:tcPr>
            <w:tcW w:w="0" w:type="auto"/>
            <w:hideMark/>
          </w:tcPr>
          <w:p w:rsidR="00655F2C" w:rsidRPr="009D42C7" w:rsidRDefault="00E5323B" w:rsidP="00E5323B">
            <w:pPr>
              <w:rPr>
                <w:rFonts w:ascii="Times New Roman" w:eastAsia="Times New Roman" w:hAnsi="Times New Roman" w:cs="Times New Roman"/>
                <w:b/>
                <w:bCs/>
                <w:iCs/>
                <w:lang w:val="en-US" w:eastAsia="lv-LV"/>
              </w:rPr>
            </w:pPr>
            <w:r w:rsidRPr="009D42C7">
              <w:rPr>
                <w:rFonts w:ascii="Times New Roman" w:eastAsia="Times New Roman" w:hAnsi="Times New Roman" w:cs="Times New Roman"/>
                <w:b/>
                <w:bCs/>
                <w:iCs/>
                <w:lang w:val="en-US" w:eastAsia="lv-LV"/>
              </w:rPr>
              <w:t xml:space="preserve">III. </w:t>
            </w:r>
            <w:proofErr w:type="spellStart"/>
            <w:r w:rsidRPr="009D42C7">
              <w:rPr>
                <w:rFonts w:ascii="Times New Roman" w:eastAsia="Times New Roman" w:hAnsi="Times New Roman" w:cs="Times New Roman"/>
                <w:b/>
                <w:bCs/>
                <w:iCs/>
                <w:lang w:val="en-US" w:eastAsia="lv-LV"/>
              </w:rPr>
              <w:t>Tiesību</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akta</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projekta</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ietekme</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uz</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valsts</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budžetu</w:t>
            </w:r>
            <w:proofErr w:type="spellEnd"/>
            <w:r w:rsidRPr="009D42C7">
              <w:rPr>
                <w:rFonts w:ascii="Times New Roman" w:eastAsia="Times New Roman" w:hAnsi="Times New Roman" w:cs="Times New Roman"/>
                <w:b/>
                <w:bCs/>
                <w:iCs/>
                <w:lang w:val="en-US" w:eastAsia="lv-LV"/>
              </w:rPr>
              <w:t xml:space="preserve"> un </w:t>
            </w:r>
            <w:proofErr w:type="spellStart"/>
            <w:r w:rsidRPr="009D42C7">
              <w:rPr>
                <w:rFonts w:ascii="Times New Roman" w:eastAsia="Times New Roman" w:hAnsi="Times New Roman" w:cs="Times New Roman"/>
                <w:b/>
                <w:bCs/>
                <w:iCs/>
                <w:lang w:val="en-US" w:eastAsia="lv-LV"/>
              </w:rPr>
              <w:t>pašvaldību</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budžetiem</w:t>
            </w:r>
            <w:proofErr w:type="spellEnd"/>
          </w:p>
        </w:tc>
      </w:tr>
      <w:tr w:rsidR="00996EEB" w:rsidRPr="009D42C7" w:rsidTr="00996EEB">
        <w:tc>
          <w:tcPr>
            <w:tcW w:w="5000" w:type="pct"/>
            <w:hideMark/>
          </w:tcPr>
          <w:p w:rsidR="00996EEB" w:rsidRPr="009D42C7" w:rsidRDefault="00996EEB" w:rsidP="00E5323B">
            <w:pPr>
              <w:rPr>
                <w:rFonts w:ascii="Times New Roman" w:eastAsia="Times New Roman" w:hAnsi="Times New Roman" w:cs="Times New Roman"/>
                <w:iCs/>
                <w:lang w:val="en-US" w:eastAsia="lv-LV"/>
              </w:rPr>
            </w:pPr>
            <w:proofErr w:type="spellStart"/>
            <w:r>
              <w:rPr>
                <w:rFonts w:ascii="Times New Roman" w:eastAsia="Times New Roman" w:hAnsi="Times New Roman" w:cs="Times New Roman"/>
                <w:iCs/>
                <w:lang w:val="en-US" w:eastAsia="lv-LV"/>
              </w:rPr>
              <w:t>Projekts</w:t>
            </w:r>
            <w:proofErr w:type="spellEnd"/>
            <w:r>
              <w:rPr>
                <w:rFonts w:ascii="Times New Roman" w:eastAsia="Times New Roman" w:hAnsi="Times New Roman" w:cs="Times New Roman"/>
                <w:iCs/>
                <w:lang w:val="en-US" w:eastAsia="lv-LV"/>
              </w:rPr>
              <w:t xml:space="preserve"> </w:t>
            </w:r>
            <w:proofErr w:type="spellStart"/>
            <w:r>
              <w:rPr>
                <w:rFonts w:ascii="Times New Roman" w:eastAsia="Times New Roman" w:hAnsi="Times New Roman" w:cs="Times New Roman"/>
                <w:iCs/>
                <w:lang w:val="en-US" w:eastAsia="lv-LV"/>
              </w:rPr>
              <w:t>šo</w:t>
            </w:r>
            <w:proofErr w:type="spellEnd"/>
            <w:r>
              <w:rPr>
                <w:rFonts w:ascii="Times New Roman" w:eastAsia="Times New Roman" w:hAnsi="Times New Roman" w:cs="Times New Roman"/>
                <w:iCs/>
                <w:lang w:val="en-US" w:eastAsia="lv-LV"/>
              </w:rPr>
              <w:t xml:space="preserve"> </w:t>
            </w:r>
            <w:proofErr w:type="spellStart"/>
            <w:r>
              <w:rPr>
                <w:rFonts w:ascii="Times New Roman" w:eastAsia="Times New Roman" w:hAnsi="Times New Roman" w:cs="Times New Roman"/>
                <w:iCs/>
                <w:lang w:val="en-US" w:eastAsia="lv-LV"/>
              </w:rPr>
              <w:t>jomu</w:t>
            </w:r>
            <w:proofErr w:type="spellEnd"/>
            <w:r>
              <w:rPr>
                <w:rFonts w:ascii="Times New Roman" w:eastAsia="Times New Roman" w:hAnsi="Times New Roman" w:cs="Times New Roman"/>
                <w:iCs/>
                <w:lang w:val="en-US" w:eastAsia="lv-LV"/>
              </w:rPr>
              <w:t xml:space="preserve"> </w:t>
            </w:r>
            <w:proofErr w:type="spellStart"/>
            <w:r>
              <w:rPr>
                <w:rFonts w:ascii="Times New Roman" w:eastAsia="Times New Roman" w:hAnsi="Times New Roman" w:cs="Times New Roman"/>
                <w:iCs/>
                <w:lang w:val="en-US" w:eastAsia="lv-LV"/>
              </w:rPr>
              <w:t>neskar</w:t>
            </w:r>
            <w:proofErr w:type="spellEnd"/>
          </w:p>
        </w:tc>
      </w:tr>
    </w:tbl>
    <w:p w:rsidR="00E5323B" w:rsidRPr="009D42C7" w:rsidRDefault="00E5323B" w:rsidP="00E5323B">
      <w:pPr>
        <w:spacing w:after="0" w:line="240" w:lineRule="auto"/>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 xml:space="preserve">  </w:t>
      </w:r>
    </w:p>
    <w:tbl>
      <w:tblPr>
        <w:tblStyle w:val="TableGrid"/>
        <w:tblW w:w="5000" w:type="pct"/>
        <w:tblLook w:val="04A0" w:firstRow="1" w:lastRow="0" w:firstColumn="1" w:lastColumn="0" w:noHBand="0" w:noVBand="1"/>
      </w:tblPr>
      <w:tblGrid>
        <w:gridCol w:w="543"/>
        <w:gridCol w:w="3081"/>
        <w:gridCol w:w="5437"/>
      </w:tblGrid>
      <w:tr w:rsidR="0044609B" w:rsidRPr="009D42C7" w:rsidTr="00456175">
        <w:tc>
          <w:tcPr>
            <w:tcW w:w="0" w:type="auto"/>
            <w:gridSpan w:val="3"/>
            <w:hideMark/>
          </w:tcPr>
          <w:p w:rsidR="00655F2C" w:rsidRPr="009D42C7" w:rsidRDefault="00E5323B" w:rsidP="00E5323B">
            <w:pPr>
              <w:rPr>
                <w:rFonts w:ascii="Times New Roman" w:eastAsia="Times New Roman" w:hAnsi="Times New Roman" w:cs="Times New Roman"/>
                <w:b/>
                <w:bCs/>
                <w:iCs/>
                <w:lang w:val="en-US" w:eastAsia="lv-LV"/>
              </w:rPr>
            </w:pPr>
            <w:r w:rsidRPr="009D42C7">
              <w:rPr>
                <w:rFonts w:ascii="Times New Roman" w:eastAsia="Times New Roman" w:hAnsi="Times New Roman" w:cs="Times New Roman"/>
                <w:b/>
                <w:bCs/>
                <w:iCs/>
                <w:lang w:val="en-US" w:eastAsia="lv-LV"/>
              </w:rPr>
              <w:t xml:space="preserve">IV. </w:t>
            </w:r>
            <w:proofErr w:type="spellStart"/>
            <w:r w:rsidRPr="009D42C7">
              <w:rPr>
                <w:rFonts w:ascii="Times New Roman" w:eastAsia="Times New Roman" w:hAnsi="Times New Roman" w:cs="Times New Roman"/>
                <w:b/>
                <w:bCs/>
                <w:iCs/>
                <w:lang w:val="en-US" w:eastAsia="lv-LV"/>
              </w:rPr>
              <w:t>Tiesību</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akta</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projekta</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ietekme</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uz</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spēkā</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esošo</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tiesību</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normu</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sistēmu</w:t>
            </w:r>
            <w:proofErr w:type="spellEnd"/>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1.</w:t>
            </w:r>
          </w:p>
        </w:tc>
        <w:tc>
          <w:tcPr>
            <w:tcW w:w="1700"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Saistītie</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tiesību</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aktu</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projekti</w:t>
            </w:r>
            <w:proofErr w:type="spellEnd"/>
          </w:p>
        </w:tc>
        <w:tc>
          <w:tcPr>
            <w:tcW w:w="3000" w:type="pct"/>
            <w:hideMark/>
          </w:tcPr>
          <w:p w:rsidR="00E5323B" w:rsidRPr="009D42C7" w:rsidRDefault="005A7F73"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Projekts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šo</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jomu</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neskar</w:t>
            </w:r>
            <w:proofErr w:type="spellEnd"/>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2.</w:t>
            </w:r>
          </w:p>
        </w:tc>
        <w:tc>
          <w:tcPr>
            <w:tcW w:w="1700"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Atbildīgā</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institūcija</w:t>
            </w:r>
            <w:proofErr w:type="spellEnd"/>
          </w:p>
        </w:tc>
        <w:tc>
          <w:tcPr>
            <w:tcW w:w="3000" w:type="pct"/>
            <w:hideMark/>
          </w:tcPr>
          <w:p w:rsidR="00E5323B" w:rsidRPr="009D42C7" w:rsidRDefault="005A7F73"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Projekts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šo</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jomu</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neskar</w:t>
            </w:r>
            <w:proofErr w:type="spellEnd"/>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3.</w:t>
            </w:r>
          </w:p>
        </w:tc>
        <w:tc>
          <w:tcPr>
            <w:tcW w:w="1700"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Cita</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informācija</w:t>
            </w:r>
            <w:proofErr w:type="spellEnd"/>
          </w:p>
        </w:tc>
        <w:tc>
          <w:tcPr>
            <w:tcW w:w="3000" w:type="pct"/>
            <w:hideMark/>
          </w:tcPr>
          <w:p w:rsidR="00E5323B" w:rsidRPr="009D42C7" w:rsidRDefault="005A7F73"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Nav</w:t>
            </w:r>
            <w:proofErr w:type="spellEnd"/>
          </w:p>
        </w:tc>
      </w:tr>
    </w:tbl>
    <w:p w:rsidR="00E5323B" w:rsidRPr="009D42C7" w:rsidRDefault="00E5323B" w:rsidP="00E5323B">
      <w:pPr>
        <w:spacing w:after="0" w:line="240" w:lineRule="auto"/>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 xml:space="preserve">  </w:t>
      </w:r>
    </w:p>
    <w:tbl>
      <w:tblPr>
        <w:tblStyle w:val="TableGrid"/>
        <w:tblW w:w="5000" w:type="pct"/>
        <w:tblLook w:val="04A0" w:firstRow="1" w:lastRow="0" w:firstColumn="1" w:lastColumn="0" w:noHBand="0" w:noVBand="1"/>
      </w:tblPr>
      <w:tblGrid>
        <w:gridCol w:w="543"/>
        <w:gridCol w:w="3081"/>
        <w:gridCol w:w="5437"/>
      </w:tblGrid>
      <w:tr w:rsidR="0044609B" w:rsidRPr="009D42C7" w:rsidTr="00456175">
        <w:tc>
          <w:tcPr>
            <w:tcW w:w="0" w:type="auto"/>
            <w:gridSpan w:val="3"/>
            <w:hideMark/>
          </w:tcPr>
          <w:p w:rsidR="00655F2C" w:rsidRPr="009D42C7" w:rsidRDefault="00E5323B" w:rsidP="00E5323B">
            <w:pPr>
              <w:rPr>
                <w:rFonts w:ascii="Times New Roman" w:eastAsia="Times New Roman" w:hAnsi="Times New Roman" w:cs="Times New Roman"/>
                <w:b/>
                <w:bCs/>
                <w:iCs/>
                <w:lang w:val="en-US" w:eastAsia="lv-LV"/>
              </w:rPr>
            </w:pPr>
            <w:r w:rsidRPr="009D42C7">
              <w:rPr>
                <w:rFonts w:ascii="Times New Roman" w:eastAsia="Times New Roman" w:hAnsi="Times New Roman" w:cs="Times New Roman"/>
                <w:b/>
                <w:bCs/>
                <w:iCs/>
                <w:lang w:val="en-US" w:eastAsia="lv-LV"/>
              </w:rPr>
              <w:t xml:space="preserve">V. </w:t>
            </w:r>
            <w:proofErr w:type="spellStart"/>
            <w:r w:rsidRPr="009D42C7">
              <w:rPr>
                <w:rFonts w:ascii="Times New Roman" w:eastAsia="Times New Roman" w:hAnsi="Times New Roman" w:cs="Times New Roman"/>
                <w:b/>
                <w:bCs/>
                <w:iCs/>
                <w:lang w:val="en-US" w:eastAsia="lv-LV"/>
              </w:rPr>
              <w:t>Tiesību</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akta</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projekta</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atbilstība</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Latvijas</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Republikas</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starptautiskajām</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saistībām</w:t>
            </w:r>
            <w:proofErr w:type="spellEnd"/>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1.</w:t>
            </w:r>
          </w:p>
        </w:tc>
        <w:tc>
          <w:tcPr>
            <w:tcW w:w="1700"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Saistības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pret</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Eiropas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Savienību</w:t>
            </w:r>
            <w:proofErr w:type="spellEnd"/>
          </w:p>
        </w:tc>
        <w:tc>
          <w:tcPr>
            <w:tcW w:w="3000" w:type="pct"/>
            <w:hideMark/>
          </w:tcPr>
          <w:p w:rsidR="00E5323B" w:rsidRPr="009D42C7" w:rsidRDefault="005A7F73"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Projekts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šo</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jomu</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neskar</w:t>
            </w:r>
            <w:proofErr w:type="spellEnd"/>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2.</w:t>
            </w:r>
          </w:p>
        </w:tc>
        <w:tc>
          <w:tcPr>
            <w:tcW w:w="1700"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Citas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starptautiskās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saistības</w:t>
            </w:r>
            <w:proofErr w:type="spellEnd"/>
          </w:p>
        </w:tc>
        <w:tc>
          <w:tcPr>
            <w:tcW w:w="3000" w:type="pct"/>
            <w:hideMark/>
          </w:tcPr>
          <w:p w:rsidR="00E5323B" w:rsidRPr="009D42C7" w:rsidRDefault="005A7F73"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Projekts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šo</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jomu</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neskar</w:t>
            </w:r>
            <w:proofErr w:type="spellEnd"/>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3.</w:t>
            </w:r>
          </w:p>
        </w:tc>
        <w:tc>
          <w:tcPr>
            <w:tcW w:w="1700"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Cita</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informācija</w:t>
            </w:r>
            <w:proofErr w:type="spellEnd"/>
          </w:p>
        </w:tc>
        <w:tc>
          <w:tcPr>
            <w:tcW w:w="3000" w:type="pct"/>
            <w:hideMark/>
          </w:tcPr>
          <w:p w:rsidR="00E5323B" w:rsidRPr="009D42C7" w:rsidRDefault="005A7F73"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Nav</w:t>
            </w:r>
            <w:proofErr w:type="spellEnd"/>
          </w:p>
        </w:tc>
      </w:tr>
    </w:tbl>
    <w:p w:rsidR="00E5323B" w:rsidRPr="009D42C7" w:rsidRDefault="00E5323B" w:rsidP="00E5323B">
      <w:pPr>
        <w:spacing w:after="0" w:line="240" w:lineRule="auto"/>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 xml:space="preserve">  </w:t>
      </w:r>
    </w:p>
    <w:p w:rsidR="00E5323B" w:rsidRPr="009D42C7" w:rsidRDefault="00E5323B" w:rsidP="00E5323B">
      <w:pPr>
        <w:spacing w:after="0" w:line="240" w:lineRule="auto"/>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 xml:space="preserve"> </w:t>
      </w:r>
    </w:p>
    <w:tbl>
      <w:tblPr>
        <w:tblStyle w:val="TableGrid"/>
        <w:tblW w:w="5003" w:type="pct"/>
        <w:tblLook w:val="04A0" w:firstRow="1" w:lastRow="0" w:firstColumn="1" w:lastColumn="0" w:noHBand="0" w:noVBand="1"/>
      </w:tblPr>
      <w:tblGrid>
        <w:gridCol w:w="678"/>
        <w:gridCol w:w="3026"/>
        <w:gridCol w:w="5362"/>
      </w:tblGrid>
      <w:tr w:rsidR="0044609B" w:rsidRPr="009D42C7" w:rsidTr="00456175">
        <w:tc>
          <w:tcPr>
            <w:tcW w:w="5000" w:type="pct"/>
            <w:gridSpan w:val="3"/>
            <w:hideMark/>
          </w:tcPr>
          <w:p w:rsidR="00655F2C" w:rsidRPr="009D42C7" w:rsidRDefault="00E5323B" w:rsidP="00E5323B">
            <w:pPr>
              <w:rPr>
                <w:rFonts w:ascii="Times New Roman" w:eastAsia="Times New Roman" w:hAnsi="Times New Roman" w:cs="Times New Roman"/>
                <w:b/>
                <w:bCs/>
                <w:iCs/>
                <w:lang w:val="en-US" w:eastAsia="lv-LV"/>
              </w:rPr>
            </w:pPr>
            <w:r w:rsidRPr="009D42C7">
              <w:rPr>
                <w:rFonts w:ascii="Times New Roman" w:eastAsia="Times New Roman" w:hAnsi="Times New Roman" w:cs="Times New Roman"/>
                <w:b/>
                <w:bCs/>
                <w:iCs/>
                <w:lang w:val="en-US" w:eastAsia="lv-LV"/>
              </w:rPr>
              <w:t xml:space="preserve">VI. </w:t>
            </w:r>
            <w:proofErr w:type="spellStart"/>
            <w:r w:rsidRPr="009D42C7">
              <w:rPr>
                <w:rFonts w:ascii="Times New Roman" w:eastAsia="Times New Roman" w:hAnsi="Times New Roman" w:cs="Times New Roman"/>
                <w:b/>
                <w:bCs/>
                <w:iCs/>
                <w:lang w:val="en-US" w:eastAsia="lv-LV"/>
              </w:rPr>
              <w:t>Sabiedrības</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līdzdalība</w:t>
            </w:r>
            <w:proofErr w:type="spellEnd"/>
            <w:r w:rsidRPr="009D42C7">
              <w:rPr>
                <w:rFonts w:ascii="Times New Roman" w:eastAsia="Times New Roman" w:hAnsi="Times New Roman" w:cs="Times New Roman"/>
                <w:b/>
                <w:bCs/>
                <w:iCs/>
                <w:lang w:val="en-US" w:eastAsia="lv-LV"/>
              </w:rPr>
              <w:t xml:space="preserve"> un </w:t>
            </w:r>
            <w:proofErr w:type="spellStart"/>
            <w:r w:rsidRPr="009D42C7">
              <w:rPr>
                <w:rFonts w:ascii="Times New Roman" w:eastAsia="Times New Roman" w:hAnsi="Times New Roman" w:cs="Times New Roman"/>
                <w:b/>
                <w:bCs/>
                <w:iCs/>
                <w:lang w:val="en-US" w:eastAsia="lv-LV"/>
              </w:rPr>
              <w:t>komunikācijas</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aktivitātes</w:t>
            </w:r>
            <w:proofErr w:type="spellEnd"/>
          </w:p>
        </w:tc>
      </w:tr>
      <w:tr w:rsidR="0044609B" w:rsidRPr="009D42C7" w:rsidTr="00456175">
        <w:tc>
          <w:tcPr>
            <w:tcW w:w="374"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1.</w:t>
            </w:r>
          </w:p>
        </w:tc>
        <w:tc>
          <w:tcPr>
            <w:tcW w:w="1669"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Plānotās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sabiedrības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līdzdalības</w:t>
            </w:r>
            <w:proofErr w:type="spellEnd"/>
            <w:r w:rsidRPr="009D42C7">
              <w:rPr>
                <w:rFonts w:ascii="Times New Roman" w:eastAsia="Times New Roman" w:hAnsi="Times New Roman" w:cs="Times New Roman"/>
                <w:iCs/>
                <w:lang w:val="en-US" w:eastAsia="lv-LV"/>
              </w:rPr>
              <w:t xml:space="preserve"> un </w:t>
            </w:r>
            <w:proofErr w:type="spellStart"/>
            <w:r w:rsidRPr="009D42C7">
              <w:rPr>
                <w:rFonts w:ascii="Times New Roman" w:eastAsia="Times New Roman" w:hAnsi="Times New Roman" w:cs="Times New Roman"/>
                <w:iCs/>
                <w:lang w:val="en-US" w:eastAsia="lv-LV"/>
              </w:rPr>
              <w:t>komunikācijas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aktivitātes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saistībā</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ar</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projektu</w:t>
            </w:r>
            <w:proofErr w:type="spellEnd"/>
          </w:p>
        </w:tc>
        <w:tc>
          <w:tcPr>
            <w:tcW w:w="2957" w:type="pct"/>
            <w:hideMark/>
          </w:tcPr>
          <w:p w:rsidR="00E5323B" w:rsidRPr="009D42C7" w:rsidRDefault="00E5323B" w:rsidP="00E5323B">
            <w:pPr>
              <w:rPr>
                <w:rFonts w:ascii="Times New Roman" w:eastAsia="Times New Roman" w:hAnsi="Times New Roman" w:cs="Times New Roman"/>
                <w:iCs/>
                <w:lang w:val="en-US" w:eastAsia="lv-LV"/>
              </w:rPr>
            </w:pPr>
          </w:p>
        </w:tc>
      </w:tr>
      <w:tr w:rsidR="0044609B" w:rsidRPr="009D42C7" w:rsidTr="00456175">
        <w:tc>
          <w:tcPr>
            <w:tcW w:w="374"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2.</w:t>
            </w:r>
          </w:p>
        </w:tc>
        <w:tc>
          <w:tcPr>
            <w:tcW w:w="1669"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Sabiedrības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līdzdalība</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projekta</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izstrādē</w:t>
            </w:r>
            <w:proofErr w:type="spellEnd"/>
          </w:p>
        </w:tc>
        <w:tc>
          <w:tcPr>
            <w:tcW w:w="2957" w:type="pct"/>
            <w:hideMark/>
          </w:tcPr>
          <w:p w:rsidR="00E5323B" w:rsidRPr="009D42C7" w:rsidRDefault="005A7F73"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eastAsia="lv-LV"/>
              </w:rPr>
              <w:t>Projekts publicēts....</w:t>
            </w:r>
          </w:p>
        </w:tc>
      </w:tr>
      <w:tr w:rsidR="0044609B" w:rsidRPr="009D42C7" w:rsidTr="00456175">
        <w:tc>
          <w:tcPr>
            <w:tcW w:w="374"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3.</w:t>
            </w:r>
          </w:p>
        </w:tc>
        <w:tc>
          <w:tcPr>
            <w:tcW w:w="1669"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Sabiedrības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līdzdalības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rezultāti</w:t>
            </w:r>
            <w:proofErr w:type="spellEnd"/>
          </w:p>
        </w:tc>
        <w:tc>
          <w:tcPr>
            <w:tcW w:w="2957" w:type="pct"/>
            <w:hideMark/>
          </w:tcPr>
          <w:p w:rsidR="00E5323B" w:rsidRPr="009D42C7" w:rsidRDefault="00E5323B" w:rsidP="00E5323B">
            <w:pPr>
              <w:rPr>
                <w:rFonts w:ascii="Times New Roman" w:eastAsia="Times New Roman" w:hAnsi="Times New Roman" w:cs="Times New Roman"/>
                <w:iCs/>
                <w:lang w:val="en-US" w:eastAsia="lv-LV"/>
              </w:rPr>
            </w:pPr>
          </w:p>
        </w:tc>
      </w:tr>
      <w:tr w:rsidR="0044609B" w:rsidRPr="009D42C7" w:rsidTr="00456175">
        <w:tc>
          <w:tcPr>
            <w:tcW w:w="374"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4.</w:t>
            </w:r>
          </w:p>
        </w:tc>
        <w:tc>
          <w:tcPr>
            <w:tcW w:w="1669"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Cita</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informācija</w:t>
            </w:r>
            <w:proofErr w:type="spellEnd"/>
          </w:p>
        </w:tc>
        <w:tc>
          <w:tcPr>
            <w:tcW w:w="2957" w:type="pct"/>
            <w:hideMark/>
          </w:tcPr>
          <w:p w:rsidR="00E5323B" w:rsidRPr="009D42C7" w:rsidRDefault="005A7F73"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Nav</w:t>
            </w:r>
            <w:proofErr w:type="spellEnd"/>
          </w:p>
        </w:tc>
      </w:tr>
    </w:tbl>
    <w:p w:rsidR="00E5323B" w:rsidRPr="009D42C7" w:rsidRDefault="00E5323B" w:rsidP="00E5323B">
      <w:pPr>
        <w:spacing w:after="0" w:line="240" w:lineRule="auto"/>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 xml:space="preserve">  </w:t>
      </w:r>
    </w:p>
    <w:tbl>
      <w:tblPr>
        <w:tblStyle w:val="TableGrid"/>
        <w:tblW w:w="5000" w:type="pct"/>
        <w:tblLook w:val="04A0" w:firstRow="1" w:lastRow="0" w:firstColumn="1" w:lastColumn="0" w:noHBand="0" w:noVBand="1"/>
      </w:tblPr>
      <w:tblGrid>
        <w:gridCol w:w="543"/>
        <w:gridCol w:w="3081"/>
        <w:gridCol w:w="5437"/>
      </w:tblGrid>
      <w:tr w:rsidR="0044609B" w:rsidRPr="009D42C7" w:rsidTr="00456175">
        <w:tc>
          <w:tcPr>
            <w:tcW w:w="0" w:type="auto"/>
            <w:gridSpan w:val="3"/>
            <w:hideMark/>
          </w:tcPr>
          <w:p w:rsidR="00655F2C" w:rsidRPr="009D42C7" w:rsidRDefault="00E5323B" w:rsidP="00E5323B">
            <w:pPr>
              <w:rPr>
                <w:rFonts w:ascii="Times New Roman" w:eastAsia="Times New Roman" w:hAnsi="Times New Roman" w:cs="Times New Roman"/>
                <w:b/>
                <w:bCs/>
                <w:iCs/>
                <w:lang w:val="en-US" w:eastAsia="lv-LV"/>
              </w:rPr>
            </w:pPr>
            <w:r w:rsidRPr="009D42C7">
              <w:rPr>
                <w:rFonts w:ascii="Times New Roman" w:eastAsia="Times New Roman" w:hAnsi="Times New Roman" w:cs="Times New Roman"/>
                <w:b/>
                <w:bCs/>
                <w:iCs/>
                <w:lang w:val="en-US" w:eastAsia="lv-LV"/>
              </w:rPr>
              <w:t xml:space="preserve">VII. </w:t>
            </w:r>
            <w:proofErr w:type="spellStart"/>
            <w:r w:rsidRPr="009D42C7">
              <w:rPr>
                <w:rFonts w:ascii="Times New Roman" w:eastAsia="Times New Roman" w:hAnsi="Times New Roman" w:cs="Times New Roman"/>
                <w:b/>
                <w:bCs/>
                <w:iCs/>
                <w:lang w:val="en-US" w:eastAsia="lv-LV"/>
              </w:rPr>
              <w:t>Tiesību</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akta</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projekta</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izpildes</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nodrošināšana</w:t>
            </w:r>
            <w:proofErr w:type="spellEnd"/>
            <w:r w:rsidRPr="009D42C7">
              <w:rPr>
                <w:rFonts w:ascii="Times New Roman" w:eastAsia="Times New Roman" w:hAnsi="Times New Roman" w:cs="Times New Roman"/>
                <w:b/>
                <w:bCs/>
                <w:iCs/>
                <w:lang w:val="en-US" w:eastAsia="lv-LV"/>
              </w:rPr>
              <w:t xml:space="preserve"> un </w:t>
            </w:r>
            <w:proofErr w:type="spellStart"/>
            <w:r w:rsidRPr="009D42C7">
              <w:rPr>
                <w:rFonts w:ascii="Times New Roman" w:eastAsia="Times New Roman" w:hAnsi="Times New Roman" w:cs="Times New Roman"/>
                <w:b/>
                <w:bCs/>
                <w:iCs/>
                <w:lang w:val="en-US" w:eastAsia="lv-LV"/>
              </w:rPr>
              <w:t>tās</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ietekme</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uz</w:t>
            </w:r>
            <w:proofErr w:type="spellEnd"/>
            <w:r w:rsidRPr="009D42C7">
              <w:rPr>
                <w:rFonts w:ascii="Times New Roman" w:eastAsia="Times New Roman" w:hAnsi="Times New Roman" w:cs="Times New Roman"/>
                <w:b/>
                <w:bCs/>
                <w:iCs/>
                <w:lang w:val="en-US" w:eastAsia="lv-LV"/>
              </w:rPr>
              <w:t xml:space="preserve"> </w:t>
            </w:r>
            <w:proofErr w:type="spellStart"/>
            <w:r w:rsidRPr="009D42C7">
              <w:rPr>
                <w:rFonts w:ascii="Times New Roman" w:eastAsia="Times New Roman" w:hAnsi="Times New Roman" w:cs="Times New Roman"/>
                <w:b/>
                <w:bCs/>
                <w:iCs/>
                <w:lang w:val="en-US" w:eastAsia="lv-LV"/>
              </w:rPr>
              <w:t>institūcijām</w:t>
            </w:r>
            <w:proofErr w:type="spellEnd"/>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1.</w:t>
            </w:r>
          </w:p>
        </w:tc>
        <w:tc>
          <w:tcPr>
            <w:tcW w:w="1700" w:type="pct"/>
            <w:hideMark/>
          </w:tcPr>
          <w:p w:rsidR="00F415F2"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Projekta</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izpildē</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iesaistītās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institūcijas</w:t>
            </w:r>
            <w:proofErr w:type="spellEnd"/>
          </w:p>
          <w:p w:rsidR="00E5323B" w:rsidRPr="009D42C7" w:rsidRDefault="00F415F2" w:rsidP="00F415F2">
            <w:pPr>
              <w:tabs>
                <w:tab w:val="left" w:pos="2154"/>
              </w:tabs>
              <w:rPr>
                <w:rFonts w:ascii="Times New Roman" w:eastAsia="Times New Roman" w:hAnsi="Times New Roman" w:cs="Times New Roman"/>
                <w:lang w:val="en-US" w:eastAsia="lv-LV"/>
              </w:rPr>
            </w:pPr>
            <w:r w:rsidRPr="009D42C7">
              <w:rPr>
                <w:rFonts w:ascii="Times New Roman" w:eastAsia="Times New Roman" w:hAnsi="Times New Roman" w:cs="Times New Roman"/>
                <w:lang w:val="en-US" w:eastAsia="lv-LV"/>
              </w:rPr>
              <w:tab/>
            </w:r>
          </w:p>
        </w:tc>
        <w:tc>
          <w:tcPr>
            <w:tcW w:w="3000" w:type="pct"/>
            <w:hideMark/>
          </w:tcPr>
          <w:p w:rsidR="00E5323B" w:rsidRPr="009D42C7" w:rsidRDefault="005A7F73"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Nacionālie</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bruņotie</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spēki</w:t>
            </w:r>
            <w:proofErr w:type="spellEnd"/>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2.</w:t>
            </w:r>
          </w:p>
        </w:tc>
        <w:tc>
          <w:tcPr>
            <w:tcW w:w="1700"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Projekta</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izpildes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ietekme</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uz</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pārvaldes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funkcijām</w:t>
            </w:r>
            <w:proofErr w:type="spellEnd"/>
            <w:r w:rsidRPr="009D42C7">
              <w:rPr>
                <w:rFonts w:ascii="Times New Roman" w:eastAsia="Times New Roman" w:hAnsi="Times New Roman" w:cs="Times New Roman"/>
                <w:iCs/>
                <w:lang w:val="en-US" w:eastAsia="lv-LV"/>
              </w:rPr>
              <w:t xml:space="preserve"> un </w:t>
            </w:r>
            <w:proofErr w:type="spellStart"/>
            <w:r w:rsidRPr="009D42C7">
              <w:rPr>
                <w:rFonts w:ascii="Times New Roman" w:eastAsia="Times New Roman" w:hAnsi="Times New Roman" w:cs="Times New Roman"/>
                <w:iCs/>
                <w:lang w:val="en-US" w:eastAsia="lv-LV"/>
              </w:rPr>
              <w:t>institucionālo</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struktūru</w:t>
            </w:r>
            <w:proofErr w:type="spellEnd"/>
            <w:r w:rsidRPr="009D42C7">
              <w:rPr>
                <w:rFonts w:ascii="Times New Roman" w:eastAsia="Times New Roman" w:hAnsi="Times New Roman" w:cs="Times New Roman"/>
                <w:iCs/>
                <w:lang w:val="en-US" w:eastAsia="lv-LV"/>
              </w:rPr>
              <w:t>.</w:t>
            </w:r>
            <w:r w:rsidRPr="009D42C7">
              <w:rPr>
                <w:rFonts w:ascii="Times New Roman" w:eastAsia="Times New Roman" w:hAnsi="Times New Roman" w:cs="Times New Roman"/>
                <w:iCs/>
                <w:lang w:val="en-US" w:eastAsia="lv-LV"/>
              </w:rPr>
              <w:br/>
            </w:r>
            <w:proofErr w:type="spellStart"/>
            <w:r w:rsidRPr="009D42C7">
              <w:rPr>
                <w:rFonts w:ascii="Times New Roman" w:eastAsia="Times New Roman" w:hAnsi="Times New Roman" w:cs="Times New Roman"/>
                <w:iCs/>
                <w:lang w:val="en-US" w:eastAsia="lv-LV"/>
              </w:rPr>
              <w:t>Jaunu</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institūciju</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izveide</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esošu</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institūciju</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likvidācija</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vai</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reorganizācija</w:t>
            </w:r>
            <w:proofErr w:type="spellEnd"/>
            <w:r w:rsidRPr="009D42C7">
              <w:rPr>
                <w:rFonts w:ascii="Times New Roman" w:eastAsia="Times New Roman" w:hAnsi="Times New Roman" w:cs="Times New Roman"/>
                <w:iCs/>
                <w:lang w:val="en-US" w:eastAsia="lv-LV"/>
              </w:rPr>
              <w:t xml:space="preserve">, to </w:t>
            </w:r>
            <w:proofErr w:type="spellStart"/>
            <w:r w:rsidRPr="009D42C7">
              <w:rPr>
                <w:rFonts w:ascii="Times New Roman" w:eastAsia="Times New Roman" w:hAnsi="Times New Roman" w:cs="Times New Roman"/>
                <w:iCs/>
                <w:lang w:val="en-US" w:eastAsia="lv-LV"/>
              </w:rPr>
              <w:t>ietekme</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uz</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institūcijas</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cilvēkresursiem</w:t>
            </w:r>
            <w:proofErr w:type="spellEnd"/>
          </w:p>
        </w:tc>
        <w:tc>
          <w:tcPr>
            <w:tcW w:w="3000" w:type="pct"/>
            <w:hideMark/>
          </w:tcPr>
          <w:p w:rsidR="00E5323B" w:rsidRPr="009D42C7" w:rsidRDefault="005A7F73" w:rsidP="00E5323B">
            <w:pPr>
              <w:rPr>
                <w:rFonts w:ascii="Times New Roman" w:eastAsia="Times New Roman" w:hAnsi="Times New Roman" w:cs="Times New Roman"/>
                <w:iCs/>
                <w:lang w:val="sv-SE" w:eastAsia="lv-LV"/>
              </w:rPr>
            </w:pPr>
            <w:r w:rsidRPr="009D42C7">
              <w:rPr>
                <w:rFonts w:ascii="Times New Roman" w:eastAsia="Times New Roman" w:hAnsi="Times New Roman" w:cs="Times New Roman"/>
                <w:iCs/>
                <w:lang w:val="sv-SE" w:eastAsia="lv-LV"/>
              </w:rPr>
              <w:t>Projekts šo jomu neskar</w:t>
            </w:r>
          </w:p>
        </w:tc>
      </w:tr>
      <w:tr w:rsidR="0044609B" w:rsidRPr="009D42C7" w:rsidTr="00456175">
        <w:tc>
          <w:tcPr>
            <w:tcW w:w="300" w:type="pct"/>
            <w:hideMark/>
          </w:tcPr>
          <w:p w:rsidR="00655F2C" w:rsidRPr="009D42C7" w:rsidRDefault="00E5323B" w:rsidP="00E5323B">
            <w:pPr>
              <w:rPr>
                <w:rFonts w:ascii="Times New Roman" w:eastAsia="Times New Roman" w:hAnsi="Times New Roman" w:cs="Times New Roman"/>
                <w:iCs/>
                <w:lang w:val="en-US" w:eastAsia="lv-LV"/>
              </w:rPr>
            </w:pPr>
            <w:r w:rsidRPr="009D42C7">
              <w:rPr>
                <w:rFonts w:ascii="Times New Roman" w:eastAsia="Times New Roman" w:hAnsi="Times New Roman" w:cs="Times New Roman"/>
                <w:iCs/>
                <w:lang w:val="en-US" w:eastAsia="lv-LV"/>
              </w:rPr>
              <w:t>3.</w:t>
            </w:r>
          </w:p>
        </w:tc>
        <w:tc>
          <w:tcPr>
            <w:tcW w:w="1700" w:type="pct"/>
            <w:hideMark/>
          </w:tcPr>
          <w:p w:rsidR="00E5323B" w:rsidRPr="009D42C7" w:rsidRDefault="00E5323B"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Cita</w:t>
            </w:r>
            <w:proofErr w:type="spellEnd"/>
            <w:r w:rsidRPr="009D42C7">
              <w:rPr>
                <w:rFonts w:ascii="Times New Roman" w:eastAsia="Times New Roman" w:hAnsi="Times New Roman" w:cs="Times New Roman"/>
                <w:iCs/>
                <w:lang w:val="en-US" w:eastAsia="lv-LV"/>
              </w:rPr>
              <w:t xml:space="preserve"> </w:t>
            </w:r>
            <w:proofErr w:type="spellStart"/>
            <w:r w:rsidRPr="009D42C7">
              <w:rPr>
                <w:rFonts w:ascii="Times New Roman" w:eastAsia="Times New Roman" w:hAnsi="Times New Roman" w:cs="Times New Roman"/>
                <w:iCs/>
                <w:lang w:val="en-US" w:eastAsia="lv-LV"/>
              </w:rPr>
              <w:t>informācija</w:t>
            </w:r>
            <w:proofErr w:type="spellEnd"/>
          </w:p>
        </w:tc>
        <w:tc>
          <w:tcPr>
            <w:tcW w:w="3000" w:type="pct"/>
            <w:hideMark/>
          </w:tcPr>
          <w:p w:rsidR="00E5323B" w:rsidRPr="009D42C7" w:rsidRDefault="005A7F73" w:rsidP="00E5323B">
            <w:pPr>
              <w:rPr>
                <w:rFonts w:ascii="Times New Roman" w:eastAsia="Times New Roman" w:hAnsi="Times New Roman" w:cs="Times New Roman"/>
                <w:iCs/>
                <w:lang w:val="en-US" w:eastAsia="lv-LV"/>
              </w:rPr>
            </w:pPr>
            <w:proofErr w:type="spellStart"/>
            <w:r w:rsidRPr="009D42C7">
              <w:rPr>
                <w:rFonts w:ascii="Times New Roman" w:eastAsia="Times New Roman" w:hAnsi="Times New Roman" w:cs="Times New Roman"/>
                <w:iCs/>
                <w:lang w:val="en-US" w:eastAsia="lv-LV"/>
              </w:rPr>
              <w:t>Nav</w:t>
            </w:r>
            <w:proofErr w:type="spellEnd"/>
          </w:p>
        </w:tc>
      </w:tr>
    </w:tbl>
    <w:p w:rsidR="009D42C7" w:rsidRDefault="009D42C7" w:rsidP="009D42C7">
      <w:pPr>
        <w:tabs>
          <w:tab w:val="left" w:pos="6804"/>
        </w:tabs>
        <w:spacing w:after="0"/>
        <w:rPr>
          <w:rFonts w:ascii="Times New Roman" w:hAnsi="Times New Roman" w:cs="Times New Roman"/>
          <w:sz w:val="24"/>
          <w:szCs w:val="24"/>
        </w:rPr>
      </w:pPr>
    </w:p>
    <w:p w:rsidR="009D42C7" w:rsidRPr="00103ACE" w:rsidRDefault="009D42C7" w:rsidP="009D42C7">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Iesniedzējs:</w:t>
      </w:r>
    </w:p>
    <w:p w:rsidR="009D42C7" w:rsidRPr="00103ACE" w:rsidRDefault="009D42C7" w:rsidP="009D42C7">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Aizsardzības ministrijas</w:t>
      </w:r>
    </w:p>
    <w:p w:rsidR="009D42C7" w:rsidRPr="00103ACE" w:rsidRDefault="009D42C7" w:rsidP="009D42C7">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valsts sekretārs</w:t>
      </w:r>
      <w:r w:rsidRPr="00103ACE">
        <w:rPr>
          <w:rFonts w:ascii="Times New Roman" w:hAnsi="Times New Roman" w:cs="Times New Roman"/>
          <w:sz w:val="24"/>
          <w:szCs w:val="24"/>
        </w:rPr>
        <w:tab/>
        <w:t xml:space="preserve">Jānis </w:t>
      </w:r>
      <w:proofErr w:type="spellStart"/>
      <w:r w:rsidRPr="00103ACE">
        <w:rPr>
          <w:rFonts w:ascii="Times New Roman" w:hAnsi="Times New Roman" w:cs="Times New Roman"/>
          <w:sz w:val="24"/>
          <w:szCs w:val="24"/>
        </w:rPr>
        <w:t>Garisons</w:t>
      </w:r>
      <w:proofErr w:type="spellEnd"/>
    </w:p>
    <w:p w:rsidR="009D42C7" w:rsidRPr="00347BC4" w:rsidRDefault="009D42C7" w:rsidP="009D42C7">
      <w:pPr>
        <w:spacing w:after="0"/>
        <w:rPr>
          <w:sz w:val="20"/>
          <w:szCs w:val="20"/>
        </w:rPr>
      </w:pPr>
    </w:p>
    <w:p w:rsidR="00894C55" w:rsidRPr="009D42C7" w:rsidRDefault="009D42C7" w:rsidP="009D42C7">
      <w:pPr>
        <w:spacing w:after="0"/>
        <w:rPr>
          <w:rFonts w:ascii="Times New Roman" w:hAnsi="Times New Roman" w:cs="Times New Roman"/>
          <w:sz w:val="18"/>
          <w:szCs w:val="18"/>
        </w:rPr>
      </w:pPr>
      <w:bookmarkStart w:id="0" w:name="_GoBack"/>
      <w:bookmarkEnd w:id="0"/>
      <w:r w:rsidRPr="009D42C7">
        <w:rPr>
          <w:rFonts w:ascii="Times New Roman" w:hAnsi="Times New Roman" w:cs="Times New Roman"/>
          <w:sz w:val="18"/>
          <w:szCs w:val="18"/>
        </w:rPr>
        <w:t>Šneidere 67335216</w:t>
      </w:r>
    </w:p>
    <w:p w:rsidR="009D42C7" w:rsidRPr="009D42C7" w:rsidRDefault="009D42C7" w:rsidP="009D42C7">
      <w:pPr>
        <w:spacing w:after="0"/>
        <w:rPr>
          <w:rFonts w:ascii="Times New Roman" w:hAnsi="Times New Roman" w:cs="Times New Roman"/>
          <w:sz w:val="18"/>
          <w:szCs w:val="18"/>
        </w:rPr>
      </w:pPr>
      <w:r w:rsidRPr="009D42C7">
        <w:rPr>
          <w:rFonts w:ascii="Times New Roman" w:hAnsi="Times New Roman" w:cs="Times New Roman"/>
          <w:sz w:val="18"/>
          <w:szCs w:val="18"/>
        </w:rPr>
        <w:t>Zane.sneidere@mod.gov.lv</w:t>
      </w:r>
    </w:p>
    <w:sectPr w:rsidR="009D42C7" w:rsidRPr="009D42C7" w:rsidSect="00D67D43">
      <w:headerReference w:type="even" r:id="rId9"/>
      <w:headerReference w:type="default" r:id="rId10"/>
      <w:footerReference w:type="even" r:id="rId11"/>
      <w:footerReference w:type="default" r:id="rId12"/>
      <w:headerReference w:type="first" r:id="rId13"/>
      <w:footerReference w:type="first" r:id="rId14"/>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C7" w:rsidRDefault="009D4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67924289"/>
      <w:docPartObj>
        <w:docPartGallery w:val="Page Numbers (Bottom of Page)"/>
        <w:docPartUnique/>
      </w:docPartObj>
    </w:sdtPr>
    <w:sdtEndPr>
      <w:rPr>
        <w:noProof/>
      </w:rPr>
    </w:sdtEndPr>
    <w:sdtContent>
      <w:p w:rsidR="00F415F2" w:rsidRPr="009D42C7" w:rsidRDefault="00F415F2">
        <w:pPr>
          <w:pStyle w:val="Footer"/>
          <w:jc w:val="right"/>
          <w:rPr>
            <w:rFonts w:ascii="Times New Roman" w:hAnsi="Times New Roman" w:cs="Times New Roman"/>
          </w:rPr>
        </w:pPr>
        <w:r w:rsidRPr="009D42C7">
          <w:rPr>
            <w:rFonts w:ascii="Times New Roman" w:hAnsi="Times New Roman" w:cs="Times New Roman"/>
          </w:rPr>
          <w:fldChar w:fldCharType="begin"/>
        </w:r>
        <w:r w:rsidRPr="009D42C7">
          <w:rPr>
            <w:rFonts w:ascii="Times New Roman" w:hAnsi="Times New Roman" w:cs="Times New Roman"/>
          </w:rPr>
          <w:instrText xml:space="preserve"> PAGE   \* MERGEFORMAT </w:instrText>
        </w:r>
        <w:r w:rsidRPr="009D42C7">
          <w:rPr>
            <w:rFonts w:ascii="Times New Roman" w:hAnsi="Times New Roman" w:cs="Times New Roman"/>
          </w:rPr>
          <w:fldChar w:fldCharType="separate"/>
        </w:r>
        <w:r w:rsidR="00D67D43">
          <w:rPr>
            <w:rFonts w:ascii="Times New Roman" w:hAnsi="Times New Roman" w:cs="Times New Roman"/>
            <w:noProof/>
          </w:rPr>
          <w:t>2</w:t>
        </w:r>
        <w:r w:rsidRPr="009D42C7">
          <w:rPr>
            <w:rFonts w:ascii="Times New Roman" w:hAnsi="Times New Roman" w:cs="Times New Roman"/>
            <w:noProof/>
          </w:rPr>
          <w:fldChar w:fldCharType="end"/>
        </w:r>
      </w:p>
    </w:sdtContent>
  </w:sdt>
  <w:p w:rsidR="00894C55" w:rsidRPr="009D42C7" w:rsidRDefault="009D42C7" w:rsidP="005A7F73">
    <w:pPr>
      <w:pStyle w:val="Footer"/>
      <w:rPr>
        <w:rFonts w:ascii="Times New Roman" w:hAnsi="Times New Roman" w:cs="Times New Roman"/>
      </w:rPr>
    </w:pPr>
    <w:r w:rsidRPr="009D42C7">
      <w:rPr>
        <w:rFonts w:ascii="Times New Roman" w:hAnsi="Times New Roman" w:cs="Times New Roman"/>
      </w:rPr>
      <w:t>AiMAnot_211119_Grozījumi Militārpersonu izdienas pensiju likumā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C7" w:rsidRDefault="009D4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C7" w:rsidRDefault="009D4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C25B49" w:rsidRDefault="00894C55">
    <w:pPr>
      <w:pStyle w:val="Header"/>
      <w:jc w:val="center"/>
      <w:rPr>
        <w:rFonts w:ascii="Times New Roman" w:hAnsi="Times New Roman" w:cs="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C7" w:rsidRDefault="009D42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6F63"/>
    <w:rsid w:val="00045F99"/>
    <w:rsid w:val="000F54B8"/>
    <w:rsid w:val="00212894"/>
    <w:rsid w:val="00243426"/>
    <w:rsid w:val="002E1C05"/>
    <w:rsid w:val="003B0BF9"/>
    <w:rsid w:val="003E0791"/>
    <w:rsid w:val="003F28AC"/>
    <w:rsid w:val="004454FE"/>
    <w:rsid w:val="0044609B"/>
    <w:rsid w:val="00456175"/>
    <w:rsid w:val="00456E40"/>
    <w:rsid w:val="00471F27"/>
    <w:rsid w:val="0050178F"/>
    <w:rsid w:val="005A7F73"/>
    <w:rsid w:val="00630328"/>
    <w:rsid w:val="00655F2C"/>
    <w:rsid w:val="006A3097"/>
    <w:rsid w:val="006B694D"/>
    <w:rsid w:val="006E1081"/>
    <w:rsid w:val="00720585"/>
    <w:rsid w:val="00773AF6"/>
    <w:rsid w:val="00795640"/>
    <w:rsid w:val="00795F71"/>
    <w:rsid w:val="007A62AA"/>
    <w:rsid w:val="007E5F7A"/>
    <w:rsid w:val="007E73AB"/>
    <w:rsid w:val="00816C11"/>
    <w:rsid w:val="00850EB1"/>
    <w:rsid w:val="00894C55"/>
    <w:rsid w:val="0094566D"/>
    <w:rsid w:val="00996EEB"/>
    <w:rsid w:val="009A2654"/>
    <w:rsid w:val="009C05DC"/>
    <w:rsid w:val="009D42C7"/>
    <w:rsid w:val="009E57BF"/>
    <w:rsid w:val="009F5AA6"/>
    <w:rsid w:val="00A10FC3"/>
    <w:rsid w:val="00A13CFC"/>
    <w:rsid w:val="00A6073E"/>
    <w:rsid w:val="00AE5567"/>
    <w:rsid w:val="00AF1239"/>
    <w:rsid w:val="00B16480"/>
    <w:rsid w:val="00B2165C"/>
    <w:rsid w:val="00B97A48"/>
    <w:rsid w:val="00BA20AA"/>
    <w:rsid w:val="00BD4425"/>
    <w:rsid w:val="00C25B49"/>
    <w:rsid w:val="00CC0D2D"/>
    <w:rsid w:val="00CE5657"/>
    <w:rsid w:val="00D133F8"/>
    <w:rsid w:val="00D14A3E"/>
    <w:rsid w:val="00D67D43"/>
    <w:rsid w:val="00E3716B"/>
    <w:rsid w:val="00E5323B"/>
    <w:rsid w:val="00E8749E"/>
    <w:rsid w:val="00E90C01"/>
    <w:rsid w:val="00EA486E"/>
    <w:rsid w:val="00F415F2"/>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383231"/>
  <w15:docId w15:val="{6619249B-062E-4B9A-A6BD-3DA11619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45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600550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405"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likumi.lv/ta/id/63405"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titania.saeima.lv/LIVS12/saeimalivs12.nsf/0/8974EA8BE7CA5BFCC2257FB50040BDCD?OpenDocumen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D39C9"/>
    <w:rsid w:val="009B197E"/>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F5E9D3E3791B4DB89421471F3853950C">
    <w:name w:val="F5E9D3E3791B4DB89421471F3853950C"/>
    <w:rsid w:val="009B1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4905</Words>
  <Characters>2797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Zane Šneidere</cp:lastModifiedBy>
  <cp:revision>5</cp:revision>
  <dcterms:created xsi:type="dcterms:W3CDTF">2019-11-21T13:06:00Z</dcterms:created>
  <dcterms:modified xsi:type="dcterms:W3CDTF">2019-11-22T09:39:00Z</dcterms:modified>
</cp:coreProperties>
</file>