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6AC1" w14:textId="77777777" w:rsidR="007116C7" w:rsidRPr="00FC31C6" w:rsidRDefault="007116C7" w:rsidP="001873E2">
      <w:pPr>
        <w:pStyle w:val="naisnod"/>
        <w:spacing w:before="0" w:after="0"/>
        <w:ind w:left="1440"/>
        <w:rPr>
          <w:sz w:val="22"/>
          <w:szCs w:val="28"/>
        </w:rPr>
      </w:pPr>
      <w:r w:rsidRPr="00FC31C6">
        <w:rPr>
          <w:sz w:val="22"/>
          <w:szCs w:val="28"/>
        </w:rPr>
        <w:t>Izziņa par atzinumos sniegtajiem iebildumiem</w:t>
      </w:r>
    </w:p>
    <w:p w14:paraId="6A2C3332" w14:textId="77777777" w:rsidR="007116C7" w:rsidRPr="00FC31C6" w:rsidRDefault="007116C7" w:rsidP="00DB7395">
      <w:pPr>
        <w:pStyle w:val="naisf"/>
        <w:spacing w:before="0" w:after="0"/>
        <w:ind w:firstLine="720"/>
        <w:rPr>
          <w:sz w:val="20"/>
        </w:rPr>
      </w:pPr>
    </w:p>
    <w:tbl>
      <w:tblPr>
        <w:tblW w:w="0" w:type="auto"/>
        <w:jc w:val="center"/>
        <w:tblLook w:val="00A0" w:firstRow="1" w:lastRow="0" w:firstColumn="1" w:lastColumn="0" w:noHBand="0" w:noVBand="0"/>
      </w:tblPr>
      <w:tblGrid>
        <w:gridCol w:w="13260"/>
      </w:tblGrid>
      <w:tr w:rsidR="007116C7" w:rsidRPr="00FC31C6" w14:paraId="04939BBE" w14:textId="77777777" w:rsidTr="00F934BC">
        <w:trPr>
          <w:trHeight w:val="269"/>
          <w:jc w:val="center"/>
        </w:trPr>
        <w:tc>
          <w:tcPr>
            <w:tcW w:w="13260" w:type="dxa"/>
            <w:tcBorders>
              <w:bottom w:val="single" w:sz="6" w:space="0" w:color="000000"/>
            </w:tcBorders>
          </w:tcPr>
          <w:p w14:paraId="3CB4F123" w14:textId="77777777" w:rsidR="007116C7" w:rsidRPr="00FC31C6" w:rsidRDefault="00F934BC" w:rsidP="00F934BC">
            <w:pPr>
              <w:jc w:val="center"/>
              <w:rPr>
                <w:sz w:val="20"/>
              </w:rPr>
            </w:pPr>
            <w:r w:rsidRPr="00FC31C6">
              <w:rPr>
                <w:sz w:val="20"/>
              </w:rPr>
              <w:t>Grozījumi Ministru kabineta 2000.gada 26.septembra noteikumos Nr.332 “Noteikumi par benzīna un dīzeļdegvielas atbilstības novērtēšanu”</w:t>
            </w:r>
          </w:p>
        </w:tc>
      </w:tr>
    </w:tbl>
    <w:p w14:paraId="2DCA7B33" w14:textId="77777777" w:rsidR="007B4C0F" w:rsidRPr="00FC31C6" w:rsidRDefault="007B4C0F" w:rsidP="00DB7395">
      <w:pPr>
        <w:pStyle w:val="naisf"/>
        <w:spacing w:before="0" w:after="0"/>
        <w:ind w:firstLine="720"/>
        <w:rPr>
          <w:sz w:val="20"/>
        </w:rPr>
      </w:pPr>
    </w:p>
    <w:p w14:paraId="4BE52FB0" w14:textId="77777777" w:rsidR="007B4C0F" w:rsidRPr="00FC31C6" w:rsidRDefault="007B4C0F" w:rsidP="00184479">
      <w:pPr>
        <w:pStyle w:val="naisf"/>
        <w:spacing w:before="0" w:after="0"/>
        <w:ind w:firstLine="0"/>
        <w:jc w:val="center"/>
        <w:rPr>
          <w:b/>
          <w:sz w:val="20"/>
        </w:rPr>
      </w:pPr>
      <w:r w:rsidRPr="00FC31C6">
        <w:rPr>
          <w:b/>
          <w:sz w:val="20"/>
        </w:rPr>
        <w:t xml:space="preserve">I. Jautājumi, par kuriem saskaņošanā </w:t>
      </w:r>
      <w:r w:rsidR="00134188" w:rsidRPr="00FC31C6">
        <w:rPr>
          <w:b/>
          <w:sz w:val="20"/>
        </w:rPr>
        <w:t xml:space="preserve">vienošanās </w:t>
      </w:r>
      <w:r w:rsidRPr="00FC31C6">
        <w:rPr>
          <w:b/>
          <w:sz w:val="20"/>
        </w:rPr>
        <w:t>nav panākta</w:t>
      </w:r>
    </w:p>
    <w:p w14:paraId="32635CD0" w14:textId="77777777" w:rsidR="007B4C0F" w:rsidRPr="00FC31C6" w:rsidRDefault="007B4C0F" w:rsidP="00DB7395">
      <w:pPr>
        <w:pStyle w:val="naisf"/>
        <w:spacing w:before="0" w:after="0"/>
        <w:ind w:firstLine="720"/>
        <w:rPr>
          <w:sz w:val="20"/>
        </w:rPr>
      </w:pPr>
    </w:p>
    <w:tbl>
      <w:tblPr>
        <w:tblW w:w="152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842"/>
        <w:gridCol w:w="3544"/>
        <w:gridCol w:w="3544"/>
        <w:gridCol w:w="3685"/>
        <w:gridCol w:w="2127"/>
      </w:tblGrid>
      <w:tr w:rsidR="005F4BFD" w:rsidRPr="00FC31C6" w14:paraId="22617047" w14:textId="77777777" w:rsidTr="00462E80">
        <w:tc>
          <w:tcPr>
            <w:tcW w:w="534" w:type="dxa"/>
            <w:tcBorders>
              <w:top w:val="single" w:sz="6" w:space="0" w:color="000000"/>
              <w:left w:val="single" w:sz="6" w:space="0" w:color="000000"/>
              <w:bottom w:val="single" w:sz="6" w:space="0" w:color="000000"/>
              <w:right w:val="single" w:sz="6" w:space="0" w:color="000000"/>
            </w:tcBorders>
            <w:vAlign w:val="center"/>
          </w:tcPr>
          <w:p w14:paraId="28EC644A" w14:textId="77777777" w:rsidR="005F4BFD" w:rsidRPr="00FC31C6" w:rsidRDefault="005F4BFD" w:rsidP="0036160E">
            <w:pPr>
              <w:pStyle w:val="naisc"/>
              <w:spacing w:before="0" w:after="0"/>
              <w:rPr>
                <w:sz w:val="18"/>
                <w:szCs w:val="22"/>
              </w:rPr>
            </w:pPr>
            <w:r w:rsidRPr="00FC31C6">
              <w:rPr>
                <w:sz w:val="18"/>
                <w:szCs w:val="22"/>
              </w:rPr>
              <w:t>Nr. p.</w:t>
            </w:r>
            <w:r w:rsidR="00D64FB0" w:rsidRPr="00FC31C6">
              <w:rPr>
                <w:sz w:val="18"/>
                <w:szCs w:val="22"/>
              </w:rPr>
              <w:t> </w:t>
            </w:r>
            <w:r w:rsidRPr="00FC31C6">
              <w:rPr>
                <w:sz w:val="18"/>
                <w:szCs w:val="22"/>
              </w:rPr>
              <w:t>k.</w:t>
            </w:r>
          </w:p>
        </w:tc>
        <w:tc>
          <w:tcPr>
            <w:tcW w:w="1842" w:type="dxa"/>
            <w:tcBorders>
              <w:top w:val="single" w:sz="6" w:space="0" w:color="000000"/>
              <w:left w:val="single" w:sz="6" w:space="0" w:color="000000"/>
              <w:bottom w:val="single" w:sz="6" w:space="0" w:color="000000"/>
              <w:right w:val="single" w:sz="6" w:space="0" w:color="000000"/>
            </w:tcBorders>
            <w:vAlign w:val="center"/>
          </w:tcPr>
          <w:p w14:paraId="0FD044BA" w14:textId="77777777" w:rsidR="005F4BFD" w:rsidRPr="00FC31C6" w:rsidRDefault="005F4BFD" w:rsidP="00364BB6">
            <w:pPr>
              <w:pStyle w:val="naisc"/>
              <w:spacing w:before="0" w:after="0"/>
              <w:ind w:firstLine="12"/>
              <w:rPr>
                <w:sz w:val="18"/>
                <w:szCs w:val="22"/>
              </w:rPr>
            </w:pPr>
            <w:r w:rsidRPr="00FC31C6">
              <w:rPr>
                <w:sz w:val="18"/>
                <w:szCs w:val="22"/>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43E93EE1" w14:textId="77777777" w:rsidR="005F4BFD" w:rsidRPr="00FC31C6" w:rsidRDefault="005F4BFD" w:rsidP="00364BB6">
            <w:pPr>
              <w:pStyle w:val="naisc"/>
              <w:spacing w:before="0" w:after="0"/>
              <w:ind w:right="3"/>
              <w:rPr>
                <w:sz w:val="18"/>
                <w:szCs w:val="22"/>
              </w:rPr>
            </w:pPr>
            <w:r w:rsidRPr="00FC31C6">
              <w:rPr>
                <w:sz w:val="18"/>
                <w:szCs w:val="22"/>
              </w:rPr>
              <w:t>Atzinumā norādītais ministrijas (citas institūcijas) iebildums</w:t>
            </w:r>
            <w:r w:rsidR="00184479" w:rsidRPr="00FC31C6">
              <w:rPr>
                <w:sz w:val="18"/>
                <w:szCs w:val="22"/>
              </w:rPr>
              <w:t>,</w:t>
            </w:r>
            <w:r w:rsidR="000E5509" w:rsidRPr="00FC31C6">
              <w:rPr>
                <w:sz w:val="18"/>
                <w:szCs w:val="22"/>
              </w:rPr>
              <w:t xml:space="preserve"> kā arī saskaņošanā papildus izteiktais iebildums</w:t>
            </w:r>
            <w:r w:rsidRPr="00FC31C6">
              <w:rPr>
                <w:sz w:val="18"/>
                <w:szCs w:val="22"/>
              </w:rPr>
              <w:t xml:space="preserve">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661E1720" w14:textId="77777777" w:rsidR="005F4BFD" w:rsidRPr="00FC31C6" w:rsidRDefault="005F4BFD" w:rsidP="00364BB6">
            <w:pPr>
              <w:pStyle w:val="naisc"/>
              <w:spacing w:before="0" w:after="0"/>
              <w:ind w:firstLine="21"/>
              <w:rPr>
                <w:sz w:val="18"/>
                <w:szCs w:val="22"/>
              </w:rPr>
            </w:pPr>
            <w:r w:rsidRPr="00FC31C6">
              <w:rPr>
                <w:sz w:val="18"/>
                <w:szCs w:val="22"/>
              </w:rPr>
              <w:t>Atbildīgās ministrijas pamatojums</w:t>
            </w:r>
            <w:r w:rsidR="009307F2" w:rsidRPr="00FC31C6">
              <w:rPr>
                <w:sz w:val="18"/>
                <w:szCs w:val="22"/>
              </w:rPr>
              <w:t xml:space="preserve"> iebilduma noraidījumam</w:t>
            </w:r>
          </w:p>
        </w:tc>
        <w:tc>
          <w:tcPr>
            <w:tcW w:w="3685" w:type="dxa"/>
            <w:tcBorders>
              <w:top w:val="single" w:sz="4" w:space="0" w:color="auto"/>
              <w:left w:val="single" w:sz="4" w:space="0" w:color="auto"/>
              <w:bottom w:val="single" w:sz="4" w:space="0" w:color="auto"/>
              <w:right w:val="single" w:sz="4" w:space="0" w:color="auto"/>
            </w:tcBorders>
            <w:vAlign w:val="center"/>
          </w:tcPr>
          <w:p w14:paraId="2B6A1B37" w14:textId="77777777" w:rsidR="005F4BFD" w:rsidRPr="00FC31C6" w:rsidRDefault="005F4BFD" w:rsidP="00364BB6">
            <w:pPr>
              <w:jc w:val="center"/>
              <w:rPr>
                <w:sz w:val="18"/>
                <w:szCs w:val="22"/>
              </w:rPr>
            </w:pPr>
            <w:r w:rsidRPr="00FC31C6">
              <w:rPr>
                <w:sz w:val="18"/>
                <w:szCs w:val="22"/>
              </w:rPr>
              <w:t>Atzinuma sniedzēja uzturētais iebildums, ja tas atšķiras no atzinumā norādītā iebilduma pamatojuma</w:t>
            </w:r>
          </w:p>
        </w:tc>
        <w:tc>
          <w:tcPr>
            <w:tcW w:w="2127" w:type="dxa"/>
            <w:tcBorders>
              <w:top w:val="single" w:sz="4" w:space="0" w:color="auto"/>
              <w:left w:val="single" w:sz="4" w:space="0" w:color="auto"/>
              <w:bottom w:val="single" w:sz="4" w:space="0" w:color="auto"/>
            </w:tcBorders>
            <w:vAlign w:val="center"/>
          </w:tcPr>
          <w:p w14:paraId="20A2D8BC" w14:textId="77777777" w:rsidR="005F4BFD" w:rsidRPr="00FC31C6" w:rsidRDefault="005F4BFD" w:rsidP="00364BB6">
            <w:pPr>
              <w:jc w:val="center"/>
              <w:rPr>
                <w:sz w:val="18"/>
                <w:szCs w:val="22"/>
              </w:rPr>
            </w:pPr>
            <w:r w:rsidRPr="00FC31C6">
              <w:rPr>
                <w:sz w:val="18"/>
                <w:szCs w:val="22"/>
              </w:rPr>
              <w:t>Projekta attiecīgā punkta (panta) galīgā redakcija</w:t>
            </w:r>
          </w:p>
        </w:tc>
      </w:tr>
      <w:tr w:rsidR="005F4BFD" w:rsidRPr="00FC31C6" w14:paraId="30085C81" w14:textId="77777777" w:rsidTr="00462E80">
        <w:tc>
          <w:tcPr>
            <w:tcW w:w="534" w:type="dxa"/>
            <w:tcBorders>
              <w:top w:val="single" w:sz="6" w:space="0" w:color="000000"/>
              <w:left w:val="single" w:sz="6" w:space="0" w:color="000000"/>
              <w:bottom w:val="single" w:sz="6" w:space="0" w:color="000000"/>
              <w:right w:val="single" w:sz="6" w:space="0" w:color="000000"/>
            </w:tcBorders>
          </w:tcPr>
          <w:p w14:paraId="0F1D0E51" w14:textId="77777777" w:rsidR="005F4BFD" w:rsidRPr="00FC31C6" w:rsidRDefault="008A36C9" w:rsidP="008E75F5">
            <w:pPr>
              <w:pStyle w:val="naisc"/>
              <w:spacing w:before="0" w:after="0"/>
              <w:rPr>
                <w:sz w:val="16"/>
                <w:szCs w:val="20"/>
              </w:rPr>
            </w:pPr>
            <w:r w:rsidRPr="00FC31C6">
              <w:rPr>
                <w:sz w:val="16"/>
                <w:szCs w:val="20"/>
              </w:rPr>
              <w:t>1</w:t>
            </w:r>
          </w:p>
        </w:tc>
        <w:tc>
          <w:tcPr>
            <w:tcW w:w="1842" w:type="dxa"/>
            <w:tcBorders>
              <w:top w:val="single" w:sz="6" w:space="0" w:color="000000"/>
              <w:left w:val="single" w:sz="6" w:space="0" w:color="000000"/>
              <w:bottom w:val="single" w:sz="6" w:space="0" w:color="000000"/>
              <w:right w:val="single" w:sz="6" w:space="0" w:color="000000"/>
            </w:tcBorders>
          </w:tcPr>
          <w:p w14:paraId="68BAE794" w14:textId="77777777" w:rsidR="005F4BFD" w:rsidRPr="00FC31C6" w:rsidRDefault="008A36C9" w:rsidP="008E75F5">
            <w:pPr>
              <w:pStyle w:val="naisc"/>
              <w:spacing w:before="0" w:after="0"/>
              <w:rPr>
                <w:sz w:val="16"/>
                <w:szCs w:val="20"/>
              </w:rPr>
            </w:pPr>
            <w:r w:rsidRPr="00FC31C6">
              <w:rPr>
                <w:sz w:val="16"/>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655314C5" w14:textId="77777777" w:rsidR="005F4BFD" w:rsidRPr="00FC31C6" w:rsidRDefault="008A36C9" w:rsidP="008E75F5">
            <w:pPr>
              <w:pStyle w:val="naisc"/>
              <w:spacing w:before="0" w:after="0"/>
              <w:rPr>
                <w:sz w:val="16"/>
                <w:szCs w:val="20"/>
              </w:rPr>
            </w:pPr>
            <w:r w:rsidRPr="00FC31C6">
              <w:rPr>
                <w:sz w:val="16"/>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3F50BB02" w14:textId="77777777" w:rsidR="005F4BFD" w:rsidRPr="00FC31C6" w:rsidRDefault="008A36C9" w:rsidP="008E75F5">
            <w:pPr>
              <w:pStyle w:val="naisc"/>
              <w:spacing w:before="0" w:after="0"/>
              <w:rPr>
                <w:sz w:val="16"/>
                <w:szCs w:val="20"/>
              </w:rPr>
            </w:pPr>
            <w:r w:rsidRPr="00FC31C6">
              <w:rPr>
                <w:sz w:val="16"/>
                <w:szCs w:val="20"/>
              </w:rPr>
              <w:t>4</w:t>
            </w:r>
          </w:p>
        </w:tc>
        <w:tc>
          <w:tcPr>
            <w:tcW w:w="3685" w:type="dxa"/>
            <w:tcBorders>
              <w:top w:val="single" w:sz="4" w:space="0" w:color="auto"/>
              <w:left w:val="single" w:sz="4" w:space="0" w:color="auto"/>
              <w:bottom w:val="single" w:sz="4" w:space="0" w:color="auto"/>
              <w:right w:val="single" w:sz="4" w:space="0" w:color="auto"/>
            </w:tcBorders>
          </w:tcPr>
          <w:p w14:paraId="172315B8" w14:textId="77777777" w:rsidR="005F4BFD" w:rsidRPr="00FC31C6" w:rsidRDefault="008A36C9" w:rsidP="008E75F5">
            <w:pPr>
              <w:jc w:val="center"/>
              <w:rPr>
                <w:sz w:val="16"/>
                <w:szCs w:val="20"/>
              </w:rPr>
            </w:pPr>
            <w:r w:rsidRPr="00FC31C6">
              <w:rPr>
                <w:sz w:val="16"/>
                <w:szCs w:val="20"/>
              </w:rPr>
              <w:t>5</w:t>
            </w:r>
          </w:p>
        </w:tc>
        <w:tc>
          <w:tcPr>
            <w:tcW w:w="2127" w:type="dxa"/>
            <w:tcBorders>
              <w:top w:val="single" w:sz="4" w:space="0" w:color="auto"/>
              <w:left w:val="single" w:sz="4" w:space="0" w:color="auto"/>
              <w:bottom w:val="single" w:sz="4" w:space="0" w:color="auto"/>
            </w:tcBorders>
          </w:tcPr>
          <w:p w14:paraId="3804ED17" w14:textId="77777777" w:rsidR="005F4BFD" w:rsidRPr="00FC31C6" w:rsidRDefault="008A36C9" w:rsidP="008E75F5">
            <w:pPr>
              <w:jc w:val="center"/>
              <w:rPr>
                <w:sz w:val="16"/>
                <w:szCs w:val="20"/>
              </w:rPr>
            </w:pPr>
            <w:r w:rsidRPr="00FC31C6">
              <w:rPr>
                <w:sz w:val="16"/>
                <w:szCs w:val="20"/>
              </w:rPr>
              <w:t>6</w:t>
            </w:r>
          </w:p>
        </w:tc>
      </w:tr>
      <w:tr w:rsidR="001D602D" w:rsidRPr="00FC31C6" w14:paraId="6AE5D6F9" w14:textId="77777777" w:rsidTr="00462E80">
        <w:tc>
          <w:tcPr>
            <w:tcW w:w="534" w:type="dxa"/>
            <w:tcBorders>
              <w:top w:val="single" w:sz="6" w:space="0" w:color="000000"/>
              <w:left w:val="single" w:sz="6" w:space="0" w:color="000000"/>
              <w:bottom w:val="single" w:sz="6" w:space="0" w:color="000000"/>
              <w:right w:val="single" w:sz="6" w:space="0" w:color="000000"/>
            </w:tcBorders>
          </w:tcPr>
          <w:p w14:paraId="47E47A65" w14:textId="77777777" w:rsidR="001D602D" w:rsidRPr="00FC31C6" w:rsidRDefault="001D602D" w:rsidP="001D602D">
            <w:pPr>
              <w:pStyle w:val="naisc"/>
              <w:spacing w:before="0" w:after="0"/>
              <w:rPr>
                <w:sz w:val="16"/>
                <w:szCs w:val="20"/>
              </w:rPr>
            </w:pPr>
          </w:p>
        </w:tc>
        <w:tc>
          <w:tcPr>
            <w:tcW w:w="1842" w:type="dxa"/>
            <w:tcBorders>
              <w:top w:val="single" w:sz="6" w:space="0" w:color="000000"/>
              <w:left w:val="single" w:sz="6" w:space="0" w:color="000000"/>
              <w:bottom w:val="single" w:sz="6" w:space="0" w:color="000000"/>
              <w:right w:val="single" w:sz="6" w:space="0" w:color="000000"/>
            </w:tcBorders>
          </w:tcPr>
          <w:p w14:paraId="23385C18" w14:textId="77777777" w:rsidR="001D602D" w:rsidRPr="00FC31C6" w:rsidRDefault="001D602D" w:rsidP="001D602D">
            <w:pPr>
              <w:pStyle w:val="naisc"/>
              <w:spacing w:before="0" w:after="0"/>
              <w:ind w:firstLine="720"/>
              <w:rPr>
                <w:sz w:val="16"/>
                <w:szCs w:val="20"/>
              </w:rPr>
            </w:pPr>
          </w:p>
        </w:tc>
        <w:tc>
          <w:tcPr>
            <w:tcW w:w="3544" w:type="dxa"/>
            <w:tcBorders>
              <w:top w:val="single" w:sz="6" w:space="0" w:color="000000"/>
              <w:left w:val="single" w:sz="6" w:space="0" w:color="000000"/>
              <w:bottom w:val="single" w:sz="6" w:space="0" w:color="000000"/>
              <w:right w:val="single" w:sz="6" w:space="0" w:color="000000"/>
            </w:tcBorders>
          </w:tcPr>
          <w:p w14:paraId="4431D1AC" w14:textId="4254300B" w:rsidR="001D602D" w:rsidRPr="00FC31C6" w:rsidRDefault="001D602D" w:rsidP="001D602D">
            <w:pPr>
              <w:pStyle w:val="naisc"/>
              <w:spacing w:before="0" w:after="0"/>
              <w:jc w:val="both"/>
              <w:rPr>
                <w:sz w:val="16"/>
                <w:szCs w:val="20"/>
              </w:rPr>
            </w:pPr>
          </w:p>
        </w:tc>
        <w:tc>
          <w:tcPr>
            <w:tcW w:w="3544" w:type="dxa"/>
            <w:tcBorders>
              <w:top w:val="single" w:sz="6" w:space="0" w:color="000000"/>
              <w:left w:val="single" w:sz="6" w:space="0" w:color="000000"/>
              <w:bottom w:val="single" w:sz="6" w:space="0" w:color="000000"/>
              <w:right w:val="single" w:sz="6" w:space="0" w:color="000000"/>
            </w:tcBorders>
          </w:tcPr>
          <w:p w14:paraId="46457BDD" w14:textId="77777777" w:rsidR="001D602D" w:rsidRPr="00FC31C6" w:rsidRDefault="001D602D" w:rsidP="001D602D">
            <w:pPr>
              <w:pStyle w:val="naisc"/>
              <w:spacing w:before="0" w:after="0"/>
              <w:ind w:firstLine="720"/>
              <w:rPr>
                <w:sz w:val="16"/>
                <w:szCs w:val="20"/>
              </w:rPr>
            </w:pPr>
          </w:p>
        </w:tc>
        <w:tc>
          <w:tcPr>
            <w:tcW w:w="3685" w:type="dxa"/>
            <w:tcBorders>
              <w:top w:val="single" w:sz="4" w:space="0" w:color="auto"/>
              <w:left w:val="single" w:sz="4" w:space="0" w:color="auto"/>
              <w:bottom w:val="single" w:sz="4" w:space="0" w:color="auto"/>
              <w:right w:val="single" w:sz="4" w:space="0" w:color="auto"/>
            </w:tcBorders>
          </w:tcPr>
          <w:p w14:paraId="72ADB8F4" w14:textId="77777777" w:rsidR="001D602D" w:rsidRPr="00FC31C6" w:rsidRDefault="001D602D" w:rsidP="001D602D">
            <w:pPr>
              <w:jc w:val="center"/>
              <w:rPr>
                <w:sz w:val="16"/>
                <w:szCs w:val="20"/>
              </w:rPr>
            </w:pPr>
          </w:p>
        </w:tc>
        <w:tc>
          <w:tcPr>
            <w:tcW w:w="2127" w:type="dxa"/>
            <w:tcBorders>
              <w:top w:val="single" w:sz="4" w:space="0" w:color="auto"/>
              <w:left w:val="single" w:sz="4" w:space="0" w:color="auto"/>
              <w:bottom w:val="single" w:sz="4" w:space="0" w:color="auto"/>
            </w:tcBorders>
          </w:tcPr>
          <w:p w14:paraId="0D9D6985" w14:textId="77777777" w:rsidR="001D602D" w:rsidRPr="00FC31C6" w:rsidRDefault="001D602D" w:rsidP="001D602D">
            <w:pPr>
              <w:jc w:val="center"/>
              <w:rPr>
                <w:sz w:val="16"/>
                <w:szCs w:val="20"/>
              </w:rPr>
            </w:pPr>
          </w:p>
        </w:tc>
      </w:tr>
    </w:tbl>
    <w:p w14:paraId="344EC5F0" w14:textId="77777777" w:rsidR="005D67F7" w:rsidRPr="00FC31C6" w:rsidRDefault="005D67F7" w:rsidP="005D67F7">
      <w:pPr>
        <w:pStyle w:val="naisf"/>
        <w:spacing w:before="0" w:after="0"/>
        <w:ind w:firstLine="0"/>
        <w:rPr>
          <w:b/>
          <w:sz w:val="20"/>
        </w:rPr>
      </w:pPr>
      <w:r w:rsidRPr="00FC31C6">
        <w:rPr>
          <w:b/>
          <w:sz w:val="20"/>
        </w:rPr>
        <w:t xml:space="preserve">Informācija par </w:t>
      </w:r>
      <w:proofErr w:type="spellStart"/>
      <w:r w:rsidRPr="00FC31C6">
        <w:rPr>
          <w:b/>
          <w:sz w:val="20"/>
        </w:rPr>
        <w:t>starpministriju</w:t>
      </w:r>
      <w:proofErr w:type="spellEnd"/>
      <w:r w:rsidRPr="00FC31C6">
        <w:rPr>
          <w:b/>
          <w:sz w:val="20"/>
        </w:rPr>
        <w:t xml:space="preserve"> (starpinstitūciju) sanāksmi vai elektronisko saskaņošanu</w:t>
      </w:r>
    </w:p>
    <w:p w14:paraId="4D0C457A" w14:textId="77777777" w:rsidR="005D67F7" w:rsidRPr="00FC31C6" w:rsidRDefault="005D67F7" w:rsidP="005D67F7">
      <w:pPr>
        <w:pStyle w:val="naisf"/>
        <w:spacing w:before="0" w:after="0"/>
        <w:ind w:firstLine="0"/>
        <w:rPr>
          <w:b/>
          <w:sz w:val="20"/>
        </w:rPr>
      </w:pPr>
    </w:p>
    <w:tbl>
      <w:tblPr>
        <w:tblW w:w="14933" w:type="dxa"/>
        <w:tblLook w:val="00A0" w:firstRow="1" w:lastRow="0" w:firstColumn="1" w:lastColumn="0" w:noHBand="0" w:noVBand="0"/>
      </w:tblPr>
      <w:tblGrid>
        <w:gridCol w:w="6671"/>
        <w:gridCol w:w="139"/>
        <w:gridCol w:w="239"/>
        <w:gridCol w:w="612"/>
        <w:gridCol w:w="7272"/>
      </w:tblGrid>
      <w:tr w:rsidR="007B4C0F" w:rsidRPr="00FC31C6" w14:paraId="11E09FD4" w14:textId="77777777" w:rsidTr="00ED3F79">
        <w:trPr>
          <w:trHeight w:val="328"/>
        </w:trPr>
        <w:tc>
          <w:tcPr>
            <w:tcW w:w="6671" w:type="dxa"/>
          </w:tcPr>
          <w:p w14:paraId="6AD2497C" w14:textId="77777777" w:rsidR="007B4C0F" w:rsidRPr="00FC31C6" w:rsidRDefault="005D67F7" w:rsidP="005D67F7">
            <w:pPr>
              <w:pStyle w:val="naisf"/>
              <w:spacing w:before="0" w:after="0"/>
              <w:ind w:firstLine="0"/>
              <w:rPr>
                <w:sz w:val="20"/>
              </w:rPr>
            </w:pPr>
            <w:r w:rsidRPr="00FC31C6">
              <w:rPr>
                <w:sz w:val="20"/>
              </w:rPr>
              <w:t>D</w:t>
            </w:r>
            <w:r w:rsidR="007B4C0F" w:rsidRPr="00FC31C6">
              <w:rPr>
                <w:sz w:val="20"/>
              </w:rPr>
              <w:t>atums</w:t>
            </w:r>
          </w:p>
        </w:tc>
        <w:tc>
          <w:tcPr>
            <w:tcW w:w="8261" w:type="dxa"/>
            <w:gridSpan w:val="4"/>
            <w:tcBorders>
              <w:bottom w:val="single" w:sz="4" w:space="0" w:color="auto"/>
            </w:tcBorders>
          </w:tcPr>
          <w:p w14:paraId="272D6713" w14:textId="77777777" w:rsidR="007B4C0F" w:rsidRDefault="006A0F47" w:rsidP="00DB6272">
            <w:pPr>
              <w:pStyle w:val="NormalWeb"/>
              <w:spacing w:before="0" w:beforeAutospacing="0" w:after="0" w:afterAutospacing="0"/>
              <w:rPr>
                <w:sz w:val="20"/>
              </w:rPr>
            </w:pPr>
            <w:r>
              <w:rPr>
                <w:sz w:val="20"/>
              </w:rPr>
              <w:t xml:space="preserve">Noteikumu projekts </w:t>
            </w:r>
            <w:r w:rsidRPr="006A0F47">
              <w:rPr>
                <w:sz w:val="20"/>
              </w:rPr>
              <w:t>Valsts sekretāru sanāksmē tika izsludināts</w:t>
            </w:r>
            <w:r>
              <w:rPr>
                <w:sz w:val="20"/>
              </w:rPr>
              <w:t xml:space="preserve"> 201</w:t>
            </w:r>
            <w:r w:rsidR="00441119">
              <w:rPr>
                <w:sz w:val="20"/>
              </w:rPr>
              <w:t>9</w:t>
            </w:r>
            <w:r>
              <w:rPr>
                <w:sz w:val="20"/>
              </w:rPr>
              <w:t xml:space="preserve">.gada </w:t>
            </w:r>
            <w:r w:rsidR="00441119">
              <w:rPr>
                <w:sz w:val="20"/>
              </w:rPr>
              <w:t>10</w:t>
            </w:r>
            <w:r>
              <w:rPr>
                <w:sz w:val="20"/>
              </w:rPr>
              <w:t>.</w:t>
            </w:r>
            <w:r w:rsidR="00441119">
              <w:rPr>
                <w:sz w:val="20"/>
              </w:rPr>
              <w:t>oktobrī</w:t>
            </w:r>
            <w:r>
              <w:rPr>
                <w:sz w:val="20"/>
              </w:rPr>
              <w:t xml:space="preserve"> (</w:t>
            </w:r>
            <w:r w:rsidRPr="006A0F47">
              <w:rPr>
                <w:sz w:val="20"/>
              </w:rPr>
              <w:t>VSS-</w:t>
            </w:r>
            <w:r w:rsidR="00441119">
              <w:rPr>
                <w:sz w:val="20"/>
              </w:rPr>
              <w:t>1024</w:t>
            </w:r>
            <w:r>
              <w:rPr>
                <w:sz w:val="20"/>
              </w:rPr>
              <w:t>)</w:t>
            </w:r>
            <w:r w:rsidR="00625C47">
              <w:rPr>
                <w:sz w:val="20"/>
              </w:rPr>
              <w:t>.</w:t>
            </w:r>
          </w:p>
          <w:p w14:paraId="3B32407C" w14:textId="030B55B6" w:rsidR="008C55B6" w:rsidRPr="00FC31C6" w:rsidRDefault="008C55B6" w:rsidP="00DB6272">
            <w:pPr>
              <w:pStyle w:val="NormalWeb"/>
              <w:spacing w:before="0" w:beforeAutospacing="0" w:after="0" w:afterAutospacing="0"/>
              <w:rPr>
                <w:sz w:val="20"/>
              </w:rPr>
            </w:pPr>
            <w:r>
              <w:rPr>
                <w:sz w:val="20"/>
              </w:rPr>
              <w:t xml:space="preserve">Elektroniskā saskaņošana nav notikusi. </w:t>
            </w:r>
            <w:bookmarkStart w:id="0" w:name="_GoBack"/>
            <w:bookmarkEnd w:id="0"/>
            <w:r>
              <w:rPr>
                <w:sz w:val="20"/>
              </w:rPr>
              <w:t xml:space="preserve"> </w:t>
            </w:r>
          </w:p>
        </w:tc>
      </w:tr>
      <w:tr w:rsidR="003C27A2" w:rsidRPr="00FC31C6" w14:paraId="6A600547" w14:textId="77777777" w:rsidTr="00ED3F79">
        <w:trPr>
          <w:trHeight w:val="159"/>
        </w:trPr>
        <w:tc>
          <w:tcPr>
            <w:tcW w:w="6671" w:type="dxa"/>
          </w:tcPr>
          <w:p w14:paraId="71604621" w14:textId="77777777" w:rsidR="003C27A2" w:rsidRPr="00FC31C6" w:rsidRDefault="003C27A2" w:rsidP="007B4C0F">
            <w:pPr>
              <w:pStyle w:val="naisf"/>
              <w:spacing w:before="0" w:after="0"/>
              <w:ind w:firstLine="0"/>
              <w:rPr>
                <w:sz w:val="20"/>
              </w:rPr>
            </w:pPr>
          </w:p>
        </w:tc>
        <w:tc>
          <w:tcPr>
            <w:tcW w:w="8261" w:type="dxa"/>
            <w:gridSpan w:val="4"/>
            <w:tcBorders>
              <w:top w:val="single" w:sz="4" w:space="0" w:color="auto"/>
            </w:tcBorders>
          </w:tcPr>
          <w:p w14:paraId="156F5015" w14:textId="77777777" w:rsidR="003C27A2" w:rsidRPr="00FC31C6" w:rsidRDefault="003C27A2" w:rsidP="0036160E">
            <w:pPr>
              <w:pStyle w:val="NormalWeb"/>
              <w:spacing w:before="0" w:beforeAutospacing="0" w:after="0" w:afterAutospacing="0"/>
              <w:ind w:firstLine="720"/>
              <w:rPr>
                <w:sz w:val="20"/>
              </w:rPr>
            </w:pPr>
          </w:p>
        </w:tc>
      </w:tr>
      <w:tr w:rsidR="007B4C0F" w:rsidRPr="00FC31C6" w14:paraId="1580AD5F" w14:textId="77777777" w:rsidTr="00ED3F79">
        <w:trPr>
          <w:trHeight w:val="488"/>
        </w:trPr>
        <w:tc>
          <w:tcPr>
            <w:tcW w:w="6671" w:type="dxa"/>
          </w:tcPr>
          <w:p w14:paraId="00B751DC" w14:textId="77777777" w:rsidR="007B4C0F" w:rsidRPr="00FC31C6" w:rsidRDefault="00365CC0" w:rsidP="003C27A2">
            <w:pPr>
              <w:pStyle w:val="naiskr"/>
              <w:spacing w:before="0" w:after="0"/>
              <w:rPr>
                <w:sz w:val="20"/>
              </w:rPr>
            </w:pPr>
            <w:r w:rsidRPr="00FC31C6">
              <w:rPr>
                <w:sz w:val="20"/>
              </w:rPr>
              <w:t>Saskaņošanas dalībnieki</w:t>
            </w:r>
          </w:p>
        </w:tc>
        <w:tc>
          <w:tcPr>
            <w:tcW w:w="8261" w:type="dxa"/>
            <w:gridSpan w:val="4"/>
          </w:tcPr>
          <w:p w14:paraId="13CC08F7" w14:textId="633D92CA" w:rsidR="007B4C0F" w:rsidRPr="00EA50D8" w:rsidRDefault="007B4C0F" w:rsidP="00DB6272">
            <w:pPr>
              <w:pStyle w:val="NormalWeb"/>
              <w:spacing w:before="0" w:beforeAutospacing="0" w:after="0" w:afterAutospacing="0"/>
              <w:rPr>
                <w:sz w:val="20"/>
                <w:u w:val="single"/>
              </w:rPr>
            </w:pPr>
          </w:p>
        </w:tc>
      </w:tr>
      <w:tr w:rsidR="000D0AED" w:rsidRPr="00FC31C6" w14:paraId="0685B3E0" w14:textId="77777777" w:rsidTr="00ED3F79">
        <w:trPr>
          <w:trHeight w:val="201"/>
        </w:trPr>
        <w:tc>
          <w:tcPr>
            <w:tcW w:w="6671" w:type="dxa"/>
          </w:tcPr>
          <w:p w14:paraId="0487D8FD" w14:textId="77777777" w:rsidR="000D0AED" w:rsidRPr="00FC31C6" w:rsidRDefault="000D0AED" w:rsidP="000D0AED">
            <w:pPr>
              <w:pStyle w:val="naiskr"/>
              <w:spacing w:before="0" w:after="0"/>
              <w:rPr>
                <w:sz w:val="20"/>
              </w:rPr>
            </w:pPr>
          </w:p>
        </w:tc>
        <w:tc>
          <w:tcPr>
            <w:tcW w:w="990" w:type="dxa"/>
            <w:gridSpan w:val="3"/>
          </w:tcPr>
          <w:p w14:paraId="6A9C17F8" w14:textId="77777777" w:rsidR="000D0AED" w:rsidRPr="00FC31C6" w:rsidRDefault="000D0AED" w:rsidP="0036160E">
            <w:pPr>
              <w:pStyle w:val="naiskr"/>
              <w:spacing w:before="0" w:after="0"/>
              <w:ind w:firstLine="720"/>
              <w:rPr>
                <w:sz w:val="20"/>
              </w:rPr>
            </w:pPr>
          </w:p>
        </w:tc>
        <w:tc>
          <w:tcPr>
            <w:tcW w:w="7271" w:type="dxa"/>
          </w:tcPr>
          <w:p w14:paraId="0150742E" w14:textId="77777777" w:rsidR="000D0AED" w:rsidRPr="00FC31C6" w:rsidRDefault="000D0AED" w:rsidP="0036160E">
            <w:pPr>
              <w:pStyle w:val="naiskr"/>
              <w:spacing w:before="0" w:after="0"/>
              <w:ind w:firstLine="12"/>
              <w:rPr>
                <w:sz w:val="20"/>
              </w:rPr>
            </w:pPr>
          </w:p>
        </w:tc>
      </w:tr>
      <w:tr w:rsidR="007B4C0F" w:rsidRPr="00FC31C6" w14:paraId="18D1DD7D" w14:textId="77777777" w:rsidTr="00ED3F79">
        <w:trPr>
          <w:trHeight w:val="201"/>
        </w:trPr>
        <w:tc>
          <w:tcPr>
            <w:tcW w:w="6810" w:type="dxa"/>
            <w:gridSpan w:val="2"/>
          </w:tcPr>
          <w:p w14:paraId="52523D77" w14:textId="77777777" w:rsidR="007B4C0F" w:rsidRPr="00FC31C6" w:rsidRDefault="00365CC0" w:rsidP="000D0AED">
            <w:pPr>
              <w:pStyle w:val="naiskr"/>
              <w:spacing w:before="0" w:after="0"/>
              <w:rPr>
                <w:sz w:val="20"/>
              </w:rPr>
            </w:pPr>
            <w:r w:rsidRPr="00FC31C6">
              <w:rPr>
                <w:sz w:val="20"/>
              </w:rPr>
              <w:t xml:space="preserve">Saskaņošanas dalībnieki </w:t>
            </w:r>
            <w:r w:rsidR="007B4C0F" w:rsidRPr="00FC31C6">
              <w:rPr>
                <w:sz w:val="20"/>
              </w:rPr>
              <w:t>izskatīja</w:t>
            </w:r>
            <w:r w:rsidR="005D67F7" w:rsidRPr="00FC31C6">
              <w:rPr>
                <w:sz w:val="20"/>
              </w:rPr>
              <w:t xml:space="preserve"> šādu ministriju </w:t>
            </w:r>
            <w:r w:rsidR="003E4C3F" w:rsidRPr="00FC31C6">
              <w:rPr>
                <w:sz w:val="20"/>
              </w:rPr>
              <w:t>(c</w:t>
            </w:r>
            <w:r w:rsidR="005D67F7" w:rsidRPr="00FC31C6">
              <w:rPr>
                <w:sz w:val="20"/>
              </w:rPr>
              <w:t>itu institūciju</w:t>
            </w:r>
            <w:r w:rsidR="003E4C3F" w:rsidRPr="00FC31C6">
              <w:rPr>
                <w:sz w:val="20"/>
              </w:rPr>
              <w:t>)</w:t>
            </w:r>
            <w:r w:rsidR="005D67F7" w:rsidRPr="00FC31C6">
              <w:rPr>
                <w:sz w:val="20"/>
              </w:rPr>
              <w:t xml:space="preserve"> iebildumus</w:t>
            </w:r>
          </w:p>
        </w:tc>
        <w:tc>
          <w:tcPr>
            <w:tcW w:w="239" w:type="dxa"/>
          </w:tcPr>
          <w:p w14:paraId="380CE032" w14:textId="77777777" w:rsidR="007B4C0F" w:rsidRPr="00FC31C6" w:rsidRDefault="007B4C0F" w:rsidP="0036160E">
            <w:pPr>
              <w:pStyle w:val="naiskr"/>
              <w:spacing w:before="0" w:after="0"/>
              <w:ind w:firstLine="720"/>
              <w:rPr>
                <w:sz w:val="20"/>
              </w:rPr>
            </w:pPr>
          </w:p>
        </w:tc>
        <w:tc>
          <w:tcPr>
            <w:tcW w:w="7883" w:type="dxa"/>
            <w:gridSpan w:val="2"/>
          </w:tcPr>
          <w:p w14:paraId="6101B035" w14:textId="4C353357" w:rsidR="007B4C0F" w:rsidRPr="00FC31C6" w:rsidRDefault="007B4C0F" w:rsidP="00DB6272">
            <w:pPr>
              <w:pStyle w:val="naiskr"/>
              <w:spacing w:before="0" w:after="0"/>
              <w:rPr>
                <w:sz w:val="20"/>
              </w:rPr>
            </w:pPr>
          </w:p>
        </w:tc>
      </w:tr>
      <w:tr w:rsidR="003C27A2" w:rsidRPr="00FC31C6" w14:paraId="6B0C7023" w14:textId="77777777" w:rsidTr="00ED3F79">
        <w:trPr>
          <w:trHeight w:val="100"/>
        </w:trPr>
        <w:tc>
          <w:tcPr>
            <w:tcW w:w="6810" w:type="dxa"/>
            <w:gridSpan w:val="2"/>
          </w:tcPr>
          <w:p w14:paraId="462ABE08" w14:textId="77777777" w:rsidR="003C27A2" w:rsidRPr="00FC31C6" w:rsidRDefault="003C27A2" w:rsidP="0036160E">
            <w:pPr>
              <w:pStyle w:val="naiskr"/>
              <w:spacing w:before="0" w:after="0"/>
              <w:ind w:firstLine="720"/>
              <w:rPr>
                <w:sz w:val="20"/>
              </w:rPr>
            </w:pPr>
            <w:r w:rsidRPr="00FC31C6">
              <w:rPr>
                <w:sz w:val="20"/>
              </w:rPr>
              <w:t>  </w:t>
            </w:r>
          </w:p>
        </w:tc>
        <w:tc>
          <w:tcPr>
            <w:tcW w:w="8122" w:type="dxa"/>
            <w:gridSpan w:val="3"/>
            <w:tcBorders>
              <w:top w:val="single" w:sz="6" w:space="0" w:color="000000"/>
              <w:bottom w:val="single" w:sz="6" w:space="0" w:color="000000"/>
            </w:tcBorders>
          </w:tcPr>
          <w:p w14:paraId="70C90688" w14:textId="77777777" w:rsidR="003C27A2" w:rsidRPr="00FC31C6" w:rsidRDefault="003C27A2" w:rsidP="0036160E">
            <w:pPr>
              <w:pStyle w:val="NormalWeb"/>
              <w:spacing w:before="0" w:beforeAutospacing="0" w:after="0" w:afterAutospacing="0"/>
              <w:ind w:firstLine="720"/>
              <w:rPr>
                <w:sz w:val="20"/>
              </w:rPr>
            </w:pPr>
          </w:p>
        </w:tc>
      </w:tr>
      <w:tr w:rsidR="007B4C0F" w:rsidRPr="00FC31C6" w14:paraId="6E98A039" w14:textId="77777777" w:rsidTr="00ED3F79">
        <w:trPr>
          <w:trHeight w:val="328"/>
        </w:trPr>
        <w:tc>
          <w:tcPr>
            <w:tcW w:w="14933" w:type="dxa"/>
            <w:gridSpan w:val="5"/>
          </w:tcPr>
          <w:p w14:paraId="5736DBBC" w14:textId="77777777" w:rsidR="007B4C0F" w:rsidRPr="00FC31C6" w:rsidRDefault="007B4C0F" w:rsidP="003C27A2">
            <w:pPr>
              <w:pStyle w:val="naisc"/>
              <w:spacing w:before="0" w:after="0"/>
              <w:ind w:left="4820" w:firstLine="720"/>
              <w:rPr>
                <w:sz w:val="20"/>
              </w:rPr>
            </w:pPr>
          </w:p>
        </w:tc>
      </w:tr>
      <w:tr w:rsidR="007B4C0F" w:rsidRPr="00FC31C6" w14:paraId="2BA89B1C" w14:textId="77777777" w:rsidTr="00ED3F79">
        <w:trPr>
          <w:trHeight w:val="328"/>
        </w:trPr>
        <w:tc>
          <w:tcPr>
            <w:tcW w:w="6810" w:type="dxa"/>
            <w:gridSpan w:val="2"/>
          </w:tcPr>
          <w:p w14:paraId="70479E3E" w14:textId="77777777" w:rsidR="007B4C0F" w:rsidRPr="00FC31C6" w:rsidRDefault="007B4C0F" w:rsidP="0036160E">
            <w:pPr>
              <w:pStyle w:val="naiskr"/>
              <w:spacing w:before="0" w:after="0"/>
              <w:rPr>
                <w:sz w:val="20"/>
              </w:rPr>
            </w:pPr>
            <w:r w:rsidRPr="00FC31C6">
              <w:rPr>
                <w:sz w:val="20"/>
              </w:rPr>
              <w:t>Ministrijas (citas institūcijas), kuras nav ieradušās uz sanāksmi vai kuras nav atbildējušas uz uzaicinājumu piedalīties elektroniskajā saskaņošanā</w:t>
            </w:r>
          </w:p>
        </w:tc>
        <w:tc>
          <w:tcPr>
            <w:tcW w:w="8122" w:type="dxa"/>
            <w:gridSpan w:val="3"/>
          </w:tcPr>
          <w:p w14:paraId="068EB453" w14:textId="0B4F7560" w:rsidR="007B4C0F" w:rsidRPr="00FC31C6" w:rsidRDefault="007B4C0F" w:rsidP="00DB6272">
            <w:pPr>
              <w:pStyle w:val="naiskr"/>
              <w:spacing w:before="0" w:after="0"/>
              <w:rPr>
                <w:sz w:val="20"/>
              </w:rPr>
            </w:pPr>
          </w:p>
        </w:tc>
      </w:tr>
      <w:tr w:rsidR="007B4C0F" w:rsidRPr="00FC31C6" w14:paraId="09A21E8B" w14:textId="77777777" w:rsidTr="00ED3F79">
        <w:trPr>
          <w:trHeight w:val="168"/>
        </w:trPr>
        <w:tc>
          <w:tcPr>
            <w:tcW w:w="6810" w:type="dxa"/>
            <w:gridSpan w:val="2"/>
          </w:tcPr>
          <w:p w14:paraId="7E535B88" w14:textId="77777777" w:rsidR="007B4C0F" w:rsidRPr="00FC31C6" w:rsidRDefault="007B4C0F" w:rsidP="0036160E">
            <w:pPr>
              <w:pStyle w:val="naiskr"/>
              <w:spacing w:before="0" w:after="0"/>
              <w:ind w:firstLine="720"/>
              <w:rPr>
                <w:sz w:val="20"/>
              </w:rPr>
            </w:pPr>
            <w:r w:rsidRPr="00FC31C6">
              <w:rPr>
                <w:sz w:val="20"/>
              </w:rPr>
              <w:t>  </w:t>
            </w:r>
          </w:p>
        </w:tc>
        <w:tc>
          <w:tcPr>
            <w:tcW w:w="8122" w:type="dxa"/>
            <w:gridSpan w:val="3"/>
            <w:tcBorders>
              <w:top w:val="single" w:sz="6" w:space="0" w:color="000000"/>
              <w:bottom w:val="single" w:sz="6" w:space="0" w:color="000000"/>
            </w:tcBorders>
          </w:tcPr>
          <w:p w14:paraId="5EEB72DB" w14:textId="49B4A986" w:rsidR="007B4C0F" w:rsidRPr="00FC31C6" w:rsidRDefault="0043349E" w:rsidP="00DB6272">
            <w:pPr>
              <w:pStyle w:val="naiskr"/>
              <w:spacing w:before="0" w:after="0"/>
              <w:rPr>
                <w:sz w:val="20"/>
              </w:rPr>
            </w:pPr>
            <w:r>
              <w:rPr>
                <w:sz w:val="20"/>
              </w:rPr>
              <w:t xml:space="preserve"> </w:t>
            </w:r>
          </w:p>
        </w:tc>
      </w:tr>
      <w:tr w:rsidR="007B4C0F" w:rsidRPr="00FC31C6" w14:paraId="247F8F55" w14:textId="77777777" w:rsidTr="00ED3F79">
        <w:trPr>
          <w:trHeight w:val="159"/>
        </w:trPr>
        <w:tc>
          <w:tcPr>
            <w:tcW w:w="6810" w:type="dxa"/>
            <w:gridSpan w:val="2"/>
          </w:tcPr>
          <w:p w14:paraId="2B7A6BF3" w14:textId="77777777" w:rsidR="007B4C0F" w:rsidRPr="00FC31C6" w:rsidRDefault="007B4C0F" w:rsidP="0036160E">
            <w:pPr>
              <w:pStyle w:val="naiskr"/>
              <w:spacing w:before="0" w:after="0"/>
              <w:ind w:firstLine="720"/>
              <w:rPr>
                <w:sz w:val="20"/>
              </w:rPr>
            </w:pPr>
            <w:r w:rsidRPr="00FC31C6">
              <w:rPr>
                <w:sz w:val="20"/>
              </w:rPr>
              <w:t>  </w:t>
            </w:r>
          </w:p>
        </w:tc>
        <w:tc>
          <w:tcPr>
            <w:tcW w:w="8122" w:type="dxa"/>
            <w:gridSpan w:val="3"/>
            <w:tcBorders>
              <w:bottom w:val="single" w:sz="6" w:space="0" w:color="000000"/>
            </w:tcBorders>
          </w:tcPr>
          <w:p w14:paraId="128C1EA0" w14:textId="77777777" w:rsidR="007B4C0F" w:rsidRPr="00FC31C6" w:rsidRDefault="007B4C0F" w:rsidP="0036160E">
            <w:pPr>
              <w:pStyle w:val="naiskr"/>
              <w:spacing w:before="0" w:after="0"/>
              <w:ind w:firstLine="720"/>
              <w:rPr>
                <w:sz w:val="20"/>
              </w:rPr>
            </w:pPr>
          </w:p>
        </w:tc>
      </w:tr>
    </w:tbl>
    <w:p w14:paraId="4CAA73FD" w14:textId="3E8F947A" w:rsidR="00F868B9" w:rsidRDefault="00F868B9" w:rsidP="00F868B9">
      <w:pPr>
        <w:pStyle w:val="naisf"/>
        <w:spacing w:before="0" w:after="0"/>
        <w:ind w:firstLine="0"/>
        <w:jc w:val="center"/>
        <w:rPr>
          <w:b/>
          <w:sz w:val="20"/>
        </w:rPr>
      </w:pPr>
    </w:p>
    <w:p w14:paraId="253FDA2C" w14:textId="1DA19943" w:rsidR="00AD798B" w:rsidRDefault="00AD798B" w:rsidP="00F868B9">
      <w:pPr>
        <w:pStyle w:val="naisf"/>
        <w:spacing w:before="0" w:after="0"/>
        <w:ind w:firstLine="0"/>
        <w:jc w:val="center"/>
        <w:rPr>
          <w:b/>
          <w:sz w:val="20"/>
        </w:rPr>
      </w:pPr>
    </w:p>
    <w:p w14:paraId="5B81598F" w14:textId="6BC873F7" w:rsidR="00AD798B" w:rsidRDefault="00AD798B" w:rsidP="00F868B9">
      <w:pPr>
        <w:pStyle w:val="naisf"/>
        <w:spacing w:before="0" w:after="0"/>
        <w:ind w:firstLine="0"/>
        <w:jc w:val="center"/>
        <w:rPr>
          <w:b/>
          <w:sz w:val="20"/>
        </w:rPr>
      </w:pPr>
    </w:p>
    <w:p w14:paraId="0415AEB0" w14:textId="4EDB5567" w:rsidR="001F1CB2" w:rsidRDefault="001F1CB2" w:rsidP="00F868B9">
      <w:pPr>
        <w:pStyle w:val="naisf"/>
        <w:spacing w:before="0" w:after="0"/>
        <w:ind w:firstLine="0"/>
        <w:jc w:val="center"/>
        <w:rPr>
          <w:b/>
          <w:sz w:val="20"/>
        </w:rPr>
      </w:pPr>
    </w:p>
    <w:p w14:paraId="4F68247D" w14:textId="694CA19B" w:rsidR="001F1CB2" w:rsidRDefault="001F1CB2" w:rsidP="00F868B9">
      <w:pPr>
        <w:pStyle w:val="naisf"/>
        <w:spacing w:before="0" w:after="0"/>
        <w:ind w:firstLine="0"/>
        <w:jc w:val="center"/>
        <w:rPr>
          <w:b/>
          <w:sz w:val="20"/>
        </w:rPr>
      </w:pPr>
    </w:p>
    <w:p w14:paraId="3BE09B1D" w14:textId="5733A260" w:rsidR="001F1CB2" w:rsidRDefault="001F1CB2" w:rsidP="00F868B9">
      <w:pPr>
        <w:pStyle w:val="naisf"/>
        <w:spacing w:before="0" w:after="0"/>
        <w:ind w:firstLine="0"/>
        <w:jc w:val="center"/>
        <w:rPr>
          <w:b/>
          <w:sz w:val="20"/>
        </w:rPr>
      </w:pPr>
    </w:p>
    <w:p w14:paraId="72E93369" w14:textId="77662A9E" w:rsidR="000E7058" w:rsidRDefault="000E7058" w:rsidP="00F868B9">
      <w:pPr>
        <w:pStyle w:val="naisf"/>
        <w:spacing w:before="0" w:after="0"/>
        <w:ind w:firstLine="0"/>
        <w:jc w:val="center"/>
        <w:rPr>
          <w:b/>
          <w:sz w:val="20"/>
        </w:rPr>
      </w:pPr>
    </w:p>
    <w:p w14:paraId="257DE9C2" w14:textId="6A7D82C7" w:rsidR="000E7058" w:rsidRDefault="000E7058" w:rsidP="00F868B9">
      <w:pPr>
        <w:pStyle w:val="naisf"/>
        <w:spacing w:before="0" w:after="0"/>
        <w:ind w:firstLine="0"/>
        <w:jc w:val="center"/>
        <w:rPr>
          <w:b/>
          <w:sz w:val="20"/>
        </w:rPr>
      </w:pPr>
    </w:p>
    <w:p w14:paraId="6C0EFB2F" w14:textId="77777777" w:rsidR="000E7058" w:rsidRDefault="000E7058" w:rsidP="00F868B9">
      <w:pPr>
        <w:pStyle w:val="naisf"/>
        <w:spacing w:before="0" w:after="0"/>
        <w:ind w:firstLine="0"/>
        <w:jc w:val="center"/>
        <w:rPr>
          <w:b/>
          <w:sz w:val="20"/>
        </w:rPr>
      </w:pPr>
    </w:p>
    <w:p w14:paraId="783E952A" w14:textId="13ED6C50" w:rsidR="001F1CB2" w:rsidRDefault="001F1CB2" w:rsidP="00F868B9">
      <w:pPr>
        <w:pStyle w:val="naisf"/>
        <w:spacing w:before="0" w:after="0"/>
        <w:ind w:firstLine="0"/>
        <w:jc w:val="center"/>
        <w:rPr>
          <w:b/>
          <w:sz w:val="20"/>
        </w:rPr>
      </w:pPr>
    </w:p>
    <w:p w14:paraId="1660FCE0" w14:textId="21D1DF9D" w:rsidR="001F1CB2" w:rsidRDefault="001F1CB2" w:rsidP="00F868B9">
      <w:pPr>
        <w:pStyle w:val="naisf"/>
        <w:spacing w:before="0" w:after="0"/>
        <w:ind w:firstLine="0"/>
        <w:jc w:val="center"/>
        <w:rPr>
          <w:b/>
          <w:sz w:val="20"/>
        </w:rPr>
      </w:pPr>
    </w:p>
    <w:p w14:paraId="0B7C5365" w14:textId="3B97F680" w:rsidR="001F1CB2" w:rsidRDefault="001F1CB2" w:rsidP="00F868B9">
      <w:pPr>
        <w:pStyle w:val="naisf"/>
        <w:spacing w:before="0" w:after="0"/>
        <w:ind w:firstLine="0"/>
        <w:jc w:val="center"/>
        <w:rPr>
          <w:b/>
          <w:sz w:val="20"/>
        </w:rPr>
      </w:pPr>
    </w:p>
    <w:p w14:paraId="4FD857CD" w14:textId="39AD425E" w:rsidR="001F1CB2" w:rsidRDefault="001F1CB2" w:rsidP="00F868B9">
      <w:pPr>
        <w:pStyle w:val="naisf"/>
        <w:spacing w:before="0" w:after="0"/>
        <w:ind w:firstLine="0"/>
        <w:jc w:val="center"/>
        <w:rPr>
          <w:b/>
          <w:sz w:val="20"/>
        </w:rPr>
      </w:pPr>
    </w:p>
    <w:p w14:paraId="46D7E365" w14:textId="633B6BF6" w:rsidR="001F1CB2" w:rsidRDefault="001F1CB2" w:rsidP="00F868B9">
      <w:pPr>
        <w:pStyle w:val="naisf"/>
        <w:spacing w:before="0" w:after="0"/>
        <w:ind w:firstLine="0"/>
        <w:jc w:val="center"/>
        <w:rPr>
          <w:b/>
          <w:sz w:val="20"/>
        </w:rPr>
      </w:pPr>
    </w:p>
    <w:p w14:paraId="79A9A723" w14:textId="7C7DE3B2" w:rsidR="001F1CB2" w:rsidRDefault="001F1CB2" w:rsidP="00F868B9">
      <w:pPr>
        <w:pStyle w:val="naisf"/>
        <w:spacing w:before="0" w:after="0"/>
        <w:ind w:firstLine="0"/>
        <w:jc w:val="center"/>
        <w:rPr>
          <w:b/>
          <w:sz w:val="20"/>
        </w:rPr>
      </w:pPr>
    </w:p>
    <w:p w14:paraId="049518C8" w14:textId="77777777" w:rsidR="001F1CB2" w:rsidRDefault="001F1CB2" w:rsidP="00F868B9">
      <w:pPr>
        <w:pStyle w:val="naisf"/>
        <w:spacing w:before="0" w:after="0"/>
        <w:ind w:firstLine="0"/>
        <w:jc w:val="center"/>
        <w:rPr>
          <w:b/>
          <w:sz w:val="20"/>
        </w:rPr>
      </w:pPr>
    </w:p>
    <w:p w14:paraId="397847EF" w14:textId="77777777" w:rsidR="00AD798B" w:rsidRDefault="00AD798B" w:rsidP="00F868B9">
      <w:pPr>
        <w:pStyle w:val="naisf"/>
        <w:spacing w:before="0" w:after="0"/>
        <w:ind w:firstLine="0"/>
        <w:jc w:val="center"/>
        <w:rPr>
          <w:b/>
          <w:sz w:val="20"/>
        </w:rPr>
      </w:pPr>
    </w:p>
    <w:p w14:paraId="2D878FF4" w14:textId="77777777" w:rsidR="000E7058" w:rsidRDefault="000E7058" w:rsidP="000E7058">
      <w:pPr>
        <w:pStyle w:val="naisf"/>
        <w:spacing w:before="0" w:after="0"/>
        <w:ind w:left="2160" w:firstLine="0"/>
        <w:jc w:val="center"/>
        <w:rPr>
          <w:b/>
          <w:sz w:val="20"/>
        </w:rPr>
      </w:pPr>
    </w:p>
    <w:p w14:paraId="42308F05" w14:textId="06F2D950" w:rsidR="007B4C0F" w:rsidRPr="00FC31C6" w:rsidRDefault="007B4C0F" w:rsidP="000E7058">
      <w:pPr>
        <w:pStyle w:val="naisf"/>
        <w:spacing w:before="0" w:after="0"/>
        <w:ind w:left="2160" w:firstLine="0"/>
        <w:jc w:val="center"/>
        <w:rPr>
          <w:b/>
          <w:sz w:val="20"/>
        </w:rPr>
      </w:pPr>
      <w:r w:rsidRPr="00FC31C6">
        <w:rPr>
          <w:b/>
          <w:sz w:val="20"/>
        </w:rPr>
        <w:t>II. </w:t>
      </w:r>
      <w:r w:rsidR="00134188" w:rsidRPr="00FC31C6">
        <w:rPr>
          <w:b/>
          <w:sz w:val="20"/>
        </w:rPr>
        <w:t>Jautājumi, par kuriem saskaņošanā vienošan</w:t>
      </w:r>
      <w:r w:rsidR="00144622" w:rsidRPr="00FC31C6">
        <w:rPr>
          <w:b/>
          <w:sz w:val="20"/>
        </w:rPr>
        <w:t>ā</w:t>
      </w:r>
      <w:r w:rsidR="00134188" w:rsidRPr="00FC31C6">
        <w:rPr>
          <w:b/>
          <w:sz w:val="20"/>
        </w:rPr>
        <w:t>s ir panākta</w:t>
      </w:r>
    </w:p>
    <w:p w14:paraId="5BEB920D" w14:textId="77777777" w:rsidR="007B4C0F" w:rsidRPr="00FC31C6" w:rsidRDefault="007B4C0F" w:rsidP="00DB7395">
      <w:pPr>
        <w:pStyle w:val="naisf"/>
        <w:spacing w:before="0" w:after="0"/>
        <w:ind w:firstLine="720"/>
        <w:rPr>
          <w:sz w:val="20"/>
        </w:rPr>
      </w:pPr>
    </w:p>
    <w:tbl>
      <w:tblPr>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977"/>
        <w:gridCol w:w="4678"/>
        <w:gridCol w:w="4110"/>
        <w:gridCol w:w="2835"/>
      </w:tblGrid>
      <w:tr w:rsidR="00134188" w:rsidRPr="00FC31C6" w14:paraId="1C86A00E" w14:textId="77777777" w:rsidTr="003B0A26">
        <w:tc>
          <w:tcPr>
            <w:tcW w:w="817" w:type="dxa"/>
            <w:tcBorders>
              <w:top w:val="single" w:sz="6" w:space="0" w:color="000000"/>
              <w:left w:val="single" w:sz="6" w:space="0" w:color="000000"/>
              <w:bottom w:val="single" w:sz="6" w:space="0" w:color="000000"/>
              <w:right w:val="single" w:sz="6" w:space="0" w:color="000000"/>
            </w:tcBorders>
            <w:vAlign w:val="center"/>
          </w:tcPr>
          <w:p w14:paraId="774ED163" w14:textId="77777777" w:rsidR="00134188" w:rsidRPr="00FC31C6" w:rsidRDefault="00134188" w:rsidP="009623BC">
            <w:pPr>
              <w:pStyle w:val="naisc"/>
              <w:spacing w:before="0" w:after="0"/>
              <w:rPr>
                <w:sz w:val="20"/>
              </w:rPr>
            </w:pPr>
            <w:r w:rsidRPr="00FC31C6">
              <w:rPr>
                <w:sz w:val="20"/>
              </w:rPr>
              <w:t>Nr. p.</w:t>
            </w:r>
            <w:r w:rsidR="00D64FB0" w:rsidRPr="00FC31C6">
              <w:rPr>
                <w:sz w:val="20"/>
              </w:rPr>
              <w:t> </w:t>
            </w:r>
            <w:r w:rsidRPr="00FC31C6">
              <w:rPr>
                <w:sz w:val="20"/>
              </w:rPr>
              <w:t>k.</w:t>
            </w:r>
          </w:p>
        </w:tc>
        <w:tc>
          <w:tcPr>
            <w:tcW w:w="2977" w:type="dxa"/>
            <w:tcBorders>
              <w:top w:val="single" w:sz="6" w:space="0" w:color="000000"/>
              <w:left w:val="single" w:sz="6" w:space="0" w:color="000000"/>
              <w:bottom w:val="single" w:sz="6" w:space="0" w:color="000000"/>
              <w:right w:val="single" w:sz="6" w:space="0" w:color="000000"/>
            </w:tcBorders>
            <w:vAlign w:val="center"/>
          </w:tcPr>
          <w:p w14:paraId="25C3CCE9" w14:textId="77777777" w:rsidR="00134188" w:rsidRPr="00FC31C6" w:rsidRDefault="00134188" w:rsidP="009623BC">
            <w:pPr>
              <w:pStyle w:val="naisc"/>
              <w:spacing w:before="0" w:after="0"/>
              <w:ind w:firstLine="12"/>
              <w:rPr>
                <w:sz w:val="20"/>
              </w:rPr>
            </w:pPr>
            <w:r w:rsidRPr="00FC31C6">
              <w:rPr>
                <w:sz w:val="20"/>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6398C98E" w14:textId="77777777" w:rsidR="00134188" w:rsidRPr="00FC31C6" w:rsidRDefault="00134188" w:rsidP="009623BC">
            <w:pPr>
              <w:pStyle w:val="naisc"/>
              <w:spacing w:before="0" w:after="0"/>
              <w:ind w:right="3"/>
              <w:rPr>
                <w:sz w:val="20"/>
              </w:rPr>
            </w:pPr>
            <w:r w:rsidRPr="00FC31C6">
              <w:rPr>
                <w:sz w:val="20"/>
              </w:rPr>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77792E4A" w14:textId="77777777" w:rsidR="00134188" w:rsidRPr="00FC31C6" w:rsidRDefault="00134188" w:rsidP="009623BC">
            <w:pPr>
              <w:pStyle w:val="naisc"/>
              <w:spacing w:before="0" w:after="0"/>
              <w:ind w:firstLine="21"/>
              <w:rPr>
                <w:sz w:val="20"/>
              </w:rPr>
            </w:pPr>
            <w:r w:rsidRPr="00FC31C6">
              <w:rPr>
                <w:sz w:val="20"/>
              </w:rPr>
              <w:t>Atbildīgās ministrijas norāde</w:t>
            </w:r>
            <w:r w:rsidR="006C1C48" w:rsidRPr="00FC31C6">
              <w:rPr>
                <w:sz w:val="20"/>
              </w:rPr>
              <w:t xml:space="preserve"> par to, ka </w:t>
            </w:r>
            <w:r w:rsidRPr="00FC31C6">
              <w:rPr>
                <w:sz w:val="20"/>
              </w:rPr>
              <w:t>iebildums ir ņemts vērā</w:t>
            </w:r>
            <w:r w:rsidR="006455E7" w:rsidRPr="00FC31C6">
              <w:rPr>
                <w:sz w:val="20"/>
              </w:rPr>
              <w:t>,</w:t>
            </w:r>
            <w:r w:rsidRPr="00FC31C6">
              <w:rPr>
                <w:sz w:val="20"/>
              </w:rPr>
              <w:t xml:space="preserve"> vai </w:t>
            </w:r>
            <w:r w:rsidR="006C1C48" w:rsidRPr="00FC31C6">
              <w:rPr>
                <w:sz w:val="20"/>
              </w:rPr>
              <w:t xml:space="preserve">informācija par saskaņošanā </w:t>
            </w:r>
            <w:r w:rsidR="00022B0F" w:rsidRPr="00FC31C6">
              <w:rPr>
                <w:sz w:val="20"/>
              </w:rPr>
              <w:t>panākto alternatīvo risinājumu</w:t>
            </w:r>
          </w:p>
        </w:tc>
        <w:tc>
          <w:tcPr>
            <w:tcW w:w="2835" w:type="dxa"/>
            <w:tcBorders>
              <w:top w:val="single" w:sz="4" w:space="0" w:color="auto"/>
              <w:left w:val="single" w:sz="4" w:space="0" w:color="auto"/>
              <w:bottom w:val="single" w:sz="4" w:space="0" w:color="auto"/>
            </w:tcBorders>
            <w:vAlign w:val="center"/>
          </w:tcPr>
          <w:p w14:paraId="7EF1C7B0" w14:textId="77777777" w:rsidR="00134188" w:rsidRPr="00FC31C6" w:rsidRDefault="00134188" w:rsidP="009623BC">
            <w:pPr>
              <w:jc w:val="center"/>
              <w:rPr>
                <w:sz w:val="20"/>
              </w:rPr>
            </w:pPr>
            <w:r w:rsidRPr="00FC31C6">
              <w:rPr>
                <w:sz w:val="20"/>
              </w:rPr>
              <w:t>Projekta attiecīgā punkta (panta) galīgā redakcija</w:t>
            </w:r>
          </w:p>
        </w:tc>
      </w:tr>
      <w:tr w:rsidR="00134188" w:rsidRPr="00FC31C6" w14:paraId="20BACB37" w14:textId="77777777" w:rsidTr="003B0A26">
        <w:trPr>
          <w:trHeight w:val="237"/>
        </w:trPr>
        <w:tc>
          <w:tcPr>
            <w:tcW w:w="817" w:type="dxa"/>
            <w:tcBorders>
              <w:top w:val="single" w:sz="6" w:space="0" w:color="000000"/>
              <w:left w:val="single" w:sz="6" w:space="0" w:color="000000"/>
              <w:bottom w:val="single" w:sz="6" w:space="0" w:color="000000"/>
              <w:right w:val="single" w:sz="6" w:space="0" w:color="000000"/>
            </w:tcBorders>
          </w:tcPr>
          <w:p w14:paraId="73B6E8F6" w14:textId="77777777" w:rsidR="00134188" w:rsidRPr="00441119" w:rsidRDefault="003B71E0" w:rsidP="003B71E0">
            <w:pPr>
              <w:pStyle w:val="naisc"/>
              <w:spacing w:before="0" w:after="0"/>
              <w:rPr>
                <w:sz w:val="18"/>
                <w:szCs w:val="18"/>
              </w:rPr>
            </w:pPr>
            <w:r w:rsidRPr="00441119">
              <w:rPr>
                <w:sz w:val="18"/>
                <w:szCs w:val="18"/>
              </w:rPr>
              <w:t>1</w:t>
            </w:r>
          </w:p>
        </w:tc>
        <w:tc>
          <w:tcPr>
            <w:tcW w:w="2977" w:type="dxa"/>
            <w:tcBorders>
              <w:top w:val="single" w:sz="6" w:space="0" w:color="000000"/>
              <w:left w:val="single" w:sz="6" w:space="0" w:color="000000"/>
              <w:bottom w:val="single" w:sz="6" w:space="0" w:color="000000"/>
              <w:right w:val="single" w:sz="6" w:space="0" w:color="000000"/>
            </w:tcBorders>
          </w:tcPr>
          <w:p w14:paraId="4B142831" w14:textId="77777777" w:rsidR="00134188" w:rsidRPr="00441119" w:rsidRDefault="00F34AAB" w:rsidP="003B71E0">
            <w:pPr>
              <w:pStyle w:val="naisc"/>
              <w:spacing w:before="0" w:after="0"/>
              <w:ind w:firstLine="720"/>
              <w:rPr>
                <w:sz w:val="18"/>
                <w:szCs w:val="18"/>
              </w:rPr>
            </w:pPr>
            <w:r w:rsidRPr="00441119">
              <w:rPr>
                <w:sz w:val="18"/>
                <w:szCs w:val="18"/>
              </w:rPr>
              <w:t>2</w:t>
            </w:r>
          </w:p>
        </w:tc>
        <w:tc>
          <w:tcPr>
            <w:tcW w:w="4678" w:type="dxa"/>
            <w:tcBorders>
              <w:top w:val="single" w:sz="6" w:space="0" w:color="000000"/>
              <w:left w:val="single" w:sz="6" w:space="0" w:color="000000"/>
              <w:bottom w:val="single" w:sz="6" w:space="0" w:color="000000"/>
              <w:right w:val="single" w:sz="6" w:space="0" w:color="000000"/>
            </w:tcBorders>
          </w:tcPr>
          <w:p w14:paraId="5F56BF55" w14:textId="77777777" w:rsidR="00134188" w:rsidRPr="00441119" w:rsidRDefault="003B71E0" w:rsidP="003B71E0">
            <w:pPr>
              <w:pStyle w:val="naisc"/>
              <w:spacing w:before="0" w:after="0"/>
              <w:ind w:firstLine="720"/>
              <w:rPr>
                <w:sz w:val="18"/>
                <w:szCs w:val="18"/>
              </w:rPr>
            </w:pPr>
            <w:r w:rsidRPr="00441119">
              <w:rPr>
                <w:sz w:val="18"/>
                <w:szCs w:val="18"/>
              </w:rPr>
              <w:t>3</w:t>
            </w:r>
          </w:p>
        </w:tc>
        <w:tc>
          <w:tcPr>
            <w:tcW w:w="4110" w:type="dxa"/>
            <w:tcBorders>
              <w:top w:val="single" w:sz="6" w:space="0" w:color="000000"/>
              <w:left w:val="single" w:sz="6" w:space="0" w:color="000000"/>
              <w:bottom w:val="single" w:sz="6" w:space="0" w:color="000000"/>
              <w:right w:val="single" w:sz="6" w:space="0" w:color="000000"/>
            </w:tcBorders>
          </w:tcPr>
          <w:p w14:paraId="1DF7106C" w14:textId="77777777" w:rsidR="00134188" w:rsidRPr="00441119" w:rsidRDefault="003B71E0" w:rsidP="003B71E0">
            <w:pPr>
              <w:pStyle w:val="naisc"/>
              <w:spacing w:before="0" w:after="0"/>
              <w:ind w:firstLine="720"/>
              <w:rPr>
                <w:sz w:val="18"/>
                <w:szCs w:val="18"/>
              </w:rPr>
            </w:pPr>
            <w:r w:rsidRPr="00441119">
              <w:rPr>
                <w:sz w:val="18"/>
                <w:szCs w:val="18"/>
              </w:rPr>
              <w:t>4</w:t>
            </w:r>
          </w:p>
        </w:tc>
        <w:tc>
          <w:tcPr>
            <w:tcW w:w="2835" w:type="dxa"/>
            <w:tcBorders>
              <w:top w:val="single" w:sz="4" w:space="0" w:color="auto"/>
              <w:left w:val="single" w:sz="4" w:space="0" w:color="auto"/>
              <w:bottom w:val="single" w:sz="4" w:space="0" w:color="auto"/>
            </w:tcBorders>
          </w:tcPr>
          <w:p w14:paraId="2A3DD255" w14:textId="77777777" w:rsidR="00134188" w:rsidRPr="00441119" w:rsidRDefault="003B71E0" w:rsidP="003B71E0">
            <w:pPr>
              <w:jc w:val="center"/>
              <w:rPr>
                <w:sz w:val="18"/>
                <w:szCs w:val="18"/>
              </w:rPr>
            </w:pPr>
            <w:r w:rsidRPr="00441119">
              <w:rPr>
                <w:sz w:val="18"/>
                <w:szCs w:val="18"/>
              </w:rPr>
              <w:t>5</w:t>
            </w:r>
          </w:p>
        </w:tc>
      </w:tr>
      <w:tr w:rsidR="001D602D" w:rsidRPr="00FC31C6" w14:paraId="785A2C5F" w14:textId="77777777" w:rsidTr="003B0A26">
        <w:tc>
          <w:tcPr>
            <w:tcW w:w="817" w:type="dxa"/>
            <w:tcBorders>
              <w:left w:val="single" w:sz="6" w:space="0" w:color="000000"/>
              <w:bottom w:val="single" w:sz="4" w:space="0" w:color="auto"/>
              <w:right w:val="single" w:sz="6" w:space="0" w:color="000000"/>
            </w:tcBorders>
          </w:tcPr>
          <w:p w14:paraId="2C21AC98" w14:textId="44A486DD" w:rsidR="001D602D" w:rsidRDefault="001D602D" w:rsidP="001D602D">
            <w:pPr>
              <w:jc w:val="center"/>
              <w:rPr>
                <w:sz w:val="18"/>
                <w:szCs w:val="18"/>
              </w:rPr>
            </w:pPr>
            <w:r>
              <w:rPr>
                <w:sz w:val="18"/>
                <w:szCs w:val="18"/>
              </w:rPr>
              <w:t>1.</w:t>
            </w:r>
          </w:p>
        </w:tc>
        <w:tc>
          <w:tcPr>
            <w:tcW w:w="2977" w:type="dxa"/>
            <w:tcBorders>
              <w:left w:val="single" w:sz="6" w:space="0" w:color="000000"/>
              <w:bottom w:val="single" w:sz="4" w:space="0" w:color="auto"/>
              <w:right w:val="single" w:sz="6" w:space="0" w:color="000000"/>
            </w:tcBorders>
          </w:tcPr>
          <w:p w14:paraId="22E709A7" w14:textId="1387068D" w:rsidR="001D602D" w:rsidRPr="008E12D5" w:rsidRDefault="001D602D" w:rsidP="001D602D">
            <w:pPr>
              <w:shd w:val="clear" w:color="auto" w:fill="FFFFFF"/>
              <w:jc w:val="both"/>
              <w:rPr>
                <w:b/>
                <w:bCs/>
                <w:sz w:val="18"/>
                <w:szCs w:val="18"/>
              </w:rPr>
            </w:pPr>
            <w:r w:rsidRPr="00EA50D8">
              <w:rPr>
                <w:b/>
                <w:sz w:val="18"/>
                <w:szCs w:val="18"/>
              </w:rPr>
              <w:t xml:space="preserve">MK noteikumu projekta anotācijas </w:t>
            </w:r>
            <w:r w:rsidRPr="00EA50D8">
              <w:rPr>
                <w:b/>
                <w:sz w:val="18"/>
                <w:szCs w:val="18"/>
                <w:lang w:eastAsia="en-US"/>
              </w:rPr>
              <w:t>III sadaļ</w:t>
            </w:r>
            <w:r>
              <w:rPr>
                <w:b/>
                <w:sz w:val="18"/>
                <w:szCs w:val="18"/>
                <w:lang w:eastAsia="en-US"/>
              </w:rPr>
              <w:t>as</w:t>
            </w:r>
            <w:r w:rsidRPr="00EA50D8">
              <w:rPr>
                <w:b/>
                <w:sz w:val="18"/>
                <w:szCs w:val="18"/>
                <w:lang w:eastAsia="en-US"/>
              </w:rPr>
              <w:t xml:space="preserve"> “Tiesību akta projekta ietekme uz valsts budžetu un pašvaldību budžetiem” 6.1.punkt</w:t>
            </w:r>
            <w:r>
              <w:rPr>
                <w:b/>
                <w:sz w:val="18"/>
                <w:szCs w:val="18"/>
                <w:lang w:eastAsia="en-US"/>
              </w:rPr>
              <w:t>s</w:t>
            </w:r>
            <w:r w:rsidRPr="00EA50D8">
              <w:rPr>
                <w:b/>
                <w:sz w:val="18"/>
                <w:szCs w:val="18"/>
                <w:lang w:eastAsia="en-US"/>
              </w:rPr>
              <w:t xml:space="preserve"> “Detalizēts ieņēmumu aprēķins”</w:t>
            </w:r>
          </w:p>
        </w:tc>
        <w:tc>
          <w:tcPr>
            <w:tcW w:w="4678" w:type="dxa"/>
            <w:tcBorders>
              <w:left w:val="single" w:sz="6" w:space="0" w:color="000000"/>
              <w:bottom w:val="single" w:sz="4" w:space="0" w:color="auto"/>
              <w:right w:val="single" w:sz="6" w:space="0" w:color="000000"/>
            </w:tcBorders>
          </w:tcPr>
          <w:p w14:paraId="3E130A0B" w14:textId="77777777" w:rsidR="001D602D" w:rsidRPr="008E75F5" w:rsidRDefault="001D602D" w:rsidP="001D602D">
            <w:pPr>
              <w:tabs>
                <w:tab w:val="left" w:pos="993"/>
              </w:tabs>
              <w:contextualSpacing/>
              <w:jc w:val="center"/>
              <w:rPr>
                <w:b/>
                <w:bCs/>
                <w:sz w:val="18"/>
                <w:szCs w:val="18"/>
                <w:lang w:eastAsia="en-US"/>
              </w:rPr>
            </w:pPr>
            <w:r w:rsidRPr="008E75F5">
              <w:rPr>
                <w:b/>
                <w:bCs/>
                <w:sz w:val="18"/>
                <w:szCs w:val="18"/>
                <w:lang w:eastAsia="en-US"/>
              </w:rPr>
              <w:t>Finanšu ministrija</w:t>
            </w:r>
            <w:r>
              <w:rPr>
                <w:b/>
                <w:bCs/>
                <w:sz w:val="18"/>
                <w:szCs w:val="18"/>
                <w:lang w:eastAsia="en-US"/>
              </w:rPr>
              <w:t xml:space="preserve"> (25.10.19)</w:t>
            </w:r>
          </w:p>
          <w:p w14:paraId="7B751206" w14:textId="77777777" w:rsidR="001D602D" w:rsidRDefault="001D602D" w:rsidP="001D602D">
            <w:pPr>
              <w:tabs>
                <w:tab w:val="left" w:pos="993"/>
              </w:tabs>
              <w:contextualSpacing/>
              <w:jc w:val="both"/>
              <w:rPr>
                <w:sz w:val="18"/>
                <w:szCs w:val="18"/>
                <w:lang w:eastAsia="en-US"/>
              </w:rPr>
            </w:pPr>
          </w:p>
          <w:p w14:paraId="55415BB3" w14:textId="77777777" w:rsidR="001D602D" w:rsidRDefault="001D602D" w:rsidP="001D602D">
            <w:pPr>
              <w:tabs>
                <w:tab w:val="left" w:pos="993"/>
              </w:tabs>
              <w:contextualSpacing/>
              <w:jc w:val="both"/>
              <w:rPr>
                <w:sz w:val="18"/>
                <w:szCs w:val="18"/>
                <w:lang w:eastAsia="en-US"/>
              </w:rPr>
            </w:pPr>
            <w:r>
              <w:rPr>
                <w:sz w:val="18"/>
                <w:szCs w:val="18"/>
                <w:lang w:eastAsia="en-US"/>
              </w:rPr>
              <w:t xml:space="preserve">1. </w:t>
            </w:r>
            <w:r w:rsidRPr="00462E80">
              <w:rPr>
                <w:sz w:val="18"/>
                <w:szCs w:val="18"/>
                <w:lang w:eastAsia="en-US"/>
              </w:rPr>
              <w:t xml:space="preserve">Finanšu ministrija neatbalsta noteikumu projektā iekļautās izmaiņas, kuru ieviešanas rezultātā 2020.gadā vēl vairāk pieaugtu degvielas mazumtirdzniecības cenas, jo saskaņā ar likumu “Par akcīzes nodokli” 2020.gadā jau ir paredzēts akcīzes nodokļa paaugstinājums (svinu nesaturošam benzīnam no 476 </w:t>
            </w:r>
            <w:proofErr w:type="spellStart"/>
            <w:r w:rsidRPr="00462E80">
              <w:rPr>
                <w:sz w:val="18"/>
                <w:szCs w:val="18"/>
                <w:lang w:eastAsia="en-US"/>
              </w:rPr>
              <w:t>euro</w:t>
            </w:r>
            <w:proofErr w:type="spellEnd"/>
            <w:r w:rsidRPr="00462E80">
              <w:rPr>
                <w:sz w:val="18"/>
                <w:szCs w:val="18"/>
                <w:lang w:eastAsia="en-US"/>
              </w:rPr>
              <w:t xml:space="preserve"> līdz 509 </w:t>
            </w:r>
            <w:proofErr w:type="spellStart"/>
            <w:r w:rsidRPr="00462E80">
              <w:rPr>
                <w:i/>
                <w:sz w:val="18"/>
                <w:szCs w:val="18"/>
                <w:lang w:eastAsia="en-US"/>
              </w:rPr>
              <w:t>euro</w:t>
            </w:r>
            <w:proofErr w:type="spellEnd"/>
            <w:r w:rsidRPr="00462E80">
              <w:rPr>
                <w:sz w:val="18"/>
                <w:szCs w:val="18"/>
                <w:lang w:eastAsia="en-US"/>
              </w:rPr>
              <w:t xml:space="preserve"> par 1000 litriem un dīzeļdegvielai no 372 </w:t>
            </w:r>
            <w:proofErr w:type="spellStart"/>
            <w:r w:rsidRPr="00462E80">
              <w:rPr>
                <w:i/>
                <w:sz w:val="18"/>
                <w:szCs w:val="18"/>
                <w:lang w:eastAsia="en-US"/>
              </w:rPr>
              <w:t>euro</w:t>
            </w:r>
            <w:proofErr w:type="spellEnd"/>
            <w:r w:rsidRPr="00462E80">
              <w:rPr>
                <w:sz w:val="18"/>
                <w:szCs w:val="18"/>
                <w:lang w:eastAsia="en-US"/>
              </w:rPr>
              <w:t xml:space="preserve"> līdz 414 </w:t>
            </w:r>
            <w:proofErr w:type="spellStart"/>
            <w:r w:rsidRPr="00462E80">
              <w:rPr>
                <w:i/>
                <w:sz w:val="18"/>
                <w:szCs w:val="18"/>
                <w:lang w:eastAsia="en-US"/>
              </w:rPr>
              <w:t>euro</w:t>
            </w:r>
            <w:proofErr w:type="spellEnd"/>
            <w:r w:rsidRPr="00462E80">
              <w:rPr>
                <w:sz w:val="18"/>
                <w:szCs w:val="18"/>
                <w:lang w:eastAsia="en-US"/>
              </w:rPr>
              <w:t xml:space="preserve"> par 1000 litriem). Finanšu ministrijas ieskatā būtiskas nodokļu politikas izmaiņas jāvērtē kopā ar Nodokļu politikas pamatnostādnēm 2021.</w:t>
            </w:r>
            <w:r>
              <w:rPr>
                <w:sz w:val="18"/>
                <w:szCs w:val="18"/>
                <w:lang w:eastAsia="en-US"/>
              </w:rPr>
              <w:t xml:space="preserve"> </w:t>
            </w:r>
            <w:r w:rsidRPr="00462E80">
              <w:rPr>
                <w:sz w:val="18"/>
                <w:szCs w:val="18"/>
                <w:lang w:eastAsia="en-US"/>
              </w:rPr>
              <w:t>-</w:t>
            </w:r>
            <w:r>
              <w:rPr>
                <w:sz w:val="18"/>
                <w:szCs w:val="18"/>
                <w:lang w:eastAsia="en-US"/>
              </w:rPr>
              <w:t xml:space="preserve"> </w:t>
            </w:r>
            <w:r w:rsidRPr="00462E80">
              <w:rPr>
                <w:sz w:val="18"/>
                <w:szCs w:val="18"/>
                <w:lang w:eastAsia="en-US"/>
              </w:rPr>
              <w:t xml:space="preserve">2024.gadam. Darbs pie jaunajām Nodokļu politikas pamatnostādnēm sāksies pēc valsts budžeta 2020.gadam apstiprināšanas Saeimā. </w:t>
            </w:r>
          </w:p>
          <w:p w14:paraId="4767D50B" w14:textId="77777777" w:rsidR="001D602D" w:rsidRPr="00462E80" w:rsidRDefault="001D602D" w:rsidP="001D602D">
            <w:pPr>
              <w:tabs>
                <w:tab w:val="left" w:pos="993"/>
              </w:tabs>
              <w:contextualSpacing/>
              <w:jc w:val="both"/>
              <w:rPr>
                <w:sz w:val="18"/>
                <w:szCs w:val="18"/>
                <w:lang w:eastAsia="en-US"/>
              </w:rPr>
            </w:pPr>
          </w:p>
          <w:p w14:paraId="146A1B9F" w14:textId="7564D9DD" w:rsidR="001D602D" w:rsidRDefault="001D602D" w:rsidP="001D602D">
            <w:pPr>
              <w:jc w:val="both"/>
              <w:rPr>
                <w:rFonts w:eastAsia="Calibri"/>
                <w:b/>
                <w:bCs/>
                <w:sz w:val="18"/>
                <w:szCs w:val="18"/>
                <w:lang w:eastAsia="en-US"/>
              </w:rPr>
            </w:pPr>
            <w:r w:rsidRPr="00462E80">
              <w:rPr>
                <w:sz w:val="18"/>
                <w:szCs w:val="18"/>
                <w:lang w:eastAsia="en-US"/>
              </w:rPr>
              <w:t>Vienlaicīgi norādām, ka nepieciešams papildināt anotācijas III. sadaļu “Tiesību akta projekta ietekme uz valsts budžetu un pašvaldību budžetiem” 6.1.punktu “Detalizēts ieņēmumu aprēķins”, norādot akcīzes nodokļa un pievienotās vērtības nodokļa fiskālās ietekmes detalizētu aprēķinu, kā arī aprēķinā izmantotos datus un pieņēmumus katram degvielas veidam atsevišķi. Informējam, ka, aprēķinot akcīzes nodokļa un pievienotās vērtības nodokļa fiskālo ietekmi, jāņem vērā arī minēto nodokļu maksāšanas kārtība (šos nodokļus maksā par iepriekšējo mēnesi).</w:t>
            </w:r>
            <w:r>
              <w:rPr>
                <w:sz w:val="18"/>
                <w:szCs w:val="18"/>
                <w:lang w:eastAsia="en-US"/>
              </w:rPr>
              <w:t xml:space="preserve"> </w:t>
            </w:r>
          </w:p>
        </w:tc>
        <w:tc>
          <w:tcPr>
            <w:tcW w:w="4110" w:type="dxa"/>
            <w:tcBorders>
              <w:left w:val="single" w:sz="6" w:space="0" w:color="000000"/>
              <w:bottom w:val="single" w:sz="4" w:space="0" w:color="auto"/>
              <w:right w:val="single" w:sz="6" w:space="0" w:color="000000"/>
            </w:tcBorders>
          </w:tcPr>
          <w:p w14:paraId="3906EF71" w14:textId="7FA8F976" w:rsidR="001D602D" w:rsidRDefault="001D602D" w:rsidP="001D602D">
            <w:pPr>
              <w:pStyle w:val="naisc"/>
              <w:spacing w:before="0" w:after="0"/>
              <w:rPr>
                <w:b/>
                <w:bCs/>
                <w:sz w:val="18"/>
                <w:szCs w:val="18"/>
              </w:rPr>
            </w:pPr>
            <w:r>
              <w:rPr>
                <w:b/>
                <w:bCs/>
                <w:sz w:val="18"/>
                <w:szCs w:val="18"/>
              </w:rPr>
              <w:t>Ņ</w:t>
            </w:r>
            <w:r w:rsidRPr="00E50DB5">
              <w:rPr>
                <w:b/>
                <w:bCs/>
                <w:sz w:val="18"/>
                <w:szCs w:val="18"/>
              </w:rPr>
              <w:t>emts vērā</w:t>
            </w:r>
            <w:r w:rsidR="00EC7D6D">
              <w:rPr>
                <w:b/>
                <w:bCs/>
                <w:sz w:val="18"/>
                <w:szCs w:val="18"/>
              </w:rPr>
              <w:t xml:space="preserve"> daļēji</w:t>
            </w:r>
            <w:r w:rsidRPr="00E50DB5">
              <w:rPr>
                <w:b/>
                <w:bCs/>
                <w:sz w:val="18"/>
                <w:szCs w:val="18"/>
              </w:rPr>
              <w:t>.</w:t>
            </w:r>
          </w:p>
          <w:p w14:paraId="5A1C9B24" w14:textId="77777777" w:rsidR="001D602D" w:rsidRDefault="001D602D" w:rsidP="001D602D">
            <w:pPr>
              <w:pStyle w:val="naisc"/>
              <w:spacing w:before="0" w:after="0"/>
              <w:jc w:val="both"/>
              <w:rPr>
                <w:b/>
                <w:bCs/>
                <w:sz w:val="18"/>
                <w:szCs w:val="18"/>
              </w:rPr>
            </w:pPr>
          </w:p>
          <w:p w14:paraId="16788CCC" w14:textId="76D6A273" w:rsidR="001D602D" w:rsidRDefault="001D602D" w:rsidP="001D602D">
            <w:pPr>
              <w:pStyle w:val="naisc"/>
              <w:spacing w:before="0" w:after="0"/>
              <w:jc w:val="both"/>
              <w:rPr>
                <w:sz w:val="18"/>
                <w:szCs w:val="18"/>
              </w:rPr>
            </w:pPr>
            <w:r w:rsidRPr="001D602D">
              <w:rPr>
                <w:sz w:val="18"/>
                <w:szCs w:val="18"/>
              </w:rPr>
              <w:t>Ekonomikas ministrija norāda, ka biodegvielas piejaukums nav nodoklis</w:t>
            </w:r>
            <w:r>
              <w:rPr>
                <w:sz w:val="18"/>
                <w:szCs w:val="18"/>
              </w:rPr>
              <w:t xml:space="preserve">, bet </w:t>
            </w:r>
            <w:r w:rsidRPr="00EA50D8">
              <w:rPr>
                <w:sz w:val="18"/>
                <w:szCs w:val="18"/>
              </w:rPr>
              <w:t xml:space="preserve">no atjaunojamajiem energoresursiem </w:t>
            </w:r>
            <w:r>
              <w:rPr>
                <w:sz w:val="18"/>
                <w:szCs w:val="18"/>
              </w:rPr>
              <w:t xml:space="preserve">(turpmāk - AER) iegūtas enerģijas veicināšanas instruments transportā. </w:t>
            </w:r>
            <w:r w:rsidRPr="00EA50D8">
              <w:rPr>
                <w:sz w:val="18"/>
                <w:szCs w:val="18"/>
              </w:rPr>
              <w:t xml:space="preserve">Latvijas nacionālās reformu programmas „ES 2020” stratēģijas īstenošanai 3.7.apakšpunkts paredz, ka ir jānodrošina, ka </w:t>
            </w:r>
            <w:r>
              <w:rPr>
                <w:sz w:val="18"/>
                <w:szCs w:val="18"/>
              </w:rPr>
              <w:t xml:space="preserve">no </w:t>
            </w:r>
            <w:r w:rsidRPr="00EA50D8">
              <w:rPr>
                <w:sz w:val="18"/>
                <w:szCs w:val="18"/>
              </w:rPr>
              <w:t xml:space="preserve">AER iegūtas enerģijas īpatsvars transportā 2020.gadā ir vismaz 10% no enerģijas </w:t>
            </w:r>
            <w:proofErr w:type="spellStart"/>
            <w:r w:rsidRPr="00EA50D8">
              <w:rPr>
                <w:sz w:val="18"/>
                <w:szCs w:val="18"/>
              </w:rPr>
              <w:t>galapatēriņa</w:t>
            </w:r>
            <w:proofErr w:type="spellEnd"/>
            <w:r w:rsidRPr="00EA50D8">
              <w:rPr>
                <w:sz w:val="18"/>
                <w:szCs w:val="18"/>
              </w:rPr>
              <w:t xml:space="preserve"> (turpmāk – AER 10% mērķis transportā).</w:t>
            </w:r>
          </w:p>
          <w:p w14:paraId="29BE23FC" w14:textId="77777777" w:rsidR="001D602D" w:rsidRDefault="001D602D" w:rsidP="001D602D">
            <w:pPr>
              <w:pStyle w:val="naisc"/>
              <w:spacing w:before="0" w:after="0"/>
              <w:jc w:val="both"/>
              <w:rPr>
                <w:sz w:val="18"/>
                <w:szCs w:val="18"/>
              </w:rPr>
            </w:pPr>
          </w:p>
          <w:p w14:paraId="7E774506" w14:textId="77777777" w:rsidR="001D602D" w:rsidRDefault="001D602D" w:rsidP="001D602D">
            <w:pPr>
              <w:pStyle w:val="naisc"/>
              <w:spacing w:before="0" w:after="0"/>
              <w:jc w:val="both"/>
              <w:rPr>
                <w:sz w:val="18"/>
                <w:szCs w:val="18"/>
              </w:rPr>
            </w:pPr>
            <w:r w:rsidRPr="00EA50D8">
              <w:rPr>
                <w:sz w:val="18"/>
                <w:szCs w:val="18"/>
              </w:rPr>
              <w:t xml:space="preserve">Ekonomikas ministrijas prognozes liecina, ka Latvijā no AER iegūtas enerģijas īpatsvars transportā 2018. un 2019.gadā varētu būt aptuveni 4%, kas nozīmē, ka neīstenojot papildus pasākumus AER īpatsvaram transportā nav pamata palielināties. Palielinoties AER patēriņam atsevišķos enerģētikas sektoros, Latvija tuvojas AER izmantošanas veicināšanas vispārējam mērķim – sasniegt no AER iegūtas enerģijas īpatsvaru 40% apmērā bruto enerģijas </w:t>
            </w:r>
            <w:proofErr w:type="spellStart"/>
            <w:r w:rsidRPr="00EA50D8">
              <w:rPr>
                <w:sz w:val="18"/>
                <w:szCs w:val="18"/>
              </w:rPr>
              <w:t>galapatēriņā</w:t>
            </w:r>
            <w:proofErr w:type="spellEnd"/>
            <w:r w:rsidRPr="00EA50D8">
              <w:rPr>
                <w:sz w:val="18"/>
                <w:szCs w:val="18"/>
              </w:rPr>
              <w:t xml:space="preserve"> 2020. gadā.</w:t>
            </w:r>
          </w:p>
          <w:p w14:paraId="409FE626" w14:textId="77777777" w:rsidR="001D602D" w:rsidRDefault="001D602D" w:rsidP="001D602D">
            <w:pPr>
              <w:pStyle w:val="naisc"/>
              <w:spacing w:before="0" w:after="0"/>
              <w:jc w:val="both"/>
              <w:rPr>
                <w:sz w:val="18"/>
                <w:szCs w:val="18"/>
              </w:rPr>
            </w:pPr>
          </w:p>
          <w:p w14:paraId="45B24EF8" w14:textId="10772FC3" w:rsidR="001D602D" w:rsidRPr="008E12D5" w:rsidRDefault="001D602D" w:rsidP="001D602D">
            <w:pPr>
              <w:jc w:val="both"/>
              <w:rPr>
                <w:b/>
                <w:bCs/>
                <w:sz w:val="18"/>
                <w:szCs w:val="18"/>
              </w:rPr>
            </w:pPr>
            <w:r>
              <w:rPr>
                <w:sz w:val="18"/>
                <w:szCs w:val="18"/>
              </w:rPr>
              <w:t xml:space="preserve">Ekonomikas ministrija ir papildinājusi </w:t>
            </w:r>
            <w:r w:rsidRPr="001D602D">
              <w:rPr>
                <w:sz w:val="18"/>
                <w:szCs w:val="18"/>
              </w:rPr>
              <w:t>MK noteikumu projekta anotācijas III sadaļas “Tiesību akta projekta ietekme uz valsts budžetu un pašvaldību budžetiem” 6.1.punkt</w:t>
            </w:r>
            <w:r>
              <w:rPr>
                <w:sz w:val="18"/>
                <w:szCs w:val="18"/>
              </w:rPr>
              <w:t>u</w:t>
            </w:r>
            <w:r w:rsidRPr="001D602D">
              <w:rPr>
                <w:sz w:val="18"/>
                <w:szCs w:val="18"/>
              </w:rPr>
              <w:t xml:space="preserve"> “Detalizēts ieņēmumu aprēķins”</w:t>
            </w:r>
            <w:r>
              <w:rPr>
                <w:sz w:val="18"/>
                <w:szCs w:val="18"/>
              </w:rPr>
              <w:t xml:space="preserve"> norādot atsevišķi PVN un akcīzes nodokļa ieņēmumus pa degvielas veidiem. </w:t>
            </w:r>
          </w:p>
        </w:tc>
        <w:tc>
          <w:tcPr>
            <w:tcW w:w="2835" w:type="dxa"/>
            <w:tcBorders>
              <w:top w:val="single" w:sz="4" w:space="0" w:color="auto"/>
              <w:left w:val="single" w:sz="4" w:space="0" w:color="auto"/>
              <w:bottom w:val="single" w:sz="4" w:space="0" w:color="auto"/>
            </w:tcBorders>
          </w:tcPr>
          <w:p w14:paraId="4696B04F" w14:textId="77777777" w:rsidR="001D602D" w:rsidRDefault="001D602D" w:rsidP="001D602D">
            <w:pPr>
              <w:shd w:val="clear" w:color="auto" w:fill="FFFFFF"/>
              <w:jc w:val="both"/>
              <w:rPr>
                <w:b/>
                <w:bCs/>
                <w:sz w:val="18"/>
                <w:szCs w:val="18"/>
              </w:rPr>
            </w:pPr>
            <w:r w:rsidRPr="001D602D">
              <w:rPr>
                <w:b/>
                <w:bCs/>
                <w:sz w:val="18"/>
                <w:szCs w:val="18"/>
              </w:rPr>
              <w:t>MK noteikumu projekta anotācijas III sadaļas “Tiesību akta projekta ietekme uz valsts budžetu un pašvaldību budžetiem” 6.1.punkts “Detalizēts ieņēmumu aprēķins”</w:t>
            </w:r>
            <w:r>
              <w:rPr>
                <w:b/>
                <w:bCs/>
                <w:sz w:val="18"/>
                <w:szCs w:val="18"/>
              </w:rPr>
              <w:t xml:space="preserve"> papildināts ar šādu informāciju:</w:t>
            </w:r>
          </w:p>
          <w:p w14:paraId="1B510A99" w14:textId="77777777" w:rsidR="001D602D" w:rsidRDefault="001D602D" w:rsidP="001D602D">
            <w:pPr>
              <w:shd w:val="clear" w:color="auto" w:fill="FFFFFF"/>
              <w:jc w:val="both"/>
              <w:rPr>
                <w:b/>
                <w:bCs/>
                <w:sz w:val="18"/>
                <w:szCs w:val="18"/>
              </w:rPr>
            </w:pPr>
          </w:p>
          <w:p w14:paraId="648C6060" w14:textId="0D9163DB" w:rsidR="001D602D" w:rsidRPr="001D602D" w:rsidRDefault="001D602D" w:rsidP="001D602D">
            <w:pPr>
              <w:shd w:val="clear" w:color="auto" w:fill="FFFFFF"/>
              <w:jc w:val="both"/>
              <w:rPr>
                <w:sz w:val="18"/>
                <w:szCs w:val="18"/>
              </w:rPr>
            </w:pPr>
            <w:r w:rsidRPr="001D602D">
              <w:rPr>
                <w:sz w:val="18"/>
                <w:szCs w:val="18"/>
              </w:rPr>
              <w:t xml:space="preserve">“Papildus PVN ieņēmumi, kas attiecināmi uz B7 dīzeļdegvielu varētu būt aptuveni 4,72 milj. </w:t>
            </w:r>
            <w:proofErr w:type="spellStart"/>
            <w:r w:rsidRPr="001D602D">
              <w:rPr>
                <w:sz w:val="18"/>
                <w:szCs w:val="18"/>
              </w:rPr>
              <w:t>euro</w:t>
            </w:r>
            <w:proofErr w:type="spellEnd"/>
            <w:r w:rsidRPr="001D602D">
              <w:rPr>
                <w:sz w:val="18"/>
                <w:szCs w:val="18"/>
              </w:rPr>
              <w:t xml:space="preserve">, savukārt 8,80 milj. </w:t>
            </w:r>
            <w:proofErr w:type="spellStart"/>
            <w:r w:rsidRPr="001D602D">
              <w:rPr>
                <w:sz w:val="18"/>
                <w:szCs w:val="18"/>
              </w:rPr>
              <w:t>euro</w:t>
            </w:r>
            <w:proofErr w:type="spellEnd"/>
            <w:r w:rsidRPr="001D602D">
              <w:rPr>
                <w:sz w:val="18"/>
                <w:szCs w:val="18"/>
              </w:rPr>
              <w:t xml:space="preserve"> uz E10 benzīnu. Papildus akcīzes nodokļa ieņēmumi, kas attiecināmi uz B7 dīzeļdegvielu varētu būt aptuveni 6,98 milj. </w:t>
            </w:r>
            <w:proofErr w:type="spellStart"/>
            <w:r w:rsidRPr="001D602D">
              <w:rPr>
                <w:sz w:val="18"/>
                <w:szCs w:val="18"/>
              </w:rPr>
              <w:t>euro</w:t>
            </w:r>
            <w:proofErr w:type="spellEnd"/>
            <w:r w:rsidRPr="001D602D">
              <w:rPr>
                <w:sz w:val="18"/>
                <w:szCs w:val="18"/>
              </w:rPr>
              <w:t xml:space="preserve">, savukārt 3,31 milj. </w:t>
            </w:r>
            <w:proofErr w:type="spellStart"/>
            <w:r w:rsidRPr="001D602D">
              <w:rPr>
                <w:sz w:val="18"/>
                <w:szCs w:val="18"/>
              </w:rPr>
              <w:t>euro</w:t>
            </w:r>
            <w:proofErr w:type="spellEnd"/>
            <w:r w:rsidRPr="001D602D">
              <w:rPr>
                <w:sz w:val="18"/>
                <w:szCs w:val="18"/>
              </w:rPr>
              <w:t xml:space="preserve"> uz E10 benzīnu.”</w:t>
            </w:r>
          </w:p>
        </w:tc>
      </w:tr>
      <w:tr w:rsidR="001D602D" w:rsidRPr="00FC31C6" w14:paraId="386B47E5" w14:textId="77777777" w:rsidTr="003B0A26">
        <w:tc>
          <w:tcPr>
            <w:tcW w:w="817" w:type="dxa"/>
            <w:tcBorders>
              <w:left w:val="single" w:sz="6" w:space="0" w:color="000000"/>
              <w:bottom w:val="single" w:sz="4" w:space="0" w:color="auto"/>
              <w:right w:val="single" w:sz="6" w:space="0" w:color="000000"/>
            </w:tcBorders>
          </w:tcPr>
          <w:p w14:paraId="70F0B991" w14:textId="03C13AAD" w:rsidR="001D602D" w:rsidRDefault="001D602D" w:rsidP="001D602D">
            <w:pPr>
              <w:jc w:val="center"/>
              <w:rPr>
                <w:sz w:val="18"/>
                <w:szCs w:val="18"/>
              </w:rPr>
            </w:pPr>
            <w:r>
              <w:rPr>
                <w:sz w:val="18"/>
                <w:szCs w:val="18"/>
              </w:rPr>
              <w:t>2.</w:t>
            </w:r>
          </w:p>
        </w:tc>
        <w:tc>
          <w:tcPr>
            <w:tcW w:w="2977" w:type="dxa"/>
            <w:tcBorders>
              <w:left w:val="single" w:sz="6" w:space="0" w:color="000000"/>
              <w:bottom w:val="single" w:sz="4" w:space="0" w:color="auto"/>
              <w:right w:val="single" w:sz="6" w:space="0" w:color="000000"/>
            </w:tcBorders>
          </w:tcPr>
          <w:p w14:paraId="06E0AA9D" w14:textId="3730E3B6" w:rsidR="001D602D" w:rsidRDefault="001D602D" w:rsidP="001D602D">
            <w:pPr>
              <w:shd w:val="clear" w:color="auto" w:fill="FFFFFF"/>
              <w:jc w:val="both"/>
              <w:rPr>
                <w:b/>
                <w:bCs/>
                <w:sz w:val="18"/>
                <w:szCs w:val="18"/>
              </w:rPr>
            </w:pPr>
            <w:r w:rsidRPr="008E12D5">
              <w:rPr>
                <w:b/>
                <w:bCs/>
                <w:sz w:val="18"/>
                <w:szCs w:val="18"/>
              </w:rPr>
              <w:t>Noteikumu projekta 1.</w:t>
            </w:r>
            <w:r>
              <w:rPr>
                <w:b/>
                <w:bCs/>
                <w:sz w:val="18"/>
                <w:szCs w:val="18"/>
              </w:rPr>
              <w:t>6</w:t>
            </w:r>
            <w:r w:rsidRPr="008E12D5">
              <w:rPr>
                <w:b/>
                <w:bCs/>
                <w:sz w:val="18"/>
                <w:szCs w:val="18"/>
              </w:rPr>
              <w:t xml:space="preserve">.apakšpunkts: </w:t>
            </w:r>
          </w:p>
          <w:p w14:paraId="271DEFE0" w14:textId="42883359" w:rsidR="001D602D" w:rsidRDefault="001D602D" w:rsidP="001D602D">
            <w:pPr>
              <w:shd w:val="clear" w:color="auto" w:fill="FFFFFF"/>
              <w:jc w:val="both"/>
              <w:rPr>
                <w:b/>
                <w:bCs/>
                <w:sz w:val="18"/>
                <w:szCs w:val="18"/>
              </w:rPr>
            </w:pPr>
          </w:p>
          <w:p w14:paraId="7E26C867" w14:textId="4A7915F2" w:rsidR="001D602D" w:rsidRDefault="001D602D" w:rsidP="001D602D">
            <w:pPr>
              <w:pStyle w:val="Title"/>
              <w:jc w:val="both"/>
              <w:outlineLvl w:val="0"/>
              <w:rPr>
                <w:sz w:val="18"/>
                <w:szCs w:val="18"/>
              </w:rPr>
            </w:pPr>
            <w:r w:rsidRPr="00B92069">
              <w:rPr>
                <w:sz w:val="18"/>
                <w:szCs w:val="18"/>
              </w:rPr>
              <w:t>“1.</w:t>
            </w:r>
            <w:r>
              <w:rPr>
                <w:sz w:val="18"/>
                <w:szCs w:val="18"/>
              </w:rPr>
              <w:t>6</w:t>
            </w:r>
            <w:r w:rsidRPr="00B92069">
              <w:rPr>
                <w:sz w:val="18"/>
                <w:szCs w:val="18"/>
              </w:rPr>
              <w:t>. aizstāt 9.</w:t>
            </w:r>
            <w:r w:rsidRPr="00B92069">
              <w:rPr>
                <w:sz w:val="18"/>
                <w:szCs w:val="18"/>
                <w:vertAlign w:val="superscript"/>
              </w:rPr>
              <w:t>2</w:t>
            </w:r>
            <w:r w:rsidRPr="00B92069">
              <w:rPr>
                <w:sz w:val="18"/>
                <w:szCs w:val="18"/>
              </w:rPr>
              <w:t xml:space="preserve"> 3.2. un 9.</w:t>
            </w:r>
            <w:r w:rsidRPr="00B92069">
              <w:rPr>
                <w:sz w:val="18"/>
                <w:szCs w:val="18"/>
                <w:vertAlign w:val="superscript"/>
              </w:rPr>
              <w:t>2</w:t>
            </w:r>
            <w:r w:rsidRPr="00B92069">
              <w:rPr>
                <w:sz w:val="18"/>
                <w:szCs w:val="18"/>
              </w:rPr>
              <w:t xml:space="preserve"> 3.3 apakšpunktā vārdus un skaitļus “no 1.</w:t>
            </w:r>
            <w:r>
              <w:rPr>
                <w:sz w:val="18"/>
                <w:szCs w:val="18"/>
              </w:rPr>
              <w:t> </w:t>
            </w:r>
            <w:r w:rsidRPr="00B92069">
              <w:rPr>
                <w:sz w:val="18"/>
                <w:szCs w:val="18"/>
              </w:rPr>
              <w:t>novembra līdz 15. aprīlim” ar vārdiem un skaitļiem “no 10. novembra līdz 10. aprīlim”</w:t>
            </w:r>
            <w:r>
              <w:rPr>
                <w:sz w:val="18"/>
                <w:szCs w:val="18"/>
              </w:rPr>
              <w:t>;</w:t>
            </w:r>
          </w:p>
          <w:p w14:paraId="47FCDB6F" w14:textId="4A7B07B7" w:rsidR="001D602D" w:rsidRDefault="001D602D" w:rsidP="001D602D">
            <w:pPr>
              <w:pStyle w:val="Title"/>
              <w:jc w:val="both"/>
              <w:outlineLvl w:val="0"/>
              <w:rPr>
                <w:sz w:val="18"/>
                <w:szCs w:val="18"/>
              </w:rPr>
            </w:pPr>
          </w:p>
          <w:p w14:paraId="6CE3E1E0" w14:textId="27114381" w:rsidR="001D602D" w:rsidRDefault="001D602D" w:rsidP="001D602D">
            <w:pPr>
              <w:shd w:val="clear" w:color="auto" w:fill="FFFFFF"/>
              <w:jc w:val="both"/>
              <w:rPr>
                <w:b/>
                <w:bCs/>
                <w:sz w:val="18"/>
                <w:szCs w:val="18"/>
              </w:rPr>
            </w:pPr>
            <w:r w:rsidRPr="008E12D5">
              <w:rPr>
                <w:b/>
                <w:bCs/>
                <w:sz w:val="18"/>
                <w:szCs w:val="18"/>
              </w:rPr>
              <w:t>Noteikumu projekta 1.</w:t>
            </w:r>
            <w:r>
              <w:rPr>
                <w:b/>
                <w:bCs/>
                <w:sz w:val="18"/>
                <w:szCs w:val="18"/>
              </w:rPr>
              <w:t>8</w:t>
            </w:r>
            <w:r w:rsidRPr="008E12D5">
              <w:rPr>
                <w:b/>
                <w:bCs/>
                <w:sz w:val="18"/>
                <w:szCs w:val="18"/>
              </w:rPr>
              <w:t xml:space="preserve">.apakšpunkts: </w:t>
            </w:r>
          </w:p>
          <w:p w14:paraId="5C57755E" w14:textId="223E7842" w:rsidR="001D602D" w:rsidRDefault="001D602D" w:rsidP="001D602D">
            <w:pPr>
              <w:shd w:val="clear" w:color="auto" w:fill="FFFFFF"/>
              <w:jc w:val="both"/>
              <w:rPr>
                <w:b/>
                <w:bCs/>
                <w:sz w:val="18"/>
                <w:szCs w:val="18"/>
              </w:rPr>
            </w:pPr>
          </w:p>
          <w:p w14:paraId="58B72BE9" w14:textId="32076FF0" w:rsidR="001D602D" w:rsidRPr="00B92069" w:rsidRDefault="001D602D" w:rsidP="001D602D">
            <w:pPr>
              <w:shd w:val="clear" w:color="auto" w:fill="FFFFFF"/>
              <w:jc w:val="both"/>
              <w:rPr>
                <w:sz w:val="18"/>
                <w:szCs w:val="18"/>
              </w:rPr>
            </w:pPr>
            <w:r>
              <w:rPr>
                <w:sz w:val="18"/>
                <w:szCs w:val="18"/>
              </w:rPr>
              <w:lastRenderedPageBreak/>
              <w:t>,,</w:t>
            </w:r>
            <w:r w:rsidRPr="00B92069">
              <w:rPr>
                <w:sz w:val="18"/>
                <w:szCs w:val="18"/>
              </w:rPr>
              <w:t>1.</w:t>
            </w:r>
            <w:r>
              <w:rPr>
                <w:sz w:val="18"/>
                <w:szCs w:val="18"/>
              </w:rPr>
              <w:t>8</w:t>
            </w:r>
            <w:r w:rsidRPr="00B92069">
              <w:rPr>
                <w:sz w:val="18"/>
                <w:szCs w:val="18"/>
              </w:rPr>
              <w:t>. izteikt 13.</w:t>
            </w:r>
            <w:r w:rsidRPr="00B92069">
              <w:rPr>
                <w:sz w:val="18"/>
                <w:szCs w:val="18"/>
                <w:vertAlign w:val="superscript"/>
              </w:rPr>
              <w:t>1</w:t>
            </w:r>
            <w:r w:rsidRPr="00B92069">
              <w:rPr>
                <w:sz w:val="18"/>
                <w:szCs w:val="18"/>
              </w:rPr>
              <w:t xml:space="preserve"> punktu šādā redakcijā:</w:t>
            </w:r>
          </w:p>
          <w:p w14:paraId="51983F09" w14:textId="77777777" w:rsidR="001D602D" w:rsidRDefault="001D602D" w:rsidP="001D602D">
            <w:pPr>
              <w:shd w:val="clear" w:color="auto" w:fill="FFFFFF"/>
              <w:jc w:val="both"/>
              <w:rPr>
                <w:sz w:val="18"/>
                <w:szCs w:val="18"/>
              </w:rPr>
            </w:pPr>
          </w:p>
          <w:p w14:paraId="35A457F9" w14:textId="7CCFAC31" w:rsidR="001D602D" w:rsidRDefault="001D602D" w:rsidP="001D602D">
            <w:pPr>
              <w:pStyle w:val="Title"/>
              <w:jc w:val="both"/>
              <w:outlineLvl w:val="0"/>
              <w:rPr>
                <w:sz w:val="18"/>
                <w:szCs w:val="18"/>
              </w:rPr>
            </w:pPr>
          </w:p>
          <w:p w14:paraId="460DD19B" w14:textId="3DBBDCED" w:rsidR="001D602D" w:rsidRPr="00B92069" w:rsidRDefault="001D602D" w:rsidP="001D602D">
            <w:pPr>
              <w:pStyle w:val="Title"/>
              <w:jc w:val="both"/>
              <w:outlineLvl w:val="0"/>
              <w:rPr>
                <w:rFonts w:eastAsiaTheme="minorHAnsi" w:cstheme="minorBidi"/>
                <w:sz w:val="18"/>
                <w:szCs w:val="18"/>
              </w:rPr>
            </w:pPr>
            <w:r w:rsidRPr="00B92069">
              <w:rPr>
                <w:rFonts w:eastAsiaTheme="minorHAnsi" w:cstheme="minorBidi"/>
                <w:sz w:val="18"/>
                <w:szCs w:val="18"/>
              </w:rPr>
              <w:t>“13.</w:t>
            </w:r>
            <w:r w:rsidRPr="00B92069">
              <w:rPr>
                <w:rFonts w:eastAsiaTheme="minorHAnsi" w:cstheme="minorBidi"/>
                <w:sz w:val="18"/>
                <w:szCs w:val="18"/>
                <w:vertAlign w:val="superscript"/>
              </w:rPr>
              <w:t>1</w:t>
            </w:r>
            <w:r w:rsidRPr="00B92069">
              <w:rPr>
                <w:rFonts w:eastAsiaTheme="minorHAnsi" w:cstheme="minorBidi"/>
                <w:sz w:val="18"/>
                <w:szCs w:val="18"/>
              </w:rPr>
              <w:t xml:space="preserve"> Degvielas mazumtirdzniecības vietās uz degvielas </w:t>
            </w:r>
            <w:proofErr w:type="spellStart"/>
            <w:r w:rsidRPr="00B92069">
              <w:rPr>
                <w:rFonts w:eastAsiaTheme="minorHAnsi" w:cstheme="minorBidi"/>
                <w:sz w:val="18"/>
                <w:szCs w:val="18"/>
              </w:rPr>
              <w:t>uzpildes</w:t>
            </w:r>
            <w:proofErr w:type="spellEnd"/>
            <w:r w:rsidRPr="00B92069">
              <w:rPr>
                <w:rFonts w:eastAsiaTheme="minorHAnsi" w:cstheme="minorBidi"/>
                <w:sz w:val="18"/>
                <w:szCs w:val="18"/>
              </w:rPr>
              <w:t xml:space="preserve"> staciju tehnoloģiskajām iekārtām (degvielas </w:t>
            </w:r>
            <w:proofErr w:type="spellStart"/>
            <w:r w:rsidRPr="00B92069">
              <w:rPr>
                <w:rFonts w:eastAsiaTheme="minorHAnsi" w:cstheme="minorBidi"/>
                <w:sz w:val="18"/>
                <w:szCs w:val="18"/>
              </w:rPr>
              <w:t>uzpildes</w:t>
            </w:r>
            <w:proofErr w:type="spellEnd"/>
            <w:r w:rsidRPr="00B92069">
              <w:rPr>
                <w:rFonts w:eastAsiaTheme="minorHAnsi" w:cstheme="minorBidi"/>
                <w:sz w:val="18"/>
                <w:szCs w:val="18"/>
              </w:rPr>
              <w:t xml:space="preserve"> automātiem) no 1. novembra līdz 15. aprīlim patērētājam labi redzamā vietā norāda dīzeļdegvielas aukstā filtra nosprostošanās punktu (grādos pēc Celsija) un degvielas klasi atbilstoši standartam LVS EN 590+A1:2017 "Automobiļu degvielas. Dīzeļdegviela. Prasības un testēšanas metodes". Degvielas </w:t>
            </w:r>
            <w:proofErr w:type="spellStart"/>
            <w:r w:rsidRPr="00B92069">
              <w:rPr>
                <w:rFonts w:eastAsiaTheme="minorHAnsi" w:cstheme="minorBidi"/>
                <w:sz w:val="18"/>
                <w:szCs w:val="18"/>
              </w:rPr>
              <w:t>uzpildes</w:t>
            </w:r>
            <w:proofErr w:type="spellEnd"/>
            <w:r w:rsidRPr="00B92069">
              <w:rPr>
                <w:rFonts w:eastAsiaTheme="minorHAnsi" w:cstheme="minorBidi"/>
                <w:sz w:val="18"/>
                <w:szCs w:val="18"/>
              </w:rPr>
              <w:t xml:space="preserve"> iekārtu sūkņus un to sprauslas marķē atbilstoši standartā LVS EN 16942:2017 "Degvielas. Transportlīdzekļu savietojamības identificēšana. Grafiskais attēlojums lietotāju informācijai" ietvertajām prasībām.”;</w:t>
            </w:r>
            <w:r>
              <w:rPr>
                <w:rFonts w:eastAsiaTheme="minorHAnsi" w:cstheme="minorBidi"/>
                <w:sz w:val="18"/>
                <w:szCs w:val="18"/>
              </w:rPr>
              <w:t>’’</w:t>
            </w:r>
          </w:p>
          <w:p w14:paraId="5E0BDE6B" w14:textId="77777777" w:rsidR="001D602D" w:rsidRPr="008E12D5" w:rsidRDefault="001D602D" w:rsidP="001D602D">
            <w:pPr>
              <w:shd w:val="clear" w:color="auto" w:fill="FFFFFF"/>
              <w:jc w:val="both"/>
              <w:rPr>
                <w:b/>
                <w:bCs/>
                <w:sz w:val="18"/>
                <w:szCs w:val="18"/>
              </w:rPr>
            </w:pPr>
          </w:p>
        </w:tc>
        <w:tc>
          <w:tcPr>
            <w:tcW w:w="4678" w:type="dxa"/>
            <w:tcBorders>
              <w:left w:val="single" w:sz="6" w:space="0" w:color="000000"/>
              <w:bottom w:val="single" w:sz="4" w:space="0" w:color="auto"/>
              <w:right w:val="single" w:sz="6" w:space="0" w:color="000000"/>
            </w:tcBorders>
          </w:tcPr>
          <w:p w14:paraId="48289E6B" w14:textId="1C2620FD" w:rsidR="001D602D" w:rsidRPr="002D534A" w:rsidRDefault="001D602D" w:rsidP="001D602D">
            <w:pPr>
              <w:jc w:val="center"/>
              <w:rPr>
                <w:rFonts w:eastAsia="Calibri"/>
                <w:b/>
                <w:bCs/>
                <w:sz w:val="18"/>
                <w:szCs w:val="18"/>
                <w:lang w:eastAsia="en-US"/>
              </w:rPr>
            </w:pPr>
            <w:r>
              <w:rPr>
                <w:rFonts w:eastAsia="Calibri"/>
                <w:b/>
                <w:bCs/>
                <w:sz w:val="18"/>
                <w:szCs w:val="18"/>
                <w:lang w:eastAsia="en-US"/>
              </w:rPr>
              <w:lastRenderedPageBreak/>
              <w:t>Finanšu ministrija (25.10.19.)</w:t>
            </w:r>
          </w:p>
          <w:p w14:paraId="44EA3DB8" w14:textId="77777777" w:rsidR="001D602D" w:rsidRDefault="001D602D" w:rsidP="001D602D">
            <w:pPr>
              <w:jc w:val="both"/>
              <w:rPr>
                <w:rFonts w:eastAsia="Calibri"/>
                <w:sz w:val="18"/>
                <w:szCs w:val="18"/>
                <w:lang w:eastAsia="en-US"/>
              </w:rPr>
            </w:pPr>
          </w:p>
          <w:p w14:paraId="08609AB2" w14:textId="10E8EE01" w:rsidR="001D602D" w:rsidRPr="002D534A" w:rsidRDefault="001D602D" w:rsidP="001D602D">
            <w:pPr>
              <w:jc w:val="both"/>
              <w:rPr>
                <w:rFonts w:eastAsia="Calibri"/>
                <w:sz w:val="18"/>
                <w:szCs w:val="18"/>
                <w:lang w:eastAsia="en-US"/>
              </w:rPr>
            </w:pPr>
            <w:r w:rsidRPr="002D534A">
              <w:rPr>
                <w:rFonts w:eastAsia="Calibri"/>
                <w:sz w:val="18"/>
                <w:szCs w:val="18"/>
                <w:lang w:eastAsia="en-US"/>
              </w:rPr>
              <w:t>2.</w:t>
            </w:r>
            <w:r>
              <w:rPr>
                <w:rFonts w:eastAsia="Calibri"/>
                <w:sz w:val="18"/>
                <w:szCs w:val="18"/>
                <w:lang w:eastAsia="en-US"/>
              </w:rPr>
              <w:t xml:space="preserve"> </w:t>
            </w:r>
            <w:r w:rsidRPr="002D534A">
              <w:rPr>
                <w:rFonts w:eastAsia="Calibri"/>
                <w:sz w:val="18"/>
                <w:szCs w:val="18"/>
                <w:lang w:eastAsia="en-US"/>
              </w:rPr>
              <w:t>Ņemot vērā noteikumu projekta 1.6.apakšpunktā paredzēto grozījumu Ministru kabineta 2000.gada 26.septembra noteikumu Nr.332 “Noteikumi par benzīna un dīzeļdegvielas atbilstības novērtēšanu” (turpmāk - MK noteikumi Nr.332) 9.</w:t>
            </w:r>
            <w:r w:rsidRPr="00E75A53">
              <w:rPr>
                <w:rFonts w:eastAsia="Calibri"/>
                <w:sz w:val="18"/>
                <w:szCs w:val="18"/>
                <w:vertAlign w:val="superscript"/>
                <w:lang w:eastAsia="en-US"/>
              </w:rPr>
              <w:t xml:space="preserve">2 </w:t>
            </w:r>
            <w:r w:rsidRPr="002D534A">
              <w:rPr>
                <w:rFonts w:eastAsia="Calibri"/>
                <w:sz w:val="18"/>
                <w:szCs w:val="18"/>
                <w:lang w:eastAsia="en-US"/>
              </w:rPr>
              <w:t>3.2.apakšpunktā attiecībā uz termiņu, uz kuru neattiecas minēto noteikumu 9.</w:t>
            </w:r>
            <w:r w:rsidRPr="00E75A53">
              <w:rPr>
                <w:rFonts w:eastAsia="Calibri"/>
                <w:sz w:val="18"/>
                <w:szCs w:val="18"/>
                <w:vertAlign w:val="superscript"/>
                <w:lang w:eastAsia="en-US"/>
              </w:rPr>
              <w:t>1</w:t>
            </w:r>
            <w:r w:rsidRPr="002D534A">
              <w:rPr>
                <w:rFonts w:eastAsia="Calibri"/>
                <w:sz w:val="18"/>
                <w:szCs w:val="18"/>
                <w:lang w:eastAsia="en-US"/>
              </w:rPr>
              <w:t xml:space="preserve"> punkta noteiktās prasības, tādu pašu termiņu ir nepieciešams noteikt arī noteikumu projekta 1.8.apakšpunktā.</w:t>
            </w:r>
          </w:p>
        </w:tc>
        <w:tc>
          <w:tcPr>
            <w:tcW w:w="4110" w:type="dxa"/>
            <w:tcBorders>
              <w:left w:val="single" w:sz="6" w:space="0" w:color="000000"/>
              <w:bottom w:val="single" w:sz="4" w:space="0" w:color="auto"/>
              <w:right w:val="single" w:sz="6" w:space="0" w:color="000000"/>
            </w:tcBorders>
          </w:tcPr>
          <w:p w14:paraId="358EE4F0" w14:textId="77777777" w:rsidR="001D602D" w:rsidRPr="008E12D5" w:rsidRDefault="001D602D" w:rsidP="001D602D">
            <w:pPr>
              <w:jc w:val="center"/>
              <w:rPr>
                <w:b/>
                <w:bCs/>
                <w:sz w:val="18"/>
                <w:szCs w:val="18"/>
              </w:rPr>
            </w:pPr>
            <w:r w:rsidRPr="008E12D5">
              <w:rPr>
                <w:b/>
                <w:bCs/>
                <w:sz w:val="18"/>
                <w:szCs w:val="18"/>
              </w:rPr>
              <w:t>Ņemts vērā</w:t>
            </w:r>
          </w:p>
          <w:p w14:paraId="6AA8534B" w14:textId="2A8EA145" w:rsidR="001D602D" w:rsidRDefault="001D602D" w:rsidP="001D602D">
            <w:pPr>
              <w:jc w:val="center"/>
              <w:rPr>
                <w:b/>
                <w:bCs/>
                <w:sz w:val="18"/>
                <w:szCs w:val="18"/>
              </w:rPr>
            </w:pPr>
          </w:p>
          <w:p w14:paraId="7A2B2BB9" w14:textId="4ABAEA0B" w:rsidR="001D602D" w:rsidRPr="00E75A53" w:rsidRDefault="001D602D" w:rsidP="001D602D">
            <w:pPr>
              <w:jc w:val="both"/>
              <w:rPr>
                <w:sz w:val="18"/>
                <w:szCs w:val="18"/>
              </w:rPr>
            </w:pPr>
            <w:r w:rsidRPr="00E75A53">
              <w:rPr>
                <w:sz w:val="18"/>
                <w:szCs w:val="18"/>
              </w:rPr>
              <w:t xml:space="preserve">Noteikumu projekts precizēts paredzot, ka </w:t>
            </w:r>
            <w:r>
              <w:rPr>
                <w:sz w:val="18"/>
                <w:szCs w:val="18"/>
              </w:rPr>
              <w:t>šie termiņi ir vienādoti atbilstoši Finanšu ministrijas priekšlikumam</w:t>
            </w:r>
            <w:r w:rsidRPr="00E75A53">
              <w:rPr>
                <w:sz w:val="18"/>
                <w:szCs w:val="18"/>
              </w:rPr>
              <w:t>.</w:t>
            </w:r>
          </w:p>
          <w:p w14:paraId="7D1B60BF" w14:textId="420C3DB6" w:rsidR="001D602D" w:rsidRPr="008E12D5" w:rsidRDefault="001D602D" w:rsidP="001D602D">
            <w:pPr>
              <w:jc w:val="center"/>
              <w:rPr>
                <w:b/>
                <w:bCs/>
                <w:sz w:val="18"/>
                <w:szCs w:val="18"/>
              </w:rPr>
            </w:pPr>
          </w:p>
        </w:tc>
        <w:tc>
          <w:tcPr>
            <w:tcW w:w="2835" w:type="dxa"/>
            <w:tcBorders>
              <w:top w:val="single" w:sz="4" w:space="0" w:color="auto"/>
              <w:left w:val="single" w:sz="4" w:space="0" w:color="auto"/>
              <w:bottom w:val="single" w:sz="4" w:space="0" w:color="auto"/>
            </w:tcBorders>
          </w:tcPr>
          <w:p w14:paraId="1388819D" w14:textId="36D97109" w:rsidR="001D602D" w:rsidRDefault="001D602D" w:rsidP="001D602D">
            <w:pPr>
              <w:shd w:val="clear" w:color="auto" w:fill="FFFFFF"/>
              <w:jc w:val="both"/>
              <w:rPr>
                <w:b/>
                <w:bCs/>
                <w:sz w:val="18"/>
                <w:szCs w:val="18"/>
              </w:rPr>
            </w:pPr>
            <w:r w:rsidRPr="008E12D5">
              <w:rPr>
                <w:b/>
                <w:bCs/>
                <w:sz w:val="18"/>
                <w:szCs w:val="18"/>
              </w:rPr>
              <w:t>Noteikumu projekta 1.</w:t>
            </w:r>
            <w:r>
              <w:rPr>
                <w:b/>
                <w:bCs/>
                <w:sz w:val="18"/>
                <w:szCs w:val="18"/>
              </w:rPr>
              <w:t>7</w:t>
            </w:r>
            <w:r w:rsidRPr="008E12D5">
              <w:rPr>
                <w:b/>
                <w:bCs/>
                <w:sz w:val="18"/>
                <w:szCs w:val="18"/>
              </w:rPr>
              <w:t xml:space="preserve">.apakšpunkts: </w:t>
            </w:r>
          </w:p>
          <w:p w14:paraId="4524A146" w14:textId="294BC5BC" w:rsidR="001D602D" w:rsidRDefault="001D602D" w:rsidP="001D602D">
            <w:pPr>
              <w:shd w:val="clear" w:color="auto" w:fill="FFFFFF"/>
              <w:jc w:val="both"/>
              <w:rPr>
                <w:sz w:val="18"/>
                <w:szCs w:val="18"/>
              </w:rPr>
            </w:pPr>
          </w:p>
          <w:p w14:paraId="4E310B57" w14:textId="77777777" w:rsidR="001D602D" w:rsidRDefault="001D602D" w:rsidP="001D602D">
            <w:pPr>
              <w:shd w:val="clear" w:color="auto" w:fill="FFFFFF"/>
              <w:jc w:val="both"/>
              <w:rPr>
                <w:sz w:val="18"/>
                <w:szCs w:val="18"/>
              </w:rPr>
            </w:pPr>
            <w:r>
              <w:rPr>
                <w:sz w:val="18"/>
                <w:szCs w:val="18"/>
              </w:rPr>
              <w:t>“</w:t>
            </w:r>
            <w:r w:rsidRPr="00B92069">
              <w:rPr>
                <w:sz w:val="18"/>
                <w:szCs w:val="18"/>
              </w:rPr>
              <w:t>1.7. aizstāt 9.</w:t>
            </w:r>
            <w:r w:rsidRPr="00B92069">
              <w:rPr>
                <w:sz w:val="18"/>
                <w:szCs w:val="18"/>
                <w:vertAlign w:val="superscript"/>
              </w:rPr>
              <w:t>2</w:t>
            </w:r>
            <w:r w:rsidRPr="00B92069">
              <w:rPr>
                <w:sz w:val="18"/>
                <w:szCs w:val="18"/>
              </w:rPr>
              <w:t xml:space="preserve"> 3.2. un 9.</w:t>
            </w:r>
            <w:r w:rsidRPr="00B92069">
              <w:rPr>
                <w:sz w:val="18"/>
                <w:szCs w:val="18"/>
                <w:vertAlign w:val="superscript"/>
              </w:rPr>
              <w:t>2</w:t>
            </w:r>
            <w:r w:rsidRPr="00B92069">
              <w:rPr>
                <w:sz w:val="18"/>
                <w:szCs w:val="18"/>
              </w:rPr>
              <w:t xml:space="preserve"> 3.3 apakšpunktā vārdus un skaitļus “no 1. novembra līdz 15. aprīlim” ar vārdiem un skaitļiem “no 1. novembra līdz 1. aprīlim”</w:t>
            </w:r>
          </w:p>
          <w:p w14:paraId="1C254694" w14:textId="77777777" w:rsidR="001D602D" w:rsidRDefault="001D602D" w:rsidP="001D602D">
            <w:pPr>
              <w:shd w:val="clear" w:color="auto" w:fill="FFFFFF"/>
              <w:jc w:val="both"/>
              <w:rPr>
                <w:sz w:val="18"/>
                <w:szCs w:val="18"/>
              </w:rPr>
            </w:pPr>
          </w:p>
          <w:p w14:paraId="64BF5A5A" w14:textId="644E289C" w:rsidR="001D602D" w:rsidRDefault="001D602D" w:rsidP="001D602D">
            <w:pPr>
              <w:shd w:val="clear" w:color="auto" w:fill="FFFFFF"/>
              <w:jc w:val="both"/>
              <w:rPr>
                <w:b/>
                <w:bCs/>
                <w:sz w:val="18"/>
                <w:szCs w:val="18"/>
              </w:rPr>
            </w:pPr>
            <w:r w:rsidRPr="008E12D5">
              <w:rPr>
                <w:b/>
                <w:bCs/>
                <w:sz w:val="18"/>
                <w:szCs w:val="18"/>
              </w:rPr>
              <w:t>Noteikumu projekta 1.</w:t>
            </w:r>
            <w:r>
              <w:rPr>
                <w:b/>
                <w:bCs/>
                <w:sz w:val="18"/>
                <w:szCs w:val="18"/>
              </w:rPr>
              <w:t>9</w:t>
            </w:r>
            <w:r w:rsidRPr="008E12D5">
              <w:rPr>
                <w:b/>
                <w:bCs/>
                <w:sz w:val="18"/>
                <w:szCs w:val="18"/>
              </w:rPr>
              <w:t xml:space="preserve">.apakšpunkts: </w:t>
            </w:r>
          </w:p>
          <w:p w14:paraId="65395D5B" w14:textId="77777777" w:rsidR="001D602D" w:rsidRDefault="001D602D" w:rsidP="001D602D">
            <w:pPr>
              <w:shd w:val="clear" w:color="auto" w:fill="FFFFFF"/>
              <w:jc w:val="both"/>
              <w:rPr>
                <w:sz w:val="18"/>
                <w:szCs w:val="18"/>
              </w:rPr>
            </w:pPr>
          </w:p>
          <w:p w14:paraId="50395C1A" w14:textId="75740544" w:rsidR="001D602D" w:rsidRPr="00B92069" w:rsidRDefault="001D602D" w:rsidP="001D602D">
            <w:pPr>
              <w:shd w:val="clear" w:color="auto" w:fill="FFFFFF"/>
              <w:jc w:val="both"/>
              <w:rPr>
                <w:sz w:val="18"/>
                <w:szCs w:val="18"/>
              </w:rPr>
            </w:pPr>
            <w:r>
              <w:rPr>
                <w:sz w:val="18"/>
                <w:szCs w:val="18"/>
              </w:rPr>
              <w:lastRenderedPageBreak/>
              <w:t>,,</w:t>
            </w:r>
            <w:r w:rsidRPr="00B92069">
              <w:rPr>
                <w:sz w:val="18"/>
                <w:szCs w:val="18"/>
              </w:rPr>
              <w:t>1.9. izteikt 13.</w:t>
            </w:r>
            <w:r w:rsidRPr="00B92069">
              <w:rPr>
                <w:sz w:val="18"/>
                <w:szCs w:val="18"/>
                <w:vertAlign w:val="superscript"/>
              </w:rPr>
              <w:t>1</w:t>
            </w:r>
            <w:r w:rsidRPr="00B92069">
              <w:rPr>
                <w:sz w:val="18"/>
                <w:szCs w:val="18"/>
              </w:rPr>
              <w:t xml:space="preserve"> punktu šādā redakcijā:</w:t>
            </w:r>
          </w:p>
          <w:p w14:paraId="438F3FE4" w14:textId="77777777" w:rsidR="001D602D" w:rsidRPr="00B92069" w:rsidRDefault="001D602D" w:rsidP="001D602D">
            <w:pPr>
              <w:shd w:val="clear" w:color="auto" w:fill="FFFFFF"/>
              <w:jc w:val="both"/>
              <w:rPr>
                <w:sz w:val="18"/>
                <w:szCs w:val="18"/>
              </w:rPr>
            </w:pPr>
          </w:p>
          <w:p w14:paraId="07ED67FF" w14:textId="1877E42B" w:rsidR="001D602D" w:rsidRDefault="001D602D" w:rsidP="001D602D">
            <w:pPr>
              <w:shd w:val="clear" w:color="auto" w:fill="FFFFFF"/>
              <w:jc w:val="both"/>
              <w:rPr>
                <w:sz w:val="18"/>
                <w:szCs w:val="18"/>
              </w:rPr>
            </w:pPr>
            <w:r w:rsidRPr="00B92069">
              <w:rPr>
                <w:sz w:val="18"/>
                <w:szCs w:val="18"/>
              </w:rPr>
              <w:t>“13.</w:t>
            </w:r>
            <w:r w:rsidRPr="00B92069">
              <w:rPr>
                <w:sz w:val="18"/>
                <w:szCs w:val="18"/>
                <w:vertAlign w:val="superscript"/>
              </w:rPr>
              <w:t>1</w:t>
            </w:r>
            <w:r w:rsidRPr="00B92069">
              <w:rPr>
                <w:sz w:val="18"/>
                <w:szCs w:val="18"/>
              </w:rPr>
              <w:t xml:space="preserve"> Degvielas mazumtirdzniecības vietās uz degvielas </w:t>
            </w:r>
            <w:proofErr w:type="spellStart"/>
            <w:r w:rsidRPr="00B92069">
              <w:rPr>
                <w:sz w:val="18"/>
                <w:szCs w:val="18"/>
              </w:rPr>
              <w:t>uzpildes</w:t>
            </w:r>
            <w:proofErr w:type="spellEnd"/>
            <w:r w:rsidRPr="00B92069">
              <w:rPr>
                <w:sz w:val="18"/>
                <w:szCs w:val="18"/>
              </w:rPr>
              <w:t xml:space="preserve"> staciju tehnoloģiskajām iekārtām (degvielas </w:t>
            </w:r>
            <w:proofErr w:type="spellStart"/>
            <w:r w:rsidRPr="00B92069">
              <w:rPr>
                <w:sz w:val="18"/>
                <w:szCs w:val="18"/>
              </w:rPr>
              <w:t>uzpildes</w:t>
            </w:r>
            <w:proofErr w:type="spellEnd"/>
            <w:r w:rsidRPr="00B92069">
              <w:rPr>
                <w:sz w:val="18"/>
                <w:szCs w:val="18"/>
              </w:rPr>
              <w:t xml:space="preserve"> automātiem) no 1. novembra līdz 1. aprīlim patērētājam labi redzamā vietā norāda dīzeļdegvielas aukstā filtra nosprostošanās punktu (grādos pēc Celsija) un degvielas klasi atbilstoši standartam LVS EN 590 "Automobiļu degvielas. Dīzeļdegviela. Prasības un testēšanas metodes". Degvielas </w:t>
            </w:r>
            <w:proofErr w:type="spellStart"/>
            <w:r w:rsidRPr="00B92069">
              <w:rPr>
                <w:sz w:val="18"/>
                <w:szCs w:val="18"/>
              </w:rPr>
              <w:t>uzpildes</w:t>
            </w:r>
            <w:proofErr w:type="spellEnd"/>
            <w:r w:rsidRPr="00B92069">
              <w:rPr>
                <w:sz w:val="18"/>
                <w:szCs w:val="18"/>
              </w:rPr>
              <w:t xml:space="preserve"> iekārtu sūkņus un to sprauslas marķē atbilstoši standartā LVS EN 16942 "Degvielas. Transportlīdzekļu savietojamības identificēšana. Grafiskais attēlojums lietotāju informācijai" ietvertajām prasībām.”</w:t>
            </w:r>
            <w:r>
              <w:rPr>
                <w:sz w:val="18"/>
                <w:szCs w:val="18"/>
              </w:rPr>
              <w:t>:”</w:t>
            </w:r>
          </w:p>
          <w:p w14:paraId="1E5B8789" w14:textId="7869A50A" w:rsidR="001D602D" w:rsidRPr="00B92069" w:rsidRDefault="001D602D" w:rsidP="001D602D">
            <w:pPr>
              <w:shd w:val="clear" w:color="auto" w:fill="FFFFFF"/>
              <w:jc w:val="both"/>
              <w:rPr>
                <w:sz w:val="18"/>
                <w:szCs w:val="18"/>
              </w:rPr>
            </w:pPr>
          </w:p>
        </w:tc>
      </w:tr>
      <w:tr w:rsidR="001D602D" w:rsidRPr="00FC31C6" w14:paraId="57A32D3B" w14:textId="77777777" w:rsidTr="003B0A26">
        <w:tc>
          <w:tcPr>
            <w:tcW w:w="817" w:type="dxa"/>
            <w:tcBorders>
              <w:left w:val="single" w:sz="6" w:space="0" w:color="000000"/>
              <w:bottom w:val="single" w:sz="4" w:space="0" w:color="auto"/>
              <w:right w:val="single" w:sz="6" w:space="0" w:color="000000"/>
            </w:tcBorders>
          </w:tcPr>
          <w:p w14:paraId="7E6F25D1" w14:textId="140DEFF7" w:rsidR="001D602D" w:rsidRDefault="001D602D" w:rsidP="001D602D">
            <w:pPr>
              <w:jc w:val="center"/>
              <w:rPr>
                <w:sz w:val="18"/>
                <w:szCs w:val="18"/>
              </w:rPr>
            </w:pPr>
            <w:r>
              <w:rPr>
                <w:sz w:val="18"/>
                <w:szCs w:val="18"/>
              </w:rPr>
              <w:lastRenderedPageBreak/>
              <w:t>3.</w:t>
            </w:r>
          </w:p>
        </w:tc>
        <w:tc>
          <w:tcPr>
            <w:tcW w:w="2977" w:type="dxa"/>
            <w:tcBorders>
              <w:left w:val="single" w:sz="6" w:space="0" w:color="000000"/>
              <w:bottom w:val="single" w:sz="4" w:space="0" w:color="auto"/>
              <w:right w:val="single" w:sz="6" w:space="0" w:color="000000"/>
            </w:tcBorders>
          </w:tcPr>
          <w:p w14:paraId="039E84DB" w14:textId="3B23F8B3" w:rsidR="0098432E" w:rsidRPr="00277B31" w:rsidRDefault="0098432E" w:rsidP="0098432E">
            <w:pPr>
              <w:shd w:val="clear" w:color="auto" w:fill="FFFFFF"/>
              <w:jc w:val="both"/>
              <w:rPr>
                <w:b/>
                <w:bCs/>
                <w:sz w:val="18"/>
                <w:szCs w:val="18"/>
              </w:rPr>
            </w:pPr>
            <w:r>
              <w:rPr>
                <w:b/>
                <w:bCs/>
                <w:sz w:val="18"/>
                <w:szCs w:val="18"/>
              </w:rPr>
              <w:t xml:space="preserve">Noteikumu projekta </w:t>
            </w:r>
            <w:r w:rsidRPr="00277B31">
              <w:rPr>
                <w:b/>
                <w:bCs/>
                <w:sz w:val="18"/>
                <w:szCs w:val="18"/>
              </w:rPr>
              <w:t>1.11.</w:t>
            </w:r>
            <w:r>
              <w:rPr>
                <w:b/>
                <w:bCs/>
                <w:sz w:val="18"/>
                <w:szCs w:val="18"/>
              </w:rPr>
              <w:t>apakšpunkts</w:t>
            </w:r>
          </w:p>
          <w:p w14:paraId="19E8614B" w14:textId="759EF9BA" w:rsidR="001D602D" w:rsidRDefault="001D602D" w:rsidP="001D602D">
            <w:pPr>
              <w:shd w:val="clear" w:color="auto" w:fill="FFFFFF"/>
              <w:jc w:val="both"/>
              <w:rPr>
                <w:b/>
                <w:bCs/>
                <w:sz w:val="18"/>
                <w:szCs w:val="18"/>
              </w:rPr>
            </w:pPr>
          </w:p>
          <w:p w14:paraId="08B5A267" w14:textId="77777777" w:rsidR="0098432E" w:rsidRPr="00C90C57" w:rsidRDefault="0098432E" w:rsidP="0098432E">
            <w:pPr>
              <w:shd w:val="clear" w:color="auto" w:fill="FFFFFF"/>
              <w:jc w:val="both"/>
              <w:rPr>
                <w:sz w:val="18"/>
                <w:szCs w:val="18"/>
              </w:rPr>
            </w:pPr>
            <w:r w:rsidRPr="00277B31">
              <w:rPr>
                <w:sz w:val="18"/>
                <w:szCs w:val="18"/>
              </w:rPr>
              <w:t>“</w:t>
            </w:r>
            <w:r w:rsidRPr="00C90C57">
              <w:rPr>
                <w:sz w:val="18"/>
                <w:szCs w:val="18"/>
              </w:rPr>
              <w:t>1.11. izteikt 22.</w:t>
            </w:r>
            <w:r w:rsidRPr="00C90C57">
              <w:rPr>
                <w:sz w:val="18"/>
                <w:szCs w:val="18"/>
                <w:vertAlign w:val="superscript"/>
              </w:rPr>
              <w:t>2</w:t>
            </w:r>
            <w:r w:rsidRPr="00C90C57">
              <w:rPr>
                <w:sz w:val="18"/>
                <w:szCs w:val="18"/>
              </w:rPr>
              <w:t xml:space="preserve"> punktu šādā redakcijā:</w:t>
            </w:r>
          </w:p>
          <w:p w14:paraId="4999C0B4" w14:textId="77777777" w:rsidR="0098432E" w:rsidRDefault="0098432E" w:rsidP="001D602D">
            <w:pPr>
              <w:shd w:val="clear" w:color="auto" w:fill="FFFFFF"/>
              <w:jc w:val="both"/>
              <w:rPr>
                <w:b/>
                <w:bCs/>
                <w:sz w:val="18"/>
                <w:szCs w:val="18"/>
              </w:rPr>
            </w:pPr>
          </w:p>
          <w:p w14:paraId="090ABD36" w14:textId="724658EC" w:rsidR="0098432E" w:rsidRPr="0098432E" w:rsidRDefault="0098432E" w:rsidP="001D602D">
            <w:pPr>
              <w:shd w:val="clear" w:color="auto" w:fill="FFFFFF"/>
              <w:jc w:val="both"/>
              <w:rPr>
                <w:sz w:val="18"/>
                <w:szCs w:val="18"/>
              </w:rPr>
            </w:pPr>
            <w:r w:rsidRPr="0098432E">
              <w:rPr>
                <w:sz w:val="18"/>
                <w:szCs w:val="18"/>
              </w:rPr>
              <w:t>“22.</w:t>
            </w:r>
            <w:r w:rsidRPr="0098432E">
              <w:rPr>
                <w:sz w:val="18"/>
                <w:szCs w:val="18"/>
                <w:vertAlign w:val="superscript"/>
              </w:rPr>
              <w:t>2</w:t>
            </w:r>
            <w:r w:rsidRPr="0098432E">
              <w:rPr>
                <w:sz w:val="18"/>
                <w:szCs w:val="18"/>
              </w:rPr>
              <w:t xml:space="preserve"> Valsts ieņēmumu dienests katru gadu līdz 1. jūnijam iesniedz uzraudzības institūcijai informāciju par Latvijā realizēto benzīna, dīzeļdegvielas (ar maksimālo sēra saturu 10 mg/kg) un biodegvielu apjomu. Katru gadu līdz 15. jūlijam uzraudzības institūcija sagatavo degvielas kvalitātes pārskatu par iepriekšējo gadu atbilstoši veidlapai, kas publicēta Eiropas Vides aģentūras uzturētajā interneta vietnē. Katru gadu līdz 31. augustam uzraudzības institūcija iesniedz degvielas kvalitātes pārskatu Eiropas vides informācijas un novērojumu tīklā (EIONET) un informē par to Eiropas Komisiju.”;</w:t>
            </w:r>
          </w:p>
        </w:tc>
        <w:tc>
          <w:tcPr>
            <w:tcW w:w="4678" w:type="dxa"/>
            <w:tcBorders>
              <w:left w:val="single" w:sz="6" w:space="0" w:color="000000"/>
              <w:bottom w:val="single" w:sz="4" w:space="0" w:color="auto"/>
              <w:right w:val="single" w:sz="6" w:space="0" w:color="000000"/>
            </w:tcBorders>
          </w:tcPr>
          <w:p w14:paraId="5667242C" w14:textId="77777777" w:rsidR="001D602D" w:rsidRPr="00277B31" w:rsidRDefault="001D602D" w:rsidP="001D602D">
            <w:pPr>
              <w:tabs>
                <w:tab w:val="left" w:pos="993"/>
              </w:tabs>
              <w:contextualSpacing/>
              <w:jc w:val="center"/>
              <w:rPr>
                <w:b/>
                <w:bCs/>
                <w:sz w:val="18"/>
                <w:szCs w:val="18"/>
                <w:lang w:eastAsia="en-US"/>
              </w:rPr>
            </w:pPr>
            <w:r w:rsidRPr="00277B31">
              <w:rPr>
                <w:b/>
                <w:bCs/>
                <w:sz w:val="18"/>
                <w:szCs w:val="18"/>
                <w:lang w:eastAsia="en-US"/>
              </w:rPr>
              <w:t>Finanšu ministrija (25.10.19)</w:t>
            </w:r>
          </w:p>
          <w:p w14:paraId="4DE389B8" w14:textId="77777777" w:rsidR="001D602D" w:rsidRPr="00277B31" w:rsidRDefault="001D602D" w:rsidP="001D602D">
            <w:pPr>
              <w:pStyle w:val="naisc"/>
              <w:jc w:val="both"/>
              <w:rPr>
                <w:sz w:val="18"/>
                <w:szCs w:val="18"/>
              </w:rPr>
            </w:pPr>
            <w:r w:rsidRPr="00277B31">
              <w:rPr>
                <w:sz w:val="18"/>
                <w:szCs w:val="18"/>
              </w:rPr>
              <w:t>3.</w:t>
            </w:r>
            <w:r w:rsidRPr="00277B31">
              <w:rPr>
                <w:sz w:val="18"/>
                <w:szCs w:val="18"/>
              </w:rPr>
              <w:tab/>
              <w:t>Atbilstoši noteikumu projekta 1.11.apakšpunktam, kas paredz izteikt MK noteikumu Nr.332 22.</w:t>
            </w:r>
            <w:r w:rsidRPr="00277B31">
              <w:rPr>
                <w:sz w:val="18"/>
                <w:szCs w:val="18"/>
                <w:vertAlign w:val="superscript"/>
              </w:rPr>
              <w:t>2</w:t>
            </w:r>
            <w:r w:rsidRPr="00277B31">
              <w:rPr>
                <w:sz w:val="18"/>
                <w:szCs w:val="18"/>
              </w:rPr>
              <w:t xml:space="preserve"> punktu jaunā redakcijā, Valsts ieņēmumu dienests (turpmāk arī – VID) katru gadu līdz 1.jūnijam iesniedz uzraudzības institūcijai informāciju par Latvijā realizēto benzīna, dīzeļdegvielas (ar maksimālo sēra saturu 10 mg/kg) un biodegvielu apjomu.</w:t>
            </w:r>
          </w:p>
          <w:p w14:paraId="2D273A9A" w14:textId="77777777" w:rsidR="001D602D" w:rsidRPr="00277B31" w:rsidRDefault="001D602D" w:rsidP="001D602D">
            <w:pPr>
              <w:pStyle w:val="naisc"/>
              <w:jc w:val="both"/>
              <w:rPr>
                <w:sz w:val="18"/>
                <w:szCs w:val="18"/>
              </w:rPr>
            </w:pPr>
            <w:r w:rsidRPr="00277B31">
              <w:rPr>
                <w:sz w:val="18"/>
                <w:szCs w:val="18"/>
              </w:rPr>
              <w:t>Finanšu ministrija neatbalsta noteikumu projekta 1.11.apakšpunkta redakciju, kas izteiks MK noteikumu Nr. 332 22.</w:t>
            </w:r>
            <w:r w:rsidRPr="00277B31">
              <w:rPr>
                <w:sz w:val="18"/>
                <w:szCs w:val="18"/>
                <w:vertAlign w:val="superscript"/>
              </w:rPr>
              <w:t>2</w:t>
            </w:r>
            <w:r w:rsidRPr="00277B31">
              <w:rPr>
                <w:sz w:val="18"/>
                <w:szCs w:val="18"/>
              </w:rPr>
              <w:t xml:space="preserve"> punktu jaunā redakcijā, jo:</w:t>
            </w:r>
          </w:p>
          <w:p w14:paraId="54FFE8DB" w14:textId="77777777" w:rsidR="001D602D" w:rsidRPr="00277B31" w:rsidRDefault="001D602D" w:rsidP="001D602D">
            <w:pPr>
              <w:pStyle w:val="naisc"/>
              <w:jc w:val="both"/>
              <w:rPr>
                <w:sz w:val="18"/>
                <w:szCs w:val="18"/>
              </w:rPr>
            </w:pPr>
            <w:r w:rsidRPr="00277B31">
              <w:rPr>
                <w:sz w:val="18"/>
                <w:szCs w:val="18"/>
              </w:rPr>
              <w:t>1) MK noteikumi Nr.332 nosaka benzīna un dīzeļdegvielas kvalitātes (tehniskās specifikācijas) prasības, bet ne biodegvielas kvalitātes prasības, ko nosaka Ministru kabineta 2005.gada 18.oktobra noteikumi Nr.772 “Noteikumi par biodegvielas kvalitātes prasībām, atbilstības novērtēšanu, tirgus uzraudzību un patērētāju informēšanas kārtību”, tāpēc noteikumu projektā nevar noteikt VID pienākumu sniegt informāciju par realizētās biodegvielas apjomu;</w:t>
            </w:r>
          </w:p>
          <w:p w14:paraId="7894FB43" w14:textId="77777777" w:rsidR="001D602D" w:rsidRPr="00277B31" w:rsidRDefault="001D602D" w:rsidP="001D602D">
            <w:pPr>
              <w:pStyle w:val="naisc"/>
              <w:jc w:val="both"/>
              <w:rPr>
                <w:sz w:val="18"/>
                <w:szCs w:val="18"/>
              </w:rPr>
            </w:pPr>
            <w:r w:rsidRPr="00277B31">
              <w:rPr>
                <w:sz w:val="18"/>
                <w:szCs w:val="18"/>
              </w:rPr>
              <w:t xml:space="preserve">2) akcīzes nodokļa likme netiek piemērota atkarībā no pievienotā biodegvielas apjoma, turklāt, gan </w:t>
            </w:r>
            <w:proofErr w:type="spellStart"/>
            <w:r w:rsidRPr="00277B31">
              <w:rPr>
                <w:sz w:val="18"/>
                <w:szCs w:val="18"/>
              </w:rPr>
              <w:t>parafinizētā</w:t>
            </w:r>
            <w:proofErr w:type="spellEnd"/>
            <w:r w:rsidRPr="00277B31">
              <w:rPr>
                <w:sz w:val="18"/>
                <w:szCs w:val="18"/>
              </w:rPr>
              <w:t xml:space="preserve"> dīzeļdegviela, gan tās sajaukumi ar fosilo dīzeļdegvielu tiek klasificēti ar tādu pašu Kombinētās nomenklatūras kodu kā fosilā dīzeļdegviela, bet akcīzes preču aprites pārskatos </w:t>
            </w:r>
            <w:r w:rsidRPr="00277B31">
              <w:rPr>
                <w:sz w:val="18"/>
                <w:szCs w:val="18"/>
              </w:rPr>
              <w:lastRenderedPageBreak/>
              <w:t>informācija tiek norādīta atbilstoši naftas produktu Kombinētās nomenklatūras kodiem, tāpēc VID rīcībā nav informācijas atsevišķi par dīzeļdegvielu ar maksimālo sēra saturu līdz 10%.</w:t>
            </w:r>
          </w:p>
          <w:p w14:paraId="06783427" w14:textId="77777777" w:rsidR="001D602D" w:rsidRPr="00277B31" w:rsidRDefault="001D602D" w:rsidP="001D602D">
            <w:pPr>
              <w:pStyle w:val="naisc"/>
              <w:jc w:val="both"/>
              <w:rPr>
                <w:sz w:val="18"/>
                <w:szCs w:val="18"/>
              </w:rPr>
            </w:pPr>
            <w:r w:rsidRPr="00277B31">
              <w:rPr>
                <w:sz w:val="18"/>
                <w:szCs w:val="18"/>
              </w:rPr>
              <w:t>Tādējādi ierosinām noteikumu projekta 1.11.apakšpunktā ietverto MK noteikumu Nr.332 22.</w:t>
            </w:r>
            <w:r w:rsidRPr="00277B31">
              <w:rPr>
                <w:sz w:val="18"/>
                <w:szCs w:val="18"/>
                <w:vertAlign w:val="superscript"/>
              </w:rPr>
              <w:t>2</w:t>
            </w:r>
            <w:r w:rsidRPr="00277B31">
              <w:rPr>
                <w:sz w:val="18"/>
                <w:szCs w:val="18"/>
              </w:rPr>
              <w:t xml:space="preserve"> punkta pirmo teikumu izteikt šādā redakcijā:</w:t>
            </w:r>
          </w:p>
          <w:p w14:paraId="7C0984E0" w14:textId="4C75648E" w:rsidR="001D602D" w:rsidRPr="00277B31" w:rsidRDefault="001D602D" w:rsidP="001D602D">
            <w:pPr>
              <w:jc w:val="both"/>
              <w:rPr>
                <w:rFonts w:eastAsia="Calibri"/>
                <w:b/>
                <w:bCs/>
                <w:sz w:val="18"/>
                <w:szCs w:val="18"/>
                <w:lang w:eastAsia="en-US"/>
              </w:rPr>
            </w:pPr>
            <w:r w:rsidRPr="00277B31">
              <w:rPr>
                <w:sz w:val="18"/>
                <w:szCs w:val="18"/>
              </w:rPr>
              <w:t>“22.</w:t>
            </w:r>
            <w:r w:rsidRPr="00277B31">
              <w:rPr>
                <w:sz w:val="18"/>
                <w:szCs w:val="18"/>
                <w:vertAlign w:val="superscript"/>
              </w:rPr>
              <w:t>2</w:t>
            </w:r>
            <w:r w:rsidRPr="00277B31">
              <w:rPr>
                <w:sz w:val="18"/>
                <w:szCs w:val="18"/>
              </w:rPr>
              <w:t xml:space="preserve"> Valsts ieņēmumu dienests katru gadu līdz 1.jūnijam iesniedz uzraudzības institūcijai informāciju par Latvijā realizēto benzīna un dīzeļdegvielas apjomu</w:t>
            </w:r>
            <w:bookmarkStart w:id="1" w:name="_Hlk26259803"/>
            <w:r w:rsidRPr="00277B31">
              <w:rPr>
                <w:sz w:val="18"/>
                <w:szCs w:val="18"/>
              </w:rPr>
              <w:t>, kas iegūta saskaņā ar normatīvajiem aktiem akcīzes preču aprites jomā.</w:t>
            </w:r>
            <w:bookmarkEnd w:id="1"/>
            <w:r w:rsidRPr="00277B31">
              <w:rPr>
                <w:sz w:val="18"/>
                <w:szCs w:val="18"/>
              </w:rPr>
              <w:t>”</w:t>
            </w:r>
          </w:p>
        </w:tc>
        <w:tc>
          <w:tcPr>
            <w:tcW w:w="4110" w:type="dxa"/>
            <w:tcBorders>
              <w:left w:val="single" w:sz="6" w:space="0" w:color="000000"/>
              <w:bottom w:val="single" w:sz="4" w:space="0" w:color="auto"/>
              <w:right w:val="single" w:sz="6" w:space="0" w:color="000000"/>
            </w:tcBorders>
          </w:tcPr>
          <w:p w14:paraId="67D8CEE0" w14:textId="0811F862" w:rsidR="00277B31" w:rsidRPr="00277B31" w:rsidRDefault="00277B31" w:rsidP="00277B31">
            <w:pPr>
              <w:pStyle w:val="naisc"/>
              <w:spacing w:before="0" w:after="0"/>
              <w:rPr>
                <w:b/>
                <w:bCs/>
                <w:sz w:val="18"/>
                <w:szCs w:val="18"/>
              </w:rPr>
            </w:pPr>
            <w:r w:rsidRPr="00277B31">
              <w:rPr>
                <w:b/>
                <w:bCs/>
                <w:sz w:val="18"/>
                <w:szCs w:val="18"/>
              </w:rPr>
              <w:lastRenderedPageBreak/>
              <w:t>Ņemts vērā</w:t>
            </w:r>
            <w:r w:rsidR="00C90C57">
              <w:rPr>
                <w:b/>
                <w:bCs/>
                <w:sz w:val="18"/>
                <w:szCs w:val="18"/>
              </w:rPr>
              <w:t>.</w:t>
            </w:r>
          </w:p>
          <w:p w14:paraId="2A884821" w14:textId="77777777" w:rsidR="001D602D" w:rsidRPr="00277B31" w:rsidRDefault="001D602D" w:rsidP="001D602D">
            <w:pPr>
              <w:jc w:val="center"/>
              <w:rPr>
                <w:b/>
                <w:bCs/>
                <w:sz w:val="18"/>
                <w:szCs w:val="18"/>
              </w:rPr>
            </w:pPr>
          </w:p>
          <w:p w14:paraId="0029DCE5" w14:textId="2AF1AC77" w:rsidR="00277B31" w:rsidRDefault="0098432E" w:rsidP="00277B31">
            <w:pPr>
              <w:jc w:val="both"/>
              <w:rPr>
                <w:sz w:val="18"/>
                <w:szCs w:val="18"/>
              </w:rPr>
            </w:pPr>
            <w:r>
              <w:rPr>
                <w:sz w:val="18"/>
                <w:szCs w:val="18"/>
              </w:rPr>
              <w:t xml:space="preserve">Noteikumu projekts precizēts atbilstoši Finanšu ministrijas priekšlikumam. </w:t>
            </w:r>
            <w:r w:rsidR="00FE4613">
              <w:rPr>
                <w:sz w:val="18"/>
                <w:szCs w:val="18"/>
              </w:rPr>
              <w:t xml:space="preserve">Ņemot vērā, ka noteikumu projekts vairs neparedz definēt BVKB kā uzraudzības institūciju ir </w:t>
            </w:r>
            <w:r w:rsidR="00FE4613" w:rsidRPr="00FE4613">
              <w:rPr>
                <w:sz w:val="18"/>
                <w:szCs w:val="18"/>
              </w:rPr>
              <w:t>mainī</w:t>
            </w:r>
            <w:r w:rsidR="00FE4613">
              <w:rPr>
                <w:sz w:val="18"/>
                <w:szCs w:val="18"/>
              </w:rPr>
              <w:t>jusies</w:t>
            </w:r>
            <w:r w:rsidR="00FE4613" w:rsidRPr="00FE4613">
              <w:rPr>
                <w:sz w:val="18"/>
                <w:szCs w:val="18"/>
              </w:rPr>
              <w:t xml:space="preserve"> Noteikumu projekta 1.11.apakšpunkt</w:t>
            </w:r>
            <w:r w:rsidR="00FE4613">
              <w:rPr>
                <w:sz w:val="18"/>
                <w:szCs w:val="18"/>
              </w:rPr>
              <w:t>ā izteiktā</w:t>
            </w:r>
            <w:r w:rsidR="00FE4613" w:rsidRPr="00FE4613">
              <w:rPr>
                <w:sz w:val="18"/>
                <w:szCs w:val="18"/>
              </w:rPr>
              <w:t xml:space="preserve"> </w:t>
            </w:r>
            <w:r w:rsidR="00EC7D6D">
              <w:rPr>
                <w:sz w:val="18"/>
                <w:szCs w:val="18"/>
              </w:rPr>
              <w:t xml:space="preserve">MK noteikumu Nr.332 </w:t>
            </w:r>
            <w:r w:rsidR="00FE4613" w:rsidRPr="00FE4613">
              <w:rPr>
                <w:sz w:val="18"/>
                <w:szCs w:val="18"/>
              </w:rPr>
              <w:t>22.</w:t>
            </w:r>
            <w:r w:rsidR="00FE4613" w:rsidRPr="00FE4613">
              <w:rPr>
                <w:sz w:val="18"/>
                <w:szCs w:val="18"/>
                <w:vertAlign w:val="superscript"/>
              </w:rPr>
              <w:t>2</w:t>
            </w:r>
            <w:r w:rsidR="00FE4613" w:rsidRPr="00FE4613">
              <w:rPr>
                <w:sz w:val="18"/>
                <w:szCs w:val="18"/>
              </w:rPr>
              <w:t xml:space="preserve"> </w:t>
            </w:r>
            <w:r w:rsidR="00FE4613">
              <w:rPr>
                <w:sz w:val="18"/>
                <w:szCs w:val="18"/>
              </w:rPr>
              <w:t> </w:t>
            </w:r>
            <w:r w:rsidR="00FE4613" w:rsidRPr="00FE4613">
              <w:rPr>
                <w:sz w:val="18"/>
                <w:szCs w:val="18"/>
              </w:rPr>
              <w:t>punkt</w:t>
            </w:r>
            <w:r w:rsidR="00FE4613">
              <w:rPr>
                <w:sz w:val="18"/>
                <w:szCs w:val="18"/>
              </w:rPr>
              <w:t>a</w:t>
            </w:r>
            <w:r w:rsidR="00FE4613" w:rsidRPr="00FE4613">
              <w:rPr>
                <w:sz w:val="18"/>
                <w:szCs w:val="18"/>
              </w:rPr>
              <w:t xml:space="preserve"> redakcija</w:t>
            </w:r>
            <w:r w:rsidR="00EF1890">
              <w:rPr>
                <w:sz w:val="18"/>
                <w:szCs w:val="18"/>
              </w:rPr>
              <w:t xml:space="preserve"> attiecībā uz to kā šī iestāde tiek pieminēta šajā punktā</w:t>
            </w:r>
            <w:r w:rsidR="00FE4613" w:rsidRPr="00FE4613">
              <w:rPr>
                <w:sz w:val="18"/>
                <w:szCs w:val="18"/>
              </w:rPr>
              <w:t xml:space="preserve">. </w:t>
            </w:r>
          </w:p>
          <w:p w14:paraId="7E727C90" w14:textId="330C6DA0" w:rsidR="00FE4613" w:rsidRDefault="00FE4613" w:rsidP="00277B31">
            <w:pPr>
              <w:jc w:val="both"/>
              <w:rPr>
                <w:sz w:val="18"/>
                <w:szCs w:val="18"/>
              </w:rPr>
            </w:pPr>
          </w:p>
          <w:p w14:paraId="143B716D" w14:textId="610BE4E7" w:rsidR="00FE4613" w:rsidRPr="00277B31" w:rsidRDefault="00FE4613" w:rsidP="001F1CB2">
            <w:pPr>
              <w:jc w:val="both"/>
              <w:rPr>
                <w:sz w:val="18"/>
                <w:szCs w:val="18"/>
              </w:rPr>
            </w:pPr>
          </w:p>
        </w:tc>
        <w:tc>
          <w:tcPr>
            <w:tcW w:w="2835" w:type="dxa"/>
            <w:tcBorders>
              <w:top w:val="single" w:sz="4" w:space="0" w:color="auto"/>
              <w:left w:val="single" w:sz="4" w:space="0" w:color="auto"/>
              <w:bottom w:val="single" w:sz="4" w:space="0" w:color="auto"/>
            </w:tcBorders>
          </w:tcPr>
          <w:p w14:paraId="0BB7F440" w14:textId="545211EF" w:rsidR="00277B31" w:rsidRPr="00277B31" w:rsidRDefault="00277B31" w:rsidP="00277B31">
            <w:pPr>
              <w:shd w:val="clear" w:color="auto" w:fill="FFFFFF"/>
              <w:jc w:val="both"/>
              <w:rPr>
                <w:b/>
                <w:bCs/>
                <w:sz w:val="18"/>
                <w:szCs w:val="18"/>
              </w:rPr>
            </w:pPr>
            <w:r>
              <w:rPr>
                <w:b/>
                <w:bCs/>
                <w:sz w:val="18"/>
                <w:szCs w:val="18"/>
              </w:rPr>
              <w:t xml:space="preserve">Noteikumu projekta </w:t>
            </w:r>
            <w:r w:rsidRPr="00277B31">
              <w:rPr>
                <w:b/>
                <w:bCs/>
                <w:sz w:val="18"/>
                <w:szCs w:val="18"/>
              </w:rPr>
              <w:t>1.11.</w:t>
            </w:r>
            <w:r>
              <w:rPr>
                <w:b/>
                <w:bCs/>
                <w:sz w:val="18"/>
                <w:szCs w:val="18"/>
              </w:rPr>
              <w:t>apakšpunkts</w:t>
            </w:r>
            <w:r w:rsidR="00C90C57">
              <w:rPr>
                <w:b/>
                <w:bCs/>
                <w:sz w:val="18"/>
                <w:szCs w:val="18"/>
              </w:rPr>
              <w:t>:</w:t>
            </w:r>
          </w:p>
          <w:p w14:paraId="2B22050E" w14:textId="77777777" w:rsidR="00277B31" w:rsidRPr="00277B31" w:rsidRDefault="00277B31" w:rsidP="00277B31">
            <w:pPr>
              <w:shd w:val="clear" w:color="auto" w:fill="FFFFFF"/>
              <w:jc w:val="both"/>
              <w:rPr>
                <w:b/>
                <w:bCs/>
                <w:sz w:val="18"/>
                <w:szCs w:val="18"/>
              </w:rPr>
            </w:pPr>
          </w:p>
          <w:p w14:paraId="17892EBB" w14:textId="77777777" w:rsidR="00C90C57" w:rsidRPr="00C90C57" w:rsidRDefault="00277B31" w:rsidP="00C90C57">
            <w:pPr>
              <w:shd w:val="clear" w:color="auto" w:fill="FFFFFF"/>
              <w:jc w:val="both"/>
              <w:rPr>
                <w:sz w:val="18"/>
                <w:szCs w:val="18"/>
              </w:rPr>
            </w:pPr>
            <w:r w:rsidRPr="00277B31">
              <w:rPr>
                <w:sz w:val="18"/>
                <w:szCs w:val="18"/>
              </w:rPr>
              <w:t>“</w:t>
            </w:r>
            <w:r w:rsidR="00C90C57" w:rsidRPr="00C90C57">
              <w:rPr>
                <w:sz w:val="18"/>
                <w:szCs w:val="18"/>
              </w:rPr>
              <w:t>1.11. izteikt 22.</w:t>
            </w:r>
            <w:r w:rsidR="00C90C57" w:rsidRPr="00C90C57">
              <w:rPr>
                <w:sz w:val="18"/>
                <w:szCs w:val="18"/>
                <w:vertAlign w:val="superscript"/>
              </w:rPr>
              <w:t>2</w:t>
            </w:r>
            <w:r w:rsidR="00C90C57" w:rsidRPr="00C90C57">
              <w:rPr>
                <w:sz w:val="18"/>
                <w:szCs w:val="18"/>
              </w:rPr>
              <w:t xml:space="preserve"> punktu šādā redakcijā:</w:t>
            </w:r>
          </w:p>
          <w:p w14:paraId="04D28358" w14:textId="77777777" w:rsidR="00C90C57" w:rsidRPr="00C90C57" w:rsidRDefault="00C90C57" w:rsidP="00C90C57">
            <w:pPr>
              <w:shd w:val="clear" w:color="auto" w:fill="FFFFFF"/>
              <w:jc w:val="both"/>
              <w:rPr>
                <w:sz w:val="18"/>
                <w:szCs w:val="18"/>
              </w:rPr>
            </w:pPr>
          </w:p>
          <w:p w14:paraId="477B1360" w14:textId="303C1971" w:rsidR="001D602D" w:rsidRPr="00277B31" w:rsidRDefault="00C90C57" w:rsidP="00C90C57">
            <w:pPr>
              <w:shd w:val="clear" w:color="auto" w:fill="FFFFFF"/>
              <w:jc w:val="both"/>
              <w:rPr>
                <w:sz w:val="18"/>
                <w:szCs w:val="18"/>
              </w:rPr>
            </w:pPr>
            <w:r w:rsidRPr="00C90C57">
              <w:rPr>
                <w:sz w:val="18"/>
                <w:szCs w:val="18"/>
              </w:rPr>
              <w:t>“22.</w:t>
            </w:r>
            <w:r w:rsidRPr="00C90C57">
              <w:rPr>
                <w:sz w:val="18"/>
                <w:szCs w:val="18"/>
                <w:vertAlign w:val="superscript"/>
              </w:rPr>
              <w:t>2</w:t>
            </w:r>
            <w:r w:rsidRPr="00C90C57">
              <w:rPr>
                <w:sz w:val="18"/>
                <w:szCs w:val="18"/>
              </w:rPr>
              <w:t xml:space="preserve"> Valsts ieņēmumu dienests katru gadu līdz 1. jūnijam iesniedz Būvniecības valsts kontroles birojam informāciju par Latvijā realizēto benzīna un dīzeļdegvielas apjomu</w:t>
            </w:r>
            <w:r w:rsidR="00EF1890" w:rsidRPr="00277B31">
              <w:rPr>
                <w:sz w:val="18"/>
                <w:szCs w:val="18"/>
              </w:rPr>
              <w:t>, kas iegūta saskaņā ar normatīvajiem aktiem akcīzes preču aprites jomā.</w:t>
            </w:r>
            <w:r w:rsidRPr="00C90C57">
              <w:rPr>
                <w:sz w:val="18"/>
                <w:szCs w:val="18"/>
              </w:rPr>
              <w:t>. Katru gadu līdz 15. jūlijam Būvniecības valsts kontroles birojs sagatavo degvielas kvalitātes pārskatu par iepriekšējo gadu atbilstoši veidlapai, kas publicēta Eiropas Vides aģentūras uzturētajā interneta vietnē. Katru gadu līdz 31. augustam uzraudzības institūcija iesniedz degvielas kvalitātes pārskatu Eiropas vides informācijas un novērojumu tīklā (EIONET) un informē par to Eiropas Komisiju.”;</w:t>
            </w:r>
          </w:p>
        </w:tc>
      </w:tr>
      <w:tr w:rsidR="0098432E" w:rsidRPr="00FC31C6" w14:paraId="1D2A6E63" w14:textId="77777777" w:rsidTr="003B0A26">
        <w:tc>
          <w:tcPr>
            <w:tcW w:w="817" w:type="dxa"/>
            <w:tcBorders>
              <w:left w:val="single" w:sz="6" w:space="0" w:color="000000"/>
              <w:bottom w:val="single" w:sz="4" w:space="0" w:color="auto"/>
              <w:right w:val="single" w:sz="6" w:space="0" w:color="000000"/>
            </w:tcBorders>
          </w:tcPr>
          <w:p w14:paraId="258C123D" w14:textId="1A0EE4AC" w:rsidR="0098432E" w:rsidRDefault="0098432E" w:rsidP="001D602D">
            <w:pPr>
              <w:jc w:val="center"/>
              <w:rPr>
                <w:sz w:val="18"/>
                <w:szCs w:val="18"/>
              </w:rPr>
            </w:pPr>
            <w:r>
              <w:rPr>
                <w:sz w:val="18"/>
                <w:szCs w:val="18"/>
              </w:rPr>
              <w:t xml:space="preserve">4. </w:t>
            </w:r>
          </w:p>
        </w:tc>
        <w:tc>
          <w:tcPr>
            <w:tcW w:w="2977" w:type="dxa"/>
            <w:tcBorders>
              <w:left w:val="single" w:sz="6" w:space="0" w:color="000000"/>
              <w:bottom w:val="single" w:sz="4" w:space="0" w:color="auto"/>
              <w:right w:val="single" w:sz="6" w:space="0" w:color="000000"/>
            </w:tcBorders>
          </w:tcPr>
          <w:p w14:paraId="2BF98D9F" w14:textId="77777777" w:rsidR="003D4613" w:rsidRPr="00277B31" w:rsidRDefault="003D4613" w:rsidP="003D4613">
            <w:pPr>
              <w:shd w:val="clear" w:color="auto" w:fill="FFFFFF"/>
              <w:jc w:val="both"/>
              <w:rPr>
                <w:b/>
                <w:bCs/>
                <w:sz w:val="18"/>
                <w:szCs w:val="18"/>
              </w:rPr>
            </w:pPr>
            <w:r>
              <w:rPr>
                <w:b/>
                <w:bCs/>
                <w:sz w:val="18"/>
                <w:szCs w:val="18"/>
              </w:rPr>
              <w:t xml:space="preserve">Noteikumu projekta </w:t>
            </w:r>
            <w:r w:rsidRPr="00277B31">
              <w:rPr>
                <w:b/>
                <w:bCs/>
                <w:sz w:val="18"/>
                <w:szCs w:val="18"/>
              </w:rPr>
              <w:t>1.</w:t>
            </w:r>
            <w:r>
              <w:rPr>
                <w:b/>
                <w:bCs/>
                <w:sz w:val="18"/>
                <w:szCs w:val="18"/>
              </w:rPr>
              <w:t>13</w:t>
            </w:r>
            <w:r w:rsidRPr="00277B31">
              <w:rPr>
                <w:b/>
                <w:bCs/>
                <w:sz w:val="18"/>
                <w:szCs w:val="18"/>
              </w:rPr>
              <w:t>.</w:t>
            </w:r>
            <w:r>
              <w:rPr>
                <w:b/>
                <w:bCs/>
                <w:sz w:val="18"/>
                <w:szCs w:val="18"/>
              </w:rPr>
              <w:t>apakšpunkts:</w:t>
            </w:r>
          </w:p>
          <w:p w14:paraId="48766E14" w14:textId="5E02AC93" w:rsidR="003D4613" w:rsidRDefault="003D4613" w:rsidP="003D4613">
            <w:pPr>
              <w:shd w:val="clear" w:color="auto" w:fill="FFFFFF"/>
              <w:jc w:val="both"/>
              <w:rPr>
                <w:b/>
                <w:bCs/>
                <w:sz w:val="18"/>
                <w:szCs w:val="18"/>
              </w:rPr>
            </w:pPr>
          </w:p>
          <w:p w14:paraId="45619579" w14:textId="3CE9FF51" w:rsidR="003D4613" w:rsidRPr="00070B13" w:rsidRDefault="003D4613" w:rsidP="003D4613">
            <w:pPr>
              <w:shd w:val="clear" w:color="auto" w:fill="FFFFFF"/>
              <w:jc w:val="both"/>
              <w:rPr>
                <w:sz w:val="18"/>
                <w:szCs w:val="18"/>
              </w:rPr>
            </w:pPr>
            <w:r>
              <w:rPr>
                <w:sz w:val="18"/>
                <w:szCs w:val="18"/>
              </w:rPr>
              <w:t>“</w:t>
            </w:r>
            <w:r w:rsidRPr="00070B13">
              <w:rPr>
                <w:sz w:val="18"/>
                <w:szCs w:val="18"/>
              </w:rPr>
              <w:t>1.13. papildināt VI nodaļu ar 33.punktu šādā redakcijā:</w:t>
            </w:r>
          </w:p>
          <w:p w14:paraId="27A378E4" w14:textId="77777777" w:rsidR="003D4613" w:rsidRPr="003D4613" w:rsidRDefault="003D4613" w:rsidP="003D4613">
            <w:pPr>
              <w:shd w:val="clear" w:color="auto" w:fill="FFFFFF"/>
              <w:jc w:val="both"/>
              <w:rPr>
                <w:b/>
                <w:bCs/>
                <w:sz w:val="18"/>
                <w:szCs w:val="18"/>
              </w:rPr>
            </w:pPr>
          </w:p>
          <w:p w14:paraId="09A47ABE" w14:textId="37A8EF1D" w:rsidR="0098432E" w:rsidRPr="003D4613" w:rsidRDefault="003D4613" w:rsidP="003D4613">
            <w:pPr>
              <w:shd w:val="clear" w:color="auto" w:fill="FFFFFF"/>
              <w:jc w:val="both"/>
              <w:rPr>
                <w:sz w:val="18"/>
                <w:szCs w:val="18"/>
              </w:rPr>
            </w:pPr>
            <w:r w:rsidRPr="003D4613">
              <w:rPr>
                <w:sz w:val="18"/>
                <w:szCs w:val="18"/>
              </w:rPr>
              <w:t>“33. Valsts ieņēmumu dienests līdz 2023.gadam reizi gadā līdz 1.junijam iesniedz uzraudzības institūcijai informāciju par veiktajām degvielas kvalitātes pārbaudēm, ievērojot degvielas kvalitātes pārskata veidlapu, kas publicēta Eiropas Vides aģentūras uzturētajā interneta vietnē.”;</w:t>
            </w:r>
            <w:r>
              <w:rPr>
                <w:sz w:val="18"/>
                <w:szCs w:val="18"/>
              </w:rPr>
              <w:t>”</w:t>
            </w:r>
            <w:r w:rsidRPr="003D4613">
              <w:rPr>
                <w:sz w:val="18"/>
                <w:szCs w:val="18"/>
              </w:rPr>
              <w:t xml:space="preserve"> </w:t>
            </w:r>
          </w:p>
        </w:tc>
        <w:tc>
          <w:tcPr>
            <w:tcW w:w="4678" w:type="dxa"/>
            <w:tcBorders>
              <w:left w:val="single" w:sz="6" w:space="0" w:color="000000"/>
              <w:bottom w:val="single" w:sz="4" w:space="0" w:color="auto"/>
              <w:right w:val="single" w:sz="6" w:space="0" w:color="000000"/>
            </w:tcBorders>
          </w:tcPr>
          <w:p w14:paraId="4F396CCD" w14:textId="77777777" w:rsidR="0098432E" w:rsidRPr="0098432E" w:rsidRDefault="0098432E" w:rsidP="0098432E">
            <w:pPr>
              <w:tabs>
                <w:tab w:val="left" w:pos="993"/>
              </w:tabs>
              <w:contextualSpacing/>
              <w:jc w:val="center"/>
              <w:rPr>
                <w:b/>
                <w:bCs/>
                <w:sz w:val="18"/>
                <w:szCs w:val="18"/>
                <w:lang w:eastAsia="en-US"/>
              </w:rPr>
            </w:pPr>
            <w:r w:rsidRPr="0098432E">
              <w:rPr>
                <w:b/>
                <w:bCs/>
                <w:sz w:val="18"/>
                <w:szCs w:val="18"/>
                <w:lang w:eastAsia="en-US"/>
              </w:rPr>
              <w:t>Finanšu ministrija (25.10.19)</w:t>
            </w:r>
          </w:p>
          <w:p w14:paraId="690FCE89" w14:textId="77777777" w:rsidR="0098432E" w:rsidRPr="0098432E" w:rsidRDefault="0098432E" w:rsidP="0098432E">
            <w:pPr>
              <w:pStyle w:val="naisc"/>
              <w:jc w:val="both"/>
              <w:rPr>
                <w:sz w:val="18"/>
                <w:szCs w:val="18"/>
              </w:rPr>
            </w:pPr>
            <w:r w:rsidRPr="0098432E">
              <w:rPr>
                <w:sz w:val="18"/>
                <w:szCs w:val="18"/>
              </w:rPr>
              <w:t>4.</w:t>
            </w:r>
            <w:r w:rsidRPr="0098432E">
              <w:rPr>
                <w:sz w:val="18"/>
                <w:szCs w:val="18"/>
              </w:rPr>
              <w:tab/>
              <w:t>Noteikumu projekta 1.13.apakšpunktā paredzēts papildināt MK noteikumus Nr.332 ar 33.punktu šādā redakcijā: “Valsts ieņēmumu dienests līdz 2023. gadam reizi gadā līdz 1. jūnijam iesniedz uzraudzības institūcijai informāciju par veiktajām degvielas kvalitātes pārbaudēm, ievērojot degvielas kvalitātes pārskata veidlapu, kas publicēta Eiropas Vides aģentūras uzturētajā interneta vietnē.”.</w:t>
            </w:r>
          </w:p>
          <w:p w14:paraId="1E734459" w14:textId="77777777" w:rsidR="0098432E" w:rsidRPr="0098432E" w:rsidRDefault="0098432E" w:rsidP="0098432E">
            <w:pPr>
              <w:pStyle w:val="naisc"/>
              <w:jc w:val="both"/>
              <w:rPr>
                <w:sz w:val="18"/>
                <w:szCs w:val="18"/>
              </w:rPr>
            </w:pPr>
            <w:r w:rsidRPr="0098432E">
              <w:rPr>
                <w:sz w:val="18"/>
                <w:szCs w:val="18"/>
              </w:rPr>
              <w:t>Savukārt no noteikumu projekta satura izriet, ka degvielas tirgus uzraudzību veiks Būvniecības valsts kontroles birojs.</w:t>
            </w:r>
          </w:p>
          <w:p w14:paraId="4711D75C" w14:textId="0F17FEB4" w:rsidR="0098432E" w:rsidRPr="0098432E" w:rsidRDefault="0098432E" w:rsidP="0098432E">
            <w:pPr>
              <w:pStyle w:val="naisc"/>
              <w:jc w:val="both"/>
              <w:rPr>
                <w:sz w:val="18"/>
                <w:szCs w:val="18"/>
              </w:rPr>
            </w:pPr>
            <w:r w:rsidRPr="0098432E">
              <w:rPr>
                <w:sz w:val="18"/>
                <w:szCs w:val="18"/>
              </w:rPr>
              <w:t xml:space="preserve">Pirms noteikumu projekta izsludināšanas Finanšu ministrija (VID) iepriekš vairākkārt ir norādījusi Ekonomikas ministrijai, ka VID rīcībā nav akreditētas atbilstības novērtēšanas laboratorijas, kurā varētu veikt degvielas paraugu testēšanu, nodrošinot standartā LVS EN 14274:2013 “Automobiļu degvielas. Benzīna un dīzeļdegvielas kvalitātes novērtēšana. Degvielas kvalitātes monitoringa sistēma (FQMS)” ietvertās prasības. Līdz ar to, lai degvielas kvalitātes uzraudzībā ievērotu standartu LVS </w:t>
            </w:r>
            <w:r w:rsidR="001F1CB2">
              <w:rPr>
                <w:sz w:val="18"/>
                <w:szCs w:val="18"/>
              </w:rPr>
              <w:t>E</w:t>
            </w:r>
            <w:r w:rsidRPr="0098432E">
              <w:rPr>
                <w:sz w:val="18"/>
                <w:szCs w:val="18"/>
              </w:rPr>
              <w:t>E 14274:2013, degvielas paraugi testēšanai jānodod kādai no akreditētām atbilstības novērtēšanas institūcijām.</w:t>
            </w:r>
          </w:p>
          <w:p w14:paraId="127FB3C6" w14:textId="53426827" w:rsidR="0098432E" w:rsidRPr="0098432E" w:rsidRDefault="0098432E" w:rsidP="0098432E">
            <w:pPr>
              <w:pStyle w:val="naisc"/>
              <w:jc w:val="both"/>
              <w:rPr>
                <w:sz w:val="18"/>
                <w:szCs w:val="18"/>
              </w:rPr>
            </w:pPr>
            <w:r w:rsidRPr="0098432E">
              <w:rPr>
                <w:sz w:val="18"/>
                <w:szCs w:val="18"/>
              </w:rPr>
              <w:t xml:space="preserve">Tas, ka VID ir pieejamas iekārtas, ar kurām var veikt atsevišķas degvielas kvalitātes pārbaudes, nerisina degvielas kvalitātes uzraudzības jautājumu, jo, lai degvielas kvalitātes uzraudzībā ievērotu standartu LVS </w:t>
            </w:r>
            <w:r w:rsidR="001F1CB2">
              <w:rPr>
                <w:sz w:val="18"/>
                <w:szCs w:val="18"/>
              </w:rPr>
              <w:t>EN</w:t>
            </w:r>
            <w:r w:rsidRPr="0098432E">
              <w:rPr>
                <w:sz w:val="18"/>
                <w:szCs w:val="18"/>
              </w:rPr>
              <w:t xml:space="preserve"> 14274:2013, degvielas paraugu testēšana jāveic akreditētā degvielas kvalitātes testēšanas laboratorijā, kādas VID rīcībā nav.</w:t>
            </w:r>
          </w:p>
          <w:p w14:paraId="4820741E" w14:textId="77777777" w:rsidR="0098432E" w:rsidRPr="0098432E" w:rsidRDefault="0098432E" w:rsidP="0098432E">
            <w:pPr>
              <w:pStyle w:val="naisc"/>
              <w:jc w:val="both"/>
              <w:rPr>
                <w:sz w:val="18"/>
                <w:szCs w:val="18"/>
              </w:rPr>
            </w:pPr>
            <w:r w:rsidRPr="0098432E">
              <w:rPr>
                <w:sz w:val="18"/>
                <w:szCs w:val="18"/>
              </w:rPr>
              <w:t xml:space="preserve">Arī noteikumu projekta anotācijas I sadaļas 2. punktā (4.-5.lpp.) norādīts, ka degvielas kvalitātes monitoringa standarts noteic, ka degvielas paraugus ir nepieciešams testēt akreditētā laboratorijā, kas akreditēta pēc standarta ISO/IEC 17025:2017 “Testēšanas un kalibrēšanas laboratoriju kompetences vispārīgās prasības” (turpmāk – standarts ISO/IEC 17025) vai citā valdības noteiktā laboratorijā, kurai ir nepieciešams regulāri piedalīties vismaz vienā nacionālā, ES vai </w:t>
            </w:r>
            <w:r w:rsidRPr="0098432E">
              <w:rPr>
                <w:sz w:val="18"/>
                <w:szCs w:val="18"/>
              </w:rPr>
              <w:lastRenderedPageBreak/>
              <w:t>starptautiskā starp-laboratoriju shēmā, kā to paredz standarts ISO/IEC 17025. […] Sagatavotajā degvielas kvalitātes ziņojumā par 2018.gadu ir redzams, ka Latvijā degvielas paraugu testēšana tiek veikta nepietiekamā apmērā.</w:t>
            </w:r>
          </w:p>
          <w:p w14:paraId="20137DCA" w14:textId="77777777" w:rsidR="0098432E" w:rsidRPr="0098432E" w:rsidRDefault="0098432E" w:rsidP="0098432E">
            <w:pPr>
              <w:pStyle w:val="naisc"/>
              <w:jc w:val="both"/>
              <w:rPr>
                <w:sz w:val="18"/>
                <w:szCs w:val="18"/>
              </w:rPr>
            </w:pPr>
            <w:r w:rsidRPr="0098432E">
              <w:rPr>
                <w:sz w:val="18"/>
                <w:szCs w:val="18"/>
              </w:rPr>
              <w:t>Līdz ar to norādām, ka VID degvielas kvalitātes uzraudzību, līdz brīdim, kad noteikumu projekts stāsies spēkā, var turpināt atbilstoši tā rīcībā esošajam tehniskajam nodrošinājumam.</w:t>
            </w:r>
          </w:p>
          <w:p w14:paraId="26CD6E86" w14:textId="77777777" w:rsidR="0098432E" w:rsidRPr="0098432E" w:rsidRDefault="0098432E" w:rsidP="0098432E">
            <w:pPr>
              <w:pStyle w:val="naisc"/>
              <w:jc w:val="both"/>
              <w:rPr>
                <w:sz w:val="18"/>
                <w:szCs w:val="18"/>
              </w:rPr>
            </w:pPr>
            <w:r w:rsidRPr="0098432E">
              <w:rPr>
                <w:sz w:val="18"/>
                <w:szCs w:val="18"/>
              </w:rPr>
              <w:t>VID galvenie pienākumi un uzdevumi noteikti likumā “Par Valsts ieņēmumu dienestu” un likumā “Par nodokļiem un nodevām” un ir saistīti ar nodokļu un citu valsts obligāto maksājumu iekasēšanas nodrošināšanu un administrēšanu. VID pienākumi un funkcijas nav saistītas ar degvielas kvalitātes uzraudzību tiktāl, ciktāl tas neskar nodokļu administrēšanas jomu.</w:t>
            </w:r>
          </w:p>
          <w:p w14:paraId="06057091" w14:textId="3215D0BD" w:rsidR="0098432E" w:rsidRPr="0098432E" w:rsidRDefault="0098432E" w:rsidP="0098432E">
            <w:pPr>
              <w:tabs>
                <w:tab w:val="left" w:pos="993"/>
              </w:tabs>
              <w:contextualSpacing/>
              <w:jc w:val="both"/>
              <w:rPr>
                <w:b/>
                <w:bCs/>
                <w:sz w:val="18"/>
                <w:szCs w:val="18"/>
                <w:lang w:eastAsia="en-US"/>
              </w:rPr>
            </w:pPr>
            <w:r w:rsidRPr="0098432E">
              <w:rPr>
                <w:sz w:val="18"/>
                <w:szCs w:val="18"/>
              </w:rPr>
              <w:t>Ņemot vērā, ka noteikumu projektā nav noteikta VID kompetence degvielas tirgus uzraudzībā un, lai neveidotos funkcijas dublēšanās, un īpaši ņemot vērā, ka VID noteiktajos pienākumos un uzdevumos degvielas kvalitātes uzraudzība neietilpst, ierosinām svītrot noteikumu projekta 1.13.apakšpunktā ietverto Ministru kabineta 2000.gada 26.septembra noteikumu Nr.332 33.punktu un attiecīgi precizēt noteikumu projekta anotāciju.</w:t>
            </w:r>
          </w:p>
        </w:tc>
        <w:tc>
          <w:tcPr>
            <w:tcW w:w="4110" w:type="dxa"/>
            <w:tcBorders>
              <w:left w:val="single" w:sz="6" w:space="0" w:color="000000"/>
              <w:bottom w:val="single" w:sz="4" w:space="0" w:color="auto"/>
              <w:right w:val="single" w:sz="6" w:space="0" w:color="000000"/>
            </w:tcBorders>
          </w:tcPr>
          <w:p w14:paraId="5344E679" w14:textId="059791F0" w:rsidR="00070B13" w:rsidRPr="00277B31" w:rsidRDefault="00070B13" w:rsidP="00070B13">
            <w:pPr>
              <w:pStyle w:val="naisc"/>
              <w:spacing w:before="0" w:after="0"/>
              <w:rPr>
                <w:b/>
                <w:bCs/>
                <w:sz w:val="18"/>
                <w:szCs w:val="18"/>
              </w:rPr>
            </w:pPr>
            <w:r w:rsidRPr="00277B31">
              <w:rPr>
                <w:b/>
                <w:bCs/>
                <w:sz w:val="18"/>
                <w:szCs w:val="18"/>
              </w:rPr>
              <w:lastRenderedPageBreak/>
              <w:t>Ņemts vērā</w:t>
            </w:r>
            <w:r w:rsidR="00EF1890">
              <w:rPr>
                <w:b/>
                <w:bCs/>
                <w:sz w:val="18"/>
                <w:szCs w:val="18"/>
              </w:rPr>
              <w:t xml:space="preserve"> daļēji</w:t>
            </w:r>
            <w:r>
              <w:rPr>
                <w:b/>
                <w:bCs/>
                <w:sz w:val="18"/>
                <w:szCs w:val="18"/>
              </w:rPr>
              <w:t>.</w:t>
            </w:r>
          </w:p>
          <w:p w14:paraId="66561722" w14:textId="77777777" w:rsidR="0098432E" w:rsidRDefault="0098432E" w:rsidP="00277B31">
            <w:pPr>
              <w:pStyle w:val="naisc"/>
              <w:spacing w:before="0" w:after="0"/>
              <w:rPr>
                <w:b/>
                <w:bCs/>
                <w:sz w:val="18"/>
                <w:szCs w:val="18"/>
              </w:rPr>
            </w:pPr>
          </w:p>
          <w:p w14:paraId="11CA6079" w14:textId="764FFDED" w:rsidR="00070B13" w:rsidRDefault="007C2DAF" w:rsidP="007C2DAF">
            <w:pPr>
              <w:pStyle w:val="naisc"/>
              <w:spacing w:before="0" w:after="0"/>
              <w:jc w:val="both"/>
              <w:rPr>
                <w:sz w:val="18"/>
                <w:szCs w:val="18"/>
              </w:rPr>
            </w:pPr>
            <w:r w:rsidRPr="007C2DAF">
              <w:rPr>
                <w:sz w:val="18"/>
                <w:szCs w:val="18"/>
              </w:rPr>
              <w:t>No</w:t>
            </w:r>
            <w:r>
              <w:rPr>
                <w:sz w:val="18"/>
                <w:szCs w:val="18"/>
              </w:rPr>
              <w:t>t</w:t>
            </w:r>
            <w:r w:rsidRPr="007C2DAF">
              <w:rPr>
                <w:sz w:val="18"/>
                <w:szCs w:val="18"/>
              </w:rPr>
              <w:t xml:space="preserve">eikumu projekta </w:t>
            </w:r>
            <w:r>
              <w:rPr>
                <w:sz w:val="18"/>
                <w:szCs w:val="18"/>
              </w:rPr>
              <w:t>1.13.apakšpunkts precizēts</w:t>
            </w:r>
            <w:r w:rsidR="001F1CB2">
              <w:rPr>
                <w:sz w:val="18"/>
                <w:szCs w:val="18"/>
              </w:rPr>
              <w:t xml:space="preserve"> tā, lai tas nenonāktu pretrunā ar </w:t>
            </w:r>
            <w:r w:rsidR="001F1CB2" w:rsidRPr="001F1CB2">
              <w:rPr>
                <w:sz w:val="18"/>
                <w:szCs w:val="18"/>
              </w:rPr>
              <w:t>likumā “Par Valsts ieņēmumu dienestu” un likumā “Par nodokļiem un nodevām”</w:t>
            </w:r>
            <w:r w:rsidR="001F1CB2">
              <w:rPr>
                <w:sz w:val="18"/>
                <w:szCs w:val="18"/>
              </w:rPr>
              <w:t xml:space="preserve"> VID noteiktajām funkcijām. </w:t>
            </w:r>
          </w:p>
          <w:p w14:paraId="18B81C3D" w14:textId="54F45F43" w:rsidR="001F1CB2" w:rsidRDefault="001F1CB2" w:rsidP="001F1CB2"/>
          <w:p w14:paraId="7A61296A" w14:textId="77777777" w:rsidR="00EF1890" w:rsidRDefault="001F1CB2" w:rsidP="001F1CB2">
            <w:pPr>
              <w:jc w:val="both"/>
              <w:rPr>
                <w:sz w:val="18"/>
                <w:szCs w:val="18"/>
              </w:rPr>
            </w:pPr>
            <w:r>
              <w:rPr>
                <w:sz w:val="18"/>
                <w:szCs w:val="18"/>
              </w:rPr>
              <w:t xml:space="preserve">Noteikumu projekta 1.9.apakšpunktā izteiktais </w:t>
            </w:r>
            <w:r w:rsidRPr="001F1CB2">
              <w:rPr>
                <w:sz w:val="18"/>
                <w:szCs w:val="18"/>
              </w:rPr>
              <w:t>15.</w:t>
            </w:r>
            <w:r w:rsidRPr="001F1CB2">
              <w:rPr>
                <w:sz w:val="18"/>
                <w:szCs w:val="18"/>
                <w:vertAlign w:val="superscript"/>
              </w:rPr>
              <w:t>1</w:t>
            </w:r>
            <w:r>
              <w:rPr>
                <w:sz w:val="18"/>
                <w:szCs w:val="18"/>
                <w:vertAlign w:val="superscript"/>
              </w:rPr>
              <w:t xml:space="preserve"> </w:t>
            </w:r>
            <w:r>
              <w:rPr>
                <w:sz w:val="18"/>
                <w:szCs w:val="18"/>
              </w:rPr>
              <w:t>punkts paredz, ka  BVKB</w:t>
            </w:r>
            <w:r w:rsidRPr="001F1CB2">
              <w:rPr>
                <w:sz w:val="18"/>
                <w:szCs w:val="18"/>
              </w:rPr>
              <w:t xml:space="preserve"> organizējot ikgadējo degvielas kvalitātes monitoringu ievēro standarta LVS EN 14274 :2013 "Automobiļu degvielas. Benzīna un dīzeļdegvielas kvalitātes novērtēšana. Degvielas kvalitātes monitoringa sistēma (FQMS)" prasības. </w:t>
            </w:r>
          </w:p>
          <w:p w14:paraId="2795194C" w14:textId="77777777" w:rsidR="00EF1890" w:rsidRDefault="00EF1890" w:rsidP="001F1CB2">
            <w:pPr>
              <w:jc w:val="both"/>
              <w:rPr>
                <w:sz w:val="18"/>
                <w:szCs w:val="18"/>
              </w:rPr>
            </w:pPr>
          </w:p>
          <w:p w14:paraId="59E762BB" w14:textId="5607CAEB" w:rsidR="001F1CB2" w:rsidRDefault="001F1CB2" w:rsidP="001F1CB2">
            <w:pPr>
              <w:jc w:val="both"/>
              <w:rPr>
                <w:sz w:val="18"/>
                <w:szCs w:val="18"/>
              </w:rPr>
            </w:pPr>
            <w:r>
              <w:rPr>
                <w:sz w:val="18"/>
                <w:szCs w:val="18"/>
              </w:rPr>
              <w:t>Tāpat šis punkts nosaka, ka d</w:t>
            </w:r>
            <w:r w:rsidRPr="001F1CB2">
              <w:rPr>
                <w:sz w:val="18"/>
                <w:szCs w:val="18"/>
              </w:rPr>
              <w:t>egvielas paraugu testēšanu</w:t>
            </w:r>
            <w:r>
              <w:rPr>
                <w:sz w:val="18"/>
                <w:szCs w:val="18"/>
              </w:rPr>
              <w:t xml:space="preserve"> (BVKB)</w:t>
            </w:r>
            <w:r w:rsidRPr="001F1CB2">
              <w:rPr>
                <w:sz w:val="18"/>
                <w:szCs w:val="18"/>
              </w:rPr>
              <w:t xml:space="preserve"> veic akreditētā atbilstības novērtēšanas institūcijā ievērojot testēšanas metodes, kas noteiktas standartos LVS EN 228+A1:2017  "Automobiļu degvielas. </w:t>
            </w:r>
            <w:proofErr w:type="spellStart"/>
            <w:r w:rsidRPr="001F1CB2">
              <w:rPr>
                <w:sz w:val="18"/>
                <w:szCs w:val="18"/>
              </w:rPr>
              <w:t>Bezsvina</w:t>
            </w:r>
            <w:proofErr w:type="spellEnd"/>
            <w:r w:rsidRPr="001F1CB2">
              <w:rPr>
                <w:sz w:val="18"/>
                <w:szCs w:val="18"/>
              </w:rPr>
              <w:t xml:space="preserve"> benzīns. Prasības un testa metodes", LVS EN 590+A1:2017 "Automobiļu degvielas. Dīzeļdegviela. Prasības un testēšanas metodes" un LVS EN 16640:2017 "Bioloģiskas izcelsmes produkti. Bioloģiskas izcelsmes oglekļa saturs. Bioloģiskas izcelsmes oglekļa satura noteikšana ar radioaktīvā oglekļa metodi".</w:t>
            </w:r>
          </w:p>
          <w:p w14:paraId="3DF778F0" w14:textId="77777777" w:rsidR="001F1CB2" w:rsidRDefault="001F1CB2" w:rsidP="001F1CB2"/>
          <w:p w14:paraId="19BC1E3B" w14:textId="0F4D04A6" w:rsidR="001F1CB2" w:rsidRPr="001F1CB2" w:rsidRDefault="001F1CB2" w:rsidP="001F1CB2"/>
        </w:tc>
        <w:tc>
          <w:tcPr>
            <w:tcW w:w="2835" w:type="dxa"/>
            <w:tcBorders>
              <w:top w:val="single" w:sz="4" w:space="0" w:color="auto"/>
              <w:left w:val="single" w:sz="4" w:space="0" w:color="auto"/>
              <w:bottom w:val="single" w:sz="4" w:space="0" w:color="auto"/>
            </w:tcBorders>
          </w:tcPr>
          <w:p w14:paraId="2BA497D2" w14:textId="16D978AD" w:rsidR="00070B13" w:rsidRPr="00277B31" w:rsidRDefault="00070B13" w:rsidP="00070B13">
            <w:pPr>
              <w:shd w:val="clear" w:color="auto" w:fill="FFFFFF"/>
              <w:jc w:val="both"/>
              <w:rPr>
                <w:b/>
                <w:bCs/>
                <w:sz w:val="18"/>
                <w:szCs w:val="18"/>
              </w:rPr>
            </w:pPr>
            <w:r>
              <w:rPr>
                <w:b/>
                <w:bCs/>
                <w:sz w:val="18"/>
                <w:szCs w:val="18"/>
              </w:rPr>
              <w:t xml:space="preserve">Noteikumu projekta </w:t>
            </w:r>
            <w:r w:rsidRPr="00277B31">
              <w:rPr>
                <w:b/>
                <w:bCs/>
                <w:sz w:val="18"/>
                <w:szCs w:val="18"/>
              </w:rPr>
              <w:t>1.</w:t>
            </w:r>
            <w:r>
              <w:rPr>
                <w:b/>
                <w:bCs/>
                <w:sz w:val="18"/>
                <w:szCs w:val="18"/>
              </w:rPr>
              <w:t>13</w:t>
            </w:r>
            <w:r w:rsidRPr="00277B31">
              <w:rPr>
                <w:b/>
                <w:bCs/>
                <w:sz w:val="18"/>
                <w:szCs w:val="18"/>
              </w:rPr>
              <w:t>.</w:t>
            </w:r>
            <w:r>
              <w:rPr>
                <w:b/>
                <w:bCs/>
                <w:sz w:val="18"/>
                <w:szCs w:val="18"/>
              </w:rPr>
              <w:t>apakšpunkts:</w:t>
            </w:r>
          </w:p>
          <w:p w14:paraId="47C3551A" w14:textId="77777777" w:rsidR="00070B13" w:rsidRDefault="00070B13" w:rsidP="00070B13">
            <w:pPr>
              <w:shd w:val="clear" w:color="auto" w:fill="FFFFFF"/>
              <w:jc w:val="both"/>
              <w:rPr>
                <w:sz w:val="18"/>
                <w:szCs w:val="18"/>
              </w:rPr>
            </w:pPr>
          </w:p>
          <w:p w14:paraId="79CB1483" w14:textId="4EAB5D19" w:rsidR="00070B13" w:rsidRPr="00070B13" w:rsidRDefault="003D4613" w:rsidP="00070B13">
            <w:pPr>
              <w:shd w:val="clear" w:color="auto" w:fill="FFFFFF"/>
              <w:jc w:val="both"/>
              <w:rPr>
                <w:sz w:val="18"/>
                <w:szCs w:val="18"/>
              </w:rPr>
            </w:pPr>
            <w:r>
              <w:rPr>
                <w:sz w:val="18"/>
                <w:szCs w:val="18"/>
              </w:rPr>
              <w:t>“</w:t>
            </w:r>
            <w:r w:rsidR="00070B13" w:rsidRPr="00070B13">
              <w:rPr>
                <w:sz w:val="18"/>
                <w:szCs w:val="18"/>
              </w:rPr>
              <w:t>1.13. papildināt VI nodaļu ar 33.punktu šādā redakcijā:</w:t>
            </w:r>
          </w:p>
          <w:p w14:paraId="7EDEDBD3" w14:textId="77777777" w:rsidR="00070B13" w:rsidRPr="00070B13" w:rsidRDefault="00070B13" w:rsidP="00070B13">
            <w:pPr>
              <w:shd w:val="clear" w:color="auto" w:fill="FFFFFF"/>
              <w:jc w:val="both"/>
              <w:rPr>
                <w:sz w:val="18"/>
                <w:szCs w:val="18"/>
              </w:rPr>
            </w:pPr>
          </w:p>
          <w:p w14:paraId="46A41FC5" w14:textId="05DF50ED" w:rsidR="00070B13" w:rsidRPr="00070B13" w:rsidRDefault="00070B13" w:rsidP="00070B13">
            <w:pPr>
              <w:shd w:val="clear" w:color="auto" w:fill="FFFFFF"/>
              <w:jc w:val="both"/>
              <w:rPr>
                <w:sz w:val="18"/>
                <w:szCs w:val="18"/>
              </w:rPr>
            </w:pPr>
            <w:r w:rsidRPr="00070B13">
              <w:rPr>
                <w:sz w:val="18"/>
                <w:szCs w:val="18"/>
              </w:rPr>
              <w:t xml:space="preserve">“33. </w:t>
            </w:r>
            <w:bookmarkStart w:id="2" w:name="_Hlk19178006"/>
            <w:r w:rsidRPr="00070B13">
              <w:rPr>
                <w:sz w:val="18"/>
                <w:szCs w:val="18"/>
              </w:rPr>
              <w:t>Valsts ieņēmumu dienests pēc Būvniecības valsts kontroles biroja pieprasījuma sniedz tam pieejamo informāciju par veiktajām</w:t>
            </w:r>
            <w:bookmarkEnd w:id="2"/>
            <w:r w:rsidRPr="00070B13">
              <w:rPr>
                <w:sz w:val="18"/>
                <w:szCs w:val="18"/>
              </w:rPr>
              <w:t xml:space="preserve"> degvielas kvalitātes pārbaudēm.”;</w:t>
            </w:r>
            <w:r w:rsidR="003D4613">
              <w:rPr>
                <w:sz w:val="18"/>
                <w:szCs w:val="18"/>
              </w:rPr>
              <w:t>”</w:t>
            </w:r>
          </w:p>
          <w:p w14:paraId="60E06FB5" w14:textId="77777777" w:rsidR="0098432E" w:rsidRDefault="0098432E" w:rsidP="00277B31">
            <w:pPr>
              <w:shd w:val="clear" w:color="auto" w:fill="FFFFFF"/>
              <w:jc w:val="both"/>
              <w:rPr>
                <w:b/>
                <w:bCs/>
                <w:sz w:val="18"/>
                <w:szCs w:val="18"/>
              </w:rPr>
            </w:pPr>
          </w:p>
        </w:tc>
      </w:tr>
      <w:tr w:rsidR="00070B13" w:rsidRPr="00FC31C6" w14:paraId="1F7B3BA0" w14:textId="77777777" w:rsidTr="003B0A26">
        <w:tc>
          <w:tcPr>
            <w:tcW w:w="817" w:type="dxa"/>
            <w:tcBorders>
              <w:left w:val="single" w:sz="6" w:space="0" w:color="000000"/>
              <w:bottom w:val="single" w:sz="4" w:space="0" w:color="auto"/>
              <w:right w:val="single" w:sz="6" w:space="0" w:color="000000"/>
            </w:tcBorders>
          </w:tcPr>
          <w:p w14:paraId="41FF20FD" w14:textId="1659B5A4" w:rsidR="00070B13" w:rsidRDefault="00070B13" w:rsidP="00070B13">
            <w:pPr>
              <w:jc w:val="center"/>
              <w:rPr>
                <w:sz w:val="18"/>
                <w:szCs w:val="18"/>
              </w:rPr>
            </w:pPr>
            <w:r>
              <w:rPr>
                <w:sz w:val="18"/>
                <w:szCs w:val="18"/>
              </w:rPr>
              <w:t>5.</w:t>
            </w:r>
          </w:p>
        </w:tc>
        <w:tc>
          <w:tcPr>
            <w:tcW w:w="2977" w:type="dxa"/>
            <w:tcBorders>
              <w:left w:val="single" w:sz="6" w:space="0" w:color="000000"/>
              <w:bottom w:val="single" w:sz="4" w:space="0" w:color="auto"/>
              <w:right w:val="single" w:sz="6" w:space="0" w:color="000000"/>
            </w:tcBorders>
          </w:tcPr>
          <w:p w14:paraId="73A16086" w14:textId="5AA9CE93" w:rsidR="00070B13" w:rsidRDefault="005A6A74" w:rsidP="00070B13">
            <w:pPr>
              <w:shd w:val="clear" w:color="auto" w:fill="FFFFFF"/>
              <w:jc w:val="both"/>
              <w:rPr>
                <w:b/>
                <w:bCs/>
                <w:sz w:val="18"/>
                <w:szCs w:val="18"/>
              </w:rPr>
            </w:pPr>
            <w:r>
              <w:rPr>
                <w:b/>
                <w:bCs/>
                <w:sz w:val="18"/>
                <w:szCs w:val="18"/>
              </w:rPr>
              <w:t>A</w:t>
            </w:r>
            <w:r w:rsidRPr="005A6A74">
              <w:rPr>
                <w:b/>
                <w:bCs/>
                <w:sz w:val="18"/>
                <w:szCs w:val="18"/>
              </w:rPr>
              <w:t xml:space="preserve">notācijas III sadaļas 8.punkts </w:t>
            </w:r>
          </w:p>
        </w:tc>
        <w:tc>
          <w:tcPr>
            <w:tcW w:w="4678" w:type="dxa"/>
            <w:tcBorders>
              <w:left w:val="single" w:sz="6" w:space="0" w:color="000000"/>
              <w:bottom w:val="single" w:sz="4" w:space="0" w:color="auto"/>
              <w:right w:val="single" w:sz="6" w:space="0" w:color="000000"/>
            </w:tcBorders>
          </w:tcPr>
          <w:p w14:paraId="4B282EB0" w14:textId="77777777" w:rsidR="00070B13" w:rsidRPr="005A6A74" w:rsidRDefault="00070B13" w:rsidP="00070B13">
            <w:pPr>
              <w:tabs>
                <w:tab w:val="left" w:pos="993"/>
              </w:tabs>
              <w:contextualSpacing/>
              <w:jc w:val="center"/>
              <w:rPr>
                <w:b/>
                <w:bCs/>
                <w:sz w:val="18"/>
                <w:szCs w:val="18"/>
                <w:lang w:eastAsia="en-US"/>
              </w:rPr>
            </w:pPr>
            <w:r w:rsidRPr="005A6A74">
              <w:rPr>
                <w:b/>
                <w:bCs/>
                <w:sz w:val="18"/>
                <w:szCs w:val="18"/>
                <w:lang w:eastAsia="en-US"/>
              </w:rPr>
              <w:t>Finanšu ministrija (25.10.19)</w:t>
            </w:r>
          </w:p>
          <w:p w14:paraId="5F93F77C" w14:textId="77777777" w:rsidR="00070B13" w:rsidRPr="005A6A74" w:rsidRDefault="00070B13" w:rsidP="00070B13">
            <w:pPr>
              <w:pStyle w:val="naisc"/>
              <w:jc w:val="both"/>
              <w:rPr>
                <w:sz w:val="18"/>
                <w:szCs w:val="18"/>
              </w:rPr>
            </w:pPr>
            <w:r w:rsidRPr="005A6A74">
              <w:rPr>
                <w:sz w:val="18"/>
                <w:szCs w:val="18"/>
              </w:rPr>
              <w:t>5.</w:t>
            </w:r>
            <w:r w:rsidRPr="005A6A74">
              <w:rPr>
                <w:sz w:val="18"/>
                <w:szCs w:val="18"/>
              </w:rPr>
              <w:tab/>
              <w:t xml:space="preserve">Vēršam uzmanību, ka Ministru kabineta 2018.gada 23.janvāra noteikumu Nr.45 “Grozījumi Ministru kabineta 2000.gada 26.septembra noteikumos Nr.332 "Noteikumi par benzīna un dīzeļdegvielas atbilstības novērtēšanu”” anotācijā ir sniegta informācija, ka 2018.gadā un turpmāk ik gadu VID nepieciešamie finanšu līdzekļi ārpakalpojuma iegādei par bioloģiskas izcelsmes </w:t>
            </w:r>
            <w:proofErr w:type="spellStart"/>
            <w:r w:rsidRPr="005A6A74">
              <w:rPr>
                <w:sz w:val="18"/>
                <w:szCs w:val="18"/>
              </w:rPr>
              <w:t>parafinizētas</w:t>
            </w:r>
            <w:proofErr w:type="spellEnd"/>
            <w:r w:rsidRPr="005A6A74">
              <w:rPr>
                <w:sz w:val="18"/>
                <w:szCs w:val="18"/>
              </w:rPr>
              <w:t xml:space="preserve"> dīzeļdegvielas konstatēšanu 15 000 </w:t>
            </w:r>
            <w:proofErr w:type="spellStart"/>
            <w:r w:rsidRPr="005A6A74">
              <w:rPr>
                <w:sz w:val="18"/>
                <w:szCs w:val="18"/>
              </w:rPr>
              <w:t>euro</w:t>
            </w:r>
            <w:proofErr w:type="spellEnd"/>
            <w:r w:rsidRPr="005A6A74">
              <w:rPr>
                <w:sz w:val="18"/>
                <w:szCs w:val="18"/>
              </w:rPr>
              <w:t xml:space="preserve"> apmērā tiks nodrošināti Finanšu ministrijas budžeta programmas 33.00.00 “Valsts ieņēmumu un muitas politikas nodrošināšana” ietvaros.   </w:t>
            </w:r>
          </w:p>
          <w:p w14:paraId="1100F3FC" w14:textId="4A8A2DA2" w:rsidR="00070B13" w:rsidRPr="005A6A74" w:rsidRDefault="00070B13" w:rsidP="00070B13">
            <w:pPr>
              <w:tabs>
                <w:tab w:val="left" w:pos="993"/>
              </w:tabs>
              <w:contextualSpacing/>
              <w:jc w:val="both"/>
              <w:rPr>
                <w:b/>
                <w:bCs/>
                <w:sz w:val="18"/>
                <w:szCs w:val="18"/>
                <w:lang w:eastAsia="en-US"/>
              </w:rPr>
            </w:pPr>
            <w:r w:rsidRPr="005A6A74">
              <w:rPr>
                <w:sz w:val="18"/>
                <w:szCs w:val="18"/>
              </w:rPr>
              <w:t xml:space="preserve">Līdz ar to uzskatām, ka anotācijas III sadaļas 8.punkts jāpapildina ar informāciju, ka 2020.gadā un turpmāk ik gadu Finanšu ministrijas budžeta programmā 33.00.00 “Valsts ieņēmumu un muitas politikas nodrošināšana” ārpakalpojuma iegādei par bioloģiskas izcelsmes </w:t>
            </w:r>
            <w:proofErr w:type="spellStart"/>
            <w:r w:rsidRPr="005A6A74">
              <w:rPr>
                <w:sz w:val="18"/>
                <w:szCs w:val="18"/>
              </w:rPr>
              <w:t>parafinizētas</w:t>
            </w:r>
            <w:proofErr w:type="spellEnd"/>
            <w:r w:rsidRPr="005A6A74">
              <w:rPr>
                <w:sz w:val="18"/>
                <w:szCs w:val="18"/>
              </w:rPr>
              <w:t xml:space="preserve"> dīzeļdegvielas konstatēšanai paredzēto finansējumu 15 000 </w:t>
            </w:r>
            <w:proofErr w:type="spellStart"/>
            <w:r w:rsidRPr="005A6A74">
              <w:rPr>
                <w:sz w:val="18"/>
                <w:szCs w:val="18"/>
              </w:rPr>
              <w:t>euro</w:t>
            </w:r>
            <w:proofErr w:type="spellEnd"/>
            <w:r w:rsidRPr="005A6A74">
              <w:rPr>
                <w:sz w:val="18"/>
                <w:szCs w:val="18"/>
              </w:rPr>
              <w:t xml:space="preserve"> apmērā Valsts ieņēmumu dienests novirzīs izdevumiem izmaiņu veikšanai informācijas sistēmās saistībā ar normatīvo aktu grozījumiem.   </w:t>
            </w:r>
          </w:p>
        </w:tc>
        <w:tc>
          <w:tcPr>
            <w:tcW w:w="4110" w:type="dxa"/>
            <w:tcBorders>
              <w:left w:val="single" w:sz="6" w:space="0" w:color="000000"/>
              <w:bottom w:val="single" w:sz="4" w:space="0" w:color="auto"/>
              <w:right w:val="single" w:sz="6" w:space="0" w:color="000000"/>
            </w:tcBorders>
          </w:tcPr>
          <w:p w14:paraId="34916A88" w14:textId="77777777" w:rsidR="001F1CB2" w:rsidRPr="005A6A74" w:rsidRDefault="001F1CB2" w:rsidP="001F1CB2">
            <w:pPr>
              <w:jc w:val="center"/>
              <w:rPr>
                <w:b/>
                <w:bCs/>
                <w:sz w:val="18"/>
                <w:szCs w:val="18"/>
              </w:rPr>
            </w:pPr>
            <w:r w:rsidRPr="005A6A74">
              <w:rPr>
                <w:b/>
                <w:bCs/>
                <w:sz w:val="18"/>
                <w:szCs w:val="18"/>
              </w:rPr>
              <w:t>Ņemts vērā</w:t>
            </w:r>
          </w:p>
          <w:p w14:paraId="1BA3D3B5" w14:textId="77777777" w:rsidR="00070B13" w:rsidRPr="005A6A74" w:rsidRDefault="00070B13" w:rsidP="00070B13">
            <w:pPr>
              <w:pStyle w:val="naisc"/>
              <w:spacing w:before="0" w:after="0"/>
              <w:rPr>
                <w:b/>
                <w:bCs/>
                <w:sz w:val="18"/>
                <w:szCs w:val="18"/>
              </w:rPr>
            </w:pPr>
          </w:p>
          <w:p w14:paraId="6C9CD566" w14:textId="4D66C296" w:rsidR="001F1CB2" w:rsidRPr="005A6A74" w:rsidRDefault="005A6A74" w:rsidP="005A6A74">
            <w:pPr>
              <w:pStyle w:val="naisc"/>
              <w:spacing w:before="0" w:after="0"/>
              <w:jc w:val="both"/>
              <w:rPr>
                <w:sz w:val="18"/>
                <w:szCs w:val="18"/>
              </w:rPr>
            </w:pPr>
            <w:r w:rsidRPr="005A6A74">
              <w:rPr>
                <w:sz w:val="18"/>
                <w:szCs w:val="18"/>
              </w:rPr>
              <w:t xml:space="preserve">Anotācija papildināta atbilstoši Finanšu ministrijas priekšlikumam. </w:t>
            </w:r>
            <w:r w:rsidR="001F1CB2" w:rsidRPr="005A6A74">
              <w:rPr>
                <w:sz w:val="18"/>
                <w:szCs w:val="18"/>
              </w:rPr>
              <w:t>Turpmāk MK noteikumu Nr.332 prasību izpildi uzrau</w:t>
            </w:r>
            <w:r w:rsidR="00EF1890">
              <w:rPr>
                <w:sz w:val="18"/>
                <w:szCs w:val="18"/>
              </w:rPr>
              <w:t>dzīs</w:t>
            </w:r>
            <w:r w:rsidR="001F1CB2" w:rsidRPr="005A6A74">
              <w:rPr>
                <w:sz w:val="18"/>
                <w:szCs w:val="18"/>
              </w:rPr>
              <w:t xml:space="preserve"> Būvniecības valsts kontroles birojs un Patērētāju tiesību aizsardzības centrs. </w:t>
            </w:r>
          </w:p>
        </w:tc>
        <w:tc>
          <w:tcPr>
            <w:tcW w:w="2835" w:type="dxa"/>
            <w:tcBorders>
              <w:top w:val="single" w:sz="4" w:space="0" w:color="auto"/>
              <w:left w:val="single" w:sz="4" w:space="0" w:color="auto"/>
              <w:bottom w:val="single" w:sz="4" w:space="0" w:color="auto"/>
            </w:tcBorders>
          </w:tcPr>
          <w:p w14:paraId="4237E3EA" w14:textId="77777777" w:rsidR="00070B13" w:rsidRDefault="005A6A74" w:rsidP="00070B13">
            <w:pPr>
              <w:shd w:val="clear" w:color="auto" w:fill="FFFFFF"/>
              <w:jc w:val="both"/>
              <w:rPr>
                <w:b/>
                <w:bCs/>
                <w:sz w:val="18"/>
                <w:szCs w:val="18"/>
              </w:rPr>
            </w:pPr>
            <w:r>
              <w:rPr>
                <w:b/>
                <w:bCs/>
                <w:sz w:val="18"/>
                <w:szCs w:val="18"/>
              </w:rPr>
              <w:t>A</w:t>
            </w:r>
            <w:r w:rsidRPr="005A6A74">
              <w:rPr>
                <w:b/>
                <w:bCs/>
                <w:sz w:val="18"/>
                <w:szCs w:val="18"/>
              </w:rPr>
              <w:t xml:space="preserve">notācijas III sadaļas 8.punkts </w:t>
            </w:r>
            <w:r>
              <w:rPr>
                <w:b/>
                <w:bCs/>
                <w:sz w:val="18"/>
                <w:szCs w:val="18"/>
              </w:rPr>
              <w:t>papildināts ar šādu informāciju:</w:t>
            </w:r>
          </w:p>
          <w:p w14:paraId="35341A3B" w14:textId="77777777" w:rsidR="005A6A74" w:rsidRDefault="005A6A74" w:rsidP="00070B13">
            <w:pPr>
              <w:shd w:val="clear" w:color="auto" w:fill="FFFFFF"/>
              <w:jc w:val="both"/>
              <w:rPr>
                <w:b/>
                <w:bCs/>
                <w:sz w:val="18"/>
                <w:szCs w:val="18"/>
              </w:rPr>
            </w:pPr>
          </w:p>
          <w:p w14:paraId="57B39580" w14:textId="1278419A" w:rsidR="005A6A74" w:rsidRPr="005A6A74" w:rsidRDefault="005A6A74" w:rsidP="00070B13">
            <w:pPr>
              <w:shd w:val="clear" w:color="auto" w:fill="FFFFFF"/>
              <w:jc w:val="both"/>
              <w:rPr>
                <w:sz w:val="18"/>
                <w:szCs w:val="18"/>
              </w:rPr>
            </w:pPr>
            <w:r w:rsidRPr="005A6A74">
              <w:rPr>
                <w:sz w:val="18"/>
                <w:szCs w:val="18"/>
              </w:rPr>
              <w:t xml:space="preserve">“2020.gadā un turpmāk ik gadu Finanšu ministrijas budžeta programmā 33.00.00 “Valsts ieņēmumu un muitas politikas nodrošināšana” ārpakalpojuma iegādei par bioloģiskas izcelsmes </w:t>
            </w:r>
            <w:proofErr w:type="spellStart"/>
            <w:r w:rsidRPr="005A6A74">
              <w:rPr>
                <w:sz w:val="18"/>
                <w:szCs w:val="18"/>
              </w:rPr>
              <w:t>parafinizētas</w:t>
            </w:r>
            <w:proofErr w:type="spellEnd"/>
            <w:r w:rsidRPr="005A6A74">
              <w:rPr>
                <w:sz w:val="18"/>
                <w:szCs w:val="18"/>
              </w:rPr>
              <w:t xml:space="preserve"> dīzeļdegvielas konstatēšanai paredzēto finansējumu 15 000 </w:t>
            </w:r>
            <w:proofErr w:type="spellStart"/>
            <w:r w:rsidRPr="005A6A74">
              <w:rPr>
                <w:sz w:val="18"/>
                <w:szCs w:val="18"/>
              </w:rPr>
              <w:t>euro</w:t>
            </w:r>
            <w:proofErr w:type="spellEnd"/>
            <w:r w:rsidRPr="005A6A74">
              <w:rPr>
                <w:sz w:val="18"/>
                <w:szCs w:val="18"/>
              </w:rPr>
              <w:t xml:space="preserve"> apmērā Valsts ieņēmumu dienests novirzīs izdevumiem izmaiņu veikšanai informācijas sistēmās saistībā ar normatīvo aktu grozījumiem. ”</w:t>
            </w:r>
          </w:p>
        </w:tc>
      </w:tr>
      <w:tr w:rsidR="00070B13" w:rsidRPr="00FC31C6" w14:paraId="244F647B" w14:textId="77777777" w:rsidTr="003B0A26">
        <w:tc>
          <w:tcPr>
            <w:tcW w:w="817" w:type="dxa"/>
            <w:tcBorders>
              <w:left w:val="single" w:sz="6" w:space="0" w:color="000000"/>
              <w:bottom w:val="single" w:sz="4" w:space="0" w:color="auto"/>
              <w:right w:val="single" w:sz="6" w:space="0" w:color="000000"/>
            </w:tcBorders>
          </w:tcPr>
          <w:p w14:paraId="7DC4A48E" w14:textId="2FEBC417" w:rsidR="00070B13" w:rsidRPr="00441119" w:rsidRDefault="00070B13" w:rsidP="00070B13">
            <w:pPr>
              <w:jc w:val="center"/>
              <w:rPr>
                <w:sz w:val="18"/>
                <w:szCs w:val="18"/>
              </w:rPr>
            </w:pPr>
            <w:r>
              <w:rPr>
                <w:sz w:val="18"/>
                <w:szCs w:val="18"/>
              </w:rPr>
              <w:t>6.</w:t>
            </w:r>
          </w:p>
        </w:tc>
        <w:tc>
          <w:tcPr>
            <w:tcW w:w="2977" w:type="dxa"/>
            <w:tcBorders>
              <w:left w:val="single" w:sz="6" w:space="0" w:color="000000"/>
              <w:bottom w:val="single" w:sz="4" w:space="0" w:color="auto"/>
              <w:right w:val="single" w:sz="6" w:space="0" w:color="000000"/>
            </w:tcBorders>
          </w:tcPr>
          <w:p w14:paraId="3B3AF05E" w14:textId="77777777" w:rsidR="00070B13" w:rsidRPr="008E12D5" w:rsidRDefault="00070B13" w:rsidP="00070B13">
            <w:pPr>
              <w:shd w:val="clear" w:color="auto" w:fill="FFFFFF"/>
              <w:jc w:val="both"/>
              <w:rPr>
                <w:b/>
                <w:bCs/>
                <w:sz w:val="18"/>
                <w:szCs w:val="18"/>
              </w:rPr>
            </w:pPr>
            <w:r w:rsidRPr="008E12D5">
              <w:rPr>
                <w:b/>
                <w:bCs/>
                <w:sz w:val="18"/>
                <w:szCs w:val="18"/>
              </w:rPr>
              <w:t xml:space="preserve">Noteikumu projekta 1.1.apakšpunkts: </w:t>
            </w:r>
          </w:p>
          <w:p w14:paraId="76E119AE" w14:textId="77777777" w:rsidR="00070B13" w:rsidRPr="008E12D5" w:rsidRDefault="00070B13" w:rsidP="00070B13">
            <w:pPr>
              <w:shd w:val="clear" w:color="auto" w:fill="FFFFFF"/>
              <w:jc w:val="both"/>
              <w:rPr>
                <w:sz w:val="18"/>
                <w:szCs w:val="18"/>
              </w:rPr>
            </w:pPr>
          </w:p>
          <w:p w14:paraId="5CE654D5" w14:textId="3533E0E5" w:rsidR="00070B13" w:rsidRPr="008E12D5" w:rsidRDefault="00070B13" w:rsidP="00070B13">
            <w:pPr>
              <w:shd w:val="clear" w:color="auto" w:fill="FFFFFF"/>
              <w:jc w:val="both"/>
              <w:rPr>
                <w:sz w:val="18"/>
                <w:szCs w:val="18"/>
              </w:rPr>
            </w:pPr>
            <w:r w:rsidRPr="008E12D5">
              <w:rPr>
                <w:sz w:val="18"/>
                <w:szCs w:val="18"/>
              </w:rPr>
              <w:t>,,1.1. svītrot 1.</w:t>
            </w:r>
            <w:r w:rsidRPr="008E12D5">
              <w:rPr>
                <w:sz w:val="18"/>
                <w:szCs w:val="18"/>
                <w:vertAlign w:val="superscript"/>
              </w:rPr>
              <w:t>4</w:t>
            </w:r>
            <w:r w:rsidRPr="008E12D5">
              <w:rPr>
                <w:sz w:val="18"/>
                <w:szCs w:val="18"/>
              </w:rPr>
              <w:t xml:space="preserve"> punkta pirmo teikumu”;</w:t>
            </w:r>
          </w:p>
          <w:p w14:paraId="7BE9CBE6" w14:textId="77777777" w:rsidR="00070B13" w:rsidRPr="008E12D5" w:rsidRDefault="00070B13" w:rsidP="00070B13">
            <w:pPr>
              <w:pStyle w:val="naisc"/>
              <w:spacing w:before="0" w:after="0"/>
              <w:jc w:val="both"/>
              <w:rPr>
                <w:b/>
                <w:sz w:val="18"/>
                <w:szCs w:val="18"/>
              </w:rPr>
            </w:pPr>
          </w:p>
        </w:tc>
        <w:tc>
          <w:tcPr>
            <w:tcW w:w="4678" w:type="dxa"/>
            <w:tcBorders>
              <w:left w:val="single" w:sz="6" w:space="0" w:color="000000"/>
              <w:bottom w:val="single" w:sz="4" w:space="0" w:color="auto"/>
              <w:right w:val="single" w:sz="6" w:space="0" w:color="000000"/>
            </w:tcBorders>
          </w:tcPr>
          <w:p w14:paraId="24C1F2FF" w14:textId="207FF99A" w:rsidR="00070B13" w:rsidRPr="008E12D5" w:rsidRDefault="00070B13" w:rsidP="00070B13">
            <w:pPr>
              <w:jc w:val="center"/>
              <w:rPr>
                <w:rFonts w:eastAsia="Calibri"/>
                <w:b/>
                <w:bCs/>
                <w:sz w:val="18"/>
                <w:szCs w:val="18"/>
                <w:lang w:eastAsia="en-US"/>
              </w:rPr>
            </w:pPr>
            <w:r w:rsidRPr="008E12D5">
              <w:rPr>
                <w:rFonts w:eastAsia="Calibri"/>
                <w:b/>
                <w:bCs/>
                <w:sz w:val="18"/>
                <w:szCs w:val="18"/>
                <w:lang w:eastAsia="en-US"/>
              </w:rPr>
              <w:lastRenderedPageBreak/>
              <w:t>Tieslietu ministrija (23.10.19.)</w:t>
            </w:r>
          </w:p>
          <w:p w14:paraId="29E6188A" w14:textId="77777777" w:rsidR="00070B13" w:rsidRPr="008E12D5" w:rsidRDefault="00070B13" w:rsidP="00070B13">
            <w:pPr>
              <w:jc w:val="center"/>
              <w:rPr>
                <w:rFonts w:eastAsia="Calibri"/>
                <w:b/>
                <w:bCs/>
                <w:sz w:val="18"/>
                <w:szCs w:val="18"/>
                <w:lang w:eastAsia="en-US"/>
              </w:rPr>
            </w:pPr>
          </w:p>
          <w:p w14:paraId="057648BD" w14:textId="31127B3B" w:rsidR="00070B13" w:rsidRPr="008E12D5" w:rsidRDefault="00070B13" w:rsidP="00070B13">
            <w:pPr>
              <w:jc w:val="both"/>
              <w:rPr>
                <w:rFonts w:eastAsia="Calibri"/>
                <w:sz w:val="18"/>
                <w:szCs w:val="18"/>
                <w:lang w:eastAsia="en-US"/>
              </w:rPr>
            </w:pPr>
            <w:r w:rsidRPr="008E12D5">
              <w:rPr>
                <w:rFonts w:eastAsia="Calibri"/>
                <w:sz w:val="18"/>
                <w:szCs w:val="18"/>
                <w:lang w:eastAsia="en-US"/>
              </w:rPr>
              <w:t>1.</w:t>
            </w:r>
            <w:r w:rsidRPr="008E12D5">
              <w:rPr>
                <w:rFonts w:eastAsia="Calibri"/>
                <w:sz w:val="18"/>
                <w:szCs w:val="18"/>
                <w:lang w:eastAsia="en-US"/>
              </w:rPr>
              <w:tab/>
              <w:t>Lūdzam projekta anotācijas I sadaļas 2. punktā skaidrot projekta 1.1. apakšpunkta, kas paredz svītrot 1.</w:t>
            </w:r>
            <w:r w:rsidRPr="008E12D5">
              <w:rPr>
                <w:rFonts w:eastAsia="Calibri"/>
                <w:sz w:val="18"/>
                <w:szCs w:val="18"/>
                <w:vertAlign w:val="superscript"/>
                <w:lang w:eastAsia="en-US"/>
              </w:rPr>
              <w:t>4</w:t>
            </w:r>
            <w:r w:rsidRPr="008E12D5">
              <w:rPr>
                <w:rFonts w:eastAsia="Calibri"/>
                <w:sz w:val="18"/>
                <w:szCs w:val="18"/>
                <w:lang w:eastAsia="en-US"/>
              </w:rPr>
              <w:t xml:space="preserve"> punkta pirmo teikumu, nepieciešamību un pamatotību </w:t>
            </w:r>
            <w:r w:rsidRPr="008E12D5">
              <w:rPr>
                <w:rFonts w:eastAsia="Calibri"/>
                <w:sz w:val="18"/>
                <w:szCs w:val="18"/>
                <w:lang w:eastAsia="en-US"/>
              </w:rPr>
              <w:lastRenderedPageBreak/>
              <w:t>atbilstoši Ministru kabineta 2009. gada 15. decembra instrukcijas Nr. 19 “Tiesību akta projekta sākotnējās ietekmes izvērtēšanas kārtība” (turpmāk - instrukcija) 14. punktam.</w:t>
            </w:r>
          </w:p>
          <w:p w14:paraId="2D0E4E4B" w14:textId="77777777" w:rsidR="00070B13" w:rsidRPr="008E12D5" w:rsidRDefault="00070B13" w:rsidP="00070B13">
            <w:pPr>
              <w:jc w:val="both"/>
              <w:rPr>
                <w:rFonts w:eastAsia="Calibri"/>
                <w:sz w:val="18"/>
                <w:szCs w:val="18"/>
                <w:lang w:eastAsia="en-US"/>
              </w:rPr>
            </w:pPr>
          </w:p>
          <w:p w14:paraId="5340418C" w14:textId="25D120CD" w:rsidR="00070B13" w:rsidRPr="008E12D5" w:rsidRDefault="00070B13" w:rsidP="00070B13">
            <w:pPr>
              <w:jc w:val="both"/>
              <w:rPr>
                <w:rFonts w:eastAsia="Calibri"/>
                <w:b/>
                <w:bCs/>
                <w:sz w:val="18"/>
                <w:szCs w:val="18"/>
                <w:lang w:eastAsia="en-US"/>
              </w:rPr>
            </w:pPr>
            <w:r w:rsidRPr="008E12D5">
              <w:rPr>
                <w:rFonts w:eastAsia="Calibri"/>
                <w:sz w:val="18"/>
                <w:szCs w:val="18"/>
                <w:lang w:eastAsia="en-US"/>
              </w:rPr>
              <w:t>Spēkā esošo noteikumu 1.</w:t>
            </w:r>
            <w:r w:rsidRPr="008E12D5">
              <w:rPr>
                <w:rFonts w:eastAsia="Calibri"/>
                <w:sz w:val="18"/>
                <w:szCs w:val="18"/>
                <w:vertAlign w:val="superscript"/>
                <w:lang w:eastAsia="en-US"/>
              </w:rPr>
              <w:t>4</w:t>
            </w:r>
            <w:r w:rsidRPr="008E12D5">
              <w:rPr>
                <w:rFonts w:eastAsia="Calibri"/>
                <w:sz w:val="18"/>
                <w:szCs w:val="18"/>
                <w:lang w:eastAsia="en-US"/>
              </w:rPr>
              <w:t xml:space="preserve"> punkta otrais teikums noteic, ka “Noteikumi neaizliedz tirgot degvielu ar citu biodegvielas procentuālo sastāvu atbilstoši normatīvajiem aktiem degvielas aprites jomā.” Lūdzam atkārtoti izvērtēt minētā 1.</w:t>
            </w:r>
            <w:r w:rsidRPr="008E12D5">
              <w:rPr>
                <w:rFonts w:eastAsia="Calibri"/>
                <w:sz w:val="18"/>
                <w:szCs w:val="18"/>
                <w:vertAlign w:val="superscript"/>
                <w:lang w:eastAsia="en-US"/>
              </w:rPr>
              <w:t>4</w:t>
            </w:r>
            <w:r w:rsidRPr="008E12D5">
              <w:rPr>
                <w:rFonts w:eastAsia="Calibri"/>
                <w:sz w:val="18"/>
                <w:szCs w:val="18"/>
                <w:lang w:eastAsia="en-US"/>
              </w:rPr>
              <w:t xml:space="preserve"> punkta otrā teikuma piemērošanas iespējamību un skaidrību, svītrojot spēkā esošajos noteikumos 1.</w:t>
            </w:r>
            <w:r w:rsidRPr="008E12D5">
              <w:rPr>
                <w:rFonts w:eastAsia="Calibri"/>
                <w:sz w:val="18"/>
                <w:szCs w:val="18"/>
                <w:vertAlign w:val="superscript"/>
                <w:lang w:eastAsia="en-US"/>
              </w:rPr>
              <w:t>4</w:t>
            </w:r>
            <w:r w:rsidRPr="008E12D5">
              <w:rPr>
                <w:rFonts w:eastAsia="Calibri"/>
                <w:sz w:val="18"/>
                <w:szCs w:val="18"/>
                <w:lang w:eastAsia="en-US"/>
              </w:rPr>
              <w:t xml:space="preserve"> punkta pirmo teikumu. Norādām, ka spēkā esošo noteikumu tekstā iekļaujamiem grozījumiem loģiskā secībā jāiekļaujas spēkā esošajos noteikumos un veiktie grozījumi nedrīkst padarīt spēkā esošo noteikumu tekstu neskaidru un apgrūtināt tā piemērošanu. Tādējādi lūdzam izvērtēt, vai spēkā esošo noteikumu 1.</w:t>
            </w:r>
            <w:r w:rsidRPr="008E12D5">
              <w:rPr>
                <w:rFonts w:eastAsia="Calibri"/>
                <w:sz w:val="18"/>
                <w:szCs w:val="18"/>
                <w:vertAlign w:val="superscript"/>
                <w:lang w:eastAsia="en-US"/>
              </w:rPr>
              <w:t xml:space="preserve">4 </w:t>
            </w:r>
            <w:r w:rsidRPr="008E12D5">
              <w:rPr>
                <w:rFonts w:eastAsia="Calibri"/>
                <w:sz w:val="18"/>
                <w:szCs w:val="18"/>
                <w:lang w:eastAsia="en-US"/>
              </w:rPr>
              <w:t>punkta otrā teikuma norāde “degviela ar citu biodegvielas procentuālo sastāvu” būs loģiski piemērojama, svītrojot 1.</w:t>
            </w:r>
            <w:r w:rsidRPr="008E12D5">
              <w:rPr>
                <w:rFonts w:eastAsia="Calibri"/>
                <w:sz w:val="18"/>
                <w:szCs w:val="18"/>
                <w:vertAlign w:val="superscript"/>
                <w:lang w:eastAsia="en-US"/>
              </w:rPr>
              <w:t>4</w:t>
            </w:r>
            <w:r w:rsidRPr="008E12D5">
              <w:rPr>
                <w:rFonts w:eastAsia="Calibri"/>
                <w:sz w:val="18"/>
                <w:szCs w:val="18"/>
                <w:lang w:eastAsia="en-US"/>
              </w:rPr>
              <w:t xml:space="preserve"> punkta pirmo teikumu. Nepieciešamības gadījumā lūdzam precizēt projekta 1.1. apakšpunktu.</w:t>
            </w:r>
          </w:p>
        </w:tc>
        <w:tc>
          <w:tcPr>
            <w:tcW w:w="4110" w:type="dxa"/>
            <w:tcBorders>
              <w:left w:val="single" w:sz="6" w:space="0" w:color="000000"/>
              <w:bottom w:val="single" w:sz="4" w:space="0" w:color="auto"/>
              <w:right w:val="single" w:sz="6" w:space="0" w:color="000000"/>
            </w:tcBorders>
          </w:tcPr>
          <w:p w14:paraId="402DBBEA" w14:textId="77777777" w:rsidR="00070B13" w:rsidRPr="008E12D5" w:rsidRDefault="00070B13" w:rsidP="00070B13">
            <w:pPr>
              <w:jc w:val="center"/>
              <w:rPr>
                <w:b/>
                <w:bCs/>
                <w:sz w:val="18"/>
                <w:szCs w:val="18"/>
              </w:rPr>
            </w:pPr>
            <w:r w:rsidRPr="008E12D5">
              <w:rPr>
                <w:b/>
                <w:bCs/>
                <w:sz w:val="18"/>
                <w:szCs w:val="18"/>
              </w:rPr>
              <w:lastRenderedPageBreak/>
              <w:t>Ņemts vērā</w:t>
            </w:r>
          </w:p>
          <w:p w14:paraId="276C764D" w14:textId="77777777" w:rsidR="00070B13" w:rsidRPr="008E12D5" w:rsidRDefault="00070B13" w:rsidP="00070B13">
            <w:pPr>
              <w:jc w:val="center"/>
              <w:rPr>
                <w:b/>
                <w:bCs/>
                <w:sz w:val="18"/>
                <w:szCs w:val="18"/>
              </w:rPr>
            </w:pPr>
          </w:p>
          <w:p w14:paraId="631F6F99" w14:textId="59DC5814" w:rsidR="00070B13" w:rsidRPr="008E12D5" w:rsidRDefault="00070B13" w:rsidP="00070B13">
            <w:pPr>
              <w:jc w:val="both"/>
              <w:rPr>
                <w:sz w:val="18"/>
                <w:szCs w:val="18"/>
              </w:rPr>
            </w:pPr>
            <w:r w:rsidRPr="008E12D5">
              <w:rPr>
                <w:sz w:val="18"/>
                <w:szCs w:val="18"/>
              </w:rPr>
              <w:t>Noteikumu projekts precizēts paredzot, ka tiek svītrots MK noteikumu Nr.332 1.</w:t>
            </w:r>
            <w:r w:rsidRPr="008E12D5">
              <w:rPr>
                <w:sz w:val="18"/>
                <w:szCs w:val="18"/>
                <w:vertAlign w:val="superscript"/>
              </w:rPr>
              <w:t>4</w:t>
            </w:r>
            <w:r w:rsidRPr="008E12D5">
              <w:rPr>
                <w:sz w:val="18"/>
                <w:szCs w:val="18"/>
              </w:rPr>
              <w:t xml:space="preserve"> punkts. Anotācijas </w:t>
            </w:r>
            <w:r w:rsidRPr="008E12D5">
              <w:rPr>
                <w:rFonts w:eastAsia="Calibri"/>
                <w:sz w:val="18"/>
                <w:szCs w:val="18"/>
                <w:lang w:eastAsia="en-US"/>
              </w:rPr>
              <w:t>I sadaļas 2. punktā ir p</w:t>
            </w:r>
            <w:r w:rsidRPr="008E12D5">
              <w:rPr>
                <w:sz w:val="18"/>
                <w:szCs w:val="18"/>
              </w:rPr>
              <w:t xml:space="preserve">recizēts svītrošanas pamatojums. </w:t>
            </w:r>
          </w:p>
        </w:tc>
        <w:tc>
          <w:tcPr>
            <w:tcW w:w="2835" w:type="dxa"/>
            <w:tcBorders>
              <w:top w:val="single" w:sz="4" w:space="0" w:color="auto"/>
              <w:left w:val="single" w:sz="4" w:space="0" w:color="auto"/>
              <w:bottom w:val="single" w:sz="4" w:space="0" w:color="auto"/>
            </w:tcBorders>
          </w:tcPr>
          <w:p w14:paraId="49FF518A" w14:textId="77777777" w:rsidR="00070B13" w:rsidRPr="008E12D5" w:rsidRDefault="00070B13" w:rsidP="00070B13">
            <w:pPr>
              <w:shd w:val="clear" w:color="auto" w:fill="FFFFFF"/>
              <w:jc w:val="both"/>
              <w:rPr>
                <w:b/>
                <w:bCs/>
                <w:sz w:val="18"/>
                <w:szCs w:val="18"/>
              </w:rPr>
            </w:pPr>
            <w:r w:rsidRPr="008E12D5">
              <w:rPr>
                <w:b/>
                <w:bCs/>
                <w:sz w:val="18"/>
                <w:szCs w:val="18"/>
              </w:rPr>
              <w:t xml:space="preserve">Noteikumu projekta 1.1.apakšpunkts: </w:t>
            </w:r>
          </w:p>
          <w:p w14:paraId="62E7FC03" w14:textId="77777777" w:rsidR="00070B13" w:rsidRPr="008E12D5" w:rsidRDefault="00070B13" w:rsidP="00070B13">
            <w:pPr>
              <w:shd w:val="clear" w:color="auto" w:fill="FFFFFF"/>
              <w:jc w:val="both"/>
              <w:rPr>
                <w:sz w:val="18"/>
                <w:szCs w:val="18"/>
              </w:rPr>
            </w:pPr>
          </w:p>
          <w:p w14:paraId="78BBF9F8" w14:textId="3E173B35" w:rsidR="00070B13" w:rsidRPr="008E12D5" w:rsidRDefault="00070B13" w:rsidP="00070B13">
            <w:pPr>
              <w:shd w:val="clear" w:color="auto" w:fill="FFFFFF"/>
              <w:jc w:val="both"/>
              <w:rPr>
                <w:sz w:val="18"/>
                <w:szCs w:val="18"/>
              </w:rPr>
            </w:pPr>
            <w:r w:rsidRPr="008E12D5">
              <w:rPr>
                <w:sz w:val="18"/>
                <w:szCs w:val="18"/>
              </w:rPr>
              <w:t>,,1.1. svītrot 1.</w:t>
            </w:r>
            <w:r w:rsidRPr="008E12D5">
              <w:rPr>
                <w:sz w:val="18"/>
                <w:szCs w:val="18"/>
                <w:vertAlign w:val="superscript"/>
              </w:rPr>
              <w:t>4</w:t>
            </w:r>
            <w:r w:rsidRPr="008E12D5">
              <w:rPr>
                <w:sz w:val="18"/>
                <w:szCs w:val="18"/>
              </w:rPr>
              <w:t xml:space="preserve"> punktu”</w:t>
            </w:r>
          </w:p>
          <w:p w14:paraId="031C6A2D" w14:textId="77777777" w:rsidR="00070B13" w:rsidRDefault="00070B13" w:rsidP="00070B13">
            <w:pPr>
              <w:shd w:val="clear" w:color="auto" w:fill="FFFFFF"/>
              <w:tabs>
                <w:tab w:val="right" w:pos="9071"/>
              </w:tabs>
              <w:jc w:val="both"/>
              <w:rPr>
                <w:b/>
                <w:i/>
                <w:sz w:val="18"/>
                <w:szCs w:val="18"/>
              </w:rPr>
            </w:pPr>
          </w:p>
          <w:p w14:paraId="529439DB" w14:textId="10C91F03" w:rsidR="00EC7D6D" w:rsidRPr="00EC7D6D" w:rsidRDefault="00EC7D6D" w:rsidP="00070B13">
            <w:pPr>
              <w:shd w:val="clear" w:color="auto" w:fill="FFFFFF"/>
              <w:tabs>
                <w:tab w:val="right" w:pos="9071"/>
              </w:tabs>
              <w:jc w:val="both"/>
              <w:rPr>
                <w:b/>
                <w:iCs/>
                <w:sz w:val="18"/>
                <w:szCs w:val="18"/>
              </w:rPr>
            </w:pPr>
            <w:r w:rsidRPr="00EC7D6D">
              <w:rPr>
                <w:b/>
                <w:iCs/>
                <w:sz w:val="18"/>
                <w:szCs w:val="18"/>
              </w:rPr>
              <w:lastRenderedPageBreak/>
              <w:t xml:space="preserve">Anotācijas I sadaļas 2. punkta </w:t>
            </w:r>
            <w:r w:rsidR="00EF1890" w:rsidRPr="00EC7D6D">
              <w:rPr>
                <w:b/>
                <w:iCs/>
                <w:sz w:val="18"/>
                <w:szCs w:val="18"/>
              </w:rPr>
              <w:t>papildinājums</w:t>
            </w:r>
            <w:r w:rsidRPr="00EC7D6D">
              <w:rPr>
                <w:b/>
                <w:iCs/>
                <w:sz w:val="18"/>
                <w:szCs w:val="18"/>
              </w:rPr>
              <w:t>:</w:t>
            </w:r>
          </w:p>
          <w:p w14:paraId="48093552" w14:textId="6E743029" w:rsidR="00EC7D6D" w:rsidRPr="00EC7D6D" w:rsidRDefault="00EC7D6D" w:rsidP="00070B13">
            <w:pPr>
              <w:shd w:val="clear" w:color="auto" w:fill="FFFFFF"/>
              <w:tabs>
                <w:tab w:val="right" w:pos="9071"/>
              </w:tabs>
              <w:jc w:val="both"/>
              <w:rPr>
                <w:bCs/>
                <w:iCs/>
                <w:sz w:val="18"/>
                <w:szCs w:val="18"/>
              </w:rPr>
            </w:pPr>
            <w:r w:rsidRPr="00EC7D6D">
              <w:rPr>
                <w:bCs/>
                <w:iCs/>
                <w:sz w:val="18"/>
                <w:szCs w:val="18"/>
              </w:rPr>
              <w:t>Savukārt ar noteikumu projekta 1.1.apakšpunktu tiek svītrots MK noteikumu Nr.332 1.</w:t>
            </w:r>
            <w:r w:rsidRPr="00EC7D6D">
              <w:rPr>
                <w:bCs/>
                <w:iCs/>
                <w:sz w:val="18"/>
                <w:szCs w:val="18"/>
                <w:vertAlign w:val="superscript"/>
              </w:rPr>
              <w:t>4</w:t>
            </w:r>
            <w:r w:rsidRPr="00EC7D6D">
              <w:rPr>
                <w:bCs/>
                <w:iCs/>
                <w:sz w:val="18"/>
                <w:szCs w:val="18"/>
              </w:rPr>
              <w:t xml:space="preserve"> punkts, kas ir deklaratīvs. Šis punkts attiecās tikai uz biodīzeļdegvielu, kas iegūta no rapšu sēklu eļļas, bet neattiecās uz citām biodegvielām, kas var tikt izmantotas kā piejaukums benzīnam vai dīzeļdegvielai. MK noteikumos Nr.332 nav nepieciešams izcelt, ka tie neaizliedz tirgot degvielu ar citu biodegvielas procentuālo sastāvu, jo tas izriet no citiem normatīvajiem aktiem, piemēram no Ministru kabineta noteikumu Nr.772 “Noteikumi par biodegvielas kvalitātes prasībām, atbilstības novērtēšanu, tirgus uzraudzību un patērētāju informēšanas kārtību” 2.punkta.</w:t>
            </w:r>
          </w:p>
        </w:tc>
      </w:tr>
      <w:tr w:rsidR="00070B13" w:rsidRPr="00FC31C6" w14:paraId="56D22BA9" w14:textId="77777777" w:rsidTr="003B0A26">
        <w:tc>
          <w:tcPr>
            <w:tcW w:w="817" w:type="dxa"/>
            <w:tcBorders>
              <w:left w:val="single" w:sz="6" w:space="0" w:color="000000"/>
              <w:bottom w:val="single" w:sz="4" w:space="0" w:color="auto"/>
              <w:right w:val="single" w:sz="6" w:space="0" w:color="000000"/>
            </w:tcBorders>
          </w:tcPr>
          <w:p w14:paraId="14CE866C" w14:textId="1EBA60E8" w:rsidR="00070B13" w:rsidRPr="00441119" w:rsidRDefault="00BE0F66" w:rsidP="00070B13">
            <w:pPr>
              <w:jc w:val="center"/>
              <w:rPr>
                <w:sz w:val="18"/>
                <w:szCs w:val="18"/>
              </w:rPr>
            </w:pPr>
            <w:r>
              <w:rPr>
                <w:sz w:val="18"/>
                <w:szCs w:val="18"/>
              </w:rPr>
              <w:lastRenderedPageBreak/>
              <w:t>7</w:t>
            </w:r>
            <w:r w:rsidR="00070B13">
              <w:rPr>
                <w:sz w:val="18"/>
                <w:szCs w:val="18"/>
              </w:rPr>
              <w:t>.</w:t>
            </w:r>
          </w:p>
        </w:tc>
        <w:tc>
          <w:tcPr>
            <w:tcW w:w="2977" w:type="dxa"/>
            <w:tcBorders>
              <w:left w:val="single" w:sz="6" w:space="0" w:color="000000"/>
              <w:bottom w:val="single" w:sz="4" w:space="0" w:color="auto"/>
              <w:right w:val="single" w:sz="6" w:space="0" w:color="000000"/>
            </w:tcBorders>
          </w:tcPr>
          <w:p w14:paraId="52079880" w14:textId="31A93ACF" w:rsidR="00070B13" w:rsidRPr="000E7058" w:rsidRDefault="00070B13" w:rsidP="00070B13">
            <w:pPr>
              <w:pStyle w:val="naisc"/>
              <w:spacing w:before="0" w:after="0"/>
              <w:jc w:val="both"/>
              <w:rPr>
                <w:b/>
                <w:sz w:val="18"/>
                <w:szCs w:val="18"/>
              </w:rPr>
            </w:pPr>
            <w:r w:rsidRPr="000E7058">
              <w:rPr>
                <w:b/>
                <w:sz w:val="18"/>
                <w:szCs w:val="18"/>
              </w:rPr>
              <w:t>Anotācijas IV sadaļa “Tiesību akta projekta ietekme uz spēkā esošo tiesību normu sistēmu”</w:t>
            </w:r>
          </w:p>
        </w:tc>
        <w:tc>
          <w:tcPr>
            <w:tcW w:w="4678" w:type="dxa"/>
            <w:tcBorders>
              <w:left w:val="single" w:sz="6" w:space="0" w:color="000000"/>
              <w:bottom w:val="single" w:sz="4" w:space="0" w:color="auto"/>
              <w:right w:val="single" w:sz="6" w:space="0" w:color="000000"/>
            </w:tcBorders>
          </w:tcPr>
          <w:p w14:paraId="0D9105ED" w14:textId="77777777" w:rsidR="00070B13" w:rsidRDefault="00070B13" w:rsidP="00070B13">
            <w:pPr>
              <w:jc w:val="center"/>
              <w:rPr>
                <w:rFonts w:eastAsia="Calibri"/>
                <w:b/>
                <w:bCs/>
                <w:sz w:val="18"/>
                <w:szCs w:val="18"/>
                <w:lang w:eastAsia="en-US"/>
              </w:rPr>
            </w:pPr>
            <w:r w:rsidRPr="00311EEF">
              <w:rPr>
                <w:rFonts w:eastAsia="Calibri"/>
                <w:b/>
                <w:bCs/>
                <w:sz w:val="18"/>
                <w:szCs w:val="18"/>
                <w:lang w:eastAsia="en-US"/>
              </w:rPr>
              <w:t>Tieslietu ministrija</w:t>
            </w:r>
            <w:r>
              <w:rPr>
                <w:rFonts w:eastAsia="Calibri"/>
                <w:b/>
                <w:bCs/>
                <w:sz w:val="18"/>
                <w:szCs w:val="18"/>
                <w:lang w:eastAsia="en-US"/>
              </w:rPr>
              <w:t xml:space="preserve"> (23.10.19.)</w:t>
            </w:r>
          </w:p>
          <w:p w14:paraId="1772B4A9" w14:textId="77777777" w:rsidR="00070B13" w:rsidRDefault="00070B13" w:rsidP="00070B13">
            <w:pPr>
              <w:jc w:val="both"/>
              <w:rPr>
                <w:rFonts w:eastAsia="Calibri"/>
                <w:sz w:val="18"/>
                <w:szCs w:val="18"/>
                <w:lang w:eastAsia="en-US"/>
              </w:rPr>
            </w:pPr>
          </w:p>
          <w:p w14:paraId="54A77768" w14:textId="6DD53EAC" w:rsidR="00070B13" w:rsidRDefault="00070B13" w:rsidP="00070B13">
            <w:pPr>
              <w:jc w:val="both"/>
              <w:rPr>
                <w:rFonts w:eastAsia="Calibri"/>
                <w:sz w:val="18"/>
                <w:szCs w:val="18"/>
                <w:lang w:eastAsia="en-US"/>
              </w:rPr>
            </w:pPr>
            <w:r w:rsidRPr="00311EEF">
              <w:rPr>
                <w:rFonts w:eastAsia="Calibri"/>
                <w:sz w:val="18"/>
                <w:szCs w:val="18"/>
                <w:lang w:eastAsia="en-US"/>
              </w:rPr>
              <w:t>2.</w:t>
            </w:r>
            <w:r w:rsidRPr="00311EEF">
              <w:rPr>
                <w:rFonts w:eastAsia="Calibri"/>
                <w:sz w:val="18"/>
                <w:szCs w:val="18"/>
                <w:lang w:eastAsia="en-US"/>
              </w:rPr>
              <w:tab/>
              <w:t xml:space="preserve">Norādām, ka projekta 1.9., 1.10. un 1.11. apakšpunktā paredzētā degvielas tirgus uzraudzības veikšanas uzdevuma nodošana Būvniecības valsts kontroles birojam (turpmāk - birojs) šobrīd neatbilst birojam Būvniecības likumā noteiktajam izveidošanas mērķim, kā arī biroja nolikumā norādītajai biroja kompetencei, biroja funkcijām un uzdevumiem. </w:t>
            </w:r>
          </w:p>
          <w:p w14:paraId="28D2311D" w14:textId="77777777" w:rsidR="00070B13" w:rsidRPr="00311EEF" w:rsidRDefault="00070B13" w:rsidP="00070B13">
            <w:pPr>
              <w:jc w:val="both"/>
              <w:rPr>
                <w:rFonts w:eastAsia="Calibri"/>
                <w:sz w:val="18"/>
                <w:szCs w:val="18"/>
                <w:lang w:eastAsia="en-US"/>
              </w:rPr>
            </w:pPr>
          </w:p>
          <w:p w14:paraId="379CAA9F" w14:textId="1B3A5285" w:rsidR="00070B13" w:rsidRDefault="00070B13" w:rsidP="00070B13">
            <w:pPr>
              <w:jc w:val="both"/>
              <w:rPr>
                <w:rFonts w:eastAsia="Calibri"/>
                <w:sz w:val="18"/>
                <w:szCs w:val="18"/>
                <w:lang w:eastAsia="en-US"/>
              </w:rPr>
            </w:pPr>
            <w:r w:rsidRPr="00311EEF">
              <w:rPr>
                <w:rFonts w:eastAsia="Calibri"/>
                <w:sz w:val="18"/>
                <w:szCs w:val="18"/>
                <w:lang w:eastAsia="en-US"/>
              </w:rPr>
              <w:t>Birojs ir izveidots, pamatojoties uz Būvniecības likuma 6. panta septīto daļu, kurā noteikts, ka par būvniecības nozari atbildīgās ministrijas padotībā ir Būvniecības valsts kontroles birojs, kas likumā un Ministru kabineta noteikumos paredzētajos gadījumos veic būvdarbu valsts kontroli un būvju ekspluatācijas uzraudzību, organizē ekspertīzes un piešķir patstāvīgās prakses tiesības Būvniecības likuma 13. panta trešās daļas 5. punktā noteiktajā specialitātē, kā arī veic patstāvīgās prakses uzraudzību. Būvniecības likuma 6.1 panta pirmā daļa nosaka biroja kompetenci Būvniecības likuma izpildei, kas ir saistīta ar noteiktiem uzdevumiem būvniecības jomā. Būvniecības likuma mērķis ir kvalitatīvas dzīves vides radīšana, nosakot efektīvu būvniecības procesa regulējumu, lai nodrošinātu ilgtspējīgu valsts ekonomisko un sociālo attīstību, kultūrvēsturisko un vides vērtību saglabāšanu, kā arī energoresursu racionālu izmantošanu.</w:t>
            </w:r>
          </w:p>
          <w:p w14:paraId="277C7D07" w14:textId="77777777" w:rsidR="00070B13" w:rsidRPr="00311EEF" w:rsidRDefault="00070B13" w:rsidP="00070B13">
            <w:pPr>
              <w:jc w:val="both"/>
              <w:rPr>
                <w:rFonts w:eastAsia="Calibri"/>
                <w:sz w:val="18"/>
                <w:szCs w:val="18"/>
                <w:lang w:eastAsia="en-US"/>
              </w:rPr>
            </w:pPr>
          </w:p>
          <w:p w14:paraId="104A6770" w14:textId="5BAD5954" w:rsidR="00070B13" w:rsidRDefault="00070B13" w:rsidP="00070B13">
            <w:pPr>
              <w:jc w:val="both"/>
              <w:rPr>
                <w:rFonts w:eastAsia="Calibri"/>
                <w:sz w:val="18"/>
                <w:szCs w:val="18"/>
                <w:lang w:eastAsia="en-US"/>
              </w:rPr>
            </w:pPr>
            <w:r w:rsidRPr="00311EEF">
              <w:rPr>
                <w:rFonts w:eastAsia="Calibri"/>
                <w:sz w:val="18"/>
                <w:szCs w:val="18"/>
                <w:lang w:eastAsia="en-US"/>
              </w:rPr>
              <w:lastRenderedPageBreak/>
              <w:t>Biroja nosaukums un noteiktā kompetence, neveicot grozījumus Būvniecības likumā, radīs maldinošu priekšstatu par iestādes darbības jomu.</w:t>
            </w:r>
          </w:p>
          <w:p w14:paraId="2448E307" w14:textId="77777777" w:rsidR="00070B13" w:rsidRPr="00311EEF" w:rsidRDefault="00070B13" w:rsidP="00070B13">
            <w:pPr>
              <w:jc w:val="both"/>
              <w:rPr>
                <w:rFonts w:eastAsia="Calibri"/>
                <w:sz w:val="18"/>
                <w:szCs w:val="18"/>
                <w:lang w:eastAsia="en-US"/>
              </w:rPr>
            </w:pPr>
          </w:p>
          <w:p w14:paraId="116EE6B8" w14:textId="77777777" w:rsidR="00070B13" w:rsidRPr="00311EEF" w:rsidRDefault="00070B13" w:rsidP="00070B13">
            <w:pPr>
              <w:jc w:val="both"/>
              <w:rPr>
                <w:rFonts w:eastAsia="Calibri"/>
                <w:sz w:val="18"/>
                <w:szCs w:val="18"/>
                <w:lang w:eastAsia="en-US"/>
              </w:rPr>
            </w:pPr>
            <w:r w:rsidRPr="00311EEF">
              <w:rPr>
                <w:rFonts w:eastAsia="Calibri"/>
                <w:sz w:val="18"/>
                <w:szCs w:val="18"/>
                <w:lang w:eastAsia="en-US"/>
              </w:rPr>
              <w:t>Projekta anotācijas IV sadaļas 1. punktā nav norādīts, ka paredzēts veikt grozījumus Būvniecības likumā. Projekta anotācijas I sadaļas 2. punktā norādīts, ka Ekonomikas ministrija plāno veikt grozījumus Būvniecības likumā un ar to saistītajos noteikumos attiecībā uz biroja nosaukumu, bet ne attiecībā uz Būvniecības likumā noteikto biroja kompetenci.</w:t>
            </w:r>
          </w:p>
          <w:p w14:paraId="6695C8B4" w14:textId="08F13D74" w:rsidR="00070B13" w:rsidRDefault="00070B13" w:rsidP="00070B13">
            <w:pPr>
              <w:jc w:val="both"/>
              <w:rPr>
                <w:rFonts w:eastAsia="Calibri"/>
                <w:sz w:val="18"/>
                <w:szCs w:val="18"/>
                <w:lang w:eastAsia="en-US"/>
              </w:rPr>
            </w:pPr>
            <w:r w:rsidRPr="00311EEF">
              <w:rPr>
                <w:rFonts w:eastAsia="Calibri"/>
                <w:sz w:val="18"/>
                <w:szCs w:val="18"/>
                <w:lang w:eastAsia="en-US"/>
              </w:rPr>
              <w:t>Attiecībā uz likuma “Par atbilstības novērtēšanu” 7. panta otro daļu, kas ir projekta viens no izdošanas pamatiem, norādām, ka, lai gan tas paredz, ka Ministru kabinets nosaka institūcijas, kuras veic tirgus uzraudzību reglamentētajā sfērā, tomēr Ministru kabinets kā izpildvara nedrīkst noteikt Ministru kabineta noteikumos tādu institūciju, kurai likumā ir noteikta kompetence, kas neatbilst  Ministru kabineta noteikumos paredzētajai institūcijas kompetencei.</w:t>
            </w:r>
          </w:p>
          <w:p w14:paraId="29CF3A6C" w14:textId="77777777" w:rsidR="00070B13" w:rsidRPr="00311EEF" w:rsidRDefault="00070B13" w:rsidP="00070B13">
            <w:pPr>
              <w:jc w:val="both"/>
              <w:rPr>
                <w:rFonts w:eastAsia="Calibri"/>
                <w:sz w:val="18"/>
                <w:szCs w:val="18"/>
                <w:lang w:eastAsia="en-US"/>
              </w:rPr>
            </w:pPr>
          </w:p>
          <w:p w14:paraId="1B419382" w14:textId="0E010C51" w:rsidR="00070B13" w:rsidRDefault="00070B13" w:rsidP="00070B13">
            <w:pPr>
              <w:jc w:val="both"/>
              <w:rPr>
                <w:rFonts w:eastAsia="Calibri"/>
                <w:sz w:val="18"/>
                <w:szCs w:val="18"/>
                <w:lang w:eastAsia="en-US"/>
              </w:rPr>
            </w:pPr>
            <w:r w:rsidRPr="00311EEF">
              <w:rPr>
                <w:rFonts w:eastAsia="Calibri"/>
                <w:sz w:val="18"/>
                <w:szCs w:val="18"/>
                <w:lang w:eastAsia="en-US"/>
              </w:rPr>
              <w:t>Ņemot vērā minēto, uzskatām, ka jaunu uzdevumu nodošana Būvniecības valsts kontroles birojam var tikt veikta tikai pēc attiecīgu grozījumu veikšanas Būvniecības likumā.</w:t>
            </w:r>
          </w:p>
          <w:p w14:paraId="5942330D" w14:textId="77777777" w:rsidR="00070B13" w:rsidRPr="00311EEF" w:rsidRDefault="00070B13" w:rsidP="00070B13">
            <w:pPr>
              <w:jc w:val="both"/>
              <w:rPr>
                <w:rFonts w:eastAsia="Calibri"/>
                <w:sz w:val="18"/>
                <w:szCs w:val="18"/>
                <w:lang w:eastAsia="en-US"/>
              </w:rPr>
            </w:pPr>
          </w:p>
          <w:p w14:paraId="3DC4AE34" w14:textId="77777777" w:rsidR="00070B13" w:rsidRPr="00311EEF" w:rsidRDefault="00070B13" w:rsidP="00070B13">
            <w:pPr>
              <w:jc w:val="both"/>
              <w:rPr>
                <w:rFonts w:eastAsia="Calibri"/>
                <w:sz w:val="18"/>
                <w:szCs w:val="18"/>
                <w:lang w:eastAsia="en-US"/>
              </w:rPr>
            </w:pPr>
            <w:r w:rsidRPr="00311EEF">
              <w:rPr>
                <w:rFonts w:eastAsia="Calibri"/>
                <w:sz w:val="18"/>
                <w:szCs w:val="18"/>
                <w:lang w:eastAsia="en-US"/>
              </w:rPr>
              <w:t xml:space="preserve">Tādējādi atbalstām projekta 1.9., 1.10. un 1.11. apakšpunktu, kas paredz jaunu ar būvniecības jomu nesaistītu uzdevumu nodošanu Būvniecības valsts kontroles birojam, tikai gadījumā, ja Ekonomikas ministrija apņemas drīzumā veikt grozījumus Būvniecības likumā attiecībā uz biroja nosaukumu un kompetenci, kā arī atbilstošus grozījumus biroja nolikumā. </w:t>
            </w:r>
          </w:p>
          <w:p w14:paraId="08725A58" w14:textId="3D5BE1C6" w:rsidR="00070B13" w:rsidRPr="00441119" w:rsidRDefault="00070B13" w:rsidP="00070B13">
            <w:pPr>
              <w:jc w:val="both"/>
              <w:rPr>
                <w:rFonts w:eastAsia="Calibri"/>
                <w:sz w:val="18"/>
                <w:szCs w:val="18"/>
                <w:lang w:eastAsia="en-US"/>
              </w:rPr>
            </w:pPr>
            <w:r w:rsidRPr="00311EEF">
              <w:rPr>
                <w:rFonts w:eastAsia="Calibri"/>
                <w:sz w:val="18"/>
                <w:szCs w:val="18"/>
                <w:lang w:eastAsia="en-US"/>
              </w:rPr>
              <w:t>Vienlaikus lūdzam precizēt projekta anotācijas IV sadaļu, papildinot to ar skaidrojumu, ka 2020. gadā tiks veikti grozījumi Būvniecības likumā, lai precizētu Būvniecības valsts kontroles biroja nosaukumu un kompetenci, kā arī atbilstoši grozījumus biroja nolikumā.</w:t>
            </w:r>
          </w:p>
        </w:tc>
        <w:tc>
          <w:tcPr>
            <w:tcW w:w="4110" w:type="dxa"/>
            <w:tcBorders>
              <w:left w:val="single" w:sz="6" w:space="0" w:color="000000"/>
              <w:bottom w:val="single" w:sz="4" w:space="0" w:color="auto"/>
              <w:right w:val="single" w:sz="6" w:space="0" w:color="000000"/>
            </w:tcBorders>
          </w:tcPr>
          <w:p w14:paraId="28B5865B" w14:textId="77777777" w:rsidR="00070B13" w:rsidRPr="00A57D61" w:rsidRDefault="00070B13" w:rsidP="00070B13">
            <w:pPr>
              <w:jc w:val="center"/>
              <w:rPr>
                <w:b/>
                <w:bCs/>
                <w:sz w:val="18"/>
                <w:szCs w:val="18"/>
              </w:rPr>
            </w:pPr>
            <w:r w:rsidRPr="00A57D61">
              <w:rPr>
                <w:b/>
                <w:bCs/>
                <w:sz w:val="18"/>
                <w:szCs w:val="18"/>
              </w:rPr>
              <w:lastRenderedPageBreak/>
              <w:t>Ņemts vērā</w:t>
            </w:r>
          </w:p>
          <w:p w14:paraId="56B8EA94" w14:textId="77777777" w:rsidR="00070B13" w:rsidRDefault="00070B13" w:rsidP="00070B13">
            <w:pPr>
              <w:jc w:val="center"/>
              <w:rPr>
                <w:sz w:val="18"/>
                <w:szCs w:val="18"/>
              </w:rPr>
            </w:pPr>
          </w:p>
          <w:p w14:paraId="26008E67" w14:textId="12BFAA45" w:rsidR="00070B13" w:rsidRPr="00441119" w:rsidRDefault="00070B13" w:rsidP="00070B13">
            <w:pPr>
              <w:jc w:val="both"/>
              <w:rPr>
                <w:sz w:val="18"/>
                <w:szCs w:val="18"/>
              </w:rPr>
            </w:pPr>
            <w:r>
              <w:rPr>
                <w:rFonts w:eastAsia="Calibri"/>
                <w:sz w:val="18"/>
                <w:szCs w:val="18"/>
                <w:lang w:eastAsia="en-US"/>
              </w:rPr>
              <w:t>E</w:t>
            </w:r>
            <w:r w:rsidR="00EF1890">
              <w:rPr>
                <w:rFonts w:eastAsia="Calibri"/>
                <w:sz w:val="18"/>
                <w:szCs w:val="18"/>
                <w:lang w:eastAsia="en-US"/>
              </w:rPr>
              <w:t>konomikas ministrija</w:t>
            </w:r>
            <w:r>
              <w:rPr>
                <w:rFonts w:eastAsia="Calibri"/>
                <w:sz w:val="18"/>
                <w:szCs w:val="18"/>
                <w:lang w:eastAsia="en-US"/>
              </w:rPr>
              <w:t xml:space="preserve"> 2020.gadā</w:t>
            </w:r>
            <w:r w:rsidRPr="00311EEF">
              <w:rPr>
                <w:rFonts w:eastAsia="Calibri"/>
                <w:sz w:val="18"/>
                <w:szCs w:val="18"/>
                <w:lang w:eastAsia="en-US"/>
              </w:rPr>
              <w:t xml:space="preserve"> </w:t>
            </w:r>
            <w:r>
              <w:rPr>
                <w:rFonts w:eastAsia="Calibri"/>
                <w:sz w:val="18"/>
                <w:szCs w:val="18"/>
                <w:lang w:eastAsia="en-US"/>
              </w:rPr>
              <w:t xml:space="preserve">ir paredzējusi </w:t>
            </w:r>
            <w:r w:rsidRPr="00311EEF">
              <w:rPr>
                <w:rFonts w:eastAsia="Calibri"/>
                <w:sz w:val="18"/>
                <w:szCs w:val="18"/>
                <w:lang w:eastAsia="en-US"/>
              </w:rPr>
              <w:t>veikt grozījumus Būvniecības likumā attiecībā uz biroja nosaukumu un kompetenci, kā arī atbilstošus grozījumus biroja nolikumā</w:t>
            </w:r>
            <w:r>
              <w:rPr>
                <w:rFonts w:eastAsia="Calibri"/>
                <w:sz w:val="18"/>
                <w:szCs w:val="18"/>
                <w:lang w:eastAsia="en-US"/>
              </w:rPr>
              <w:t xml:space="preserve">. Attiecīgi precizēta </w:t>
            </w:r>
            <w:r w:rsidRPr="00311EEF">
              <w:rPr>
                <w:rFonts w:eastAsia="Calibri"/>
                <w:sz w:val="18"/>
                <w:szCs w:val="18"/>
                <w:lang w:eastAsia="en-US"/>
              </w:rPr>
              <w:t>anotācijas IV sadaļ</w:t>
            </w:r>
            <w:r>
              <w:rPr>
                <w:rFonts w:eastAsia="Calibri"/>
                <w:sz w:val="18"/>
                <w:szCs w:val="18"/>
                <w:lang w:eastAsia="en-US"/>
              </w:rPr>
              <w:t xml:space="preserve">a.  </w:t>
            </w:r>
          </w:p>
        </w:tc>
        <w:tc>
          <w:tcPr>
            <w:tcW w:w="2835" w:type="dxa"/>
            <w:tcBorders>
              <w:top w:val="single" w:sz="4" w:space="0" w:color="auto"/>
              <w:left w:val="single" w:sz="4" w:space="0" w:color="auto"/>
              <w:bottom w:val="single" w:sz="4" w:space="0" w:color="auto"/>
            </w:tcBorders>
          </w:tcPr>
          <w:p w14:paraId="190097C9" w14:textId="0072F495" w:rsidR="00070B13" w:rsidRPr="000E7058" w:rsidRDefault="00070B13" w:rsidP="00070B13">
            <w:pPr>
              <w:shd w:val="clear" w:color="auto" w:fill="FFFFFF"/>
              <w:tabs>
                <w:tab w:val="right" w:pos="9071"/>
              </w:tabs>
              <w:jc w:val="both"/>
              <w:rPr>
                <w:b/>
                <w:sz w:val="18"/>
                <w:szCs w:val="18"/>
              </w:rPr>
            </w:pPr>
            <w:r w:rsidRPr="000E7058">
              <w:rPr>
                <w:b/>
                <w:sz w:val="18"/>
                <w:szCs w:val="18"/>
              </w:rPr>
              <w:t>Anotācijas IV sadaļas “Tiesību akta projekta ietekme uz spēkā esošo tiesību normu sistēmu” papildinājums:</w:t>
            </w:r>
          </w:p>
          <w:p w14:paraId="10CE3BAA" w14:textId="77777777" w:rsidR="00070B13" w:rsidRDefault="00070B13" w:rsidP="00070B13">
            <w:pPr>
              <w:shd w:val="clear" w:color="auto" w:fill="FFFFFF"/>
              <w:tabs>
                <w:tab w:val="right" w:pos="9071"/>
              </w:tabs>
              <w:jc w:val="both"/>
              <w:rPr>
                <w:b/>
                <w:i/>
                <w:iCs/>
                <w:sz w:val="18"/>
                <w:szCs w:val="18"/>
              </w:rPr>
            </w:pPr>
          </w:p>
          <w:p w14:paraId="7E63D43D" w14:textId="5379BDCB" w:rsidR="00070B13" w:rsidRPr="00616A92" w:rsidRDefault="00070B13" w:rsidP="00070B13">
            <w:pPr>
              <w:shd w:val="clear" w:color="auto" w:fill="FFFFFF"/>
              <w:tabs>
                <w:tab w:val="right" w:pos="9071"/>
              </w:tabs>
              <w:jc w:val="both"/>
              <w:rPr>
                <w:bCs/>
                <w:sz w:val="18"/>
                <w:szCs w:val="18"/>
              </w:rPr>
            </w:pPr>
            <w:r w:rsidRPr="00616A92">
              <w:rPr>
                <w:bCs/>
                <w:sz w:val="18"/>
                <w:szCs w:val="18"/>
              </w:rPr>
              <w:t>“Lai precizētu BVKB nosaukumu un darbības jomu, tādejādi novēršot potenciāli maldinošu priekšstatu par iestādes darbības jomu, Ekonomikas ministrija papildus 2020.gadā plāno veikt grozījumus Būvniecības likumā un BVKB nolikumā.”</w:t>
            </w:r>
          </w:p>
        </w:tc>
      </w:tr>
      <w:tr w:rsidR="00070B13" w:rsidRPr="00FC31C6" w14:paraId="6B6CD307" w14:textId="77777777" w:rsidTr="003B0A26">
        <w:tc>
          <w:tcPr>
            <w:tcW w:w="817" w:type="dxa"/>
            <w:tcBorders>
              <w:left w:val="single" w:sz="6" w:space="0" w:color="000000"/>
              <w:bottom w:val="single" w:sz="4" w:space="0" w:color="auto"/>
              <w:right w:val="single" w:sz="6" w:space="0" w:color="000000"/>
            </w:tcBorders>
          </w:tcPr>
          <w:p w14:paraId="57E1C3D7" w14:textId="60923BC9" w:rsidR="00070B13" w:rsidRPr="00441119" w:rsidRDefault="00BE0F66" w:rsidP="00070B13">
            <w:pPr>
              <w:jc w:val="center"/>
              <w:rPr>
                <w:sz w:val="18"/>
                <w:szCs w:val="18"/>
              </w:rPr>
            </w:pPr>
            <w:r>
              <w:rPr>
                <w:sz w:val="18"/>
                <w:szCs w:val="18"/>
              </w:rPr>
              <w:t>8</w:t>
            </w:r>
            <w:r w:rsidR="00070B13">
              <w:rPr>
                <w:sz w:val="18"/>
                <w:szCs w:val="18"/>
              </w:rPr>
              <w:t>.</w:t>
            </w:r>
          </w:p>
        </w:tc>
        <w:tc>
          <w:tcPr>
            <w:tcW w:w="2977" w:type="dxa"/>
            <w:tcBorders>
              <w:left w:val="single" w:sz="6" w:space="0" w:color="000000"/>
              <w:bottom w:val="single" w:sz="4" w:space="0" w:color="auto"/>
              <w:right w:val="single" w:sz="6" w:space="0" w:color="000000"/>
            </w:tcBorders>
          </w:tcPr>
          <w:p w14:paraId="0B22F9F5" w14:textId="412379BD" w:rsidR="00070B13" w:rsidRPr="000E7058" w:rsidRDefault="00070B13" w:rsidP="00070B13">
            <w:pPr>
              <w:pStyle w:val="naisc"/>
              <w:spacing w:before="0" w:after="0"/>
              <w:jc w:val="both"/>
              <w:rPr>
                <w:b/>
                <w:bCs/>
                <w:sz w:val="18"/>
                <w:szCs w:val="18"/>
              </w:rPr>
            </w:pPr>
            <w:r w:rsidRPr="000E7058">
              <w:rPr>
                <w:rFonts w:eastAsia="Calibri"/>
                <w:b/>
                <w:bCs/>
                <w:sz w:val="18"/>
                <w:szCs w:val="18"/>
                <w:lang w:eastAsia="en-US"/>
              </w:rPr>
              <w:t>Anotācijas V sadaļas 1. tabulas D aile, kur raksturota  Direktīvas 2015/1513 1.panta 7) punkta a) apakšpunkta, kas aizstāj Direktīvas 98/70/EK 8.panta 1.punktu transponēšana</w:t>
            </w:r>
          </w:p>
        </w:tc>
        <w:tc>
          <w:tcPr>
            <w:tcW w:w="4678" w:type="dxa"/>
            <w:tcBorders>
              <w:left w:val="single" w:sz="6" w:space="0" w:color="000000"/>
              <w:bottom w:val="single" w:sz="4" w:space="0" w:color="auto"/>
              <w:right w:val="single" w:sz="6" w:space="0" w:color="000000"/>
            </w:tcBorders>
          </w:tcPr>
          <w:p w14:paraId="5B5F2957" w14:textId="77777777" w:rsidR="00070B13" w:rsidRDefault="00070B13" w:rsidP="00070B13">
            <w:pPr>
              <w:jc w:val="center"/>
              <w:rPr>
                <w:rFonts w:eastAsia="Calibri"/>
                <w:b/>
                <w:bCs/>
                <w:sz w:val="18"/>
                <w:szCs w:val="18"/>
                <w:lang w:eastAsia="en-US"/>
              </w:rPr>
            </w:pPr>
            <w:r w:rsidRPr="00311EEF">
              <w:rPr>
                <w:rFonts w:eastAsia="Calibri"/>
                <w:b/>
                <w:bCs/>
                <w:sz w:val="18"/>
                <w:szCs w:val="18"/>
                <w:lang w:eastAsia="en-US"/>
              </w:rPr>
              <w:t>Tieslietu ministrija</w:t>
            </w:r>
            <w:r>
              <w:rPr>
                <w:rFonts w:eastAsia="Calibri"/>
                <w:b/>
                <w:bCs/>
                <w:sz w:val="18"/>
                <w:szCs w:val="18"/>
                <w:lang w:eastAsia="en-US"/>
              </w:rPr>
              <w:t xml:space="preserve"> (23.10.19.)</w:t>
            </w:r>
          </w:p>
          <w:p w14:paraId="3D720CBB" w14:textId="77777777" w:rsidR="00070B13" w:rsidRDefault="00070B13" w:rsidP="00070B13">
            <w:pPr>
              <w:jc w:val="both"/>
              <w:rPr>
                <w:rFonts w:eastAsia="Calibri"/>
                <w:sz w:val="18"/>
                <w:szCs w:val="18"/>
                <w:lang w:eastAsia="en-US"/>
              </w:rPr>
            </w:pPr>
          </w:p>
          <w:p w14:paraId="57DBE03A" w14:textId="1CBA9851" w:rsidR="00070B13" w:rsidRPr="00441119" w:rsidRDefault="00070B13" w:rsidP="00070B13">
            <w:pPr>
              <w:jc w:val="both"/>
              <w:rPr>
                <w:rFonts w:eastAsia="Calibri"/>
                <w:sz w:val="18"/>
                <w:szCs w:val="18"/>
                <w:lang w:eastAsia="en-US"/>
              </w:rPr>
            </w:pPr>
            <w:r w:rsidRPr="00311EEF">
              <w:rPr>
                <w:rFonts w:eastAsia="Calibri"/>
                <w:sz w:val="18"/>
                <w:szCs w:val="18"/>
                <w:lang w:eastAsia="en-US"/>
              </w:rPr>
              <w:t>3.</w:t>
            </w:r>
            <w:r w:rsidRPr="00311EEF">
              <w:rPr>
                <w:rFonts w:eastAsia="Calibri"/>
                <w:sz w:val="18"/>
                <w:szCs w:val="18"/>
                <w:lang w:eastAsia="en-US"/>
              </w:rPr>
              <w:tab/>
              <w:t xml:space="preserve">Projekta anotācijas V sadaļas 1. tabulas D ailē attiecībā uz Eiropas Parlamenta un Padomes 1998. gada 13. oktobra Direktīvas 98/70/EK, kas attiecas uz benzīna un dīzeļdegvielas kvalitāti un ar ko groza Padomes Direktīvu 93/12/EEK, (turpmāk – Direktīva 98/70/EK) 8. panta 1. punkta pārņemšanu projekta 1.9. apakšpunktā cita starpā skaidrots, ka projekts paredz stingrākas prasības nekā Direktīvas 98/70/EK 8. panta 1. punkts. Līdz ar to lūdzam D ailē izvērstāk skaidrot projektā paredzēto stingrāko prasību vajadzību atbilstoši instrukcijas 56.4. apakšpunktam, sniedzot izvērstāku skaidrojumu par šādu prasību nepieciešamību un samērīgumu, kā arī norādot iespējamās alternatīvas (t.sk. alternatīvas, kas neparedz tiesiskā regulējuma izstrādi) – kādos </w:t>
            </w:r>
            <w:r w:rsidRPr="00311EEF">
              <w:rPr>
                <w:rFonts w:eastAsia="Calibri"/>
                <w:sz w:val="18"/>
                <w:szCs w:val="18"/>
                <w:lang w:eastAsia="en-US"/>
              </w:rPr>
              <w:lastRenderedPageBreak/>
              <w:t>gadījumos būtu iespējams izvairīties no stingrāku prasību noteikšanas, nekā paredzēts Direktīvā 98/70/EK.</w:t>
            </w:r>
          </w:p>
        </w:tc>
        <w:tc>
          <w:tcPr>
            <w:tcW w:w="4110" w:type="dxa"/>
            <w:tcBorders>
              <w:left w:val="single" w:sz="6" w:space="0" w:color="000000"/>
              <w:bottom w:val="single" w:sz="4" w:space="0" w:color="auto"/>
              <w:right w:val="single" w:sz="6" w:space="0" w:color="000000"/>
            </w:tcBorders>
          </w:tcPr>
          <w:p w14:paraId="05DD1D0A" w14:textId="77777777" w:rsidR="00070B13" w:rsidRDefault="00070B13" w:rsidP="00070B13">
            <w:pPr>
              <w:jc w:val="center"/>
              <w:rPr>
                <w:b/>
                <w:bCs/>
                <w:sz w:val="18"/>
                <w:szCs w:val="18"/>
              </w:rPr>
            </w:pPr>
            <w:r w:rsidRPr="009A1879">
              <w:rPr>
                <w:b/>
                <w:bCs/>
                <w:sz w:val="18"/>
                <w:szCs w:val="18"/>
              </w:rPr>
              <w:lastRenderedPageBreak/>
              <w:t>Ņemts vērā</w:t>
            </w:r>
          </w:p>
          <w:p w14:paraId="05A83D2B" w14:textId="77777777" w:rsidR="00070B13" w:rsidRDefault="00070B13" w:rsidP="00070B13">
            <w:pPr>
              <w:jc w:val="center"/>
              <w:rPr>
                <w:b/>
                <w:bCs/>
                <w:sz w:val="18"/>
                <w:szCs w:val="18"/>
              </w:rPr>
            </w:pPr>
          </w:p>
          <w:p w14:paraId="29360210" w14:textId="26F3DC65" w:rsidR="00070B13" w:rsidRPr="009A1879" w:rsidRDefault="00070B13" w:rsidP="00070B13">
            <w:pPr>
              <w:jc w:val="both"/>
              <w:rPr>
                <w:b/>
                <w:bCs/>
                <w:sz w:val="18"/>
                <w:szCs w:val="18"/>
              </w:rPr>
            </w:pPr>
            <w:r w:rsidRPr="00311EEF">
              <w:rPr>
                <w:rFonts w:eastAsia="Calibri"/>
                <w:sz w:val="18"/>
                <w:szCs w:val="18"/>
                <w:lang w:eastAsia="en-US"/>
              </w:rPr>
              <w:t>Projekta anotācijas V sadaļas 1. tabulas D ail</w:t>
            </w:r>
            <w:r>
              <w:rPr>
                <w:rFonts w:eastAsia="Calibri"/>
                <w:sz w:val="18"/>
                <w:szCs w:val="18"/>
                <w:lang w:eastAsia="en-US"/>
              </w:rPr>
              <w:t>e ir precizēta.</w:t>
            </w:r>
          </w:p>
        </w:tc>
        <w:tc>
          <w:tcPr>
            <w:tcW w:w="2835" w:type="dxa"/>
            <w:tcBorders>
              <w:top w:val="single" w:sz="4" w:space="0" w:color="auto"/>
              <w:left w:val="single" w:sz="4" w:space="0" w:color="auto"/>
              <w:bottom w:val="single" w:sz="4" w:space="0" w:color="auto"/>
            </w:tcBorders>
          </w:tcPr>
          <w:p w14:paraId="0EBB5428" w14:textId="7030BA69" w:rsidR="00070B13" w:rsidRPr="00616A92" w:rsidRDefault="00070B13" w:rsidP="00070B13">
            <w:pPr>
              <w:rPr>
                <w:b/>
                <w:bCs/>
                <w:i/>
                <w:iCs/>
                <w:sz w:val="18"/>
                <w:szCs w:val="18"/>
              </w:rPr>
            </w:pPr>
            <w:r>
              <w:rPr>
                <w:b/>
                <w:bCs/>
                <w:i/>
                <w:iCs/>
                <w:sz w:val="18"/>
                <w:szCs w:val="18"/>
              </w:rPr>
              <w:t>Precizētais teksts a</w:t>
            </w:r>
            <w:r w:rsidRPr="00616A92">
              <w:rPr>
                <w:b/>
                <w:bCs/>
                <w:i/>
                <w:iCs/>
                <w:sz w:val="18"/>
                <w:szCs w:val="18"/>
              </w:rPr>
              <w:t>notācijas V sadaļas 1. tabulas D ail</w:t>
            </w:r>
            <w:r>
              <w:rPr>
                <w:b/>
                <w:bCs/>
                <w:i/>
                <w:iCs/>
                <w:sz w:val="18"/>
                <w:szCs w:val="18"/>
              </w:rPr>
              <w:t>ē:</w:t>
            </w:r>
          </w:p>
          <w:p w14:paraId="16CD32CE" w14:textId="77777777" w:rsidR="00070B13" w:rsidRDefault="00070B13" w:rsidP="00070B13">
            <w:pPr>
              <w:rPr>
                <w:sz w:val="18"/>
                <w:szCs w:val="18"/>
              </w:rPr>
            </w:pPr>
          </w:p>
          <w:p w14:paraId="41821AB8" w14:textId="77777777" w:rsidR="00070B13" w:rsidRDefault="00070B13" w:rsidP="00070B13">
            <w:pPr>
              <w:rPr>
                <w:sz w:val="18"/>
                <w:szCs w:val="18"/>
              </w:rPr>
            </w:pPr>
          </w:p>
          <w:p w14:paraId="0C8976A8" w14:textId="439836FB" w:rsidR="00070B13" w:rsidRPr="00616A92" w:rsidRDefault="00070B13" w:rsidP="00070B13">
            <w:pPr>
              <w:rPr>
                <w:sz w:val="18"/>
                <w:szCs w:val="18"/>
              </w:rPr>
            </w:pPr>
            <w:r w:rsidRPr="00616A92">
              <w:rPr>
                <w:sz w:val="18"/>
                <w:szCs w:val="18"/>
              </w:rPr>
              <w:t>Projekts paredz stingrākas prasības nekā Direktīvas 98/70/EK 8. panta 1. punkts.</w:t>
            </w:r>
          </w:p>
          <w:p w14:paraId="1099B06C" w14:textId="77777777" w:rsidR="00070B13" w:rsidRPr="00616A92" w:rsidRDefault="00070B13" w:rsidP="00070B13">
            <w:pPr>
              <w:rPr>
                <w:sz w:val="18"/>
                <w:szCs w:val="18"/>
              </w:rPr>
            </w:pPr>
            <w:r w:rsidRPr="00616A92">
              <w:rPr>
                <w:sz w:val="18"/>
                <w:szCs w:val="18"/>
              </w:rPr>
              <w:t xml:space="preserve"> </w:t>
            </w:r>
          </w:p>
          <w:p w14:paraId="17F9F65C" w14:textId="7311EB35" w:rsidR="00070B13" w:rsidRPr="00616A92" w:rsidRDefault="00070B13" w:rsidP="00070B13">
            <w:pPr>
              <w:shd w:val="clear" w:color="auto" w:fill="FFFFFF"/>
              <w:tabs>
                <w:tab w:val="right" w:pos="9071"/>
              </w:tabs>
              <w:jc w:val="both"/>
              <w:rPr>
                <w:b/>
                <w:i/>
                <w:sz w:val="18"/>
                <w:szCs w:val="18"/>
              </w:rPr>
            </w:pPr>
            <w:r w:rsidRPr="00616A92">
              <w:rPr>
                <w:sz w:val="18"/>
                <w:szCs w:val="18"/>
              </w:rPr>
              <w:t xml:space="preserve">Noteikumu projekts papildus identificē standartu LVS EN 16640:2017 "Bioloģiskas izcelsmes produkti. Bioloģiskas izcelsmes oglekļa saturs. Bioloģiskas izcelsmes oglekļa satura noteikšana ar radioaktīvā oglekļa metodi" kā </w:t>
            </w:r>
            <w:r w:rsidRPr="00616A92">
              <w:rPr>
                <w:sz w:val="18"/>
                <w:szCs w:val="18"/>
              </w:rPr>
              <w:lastRenderedPageBreak/>
              <w:t xml:space="preserve">papildus izmantojamo analītisko metodi, kuru izmanto veicot tirgus uzraudzību. Direktīvā 98/70/EK ir noteikts ierobežojums FAME saturam degvielā (ne vairāk kā 7%), tāpat šajā direktīvā ir noteikta analītiskā metode ar ko nosakāms FAME saturs, taču šāda metode nav noteikta piemēram </w:t>
            </w:r>
            <w:proofErr w:type="spellStart"/>
            <w:r w:rsidRPr="00616A92">
              <w:rPr>
                <w:sz w:val="18"/>
                <w:szCs w:val="18"/>
              </w:rPr>
              <w:t>parafinizētas</w:t>
            </w:r>
            <w:proofErr w:type="spellEnd"/>
            <w:r w:rsidRPr="00616A92">
              <w:rPr>
                <w:sz w:val="18"/>
                <w:szCs w:val="18"/>
              </w:rPr>
              <w:t xml:space="preserve"> dīzeļdegvielas, kas iegūta no biomasas (turpmāk – HVO) satura noteikšanai. HVO saturs dīzeļdegvielā netiek ierobežots, taču tirgū ir komersanti, kas to izmanto biodegvielas obligātā piejaukuma prasību izpildei. Periodiskas pārbaudes HVO satura noteikšanai ir nepieciešamas, lai garantētu vienlīdzīgus konkurences apstākļus degvielas tirgotājiem. Alternatīva šādām pārbaudēm ir paļaušanās uz testēšanas pārskatos norādīto informāciju, taču ņemot vērā nozares pārstāvju paustos iebildumus saskaņojot Ministru kabineta 2018. gada 23. janvāra noteikumus Nr. 45 “Grozījumi Ministru kabineta 2000. gada 26. septembra noteikumos Nr. 332 "Noteikumi par benzīna un dīzeļdegvielas atbilstības novērtēšanu"” tika paredzēts, ka VID šīs funkcijas nodrošināšanai tiek atvēlēti finanšu līdzekļi (ārpakalpojuma nodrošināšanai).  </w:t>
            </w:r>
          </w:p>
        </w:tc>
      </w:tr>
      <w:tr w:rsidR="00070B13" w:rsidRPr="00FC31C6" w14:paraId="27EB4FDC" w14:textId="77777777" w:rsidTr="003B0A26">
        <w:tc>
          <w:tcPr>
            <w:tcW w:w="817" w:type="dxa"/>
            <w:tcBorders>
              <w:left w:val="single" w:sz="6" w:space="0" w:color="000000"/>
              <w:bottom w:val="single" w:sz="4" w:space="0" w:color="auto"/>
              <w:right w:val="single" w:sz="6" w:space="0" w:color="000000"/>
            </w:tcBorders>
          </w:tcPr>
          <w:p w14:paraId="48E8A8CE" w14:textId="2918A7AA" w:rsidR="00070B13" w:rsidRPr="00441119" w:rsidRDefault="00BE0F66" w:rsidP="00070B13">
            <w:pPr>
              <w:jc w:val="center"/>
              <w:rPr>
                <w:sz w:val="18"/>
                <w:szCs w:val="18"/>
              </w:rPr>
            </w:pPr>
            <w:r>
              <w:rPr>
                <w:sz w:val="18"/>
                <w:szCs w:val="18"/>
              </w:rPr>
              <w:lastRenderedPageBreak/>
              <w:t>9</w:t>
            </w:r>
            <w:r w:rsidR="00070B13">
              <w:rPr>
                <w:sz w:val="18"/>
                <w:szCs w:val="18"/>
              </w:rPr>
              <w:t>.</w:t>
            </w:r>
          </w:p>
        </w:tc>
        <w:tc>
          <w:tcPr>
            <w:tcW w:w="2977" w:type="dxa"/>
            <w:tcBorders>
              <w:left w:val="single" w:sz="6" w:space="0" w:color="000000"/>
              <w:bottom w:val="single" w:sz="4" w:space="0" w:color="auto"/>
              <w:right w:val="single" w:sz="6" w:space="0" w:color="000000"/>
            </w:tcBorders>
          </w:tcPr>
          <w:p w14:paraId="471E6601" w14:textId="038303B6" w:rsidR="00070B13" w:rsidRPr="000E7058" w:rsidRDefault="00070B13" w:rsidP="00070B13">
            <w:pPr>
              <w:pStyle w:val="naisc"/>
              <w:spacing w:before="0" w:after="0"/>
              <w:jc w:val="both"/>
              <w:rPr>
                <w:b/>
                <w:sz w:val="18"/>
                <w:szCs w:val="18"/>
              </w:rPr>
            </w:pPr>
            <w:r w:rsidRPr="000E7058">
              <w:rPr>
                <w:b/>
                <w:sz w:val="18"/>
                <w:szCs w:val="18"/>
              </w:rPr>
              <w:t>Noteikumu projekta 1.15. apakšpunktā izteiktā 1. un 2.pielikuma pirmās zemsvītras piezīmes otrais teikums</w:t>
            </w:r>
          </w:p>
          <w:p w14:paraId="3EB1D5CC" w14:textId="584C3037" w:rsidR="00070B13" w:rsidRPr="000E7058" w:rsidRDefault="00070B13" w:rsidP="00070B13">
            <w:pPr>
              <w:pStyle w:val="naisc"/>
              <w:spacing w:before="0" w:after="0"/>
              <w:jc w:val="both"/>
              <w:rPr>
                <w:b/>
                <w:sz w:val="18"/>
                <w:szCs w:val="18"/>
              </w:rPr>
            </w:pPr>
          </w:p>
          <w:p w14:paraId="7DE28AF7" w14:textId="1A511B4C" w:rsidR="00070B13" w:rsidRPr="000E7058" w:rsidRDefault="00070B13" w:rsidP="00070B13">
            <w:pPr>
              <w:pStyle w:val="naisc"/>
              <w:spacing w:before="0" w:after="0"/>
              <w:jc w:val="both"/>
              <w:rPr>
                <w:b/>
                <w:bCs/>
                <w:sz w:val="18"/>
                <w:szCs w:val="18"/>
              </w:rPr>
            </w:pPr>
            <w:r w:rsidRPr="000E7058">
              <w:rPr>
                <w:b/>
                <w:bCs/>
                <w:sz w:val="18"/>
                <w:szCs w:val="18"/>
              </w:rPr>
              <w:t>Anotācijas V sadaļas 1.tabulas A aile</w:t>
            </w:r>
          </w:p>
          <w:p w14:paraId="3EE7146D" w14:textId="420762BA" w:rsidR="00070B13" w:rsidRPr="000E7058" w:rsidRDefault="00070B13" w:rsidP="00070B13">
            <w:pPr>
              <w:pStyle w:val="naisc"/>
              <w:spacing w:before="0" w:after="0"/>
              <w:jc w:val="both"/>
              <w:rPr>
                <w:b/>
                <w:sz w:val="18"/>
                <w:szCs w:val="18"/>
              </w:rPr>
            </w:pPr>
          </w:p>
          <w:p w14:paraId="0CE35DCA" w14:textId="7E142EAE" w:rsidR="00070B13" w:rsidRDefault="00070B13" w:rsidP="00070B13">
            <w:pPr>
              <w:pStyle w:val="Default"/>
              <w:spacing w:before="120" w:after="120"/>
              <w:jc w:val="both"/>
              <w:rPr>
                <w:rFonts w:ascii="Times New Roman" w:hAnsi="Times New Roman" w:cs="Times New Roman"/>
                <w:color w:val="auto"/>
                <w:sz w:val="20"/>
                <w:szCs w:val="26"/>
              </w:rPr>
            </w:pPr>
          </w:p>
          <w:p w14:paraId="30635E33" w14:textId="77777777" w:rsidR="00070B13" w:rsidRDefault="00070B13" w:rsidP="00070B13">
            <w:pPr>
              <w:pStyle w:val="naisc"/>
              <w:spacing w:before="0" w:after="0"/>
              <w:jc w:val="both"/>
              <w:rPr>
                <w:b/>
                <w:i/>
                <w:iCs/>
                <w:sz w:val="18"/>
                <w:szCs w:val="18"/>
              </w:rPr>
            </w:pPr>
          </w:p>
          <w:p w14:paraId="20A0CB04" w14:textId="743C0C54" w:rsidR="00070B13" w:rsidRPr="009A1879" w:rsidRDefault="00070B13" w:rsidP="00070B13">
            <w:pPr>
              <w:pStyle w:val="naisc"/>
              <w:spacing w:before="0" w:after="0"/>
              <w:jc w:val="both"/>
              <w:rPr>
                <w:b/>
                <w:i/>
                <w:iCs/>
                <w:sz w:val="18"/>
                <w:szCs w:val="18"/>
              </w:rPr>
            </w:pPr>
          </w:p>
        </w:tc>
        <w:tc>
          <w:tcPr>
            <w:tcW w:w="4678" w:type="dxa"/>
            <w:tcBorders>
              <w:left w:val="single" w:sz="6" w:space="0" w:color="000000"/>
              <w:bottom w:val="single" w:sz="4" w:space="0" w:color="auto"/>
              <w:right w:val="single" w:sz="6" w:space="0" w:color="000000"/>
            </w:tcBorders>
          </w:tcPr>
          <w:p w14:paraId="2E6B5E84" w14:textId="77777777" w:rsidR="00070B13" w:rsidRDefault="00070B13" w:rsidP="00070B13">
            <w:pPr>
              <w:jc w:val="center"/>
              <w:rPr>
                <w:rFonts w:eastAsia="Calibri"/>
                <w:b/>
                <w:bCs/>
                <w:sz w:val="18"/>
                <w:szCs w:val="18"/>
                <w:lang w:eastAsia="en-US"/>
              </w:rPr>
            </w:pPr>
            <w:r w:rsidRPr="00311EEF">
              <w:rPr>
                <w:rFonts w:eastAsia="Calibri"/>
                <w:b/>
                <w:bCs/>
                <w:sz w:val="18"/>
                <w:szCs w:val="18"/>
                <w:lang w:eastAsia="en-US"/>
              </w:rPr>
              <w:t>Tieslietu ministrija</w:t>
            </w:r>
            <w:r>
              <w:rPr>
                <w:rFonts w:eastAsia="Calibri"/>
                <w:b/>
                <w:bCs/>
                <w:sz w:val="18"/>
                <w:szCs w:val="18"/>
                <w:lang w:eastAsia="en-US"/>
              </w:rPr>
              <w:t xml:space="preserve"> (23.10.19.)</w:t>
            </w:r>
          </w:p>
          <w:p w14:paraId="48ECA992" w14:textId="77777777" w:rsidR="00070B13" w:rsidRDefault="00070B13" w:rsidP="00070B13">
            <w:pPr>
              <w:jc w:val="both"/>
              <w:rPr>
                <w:rFonts w:eastAsia="Calibri"/>
                <w:sz w:val="18"/>
                <w:szCs w:val="18"/>
                <w:lang w:eastAsia="en-US"/>
              </w:rPr>
            </w:pPr>
          </w:p>
          <w:p w14:paraId="7650C9E0" w14:textId="0AEBF925" w:rsidR="00070B13" w:rsidRDefault="00070B13" w:rsidP="00070B13">
            <w:pPr>
              <w:jc w:val="both"/>
              <w:rPr>
                <w:rFonts w:eastAsia="Calibri"/>
                <w:sz w:val="18"/>
                <w:szCs w:val="18"/>
                <w:lang w:eastAsia="en-US"/>
              </w:rPr>
            </w:pPr>
            <w:r w:rsidRPr="00311EEF">
              <w:rPr>
                <w:rFonts w:eastAsia="Calibri"/>
                <w:sz w:val="18"/>
                <w:szCs w:val="18"/>
                <w:lang w:eastAsia="en-US"/>
              </w:rPr>
              <w:t>4.</w:t>
            </w:r>
            <w:r w:rsidRPr="00311EEF">
              <w:rPr>
                <w:rFonts w:eastAsia="Calibri"/>
                <w:sz w:val="18"/>
                <w:szCs w:val="18"/>
                <w:lang w:eastAsia="en-US"/>
              </w:rPr>
              <w:tab/>
              <w:t xml:space="preserve">Lūdzam atkārtoti izvērtēt projekta 1.15. apakšpunktā izteiktā 1. pielikuma 1. zemsvītras piezīmes otrā teikuma atbilstību Direktīvas 98/70/EK I pielikuma 1. zemsvītras piezīmes otrajam teikumam. Lūdzam arī izvērtēt 2. pielikuma 1. zemsvītras otrā teikuma atbilstību Direktīvas 98/70/EK II pielikuma 1. zemsvītras piezīmes otrajam teikumam. Vēršam uzmanību, ka atbilstoši Direktīvas 98/70/EK 1. un 2. pielikuma 1. zemsvītras piezīmēm dalībvalstis var pieņemt analītisko metodi, kas noteikta standarta EN 228:2012 (vai standarta EN 590:2013) aizvietošanai, ja var pierādīt, ka ar to var nodrošināt vismaz </w:t>
            </w:r>
            <w:r w:rsidRPr="00311EEF">
              <w:rPr>
                <w:rFonts w:eastAsia="Calibri"/>
                <w:sz w:val="18"/>
                <w:szCs w:val="18"/>
                <w:lang w:eastAsia="en-US"/>
              </w:rPr>
              <w:lastRenderedPageBreak/>
              <w:t xml:space="preserve">tādu pašu pareizību un vismaz tādu pašu precizitāti kā ar aizvietoto analītisko metodi. </w:t>
            </w:r>
          </w:p>
          <w:p w14:paraId="19C1AFF3" w14:textId="77777777" w:rsidR="00070B13" w:rsidRPr="00311EEF" w:rsidRDefault="00070B13" w:rsidP="00070B13">
            <w:pPr>
              <w:jc w:val="both"/>
              <w:rPr>
                <w:rFonts w:eastAsia="Calibri"/>
                <w:sz w:val="18"/>
                <w:szCs w:val="18"/>
                <w:lang w:eastAsia="en-US"/>
              </w:rPr>
            </w:pPr>
          </w:p>
          <w:p w14:paraId="145D8B6A" w14:textId="326F27FF" w:rsidR="00070B13" w:rsidRDefault="00070B13" w:rsidP="00070B13">
            <w:pPr>
              <w:jc w:val="both"/>
              <w:rPr>
                <w:rFonts w:eastAsia="Calibri"/>
                <w:sz w:val="18"/>
                <w:szCs w:val="18"/>
                <w:lang w:eastAsia="en-US"/>
              </w:rPr>
            </w:pPr>
            <w:r w:rsidRPr="00311EEF">
              <w:rPr>
                <w:rFonts w:eastAsia="Calibri"/>
                <w:sz w:val="18"/>
                <w:szCs w:val="18"/>
                <w:lang w:eastAsia="en-US"/>
              </w:rPr>
              <w:t xml:space="preserve">Tādējādi Latvija spēkā esošajos noteikumos var izdarīt izvēli – noteikt spēkā esošo noteikumu 1. un 2. pielikumā, ka tiek lietotas testēšanas metodes, kas norādītas standartā EN 228:2012 (vai standartā EN 590:2013) vai arī spēkā esošajos noteikumos noteikt analītisko metodi, kas noteikta minēto standartu aizvietošanai, ievērojot Direktīvas 98/70/EK nosacījumus. Pašlaik projekta 1.15. apakšpunktā un spēkā esošo noteikumu 1. un 2. pielikumā ietvertās norādes “Pēc vajadzības var pieņemt analītiskās metodes” un “Var pieņemt analītisko metodi” nav pieņemamas, jo dalībvalstij ir skaidri jānosaka sava izvēle normatīvajā aktā, kā arī no spēkā esošo </w:t>
            </w:r>
            <w:proofErr w:type="spellStart"/>
            <w:r w:rsidRPr="00311EEF">
              <w:rPr>
                <w:rFonts w:eastAsia="Calibri"/>
                <w:sz w:val="18"/>
                <w:szCs w:val="18"/>
                <w:lang w:eastAsia="en-US"/>
              </w:rPr>
              <w:t>notiekumu</w:t>
            </w:r>
            <w:proofErr w:type="spellEnd"/>
            <w:r w:rsidRPr="00311EEF">
              <w:rPr>
                <w:rFonts w:eastAsia="Calibri"/>
                <w:sz w:val="18"/>
                <w:szCs w:val="18"/>
                <w:lang w:eastAsia="en-US"/>
              </w:rPr>
              <w:t xml:space="preserve"> 1. un 2. pielikuma un projekta 1.15. apakšpunkta nav skaidrs, kas pieņems minētās analītiskās metodes. </w:t>
            </w:r>
            <w:r>
              <w:rPr>
                <w:rFonts w:eastAsia="Calibri"/>
                <w:sz w:val="18"/>
                <w:szCs w:val="18"/>
                <w:lang w:eastAsia="en-US"/>
              </w:rPr>
              <w:t>‘</w:t>
            </w:r>
          </w:p>
          <w:p w14:paraId="6D5E3F85" w14:textId="77777777" w:rsidR="00070B13" w:rsidRPr="00311EEF" w:rsidRDefault="00070B13" w:rsidP="00070B13">
            <w:pPr>
              <w:jc w:val="both"/>
              <w:rPr>
                <w:rFonts w:eastAsia="Calibri"/>
                <w:sz w:val="18"/>
                <w:szCs w:val="18"/>
                <w:lang w:eastAsia="en-US"/>
              </w:rPr>
            </w:pPr>
          </w:p>
          <w:p w14:paraId="53992CAC" w14:textId="63BA30DB" w:rsidR="00070B13" w:rsidRPr="00441119" w:rsidRDefault="00070B13" w:rsidP="00070B13">
            <w:pPr>
              <w:jc w:val="both"/>
              <w:rPr>
                <w:rFonts w:eastAsia="Calibri"/>
                <w:sz w:val="18"/>
                <w:szCs w:val="18"/>
                <w:lang w:eastAsia="en-US"/>
              </w:rPr>
            </w:pPr>
            <w:r w:rsidRPr="00311EEF">
              <w:rPr>
                <w:rFonts w:eastAsia="Calibri"/>
                <w:sz w:val="18"/>
                <w:szCs w:val="18"/>
                <w:lang w:eastAsia="en-US"/>
              </w:rPr>
              <w:t>Vienlaikus lūdzam precizēt projekta anotācijas V sadaļas 1. tabulas A aili, aizstājot atsauci uz Direktīvu 2009/30/EK ar atsauci uz Direktīvas 2014/77/ES atbilstošām normām, kurās ir izteikti grozījumi Direktīvas 98/70/EK I un II pielikumā.</w:t>
            </w:r>
          </w:p>
        </w:tc>
        <w:tc>
          <w:tcPr>
            <w:tcW w:w="4110" w:type="dxa"/>
            <w:tcBorders>
              <w:left w:val="single" w:sz="6" w:space="0" w:color="000000"/>
              <w:bottom w:val="single" w:sz="4" w:space="0" w:color="auto"/>
              <w:right w:val="single" w:sz="6" w:space="0" w:color="000000"/>
            </w:tcBorders>
          </w:tcPr>
          <w:p w14:paraId="634A409B" w14:textId="77777777" w:rsidR="00070B13" w:rsidRDefault="00070B13" w:rsidP="00070B13">
            <w:pPr>
              <w:jc w:val="center"/>
              <w:rPr>
                <w:b/>
                <w:bCs/>
                <w:sz w:val="18"/>
                <w:szCs w:val="18"/>
              </w:rPr>
            </w:pPr>
            <w:r w:rsidRPr="009A1879">
              <w:rPr>
                <w:b/>
                <w:bCs/>
                <w:sz w:val="18"/>
                <w:szCs w:val="18"/>
              </w:rPr>
              <w:lastRenderedPageBreak/>
              <w:t>Ņemts vērā</w:t>
            </w:r>
          </w:p>
          <w:p w14:paraId="5C219FE7" w14:textId="77777777" w:rsidR="00070B13" w:rsidRDefault="00070B13" w:rsidP="00070B13">
            <w:pPr>
              <w:jc w:val="center"/>
              <w:rPr>
                <w:b/>
                <w:bCs/>
                <w:sz w:val="18"/>
                <w:szCs w:val="18"/>
              </w:rPr>
            </w:pPr>
          </w:p>
          <w:p w14:paraId="3653A29E" w14:textId="631AD4AF" w:rsidR="00070B13" w:rsidRPr="004C3158" w:rsidRDefault="00070B13" w:rsidP="00070B13">
            <w:pPr>
              <w:jc w:val="both"/>
              <w:rPr>
                <w:sz w:val="18"/>
                <w:szCs w:val="18"/>
              </w:rPr>
            </w:pPr>
            <w:r w:rsidRPr="004C3158">
              <w:rPr>
                <w:sz w:val="18"/>
                <w:szCs w:val="18"/>
              </w:rPr>
              <w:t>1. un 2.pielikuma pirmās zemsvītras piezīmes otr</w:t>
            </w:r>
            <w:r>
              <w:rPr>
                <w:sz w:val="18"/>
                <w:szCs w:val="18"/>
              </w:rPr>
              <w:t>ais teikums ir dzēsts. Attiecīgi papildināts pamatojums anotācijas I sadaļas 2.punktā. Precizēta arī anotācijas V sadaļas 1.tabulas A aile</w:t>
            </w:r>
            <w:r w:rsidRPr="00311EEF">
              <w:rPr>
                <w:rFonts w:eastAsia="Calibri"/>
                <w:sz w:val="18"/>
                <w:szCs w:val="18"/>
                <w:lang w:eastAsia="en-US"/>
              </w:rPr>
              <w:t>, aizstājot atsauci uz Direktīvu 2009/30/EK ar atsauci uz Direktīvas 2014/77/ES atbilstošām normām, kurās ir izteikti grozījumi Direktīvas 98/70/EK I un II pielikumā.</w:t>
            </w:r>
            <w:r>
              <w:rPr>
                <w:rFonts w:eastAsia="Calibri"/>
                <w:sz w:val="18"/>
                <w:szCs w:val="18"/>
                <w:lang w:eastAsia="en-US"/>
              </w:rPr>
              <w:t xml:space="preserve"> </w:t>
            </w:r>
          </w:p>
        </w:tc>
        <w:tc>
          <w:tcPr>
            <w:tcW w:w="2835" w:type="dxa"/>
            <w:tcBorders>
              <w:top w:val="single" w:sz="4" w:space="0" w:color="auto"/>
              <w:left w:val="single" w:sz="4" w:space="0" w:color="auto"/>
              <w:bottom w:val="single" w:sz="4" w:space="0" w:color="auto"/>
            </w:tcBorders>
          </w:tcPr>
          <w:p w14:paraId="26FBACC6" w14:textId="77777777" w:rsidR="00070B13" w:rsidRDefault="00070B13" w:rsidP="00070B13">
            <w:pPr>
              <w:shd w:val="clear" w:color="auto" w:fill="FFFFFF"/>
              <w:tabs>
                <w:tab w:val="right" w:pos="9071"/>
              </w:tabs>
              <w:jc w:val="both"/>
              <w:rPr>
                <w:b/>
                <w:bCs/>
                <w:i/>
                <w:iCs/>
                <w:sz w:val="18"/>
                <w:szCs w:val="18"/>
              </w:rPr>
            </w:pPr>
            <w:r>
              <w:rPr>
                <w:b/>
                <w:bCs/>
                <w:i/>
                <w:iCs/>
                <w:sz w:val="18"/>
                <w:szCs w:val="18"/>
              </w:rPr>
              <w:t xml:space="preserve"> Anotācijas I sadaļas 2.punkta papildinājums par Noteikumu projekta 1.15.apakšpunktu:</w:t>
            </w:r>
          </w:p>
          <w:p w14:paraId="06FF1398" w14:textId="77777777" w:rsidR="00070B13" w:rsidRDefault="00070B13" w:rsidP="00070B13">
            <w:pPr>
              <w:shd w:val="clear" w:color="auto" w:fill="FFFFFF"/>
              <w:tabs>
                <w:tab w:val="right" w:pos="9071"/>
              </w:tabs>
              <w:jc w:val="both"/>
              <w:rPr>
                <w:b/>
                <w:bCs/>
                <w:i/>
                <w:iCs/>
                <w:sz w:val="18"/>
                <w:szCs w:val="18"/>
              </w:rPr>
            </w:pPr>
          </w:p>
          <w:p w14:paraId="419262F6" w14:textId="674E63AE" w:rsidR="00070B13" w:rsidRPr="00FE7C18" w:rsidRDefault="00070B13" w:rsidP="00070B13">
            <w:pPr>
              <w:jc w:val="both"/>
              <w:rPr>
                <w:b/>
                <w:bCs/>
                <w:i/>
                <w:iCs/>
                <w:sz w:val="18"/>
                <w:szCs w:val="18"/>
              </w:rPr>
            </w:pPr>
            <w:r w:rsidRPr="00FE7C18">
              <w:rPr>
                <w:b/>
                <w:bCs/>
                <w:i/>
                <w:iCs/>
                <w:sz w:val="18"/>
                <w:szCs w:val="18"/>
              </w:rPr>
              <w:t>“</w:t>
            </w:r>
            <w:r w:rsidRPr="00FE7C18">
              <w:rPr>
                <w:iCs/>
                <w:sz w:val="18"/>
                <w:szCs w:val="18"/>
              </w:rPr>
              <w:t>Noteikumu projekta 1.15. apakšpunkts paredz arī dzēst 1. un 2.pielikuma pirmās zemsvītras piezīmes otro teikumu, lai konkretizētu izmantojamās testēšanas metodes.</w:t>
            </w:r>
            <w:r w:rsidRPr="00FE7C18">
              <w:rPr>
                <w:b/>
                <w:bCs/>
                <w:i/>
                <w:iCs/>
                <w:sz w:val="18"/>
                <w:szCs w:val="18"/>
              </w:rPr>
              <w:t>”</w:t>
            </w:r>
          </w:p>
        </w:tc>
      </w:tr>
      <w:tr w:rsidR="00070B13" w:rsidRPr="00FC31C6" w14:paraId="0766845E" w14:textId="77777777" w:rsidTr="003B0A26">
        <w:tc>
          <w:tcPr>
            <w:tcW w:w="817" w:type="dxa"/>
            <w:tcBorders>
              <w:left w:val="single" w:sz="6" w:space="0" w:color="000000"/>
              <w:bottom w:val="single" w:sz="4" w:space="0" w:color="auto"/>
              <w:right w:val="single" w:sz="6" w:space="0" w:color="000000"/>
            </w:tcBorders>
          </w:tcPr>
          <w:p w14:paraId="744BDE65" w14:textId="3D92BE35" w:rsidR="00070B13" w:rsidRPr="00441119" w:rsidRDefault="00BE0F66" w:rsidP="00070B13">
            <w:pPr>
              <w:jc w:val="center"/>
              <w:rPr>
                <w:sz w:val="18"/>
                <w:szCs w:val="18"/>
              </w:rPr>
            </w:pPr>
            <w:r>
              <w:rPr>
                <w:sz w:val="18"/>
                <w:szCs w:val="18"/>
              </w:rPr>
              <w:t>10</w:t>
            </w:r>
            <w:r w:rsidR="00070B13">
              <w:rPr>
                <w:sz w:val="18"/>
                <w:szCs w:val="18"/>
              </w:rPr>
              <w:t>.</w:t>
            </w:r>
          </w:p>
        </w:tc>
        <w:tc>
          <w:tcPr>
            <w:tcW w:w="2977" w:type="dxa"/>
            <w:tcBorders>
              <w:left w:val="single" w:sz="6" w:space="0" w:color="000000"/>
              <w:bottom w:val="single" w:sz="4" w:space="0" w:color="auto"/>
              <w:right w:val="single" w:sz="6" w:space="0" w:color="000000"/>
            </w:tcBorders>
          </w:tcPr>
          <w:p w14:paraId="221BDC21" w14:textId="77777777" w:rsidR="00EF1890" w:rsidRPr="00EF1890" w:rsidRDefault="00070B13" w:rsidP="00070B13">
            <w:pPr>
              <w:pStyle w:val="naisc"/>
              <w:spacing w:before="0" w:after="0"/>
              <w:jc w:val="both"/>
              <w:rPr>
                <w:b/>
                <w:sz w:val="18"/>
                <w:szCs w:val="18"/>
              </w:rPr>
            </w:pPr>
            <w:r w:rsidRPr="00EF1890">
              <w:rPr>
                <w:b/>
                <w:sz w:val="18"/>
                <w:szCs w:val="18"/>
              </w:rPr>
              <w:t>Noteikuma projekta 1.15. apakšpunktā izteiktā 1. pielikuma 3. zemsvītras piezīme</w:t>
            </w:r>
            <w:r w:rsidR="00EF1890" w:rsidRPr="00EF1890">
              <w:rPr>
                <w:b/>
                <w:sz w:val="18"/>
                <w:szCs w:val="18"/>
              </w:rPr>
              <w:t>:</w:t>
            </w:r>
          </w:p>
          <w:p w14:paraId="0CA4B028" w14:textId="77777777" w:rsidR="00EF1890" w:rsidRPr="00EF1890" w:rsidRDefault="00EF1890" w:rsidP="00070B13">
            <w:pPr>
              <w:pStyle w:val="naisc"/>
              <w:spacing w:before="0" w:after="0"/>
              <w:jc w:val="both"/>
              <w:rPr>
                <w:b/>
                <w:sz w:val="18"/>
                <w:szCs w:val="18"/>
              </w:rPr>
            </w:pPr>
          </w:p>
          <w:p w14:paraId="25069D23" w14:textId="4B121087" w:rsidR="00EF1890" w:rsidRPr="00EF1890" w:rsidRDefault="00EF1890" w:rsidP="00EF1890">
            <w:pPr>
              <w:pStyle w:val="Default"/>
              <w:spacing w:before="120" w:after="120"/>
              <w:jc w:val="both"/>
              <w:rPr>
                <w:rFonts w:ascii="Times New Roman" w:hAnsi="Times New Roman" w:cs="Times New Roman"/>
                <w:color w:val="auto"/>
                <w:sz w:val="18"/>
                <w:szCs w:val="18"/>
              </w:rPr>
            </w:pPr>
            <w:r w:rsidRPr="00EF1890">
              <w:rPr>
                <w:rFonts w:ascii="Times New Roman" w:hAnsi="Times New Roman" w:cs="Times New Roman"/>
                <w:bCs/>
                <w:color w:val="auto"/>
                <w:sz w:val="18"/>
                <w:szCs w:val="18"/>
                <w:vertAlign w:val="superscript"/>
              </w:rPr>
              <w:t xml:space="preserve">“3 </w:t>
            </w:r>
            <w:r w:rsidRPr="00EF1890">
              <w:rPr>
                <w:rFonts w:ascii="Times New Roman" w:hAnsi="Times New Roman" w:cs="Times New Roman"/>
                <w:color w:val="auto"/>
                <w:sz w:val="18"/>
                <w:szCs w:val="18"/>
              </w:rPr>
              <w:t xml:space="preserve">Vasaras periods sākas ne vēlāk par 1. </w:t>
            </w:r>
            <w:r w:rsidR="001873E2">
              <w:rPr>
                <w:rFonts w:ascii="Times New Roman" w:hAnsi="Times New Roman" w:cs="Times New Roman"/>
                <w:color w:val="auto"/>
                <w:sz w:val="18"/>
                <w:szCs w:val="18"/>
              </w:rPr>
              <w:t> </w:t>
            </w:r>
            <w:r w:rsidRPr="00EF1890">
              <w:rPr>
                <w:rFonts w:ascii="Times New Roman" w:hAnsi="Times New Roman" w:cs="Times New Roman"/>
                <w:color w:val="auto"/>
                <w:sz w:val="18"/>
                <w:szCs w:val="18"/>
              </w:rPr>
              <w:t xml:space="preserve">jūniju un ilgst vismaz līdz 31. augustam. Tvaika spiediens no 1.septembra līdz 31.maijam nedrīkst pārsniegt 100 </w:t>
            </w:r>
            <w:proofErr w:type="spellStart"/>
            <w:r w:rsidRPr="00EF1890">
              <w:rPr>
                <w:rFonts w:ascii="Times New Roman" w:hAnsi="Times New Roman" w:cs="Times New Roman"/>
                <w:color w:val="auto"/>
                <w:sz w:val="18"/>
                <w:szCs w:val="18"/>
              </w:rPr>
              <w:t>kPa</w:t>
            </w:r>
            <w:proofErr w:type="spellEnd"/>
            <w:r w:rsidRPr="00EF1890">
              <w:rPr>
                <w:rFonts w:ascii="Times New Roman" w:hAnsi="Times New Roman" w:cs="Times New Roman"/>
                <w:color w:val="auto"/>
                <w:sz w:val="18"/>
                <w:szCs w:val="18"/>
              </w:rPr>
              <w:t>.”</w:t>
            </w:r>
          </w:p>
          <w:p w14:paraId="1D9FBE7B" w14:textId="21D893A4" w:rsidR="00EF1890" w:rsidRPr="008F3F95" w:rsidRDefault="00EF1890" w:rsidP="00070B13">
            <w:pPr>
              <w:pStyle w:val="naisc"/>
              <w:spacing w:before="0" w:after="0"/>
              <w:jc w:val="both"/>
              <w:rPr>
                <w:b/>
                <w:i/>
                <w:iCs/>
                <w:sz w:val="18"/>
                <w:szCs w:val="18"/>
              </w:rPr>
            </w:pPr>
          </w:p>
        </w:tc>
        <w:tc>
          <w:tcPr>
            <w:tcW w:w="4678" w:type="dxa"/>
            <w:tcBorders>
              <w:left w:val="single" w:sz="6" w:space="0" w:color="000000"/>
              <w:bottom w:val="single" w:sz="4" w:space="0" w:color="auto"/>
              <w:right w:val="single" w:sz="6" w:space="0" w:color="000000"/>
            </w:tcBorders>
          </w:tcPr>
          <w:p w14:paraId="6F8F26A4" w14:textId="77777777" w:rsidR="00070B13" w:rsidRDefault="00070B13" w:rsidP="00070B13">
            <w:pPr>
              <w:jc w:val="center"/>
              <w:rPr>
                <w:rFonts w:eastAsia="Calibri"/>
                <w:b/>
                <w:bCs/>
                <w:sz w:val="18"/>
                <w:szCs w:val="18"/>
                <w:lang w:eastAsia="en-US"/>
              </w:rPr>
            </w:pPr>
            <w:r w:rsidRPr="00311EEF">
              <w:rPr>
                <w:rFonts w:eastAsia="Calibri"/>
                <w:b/>
                <w:bCs/>
                <w:sz w:val="18"/>
                <w:szCs w:val="18"/>
                <w:lang w:eastAsia="en-US"/>
              </w:rPr>
              <w:t>Tieslietu ministrija</w:t>
            </w:r>
            <w:r>
              <w:rPr>
                <w:rFonts w:eastAsia="Calibri"/>
                <w:b/>
                <w:bCs/>
                <w:sz w:val="18"/>
                <w:szCs w:val="18"/>
                <w:lang w:eastAsia="en-US"/>
              </w:rPr>
              <w:t xml:space="preserve"> (23.10.19.)</w:t>
            </w:r>
          </w:p>
          <w:p w14:paraId="732105B6" w14:textId="77777777" w:rsidR="00070B13" w:rsidRDefault="00070B13" w:rsidP="00070B13">
            <w:pPr>
              <w:jc w:val="both"/>
              <w:rPr>
                <w:rFonts w:eastAsia="Calibri"/>
                <w:sz w:val="18"/>
                <w:szCs w:val="18"/>
                <w:lang w:eastAsia="en-US"/>
              </w:rPr>
            </w:pPr>
          </w:p>
          <w:p w14:paraId="145B3CD8" w14:textId="5DE1D0FA" w:rsidR="00070B13" w:rsidRPr="00441119" w:rsidRDefault="00070B13" w:rsidP="00070B13">
            <w:pPr>
              <w:jc w:val="both"/>
              <w:rPr>
                <w:rFonts w:eastAsia="Calibri"/>
                <w:sz w:val="18"/>
                <w:szCs w:val="18"/>
                <w:lang w:eastAsia="en-US"/>
              </w:rPr>
            </w:pPr>
            <w:r w:rsidRPr="00311EEF">
              <w:rPr>
                <w:rFonts w:eastAsia="Calibri"/>
                <w:sz w:val="18"/>
                <w:szCs w:val="18"/>
                <w:lang w:eastAsia="en-US"/>
              </w:rPr>
              <w:t>5.</w:t>
            </w:r>
            <w:r w:rsidRPr="00311EEF">
              <w:rPr>
                <w:rFonts w:eastAsia="Calibri"/>
                <w:sz w:val="18"/>
                <w:szCs w:val="18"/>
                <w:lang w:eastAsia="en-US"/>
              </w:rPr>
              <w:tab/>
              <w:t xml:space="preserve">Lūdzam atkārtoti izvērtēt un skaidrot projekta 1.15. apakšpunktā izteiktā 1. pielikuma 3. zemsvītras piezīmes otrā teikuma, kas paredz, ka “Tvaika spiediens no 1. septembra līdz 31. maijam nedrīkst pārsniegt 100 </w:t>
            </w:r>
            <w:proofErr w:type="spellStart"/>
            <w:r w:rsidRPr="00311EEF">
              <w:rPr>
                <w:rFonts w:eastAsia="Calibri"/>
                <w:sz w:val="18"/>
                <w:szCs w:val="18"/>
                <w:lang w:eastAsia="en-US"/>
              </w:rPr>
              <w:t>kPa</w:t>
            </w:r>
            <w:proofErr w:type="spellEnd"/>
            <w:r w:rsidRPr="00311EEF">
              <w:rPr>
                <w:rFonts w:eastAsia="Calibri"/>
                <w:sz w:val="18"/>
                <w:szCs w:val="18"/>
                <w:lang w:eastAsia="en-US"/>
              </w:rPr>
              <w:t>”, atbilstību Direktīvas 98/70/EK I pielikuma 5. piezīmes prasībām.</w:t>
            </w:r>
          </w:p>
        </w:tc>
        <w:tc>
          <w:tcPr>
            <w:tcW w:w="4110" w:type="dxa"/>
            <w:tcBorders>
              <w:left w:val="single" w:sz="6" w:space="0" w:color="000000"/>
              <w:bottom w:val="single" w:sz="4" w:space="0" w:color="auto"/>
              <w:right w:val="single" w:sz="6" w:space="0" w:color="000000"/>
            </w:tcBorders>
          </w:tcPr>
          <w:p w14:paraId="451D32D7" w14:textId="77777777" w:rsidR="00070B13" w:rsidRDefault="00070B13" w:rsidP="00070B13">
            <w:pPr>
              <w:jc w:val="center"/>
              <w:rPr>
                <w:b/>
                <w:bCs/>
                <w:sz w:val="18"/>
                <w:szCs w:val="18"/>
              </w:rPr>
            </w:pPr>
            <w:r w:rsidRPr="00FA05D6">
              <w:rPr>
                <w:b/>
                <w:bCs/>
                <w:sz w:val="18"/>
                <w:szCs w:val="18"/>
              </w:rPr>
              <w:t>Ņemts vērā</w:t>
            </w:r>
          </w:p>
          <w:p w14:paraId="4B2BC1BE" w14:textId="77777777" w:rsidR="00070B13" w:rsidRDefault="00070B13" w:rsidP="00070B13">
            <w:pPr>
              <w:jc w:val="both"/>
              <w:rPr>
                <w:b/>
                <w:bCs/>
                <w:sz w:val="18"/>
                <w:szCs w:val="18"/>
              </w:rPr>
            </w:pPr>
          </w:p>
          <w:p w14:paraId="0B39DAE0" w14:textId="5DF3DE73" w:rsidR="00070B13" w:rsidRPr="00FA05D6" w:rsidRDefault="00070B13" w:rsidP="00070B13">
            <w:pPr>
              <w:jc w:val="both"/>
              <w:rPr>
                <w:sz w:val="18"/>
                <w:szCs w:val="18"/>
              </w:rPr>
            </w:pPr>
            <w:r>
              <w:rPr>
                <w:sz w:val="18"/>
                <w:szCs w:val="18"/>
              </w:rPr>
              <w:t>Ņ</w:t>
            </w:r>
            <w:r w:rsidRPr="00FA05D6">
              <w:rPr>
                <w:sz w:val="18"/>
                <w:szCs w:val="18"/>
              </w:rPr>
              <w:t>emot vērā</w:t>
            </w:r>
            <w:r>
              <w:rPr>
                <w:sz w:val="18"/>
                <w:szCs w:val="18"/>
              </w:rPr>
              <w:t xml:space="preserve">, ka vēsturiski MK noteikumos Nr.332 nebija noteikts tvaika spiediena limits periodam </w:t>
            </w:r>
            <w:r w:rsidRPr="00311EEF">
              <w:rPr>
                <w:rFonts w:eastAsia="Calibri"/>
                <w:sz w:val="18"/>
                <w:szCs w:val="18"/>
                <w:lang w:eastAsia="en-US"/>
              </w:rPr>
              <w:t>no 1.</w:t>
            </w:r>
            <w:r>
              <w:rPr>
                <w:rFonts w:eastAsia="Calibri"/>
                <w:sz w:val="18"/>
                <w:szCs w:val="18"/>
                <w:lang w:eastAsia="en-US"/>
              </w:rPr>
              <w:t> </w:t>
            </w:r>
            <w:r w:rsidRPr="00311EEF">
              <w:rPr>
                <w:rFonts w:eastAsia="Calibri"/>
                <w:sz w:val="18"/>
                <w:szCs w:val="18"/>
                <w:lang w:eastAsia="en-US"/>
              </w:rPr>
              <w:t>septembra līdz 31. maijam</w:t>
            </w:r>
            <w:r>
              <w:rPr>
                <w:rFonts w:eastAsia="Calibri"/>
                <w:sz w:val="18"/>
                <w:szCs w:val="18"/>
                <w:lang w:eastAsia="en-US"/>
              </w:rPr>
              <w:t xml:space="preserve"> (</w:t>
            </w:r>
            <w:r w:rsidRPr="00311EEF">
              <w:rPr>
                <w:rFonts w:eastAsia="Calibri"/>
                <w:sz w:val="18"/>
                <w:szCs w:val="18"/>
                <w:lang w:eastAsia="en-US"/>
              </w:rPr>
              <w:t>Direktīva 98/70/EK</w:t>
            </w:r>
            <w:r>
              <w:rPr>
                <w:rFonts w:eastAsia="Calibri"/>
                <w:sz w:val="18"/>
                <w:szCs w:val="18"/>
                <w:lang w:eastAsia="en-US"/>
              </w:rPr>
              <w:t xml:space="preserve"> tādu neparedz), tāds tika noteikts ar </w:t>
            </w:r>
            <w:r w:rsidRPr="00FA05D6">
              <w:rPr>
                <w:sz w:val="18"/>
                <w:szCs w:val="18"/>
              </w:rPr>
              <w:t>Ministru kabineta 2018. gada 23. janvāra noteikum</w:t>
            </w:r>
            <w:r>
              <w:rPr>
                <w:sz w:val="18"/>
                <w:szCs w:val="18"/>
              </w:rPr>
              <w:t>iem</w:t>
            </w:r>
            <w:r w:rsidRPr="00FA05D6">
              <w:rPr>
                <w:sz w:val="18"/>
                <w:szCs w:val="18"/>
              </w:rPr>
              <w:t xml:space="preserve"> Nr. 45 “Grozījumi Ministru kabineta 2000. gada 26. septembra noteikumos Nr. 332 "Noteikumi par benzīna un dīzeļdegvielas atbilstības novērtēšanu"”</w:t>
            </w:r>
            <w:r>
              <w:rPr>
                <w:sz w:val="18"/>
                <w:szCs w:val="18"/>
              </w:rPr>
              <w:t xml:space="preserve"> par piemēru izvēloties Lietuvas attiecīgajā regulējumā noteiktās prasības. </w:t>
            </w:r>
          </w:p>
        </w:tc>
        <w:tc>
          <w:tcPr>
            <w:tcW w:w="2835" w:type="dxa"/>
            <w:tcBorders>
              <w:top w:val="single" w:sz="4" w:space="0" w:color="auto"/>
              <w:left w:val="single" w:sz="4" w:space="0" w:color="auto"/>
              <w:bottom w:val="single" w:sz="4" w:space="0" w:color="auto"/>
            </w:tcBorders>
          </w:tcPr>
          <w:p w14:paraId="2858625B" w14:textId="77777777" w:rsidR="00EF1890" w:rsidRPr="00EF1890" w:rsidRDefault="00EF1890" w:rsidP="00EF1890">
            <w:pPr>
              <w:pStyle w:val="naisc"/>
              <w:spacing w:before="0" w:after="0"/>
              <w:jc w:val="both"/>
              <w:rPr>
                <w:b/>
                <w:sz w:val="18"/>
                <w:szCs w:val="18"/>
              </w:rPr>
            </w:pPr>
            <w:r w:rsidRPr="00EF1890">
              <w:rPr>
                <w:b/>
                <w:sz w:val="18"/>
                <w:szCs w:val="18"/>
              </w:rPr>
              <w:t>Noteikuma projekta 1.15. apakšpunktā izteiktā 1. pielikuma 3. zemsvītras piezīme:</w:t>
            </w:r>
          </w:p>
          <w:p w14:paraId="61C214A6" w14:textId="77777777" w:rsidR="00EF1890" w:rsidRPr="00EF1890" w:rsidRDefault="00EF1890" w:rsidP="00EF1890">
            <w:pPr>
              <w:pStyle w:val="naisc"/>
              <w:spacing w:before="0" w:after="0"/>
              <w:jc w:val="both"/>
              <w:rPr>
                <w:b/>
                <w:sz w:val="18"/>
                <w:szCs w:val="18"/>
              </w:rPr>
            </w:pPr>
          </w:p>
          <w:p w14:paraId="6D9F0B1B" w14:textId="77777777" w:rsidR="00EF1890" w:rsidRPr="00EF1890" w:rsidRDefault="00EF1890" w:rsidP="00EF1890">
            <w:pPr>
              <w:pStyle w:val="Default"/>
              <w:spacing w:before="120" w:after="120"/>
              <w:jc w:val="both"/>
              <w:rPr>
                <w:rFonts w:ascii="Times New Roman" w:hAnsi="Times New Roman" w:cs="Times New Roman"/>
                <w:color w:val="auto"/>
                <w:sz w:val="18"/>
                <w:szCs w:val="18"/>
              </w:rPr>
            </w:pPr>
            <w:r w:rsidRPr="00EF1890">
              <w:rPr>
                <w:rFonts w:ascii="Times New Roman" w:hAnsi="Times New Roman" w:cs="Times New Roman"/>
                <w:bCs/>
                <w:color w:val="auto"/>
                <w:sz w:val="18"/>
                <w:szCs w:val="18"/>
                <w:vertAlign w:val="superscript"/>
              </w:rPr>
              <w:t xml:space="preserve">“3 </w:t>
            </w:r>
            <w:r w:rsidRPr="00EF1890">
              <w:rPr>
                <w:rFonts w:ascii="Times New Roman" w:hAnsi="Times New Roman" w:cs="Times New Roman"/>
                <w:color w:val="auto"/>
                <w:sz w:val="18"/>
                <w:szCs w:val="18"/>
              </w:rPr>
              <w:t xml:space="preserve">Vasaras periods sākas ne vēlāk par 1. jūniju un ilgst vismaz līdz 31. augustam. Tvaika spiediens no 1.septembra līdz 31.maijam nedrīkst pārsniegt 100 </w:t>
            </w:r>
            <w:proofErr w:type="spellStart"/>
            <w:r w:rsidRPr="00EF1890">
              <w:rPr>
                <w:rFonts w:ascii="Times New Roman" w:hAnsi="Times New Roman" w:cs="Times New Roman"/>
                <w:color w:val="auto"/>
                <w:sz w:val="18"/>
                <w:szCs w:val="18"/>
              </w:rPr>
              <w:t>kPa</w:t>
            </w:r>
            <w:proofErr w:type="spellEnd"/>
            <w:r w:rsidRPr="00EF1890">
              <w:rPr>
                <w:rFonts w:ascii="Times New Roman" w:hAnsi="Times New Roman" w:cs="Times New Roman"/>
                <w:color w:val="auto"/>
                <w:sz w:val="18"/>
                <w:szCs w:val="18"/>
              </w:rPr>
              <w:t>.”</w:t>
            </w:r>
          </w:p>
          <w:p w14:paraId="458E83E3" w14:textId="77777777" w:rsidR="00070B13" w:rsidRPr="00441119" w:rsidRDefault="00070B13" w:rsidP="00070B13">
            <w:pPr>
              <w:shd w:val="clear" w:color="auto" w:fill="FFFFFF"/>
              <w:tabs>
                <w:tab w:val="right" w:pos="9071"/>
              </w:tabs>
              <w:jc w:val="both"/>
              <w:rPr>
                <w:b/>
                <w:i/>
                <w:sz w:val="18"/>
                <w:szCs w:val="18"/>
              </w:rPr>
            </w:pPr>
          </w:p>
        </w:tc>
      </w:tr>
      <w:tr w:rsidR="00AC72A0" w:rsidRPr="00FC31C6" w14:paraId="2C4107D4" w14:textId="77777777" w:rsidTr="003B0A26">
        <w:tc>
          <w:tcPr>
            <w:tcW w:w="817" w:type="dxa"/>
            <w:tcBorders>
              <w:left w:val="single" w:sz="6" w:space="0" w:color="000000"/>
              <w:bottom w:val="single" w:sz="4" w:space="0" w:color="auto"/>
              <w:right w:val="single" w:sz="6" w:space="0" w:color="000000"/>
            </w:tcBorders>
          </w:tcPr>
          <w:p w14:paraId="33A33667" w14:textId="3C278AB7" w:rsidR="00AC72A0" w:rsidRPr="00441119" w:rsidRDefault="00BE0F66" w:rsidP="00AC72A0">
            <w:pPr>
              <w:jc w:val="center"/>
              <w:rPr>
                <w:sz w:val="18"/>
                <w:szCs w:val="18"/>
              </w:rPr>
            </w:pPr>
            <w:r>
              <w:rPr>
                <w:sz w:val="18"/>
                <w:szCs w:val="18"/>
              </w:rPr>
              <w:t>11.</w:t>
            </w:r>
          </w:p>
        </w:tc>
        <w:tc>
          <w:tcPr>
            <w:tcW w:w="2977" w:type="dxa"/>
            <w:tcBorders>
              <w:left w:val="single" w:sz="6" w:space="0" w:color="000000"/>
              <w:bottom w:val="single" w:sz="4" w:space="0" w:color="auto"/>
              <w:right w:val="single" w:sz="6" w:space="0" w:color="000000"/>
            </w:tcBorders>
          </w:tcPr>
          <w:p w14:paraId="176AEF0D" w14:textId="79D996C7" w:rsidR="00AC72A0" w:rsidRPr="00441119" w:rsidRDefault="00AC72A0" w:rsidP="00AC72A0">
            <w:pPr>
              <w:pStyle w:val="naisc"/>
              <w:spacing w:before="0" w:after="0"/>
              <w:jc w:val="both"/>
              <w:rPr>
                <w:b/>
                <w:sz w:val="18"/>
                <w:szCs w:val="18"/>
              </w:rPr>
            </w:pPr>
            <w:r>
              <w:rPr>
                <w:b/>
                <w:sz w:val="18"/>
                <w:szCs w:val="18"/>
              </w:rPr>
              <w:t>A</w:t>
            </w:r>
            <w:r w:rsidRPr="00AC72A0">
              <w:rPr>
                <w:b/>
                <w:sz w:val="18"/>
                <w:szCs w:val="18"/>
              </w:rPr>
              <w:t>notācijas I. sadaļas 2.punkt</w:t>
            </w:r>
            <w:r>
              <w:rPr>
                <w:b/>
                <w:sz w:val="18"/>
                <w:szCs w:val="18"/>
              </w:rPr>
              <w:t>s</w:t>
            </w:r>
          </w:p>
        </w:tc>
        <w:tc>
          <w:tcPr>
            <w:tcW w:w="4678" w:type="dxa"/>
            <w:tcBorders>
              <w:left w:val="single" w:sz="6" w:space="0" w:color="000000"/>
              <w:bottom w:val="single" w:sz="4" w:space="0" w:color="auto"/>
              <w:right w:val="single" w:sz="6" w:space="0" w:color="000000"/>
            </w:tcBorders>
          </w:tcPr>
          <w:p w14:paraId="6E1BC6B1" w14:textId="040ED99E" w:rsidR="00AC72A0" w:rsidRPr="001C10FD" w:rsidRDefault="00AC72A0" w:rsidP="00AC72A0">
            <w:pPr>
              <w:jc w:val="center"/>
              <w:rPr>
                <w:rFonts w:eastAsia="Calibri"/>
                <w:b/>
                <w:bCs/>
                <w:sz w:val="18"/>
                <w:szCs w:val="18"/>
                <w:lang w:eastAsia="en-US"/>
              </w:rPr>
            </w:pPr>
            <w:r w:rsidRPr="001C10FD">
              <w:rPr>
                <w:rFonts w:eastAsia="Calibri"/>
                <w:b/>
                <w:bCs/>
                <w:sz w:val="18"/>
                <w:szCs w:val="18"/>
                <w:lang w:eastAsia="en-US"/>
              </w:rPr>
              <w:t>Zemkopības ministrija</w:t>
            </w:r>
            <w:r>
              <w:rPr>
                <w:rFonts w:eastAsia="Calibri"/>
                <w:b/>
                <w:bCs/>
                <w:sz w:val="18"/>
                <w:szCs w:val="18"/>
                <w:lang w:eastAsia="en-US"/>
              </w:rPr>
              <w:t xml:space="preserve"> (</w:t>
            </w:r>
            <w:r w:rsidRPr="001C10FD">
              <w:rPr>
                <w:rFonts w:eastAsia="Calibri"/>
                <w:b/>
                <w:bCs/>
                <w:sz w:val="18"/>
                <w:szCs w:val="18"/>
                <w:lang w:eastAsia="en-US"/>
              </w:rPr>
              <w:t>24.10.2019</w:t>
            </w:r>
            <w:r>
              <w:rPr>
                <w:rFonts w:eastAsia="Calibri"/>
                <w:b/>
                <w:bCs/>
                <w:sz w:val="18"/>
                <w:szCs w:val="18"/>
                <w:lang w:eastAsia="en-US"/>
              </w:rPr>
              <w:t>)</w:t>
            </w:r>
          </w:p>
          <w:p w14:paraId="0764926B" w14:textId="1D31FD1C" w:rsidR="00AC72A0" w:rsidRPr="001C10FD" w:rsidRDefault="00AC72A0" w:rsidP="00AC72A0">
            <w:pPr>
              <w:jc w:val="center"/>
              <w:rPr>
                <w:rFonts w:eastAsia="Calibri"/>
                <w:b/>
                <w:bCs/>
                <w:sz w:val="18"/>
                <w:szCs w:val="18"/>
                <w:lang w:eastAsia="en-US"/>
              </w:rPr>
            </w:pPr>
          </w:p>
          <w:p w14:paraId="7C619332" w14:textId="4148229C" w:rsidR="00AC72A0" w:rsidRPr="00441119" w:rsidRDefault="00AC72A0" w:rsidP="00AC72A0">
            <w:pPr>
              <w:jc w:val="both"/>
              <w:rPr>
                <w:rFonts w:eastAsia="Calibri"/>
                <w:sz w:val="18"/>
                <w:szCs w:val="18"/>
                <w:lang w:eastAsia="en-US"/>
              </w:rPr>
            </w:pPr>
            <w:r w:rsidRPr="001C10FD">
              <w:rPr>
                <w:rFonts w:eastAsia="Calibri"/>
                <w:sz w:val="18"/>
                <w:szCs w:val="18"/>
                <w:lang w:eastAsia="en-US"/>
              </w:rPr>
              <w:t>1.</w:t>
            </w:r>
            <w:r w:rsidRPr="001C10FD">
              <w:rPr>
                <w:rFonts w:eastAsia="Calibri"/>
                <w:sz w:val="18"/>
                <w:szCs w:val="18"/>
                <w:lang w:eastAsia="en-US"/>
              </w:rPr>
              <w:tab/>
              <w:t>Noteikumu projekta anotācijas I. sadaļas 2.punktu lūdzam papildināt ar informāciju, kā benzīns vai dīzeļdegviela ar  biodegvielas piejaukumu ir pielāgoti izmantošanai lauksaimniecības tehnikā pēc analoģijas ar anotācijā publicēto Eiropas Autoražotāju asociācijas (</w:t>
            </w:r>
            <w:proofErr w:type="spellStart"/>
            <w:r w:rsidRPr="001C10FD">
              <w:rPr>
                <w:rFonts w:eastAsia="Calibri"/>
                <w:sz w:val="18"/>
                <w:szCs w:val="18"/>
                <w:lang w:eastAsia="en-US"/>
              </w:rPr>
              <w:t>the</w:t>
            </w:r>
            <w:proofErr w:type="spellEnd"/>
            <w:r w:rsidRPr="001C10FD">
              <w:rPr>
                <w:rFonts w:eastAsia="Calibri"/>
                <w:sz w:val="18"/>
                <w:szCs w:val="18"/>
                <w:lang w:eastAsia="en-US"/>
              </w:rPr>
              <w:t xml:space="preserve"> </w:t>
            </w:r>
            <w:proofErr w:type="spellStart"/>
            <w:r w:rsidRPr="001C10FD">
              <w:rPr>
                <w:rFonts w:eastAsia="Calibri"/>
                <w:sz w:val="18"/>
                <w:szCs w:val="18"/>
                <w:lang w:eastAsia="en-US"/>
              </w:rPr>
              <w:t>European</w:t>
            </w:r>
            <w:proofErr w:type="spellEnd"/>
            <w:r w:rsidRPr="001C10FD">
              <w:rPr>
                <w:rFonts w:eastAsia="Calibri"/>
                <w:sz w:val="18"/>
                <w:szCs w:val="18"/>
                <w:lang w:eastAsia="en-US"/>
              </w:rPr>
              <w:t xml:space="preserve"> Automobile </w:t>
            </w:r>
            <w:proofErr w:type="spellStart"/>
            <w:r w:rsidRPr="001C10FD">
              <w:rPr>
                <w:rFonts w:eastAsia="Calibri"/>
                <w:sz w:val="18"/>
                <w:szCs w:val="18"/>
                <w:lang w:eastAsia="en-US"/>
              </w:rPr>
              <w:t>manufacturerꞌs</w:t>
            </w:r>
            <w:proofErr w:type="spellEnd"/>
            <w:r w:rsidRPr="001C10FD">
              <w:rPr>
                <w:rFonts w:eastAsia="Calibri"/>
                <w:sz w:val="18"/>
                <w:szCs w:val="18"/>
                <w:lang w:eastAsia="en-US"/>
              </w:rPr>
              <w:t xml:space="preserve"> Association (ACEA)) informāciju, kurā norādīti konkrēti auto modeļi, kuros E10 benzīna izmantošana nav ieteicama;</w:t>
            </w:r>
          </w:p>
        </w:tc>
        <w:tc>
          <w:tcPr>
            <w:tcW w:w="4110" w:type="dxa"/>
            <w:tcBorders>
              <w:left w:val="single" w:sz="6" w:space="0" w:color="000000"/>
              <w:bottom w:val="single" w:sz="4" w:space="0" w:color="auto"/>
              <w:right w:val="single" w:sz="6" w:space="0" w:color="000000"/>
            </w:tcBorders>
          </w:tcPr>
          <w:p w14:paraId="158FF6EC" w14:textId="77777777" w:rsidR="00AC72A0" w:rsidRPr="00FC31C6" w:rsidRDefault="00AC72A0" w:rsidP="00AC72A0">
            <w:pPr>
              <w:pStyle w:val="naisc"/>
              <w:spacing w:before="0" w:after="0"/>
              <w:rPr>
                <w:b/>
                <w:color w:val="000000"/>
                <w:sz w:val="18"/>
                <w:szCs w:val="22"/>
              </w:rPr>
            </w:pPr>
            <w:r>
              <w:rPr>
                <w:b/>
                <w:color w:val="000000"/>
                <w:sz w:val="18"/>
                <w:szCs w:val="22"/>
              </w:rPr>
              <w:t>Ņ</w:t>
            </w:r>
            <w:r w:rsidRPr="00FC31C6">
              <w:rPr>
                <w:b/>
                <w:color w:val="000000"/>
                <w:sz w:val="18"/>
                <w:szCs w:val="22"/>
              </w:rPr>
              <w:t>emts vērā</w:t>
            </w:r>
            <w:r>
              <w:rPr>
                <w:b/>
                <w:color w:val="000000"/>
                <w:sz w:val="18"/>
                <w:szCs w:val="22"/>
              </w:rPr>
              <w:t xml:space="preserve">  </w:t>
            </w:r>
          </w:p>
          <w:p w14:paraId="7779638E" w14:textId="77777777" w:rsidR="00AC72A0" w:rsidRDefault="00AC72A0" w:rsidP="00AC72A0">
            <w:pPr>
              <w:jc w:val="center"/>
              <w:rPr>
                <w:b/>
                <w:bCs/>
                <w:sz w:val="18"/>
                <w:szCs w:val="18"/>
              </w:rPr>
            </w:pPr>
          </w:p>
          <w:p w14:paraId="3F6D1C5F" w14:textId="669D7867" w:rsidR="00AC72A0" w:rsidRDefault="00AC72A0" w:rsidP="00AC72A0">
            <w:pPr>
              <w:jc w:val="both"/>
              <w:rPr>
                <w:sz w:val="18"/>
                <w:szCs w:val="18"/>
              </w:rPr>
            </w:pPr>
            <w:r>
              <w:rPr>
                <w:sz w:val="18"/>
                <w:szCs w:val="18"/>
              </w:rPr>
              <w:t xml:space="preserve">Dīzeļdegvielu ar FAME saturu līdz 7% var izmantot visa veida motoros. Attiecībā uz tehniku, kas darbināma ar benzīnu, būtu ieteicams ņemt vērā informāciju, kas norādīta tās rokasgrāmatā/instrukcijā, kurā būtu jābūt norādītam izmantojamās degvielas veidam. Gadījumos, kad to nav iespējams pārbaudīt ieteicams izmantot </w:t>
            </w:r>
            <w:proofErr w:type="spellStart"/>
            <w:r w:rsidRPr="00E23EBE">
              <w:rPr>
                <w:sz w:val="18"/>
                <w:szCs w:val="18"/>
              </w:rPr>
              <w:t>alkilāta</w:t>
            </w:r>
            <w:proofErr w:type="spellEnd"/>
            <w:r w:rsidRPr="00E23EBE">
              <w:rPr>
                <w:sz w:val="18"/>
                <w:szCs w:val="18"/>
              </w:rPr>
              <w:t xml:space="preserve"> benzīnu vai 98E5 </w:t>
            </w:r>
            <w:r>
              <w:rPr>
                <w:sz w:val="18"/>
                <w:szCs w:val="18"/>
              </w:rPr>
              <w:t xml:space="preserve">benzīnu, kam biodegvielas piejaukums nav obligāts. </w:t>
            </w:r>
          </w:p>
          <w:p w14:paraId="4658DE53" w14:textId="54D9B7CD" w:rsidR="00AC72A0" w:rsidRPr="0034161F" w:rsidRDefault="00AC72A0" w:rsidP="00AC72A0">
            <w:pPr>
              <w:jc w:val="both"/>
              <w:rPr>
                <w:sz w:val="18"/>
                <w:szCs w:val="18"/>
              </w:rPr>
            </w:pPr>
          </w:p>
        </w:tc>
        <w:tc>
          <w:tcPr>
            <w:tcW w:w="2835" w:type="dxa"/>
            <w:tcBorders>
              <w:top w:val="single" w:sz="4" w:space="0" w:color="auto"/>
              <w:left w:val="single" w:sz="4" w:space="0" w:color="auto"/>
              <w:bottom w:val="single" w:sz="4" w:space="0" w:color="auto"/>
            </w:tcBorders>
          </w:tcPr>
          <w:p w14:paraId="74E75F9C" w14:textId="37EFEB32" w:rsidR="00AC72A0" w:rsidRPr="00AC72A0" w:rsidRDefault="00AC72A0" w:rsidP="00AC72A0">
            <w:pPr>
              <w:shd w:val="clear" w:color="auto" w:fill="FFFFFF"/>
              <w:tabs>
                <w:tab w:val="right" w:pos="9071"/>
              </w:tabs>
              <w:jc w:val="both"/>
              <w:rPr>
                <w:b/>
                <w:sz w:val="18"/>
                <w:szCs w:val="18"/>
              </w:rPr>
            </w:pPr>
            <w:r w:rsidRPr="00AC72A0">
              <w:rPr>
                <w:b/>
                <w:sz w:val="18"/>
                <w:szCs w:val="18"/>
              </w:rPr>
              <w:t>Anotācijas I. sadaļas 2.punkts papildināts ar šādu informāciju:</w:t>
            </w:r>
          </w:p>
          <w:p w14:paraId="5555C974" w14:textId="664780E3" w:rsidR="00AC72A0" w:rsidRDefault="00AC72A0" w:rsidP="00AC72A0">
            <w:pPr>
              <w:shd w:val="clear" w:color="auto" w:fill="FFFFFF"/>
              <w:tabs>
                <w:tab w:val="right" w:pos="9071"/>
              </w:tabs>
              <w:jc w:val="both"/>
              <w:rPr>
                <w:b/>
                <w:sz w:val="18"/>
                <w:szCs w:val="18"/>
              </w:rPr>
            </w:pPr>
          </w:p>
          <w:p w14:paraId="7C539148" w14:textId="77777777" w:rsidR="000B6E46" w:rsidRPr="000B6E46" w:rsidRDefault="000B6E46" w:rsidP="000B6E46">
            <w:pPr>
              <w:shd w:val="clear" w:color="auto" w:fill="FFFFFF"/>
              <w:tabs>
                <w:tab w:val="right" w:pos="9071"/>
              </w:tabs>
              <w:jc w:val="both"/>
              <w:rPr>
                <w:bCs/>
                <w:sz w:val="18"/>
                <w:szCs w:val="18"/>
              </w:rPr>
            </w:pPr>
            <w:r w:rsidRPr="000B6E46">
              <w:rPr>
                <w:bCs/>
                <w:sz w:val="18"/>
                <w:szCs w:val="18"/>
              </w:rPr>
              <w:t xml:space="preserve">“Transportlīdzekļu īpašniekiem ir rūpīgi jāizvērtē vai to automašīna ir paredzēta E10 degvielas izmantošanai un to iespējams izdarīt sazinoties ar oficiālo auto izplatītāju vai pārbaudot transportlīdzekļa rokasgrāmatu. Eiropas Parlamenta un Padomes 2014.gada 22.oktobra Direktīva 2014/94/ES par alternatīvo degvielu infrastruktūras ieviešanu (turpmāk – Direktīva 2014/94/EK) paredz nosacījumus, kas jāievēro transportlīdzekļu </w:t>
            </w:r>
            <w:r w:rsidRPr="000B6E46">
              <w:rPr>
                <w:bCs/>
                <w:sz w:val="18"/>
                <w:szCs w:val="18"/>
              </w:rPr>
              <w:lastRenderedPageBreak/>
              <w:t>ražotājiem attiecībā uz transportlīdzekļiem, kas laisti tirgū pēc 2016. gada 18. novembra, informācija par tā saderību ar atsevišķām degvielām (E10 tajā skaitā) obligāti ir jānorāda uz  tvertnes vāciņa vai tiešā tā tuvumā, kā arī transportlīdzekļa rokasgrāmatā.</w:t>
            </w:r>
          </w:p>
          <w:p w14:paraId="2CF97244" w14:textId="77777777" w:rsidR="000B6E46" w:rsidRPr="000B6E46" w:rsidRDefault="000B6E46" w:rsidP="000B6E46">
            <w:pPr>
              <w:shd w:val="clear" w:color="auto" w:fill="FFFFFF"/>
              <w:tabs>
                <w:tab w:val="right" w:pos="9071"/>
              </w:tabs>
              <w:jc w:val="both"/>
              <w:rPr>
                <w:bCs/>
                <w:sz w:val="18"/>
                <w:szCs w:val="18"/>
              </w:rPr>
            </w:pPr>
          </w:p>
          <w:p w14:paraId="60287262" w14:textId="59E0F768" w:rsidR="000B6E46" w:rsidRPr="000B6E46" w:rsidRDefault="000B6E46" w:rsidP="000B6E46">
            <w:pPr>
              <w:shd w:val="clear" w:color="auto" w:fill="FFFFFF"/>
              <w:tabs>
                <w:tab w:val="right" w:pos="9071"/>
              </w:tabs>
              <w:jc w:val="both"/>
              <w:rPr>
                <w:bCs/>
                <w:sz w:val="18"/>
                <w:szCs w:val="18"/>
              </w:rPr>
            </w:pPr>
            <w:r w:rsidRPr="000B6E46">
              <w:rPr>
                <w:bCs/>
                <w:sz w:val="18"/>
                <w:szCs w:val="18"/>
              </w:rPr>
              <w:t xml:space="preserve">Transportlīdzekļos, kuru motori nav paredzēti 95.markas benzīna ar 10% bioetanola piejaukumu (95E10) izmantošanai ieteicams izmantot 98.markas benzīnu (98E5), kurā </w:t>
            </w:r>
            <w:proofErr w:type="spellStart"/>
            <w:r w:rsidRPr="000B6E46">
              <w:rPr>
                <w:bCs/>
                <w:sz w:val="18"/>
                <w:szCs w:val="18"/>
              </w:rPr>
              <w:t>etanola</w:t>
            </w:r>
            <w:proofErr w:type="spellEnd"/>
            <w:r w:rsidRPr="000B6E46">
              <w:rPr>
                <w:bCs/>
                <w:sz w:val="18"/>
                <w:szCs w:val="18"/>
              </w:rPr>
              <w:t xml:space="preserve"> saturs ir ierobežots līdz 5% no kopējā maisījuma tilpuma. Attiecībā uz dārza un meža tehniku, kas darbināma ar benzīnu</w:t>
            </w:r>
            <w:r>
              <w:rPr>
                <w:bCs/>
                <w:sz w:val="18"/>
                <w:szCs w:val="18"/>
              </w:rPr>
              <w:t>,</w:t>
            </w:r>
            <w:r w:rsidRPr="000B6E46">
              <w:rPr>
                <w:bCs/>
                <w:sz w:val="18"/>
                <w:szCs w:val="18"/>
              </w:rPr>
              <w:t xml:space="preserve"> ir rūpīgi jāizvērtē vai tā ir paredzēta E10 degvielas izmantošanai, tāpēc ir ieteicams iepazīties ar informāciju, kas norādīta tās rokasgrāmatā/instrukcijā. Ja informācija par tās pielāgotību E10 benzīnam nav pieejama, ieteicams sazināties ar oficiālo tehnikas izplatītāju, lai to noskaidrotu. Dārza un meža tehnikā, kas nav pielāgota E10 benzīna izmantošanai var izmantot 98.markas benzīnu, kam bioetanola piejaukums ir ierobežots līdz 5% no maisījuma kopējā tilpuma vai šādai tehnikai speciāli paredzēto </w:t>
            </w:r>
            <w:proofErr w:type="spellStart"/>
            <w:r w:rsidRPr="000B6E46">
              <w:rPr>
                <w:bCs/>
                <w:sz w:val="18"/>
                <w:szCs w:val="18"/>
              </w:rPr>
              <w:t>alkilāta</w:t>
            </w:r>
            <w:proofErr w:type="spellEnd"/>
            <w:r w:rsidRPr="000B6E46">
              <w:rPr>
                <w:bCs/>
                <w:sz w:val="18"/>
                <w:szCs w:val="18"/>
              </w:rPr>
              <w:t xml:space="preserve"> benzīnu. Savukārt dīzeļdegvielu ar taukskābju </w:t>
            </w:r>
            <w:proofErr w:type="spellStart"/>
            <w:r w:rsidRPr="000B6E46">
              <w:rPr>
                <w:bCs/>
                <w:sz w:val="18"/>
                <w:szCs w:val="18"/>
              </w:rPr>
              <w:t>metilestera</w:t>
            </w:r>
            <w:proofErr w:type="spellEnd"/>
            <w:r w:rsidRPr="000B6E46">
              <w:rPr>
                <w:bCs/>
                <w:sz w:val="18"/>
                <w:szCs w:val="18"/>
              </w:rPr>
              <w:t xml:space="preserve"> jeb FAME saturu līdz 7% var izmantot visa veida motoros.”</w:t>
            </w:r>
          </w:p>
          <w:p w14:paraId="5A55E50D" w14:textId="6B4BC873" w:rsidR="00AC72A0" w:rsidRPr="00AC72A0" w:rsidRDefault="00AC72A0" w:rsidP="00AC72A0">
            <w:pPr>
              <w:shd w:val="clear" w:color="auto" w:fill="FFFFFF"/>
              <w:tabs>
                <w:tab w:val="right" w:pos="9071"/>
              </w:tabs>
              <w:jc w:val="both"/>
              <w:rPr>
                <w:b/>
                <w:i/>
                <w:sz w:val="18"/>
                <w:szCs w:val="18"/>
              </w:rPr>
            </w:pPr>
          </w:p>
        </w:tc>
      </w:tr>
      <w:tr w:rsidR="00AC72A0" w:rsidRPr="00FC31C6" w14:paraId="50F13089" w14:textId="77777777" w:rsidTr="003B0A26">
        <w:tc>
          <w:tcPr>
            <w:tcW w:w="817" w:type="dxa"/>
            <w:tcBorders>
              <w:left w:val="single" w:sz="6" w:space="0" w:color="000000"/>
              <w:bottom w:val="single" w:sz="4" w:space="0" w:color="auto"/>
              <w:right w:val="single" w:sz="6" w:space="0" w:color="000000"/>
            </w:tcBorders>
          </w:tcPr>
          <w:p w14:paraId="261BA08C" w14:textId="22F30E6D" w:rsidR="00AC72A0" w:rsidRPr="00441119" w:rsidRDefault="00BE0F66" w:rsidP="00AC72A0">
            <w:pPr>
              <w:jc w:val="center"/>
              <w:rPr>
                <w:sz w:val="18"/>
                <w:szCs w:val="18"/>
              </w:rPr>
            </w:pPr>
            <w:r>
              <w:rPr>
                <w:sz w:val="18"/>
                <w:szCs w:val="18"/>
              </w:rPr>
              <w:lastRenderedPageBreak/>
              <w:t>12.</w:t>
            </w:r>
          </w:p>
        </w:tc>
        <w:tc>
          <w:tcPr>
            <w:tcW w:w="2977" w:type="dxa"/>
            <w:tcBorders>
              <w:left w:val="single" w:sz="6" w:space="0" w:color="000000"/>
              <w:bottom w:val="single" w:sz="4" w:space="0" w:color="auto"/>
              <w:right w:val="single" w:sz="6" w:space="0" w:color="000000"/>
            </w:tcBorders>
          </w:tcPr>
          <w:p w14:paraId="0CEAD48F" w14:textId="2AE9981B" w:rsidR="00AC72A0" w:rsidRPr="00441119" w:rsidRDefault="000E7058" w:rsidP="00AC72A0">
            <w:pPr>
              <w:pStyle w:val="naisc"/>
              <w:spacing w:before="0" w:after="0"/>
              <w:jc w:val="both"/>
              <w:rPr>
                <w:b/>
                <w:sz w:val="18"/>
                <w:szCs w:val="18"/>
              </w:rPr>
            </w:pPr>
            <w:r>
              <w:rPr>
                <w:b/>
                <w:sz w:val="18"/>
                <w:szCs w:val="18"/>
              </w:rPr>
              <w:t>A</w:t>
            </w:r>
            <w:r w:rsidRPr="000E7058">
              <w:rPr>
                <w:b/>
                <w:sz w:val="18"/>
                <w:szCs w:val="18"/>
              </w:rPr>
              <w:t>notācijas II</w:t>
            </w:r>
            <w:r>
              <w:rPr>
                <w:b/>
                <w:sz w:val="18"/>
                <w:szCs w:val="18"/>
              </w:rPr>
              <w:t>.</w:t>
            </w:r>
            <w:r w:rsidRPr="000E7058">
              <w:rPr>
                <w:b/>
                <w:sz w:val="18"/>
                <w:szCs w:val="18"/>
              </w:rPr>
              <w:t xml:space="preserve"> sadaļas 2.punkta 1.rindkop</w:t>
            </w:r>
            <w:r>
              <w:rPr>
                <w:b/>
                <w:sz w:val="18"/>
                <w:szCs w:val="18"/>
              </w:rPr>
              <w:t>a</w:t>
            </w:r>
          </w:p>
        </w:tc>
        <w:tc>
          <w:tcPr>
            <w:tcW w:w="4678" w:type="dxa"/>
            <w:tcBorders>
              <w:left w:val="single" w:sz="6" w:space="0" w:color="000000"/>
              <w:bottom w:val="single" w:sz="4" w:space="0" w:color="auto"/>
              <w:right w:val="single" w:sz="6" w:space="0" w:color="000000"/>
            </w:tcBorders>
          </w:tcPr>
          <w:p w14:paraId="3A5D69D5" w14:textId="77777777" w:rsidR="00AC72A0" w:rsidRPr="001C10FD" w:rsidRDefault="00AC72A0" w:rsidP="00AC72A0">
            <w:pPr>
              <w:jc w:val="center"/>
              <w:rPr>
                <w:rFonts w:eastAsia="Calibri"/>
                <w:b/>
                <w:bCs/>
                <w:sz w:val="18"/>
                <w:szCs w:val="18"/>
                <w:lang w:eastAsia="en-US"/>
              </w:rPr>
            </w:pPr>
            <w:r w:rsidRPr="001C10FD">
              <w:rPr>
                <w:rFonts w:eastAsia="Calibri"/>
                <w:b/>
                <w:bCs/>
                <w:sz w:val="18"/>
                <w:szCs w:val="18"/>
                <w:lang w:eastAsia="en-US"/>
              </w:rPr>
              <w:t>Zemkopības ministrija</w:t>
            </w:r>
            <w:r>
              <w:rPr>
                <w:rFonts w:eastAsia="Calibri"/>
                <w:b/>
                <w:bCs/>
                <w:sz w:val="18"/>
                <w:szCs w:val="18"/>
                <w:lang w:eastAsia="en-US"/>
              </w:rPr>
              <w:t xml:space="preserve"> (</w:t>
            </w:r>
            <w:r w:rsidRPr="001C10FD">
              <w:rPr>
                <w:rFonts w:eastAsia="Calibri"/>
                <w:b/>
                <w:bCs/>
                <w:sz w:val="18"/>
                <w:szCs w:val="18"/>
                <w:lang w:eastAsia="en-US"/>
              </w:rPr>
              <w:t>24.10.2019</w:t>
            </w:r>
            <w:r>
              <w:rPr>
                <w:rFonts w:eastAsia="Calibri"/>
                <w:b/>
                <w:bCs/>
                <w:sz w:val="18"/>
                <w:szCs w:val="18"/>
                <w:lang w:eastAsia="en-US"/>
              </w:rPr>
              <w:t>)</w:t>
            </w:r>
          </w:p>
          <w:p w14:paraId="3998EB4E" w14:textId="77777777" w:rsidR="00AC72A0" w:rsidRDefault="00AC72A0" w:rsidP="00AC72A0">
            <w:pPr>
              <w:jc w:val="center"/>
              <w:rPr>
                <w:rFonts w:eastAsia="Calibri"/>
                <w:sz w:val="18"/>
                <w:szCs w:val="18"/>
                <w:lang w:eastAsia="en-US"/>
              </w:rPr>
            </w:pPr>
          </w:p>
          <w:p w14:paraId="27E9202F" w14:textId="7BEC2557" w:rsidR="00AC72A0" w:rsidRPr="00441119" w:rsidRDefault="00AC72A0" w:rsidP="00AC72A0">
            <w:pPr>
              <w:jc w:val="both"/>
              <w:rPr>
                <w:rFonts w:eastAsia="Calibri"/>
                <w:sz w:val="18"/>
                <w:szCs w:val="18"/>
                <w:lang w:eastAsia="en-US"/>
              </w:rPr>
            </w:pPr>
            <w:r w:rsidRPr="001C10FD">
              <w:rPr>
                <w:rFonts w:eastAsia="Calibri"/>
                <w:sz w:val="18"/>
                <w:szCs w:val="18"/>
                <w:lang w:eastAsia="en-US"/>
              </w:rPr>
              <w:t>2.</w:t>
            </w:r>
            <w:r w:rsidRPr="001C10FD">
              <w:rPr>
                <w:rFonts w:eastAsia="Calibri"/>
                <w:sz w:val="18"/>
                <w:szCs w:val="18"/>
                <w:lang w:eastAsia="en-US"/>
              </w:rPr>
              <w:tab/>
              <w:t xml:space="preserve">Lūdzam ar aprēķiniem pamatot noteikumu projekta anotācijas II. sadaļas 2.punkta 1.rindkopā pausto apgalvojumu, ka “lielāks biodegvielas saturs degvielā palielina degvielas patēriņu”, kā arī norādīt, par cik procentiem vidēji pieaugs benzīna un dīzeļdegvielas patēriņš, paaugstinot biodegvielas piejaukumu līdz noteikumu projektā noteiktajai obligātajai </w:t>
            </w:r>
            <w:r w:rsidRPr="001C10FD">
              <w:rPr>
                <w:rFonts w:eastAsia="Calibri"/>
                <w:sz w:val="18"/>
                <w:szCs w:val="18"/>
                <w:lang w:eastAsia="en-US"/>
              </w:rPr>
              <w:lastRenderedPageBreak/>
              <w:t>normai salīdzinoši ar spēkā esošajām biodegvielas piejaukuma obligātajām normām.</w:t>
            </w:r>
          </w:p>
        </w:tc>
        <w:tc>
          <w:tcPr>
            <w:tcW w:w="4110" w:type="dxa"/>
            <w:tcBorders>
              <w:left w:val="single" w:sz="6" w:space="0" w:color="000000"/>
              <w:bottom w:val="single" w:sz="4" w:space="0" w:color="auto"/>
              <w:right w:val="single" w:sz="6" w:space="0" w:color="000000"/>
            </w:tcBorders>
          </w:tcPr>
          <w:p w14:paraId="42206C8D" w14:textId="77777777" w:rsidR="00AC72A0" w:rsidRPr="000613EC" w:rsidRDefault="00AC72A0" w:rsidP="00AC72A0">
            <w:pPr>
              <w:jc w:val="center"/>
              <w:rPr>
                <w:b/>
                <w:color w:val="000000"/>
                <w:sz w:val="18"/>
                <w:szCs w:val="22"/>
              </w:rPr>
            </w:pPr>
            <w:r w:rsidRPr="000613EC">
              <w:rPr>
                <w:b/>
                <w:color w:val="000000"/>
                <w:sz w:val="18"/>
                <w:szCs w:val="22"/>
              </w:rPr>
              <w:lastRenderedPageBreak/>
              <w:t>Ņemts vērā</w:t>
            </w:r>
          </w:p>
          <w:p w14:paraId="6DD7D524" w14:textId="77777777" w:rsidR="00AC72A0" w:rsidRPr="000613EC" w:rsidRDefault="00AC72A0" w:rsidP="00AC72A0">
            <w:pPr>
              <w:jc w:val="center"/>
              <w:rPr>
                <w:b/>
                <w:color w:val="000000"/>
                <w:sz w:val="18"/>
                <w:szCs w:val="22"/>
              </w:rPr>
            </w:pPr>
          </w:p>
          <w:p w14:paraId="35846153" w14:textId="6D993C16" w:rsidR="00AC72A0" w:rsidRPr="000613EC" w:rsidRDefault="00AC72A0" w:rsidP="00AC72A0">
            <w:pPr>
              <w:jc w:val="both"/>
              <w:rPr>
                <w:szCs w:val="18"/>
              </w:rPr>
            </w:pPr>
            <w:r>
              <w:rPr>
                <w:sz w:val="18"/>
                <w:szCs w:val="18"/>
              </w:rPr>
              <w:t xml:space="preserve">Aprēķinos pieņemts, ka degvielas patēriņa pieaugums pārejot no B5 uz B7 degvielu ir 0,4%, savukārt no E5 uz E10 3%. Pieņēmumi par degvielas patēriņa pieaugumu izdarīti pamatojoties uz zinātniskajām </w:t>
            </w:r>
            <w:r>
              <w:rPr>
                <w:sz w:val="18"/>
                <w:szCs w:val="18"/>
              </w:rPr>
              <w:lastRenderedPageBreak/>
              <w:t>publikācijām</w:t>
            </w:r>
            <w:r>
              <w:rPr>
                <w:rStyle w:val="FootnoteReference"/>
                <w:sz w:val="18"/>
                <w:szCs w:val="18"/>
              </w:rPr>
              <w:footnoteReference w:id="1"/>
            </w:r>
            <w:r>
              <w:rPr>
                <w:sz w:val="18"/>
                <w:szCs w:val="18"/>
              </w:rPr>
              <w:t>, konsultējoties ar biodegvielas ražotājiem, kā arī vērtējot citu dalībvalstu pieredzi</w:t>
            </w:r>
            <w:r>
              <w:rPr>
                <w:rStyle w:val="FootnoteReference"/>
                <w:sz w:val="18"/>
                <w:szCs w:val="18"/>
              </w:rPr>
              <w:footnoteReference w:id="2"/>
            </w:r>
            <w:r>
              <w:rPr>
                <w:sz w:val="18"/>
                <w:szCs w:val="18"/>
              </w:rPr>
              <w:t xml:space="preserve">. </w:t>
            </w:r>
          </w:p>
        </w:tc>
        <w:tc>
          <w:tcPr>
            <w:tcW w:w="2835" w:type="dxa"/>
            <w:tcBorders>
              <w:top w:val="single" w:sz="4" w:space="0" w:color="auto"/>
              <w:left w:val="single" w:sz="4" w:space="0" w:color="auto"/>
              <w:bottom w:val="single" w:sz="4" w:space="0" w:color="auto"/>
            </w:tcBorders>
          </w:tcPr>
          <w:p w14:paraId="3296741C" w14:textId="77777777" w:rsidR="00AC72A0" w:rsidRPr="00441119" w:rsidRDefault="00AC72A0" w:rsidP="00AC72A0">
            <w:pPr>
              <w:shd w:val="clear" w:color="auto" w:fill="FFFFFF"/>
              <w:tabs>
                <w:tab w:val="right" w:pos="9071"/>
              </w:tabs>
              <w:jc w:val="both"/>
              <w:rPr>
                <w:b/>
                <w:i/>
                <w:sz w:val="18"/>
                <w:szCs w:val="18"/>
              </w:rPr>
            </w:pPr>
          </w:p>
        </w:tc>
      </w:tr>
      <w:tr w:rsidR="00BE0F66" w:rsidRPr="00FC31C6" w14:paraId="3D83699F" w14:textId="77777777" w:rsidTr="003B0A26">
        <w:tc>
          <w:tcPr>
            <w:tcW w:w="817" w:type="dxa"/>
            <w:tcBorders>
              <w:left w:val="single" w:sz="6" w:space="0" w:color="000000"/>
              <w:bottom w:val="single" w:sz="4" w:space="0" w:color="auto"/>
              <w:right w:val="single" w:sz="6" w:space="0" w:color="000000"/>
            </w:tcBorders>
          </w:tcPr>
          <w:p w14:paraId="4FDFD3DB" w14:textId="7E4AB89B" w:rsidR="00BE0F66" w:rsidRPr="00441119" w:rsidRDefault="00BE0F66" w:rsidP="00BE0F66">
            <w:pPr>
              <w:jc w:val="center"/>
              <w:rPr>
                <w:sz w:val="18"/>
                <w:szCs w:val="18"/>
              </w:rPr>
            </w:pPr>
            <w:r>
              <w:rPr>
                <w:sz w:val="18"/>
                <w:szCs w:val="18"/>
              </w:rPr>
              <w:t>13.</w:t>
            </w:r>
          </w:p>
        </w:tc>
        <w:tc>
          <w:tcPr>
            <w:tcW w:w="2977" w:type="dxa"/>
            <w:tcBorders>
              <w:left w:val="single" w:sz="6" w:space="0" w:color="000000"/>
              <w:bottom w:val="single" w:sz="4" w:space="0" w:color="auto"/>
              <w:right w:val="single" w:sz="6" w:space="0" w:color="000000"/>
            </w:tcBorders>
          </w:tcPr>
          <w:p w14:paraId="58CF5B76" w14:textId="39A51BF6" w:rsidR="00BE0F66" w:rsidRPr="00441119" w:rsidRDefault="00BE0F66" w:rsidP="00BE0F66">
            <w:pPr>
              <w:pStyle w:val="naisc"/>
              <w:spacing w:before="0" w:after="0"/>
              <w:jc w:val="both"/>
              <w:rPr>
                <w:b/>
                <w:sz w:val="18"/>
                <w:szCs w:val="18"/>
              </w:rPr>
            </w:pPr>
            <w:r>
              <w:rPr>
                <w:b/>
                <w:sz w:val="18"/>
                <w:szCs w:val="18"/>
              </w:rPr>
              <w:t>MK noteikumu projekts</w:t>
            </w:r>
          </w:p>
        </w:tc>
        <w:tc>
          <w:tcPr>
            <w:tcW w:w="4678" w:type="dxa"/>
            <w:tcBorders>
              <w:left w:val="single" w:sz="6" w:space="0" w:color="000000"/>
              <w:bottom w:val="single" w:sz="4" w:space="0" w:color="auto"/>
              <w:right w:val="single" w:sz="6" w:space="0" w:color="000000"/>
            </w:tcBorders>
          </w:tcPr>
          <w:p w14:paraId="02C9AEDF" w14:textId="4A2A5499" w:rsidR="00BE0F66" w:rsidRDefault="00BE0F66" w:rsidP="00BE0F66">
            <w:pPr>
              <w:jc w:val="center"/>
              <w:rPr>
                <w:rFonts w:eastAsia="Calibri"/>
                <w:b/>
                <w:bCs/>
                <w:sz w:val="18"/>
                <w:szCs w:val="18"/>
                <w:lang w:eastAsia="en-US"/>
              </w:rPr>
            </w:pPr>
            <w:r w:rsidRPr="001C10FD">
              <w:rPr>
                <w:rFonts w:eastAsia="Calibri"/>
                <w:b/>
                <w:bCs/>
                <w:sz w:val="18"/>
                <w:szCs w:val="18"/>
                <w:lang w:eastAsia="en-US"/>
              </w:rPr>
              <w:t>Vides aizsardzības un reģionālas attīstības ministrija</w:t>
            </w:r>
            <w:r>
              <w:rPr>
                <w:rFonts w:eastAsia="Calibri"/>
                <w:b/>
                <w:bCs/>
                <w:sz w:val="18"/>
                <w:szCs w:val="18"/>
                <w:lang w:eastAsia="en-US"/>
              </w:rPr>
              <w:t xml:space="preserve"> (</w:t>
            </w:r>
            <w:r w:rsidRPr="001C10FD">
              <w:rPr>
                <w:rFonts w:eastAsia="Calibri"/>
                <w:b/>
                <w:bCs/>
                <w:sz w:val="18"/>
                <w:szCs w:val="18"/>
                <w:lang w:eastAsia="en-US"/>
              </w:rPr>
              <w:t>25.10.2019.</w:t>
            </w:r>
            <w:r>
              <w:rPr>
                <w:rFonts w:eastAsia="Calibri"/>
                <w:b/>
                <w:bCs/>
                <w:sz w:val="18"/>
                <w:szCs w:val="18"/>
                <w:lang w:eastAsia="en-US"/>
              </w:rPr>
              <w:t>)</w:t>
            </w:r>
          </w:p>
          <w:p w14:paraId="74971532" w14:textId="54FC45CD" w:rsidR="00BE0F66" w:rsidRPr="001C10FD" w:rsidRDefault="00BE0F66" w:rsidP="00BE0F66">
            <w:pPr>
              <w:jc w:val="center"/>
              <w:rPr>
                <w:rFonts w:eastAsia="Calibri"/>
                <w:b/>
                <w:bCs/>
                <w:sz w:val="18"/>
                <w:szCs w:val="18"/>
                <w:lang w:eastAsia="en-US"/>
              </w:rPr>
            </w:pPr>
            <w:r>
              <w:rPr>
                <w:rFonts w:eastAsia="Calibri"/>
                <w:b/>
                <w:bCs/>
                <w:sz w:val="18"/>
                <w:szCs w:val="18"/>
                <w:lang w:eastAsia="en-US"/>
              </w:rPr>
              <w:t xml:space="preserve"> </w:t>
            </w:r>
          </w:p>
          <w:p w14:paraId="0904EB5A" w14:textId="4625341B" w:rsidR="00BE0F66" w:rsidRPr="003511FE" w:rsidRDefault="00BE0F66" w:rsidP="00BE0F66">
            <w:pPr>
              <w:jc w:val="both"/>
              <w:rPr>
                <w:rFonts w:eastAsia="Calibri"/>
                <w:sz w:val="18"/>
                <w:szCs w:val="18"/>
                <w:u w:val="single"/>
                <w:lang w:eastAsia="en-US"/>
              </w:rPr>
            </w:pPr>
            <w:r w:rsidRPr="001C10FD">
              <w:rPr>
                <w:rFonts w:eastAsia="Calibri"/>
                <w:sz w:val="18"/>
                <w:szCs w:val="18"/>
                <w:lang w:eastAsia="en-US"/>
              </w:rPr>
              <w:t xml:space="preserve">Saskaņā ar Ministru kabineta 2006. gada 26. septembra noteikumu Nr. 801 “Noteikumi par sēra satura ierobežošanu atsevišķiem šķidrās degvielas veidiem” (turpmāk – MK noteikumi Nr. 801) 16. un 29. punktu dīzeļdegvielas (gāzeļļas), flotes dīzeļdegvielas un flotes gāzeļļas tirgus uzraudzību veic Valsts ieņēmumu dienests (turpmāk – VID), ne retāk kā divas reizes gadā nodrošinot šo degvielas veidu paraugu ņemšanu katram komersantam, kurš tos realizē. Tā kā pašreiz spēkā esošo Ministru kabineta 2000. gada 26. septembra noteikumu Nr. 332 “Noteikumi par benzīna un dīzeļdegvielas atbilstības novērtēšanu” 15. punktā noteikts, ka degvielas tirgus uzraudzību atbilstoši kompetencei veic VID, </w:t>
            </w:r>
            <w:r w:rsidRPr="003511FE">
              <w:rPr>
                <w:rFonts w:eastAsia="Calibri"/>
                <w:sz w:val="18"/>
                <w:szCs w:val="18"/>
                <w:u w:val="single"/>
                <w:lang w:eastAsia="en-US"/>
              </w:rPr>
              <w:t xml:space="preserve">lūdzam skaidrot, vai Būvniecības valsts kontroles birojs, kuram saskaņā ar noteikumu projektu paredzēts pārņemt VID degvielas tirgus uzraudzības funkciju, pārņems arī MK noteikumos Nr. 801 VID noteiktās funkcijas. </w:t>
            </w:r>
          </w:p>
          <w:p w14:paraId="1C4CBA84" w14:textId="77777777" w:rsidR="00BE0F66" w:rsidRPr="001C10FD" w:rsidRDefault="00BE0F66" w:rsidP="00BE0F66">
            <w:pPr>
              <w:jc w:val="both"/>
              <w:rPr>
                <w:rFonts w:eastAsia="Calibri"/>
                <w:sz w:val="18"/>
                <w:szCs w:val="18"/>
                <w:lang w:eastAsia="en-US"/>
              </w:rPr>
            </w:pPr>
          </w:p>
          <w:p w14:paraId="25F4B514" w14:textId="1CC5A20E" w:rsidR="00BE0F66" w:rsidRPr="00441119" w:rsidRDefault="00BE0F66" w:rsidP="00BE0F66">
            <w:pPr>
              <w:jc w:val="both"/>
              <w:rPr>
                <w:rFonts w:eastAsia="Calibri"/>
                <w:sz w:val="18"/>
                <w:szCs w:val="18"/>
                <w:lang w:eastAsia="en-US"/>
              </w:rPr>
            </w:pPr>
            <w:r w:rsidRPr="001C10FD">
              <w:rPr>
                <w:rFonts w:eastAsia="Calibri"/>
                <w:sz w:val="18"/>
                <w:szCs w:val="18"/>
                <w:lang w:eastAsia="en-US"/>
              </w:rPr>
              <w:t xml:space="preserve">Uzskatām, ka visas degvielas tirgus uzraudzības funkcijas ir jāveic vienai institūcijai, lai ne tikai nodrošinātu valsts budžeta līdzekļu lietderīgu izlietošanu, samazinot administratīvo slogu, bet arī atbilstu Valsts pārvaldes reformu plāna 2020 īstenošanas pasākumiem, kuri cita starpā paredz radniecisku funkciju apvienošanas iespējas un virzību uz “nulles birokrātiju”, </w:t>
            </w:r>
            <w:proofErr w:type="spellStart"/>
            <w:r w:rsidRPr="001C10FD">
              <w:rPr>
                <w:rFonts w:eastAsia="Calibri"/>
                <w:sz w:val="18"/>
                <w:szCs w:val="18"/>
                <w:lang w:eastAsia="en-US"/>
              </w:rPr>
              <w:t>efektivizējot</w:t>
            </w:r>
            <w:proofErr w:type="spellEnd"/>
            <w:r w:rsidRPr="001C10FD">
              <w:rPr>
                <w:rFonts w:eastAsia="Calibri"/>
                <w:sz w:val="18"/>
                <w:szCs w:val="18"/>
                <w:lang w:eastAsia="en-US"/>
              </w:rPr>
              <w:t xml:space="preserve"> iekšējos procesus pašā valsts pārvaldē un novēršot potenciālu pienākumu dublēšanos divās atsevišķās iestādēs.</w:t>
            </w:r>
          </w:p>
        </w:tc>
        <w:tc>
          <w:tcPr>
            <w:tcW w:w="4110" w:type="dxa"/>
            <w:tcBorders>
              <w:left w:val="single" w:sz="6" w:space="0" w:color="000000"/>
              <w:bottom w:val="single" w:sz="4" w:space="0" w:color="auto"/>
              <w:right w:val="single" w:sz="6" w:space="0" w:color="000000"/>
            </w:tcBorders>
          </w:tcPr>
          <w:p w14:paraId="5FC29043" w14:textId="77777777" w:rsidR="00BE0F66" w:rsidRPr="000613EC" w:rsidRDefault="00BE0F66" w:rsidP="00BE0F66">
            <w:pPr>
              <w:jc w:val="center"/>
              <w:rPr>
                <w:b/>
                <w:color w:val="000000"/>
                <w:sz w:val="18"/>
                <w:szCs w:val="22"/>
              </w:rPr>
            </w:pPr>
            <w:r w:rsidRPr="000613EC">
              <w:rPr>
                <w:b/>
                <w:color w:val="000000"/>
                <w:sz w:val="18"/>
                <w:szCs w:val="22"/>
              </w:rPr>
              <w:t>Ņemts vērā</w:t>
            </w:r>
          </w:p>
          <w:p w14:paraId="6C48E04B" w14:textId="77777777" w:rsidR="00BE0F66" w:rsidRDefault="00BE0F66" w:rsidP="00BE0F66">
            <w:pPr>
              <w:jc w:val="both"/>
              <w:rPr>
                <w:sz w:val="18"/>
                <w:szCs w:val="18"/>
              </w:rPr>
            </w:pPr>
          </w:p>
          <w:p w14:paraId="49D96046" w14:textId="6FEE6589" w:rsidR="00BE0F66" w:rsidRDefault="00BE0F66" w:rsidP="00BE0F66">
            <w:pPr>
              <w:jc w:val="both"/>
              <w:rPr>
                <w:rFonts w:eastAsia="Calibri"/>
                <w:sz w:val="18"/>
                <w:szCs w:val="18"/>
                <w:lang w:eastAsia="en-US"/>
              </w:rPr>
            </w:pPr>
            <w:r>
              <w:rPr>
                <w:sz w:val="18"/>
                <w:szCs w:val="18"/>
              </w:rPr>
              <w:t xml:space="preserve">Ekonomikas ministrija norāda, ka noteikumu projekts neatceļ </w:t>
            </w:r>
            <w:r>
              <w:rPr>
                <w:rFonts w:eastAsia="Calibri"/>
                <w:sz w:val="18"/>
                <w:szCs w:val="18"/>
                <w:lang w:eastAsia="en-US"/>
              </w:rPr>
              <w:t>funkcijas, kas VID noteiktas</w:t>
            </w:r>
            <w:r>
              <w:rPr>
                <w:sz w:val="18"/>
                <w:szCs w:val="18"/>
              </w:rPr>
              <w:t xml:space="preserve"> </w:t>
            </w:r>
            <w:r w:rsidRPr="001C10FD">
              <w:rPr>
                <w:rFonts w:eastAsia="Calibri"/>
                <w:sz w:val="18"/>
                <w:szCs w:val="18"/>
                <w:lang w:eastAsia="en-US"/>
              </w:rPr>
              <w:t>Ministru kabineta 2006.</w:t>
            </w:r>
            <w:r>
              <w:rPr>
                <w:rFonts w:eastAsia="Calibri"/>
                <w:sz w:val="18"/>
                <w:szCs w:val="18"/>
                <w:lang w:eastAsia="en-US"/>
              </w:rPr>
              <w:t> </w:t>
            </w:r>
            <w:r w:rsidRPr="001C10FD">
              <w:rPr>
                <w:rFonts w:eastAsia="Calibri"/>
                <w:sz w:val="18"/>
                <w:szCs w:val="18"/>
                <w:lang w:eastAsia="en-US"/>
              </w:rPr>
              <w:t>gada 26. septembra noteikum</w:t>
            </w:r>
            <w:r>
              <w:rPr>
                <w:rFonts w:eastAsia="Calibri"/>
                <w:sz w:val="18"/>
                <w:szCs w:val="18"/>
                <w:lang w:eastAsia="en-US"/>
              </w:rPr>
              <w:t>os</w:t>
            </w:r>
            <w:r w:rsidRPr="001C10FD">
              <w:rPr>
                <w:rFonts w:eastAsia="Calibri"/>
                <w:sz w:val="18"/>
                <w:szCs w:val="18"/>
                <w:lang w:eastAsia="en-US"/>
              </w:rPr>
              <w:t xml:space="preserve"> Nr. 801 “Noteikumi par sēra satura ierobežošanu atsevišķiem šķidrās degvielas veidiem”</w:t>
            </w:r>
            <w:r>
              <w:rPr>
                <w:rFonts w:eastAsia="Calibri"/>
                <w:sz w:val="18"/>
                <w:szCs w:val="18"/>
                <w:lang w:eastAsia="en-US"/>
              </w:rPr>
              <w:t xml:space="preserve">. </w:t>
            </w:r>
          </w:p>
          <w:p w14:paraId="27BA2C63" w14:textId="2C458FEF" w:rsidR="00BE0F66" w:rsidRDefault="00BE0F66" w:rsidP="00BE0F66">
            <w:pPr>
              <w:jc w:val="both"/>
              <w:rPr>
                <w:rFonts w:eastAsia="Calibri"/>
                <w:sz w:val="18"/>
                <w:szCs w:val="18"/>
                <w:lang w:eastAsia="en-US"/>
              </w:rPr>
            </w:pPr>
          </w:p>
          <w:p w14:paraId="7D08A93E" w14:textId="77777777" w:rsidR="00BE0F66" w:rsidRDefault="00BE0F66" w:rsidP="00BE0F66">
            <w:pPr>
              <w:jc w:val="both"/>
              <w:rPr>
                <w:rFonts w:eastAsia="Calibri"/>
                <w:sz w:val="18"/>
                <w:szCs w:val="18"/>
                <w:lang w:eastAsia="en-US"/>
              </w:rPr>
            </w:pPr>
            <w:r>
              <w:rPr>
                <w:rFonts w:eastAsia="Calibri"/>
                <w:sz w:val="18"/>
                <w:szCs w:val="18"/>
                <w:lang w:eastAsia="en-US"/>
              </w:rPr>
              <w:t xml:space="preserve">MK noteikumi Nr.332 attiecās uz </w:t>
            </w:r>
            <w:r w:rsidRPr="00B17E89">
              <w:rPr>
                <w:rFonts w:eastAsia="Calibri"/>
                <w:sz w:val="18"/>
                <w:szCs w:val="18"/>
                <w:lang w:eastAsia="en-US"/>
              </w:rPr>
              <w:t>degvielām, ko izmanto autotransporta līdzekļu un visurgājēja tehnikas (tostarp iekšējo ūdensceļu kuģu, kad tie nekuģo jūrā), lauksaimniecības un mežsaimniecības traktoru, kā arī atpūtas kuģu, kad tie nekuģo jūrā</w:t>
            </w:r>
            <w:r>
              <w:rPr>
                <w:rFonts w:eastAsia="Calibri"/>
                <w:sz w:val="18"/>
                <w:szCs w:val="18"/>
                <w:lang w:eastAsia="en-US"/>
              </w:rPr>
              <w:t xml:space="preserve">. Norādām, ka šo grozījumu spēkā stāšanās termiņš, kā arī noteikumu tvērums ierobežo iespējas paplašināt BVKB funkcijas. </w:t>
            </w:r>
          </w:p>
          <w:p w14:paraId="32A4685D" w14:textId="633E93A0" w:rsidR="00BE0F66" w:rsidRDefault="00BE0F66" w:rsidP="00BE0F66">
            <w:pPr>
              <w:jc w:val="both"/>
              <w:rPr>
                <w:rFonts w:eastAsia="Calibri"/>
                <w:sz w:val="18"/>
                <w:szCs w:val="18"/>
                <w:lang w:eastAsia="en-US"/>
              </w:rPr>
            </w:pPr>
            <w:r>
              <w:rPr>
                <w:rFonts w:eastAsia="Calibri"/>
                <w:sz w:val="18"/>
                <w:szCs w:val="18"/>
                <w:lang w:eastAsia="en-US"/>
              </w:rPr>
              <w:t xml:space="preserve"> </w:t>
            </w:r>
          </w:p>
          <w:p w14:paraId="28D8A134" w14:textId="77777777" w:rsidR="00BE0F66" w:rsidRDefault="00BE0F66" w:rsidP="00BE0F66">
            <w:pPr>
              <w:jc w:val="both"/>
              <w:rPr>
                <w:rFonts w:eastAsia="Calibri"/>
                <w:sz w:val="18"/>
                <w:szCs w:val="18"/>
                <w:lang w:eastAsia="en-US"/>
              </w:rPr>
            </w:pPr>
          </w:p>
          <w:p w14:paraId="10873ECE" w14:textId="1A4D0BD5" w:rsidR="00BE0F66" w:rsidRDefault="00BE0F66" w:rsidP="00BE0F66">
            <w:pPr>
              <w:jc w:val="both"/>
              <w:rPr>
                <w:rFonts w:eastAsia="Calibri"/>
                <w:sz w:val="18"/>
                <w:szCs w:val="18"/>
                <w:lang w:eastAsia="en-US"/>
              </w:rPr>
            </w:pPr>
          </w:p>
          <w:p w14:paraId="18CB9DDB" w14:textId="785BC8D8" w:rsidR="00BE0F66" w:rsidRDefault="00BE0F66" w:rsidP="00BE0F66">
            <w:pPr>
              <w:jc w:val="both"/>
              <w:rPr>
                <w:rFonts w:eastAsia="Calibri"/>
                <w:sz w:val="18"/>
                <w:szCs w:val="18"/>
                <w:lang w:eastAsia="en-US"/>
              </w:rPr>
            </w:pPr>
            <w:r>
              <w:rPr>
                <w:rFonts w:eastAsia="Calibri"/>
                <w:sz w:val="18"/>
                <w:szCs w:val="18"/>
                <w:lang w:eastAsia="en-US"/>
              </w:rPr>
              <w:t xml:space="preserve"> </w:t>
            </w:r>
          </w:p>
          <w:p w14:paraId="56EDDB88" w14:textId="77777777" w:rsidR="00BE0F66" w:rsidRDefault="00BE0F66" w:rsidP="00BE0F66">
            <w:pPr>
              <w:jc w:val="both"/>
              <w:rPr>
                <w:rFonts w:eastAsia="Calibri"/>
                <w:sz w:val="18"/>
                <w:szCs w:val="18"/>
                <w:lang w:eastAsia="en-US"/>
              </w:rPr>
            </w:pPr>
          </w:p>
          <w:p w14:paraId="37D399BB" w14:textId="64DB94F1" w:rsidR="00BE0F66" w:rsidRPr="00441119" w:rsidRDefault="00BE0F66" w:rsidP="00BE0F66">
            <w:pPr>
              <w:jc w:val="both"/>
              <w:rPr>
                <w:sz w:val="18"/>
                <w:szCs w:val="18"/>
              </w:rPr>
            </w:pPr>
          </w:p>
        </w:tc>
        <w:tc>
          <w:tcPr>
            <w:tcW w:w="2835" w:type="dxa"/>
            <w:tcBorders>
              <w:top w:val="single" w:sz="4" w:space="0" w:color="auto"/>
              <w:left w:val="single" w:sz="4" w:space="0" w:color="auto"/>
              <w:bottom w:val="single" w:sz="4" w:space="0" w:color="auto"/>
            </w:tcBorders>
          </w:tcPr>
          <w:p w14:paraId="4BBD7020" w14:textId="77777777" w:rsidR="00BE0F66" w:rsidRPr="00441119" w:rsidRDefault="00BE0F66" w:rsidP="00BE0F66">
            <w:pPr>
              <w:shd w:val="clear" w:color="auto" w:fill="FFFFFF"/>
              <w:tabs>
                <w:tab w:val="right" w:pos="9071"/>
              </w:tabs>
              <w:jc w:val="both"/>
              <w:rPr>
                <w:b/>
                <w:i/>
                <w:sz w:val="18"/>
                <w:szCs w:val="18"/>
              </w:rPr>
            </w:pPr>
          </w:p>
        </w:tc>
      </w:tr>
      <w:tr w:rsidR="00BE0F66" w:rsidRPr="00FC31C6" w14:paraId="7347BE3C" w14:textId="77777777" w:rsidTr="003B0A26">
        <w:tc>
          <w:tcPr>
            <w:tcW w:w="817" w:type="dxa"/>
            <w:tcBorders>
              <w:left w:val="single" w:sz="6" w:space="0" w:color="000000"/>
              <w:bottom w:val="single" w:sz="4" w:space="0" w:color="auto"/>
              <w:right w:val="single" w:sz="6" w:space="0" w:color="000000"/>
            </w:tcBorders>
          </w:tcPr>
          <w:p w14:paraId="55760339" w14:textId="347BA1BD" w:rsidR="00BE0F66" w:rsidRPr="00441119" w:rsidRDefault="00BE0F66" w:rsidP="00BE0F66">
            <w:pPr>
              <w:jc w:val="center"/>
              <w:rPr>
                <w:sz w:val="18"/>
                <w:szCs w:val="18"/>
              </w:rPr>
            </w:pPr>
            <w:r>
              <w:rPr>
                <w:sz w:val="18"/>
                <w:szCs w:val="18"/>
              </w:rPr>
              <w:t>14.</w:t>
            </w:r>
          </w:p>
        </w:tc>
        <w:tc>
          <w:tcPr>
            <w:tcW w:w="2977" w:type="dxa"/>
            <w:tcBorders>
              <w:left w:val="single" w:sz="6" w:space="0" w:color="000000"/>
              <w:bottom w:val="single" w:sz="4" w:space="0" w:color="auto"/>
              <w:right w:val="single" w:sz="6" w:space="0" w:color="000000"/>
            </w:tcBorders>
          </w:tcPr>
          <w:p w14:paraId="2E51E3F2" w14:textId="7835888E" w:rsidR="00BE0F66" w:rsidRPr="00441119" w:rsidRDefault="00BE0F66" w:rsidP="00BE0F66">
            <w:pPr>
              <w:pStyle w:val="naisc"/>
              <w:spacing w:before="0" w:after="0"/>
              <w:jc w:val="both"/>
              <w:rPr>
                <w:b/>
                <w:sz w:val="18"/>
                <w:szCs w:val="18"/>
              </w:rPr>
            </w:pPr>
            <w:r>
              <w:rPr>
                <w:b/>
                <w:sz w:val="18"/>
                <w:szCs w:val="18"/>
              </w:rPr>
              <w:t>MK noteikumu projekts</w:t>
            </w:r>
          </w:p>
        </w:tc>
        <w:tc>
          <w:tcPr>
            <w:tcW w:w="4678" w:type="dxa"/>
            <w:tcBorders>
              <w:left w:val="single" w:sz="6" w:space="0" w:color="000000"/>
              <w:bottom w:val="single" w:sz="4" w:space="0" w:color="auto"/>
              <w:right w:val="single" w:sz="6" w:space="0" w:color="000000"/>
            </w:tcBorders>
          </w:tcPr>
          <w:p w14:paraId="415C5540" w14:textId="77777777" w:rsidR="00BE0F66" w:rsidRDefault="00BE0F66" w:rsidP="00BE0F66">
            <w:pPr>
              <w:jc w:val="center"/>
              <w:rPr>
                <w:rFonts w:eastAsia="Calibri"/>
                <w:b/>
                <w:bCs/>
                <w:sz w:val="18"/>
                <w:szCs w:val="18"/>
                <w:lang w:eastAsia="en-US"/>
              </w:rPr>
            </w:pPr>
            <w:r w:rsidRPr="00E75A53">
              <w:rPr>
                <w:rFonts w:eastAsia="Calibri"/>
                <w:b/>
                <w:bCs/>
                <w:sz w:val="18"/>
                <w:szCs w:val="18"/>
                <w:lang w:eastAsia="en-US"/>
              </w:rPr>
              <w:t>Latvijas degvielas tirgotāju asociācija</w:t>
            </w:r>
            <w:r>
              <w:rPr>
                <w:rFonts w:eastAsia="Calibri"/>
                <w:b/>
                <w:bCs/>
                <w:sz w:val="18"/>
                <w:szCs w:val="18"/>
                <w:lang w:eastAsia="en-US"/>
              </w:rPr>
              <w:t xml:space="preserve"> (24.10.19)</w:t>
            </w:r>
          </w:p>
          <w:p w14:paraId="2EA1A981" w14:textId="77777777" w:rsidR="00BE0F66" w:rsidRDefault="00BE0F66" w:rsidP="00BE0F66">
            <w:pPr>
              <w:jc w:val="center"/>
              <w:rPr>
                <w:rFonts w:eastAsia="Calibri"/>
                <w:b/>
                <w:bCs/>
                <w:sz w:val="18"/>
                <w:szCs w:val="18"/>
                <w:lang w:eastAsia="en-US"/>
              </w:rPr>
            </w:pPr>
          </w:p>
          <w:p w14:paraId="3DF5DB9B" w14:textId="77777777" w:rsidR="00BE0F66" w:rsidRPr="00E75A53" w:rsidRDefault="00BE0F66" w:rsidP="00BE0F66">
            <w:pPr>
              <w:jc w:val="both"/>
              <w:rPr>
                <w:rFonts w:eastAsia="Calibri"/>
                <w:sz w:val="18"/>
                <w:szCs w:val="18"/>
                <w:lang w:eastAsia="en-US"/>
              </w:rPr>
            </w:pPr>
            <w:r w:rsidRPr="00E75A53">
              <w:rPr>
                <w:rFonts w:eastAsia="Calibri"/>
                <w:sz w:val="18"/>
                <w:szCs w:val="18"/>
                <w:lang w:eastAsia="en-US"/>
              </w:rPr>
              <w:t xml:space="preserve">[1.] MK noteikumu projekts paredz, ka no 01.01.2020. turpmāk 95E5 vietā būs atļauts realizēt 95E10. Ņemot vērā, ka 01.01.2020. degvielas </w:t>
            </w:r>
            <w:proofErr w:type="spellStart"/>
            <w:r w:rsidRPr="00E75A53">
              <w:rPr>
                <w:rFonts w:eastAsia="Calibri"/>
                <w:sz w:val="18"/>
                <w:szCs w:val="18"/>
                <w:lang w:eastAsia="en-US"/>
              </w:rPr>
              <w:t>uzpildes</w:t>
            </w:r>
            <w:proofErr w:type="spellEnd"/>
            <w:r w:rsidRPr="00E75A53">
              <w:rPr>
                <w:rFonts w:eastAsia="Calibri"/>
                <w:sz w:val="18"/>
                <w:szCs w:val="18"/>
                <w:lang w:eastAsia="en-US"/>
              </w:rPr>
              <w:t xml:space="preserve"> stacijās (DUS) vēl nebūs pilnībā realizēts 95E5, lūdzam pienākumu realizēt 95E10 no 01.01.2020. attiecināt uz noliktavām, nevis uzreiz uz degvielas </w:t>
            </w:r>
            <w:proofErr w:type="spellStart"/>
            <w:r w:rsidRPr="00E75A53">
              <w:rPr>
                <w:rFonts w:eastAsia="Calibri"/>
                <w:sz w:val="18"/>
                <w:szCs w:val="18"/>
                <w:lang w:eastAsia="en-US"/>
              </w:rPr>
              <w:t>uzpildes</w:t>
            </w:r>
            <w:proofErr w:type="spellEnd"/>
            <w:r w:rsidRPr="00E75A53">
              <w:rPr>
                <w:rFonts w:eastAsia="Calibri"/>
                <w:sz w:val="18"/>
                <w:szCs w:val="18"/>
                <w:lang w:eastAsia="en-US"/>
              </w:rPr>
              <w:t xml:space="preserve"> stacijām. </w:t>
            </w:r>
          </w:p>
          <w:p w14:paraId="1BF691FE" w14:textId="22ADE81D" w:rsidR="00BE0F66" w:rsidRDefault="00BE0F66" w:rsidP="00BE0F66">
            <w:pPr>
              <w:jc w:val="both"/>
              <w:rPr>
                <w:rFonts w:eastAsia="Calibri"/>
                <w:sz w:val="18"/>
                <w:szCs w:val="18"/>
                <w:lang w:eastAsia="en-US"/>
              </w:rPr>
            </w:pPr>
            <w:r w:rsidRPr="00E75A53">
              <w:rPr>
                <w:rFonts w:eastAsia="Calibri"/>
                <w:sz w:val="18"/>
                <w:szCs w:val="18"/>
                <w:lang w:eastAsia="en-US"/>
              </w:rPr>
              <w:t>Līdz ar to piedāvājam MK noteikumu projektu papildināt ar 1.14. punktu (līdzšinējo 1.14 uzskatot par 1.15 punktu) šādā redakcijā:</w:t>
            </w:r>
          </w:p>
          <w:p w14:paraId="04AE750F" w14:textId="77777777" w:rsidR="00BE0F66" w:rsidRPr="00E75A53" w:rsidRDefault="00BE0F66" w:rsidP="00BE0F66">
            <w:pPr>
              <w:jc w:val="both"/>
              <w:rPr>
                <w:rFonts w:eastAsia="Calibri"/>
                <w:sz w:val="18"/>
                <w:szCs w:val="18"/>
                <w:lang w:eastAsia="en-US"/>
              </w:rPr>
            </w:pPr>
          </w:p>
          <w:p w14:paraId="5D4B7817" w14:textId="33CD6FBB" w:rsidR="00BE0F66" w:rsidRDefault="00BE0F66" w:rsidP="00BE0F66">
            <w:pPr>
              <w:jc w:val="both"/>
              <w:rPr>
                <w:rFonts w:eastAsia="Calibri"/>
                <w:sz w:val="18"/>
                <w:szCs w:val="18"/>
                <w:lang w:eastAsia="en-US"/>
              </w:rPr>
            </w:pPr>
            <w:r w:rsidRPr="00E75A53">
              <w:rPr>
                <w:rFonts w:eastAsia="Calibri"/>
                <w:sz w:val="18"/>
                <w:szCs w:val="18"/>
                <w:lang w:eastAsia="en-US"/>
              </w:rPr>
              <w:t>“1.14. papildināt VI nodaļu ar 34.punktu šādā redakcijā:</w:t>
            </w:r>
          </w:p>
          <w:p w14:paraId="6B442402" w14:textId="77777777" w:rsidR="00BE0F66" w:rsidRPr="00E75A53" w:rsidRDefault="00BE0F66" w:rsidP="00BE0F66">
            <w:pPr>
              <w:jc w:val="both"/>
              <w:rPr>
                <w:rFonts w:eastAsia="Calibri"/>
                <w:sz w:val="18"/>
                <w:szCs w:val="18"/>
                <w:lang w:eastAsia="en-US"/>
              </w:rPr>
            </w:pPr>
          </w:p>
          <w:p w14:paraId="334AFAC0" w14:textId="30266114" w:rsidR="00BE0F66" w:rsidRDefault="00BE0F66" w:rsidP="00BE0F66">
            <w:pPr>
              <w:jc w:val="both"/>
              <w:rPr>
                <w:rFonts w:eastAsia="Calibri"/>
                <w:sz w:val="18"/>
                <w:szCs w:val="18"/>
                <w:lang w:eastAsia="en-US"/>
              </w:rPr>
            </w:pPr>
            <w:r w:rsidRPr="00E75A53">
              <w:rPr>
                <w:rFonts w:eastAsia="Calibri"/>
                <w:sz w:val="18"/>
                <w:szCs w:val="18"/>
                <w:lang w:eastAsia="en-US"/>
              </w:rPr>
              <w:t>“34. Šo noteikumu 8.1 punktā minētās prasības neattiecas uz benzīnu, kura pētnieciskais oktānskaitlis ir 95 vai lielāks, bet mazāks par 98, un motora oktānskaitlis ir 85 vai lielāks, bet mazāks par 89 (95. markas benzīns), un kura realizācija mazumtirdzniecībā uzsākta pirms 2020. gada 1. janvāra.”</w:t>
            </w:r>
          </w:p>
          <w:p w14:paraId="4B671BF3" w14:textId="77777777" w:rsidR="00BE0F66" w:rsidRPr="00E75A53" w:rsidRDefault="00BE0F66" w:rsidP="00BE0F66">
            <w:pPr>
              <w:jc w:val="both"/>
              <w:rPr>
                <w:rFonts w:eastAsia="Calibri"/>
                <w:sz w:val="18"/>
                <w:szCs w:val="18"/>
                <w:lang w:eastAsia="en-US"/>
              </w:rPr>
            </w:pPr>
          </w:p>
          <w:p w14:paraId="1F09B33F" w14:textId="5E825CE8" w:rsidR="00BE0F66" w:rsidRPr="00E75A53" w:rsidRDefault="00BE0F66" w:rsidP="00BE0F66">
            <w:pPr>
              <w:jc w:val="both"/>
              <w:rPr>
                <w:rFonts w:eastAsia="Calibri"/>
                <w:b/>
                <w:bCs/>
                <w:sz w:val="18"/>
                <w:szCs w:val="18"/>
                <w:lang w:eastAsia="en-US"/>
              </w:rPr>
            </w:pPr>
            <w:r w:rsidRPr="00E75A53">
              <w:rPr>
                <w:rFonts w:eastAsia="Calibri"/>
                <w:sz w:val="18"/>
                <w:szCs w:val="18"/>
                <w:lang w:eastAsia="en-US"/>
              </w:rPr>
              <w:t>Tāpat lūdzam šī punkta skaidrojumu ietvert MK noteikumu projekta anotācijā.</w:t>
            </w:r>
          </w:p>
        </w:tc>
        <w:tc>
          <w:tcPr>
            <w:tcW w:w="4110" w:type="dxa"/>
            <w:tcBorders>
              <w:left w:val="single" w:sz="6" w:space="0" w:color="000000"/>
              <w:bottom w:val="single" w:sz="4" w:space="0" w:color="auto"/>
              <w:right w:val="single" w:sz="6" w:space="0" w:color="000000"/>
            </w:tcBorders>
          </w:tcPr>
          <w:p w14:paraId="43B01A8B" w14:textId="77777777" w:rsidR="00BE0F66" w:rsidRDefault="00BE0F66" w:rsidP="00BE0F66">
            <w:pPr>
              <w:pStyle w:val="naisc"/>
              <w:spacing w:before="0" w:after="0"/>
              <w:rPr>
                <w:b/>
                <w:bCs/>
                <w:color w:val="000000"/>
                <w:sz w:val="18"/>
                <w:szCs w:val="18"/>
              </w:rPr>
            </w:pPr>
            <w:r w:rsidRPr="00861E7A">
              <w:rPr>
                <w:b/>
                <w:bCs/>
                <w:color w:val="000000"/>
                <w:sz w:val="18"/>
                <w:szCs w:val="18"/>
              </w:rPr>
              <w:lastRenderedPageBreak/>
              <w:t>Ņemts vērā</w:t>
            </w:r>
          </w:p>
          <w:p w14:paraId="0743D687" w14:textId="77777777" w:rsidR="00BE0F66" w:rsidRDefault="00BE0F66" w:rsidP="00BE0F66">
            <w:pPr>
              <w:pStyle w:val="naisc"/>
              <w:spacing w:before="0" w:after="0"/>
              <w:rPr>
                <w:b/>
                <w:bCs/>
                <w:color w:val="000000"/>
                <w:sz w:val="18"/>
                <w:szCs w:val="18"/>
              </w:rPr>
            </w:pPr>
          </w:p>
          <w:p w14:paraId="01B70692" w14:textId="206B22D8" w:rsidR="00BE0F66" w:rsidRDefault="00BE0F66" w:rsidP="00BE0F66">
            <w:pPr>
              <w:pStyle w:val="naisc"/>
              <w:spacing w:before="0" w:after="0"/>
              <w:jc w:val="both"/>
              <w:rPr>
                <w:color w:val="000000"/>
                <w:sz w:val="18"/>
                <w:szCs w:val="18"/>
              </w:rPr>
            </w:pPr>
            <w:r>
              <w:rPr>
                <w:color w:val="000000"/>
                <w:sz w:val="18"/>
                <w:szCs w:val="18"/>
              </w:rPr>
              <w:t xml:space="preserve">Noteikumu projekts un tā anotācija precizēta atbilstoši priekšlikumam. </w:t>
            </w:r>
          </w:p>
          <w:p w14:paraId="61C007A0" w14:textId="73F7BA67" w:rsidR="00BE0F66" w:rsidRPr="00861E7A" w:rsidRDefault="00BE0F66" w:rsidP="00BE0F66"/>
        </w:tc>
        <w:tc>
          <w:tcPr>
            <w:tcW w:w="2835" w:type="dxa"/>
            <w:tcBorders>
              <w:top w:val="single" w:sz="4" w:space="0" w:color="auto"/>
              <w:left w:val="single" w:sz="4" w:space="0" w:color="auto"/>
              <w:bottom w:val="single" w:sz="4" w:space="0" w:color="auto"/>
            </w:tcBorders>
          </w:tcPr>
          <w:p w14:paraId="41404B41" w14:textId="6CA32591" w:rsidR="00BE0F66" w:rsidRPr="00861E7A" w:rsidRDefault="00BE0F66" w:rsidP="00BE0F66">
            <w:pPr>
              <w:shd w:val="clear" w:color="auto" w:fill="FFFFFF"/>
              <w:tabs>
                <w:tab w:val="right" w:pos="9071"/>
              </w:tabs>
              <w:jc w:val="both"/>
              <w:rPr>
                <w:b/>
                <w:i/>
                <w:sz w:val="18"/>
                <w:szCs w:val="18"/>
              </w:rPr>
            </w:pPr>
            <w:r>
              <w:rPr>
                <w:b/>
                <w:i/>
                <w:sz w:val="18"/>
                <w:szCs w:val="18"/>
              </w:rPr>
              <w:t xml:space="preserve">Noteikumu projekta </w:t>
            </w:r>
            <w:r w:rsidRPr="00861E7A">
              <w:rPr>
                <w:b/>
                <w:i/>
                <w:sz w:val="18"/>
                <w:szCs w:val="18"/>
              </w:rPr>
              <w:t>1.15.</w:t>
            </w:r>
            <w:r>
              <w:rPr>
                <w:b/>
                <w:i/>
                <w:sz w:val="18"/>
                <w:szCs w:val="18"/>
              </w:rPr>
              <w:t>apakšpunkts, kas paredz</w:t>
            </w:r>
            <w:r w:rsidRPr="00861E7A">
              <w:rPr>
                <w:b/>
                <w:i/>
                <w:sz w:val="18"/>
                <w:szCs w:val="18"/>
              </w:rPr>
              <w:t xml:space="preserve"> papildināt VI nodaļu ar 34.punktu šādā redakcijā:</w:t>
            </w:r>
          </w:p>
          <w:p w14:paraId="5A93C119" w14:textId="77777777" w:rsidR="00BE0F66" w:rsidRPr="00861E7A" w:rsidRDefault="00BE0F66" w:rsidP="00BE0F66">
            <w:pPr>
              <w:shd w:val="clear" w:color="auto" w:fill="FFFFFF"/>
              <w:tabs>
                <w:tab w:val="right" w:pos="9071"/>
              </w:tabs>
              <w:jc w:val="both"/>
              <w:rPr>
                <w:b/>
                <w:i/>
                <w:sz w:val="18"/>
                <w:szCs w:val="18"/>
              </w:rPr>
            </w:pPr>
          </w:p>
          <w:p w14:paraId="1CE0B335" w14:textId="78E62603" w:rsidR="00BE0F66" w:rsidRPr="00861E7A" w:rsidRDefault="00BE0F66" w:rsidP="00BE0F66">
            <w:pPr>
              <w:shd w:val="clear" w:color="auto" w:fill="FFFFFF"/>
              <w:tabs>
                <w:tab w:val="right" w:pos="9071"/>
              </w:tabs>
              <w:jc w:val="both"/>
              <w:rPr>
                <w:bCs/>
                <w:iCs/>
                <w:sz w:val="18"/>
                <w:szCs w:val="18"/>
              </w:rPr>
            </w:pPr>
            <w:r w:rsidRPr="00861E7A">
              <w:rPr>
                <w:bCs/>
                <w:iCs/>
                <w:sz w:val="18"/>
                <w:szCs w:val="18"/>
              </w:rPr>
              <w:t>“</w:t>
            </w:r>
            <w:r>
              <w:rPr>
                <w:bCs/>
                <w:iCs/>
                <w:sz w:val="18"/>
                <w:szCs w:val="18"/>
              </w:rPr>
              <w:t xml:space="preserve">34. </w:t>
            </w:r>
            <w:r w:rsidRPr="00861E7A">
              <w:rPr>
                <w:bCs/>
                <w:iCs/>
                <w:sz w:val="18"/>
                <w:szCs w:val="18"/>
              </w:rPr>
              <w:t>Šo noteikumu 8.1 punktā minētās prasības neattiecas uz 95.markas benzīnu, kura realizācija mazumtirdzniecībā uzsākta pirms 2020.gada 1.janvāra.”</w:t>
            </w:r>
          </w:p>
        </w:tc>
      </w:tr>
      <w:tr w:rsidR="00BE0F66" w:rsidRPr="00FC31C6" w14:paraId="15C9421D" w14:textId="77777777" w:rsidTr="003B0A26">
        <w:tc>
          <w:tcPr>
            <w:tcW w:w="817" w:type="dxa"/>
            <w:tcBorders>
              <w:left w:val="single" w:sz="6" w:space="0" w:color="000000"/>
              <w:bottom w:val="single" w:sz="4" w:space="0" w:color="auto"/>
              <w:right w:val="single" w:sz="6" w:space="0" w:color="000000"/>
            </w:tcBorders>
          </w:tcPr>
          <w:p w14:paraId="70589CC4" w14:textId="4596922C" w:rsidR="00BE0F66" w:rsidRPr="00441119" w:rsidRDefault="00BE0F66" w:rsidP="00BE0F66">
            <w:pPr>
              <w:jc w:val="center"/>
              <w:rPr>
                <w:sz w:val="18"/>
                <w:szCs w:val="18"/>
              </w:rPr>
            </w:pPr>
            <w:r>
              <w:rPr>
                <w:sz w:val="18"/>
                <w:szCs w:val="18"/>
              </w:rPr>
              <w:t>15.</w:t>
            </w:r>
          </w:p>
        </w:tc>
        <w:tc>
          <w:tcPr>
            <w:tcW w:w="2977" w:type="dxa"/>
            <w:tcBorders>
              <w:left w:val="single" w:sz="6" w:space="0" w:color="000000"/>
              <w:bottom w:val="single" w:sz="4" w:space="0" w:color="auto"/>
              <w:right w:val="single" w:sz="6" w:space="0" w:color="000000"/>
            </w:tcBorders>
          </w:tcPr>
          <w:p w14:paraId="017EF44A" w14:textId="77777777" w:rsidR="00BE0F66" w:rsidRDefault="00BE0F66" w:rsidP="00BE0F66">
            <w:pPr>
              <w:shd w:val="clear" w:color="auto" w:fill="FFFFFF"/>
              <w:jc w:val="both"/>
              <w:rPr>
                <w:b/>
                <w:bCs/>
                <w:sz w:val="18"/>
                <w:szCs w:val="18"/>
              </w:rPr>
            </w:pPr>
            <w:r w:rsidRPr="008E12D5">
              <w:rPr>
                <w:b/>
                <w:bCs/>
                <w:sz w:val="18"/>
                <w:szCs w:val="18"/>
              </w:rPr>
              <w:t>Noteikumu projekta 1.</w:t>
            </w:r>
            <w:r>
              <w:rPr>
                <w:b/>
                <w:bCs/>
                <w:sz w:val="18"/>
                <w:szCs w:val="18"/>
              </w:rPr>
              <w:t>6</w:t>
            </w:r>
            <w:r w:rsidRPr="008E12D5">
              <w:rPr>
                <w:b/>
                <w:bCs/>
                <w:sz w:val="18"/>
                <w:szCs w:val="18"/>
              </w:rPr>
              <w:t xml:space="preserve">.apakšpunkts: </w:t>
            </w:r>
          </w:p>
          <w:p w14:paraId="7E6E68E3" w14:textId="77777777" w:rsidR="00BE0F66" w:rsidRDefault="00BE0F66" w:rsidP="00BE0F66">
            <w:pPr>
              <w:shd w:val="clear" w:color="auto" w:fill="FFFFFF"/>
              <w:jc w:val="both"/>
              <w:rPr>
                <w:b/>
                <w:bCs/>
                <w:sz w:val="18"/>
                <w:szCs w:val="18"/>
              </w:rPr>
            </w:pPr>
          </w:p>
          <w:p w14:paraId="6CBABA89" w14:textId="77777777" w:rsidR="00BE0F66" w:rsidRDefault="00BE0F66" w:rsidP="00BE0F66">
            <w:pPr>
              <w:pStyle w:val="Title"/>
              <w:jc w:val="both"/>
              <w:outlineLvl w:val="0"/>
              <w:rPr>
                <w:sz w:val="18"/>
                <w:szCs w:val="18"/>
              </w:rPr>
            </w:pPr>
            <w:r w:rsidRPr="00B92069">
              <w:rPr>
                <w:sz w:val="18"/>
                <w:szCs w:val="18"/>
              </w:rPr>
              <w:t>“1.</w:t>
            </w:r>
            <w:r>
              <w:rPr>
                <w:sz w:val="18"/>
                <w:szCs w:val="18"/>
              </w:rPr>
              <w:t>6</w:t>
            </w:r>
            <w:r w:rsidRPr="00B92069">
              <w:rPr>
                <w:sz w:val="18"/>
                <w:szCs w:val="18"/>
              </w:rPr>
              <w:t>. aizstāt 9.</w:t>
            </w:r>
            <w:r w:rsidRPr="00B92069">
              <w:rPr>
                <w:sz w:val="18"/>
                <w:szCs w:val="18"/>
                <w:vertAlign w:val="superscript"/>
              </w:rPr>
              <w:t>2</w:t>
            </w:r>
            <w:r w:rsidRPr="00B92069">
              <w:rPr>
                <w:sz w:val="18"/>
                <w:szCs w:val="18"/>
              </w:rPr>
              <w:t xml:space="preserve"> 3.2. un 9.</w:t>
            </w:r>
            <w:r w:rsidRPr="00B92069">
              <w:rPr>
                <w:sz w:val="18"/>
                <w:szCs w:val="18"/>
                <w:vertAlign w:val="superscript"/>
              </w:rPr>
              <w:t>2</w:t>
            </w:r>
            <w:r w:rsidRPr="00B92069">
              <w:rPr>
                <w:sz w:val="18"/>
                <w:szCs w:val="18"/>
              </w:rPr>
              <w:t xml:space="preserve"> 3.3 apakšpunktā vārdus un skaitļus “no 1.</w:t>
            </w:r>
            <w:r>
              <w:rPr>
                <w:sz w:val="18"/>
                <w:szCs w:val="18"/>
              </w:rPr>
              <w:t> </w:t>
            </w:r>
            <w:r w:rsidRPr="00B92069">
              <w:rPr>
                <w:sz w:val="18"/>
                <w:szCs w:val="18"/>
              </w:rPr>
              <w:t>novembra līdz 15. aprīlim” ar vārdiem un skaitļiem “no 10. novembra līdz 10. aprīlim”</w:t>
            </w:r>
            <w:r>
              <w:rPr>
                <w:sz w:val="18"/>
                <w:szCs w:val="18"/>
              </w:rPr>
              <w:t>;</w:t>
            </w:r>
          </w:p>
          <w:p w14:paraId="1282F036" w14:textId="46BD69FC" w:rsidR="00BE0F66" w:rsidRPr="00441119" w:rsidRDefault="00BE0F66" w:rsidP="00BE0F66">
            <w:pPr>
              <w:pStyle w:val="naisc"/>
              <w:spacing w:before="0" w:after="0"/>
              <w:jc w:val="both"/>
              <w:rPr>
                <w:b/>
                <w:i/>
                <w:sz w:val="18"/>
                <w:szCs w:val="18"/>
              </w:rPr>
            </w:pPr>
          </w:p>
        </w:tc>
        <w:tc>
          <w:tcPr>
            <w:tcW w:w="4678" w:type="dxa"/>
            <w:tcBorders>
              <w:left w:val="single" w:sz="6" w:space="0" w:color="000000"/>
              <w:bottom w:val="single" w:sz="4" w:space="0" w:color="auto"/>
              <w:right w:val="single" w:sz="6" w:space="0" w:color="000000"/>
            </w:tcBorders>
          </w:tcPr>
          <w:p w14:paraId="45EFC525" w14:textId="77777777" w:rsidR="00BE0F66" w:rsidRDefault="00BE0F66" w:rsidP="00BE0F66">
            <w:pPr>
              <w:jc w:val="center"/>
              <w:rPr>
                <w:rFonts w:eastAsia="Calibri"/>
                <w:b/>
                <w:bCs/>
                <w:sz w:val="18"/>
                <w:szCs w:val="18"/>
                <w:lang w:eastAsia="en-US"/>
              </w:rPr>
            </w:pPr>
            <w:r w:rsidRPr="00E75A53">
              <w:rPr>
                <w:rFonts w:eastAsia="Calibri"/>
                <w:b/>
                <w:bCs/>
                <w:sz w:val="18"/>
                <w:szCs w:val="18"/>
                <w:lang w:eastAsia="en-US"/>
              </w:rPr>
              <w:t>Latvijas degvielas tirgotāju asociācija</w:t>
            </w:r>
            <w:r>
              <w:rPr>
                <w:rFonts w:eastAsia="Calibri"/>
                <w:b/>
                <w:bCs/>
                <w:sz w:val="18"/>
                <w:szCs w:val="18"/>
                <w:lang w:eastAsia="en-US"/>
              </w:rPr>
              <w:t xml:space="preserve"> (24.10.19)</w:t>
            </w:r>
          </w:p>
          <w:p w14:paraId="16E0FE07" w14:textId="3CA5F396" w:rsidR="00BE0F66" w:rsidRDefault="00BE0F66" w:rsidP="00BE0F66">
            <w:pPr>
              <w:jc w:val="both"/>
              <w:rPr>
                <w:rFonts w:eastAsia="Calibri"/>
                <w:b/>
                <w:bCs/>
                <w:sz w:val="18"/>
                <w:szCs w:val="18"/>
                <w:lang w:eastAsia="en-US"/>
              </w:rPr>
            </w:pPr>
          </w:p>
          <w:p w14:paraId="242426DD" w14:textId="05B8C02C" w:rsidR="00BE0F66" w:rsidRDefault="00BE0F66" w:rsidP="00BE0F66">
            <w:pPr>
              <w:jc w:val="both"/>
              <w:rPr>
                <w:rFonts w:eastAsia="Calibri"/>
                <w:sz w:val="18"/>
                <w:szCs w:val="18"/>
                <w:lang w:eastAsia="en-US"/>
              </w:rPr>
            </w:pPr>
            <w:r w:rsidRPr="00E75A53">
              <w:rPr>
                <w:rFonts w:eastAsia="Calibri"/>
                <w:sz w:val="18"/>
                <w:szCs w:val="18"/>
                <w:lang w:eastAsia="en-US"/>
              </w:rPr>
              <w:t xml:space="preserve">[2.] MK noteikumu projekta 1.6. apakšpunkts paredz 10.11.-10.04. periodu, kurā biodegvielu var nepievienot. Ņemot vērā dažādus transportlīdzekļu lietošanas paradumus, kā arī ievērojot biodegvielas piejaukuma perioda pagarināšanas pamatotību un nepieciešamību, lūdzam 10.11.-10.04. perioda, kurā var nepievienot biodegvielu, vietā noteikt periodu 01.11.-01.04. </w:t>
            </w:r>
          </w:p>
          <w:p w14:paraId="1BB11428" w14:textId="77777777" w:rsidR="00BE0F66" w:rsidRPr="00E75A53" w:rsidRDefault="00BE0F66" w:rsidP="00BE0F66">
            <w:pPr>
              <w:jc w:val="both"/>
              <w:rPr>
                <w:rFonts w:eastAsia="Calibri"/>
                <w:sz w:val="18"/>
                <w:szCs w:val="18"/>
                <w:lang w:eastAsia="en-US"/>
              </w:rPr>
            </w:pPr>
          </w:p>
          <w:p w14:paraId="457E9A22" w14:textId="19F3B378" w:rsidR="00BE0F66" w:rsidRPr="00E75A53" w:rsidRDefault="00BE0F66" w:rsidP="00BE0F66">
            <w:pPr>
              <w:jc w:val="both"/>
              <w:rPr>
                <w:rFonts w:eastAsia="Calibri"/>
                <w:sz w:val="18"/>
                <w:szCs w:val="18"/>
                <w:lang w:eastAsia="en-US"/>
              </w:rPr>
            </w:pPr>
            <w:r w:rsidRPr="00E75A53">
              <w:rPr>
                <w:rFonts w:eastAsia="Calibri"/>
                <w:sz w:val="18"/>
                <w:szCs w:val="18"/>
                <w:lang w:eastAsia="en-US"/>
              </w:rPr>
              <w:t>Šāds periods samazinās degvielas filtru nosprostošanās risku dēļ pazeminātas temperatūras gadījumos, kad transportlīdzeklim ir ietilpīga bāka un transportlīdzeklis netiek ekspluatēts katru dienu. Piemēram, ja marta beigās iegādāta arktiskās klases degviela, tā nerada degvielas filtru nosprostošanās risku gadījumos, kad transportlīdzeklis ar to pašu degvielu bākās tiek lietots, piemēram, vēl aprīļa beigās. Citādi tas ir gadījumos, ja oktobra beigās iegādājas degvielu ar biodegvielas piejaukumu, tas rada lielu risku novembra vidū vai beigās aizsprostoties degvielas filtram dēļ pazeminātas gaisa temperatūras un biodegvielas piejaukuma.</w:t>
            </w:r>
          </w:p>
          <w:p w14:paraId="2D27FB07" w14:textId="1A6B0665" w:rsidR="00BE0F66" w:rsidRPr="00441119" w:rsidRDefault="00BE0F66" w:rsidP="00BE0F66">
            <w:pPr>
              <w:jc w:val="both"/>
              <w:rPr>
                <w:rFonts w:eastAsia="Calibri"/>
                <w:sz w:val="18"/>
                <w:szCs w:val="18"/>
                <w:lang w:eastAsia="en-US"/>
              </w:rPr>
            </w:pPr>
          </w:p>
        </w:tc>
        <w:tc>
          <w:tcPr>
            <w:tcW w:w="4110" w:type="dxa"/>
            <w:tcBorders>
              <w:left w:val="single" w:sz="6" w:space="0" w:color="000000"/>
              <w:bottom w:val="single" w:sz="4" w:space="0" w:color="auto"/>
              <w:right w:val="single" w:sz="6" w:space="0" w:color="000000"/>
            </w:tcBorders>
          </w:tcPr>
          <w:p w14:paraId="07EF037C" w14:textId="77777777" w:rsidR="00BE0F66" w:rsidRDefault="00BE0F66" w:rsidP="00BE0F66">
            <w:pPr>
              <w:pStyle w:val="naisc"/>
              <w:spacing w:before="0" w:after="0"/>
              <w:rPr>
                <w:b/>
                <w:bCs/>
                <w:color w:val="000000"/>
                <w:sz w:val="18"/>
                <w:szCs w:val="18"/>
              </w:rPr>
            </w:pPr>
            <w:r w:rsidRPr="00861E7A">
              <w:rPr>
                <w:b/>
                <w:bCs/>
                <w:color w:val="000000"/>
                <w:sz w:val="18"/>
                <w:szCs w:val="18"/>
              </w:rPr>
              <w:t>Ņemts vērā</w:t>
            </w:r>
          </w:p>
          <w:p w14:paraId="3A7F2D69" w14:textId="64FD7B5D" w:rsidR="00BE0F66" w:rsidRPr="00861E7A" w:rsidRDefault="00BE0F66" w:rsidP="00BE0F66">
            <w:pPr>
              <w:pStyle w:val="Heading3"/>
              <w:jc w:val="both"/>
              <w:rPr>
                <w:rFonts w:ascii="Times New Roman" w:hAnsi="Times New Roman"/>
                <w:b w:val="0"/>
                <w:bCs w:val="0"/>
                <w:sz w:val="18"/>
                <w:szCs w:val="18"/>
              </w:rPr>
            </w:pPr>
            <w:r w:rsidRPr="00861E7A">
              <w:rPr>
                <w:rFonts w:ascii="Times New Roman" w:hAnsi="Times New Roman"/>
                <w:b w:val="0"/>
                <w:bCs w:val="0"/>
                <w:sz w:val="18"/>
                <w:szCs w:val="18"/>
              </w:rPr>
              <w:t>Noteikumu projekts precizēts atbilstoši priekšlikumam.</w:t>
            </w:r>
          </w:p>
        </w:tc>
        <w:tc>
          <w:tcPr>
            <w:tcW w:w="2835" w:type="dxa"/>
            <w:tcBorders>
              <w:top w:val="single" w:sz="4" w:space="0" w:color="auto"/>
              <w:left w:val="single" w:sz="4" w:space="0" w:color="auto"/>
              <w:bottom w:val="single" w:sz="4" w:space="0" w:color="auto"/>
            </w:tcBorders>
          </w:tcPr>
          <w:p w14:paraId="297D957A" w14:textId="77777777" w:rsidR="00BE0F66" w:rsidRDefault="00BE0F66" w:rsidP="00BE0F66">
            <w:pPr>
              <w:shd w:val="clear" w:color="auto" w:fill="FFFFFF"/>
              <w:jc w:val="both"/>
              <w:rPr>
                <w:b/>
                <w:bCs/>
                <w:sz w:val="18"/>
                <w:szCs w:val="18"/>
              </w:rPr>
            </w:pPr>
            <w:r w:rsidRPr="008E12D5">
              <w:rPr>
                <w:b/>
                <w:bCs/>
                <w:sz w:val="18"/>
                <w:szCs w:val="18"/>
              </w:rPr>
              <w:t>Noteikumu projekta 1.</w:t>
            </w:r>
            <w:r>
              <w:rPr>
                <w:b/>
                <w:bCs/>
                <w:sz w:val="18"/>
                <w:szCs w:val="18"/>
              </w:rPr>
              <w:t>7</w:t>
            </w:r>
            <w:r w:rsidRPr="008E12D5">
              <w:rPr>
                <w:b/>
                <w:bCs/>
                <w:sz w:val="18"/>
                <w:szCs w:val="18"/>
              </w:rPr>
              <w:t xml:space="preserve">.apakšpunkts: </w:t>
            </w:r>
          </w:p>
          <w:p w14:paraId="51DC3A18" w14:textId="77777777" w:rsidR="00BE0F66" w:rsidRDefault="00BE0F66" w:rsidP="00BE0F66">
            <w:pPr>
              <w:shd w:val="clear" w:color="auto" w:fill="FFFFFF"/>
              <w:jc w:val="both"/>
              <w:rPr>
                <w:sz w:val="18"/>
                <w:szCs w:val="18"/>
              </w:rPr>
            </w:pPr>
          </w:p>
          <w:p w14:paraId="08AD7D38" w14:textId="77777777" w:rsidR="00BE0F66" w:rsidRDefault="00BE0F66" w:rsidP="00BE0F66">
            <w:pPr>
              <w:shd w:val="clear" w:color="auto" w:fill="FFFFFF"/>
              <w:jc w:val="both"/>
              <w:rPr>
                <w:sz w:val="18"/>
                <w:szCs w:val="18"/>
              </w:rPr>
            </w:pPr>
            <w:r>
              <w:rPr>
                <w:sz w:val="18"/>
                <w:szCs w:val="18"/>
              </w:rPr>
              <w:t>“</w:t>
            </w:r>
            <w:r w:rsidRPr="00B92069">
              <w:rPr>
                <w:sz w:val="18"/>
                <w:szCs w:val="18"/>
              </w:rPr>
              <w:t>1.7. aizstāt 9.</w:t>
            </w:r>
            <w:r w:rsidRPr="00B92069">
              <w:rPr>
                <w:sz w:val="18"/>
                <w:szCs w:val="18"/>
                <w:vertAlign w:val="superscript"/>
              </w:rPr>
              <w:t>2</w:t>
            </w:r>
            <w:r w:rsidRPr="00B92069">
              <w:rPr>
                <w:sz w:val="18"/>
                <w:szCs w:val="18"/>
              </w:rPr>
              <w:t xml:space="preserve"> 3.2. un 9.</w:t>
            </w:r>
            <w:r w:rsidRPr="00B92069">
              <w:rPr>
                <w:sz w:val="18"/>
                <w:szCs w:val="18"/>
                <w:vertAlign w:val="superscript"/>
              </w:rPr>
              <w:t>2</w:t>
            </w:r>
            <w:r w:rsidRPr="00B92069">
              <w:rPr>
                <w:sz w:val="18"/>
                <w:szCs w:val="18"/>
              </w:rPr>
              <w:t xml:space="preserve"> 3.3 apakšpunktā vārdus un skaitļus “no 1. novembra līdz 15. aprīlim” ar vārdiem un skaitļiem “no 1. novembra līdz 1. aprīlim”</w:t>
            </w:r>
          </w:p>
          <w:p w14:paraId="3BFDE1B9" w14:textId="23F6A889" w:rsidR="00BE0F66" w:rsidRPr="00441119" w:rsidRDefault="00BE0F66" w:rsidP="00BE0F66">
            <w:pPr>
              <w:shd w:val="clear" w:color="auto" w:fill="FFFFFF"/>
              <w:tabs>
                <w:tab w:val="right" w:pos="9071"/>
              </w:tabs>
              <w:jc w:val="both"/>
              <w:rPr>
                <w:b/>
                <w:i/>
                <w:sz w:val="18"/>
                <w:szCs w:val="18"/>
              </w:rPr>
            </w:pPr>
          </w:p>
        </w:tc>
      </w:tr>
    </w:tbl>
    <w:p w14:paraId="011A88BE" w14:textId="6E161487" w:rsidR="00F934BC" w:rsidRDefault="00F934BC" w:rsidP="00F934BC">
      <w:pPr>
        <w:rPr>
          <w:color w:val="000000"/>
          <w:sz w:val="20"/>
        </w:rPr>
      </w:pPr>
    </w:p>
    <w:tbl>
      <w:tblPr>
        <w:tblW w:w="5972" w:type="dxa"/>
        <w:tblInd w:w="-8" w:type="dxa"/>
        <w:tblLayout w:type="fixed"/>
        <w:tblLook w:val="00A0" w:firstRow="1" w:lastRow="0" w:firstColumn="1" w:lastColumn="0" w:noHBand="0" w:noVBand="0"/>
      </w:tblPr>
      <w:tblGrid>
        <w:gridCol w:w="5972"/>
      </w:tblGrid>
      <w:tr w:rsidR="008A2743" w:rsidRPr="008A2743" w14:paraId="02275CF8" w14:textId="77777777" w:rsidTr="008A2743">
        <w:trPr>
          <w:trHeight w:val="463"/>
        </w:trPr>
        <w:tc>
          <w:tcPr>
            <w:tcW w:w="5972" w:type="dxa"/>
            <w:tcBorders>
              <w:bottom w:val="single" w:sz="4" w:space="0" w:color="000000"/>
            </w:tcBorders>
          </w:tcPr>
          <w:p w14:paraId="61227675" w14:textId="5CF46E86" w:rsidR="008A2743" w:rsidRPr="008A2743" w:rsidRDefault="008A2743" w:rsidP="00E36257">
            <w:pPr>
              <w:rPr>
                <w:sz w:val="20"/>
                <w:szCs w:val="20"/>
              </w:rPr>
            </w:pPr>
            <w:r w:rsidRPr="008A2743">
              <w:rPr>
                <w:sz w:val="20"/>
                <w:szCs w:val="20"/>
              </w:rPr>
              <w:t>Mikus Ramanis</w:t>
            </w:r>
          </w:p>
        </w:tc>
      </w:tr>
      <w:tr w:rsidR="008A2743" w:rsidRPr="008A2743" w14:paraId="47E10C34" w14:textId="77777777" w:rsidTr="008A2743">
        <w:trPr>
          <w:trHeight w:val="231"/>
        </w:trPr>
        <w:tc>
          <w:tcPr>
            <w:tcW w:w="5972" w:type="dxa"/>
            <w:tcBorders>
              <w:top w:val="single" w:sz="4" w:space="0" w:color="000000"/>
            </w:tcBorders>
          </w:tcPr>
          <w:p w14:paraId="3B26503D" w14:textId="77777777" w:rsidR="008A2743" w:rsidRPr="008A2743" w:rsidRDefault="008A2743" w:rsidP="00E36257">
            <w:pPr>
              <w:jc w:val="center"/>
              <w:rPr>
                <w:sz w:val="20"/>
                <w:szCs w:val="20"/>
              </w:rPr>
            </w:pPr>
            <w:r w:rsidRPr="008A2743">
              <w:rPr>
                <w:sz w:val="20"/>
                <w:szCs w:val="20"/>
              </w:rPr>
              <w:t>(par projektu atbildīgās amatpersonas vārds un uzvārds)</w:t>
            </w:r>
          </w:p>
        </w:tc>
      </w:tr>
      <w:tr w:rsidR="008A2743" w:rsidRPr="008A2743" w14:paraId="0BB715CC" w14:textId="77777777" w:rsidTr="008A2743">
        <w:trPr>
          <w:trHeight w:val="231"/>
        </w:trPr>
        <w:tc>
          <w:tcPr>
            <w:tcW w:w="5972" w:type="dxa"/>
            <w:tcBorders>
              <w:bottom w:val="single" w:sz="4" w:space="0" w:color="000000"/>
            </w:tcBorders>
          </w:tcPr>
          <w:p w14:paraId="1F9E01C8" w14:textId="65AEFDD9" w:rsidR="008A2743" w:rsidRPr="008A2743" w:rsidRDefault="008A2743" w:rsidP="00E36257">
            <w:pPr>
              <w:rPr>
                <w:sz w:val="20"/>
                <w:szCs w:val="20"/>
              </w:rPr>
            </w:pPr>
            <w:r w:rsidRPr="008A2743">
              <w:rPr>
                <w:sz w:val="20"/>
                <w:szCs w:val="20"/>
              </w:rPr>
              <w:t>Vecākais eksperts</w:t>
            </w:r>
          </w:p>
        </w:tc>
      </w:tr>
      <w:tr w:rsidR="008A2743" w:rsidRPr="008A2743" w14:paraId="7122BA17" w14:textId="77777777" w:rsidTr="008A2743">
        <w:trPr>
          <w:trHeight w:val="231"/>
        </w:trPr>
        <w:tc>
          <w:tcPr>
            <w:tcW w:w="5972" w:type="dxa"/>
            <w:tcBorders>
              <w:top w:val="single" w:sz="4" w:space="0" w:color="000000"/>
            </w:tcBorders>
          </w:tcPr>
          <w:p w14:paraId="09CBF92C" w14:textId="77777777" w:rsidR="008A2743" w:rsidRPr="008A2743" w:rsidRDefault="008A2743" w:rsidP="00E36257">
            <w:pPr>
              <w:jc w:val="center"/>
              <w:rPr>
                <w:sz w:val="20"/>
                <w:szCs w:val="20"/>
              </w:rPr>
            </w:pPr>
            <w:r w:rsidRPr="008A2743">
              <w:rPr>
                <w:sz w:val="20"/>
                <w:szCs w:val="20"/>
              </w:rPr>
              <w:t>(amats)</w:t>
            </w:r>
          </w:p>
        </w:tc>
      </w:tr>
      <w:tr w:rsidR="008A2743" w:rsidRPr="008A2743" w14:paraId="1ADD9EE5" w14:textId="77777777" w:rsidTr="008A2743">
        <w:trPr>
          <w:trHeight w:val="221"/>
        </w:trPr>
        <w:tc>
          <w:tcPr>
            <w:tcW w:w="5972" w:type="dxa"/>
            <w:tcBorders>
              <w:bottom w:val="single" w:sz="4" w:space="0" w:color="000000"/>
            </w:tcBorders>
          </w:tcPr>
          <w:p w14:paraId="5C49EB88" w14:textId="495058C9" w:rsidR="008A2743" w:rsidRPr="008A2743" w:rsidRDefault="008A2743" w:rsidP="00E36257">
            <w:pPr>
              <w:rPr>
                <w:sz w:val="20"/>
                <w:szCs w:val="20"/>
              </w:rPr>
            </w:pPr>
            <w:r w:rsidRPr="008A2743">
              <w:rPr>
                <w:sz w:val="20"/>
                <w:szCs w:val="20"/>
              </w:rPr>
              <w:t>67013149</w:t>
            </w:r>
          </w:p>
        </w:tc>
      </w:tr>
      <w:tr w:rsidR="008A2743" w:rsidRPr="008A2743" w14:paraId="0DC1D090" w14:textId="77777777" w:rsidTr="008A2743">
        <w:trPr>
          <w:trHeight w:val="231"/>
        </w:trPr>
        <w:tc>
          <w:tcPr>
            <w:tcW w:w="5972" w:type="dxa"/>
            <w:tcBorders>
              <w:top w:val="single" w:sz="4" w:space="0" w:color="000000"/>
            </w:tcBorders>
          </w:tcPr>
          <w:p w14:paraId="43256C8A" w14:textId="77777777" w:rsidR="008A2743" w:rsidRPr="008A2743" w:rsidRDefault="008A2743" w:rsidP="00E36257">
            <w:pPr>
              <w:jc w:val="center"/>
              <w:rPr>
                <w:sz w:val="20"/>
                <w:szCs w:val="20"/>
              </w:rPr>
            </w:pPr>
            <w:r w:rsidRPr="008A2743">
              <w:rPr>
                <w:sz w:val="20"/>
                <w:szCs w:val="20"/>
              </w:rPr>
              <w:t>(tālruņa un faksa numurs)</w:t>
            </w:r>
          </w:p>
        </w:tc>
      </w:tr>
      <w:tr w:rsidR="008A2743" w:rsidRPr="008A2743" w14:paraId="22A2BE03" w14:textId="77777777" w:rsidTr="008A2743">
        <w:trPr>
          <w:trHeight w:val="231"/>
        </w:trPr>
        <w:tc>
          <w:tcPr>
            <w:tcW w:w="5972" w:type="dxa"/>
            <w:tcBorders>
              <w:bottom w:val="single" w:sz="4" w:space="0" w:color="000000"/>
            </w:tcBorders>
          </w:tcPr>
          <w:p w14:paraId="5F6AE367" w14:textId="2722FD5D" w:rsidR="008A2743" w:rsidRPr="008A2743" w:rsidRDefault="008A2743" w:rsidP="00E36257">
            <w:pPr>
              <w:rPr>
                <w:sz w:val="20"/>
                <w:szCs w:val="20"/>
              </w:rPr>
            </w:pPr>
            <w:r w:rsidRPr="008A2743">
              <w:rPr>
                <w:sz w:val="20"/>
                <w:szCs w:val="20"/>
              </w:rPr>
              <w:t>Mikus.Ramanis@em.gov.lv</w:t>
            </w:r>
          </w:p>
        </w:tc>
      </w:tr>
      <w:tr w:rsidR="008A2743" w:rsidRPr="008A2743" w14:paraId="7E8BD1F9" w14:textId="77777777" w:rsidTr="008A2743">
        <w:trPr>
          <w:trHeight w:val="231"/>
        </w:trPr>
        <w:tc>
          <w:tcPr>
            <w:tcW w:w="5972" w:type="dxa"/>
            <w:tcBorders>
              <w:top w:val="single" w:sz="4" w:space="0" w:color="000000"/>
            </w:tcBorders>
          </w:tcPr>
          <w:p w14:paraId="58603987" w14:textId="661E52A7" w:rsidR="008A2743" w:rsidRPr="008A2743" w:rsidRDefault="008A2743" w:rsidP="00E36257">
            <w:pPr>
              <w:jc w:val="center"/>
              <w:rPr>
                <w:sz w:val="20"/>
                <w:szCs w:val="20"/>
              </w:rPr>
            </w:pPr>
            <w:r w:rsidRPr="008A2743">
              <w:rPr>
                <w:sz w:val="20"/>
                <w:szCs w:val="20"/>
              </w:rPr>
              <w:t xml:space="preserve"> (e-pasta adrese)</w:t>
            </w:r>
          </w:p>
        </w:tc>
      </w:tr>
    </w:tbl>
    <w:p w14:paraId="601E8071" w14:textId="77777777" w:rsidR="008A2743" w:rsidRDefault="008A2743" w:rsidP="00F934BC">
      <w:pPr>
        <w:rPr>
          <w:color w:val="000000"/>
          <w:sz w:val="20"/>
        </w:rPr>
      </w:pPr>
    </w:p>
    <w:sectPr w:rsidR="008A2743" w:rsidSect="006B4D35">
      <w:headerReference w:type="even" r:id="rId8"/>
      <w:headerReference w:type="default" r:id="rId9"/>
      <w:headerReference w:type="first" r:id="rId10"/>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24F25" w14:textId="77777777" w:rsidR="003A4A82" w:rsidRDefault="003A4A82">
      <w:r>
        <w:separator/>
      </w:r>
    </w:p>
  </w:endnote>
  <w:endnote w:type="continuationSeparator" w:id="0">
    <w:p w14:paraId="2323AB0A" w14:textId="77777777" w:rsidR="003A4A82" w:rsidRDefault="003A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E6C5" w14:textId="77777777" w:rsidR="003A4A82" w:rsidRDefault="003A4A82">
      <w:r>
        <w:separator/>
      </w:r>
    </w:p>
  </w:footnote>
  <w:footnote w:type="continuationSeparator" w:id="0">
    <w:p w14:paraId="3993B326" w14:textId="77777777" w:rsidR="003A4A82" w:rsidRDefault="003A4A82">
      <w:r>
        <w:continuationSeparator/>
      </w:r>
    </w:p>
  </w:footnote>
  <w:footnote w:id="1">
    <w:p w14:paraId="5049A3DE" w14:textId="64E300D6" w:rsidR="00AC72A0" w:rsidRPr="003511FE" w:rsidRDefault="00AC72A0">
      <w:pPr>
        <w:pStyle w:val="FootnoteText"/>
        <w:rPr>
          <w:i/>
          <w:iCs/>
          <w:sz w:val="18"/>
          <w:szCs w:val="18"/>
        </w:rPr>
      </w:pPr>
      <w:r w:rsidRPr="003511FE">
        <w:rPr>
          <w:rStyle w:val="FootnoteReference"/>
          <w:i/>
          <w:iCs/>
          <w:sz w:val="18"/>
          <w:szCs w:val="18"/>
        </w:rPr>
        <w:footnoteRef/>
      </w:r>
      <w:r w:rsidRPr="003511FE">
        <w:rPr>
          <w:i/>
          <w:iCs/>
          <w:sz w:val="18"/>
          <w:szCs w:val="18"/>
        </w:rPr>
        <w:t xml:space="preserve"> Pētījumi pieejami: </w:t>
      </w:r>
      <w:hyperlink r:id="rId1" w:history="1">
        <w:r w:rsidRPr="003511FE">
          <w:rPr>
            <w:rStyle w:val="Hyperlink"/>
            <w:i/>
            <w:iCs/>
            <w:sz w:val="18"/>
            <w:szCs w:val="18"/>
          </w:rPr>
          <w:t>http://www.tf.llu.lv/adzl/publikacijas.htm</w:t>
        </w:r>
      </w:hyperlink>
      <w:r w:rsidRPr="003511FE">
        <w:rPr>
          <w:i/>
          <w:iCs/>
          <w:sz w:val="18"/>
          <w:szCs w:val="18"/>
        </w:rPr>
        <w:t xml:space="preserve"> </w:t>
      </w:r>
    </w:p>
  </w:footnote>
  <w:footnote w:id="2">
    <w:p w14:paraId="306E76C2" w14:textId="4D55ACEF" w:rsidR="00AC72A0" w:rsidRDefault="00AC72A0">
      <w:pPr>
        <w:pStyle w:val="FootnoteText"/>
        <w:rPr>
          <w:i/>
          <w:iCs/>
          <w:sz w:val="18"/>
          <w:szCs w:val="18"/>
        </w:rPr>
      </w:pPr>
      <w:r w:rsidRPr="003511FE">
        <w:rPr>
          <w:rStyle w:val="FootnoteReference"/>
          <w:i/>
          <w:iCs/>
          <w:sz w:val="18"/>
          <w:szCs w:val="18"/>
        </w:rPr>
        <w:footnoteRef/>
      </w:r>
      <w:r w:rsidRPr="003511FE">
        <w:rPr>
          <w:i/>
          <w:iCs/>
          <w:sz w:val="18"/>
          <w:szCs w:val="18"/>
        </w:rPr>
        <w:t xml:space="preserve"> </w:t>
      </w:r>
      <w:hyperlink r:id="rId2" w:history="1">
        <w:r w:rsidRPr="001D7D42">
          <w:rPr>
            <w:rStyle w:val="Hyperlink"/>
            <w:i/>
            <w:iCs/>
            <w:sz w:val="18"/>
            <w:szCs w:val="18"/>
          </w:rPr>
          <w:t>https://www.euractiv.com/section/transport/news/test-shows-e10-increases-fuel-consumption/</w:t>
        </w:r>
      </w:hyperlink>
    </w:p>
    <w:p w14:paraId="5FABBBC4" w14:textId="77777777" w:rsidR="00AC72A0" w:rsidRDefault="00AC72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BDE3" w14:textId="77777777" w:rsidR="00B17D5A" w:rsidRDefault="00B17D5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F685D" w14:textId="77777777" w:rsidR="00B17D5A" w:rsidRDefault="00B17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8A45" w14:textId="77777777" w:rsidR="00B17D5A" w:rsidRDefault="00B17D5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A2E">
      <w:rPr>
        <w:rStyle w:val="PageNumber"/>
        <w:noProof/>
      </w:rPr>
      <w:t>26</w:t>
    </w:r>
    <w:r>
      <w:rPr>
        <w:rStyle w:val="PageNumber"/>
      </w:rPr>
      <w:fldChar w:fldCharType="end"/>
    </w:r>
  </w:p>
  <w:p w14:paraId="2EEC6C62" w14:textId="77777777" w:rsidR="00B17D5A" w:rsidRDefault="00B17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5F90" w14:textId="77777777" w:rsidR="00C67571" w:rsidRDefault="00C67571" w:rsidP="00C67571">
    <w:pPr>
      <w:pStyle w:val="Header"/>
      <w:tabs>
        <w:tab w:val="clear" w:pos="4153"/>
        <w:tab w:val="clear" w:pos="8306"/>
        <w:tab w:val="left" w:pos="1114"/>
        <w:tab w:val="left" w:pos="351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56E"/>
    <w:multiLevelType w:val="hybridMultilevel"/>
    <w:tmpl w:val="5554CE9C"/>
    <w:lvl w:ilvl="0" w:tplc="AB1015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DDF3693"/>
    <w:multiLevelType w:val="hybridMultilevel"/>
    <w:tmpl w:val="2CD696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6464D53"/>
    <w:multiLevelType w:val="hybridMultilevel"/>
    <w:tmpl w:val="C2EC57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02D4885"/>
    <w:multiLevelType w:val="hybridMultilevel"/>
    <w:tmpl w:val="454009AC"/>
    <w:lvl w:ilvl="0" w:tplc="04DA6B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947875"/>
    <w:multiLevelType w:val="hybridMultilevel"/>
    <w:tmpl w:val="1B5884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1215D4"/>
    <w:multiLevelType w:val="hybridMultilevel"/>
    <w:tmpl w:val="241CC76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E655F6B"/>
    <w:multiLevelType w:val="hybridMultilevel"/>
    <w:tmpl w:val="337207E4"/>
    <w:lvl w:ilvl="0" w:tplc="7F74EDE0">
      <w:start w:val="1"/>
      <w:numFmt w:val="decimal"/>
      <w:lvlText w:val="%1."/>
      <w:lvlJc w:val="left"/>
      <w:pPr>
        <w:ind w:left="720" w:hanging="360"/>
      </w:pPr>
      <w:rPr>
        <w:rFonts w:ascii="Calibri" w:eastAsia="Calibri" w:hAnsi="Calibri" w:cs="Times New Roman" w:hint="default"/>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F47439F"/>
    <w:multiLevelType w:val="hybridMultilevel"/>
    <w:tmpl w:val="CC6CD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7"/>
  </w:num>
  <w:num w:numId="5">
    <w:abstractNumId w:val="4"/>
  </w:num>
  <w:num w:numId="6">
    <w:abstractNumId w:val="5"/>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06D4B"/>
    <w:rsid w:val="0001118D"/>
    <w:rsid w:val="0001131F"/>
    <w:rsid w:val="00011663"/>
    <w:rsid w:val="0001249F"/>
    <w:rsid w:val="000125C0"/>
    <w:rsid w:val="0001270C"/>
    <w:rsid w:val="000136AA"/>
    <w:rsid w:val="00013B4C"/>
    <w:rsid w:val="00013BF6"/>
    <w:rsid w:val="00013F78"/>
    <w:rsid w:val="0001554C"/>
    <w:rsid w:val="00015B94"/>
    <w:rsid w:val="00015C84"/>
    <w:rsid w:val="00015DE5"/>
    <w:rsid w:val="000172E2"/>
    <w:rsid w:val="00017449"/>
    <w:rsid w:val="00020249"/>
    <w:rsid w:val="00022338"/>
    <w:rsid w:val="0002296A"/>
    <w:rsid w:val="00022ABE"/>
    <w:rsid w:val="00022B0F"/>
    <w:rsid w:val="00022B9A"/>
    <w:rsid w:val="00023FD6"/>
    <w:rsid w:val="0002416A"/>
    <w:rsid w:val="00024CCD"/>
    <w:rsid w:val="00024D20"/>
    <w:rsid w:val="000253DB"/>
    <w:rsid w:val="00026A07"/>
    <w:rsid w:val="000278E7"/>
    <w:rsid w:val="00027A63"/>
    <w:rsid w:val="00027F9D"/>
    <w:rsid w:val="000307B5"/>
    <w:rsid w:val="00030CA0"/>
    <w:rsid w:val="00032457"/>
    <w:rsid w:val="0003413A"/>
    <w:rsid w:val="000349CA"/>
    <w:rsid w:val="0003557A"/>
    <w:rsid w:val="00035C06"/>
    <w:rsid w:val="000366DF"/>
    <w:rsid w:val="000376CD"/>
    <w:rsid w:val="0004037B"/>
    <w:rsid w:val="00040A5C"/>
    <w:rsid w:val="00043005"/>
    <w:rsid w:val="0004345F"/>
    <w:rsid w:val="00044026"/>
    <w:rsid w:val="00046075"/>
    <w:rsid w:val="00046CAD"/>
    <w:rsid w:val="00046F5C"/>
    <w:rsid w:val="00047385"/>
    <w:rsid w:val="00050554"/>
    <w:rsid w:val="00053706"/>
    <w:rsid w:val="00053E04"/>
    <w:rsid w:val="000560A4"/>
    <w:rsid w:val="000569F9"/>
    <w:rsid w:val="000579E6"/>
    <w:rsid w:val="00060E03"/>
    <w:rsid w:val="000613EC"/>
    <w:rsid w:val="00063B2E"/>
    <w:rsid w:val="000641CE"/>
    <w:rsid w:val="00065271"/>
    <w:rsid w:val="00066176"/>
    <w:rsid w:val="0006618D"/>
    <w:rsid w:val="00066885"/>
    <w:rsid w:val="0006694E"/>
    <w:rsid w:val="00066A37"/>
    <w:rsid w:val="00066F05"/>
    <w:rsid w:val="00070B13"/>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87183"/>
    <w:rsid w:val="00090168"/>
    <w:rsid w:val="00090C76"/>
    <w:rsid w:val="00091033"/>
    <w:rsid w:val="00091B3F"/>
    <w:rsid w:val="00091C5A"/>
    <w:rsid w:val="00091F10"/>
    <w:rsid w:val="0009302B"/>
    <w:rsid w:val="00093EC2"/>
    <w:rsid w:val="000958A2"/>
    <w:rsid w:val="000965E7"/>
    <w:rsid w:val="000A0041"/>
    <w:rsid w:val="000A06FC"/>
    <w:rsid w:val="000A0FA9"/>
    <w:rsid w:val="000A1A02"/>
    <w:rsid w:val="000A2E40"/>
    <w:rsid w:val="000A4035"/>
    <w:rsid w:val="000A483A"/>
    <w:rsid w:val="000A55D2"/>
    <w:rsid w:val="000A64D3"/>
    <w:rsid w:val="000A77B9"/>
    <w:rsid w:val="000A7EA7"/>
    <w:rsid w:val="000B031F"/>
    <w:rsid w:val="000B0403"/>
    <w:rsid w:val="000B057B"/>
    <w:rsid w:val="000B06E7"/>
    <w:rsid w:val="000B0C94"/>
    <w:rsid w:val="000B15E5"/>
    <w:rsid w:val="000B2382"/>
    <w:rsid w:val="000B3171"/>
    <w:rsid w:val="000B34A5"/>
    <w:rsid w:val="000B4746"/>
    <w:rsid w:val="000B6E46"/>
    <w:rsid w:val="000B7966"/>
    <w:rsid w:val="000B7CB1"/>
    <w:rsid w:val="000C0AE6"/>
    <w:rsid w:val="000C0D0D"/>
    <w:rsid w:val="000C2555"/>
    <w:rsid w:val="000C2D9E"/>
    <w:rsid w:val="000C3469"/>
    <w:rsid w:val="000C3545"/>
    <w:rsid w:val="000C498A"/>
    <w:rsid w:val="000C4C16"/>
    <w:rsid w:val="000C56FC"/>
    <w:rsid w:val="000C7907"/>
    <w:rsid w:val="000C7A11"/>
    <w:rsid w:val="000C7F5E"/>
    <w:rsid w:val="000D00AC"/>
    <w:rsid w:val="000D0AED"/>
    <w:rsid w:val="000D3602"/>
    <w:rsid w:val="000D381E"/>
    <w:rsid w:val="000D4D89"/>
    <w:rsid w:val="000D6BBD"/>
    <w:rsid w:val="000D7751"/>
    <w:rsid w:val="000D7C23"/>
    <w:rsid w:val="000E0A16"/>
    <w:rsid w:val="000E1BFA"/>
    <w:rsid w:val="000E2142"/>
    <w:rsid w:val="000E21D0"/>
    <w:rsid w:val="000E2A38"/>
    <w:rsid w:val="000E2ACC"/>
    <w:rsid w:val="000E5509"/>
    <w:rsid w:val="000E585F"/>
    <w:rsid w:val="000E66F8"/>
    <w:rsid w:val="000E7058"/>
    <w:rsid w:val="000F054F"/>
    <w:rsid w:val="000F079D"/>
    <w:rsid w:val="000F0D9D"/>
    <w:rsid w:val="000F1A3C"/>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0A1"/>
    <w:rsid w:val="0014319C"/>
    <w:rsid w:val="001436B3"/>
    <w:rsid w:val="00143976"/>
    <w:rsid w:val="00143CCA"/>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70E"/>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3E2"/>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2FD4"/>
    <w:rsid w:val="001A7C72"/>
    <w:rsid w:val="001B084B"/>
    <w:rsid w:val="001B0CEC"/>
    <w:rsid w:val="001B0FFC"/>
    <w:rsid w:val="001B1CF2"/>
    <w:rsid w:val="001B4388"/>
    <w:rsid w:val="001B463E"/>
    <w:rsid w:val="001B49E0"/>
    <w:rsid w:val="001B5377"/>
    <w:rsid w:val="001B5D6F"/>
    <w:rsid w:val="001B6553"/>
    <w:rsid w:val="001B6647"/>
    <w:rsid w:val="001B6A47"/>
    <w:rsid w:val="001B6B0A"/>
    <w:rsid w:val="001B6C3C"/>
    <w:rsid w:val="001C0824"/>
    <w:rsid w:val="001C0B83"/>
    <w:rsid w:val="001C0C33"/>
    <w:rsid w:val="001C0FC1"/>
    <w:rsid w:val="001C10FD"/>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02D"/>
    <w:rsid w:val="001D6FAA"/>
    <w:rsid w:val="001D70FA"/>
    <w:rsid w:val="001D7292"/>
    <w:rsid w:val="001D7BA9"/>
    <w:rsid w:val="001E039D"/>
    <w:rsid w:val="001E22E7"/>
    <w:rsid w:val="001E2714"/>
    <w:rsid w:val="001E398C"/>
    <w:rsid w:val="001E4456"/>
    <w:rsid w:val="001E4DDC"/>
    <w:rsid w:val="001E774F"/>
    <w:rsid w:val="001E7C1D"/>
    <w:rsid w:val="001F073F"/>
    <w:rsid w:val="001F1CB2"/>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471"/>
    <w:rsid w:val="002116EE"/>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26F"/>
    <w:rsid w:val="002268BF"/>
    <w:rsid w:val="00227BDE"/>
    <w:rsid w:val="00230045"/>
    <w:rsid w:val="0023014E"/>
    <w:rsid w:val="002308FA"/>
    <w:rsid w:val="0023132F"/>
    <w:rsid w:val="00231AA5"/>
    <w:rsid w:val="00232CFD"/>
    <w:rsid w:val="00232F90"/>
    <w:rsid w:val="0023339B"/>
    <w:rsid w:val="0023469C"/>
    <w:rsid w:val="00234C71"/>
    <w:rsid w:val="00235511"/>
    <w:rsid w:val="002366E0"/>
    <w:rsid w:val="00236DE1"/>
    <w:rsid w:val="002372EE"/>
    <w:rsid w:val="002372FD"/>
    <w:rsid w:val="0023764D"/>
    <w:rsid w:val="002415BC"/>
    <w:rsid w:val="00241A64"/>
    <w:rsid w:val="002434B2"/>
    <w:rsid w:val="002442F4"/>
    <w:rsid w:val="002445EA"/>
    <w:rsid w:val="00244ECE"/>
    <w:rsid w:val="00244FC5"/>
    <w:rsid w:val="00245B78"/>
    <w:rsid w:val="00245D1D"/>
    <w:rsid w:val="00247305"/>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6F78"/>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B31"/>
    <w:rsid w:val="00281187"/>
    <w:rsid w:val="002815D0"/>
    <w:rsid w:val="002820A7"/>
    <w:rsid w:val="00283B82"/>
    <w:rsid w:val="00283E13"/>
    <w:rsid w:val="002843F3"/>
    <w:rsid w:val="00286478"/>
    <w:rsid w:val="00287EDD"/>
    <w:rsid w:val="0029141B"/>
    <w:rsid w:val="00291A27"/>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2E8C"/>
    <w:rsid w:val="002B31AD"/>
    <w:rsid w:val="002B3EA7"/>
    <w:rsid w:val="002B4BAE"/>
    <w:rsid w:val="002B538B"/>
    <w:rsid w:val="002B581B"/>
    <w:rsid w:val="002C2892"/>
    <w:rsid w:val="002C47F4"/>
    <w:rsid w:val="002C58AB"/>
    <w:rsid w:val="002C6D84"/>
    <w:rsid w:val="002C7D21"/>
    <w:rsid w:val="002D1564"/>
    <w:rsid w:val="002D1CA4"/>
    <w:rsid w:val="002D2C09"/>
    <w:rsid w:val="002D2C45"/>
    <w:rsid w:val="002D4969"/>
    <w:rsid w:val="002D4EE1"/>
    <w:rsid w:val="002D4F49"/>
    <w:rsid w:val="002D534A"/>
    <w:rsid w:val="002D778E"/>
    <w:rsid w:val="002E04D7"/>
    <w:rsid w:val="002E06DD"/>
    <w:rsid w:val="002E171A"/>
    <w:rsid w:val="002E2A24"/>
    <w:rsid w:val="002E3D66"/>
    <w:rsid w:val="002E3F11"/>
    <w:rsid w:val="002E4B11"/>
    <w:rsid w:val="002E4F70"/>
    <w:rsid w:val="002E5886"/>
    <w:rsid w:val="002E5AD3"/>
    <w:rsid w:val="002E5ED0"/>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14"/>
    <w:rsid w:val="003069DD"/>
    <w:rsid w:val="00306CAB"/>
    <w:rsid w:val="0031146F"/>
    <w:rsid w:val="00311795"/>
    <w:rsid w:val="003117B1"/>
    <w:rsid w:val="00311B70"/>
    <w:rsid w:val="00311CBE"/>
    <w:rsid w:val="00311EEF"/>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C56"/>
    <w:rsid w:val="00336411"/>
    <w:rsid w:val="0033678D"/>
    <w:rsid w:val="0033720D"/>
    <w:rsid w:val="003373E8"/>
    <w:rsid w:val="0034161F"/>
    <w:rsid w:val="003443DD"/>
    <w:rsid w:val="00344D5A"/>
    <w:rsid w:val="00346EB6"/>
    <w:rsid w:val="00347EDB"/>
    <w:rsid w:val="00350797"/>
    <w:rsid w:val="003511FE"/>
    <w:rsid w:val="00351A85"/>
    <w:rsid w:val="003522E8"/>
    <w:rsid w:val="00353989"/>
    <w:rsid w:val="00355B7A"/>
    <w:rsid w:val="0035617C"/>
    <w:rsid w:val="00356E7E"/>
    <w:rsid w:val="00356EB8"/>
    <w:rsid w:val="003578B8"/>
    <w:rsid w:val="00357B83"/>
    <w:rsid w:val="003614A8"/>
    <w:rsid w:val="0036160E"/>
    <w:rsid w:val="00362610"/>
    <w:rsid w:val="00363830"/>
    <w:rsid w:val="00363D2D"/>
    <w:rsid w:val="003644F6"/>
    <w:rsid w:val="00364BB6"/>
    <w:rsid w:val="00364D6B"/>
    <w:rsid w:val="00365408"/>
    <w:rsid w:val="00365CC0"/>
    <w:rsid w:val="003668DF"/>
    <w:rsid w:val="00367688"/>
    <w:rsid w:val="00370194"/>
    <w:rsid w:val="00370FB6"/>
    <w:rsid w:val="00372221"/>
    <w:rsid w:val="00372CF2"/>
    <w:rsid w:val="00374C7E"/>
    <w:rsid w:val="00377353"/>
    <w:rsid w:val="0037736B"/>
    <w:rsid w:val="00381F57"/>
    <w:rsid w:val="0038216E"/>
    <w:rsid w:val="003822E5"/>
    <w:rsid w:val="003830B8"/>
    <w:rsid w:val="00383262"/>
    <w:rsid w:val="0038641B"/>
    <w:rsid w:val="00396503"/>
    <w:rsid w:val="003A06A9"/>
    <w:rsid w:val="003A157A"/>
    <w:rsid w:val="003A283F"/>
    <w:rsid w:val="003A2A16"/>
    <w:rsid w:val="003A2FDD"/>
    <w:rsid w:val="003A3C43"/>
    <w:rsid w:val="003A4A82"/>
    <w:rsid w:val="003A5CCC"/>
    <w:rsid w:val="003A70E5"/>
    <w:rsid w:val="003A70FF"/>
    <w:rsid w:val="003A74D2"/>
    <w:rsid w:val="003A756B"/>
    <w:rsid w:val="003A7902"/>
    <w:rsid w:val="003A7C44"/>
    <w:rsid w:val="003B0A26"/>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3277"/>
    <w:rsid w:val="003C567C"/>
    <w:rsid w:val="003C59B8"/>
    <w:rsid w:val="003C6809"/>
    <w:rsid w:val="003C7897"/>
    <w:rsid w:val="003C7F1D"/>
    <w:rsid w:val="003D0937"/>
    <w:rsid w:val="003D0EB1"/>
    <w:rsid w:val="003D17E6"/>
    <w:rsid w:val="003D1A20"/>
    <w:rsid w:val="003D1AC9"/>
    <w:rsid w:val="003D2AC9"/>
    <w:rsid w:val="003D2CD8"/>
    <w:rsid w:val="003D3724"/>
    <w:rsid w:val="003D4613"/>
    <w:rsid w:val="003D46A7"/>
    <w:rsid w:val="003D56B4"/>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4A3"/>
    <w:rsid w:val="00410C48"/>
    <w:rsid w:val="004119FF"/>
    <w:rsid w:val="00412069"/>
    <w:rsid w:val="0041584D"/>
    <w:rsid w:val="00416277"/>
    <w:rsid w:val="00416E24"/>
    <w:rsid w:val="00417B86"/>
    <w:rsid w:val="0042063D"/>
    <w:rsid w:val="00421FF2"/>
    <w:rsid w:val="00422B23"/>
    <w:rsid w:val="00423A60"/>
    <w:rsid w:val="0042651C"/>
    <w:rsid w:val="00426E9B"/>
    <w:rsid w:val="00427D55"/>
    <w:rsid w:val="0043233C"/>
    <w:rsid w:val="0043349E"/>
    <w:rsid w:val="004345A6"/>
    <w:rsid w:val="00435B2F"/>
    <w:rsid w:val="00435E03"/>
    <w:rsid w:val="004373E1"/>
    <w:rsid w:val="004374A3"/>
    <w:rsid w:val="00437A7E"/>
    <w:rsid w:val="00437B6C"/>
    <w:rsid w:val="00440144"/>
    <w:rsid w:val="0044064E"/>
    <w:rsid w:val="00440805"/>
    <w:rsid w:val="00441119"/>
    <w:rsid w:val="004412E1"/>
    <w:rsid w:val="00441554"/>
    <w:rsid w:val="00442E48"/>
    <w:rsid w:val="00443DCD"/>
    <w:rsid w:val="00443E7E"/>
    <w:rsid w:val="00444140"/>
    <w:rsid w:val="00444C06"/>
    <w:rsid w:val="004454DF"/>
    <w:rsid w:val="00446804"/>
    <w:rsid w:val="004478D4"/>
    <w:rsid w:val="00450380"/>
    <w:rsid w:val="004505C6"/>
    <w:rsid w:val="00450889"/>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540"/>
    <w:rsid w:val="00462E80"/>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3B8"/>
    <w:rsid w:val="00477F97"/>
    <w:rsid w:val="004803F4"/>
    <w:rsid w:val="00480A2D"/>
    <w:rsid w:val="00480AFB"/>
    <w:rsid w:val="00481247"/>
    <w:rsid w:val="004828DC"/>
    <w:rsid w:val="00482EB0"/>
    <w:rsid w:val="00482FF7"/>
    <w:rsid w:val="00483098"/>
    <w:rsid w:val="00483AFB"/>
    <w:rsid w:val="0048402B"/>
    <w:rsid w:val="0048414A"/>
    <w:rsid w:val="004842CB"/>
    <w:rsid w:val="00485C56"/>
    <w:rsid w:val="00486B79"/>
    <w:rsid w:val="00486CA2"/>
    <w:rsid w:val="00490B25"/>
    <w:rsid w:val="00490FD6"/>
    <w:rsid w:val="004911C4"/>
    <w:rsid w:val="00492803"/>
    <w:rsid w:val="00494CC8"/>
    <w:rsid w:val="004955E7"/>
    <w:rsid w:val="0049589C"/>
    <w:rsid w:val="00495EF1"/>
    <w:rsid w:val="00496ED4"/>
    <w:rsid w:val="00497D4A"/>
    <w:rsid w:val="004A0441"/>
    <w:rsid w:val="004A084C"/>
    <w:rsid w:val="004A15B3"/>
    <w:rsid w:val="004A1D01"/>
    <w:rsid w:val="004A2A54"/>
    <w:rsid w:val="004A2EF3"/>
    <w:rsid w:val="004A3B0D"/>
    <w:rsid w:val="004A3BF6"/>
    <w:rsid w:val="004A52F5"/>
    <w:rsid w:val="004A59BD"/>
    <w:rsid w:val="004A5D3A"/>
    <w:rsid w:val="004A6897"/>
    <w:rsid w:val="004A692B"/>
    <w:rsid w:val="004A6EB6"/>
    <w:rsid w:val="004A794C"/>
    <w:rsid w:val="004B3EC7"/>
    <w:rsid w:val="004B5664"/>
    <w:rsid w:val="004B5777"/>
    <w:rsid w:val="004B62D8"/>
    <w:rsid w:val="004B75CD"/>
    <w:rsid w:val="004C056D"/>
    <w:rsid w:val="004C2107"/>
    <w:rsid w:val="004C3158"/>
    <w:rsid w:val="004C5FC6"/>
    <w:rsid w:val="004C6435"/>
    <w:rsid w:val="004C649B"/>
    <w:rsid w:val="004C7B9C"/>
    <w:rsid w:val="004C7D55"/>
    <w:rsid w:val="004D089A"/>
    <w:rsid w:val="004D3184"/>
    <w:rsid w:val="004D3A62"/>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0DC"/>
    <w:rsid w:val="004F0468"/>
    <w:rsid w:val="004F0C51"/>
    <w:rsid w:val="004F263C"/>
    <w:rsid w:val="004F2BB1"/>
    <w:rsid w:val="004F2EC7"/>
    <w:rsid w:val="004F36B2"/>
    <w:rsid w:val="004F3CE8"/>
    <w:rsid w:val="004F5F76"/>
    <w:rsid w:val="004F6BFB"/>
    <w:rsid w:val="004F7E4A"/>
    <w:rsid w:val="0050147C"/>
    <w:rsid w:val="0050182B"/>
    <w:rsid w:val="00502579"/>
    <w:rsid w:val="005029F7"/>
    <w:rsid w:val="00503D4C"/>
    <w:rsid w:val="00504C0C"/>
    <w:rsid w:val="00504E48"/>
    <w:rsid w:val="005070FF"/>
    <w:rsid w:val="00507287"/>
    <w:rsid w:val="00512BBC"/>
    <w:rsid w:val="005134FB"/>
    <w:rsid w:val="005135FD"/>
    <w:rsid w:val="0051366C"/>
    <w:rsid w:val="0051684F"/>
    <w:rsid w:val="00516A92"/>
    <w:rsid w:val="00516B9F"/>
    <w:rsid w:val="00516D23"/>
    <w:rsid w:val="00517386"/>
    <w:rsid w:val="00517693"/>
    <w:rsid w:val="005205AB"/>
    <w:rsid w:val="00521E41"/>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2CDB"/>
    <w:rsid w:val="00584D1E"/>
    <w:rsid w:val="00585090"/>
    <w:rsid w:val="00586214"/>
    <w:rsid w:val="00586795"/>
    <w:rsid w:val="00586B82"/>
    <w:rsid w:val="00587E13"/>
    <w:rsid w:val="005933AA"/>
    <w:rsid w:val="005940AA"/>
    <w:rsid w:val="005943B7"/>
    <w:rsid w:val="00594614"/>
    <w:rsid w:val="00594E10"/>
    <w:rsid w:val="00596306"/>
    <w:rsid w:val="00596487"/>
    <w:rsid w:val="005A0809"/>
    <w:rsid w:val="005A0B91"/>
    <w:rsid w:val="005A1494"/>
    <w:rsid w:val="005A3590"/>
    <w:rsid w:val="005A4A1C"/>
    <w:rsid w:val="005A5BD8"/>
    <w:rsid w:val="005A692A"/>
    <w:rsid w:val="005A6A74"/>
    <w:rsid w:val="005A6AB8"/>
    <w:rsid w:val="005B11C2"/>
    <w:rsid w:val="005B180A"/>
    <w:rsid w:val="005B2783"/>
    <w:rsid w:val="005B382C"/>
    <w:rsid w:val="005B3C11"/>
    <w:rsid w:val="005B40DA"/>
    <w:rsid w:val="005B4226"/>
    <w:rsid w:val="005B4AEF"/>
    <w:rsid w:val="005B5AA4"/>
    <w:rsid w:val="005B656B"/>
    <w:rsid w:val="005B6F3F"/>
    <w:rsid w:val="005B71B3"/>
    <w:rsid w:val="005B76A4"/>
    <w:rsid w:val="005C04A7"/>
    <w:rsid w:val="005C17A4"/>
    <w:rsid w:val="005C1F05"/>
    <w:rsid w:val="005C27CC"/>
    <w:rsid w:val="005C3615"/>
    <w:rsid w:val="005C370D"/>
    <w:rsid w:val="005C3B8C"/>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377"/>
    <w:rsid w:val="005D67F7"/>
    <w:rsid w:val="005D7D7E"/>
    <w:rsid w:val="005E0B59"/>
    <w:rsid w:val="005E1105"/>
    <w:rsid w:val="005E162F"/>
    <w:rsid w:val="005E29D0"/>
    <w:rsid w:val="005E2C60"/>
    <w:rsid w:val="005E2D44"/>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A92"/>
    <w:rsid w:val="00616D41"/>
    <w:rsid w:val="00617292"/>
    <w:rsid w:val="006200A9"/>
    <w:rsid w:val="006213D3"/>
    <w:rsid w:val="00622225"/>
    <w:rsid w:val="00622D03"/>
    <w:rsid w:val="00622DCD"/>
    <w:rsid w:val="00622F57"/>
    <w:rsid w:val="00623DD5"/>
    <w:rsid w:val="00624269"/>
    <w:rsid w:val="00624A34"/>
    <w:rsid w:val="0062568D"/>
    <w:rsid w:val="006256D3"/>
    <w:rsid w:val="00625C47"/>
    <w:rsid w:val="00626502"/>
    <w:rsid w:val="006267F5"/>
    <w:rsid w:val="00627337"/>
    <w:rsid w:val="00630069"/>
    <w:rsid w:val="00630583"/>
    <w:rsid w:val="00630D2E"/>
    <w:rsid w:val="00630D39"/>
    <w:rsid w:val="006314AD"/>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2080"/>
    <w:rsid w:val="00664695"/>
    <w:rsid w:val="00664840"/>
    <w:rsid w:val="00664B44"/>
    <w:rsid w:val="006652BF"/>
    <w:rsid w:val="0066630C"/>
    <w:rsid w:val="00667BBD"/>
    <w:rsid w:val="00670FD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C2D"/>
    <w:rsid w:val="006920E6"/>
    <w:rsid w:val="00692555"/>
    <w:rsid w:val="00696566"/>
    <w:rsid w:val="006966BA"/>
    <w:rsid w:val="00696FCF"/>
    <w:rsid w:val="0069722D"/>
    <w:rsid w:val="006A0052"/>
    <w:rsid w:val="006A0A9E"/>
    <w:rsid w:val="006A0F47"/>
    <w:rsid w:val="006A1F1C"/>
    <w:rsid w:val="006A3836"/>
    <w:rsid w:val="006A3DD3"/>
    <w:rsid w:val="006A4578"/>
    <w:rsid w:val="006A4625"/>
    <w:rsid w:val="006A47AE"/>
    <w:rsid w:val="006A5B5E"/>
    <w:rsid w:val="006A67CB"/>
    <w:rsid w:val="006A6D3E"/>
    <w:rsid w:val="006B0368"/>
    <w:rsid w:val="006B0F6E"/>
    <w:rsid w:val="006B1D7B"/>
    <w:rsid w:val="006B25EE"/>
    <w:rsid w:val="006B27D4"/>
    <w:rsid w:val="006B2BF0"/>
    <w:rsid w:val="006B2C9C"/>
    <w:rsid w:val="006B48EB"/>
    <w:rsid w:val="006B4C00"/>
    <w:rsid w:val="006B4D35"/>
    <w:rsid w:val="006B56FC"/>
    <w:rsid w:val="006B6DDA"/>
    <w:rsid w:val="006B73D9"/>
    <w:rsid w:val="006B7DF0"/>
    <w:rsid w:val="006B7E74"/>
    <w:rsid w:val="006B7F1C"/>
    <w:rsid w:val="006C0D75"/>
    <w:rsid w:val="006C1C48"/>
    <w:rsid w:val="006C3C1D"/>
    <w:rsid w:val="006C41FF"/>
    <w:rsid w:val="006C5145"/>
    <w:rsid w:val="006C65A8"/>
    <w:rsid w:val="006D05AD"/>
    <w:rsid w:val="006D0EC1"/>
    <w:rsid w:val="006D16F8"/>
    <w:rsid w:val="006D1813"/>
    <w:rsid w:val="006D217B"/>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664"/>
    <w:rsid w:val="00700D41"/>
    <w:rsid w:val="00700F8B"/>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449"/>
    <w:rsid w:val="00716B3C"/>
    <w:rsid w:val="007170C2"/>
    <w:rsid w:val="00717EE4"/>
    <w:rsid w:val="00717F2D"/>
    <w:rsid w:val="00720453"/>
    <w:rsid w:val="00720853"/>
    <w:rsid w:val="00722129"/>
    <w:rsid w:val="00722853"/>
    <w:rsid w:val="00724173"/>
    <w:rsid w:val="00726730"/>
    <w:rsid w:val="00730598"/>
    <w:rsid w:val="00731C24"/>
    <w:rsid w:val="0073257E"/>
    <w:rsid w:val="00732A32"/>
    <w:rsid w:val="00733066"/>
    <w:rsid w:val="00733469"/>
    <w:rsid w:val="00733539"/>
    <w:rsid w:val="00734E2B"/>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0C37"/>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B5A"/>
    <w:rsid w:val="0079148B"/>
    <w:rsid w:val="00792971"/>
    <w:rsid w:val="007935C6"/>
    <w:rsid w:val="00794129"/>
    <w:rsid w:val="00794313"/>
    <w:rsid w:val="00794516"/>
    <w:rsid w:val="00794878"/>
    <w:rsid w:val="007949B7"/>
    <w:rsid w:val="00795512"/>
    <w:rsid w:val="00795AB7"/>
    <w:rsid w:val="00795E37"/>
    <w:rsid w:val="0079694C"/>
    <w:rsid w:val="00796D89"/>
    <w:rsid w:val="00796DA2"/>
    <w:rsid w:val="00797D3C"/>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2DAF"/>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38D9"/>
    <w:rsid w:val="007F4224"/>
    <w:rsid w:val="007F4DD2"/>
    <w:rsid w:val="007F4FB9"/>
    <w:rsid w:val="007F7022"/>
    <w:rsid w:val="007F7690"/>
    <w:rsid w:val="008011CC"/>
    <w:rsid w:val="00801404"/>
    <w:rsid w:val="008017AA"/>
    <w:rsid w:val="00801CBA"/>
    <w:rsid w:val="00801D92"/>
    <w:rsid w:val="008038E9"/>
    <w:rsid w:val="00804BCF"/>
    <w:rsid w:val="00804FA4"/>
    <w:rsid w:val="00805275"/>
    <w:rsid w:val="00806A62"/>
    <w:rsid w:val="00806E55"/>
    <w:rsid w:val="008075CE"/>
    <w:rsid w:val="00812179"/>
    <w:rsid w:val="008124E2"/>
    <w:rsid w:val="0081380F"/>
    <w:rsid w:val="00813928"/>
    <w:rsid w:val="0081473B"/>
    <w:rsid w:val="00815321"/>
    <w:rsid w:val="00815BC9"/>
    <w:rsid w:val="008166DB"/>
    <w:rsid w:val="008173E0"/>
    <w:rsid w:val="008175C1"/>
    <w:rsid w:val="00817A6E"/>
    <w:rsid w:val="008200D4"/>
    <w:rsid w:val="00820370"/>
    <w:rsid w:val="00820CC6"/>
    <w:rsid w:val="00821675"/>
    <w:rsid w:val="00822C41"/>
    <w:rsid w:val="00824DE1"/>
    <w:rsid w:val="00825043"/>
    <w:rsid w:val="00825267"/>
    <w:rsid w:val="008264EC"/>
    <w:rsid w:val="00827C0D"/>
    <w:rsid w:val="00830642"/>
    <w:rsid w:val="00830E99"/>
    <w:rsid w:val="00831250"/>
    <w:rsid w:val="00831D8D"/>
    <w:rsid w:val="008333B7"/>
    <w:rsid w:val="008336EC"/>
    <w:rsid w:val="008337B9"/>
    <w:rsid w:val="00834CF2"/>
    <w:rsid w:val="00834FD2"/>
    <w:rsid w:val="00835084"/>
    <w:rsid w:val="00835184"/>
    <w:rsid w:val="00835569"/>
    <w:rsid w:val="008356ED"/>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E7A"/>
    <w:rsid w:val="00861F29"/>
    <w:rsid w:val="008620A2"/>
    <w:rsid w:val="00862741"/>
    <w:rsid w:val="00862BBD"/>
    <w:rsid w:val="00863579"/>
    <w:rsid w:val="00863C9F"/>
    <w:rsid w:val="008645D6"/>
    <w:rsid w:val="0086552B"/>
    <w:rsid w:val="008655A2"/>
    <w:rsid w:val="0086584F"/>
    <w:rsid w:val="008671C7"/>
    <w:rsid w:val="00867EB8"/>
    <w:rsid w:val="00870335"/>
    <w:rsid w:val="00870AA2"/>
    <w:rsid w:val="008733E4"/>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2743"/>
    <w:rsid w:val="008A36C9"/>
    <w:rsid w:val="008A5AF9"/>
    <w:rsid w:val="008A5E7F"/>
    <w:rsid w:val="008B16DE"/>
    <w:rsid w:val="008B20DF"/>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5B6"/>
    <w:rsid w:val="008C563B"/>
    <w:rsid w:val="008C567E"/>
    <w:rsid w:val="008C5DEE"/>
    <w:rsid w:val="008C6285"/>
    <w:rsid w:val="008C7182"/>
    <w:rsid w:val="008C7268"/>
    <w:rsid w:val="008C741E"/>
    <w:rsid w:val="008C7CA5"/>
    <w:rsid w:val="008C7D9D"/>
    <w:rsid w:val="008D0416"/>
    <w:rsid w:val="008D13C6"/>
    <w:rsid w:val="008D1B04"/>
    <w:rsid w:val="008D3235"/>
    <w:rsid w:val="008D33C8"/>
    <w:rsid w:val="008D3893"/>
    <w:rsid w:val="008D3BDE"/>
    <w:rsid w:val="008D3D20"/>
    <w:rsid w:val="008D45CD"/>
    <w:rsid w:val="008D505A"/>
    <w:rsid w:val="008D55F1"/>
    <w:rsid w:val="008D5CD7"/>
    <w:rsid w:val="008D718E"/>
    <w:rsid w:val="008D7EDE"/>
    <w:rsid w:val="008E09C5"/>
    <w:rsid w:val="008E0AA7"/>
    <w:rsid w:val="008E12D5"/>
    <w:rsid w:val="008E2355"/>
    <w:rsid w:val="008E3151"/>
    <w:rsid w:val="008E3386"/>
    <w:rsid w:val="008E5410"/>
    <w:rsid w:val="008E5A3F"/>
    <w:rsid w:val="008E7209"/>
    <w:rsid w:val="008E7448"/>
    <w:rsid w:val="008E75F5"/>
    <w:rsid w:val="008F11BB"/>
    <w:rsid w:val="008F16FF"/>
    <w:rsid w:val="008F182F"/>
    <w:rsid w:val="008F1E95"/>
    <w:rsid w:val="008F2304"/>
    <w:rsid w:val="008F3F95"/>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419"/>
    <w:rsid w:val="009257B0"/>
    <w:rsid w:val="009258BD"/>
    <w:rsid w:val="00925DEB"/>
    <w:rsid w:val="009263C0"/>
    <w:rsid w:val="009302D4"/>
    <w:rsid w:val="009307F2"/>
    <w:rsid w:val="00930CEC"/>
    <w:rsid w:val="00930F4A"/>
    <w:rsid w:val="0093375E"/>
    <w:rsid w:val="00933BEF"/>
    <w:rsid w:val="0093787E"/>
    <w:rsid w:val="009412CC"/>
    <w:rsid w:val="0094230B"/>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51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679F8"/>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265"/>
    <w:rsid w:val="00983314"/>
    <w:rsid w:val="00983DF2"/>
    <w:rsid w:val="0098432E"/>
    <w:rsid w:val="0098433A"/>
    <w:rsid w:val="00985675"/>
    <w:rsid w:val="00985939"/>
    <w:rsid w:val="0098637F"/>
    <w:rsid w:val="00986A9B"/>
    <w:rsid w:val="00986B9C"/>
    <w:rsid w:val="00987BAB"/>
    <w:rsid w:val="00987CB7"/>
    <w:rsid w:val="009906BF"/>
    <w:rsid w:val="009913F3"/>
    <w:rsid w:val="00991DA1"/>
    <w:rsid w:val="009927F1"/>
    <w:rsid w:val="009936C4"/>
    <w:rsid w:val="009948ED"/>
    <w:rsid w:val="00995ADA"/>
    <w:rsid w:val="0099643A"/>
    <w:rsid w:val="00997959"/>
    <w:rsid w:val="009A0BAF"/>
    <w:rsid w:val="009A1431"/>
    <w:rsid w:val="009A153D"/>
    <w:rsid w:val="009A1634"/>
    <w:rsid w:val="009A1879"/>
    <w:rsid w:val="009A1CC9"/>
    <w:rsid w:val="009A3A34"/>
    <w:rsid w:val="009A3FE2"/>
    <w:rsid w:val="009A400C"/>
    <w:rsid w:val="009A4B2C"/>
    <w:rsid w:val="009A5592"/>
    <w:rsid w:val="009A59BA"/>
    <w:rsid w:val="009A6417"/>
    <w:rsid w:val="009B01DF"/>
    <w:rsid w:val="009B020D"/>
    <w:rsid w:val="009B072F"/>
    <w:rsid w:val="009B07A1"/>
    <w:rsid w:val="009B09CC"/>
    <w:rsid w:val="009B0F20"/>
    <w:rsid w:val="009B173B"/>
    <w:rsid w:val="009B1A1A"/>
    <w:rsid w:val="009B2608"/>
    <w:rsid w:val="009B2A71"/>
    <w:rsid w:val="009B4027"/>
    <w:rsid w:val="009B4975"/>
    <w:rsid w:val="009B561F"/>
    <w:rsid w:val="009B5773"/>
    <w:rsid w:val="009B5D2D"/>
    <w:rsid w:val="009B6928"/>
    <w:rsid w:val="009C007B"/>
    <w:rsid w:val="009C058F"/>
    <w:rsid w:val="009C1F93"/>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E26"/>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1D4D"/>
    <w:rsid w:val="00A02F9D"/>
    <w:rsid w:val="00A03767"/>
    <w:rsid w:val="00A04834"/>
    <w:rsid w:val="00A05628"/>
    <w:rsid w:val="00A07DCF"/>
    <w:rsid w:val="00A10ABB"/>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918"/>
    <w:rsid w:val="00A24CD3"/>
    <w:rsid w:val="00A25461"/>
    <w:rsid w:val="00A26367"/>
    <w:rsid w:val="00A2678A"/>
    <w:rsid w:val="00A269E1"/>
    <w:rsid w:val="00A27C1C"/>
    <w:rsid w:val="00A30F6A"/>
    <w:rsid w:val="00A3240A"/>
    <w:rsid w:val="00A32AEA"/>
    <w:rsid w:val="00A32F32"/>
    <w:rsid w:val="00A33E80"/>
    <w:rsid w:val="00A33EFE"/>
    <w:rsid w:val="00A34C36"/>
    <w:rsid w:val="00A4148D"/>
    <w:rsid w:val="00A440FE"/>
    <w:rsid w:val="00A44D0E"/>
    <w:rsid w:val="00A4621D"/>
    <w:rsid w:val="00A509FB"/>
    <w:rsid w:val="00A51C19"/>
    <w:rsid w:val="00A51E04"/>
    <w:rsid w:val="00A522B5"/>
    <w:rsid w:val="00A52C31"/>
    <w:rsid w:val="00A52F37"/>
    <w:rsid w:val="00A531AF"/>
    <w:rsid w:val="00A533C5"/>
    <w:rsid w:val="00A5388C"/>
    <w:rsid w:val="00A5397B"/>
    <w:rsid w:val="00A53BE1"/>
    <w:rsid w:val="00A54644"/>
    <w:rsid w:val="00A55921"/>
    <w:rsid w:val="00A560E3"/>
    <w:rsid w:val="00A5628F"/>
    <w:rsid w:val="00A564AF"/>
    <w:rsid w:val="00A566A8"/>
    <w:rsid w:val="00A56D0B"/>
    <w:rsid w:val="00A5775C"/>
    <w:rsid w:val="00A57D61"/>
    <w:rsid w:val="00A60E72"/>
    <w:rsid w:val="00A61F0C"/>
    <w:rsid w:val="00A61FF0"/>
    <w:rsid w:val="00A62580"/>
    <w:rsid w:val="00A6317F"/>
    <w:rsid w:val="00A63AC9"/>
    <w:rsid w:val="00A64502"/>
    <w:rsid w:val="00A64B5F"/>
    <w:rsid w:val="00A65EA0"/>
    <w:rsid w:val="00A66517"/>
    <w:rsid w:val="00A673D2"/>
    <w:rsid w:val="00A67B0E"/>
    <w:rsid w:val="00A718EF"/>
    <w:rsid w:val="00A72134"/>
    <w:rsid w:val="00A726A8"/>
    <w:rsid w:val="00A72951"/>
    <w:rsid w:val="00A73505"/>
    <w:rsid w:val="00A75E02"/>
    <w:rsid w:val="00A76968"/>
    <w:rsid w:val="00A76E79"/>
    <w:rsid w:val="00A7771B"/>
    <w:rsid w:val="00A77B53"/>
    <w:rsid w:val="00A811F1"/>
    <w:rsid w:val="00A82887"/>
    <w:rsid w:val="00A83010"/>
    <w:rsid w:val="00A8318B"/>
    <w:rsid w:val="00A83BF5"/>
    <w:rsid w:val="00A84972"/>
    <w:rsid w:val="00A84CD1"/>
    <w:rsid w:val="00A85E2E"/>
    <w:rsid w:val="00A861F3"/>
    <w:rsid w:val="00A8728F"/>
    <w:rsid w:val="00A8756A"/>
    <w:rsid w:val="00A87F7D"/>
    <w:rsid w:val="00A906B7"/>
    <w:rsid w:val="00A9070E"/>
    <w:rsid w:val="00A92DD4"/>
    <w:rsid w:val="00A94D0F"/>
    <w:rsid w:val="00A94F13"/>
    <w:rsid w:val="00A95579"/>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2A0"/>
    <w:rsid w:val="00AD0328"/>
    <w:rsid w:val="00AD11DC"/>
    <w:rsid w:val="00AD1966"/>
    <w:rsid w:val="00AD19E8"/>
    <w:rsid w:val="00AD2B03"/>
    <w:rsid w:val="00AD2E07"/>
    <w:rsid w:val="00AD38A9"/>
    <w:rsid w:val="00AD4071"/>
    <w:rsid w:val="00AD44EA"/>
    <w:rsid w:val="00AD4782"/>
    <w:rsid w:val="00AD5236"/>
    <w:rsid w:val="00AD527D"/>
    <w:rsid w:val="00AD54E0"/>
    <w:rsid w:val="00AD71BF"/>
    <w:rsid w:val="00AD758E"/>
    <w:rsid w:val="00AD7982"/>
    <w:rsid w:val="00AD798B"/>
    <w:rsid w:val="00AD7AB5"/>
    <w:rsid w:val="00AE08B7"/>
    <w:rsid w:val="00AE0DBA"/>
    <w:rsid w:val="00AE160F"/>
    <w:rsid w:val="00AE16E7"/>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5166"/>
    <w:rsid w:val="00B00C24"/>
    <w:rsid w:val="00B00F93"/>
    <w:rsid w:val="00B01BBE"/>
    <w:rsid w:val="00B038F0"/>
    <w:rsid w:val="00B03F92"/>
    <w:rsid w:val="00B055D8"/>
    <w:rsid w:val="00B058A1"/>
    <w:rsid w:val="00B06CD6"/>
    <w:rsid w:val="00B06EBC"/>
    <w:rsid w:val="00B11D2D"/>
    <w:rsid w:val="00B123F0"/>
    <w:rsid w:val="00B12891"/>
    <w:rsid w:val="00B146C1"/>
    <w:rsid w:val="00B146E7"/>
    <w:rsid w:val="00B156DF"/>
    <w:rsid w:val="00B15ABB"/>
    <w:rsid w:val="00B16023"/>
    <w:rsid w:val="00B16973"/>
    <w:rsid w:val="00B17D5A"/>
    <w:rsid w:val="00B17E89"/>
    <w:rsid w:val="00B20028"/>
    <w:rsid w:val="00B2036A"/>
    <w:rsid w:val="00B21057"/>
    <w:rsid w:val="00B2202B"/>
    <w:rsid w:val="00B22CCF"/>
    <w:rsid w:val="00B23422"/>
    <w:rsid w:val="00B24948"/>
    <w:rsid w:val="00B24CBD"/>
    <w:rsid w:val="00B25CA3"/>
    <w:rsid w:val="00B30028"/>
    <w:rsid w:val="00B31E8D"/>
    <w:rsid w:val="00B32DC4"/>
    <w:rsid w:val="00B3313B"/>
    <w:rsid w:val="00B331E8"/>
    <w:rsid w:val="00B331EA"/>
    <w:rsid w:val="00B34732"/>
    <w:rsid w:val="00B353B8"/>
    <w:rsid w:val="00B35C56"/>
    <w:rsid w:val="00B36F17"/>
    <w:rsid w:val="00B372ED"/>
    <w:rsid w:val="00B405E6"/>
    <w:rsid w:val="00B40603"/>
    <w:rsid w:val="00B40AF6"/>
    <w:rsid w:val="00B41071"/>
    <w:rsid w:val="00B425C0"/>
    <w:rsid w:val="00B42DB6"/>
    <w:rsid w:val="00B437B0"/>
    <w:rsid w:val="00B448CE"/>
    <w:rsid w:val="00B45502"/>
    <w:rsid w:val="00B46957"/>
    <w:rsid w:val="00B47B54"/>
    <w:rsid w:val="00B50E99"/>
    <w:rsid w:val="00B51926"/>
    <w:rsid w:val="00B51F9A"/>
    <w:rsid w:val="00B5329B"/>
    <w:rsid w:val="00B54DA7"/>
    <w:rsid w:val="00B600C6"/>
    <w:rsid w:val="00B60167"/>
    <w:rsid w:val="00B60FC0"/>
    <w:rsid w:val="00B61665"/>
    <w:rsid w:val="00B63528"/>
    <w:rsid w:val="00B63DAF"/>
    <w:rsid w:val="00B63E98"/>
    <w:rsid w:val="00B65754"/>
    <w:rsid w:val="00B65DD0"/>
    <w:rsid w:val="00B661AA"/>
    <w:rsid w:val="00B66242"/>
    <w:rsid w:val="00B670D3"/>
    <w:rsid w:val="00B67958"/>
    <w:rsid w:val="00B701D1"/>
    <w:rsid w:val="00B70DAD"/>
    <w:rsid w:val="00B716BB"/>
    <w:rsid w:val="00B716FD"/>
    <w:rsid w:val="00B71BEE"/>
    <w:rsid w:val="00B734C2"/>
    <w:rsid w:val="00B73BDA"/>
    <w:rsid w:val="00B74053"/>
    <w:rsid w:val="00B765A0"/>
    <w:rsid w:val="00B76C02"/>
    <w:rsid w:val="00B7763B"/>
    <w:rsid w:val="00B77BD2"/>
    <w:rsid w:val="00B814CB"/>
    <w:rsid w:val="00B81B6A"/>
    <w:rsid w:val="00B820F4"/>
    <w:rsid w:val="00B835E0"/>
    <w:rsid w:val="00B8396D"/>
    <w:rsid w:val="00B86922"/>
    <w:rsid w:val="00B901CC"/>
    <w:rsid w:val="00B90331"/>
    <w:rsid w:val="00B903ED"/>
    <w:rsid w:val="00B90B2D"/>
    <w:rsid w:val="00B92069"/>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47"/>
    <w:rsid w:val="00BD60AD"/>
    <w:rsid w:val="00BD6C02"/>
    <w:rsid w:val="00BD6EA8"/>
    <w:rsid w:val="00BD7701"/>
    <w:rsid w:val="00BE0F66"/>
    <w:rsid w:val="00BE1244"/>
    <w:rsid w:val="00BE165D"/>
    <w:rsid w:val="00BE2394"/>
    <w:rsid w:val="00BE2702"/>
    <w:rsid w:val="00BE4326"/>
    <w:rsid w:val="00BE5F4F"/>
    <w:rsid w:val="00BE60DB"/>
    <w:rsid w:val="00BF0191"/>
    <w:rsid w:val="00BF0579"/>
    <w:rsid w:val="00BF13EC"/>
    <w:rsid w:val="00BF1C07"/>
    <w:rsid w:val="00BF3DEE"/>
    <w:rsid w:val="00BF54AC"/>
    <w:rsid w:val="00BF54BD"/>
    <w:rsid w:val="00BF6B8E"/>
    <w:rsid w:val="00C01567"/>
    <w:rsid w:val="00C025A5"/>
    <w:rsid w:val="00C03C78"/>
    <w:rsid w:val="00C03DD3"/>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7DA1"/>
    <w:rsid w:val="00C21C39"/>
    <w:rsid w:val="00C2325C"/>
    <w:rsid w:val="00C236B1"/>
    <w:rsid w:val="00C239ED"/>
    <w:rsid w:val="00C23CD2"/>
    <w:rsid w:val="00C24D9D"/>
    <w:rsid w:val="00C25CF3"/>
    <w:rsid w:val="00C263E9"/>
    <w:rsid w:val="00C2775A"/>
    <w:rsid w:val="00C3063A"/>
    <w:rsid w:val="00C30BAD"/>
    <w:rsid w:val="00C31113"/>
    <w:rsid w:val="00C31E8F"/>
    <w:rsid w:val="00C335DA"/>
    <w:rsid w:val="00C33D3E"/>
    <w:rsid w:val="00C343E1"/>
    <w:rsid w:val="00C362E0"/>
    <w:rsid w:val="00C36ED4"/>
    <w:rsid w:val="00C376CC"/>
    <w:rsid w:val="00C400F7"/>
    <w:rsid w:val="00C40EC6"/>
    <w:rsid w:val="00C419AD"/>
    <w:rsid w:val="00C41B5F"/>
    <w:rsid w:val="00C437BA"/>
    <w:rsid w:val="00C44395"/>
    <w:rsid w:val="00C443B3"/>
    <w:rsid w:val="00C448DD"/>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571"/>
    <w:rsid w:val="00C678C4"/>
    <w:rsid w:val="00C71215"/>
    <w:rsid w:val="00C7216B"/>
    <w:rsid w:val="00C727BE"/>
    <w:rsid w:val="00C732A9"/>
    <w:rsid w:val="00C73448"/>
    <w:rsid w:val="00C73E2E"/>
    <w:rsid w:val="00C74546"/>
    <w:rsid w:val="00C748E2"/>
    <w:rsid w:val="00C752D9"/>
    <w:rsid w:val="00C7776C"/>
    <w:rsid w:val="00C8398D"/>
    <w:rsid w:val="00C84BC2"/>
    <w:rsid w:val="00C850A4"/>
    <w:rsid w:val="00C85139"/>
    <w:rsid w:val="00C85657"/>
    <w:rsid w:val="00C90C57"/>
    <w:rsid w:val="00C91C88"/>
    <w:rsid w:val="00C939C3"/>
    <w:rsid w:val="00C94228"/>
    <w:rsid w:val="00C955B9"/>
    <w:rsid w:val="00C95D6C"/>
    <w:rsid w:val="00C96D56"/>
    <w:rsid w:val="00C977E6"/>
    <w:rsid w:val="00CA0020"/>
    <w:rsid w:val="00CA08D3"/>
    <w:rsid w:val="00CA0B2E"/>
    <w:rsid w:val="00CA18CA"/>
    <w:rsid w:val="00CA2068"/>
    <w:rsid w:val="00CA2557"/>
    <w:rsid w:val="00CA4FF1"/>
    <w:rsid w:val="00CA5413"/>
    <w:rsid w:val="00CA5674"/>
    <w:rsid w:val="00CA591C"/>
    <w:rsid w:val="00CA5BDA"/>
    <w:rsid w:val="00CA5C1A"/>
    <w:rsid w:val="00CA633F"/>
    <w:rsid w:val="00CA641E"/>
    <w:rsid w:val="00CA7558"/>
    <w:rsid w:val="00CA785F"/>
    <w:rsid w:val="00CA792A"/>
    <w:rsid w:val="00CA7949"/>
    <w:rsid w:val="00CB0400"/>
    <w:rsid w:val="00CB0C6E"/>
    <w:rsid w:val="00CB0C89"/>
    <w:rsid w:val="00CB226B"/>
    <w:rsid w:val="00CB229B"/>
    <w:rsid w:val="00CB25C1"/>
    <w:rsid w:val="00CB33B4"/>
    <w:rsid w:val="00CB36A9"/>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66"/>
    <w:rsid w:val="00CE3FA2"/>
    <w:rsid w:val="00CE41A0"/>
    <w:rsid w:val="00CE4958"/>
    <w:rsid w:val="00CE504F"/>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7A1"/>
    <w:rsid w:val="00D04F25"/>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B4C"/>
    <w:rsid w:val="00D301FF"/>
    <w:rsid w:val="00D3257F"/>
    <w:rsid w:val="00D340E2"/>
    <w:rsid w:val="00D362DA"/>
    <w:rsid w:val="00D36887"/>
    <w:rsid w:val="00D37563"/>
    <w:rsid w:val="00D379EB"/>
    <w:rsid w:val="00D400B8"/>
    <w:rsid w:val="00D4022C"/>
    <w:rsid w:val="00D41023"/>
    <w:rsid w:val="00D41C6C"/>
    <w:rsid w:val="00D42465"/>
    <w:rsid w:val="00D42E5B"/>
    <w:rsid w:val="00D4368F"/>
    <w:rsid w:val="00D439D1"/>
    <w:rsid w:val="00D43C68"/>
    <w:rsid w:val="00D444B2"/>
    <w:rsid w:val="00D453E4"/>
    <w:rsid w:val="00D47226"/>
    <w:rsid w:val="00D50B21"/>
    <w:rsid w:val="00D51349"/>
    <w:rsid w:val="00D51E7A"/>
    <w:rsid w:val="00D527AF"/>
    <w:rsid w:val="00D529E1"/>
    <w:rsid w:val="00D534C2"/>
    <w:rsid w:val="00D5410F"/>
    <w:rsid w:val="00D564DF"/>
    <w:rsid w:val="00D57476"/>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84F"/>
    <w:rsid w:val="00D70C1B"/>
    <w:rsid w:val="00D70E5C"/>
    <w:rsid w:val="00D7146C"/>
    <w:rsid w:val="00D718CD"/>
    <w:rsid w:val="00D721EE"/>
    <w:rsid w:val="00D7416F"/>
    <w:rsid w:val="00D755F2"/>
    <w:rsid w:val="00D762AC"/>
    <w:rsid w:val="00D775E7"/>
    <w:rsid w:val="00D77B9E"/>
    <w:rsid w:val="00D81CA9"/>
    <w:rsid w:val="00D8323D"/>
    <w:rsid w:val="00D839D8"/>
    <w:rsid w:val="00D83F9E"/>
    <w:rsid w:val="00D840C2"/>
    <w:rsid w:val="00D84562"/>
    <w:rsid w:val="00D8573D"/>
    <w:rsid w:val="00D85C16"/>
    <w:rsid w:val="00D86169"/>
    <w:rsid w:val="00D8732E"/>
    <w:rsid w:val="00D91294"/>
    <w:rsid w:val="00D9186A"/>
    <w:rsid w:val="00D92D47"/>
    <w:rsid w:val="00D94213"/>
    <w:rsid w:val="00D94BEB"/>
    <w:rsid w:val="00D94EA5"/>
    <w:rsid w:val="00D95F32"/>
    <w:rsid w:val="00D96B23"/>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272"/>
    <w:rsid w:val="00DB7395"/>
    <w:rsid w:val="00DB75C2"/>
    <w:rsid w:val="00DB7E2C"/>
    <w:rsid w:val="00DC027B"/>
    <w:rsid w:val="00DC0A64"/>
    <w:rsid w:val="00DC0FC4"/>
    <w:rsid w:val="00DC1B9A"/>
    <w:rsid w:val="00DC2344"/>
    <w:rsid w:val="00DC25B4"/>
    <w:rsid w:val="00DC2E4F"/>
    <w:rsid w:val="00DC384C"/>
    <w:rsid w:val="00DC40C4"/>
    <w:rsid w:val="00DC4AFD"/>
    <w:rsid w:val="00DC4D87"/>
    <w:rsid w:val="00DC4D8A"/>
    <w:rsid w:val="00DC6DF6"/>
    <w:rsid w:val="00DC7BFE"/>
    <w:rsid w:val="00DD08C7"/>
    <w:rsid w:val="00DD118A"/>
    <w:rsid w:val="00DD1A10"/>
    <w:rsid w:val="00DD200D"/>
    <w:rsid w:val="00DD25C3"/>
    <w:rsid w:val="00DD2990"/>
    <w:rsid w:val="00DD2FE9"/>
    <w:rsid w:val="00DD3A7E"/>
    <w:rsid w:val="00DD434E"/>
    <w:rsid w:val="00DD4402"/>
    <w:rsid w:val="00DD5D5E"/>
    <w:rsid w:val="00DD60D0"/>
    <w:rsid w:val="00DD6200"/>
    <w:rsid w:val="00DD686C"/>
    <w:rsid w:val="00DD6E86"/>
    <w:rsid w:val="00DE0E5D"/>
    <w:rsid w:val="00DE447F"/>
    <w:rsid w:val="00DE48F0"/>
    <w:rsid w:val="00DE4A77"/>
    <w:rsid w:val="00DE55F1"/>
    <w:rsid w:val="00DE5E00"/>
    <w:rsid w:val="00DE68EE"/>
    <w:rsid w:val="00DE6D24"/>
    <w:rsid w:val="00DE7285"/>
    <w:rsid w:val="00DE7C40"/>
    <w:rsid w:val="00DF0EA5"/>
    <w:rsid w:val="00DF1F1D"/>
    <w:rsid w:val="00DF23A5"/>
    <w:rsid w:val="00DF282F"/>
    <w:rsid w:val="00DF4C6E"/>
    <w:rsid w:val="00DF6666"/>
    <w:rsid w:val="00DF745E"/>
    <w:rsid w:val="00DF762E"/>
    <w:rsid w:val="00E0044E"/>
    <w:rsid w:val="00E00816"/>
    <w:rsid w:val="00E0239F"/>
    <w:rsid w:val="00E024EA"/>
    <w:rsid w:val="00E0267B"/>
    <w:rsid w:val="00E04441"/>
    <w:rsid w:val="00E05F03"/>
    <w:rsid w:val="00E06370"/>
    <w:rsid w:val="00E06B7B"/>
    <w:rsid w:val="00E06D33"/>
    <w:rsid w:val="00E06E20"/>
    <w:rsid w:val="00E07DD9"/>
    <w:rsid w:val="00E102F8"/>
    <w:rsid w:val="00E11E36"/>
    <w:rsid w:val="00E12FCF"/>
    <w:rsid w:val="00E13273"/>
    <w:rsid w:val="00E13379"/>
    <w:rsid w:val="00E139EE"/>
    <w:rsid w:val="00E14D83"/>
    <w:rsid w:val="00E14FA6"/>
    <w:rsid w:val="00E15A0D"/>
    <w:rsid w:val="00E16640"/>
    <w:rsid w:val="00E16E7D"/>
    <w:rsid w:val="00E1740F"/>
    <w:rsid w:val="00E200CF"/>
    <w:rsid w:val="00E23EBE"/>
    <w:rsid w:val="00E24287"/>
    <w:rsid w:val="00E31367"/>
    <w:rsid w:val="00E3181C"/>
    <w:rsid w:val="00E32EF3"/>
    <w:rsid w:val="00E33E21"/>
    <w:rsid w:val="00E34BC4"/>
    <w:rsid w:val="00E34C15"/>
    <w:rsid w:val="00E3540C"/>
    <w:rsid w:val="00E36187"/>
    <w:rsid w:val="00E36332"/>
    <w:rsid w:val="00E36C9B"/>
    <w:rsid w:val="00E37638"/>
    <w:rsid w:val="00E37E9D"/>
    <w:rsid w:val="00E41B71"/>
    <w:rsid w:val="00E41E4F"/>
    <w:rsid w:val="00E42569"/>
    <w:rsid w:val="00E434A0"/>
    <w:rsid w:val="00E44D30"/>
    <w:rsid w:val="00E45682"/>
    <w:rsid w:val="00E4597F"/>
    <w:rsid w:val="00E46304"/>
    <w:rsid w:val="00E46CB7"/>
    <w:rsid w:val="00E4723D"/>
    <w:rsid w:val="00E47BB3"/>
    <w:rsid w:val="00E5077C"/>
    <w:rsid w:val="00E50DB5"/>
    <w:rsid w:val="00E50EC8"/>
    <w:rsid w:val="00E5159B"/>
    <w:rsid w:val="00E515C6"/>
    <w:rsid w:val="00E52E0D"/>
    <w:rsid w:val="00E52FE2"/>
    <w:rsid w:val="00E53249"/>
    <w:rsid w:val="00E54629"/>
    <w:rsid w:val="00E54715"/>
    <w:rsid w:val="00E54D6B"/>
    <w:rsid w:val="00E54E6F"/>
    <w:rsid w:val="00E55338"/>
    <w:rsid w:val="00E569AF"/>
    <w:rsid w:val="00E56C88"/>
    <w:rsid w:val="00E572C6"/>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A53"/>
    <w:rsid w:val="00E76E91"/>
    <w:rsid w:val="00E76F13"/>
    <w:rsid w:val="00E774B4"/>
    <w:rsid w:val="00E778F5"/>
    <w:rsid w:val="00E80E7C"/>
    <w:rsid w:val="00E81779"/>
    <w:rsid w:val="00E8205B"/>
    <w:rsid w:val="00E82444"/>
    <w:rsid w:val="00E8341C"/>
    <w:rsid w:val="00E8453A"/>
    <w:rsid w:val="00E8602B"/>
    <w:rsid w:val="00E86B5F"/>
    <w:rsid w:val="00E87D05"/>
    <w:rsid w:val="00E90F2C"/>
    <w:rsid w:val="00E91F96"/>
    <w:rsid w:val="00E92E99"/>
    <w:rsid w:val="00E968FD"/>
    <w:rsid w:val="00E96D55"/>
    <w:rsid w:val="00E97993"/>
    <w:rsid w:val="00EA0D5D"/>
    <w:rsid w:val="00EA1192"/>
    <w:rsid w:val="00EA153F"/>
    <w:rsid w:val="00EA2788"/>
    <w:rsid w:val="00EA2C6E"/>
    <w:rsid w:val="00EA3010"/>
    <w:rsid w:val="00EA4964"/>
    <w:rsid w:val="00EA4F1A"/>
    <w:rsid w:val="00EA50D8"/>
    <w:rsid w:val="00EA54A3"/>
    <w:rsid w:val="00EA7E6B"/>
    <w:rsid w:val="00EB02DE"/>
    <w:rsid w:val="00EB0A07"/>
    <w:rsid w:val="00EB1B69"/>
    <w:rsid w:val="00EB1C78"/>
    <w:rsid w:val="00EB3B46"/>
    <w:rsid w:val="00EB4F08"/>
    <w:rsid w:val="00EC17CD"/>
    <w:rsid w:val="00EC2E07"/>
    <w:rsid w:val="00EC43C7"/>
    <w:rsid w:val="00EC465D"/>
    <w:rsid w:val="00EC5B50"/>
    <w:rsid w:val="00EC5C89"/>
    <w:rsid w:val="00EC66D2"/>
    <w:rsid w:val="00EC67E7"/>
    <w:rsid w:val="00EC7D6D"/>
    <w:rsid w:val="00ED0A1B"/>
    <w:rsid w:val="00ED1E87"/>
    <w:rsid w:val="00ED21BC"/>
    <w:rsid w:val="00ED2FEC"/>
    <w:rsid w:val="00ED3F67"/>
    <w:rsid w:val="00ED3F79"/>
    <w:rsid w:val="00ED4133"/>
    <w:rsid w:val="00ED440A"/>
    <w:rsid w:val="00ED7971"/>
    <w:rsid w:val="00EE0748"/>
    <w:rsid w:val="00EE29A0"/>
    <w:rsid w:val="00EE2CEA"/>
    <w:rsid w:val="00EE3365"/>
    <w:rsid w:val="00EE48DF"/>
    <w:rsid w:val="00EE4AB3"/>
    <w:rsid w:val="00EE62A1"/>
    <w:rsid w:val="00EE7405"/>
    <w:rsid w:val="00EF033E"/>
    <w:rsid w:val="00EF06EC"/>
    <w:rsid w:val="00EF14FF"/>
    <w:rsid w:val="00EF1890"/>
    <w:rsid w:val="00EF2BFE"/>
    <w:rsid w:val="00EF2D85"/>
    <w:rsid w:val="00EF402C"/>
    <w:rsid w:val="00EF45E0"/>
    <w:rsid w:val="00EF4E6F"/>
    <w:rsid w:val="00EF5C82"/>
    <w:rsid w:val="00EF7A15"/>
    <w:rsid w:val="00F01177"/>
    <w:rsid w:val="00F01F8C"/>
    <w:rsid w:val="00F03177"/>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2CF0"/>
    <w:rsid w:val="00F24EA4"/>
    <w:rsid w:val="00F2625A"/>
    <w:rsid w:val="00F31A03"/>
    <w:rsid w:val="00F3283C"/>
    <w:rsid w:val="00F32D0F"/>
    <w:rsid w:val="00F343F0"/>
    <w:rsid w:val="00F34620"/>
    <w:rsid w:val="00F34AAB"/>
    <w:rsid w:val="00F34C4D"/>
    <w:rsid w:val="00F350CF"/>
    <w:rsid w:val="00F35582"/>
    <w:rsid w:val="00F37004"/>
    <w:rsid w:val="00F374F2"/>
    <w:rsid w:val="00F376A1"/>
    <w:rsid w:val="00F37B8E"/>
    <w:rsid w:val="00F41746"/>
    <w:rsid w:val="00F41E79"/>
    <w:rsid w:val="00F4315F"/>
    <w:rsid w:val="00F445F6"/>
    <w:rsid w:val="00F4512F"/>
    <w:rsid w:val="00F45763"/>
    <w:rsid w:val="00F45BCF"/>
    <w:rsid w:val="00F45BEA"/>
    <w:rsid w:val="00F45CFE"/>
    <w:rsid w:val="00F46877"/>
    <w:rsid w:val="00F47F3E"/>
    <w:rsid w:val="00F50F2C"/>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A2E"/>
    <w:rsid w:val="00F70C16"/>
    <w:rsid w:val="00F70FEF"/>
    <w:rsid w:val="00F72FA8"/>
    <w:rsid w:val="00F74836"/>
    <w:rsid w:val="00F75415"/>
    <w:rsid w:val="00F773F9"/>
    <w:rsid w:val="00F8101C"/>
    <w:rsid w:val="00F817B9"/>
    <w:rsid w:val="00F81CB7"/>
    <w:rsid w:val="00F82280"/>
    <w:rsid w:val="00F8235F"/>
    <w:rsid w:val="00F83A22"/>
    <w:rsid w:val="00F83A97"/>
    <w:rsid w:val="00F844F0"/>
    <w:rsid w:val="00F84895"/>
    <w:rsid w:val="00F84E9D"/>
    <w:rsid w:val="00F8659E"/>
    <w:rsid w:val="00F868B9"/>
    <w:rsid w:val="00F86CE4"/>
    <w:rsid w:val="00F86F42"/>
    <w:rsid w:val="00F91941"/>
    <w:rsid w:val="00F92E3F"/>
    <w:rsid w:val="00F934BC"/>
    <w:rsid w:val="00F938D2"/>
    <w:rsid w:val="00F95C32"/>
    <w:rsid w:val="00F96389"/>
    <w:rsid w:val="00F9650E"/>
    <w:rsid w:val="00F96B73"/>
    <w:rsid w:val="00F977C7"/>
    <w:rsid w:val="00FA05D6"/>
    <w:rsid w:val="00FA0890"/>
    <w:rsid w:val="00FA164A"/>
    <w:rsid w:val="00FA3F3E"/>
    <w:rsid w:val="00FA4272"/>
    <w:rsid w:val="00FA4855"/>
    <w:rsid w:val="00FA4ACD"/>
    <w:rsid w:val="00FA6428"/>
    <w:rsid w:val="00FA64B9"/>
    <w:rsid w:val="00FA7144"/>
    <w:rsid w:val="00FA7184"/>
    <w:rsid w:val="00FB096E"/>
    <w:rsid w:val="00FB1D9D"/>
    <w:rsid w:val="00FB25FA"/>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1C6"/>
    <w:rsid w:val="00FC393B"/>
    <w:rsid w:val="00FC4052"/>
    <w:rsid w:val="00FC5252"/>
    <w:rsid w:val="00FC5C78"/>
    <w:rsid w:val="00FC6356"/>
    <w:rsid w:val="00FC7D01"/>
    <w:rsid w:val="00FD0130"/>
    <w:rsid w:val="00FD0373"/>
    <w:rsid w:val="00FD0582"/>
    <w:rsid w:val="00FD0C93"/>
    <w:rsid w:val="00FD1062"/>
    <w:rsid w:val="00FD10E3"/>
    <w:rsid w:val="00FD2589"/>
    <w:rsid w:val="00FD4876"/>
    <w:rsid w:val="00FD52A3"/>
    <w:rsid w:val="00FD6645"/>
    <w:rsid w:val="00FD68D4"/>
    <w:rsid w:val="00FE00D9"/>
    <w:rsid w:val="00FE1186"/>
    <w:rsid w:val="00FE177A"/>
    <w:rsid w:val="00FE240A"/>
    <w:rsid w:val="00FE3E3C"/>
    <w:rsid w:val="00FE43E7"/>
    <w:rsid w:val="00FE4613"/>
    <w:rsid w:val="00FE4B66"/>
    <w:rsid w:val="00FE4F6E"/>
    <w:rsid w:val="00FE56E9"/>
    <w:rsid w:val="00FE583F"/>
    <w:rsid w:val="00FE5CC4"/>
    <w:rsid w:val="00FE6B13"/>
    <w:rsid w:val="00FE7575"/>
    <w:rsid w:val="00FE7C18"/>
    <w:rsid w:val="00FF1070"/>
    <w:rsid w:val="00FF13E2"/>
    <w:rsid w:val="00FF2237"/>
    <w:rsid w:val="00FF4953"/>
    <w:rsid w:val="00FF5FA3"/>
    <w:rsid w:val="00FF5FCE"/>
    <w:rsid w:val="00FF6177"/>
    <w:rsid w:val="00FF6AD9"/>
    <w:rsid w:val="00FF73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9BFCFC"/>
  <w15:chartTrackingRefBased/>
  <w15:docId w15:val="{3E2B8B9B-2695-4119-9C6D-E7EDA9D9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8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A8318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locked/>
    <w:rsid w:val="00521E4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Heading2Char">
    <w:name w:val="Heading 2 Char"/>
    <w:link w:val="Heading2"/>
    <w:rsid w:val="00A8318B"/>
    <w:rPr>
      <w:rFonts w:ascii="Calibri Light" w:eastAsia="Times New Roman" w:hAnsi="Calibri Light" w:cs="Times New Roman"/>
      <w:b/>
      <w:bCs/>
      <w:i/>
      <w:iCs/>
      <w:sz w:val="28"/>
      <w:szCs w:val="28"/>
    </w:rPr>
  </w:style>
  <w:style w:type="paragraph" w:customStyle="1" w:styleId="Default">
    <w:name w:val="Default"/>
    <w:rsid w:val="00E76F13"/>
    <w:pPr>
      <w:autoSpaceDE w:val="0"/>
      <w:autoSpaceDN w:val="0"/>
      <w:adjustRightInd w:val="0"/>
    </w:pPr>
    <w:rPr>
      <w:rFonts w:ascii="Cambria" w:hAnsi="Cambria" w:cs="Cambria"/>
      <w:color w:val="000000"/>
      <w:sz w:val="24"/>
      <w:szCs w:val="24"/>
    </w:rPr>
  </w:style>
  <w:style w:type="character" w:customStyle="1" w:styleId="Heading3Char">
    <w:name w:val="Heading 3 Char"/>
    <w:link w:val="Heading3"/>
    <w:rsid w:val="00521E41"/>
    <w:rPr>
      <w:rFonts w:ascii="Calibri Light" w:eastAsia="Times New Roman" w:hAnsi="Calibri Light" w:cs="Times New Roman"/>
      <w:b/>
      <w:bCs/>
      <w:sz w:val="26"/>
      <w:szCs w:val="26"/>
    </w:rPr>
  </w:style>
  <w:style w:type="paragraph" w:styleId="FootnoteText">
    <w:name w:val="footnote text"/>
    <w:basedOn w:val="Normal"/>
    <w:link w:val="FootnoteTextChar"/>
    <w:uiPriority w:val="99"/>
    <w:semiHidden/>
    <w:unhideWhenUsed/>
    <w:rsid w:val="000613EC"/>
    <w:rPr>
      <w:sz w:val="20"/>
      <w:szCs w:val="20"/>
    </w:rPr>
  </w:style>
  <w:style w:type="character" w:customStyle="1" w:styleId="FootnoteTextChar">
    <w:name w:val="Footnote Text Char"/>
    <w:basedOn w:val="DefaultParagraphFont"/>
    <w:link w:val="FootnoteText"/>
    <w:uiPriority w:val="99"/>
    <w:semiHidden/>
    <w:rsid w:val="000613EC"/>
  </w:style>
  <w:style w:type="character" w:styleId="FootnoteReference">
    <w:name w:val="footnote reference"/>
    <w:basedOn w:val="DefaultParagraphFont"/>
    <w:uiPriority w:val="99"/>
    <w:semiHidden/>
    <w:unhideWhenUsed/>
    <w:rsid w:val="000613EC"/>
    <w:rPr>
      <w:vertAlign w:val="superscript"/>
    </w:rPr>
  </w:style>
  <w:style w:type="character" w:styleId="UnresolvedMention">
    <w:name w:val="Unresolved Mention"/>
    <w:basedOn w:val="DefaultParagraphFont"/>
    <w:uiPriority w:val="99"/>
    <w:semiHidden/>
    <w:unhideWhenUsed/>
    <w:rsid w:val="000613EC"/>
    <w:rPr>
      <w:color w:val="605E5C"/>
      <w:shd w:val="clear" w:color="auto" w:fill="E1DFDD"/>
    </w:rPr>
  </w:style>
  <w:style w:type="paragraph" w:styleId="Title">
    <w:name w:val="Title"/>
    <w:basedOn w:val="Normal"/>
    <w:link w:val="TitleChar"/>
    <w:qFormat/>
    <w:locked/>
    <w:rsid w:val="00B92069"/>
    <w:pPr>
      <w:jc w:val="center"/>
    </w:pPr>
    <w:rPr>
      <w:sz w:val="28"/>
      <w:szCs w:val="20"/>
      <w:lang w:eastAsia="en-US"/>
    </w:rPr>
  </w:style>
  <w:style w:type="character" w:customStyle="1" w:styleId="TitleChar">
    <w:name w:val="Title Char"/>
    <w:basedOn w:val="DefaultParagraphFont"/>
    <w:link w:val="Title"/>
    <w:rsid w:val="00B9206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1543">
      <w:bodyDiv w:val="1"/>
      <w:marLeft w:val="0"/>
      <w:marRight w:val="0"/>
      <w:marTop w:val="0"/>
      <w:marBottom w:val="0"/>
      <w:divBdr>
        <w:top w:val="none" w:sz="0" w:space="0" w:color="auto"/>
        <w:left w:val="none" w:sz="0" w:space="0" w:color="auto"/>
        <w:bottom w:val="none" w:sz="0" w:space="0" w:color="auto"/>
        <w:right w:val="none" w:sz="0" w:space="0" w:color="auto"/>
      </w:divBdr>
    </w:div>
    <w:div w:id="90250435">
      <w:bodyDiv w:val="1"/>
      <w:marLeft w:val="0"/>
      <w:marRight w:val="0"/>
      <w:marTop w:val="0"/>
      <w:marBottom w:val="0"/>
      <w:divBdr>
        <w:top w:val="none" w:sz="0" w:space="0" w:color="auto"/>
        <w:left w:val="none" w:sz="0" w:space="0" w:color="auto"/>
        <w:bottom w:val="none" w:sz="0" w:space="0" w:color="auto"/>
        <w:right w:val="none" w:sz="0" w:space="0" w:color="auto"/>
      </w:divBdr>
    </w:div>
    <w:div w:id="207375002">
      <w:bodyDiv w:val="1"/>
      <w:marLeft w:val="0"/>
      <w:marRight w:val="0"/>
      <w:marTop w:val="0"/>
      <w:marBottom w:val="0"/>
      <w:divBdr>
        <w:top w:val="none" w:sz="0" w:space="0" w:color="auto"/>
        <w:left w:val="none" w:sz="0" w:space="0" w:color="auto"/>
        <w:bottom w:val="none" w:sz="0" w:space="0" w:color="auto"/>
        <w:right w:val="none" w:sz="0" w:space="0" w:color="auto"/>
      </w:divBdr>
    </w:div>
    <w:div w:id="44519365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1963918">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6253065">
      <w:bodyDiv w:val="1"/>
      <w:marLeft w:val="0"/>
      <w:marRight w:val="0"/>
      <w:marTop w:val="0"/>
      <w:marBottom w:val="0"/>
      <w:divBdr>
        <w:top w:val="none" w:sz="0" w:space="0" w:color="auto"/>
        <w:left w:val="none" w:sz="0" w:space="0" w:color="auto"/>
        <w:bottom w:val="none" w:sz="0" w:space="0" w:color="auto"/>
        <w:right w:val="none" w:sz="0" w:space="0" w:color="auto"/>
      </w:divBdr>
      <w:divsChild>
        <w:div w:id="426080703">
          <w:marLeft w:val="-225"/>
          <w:marRight w:val="-225"/>
          <w:marTop w:val="0"/>
          <w:marBottom w:val="90"/>
          <w:divBdr>
            <w:top w:val="none" w:sz="0" w:space="0" w:color="auto"/>
            <w:left w:val="none" w:sz="0" w:space="0" w:color="auto"/>
            <w:bottom w:val="none" w:sz="0" w:space="0" w:color="auto"/>
            <w:right w:val="none" w:sz="0" w:space="0" w:color="auto"/>
          </w:divBdr>
          <w:divsChild>
            <w:div w:id="5895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6097">
      <w:bodyDiv w:val="1"/>
      <w:marLeft w:val="0"/>
      <w:marRight w:val="0"/>
      <w:marTop w:val="0"/>
      <w:marBottom w:val="0"/>
      <w:divBdr>
        <w:top w:val="none" w:sz="0" w:space="0" w:color="auto"/>
        <w:left w:val="none" w:sz="0" w:space="0" w:color="auto"/>
        <w:bottom w:val="none" w:sz="0" w:space="0" w:color="auto"/>
        <w:right w:val="none" w:sz="0" w:space="0" w:color="auto"/>
      </w:divBdr>
    </w:div>
    <w:div w:id="756559252">
      <w:bodyDiv w:val="1"/>
      <w:marLeft w:val="0"/>
      <w:marRight w:val="0"/>
      <w:marTop w:val="0"/>
      <w:marBottom w:val="0"/>
      <w:divBdr>
        <w:top w:val="none" w:sz="0" w:space="0" w:color="auto"/>
        <w:left w:val="none" w:sz="0" w:space="0" w:color="auto"/>
        <w:bottom w:val="none" w:sz="0" w:space="0" w:color="auto"/>
        <w:right w:val="none" w:sz="0" w:space="0" w:color="auto"/>
      </w:divBdr>
    </w:div>
    <w:div w:id="871577169">
      <w:bodyDiv w:val="1"/>
      <w:marLeft w:val="0"/>
      <w:marRight w:val="0"/>
      <w:marTop w:val="0"/>
      <w:marBottom w:val="0"/>
      <w:divBdr>
        <w:top w:val="none" w:sz="0" w:space="0" w:color="auto"/>
        <w:left w:val="none" w:sz="0" w:space="0" w:color="auto"/>
        <w:bottom w:val="none" w:sz="0" w:space="0" w:color="auto"/>
        <w:right w:val="none" w:sz="0" w:space="0" w:color="auto"/>
      </w:divBdr>
    </w:div>
    <w:div w:id="894241981">
      <w:bodyDiv w:val="1"/>
      <w:marLeft w:val="0"/>
      <w:marRight w:val="0"/>
      <w:marTop w:val="0"/>
      <w:marBottom w:val="0"/>
      <w:divBdr>
        <w:top w:val="none" w:sz="0" w:space="0" w:color="auto"/>
        <w:left w:val="none" w:sz="0" w:space="0" w:color="auto"/>
        <w:bottom w:val="none" w:sz="0" w:space="0" w:color="auto"/>
        <w:right w:val="none" w:sz="0" w:space="0" w:color="auto"/>
      </w:divBdr>
    </w:div>
    <w:div w:id="942103986">
      <w:bodyDiv w:val="1"/>
      <w:marLeft w:val="0"/>
      <w:marRight w:val="0"/>
      <w:marTop w:val="0"/>
      <w:marBottom w:val="0"/>
      <w:divBdr>
        <w:top w:val="none" w:sz="0" w:space="0" w:color="auto"/>
        <w:left w:val="none" w:sz="0" w:space="0" w:color="auto"/>
        <w:bottom w:val="none" w:sz="0" w:space="0" w:color="auto"/>
        <w:right w:val="none" w:sz="0" w:space="0" w:color="auto"/>
      </w:divBdr>
    </w:div>
    <w:div w:id="1044449234">
      <w:bodyDiv w:val="1"/>
      <w:marLeft w:val="0"/>
      <w:marRight w:val="0"/>
      <w:marTop w:val="0"/>
      <w:marBottom w:val="0"/>
      <w:divBdr>
        <w:top w:val="none" w:sz="0" w:space="0" w:color="auto"/>
        <w:left w:val="none" w:sz="0" w:space="0" w:color="auto"/>
        <w:bottom w:val="none" w:sz="0" w:space="0" w:color="auto"/>
        <w:right w:val="none" w:sz="0" w:space="0" w:color="auto"/>
      </w:divBdr>
      <w:divsChild>
        <w:div w:id="444622947">
          <w:marLeft w:val="0"/>
          <w:marRight w:val="0"/>
          <w:marTop w:val="0"/>
          <w:marBottom w:val="567"/>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924006">
      <w:bodyDiv w:val="1"/>
      <w:marLeft w:val="0"/>
      <w:marRight w:val="0"/>
      <w:marTop w:val="0"/>
      <w:marBottom w:val="0"/>
      <w:divBdr>
        <w:top w:val="none" w:sz="0" w:space="0" w:color="auto"/>
        <w:left w:val="none" w:sz="0" w:space="0" w:color="auto"/>
        <w:bottom w:val="none" w:sz="0" w:space="0" w:color="auto"/>
        <w:right w:val="none" w:sz="0" w:space="0" w:color="auto"/>
      </w:divBdr>
    </w:div>
    <w:div w:id="124060032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16318685">
      <w:bodyDiv w:val="1"/>
      <w:marLeft w:val="0"/>
      <w:marRight w:val="0"/>
      <w:marTop w:val="0"/>
      <w:marBottom w:val="0"/>
      <w:divBdr>
        <w:top w:val="none" w:sz="0" w:space="0" w:color="auto"/>
        <w:left w:val="none" w:sz="0" w:space="0" w:color="auto"/>
        <w:bottom w:val="none" w:sz="0" w:space="0" w:color="auto"/>
        <w:right w:val="none" w:sz="0" w:space="0" w:color="auto"/>
      </w:divBdr>
    </w:div>
    <w:div w:id="1475681514">
      <w:bodyDiv w:val="1"/>
      <w:marLeft w:val="0"/>
      <w:marRight w:val="0"/>
      <w:marTop w:val="0"/>
      <w:marBottom w:val="0"/>
      <w:divBdr>
        <w:top w:val="none" w:sz="0" w:space="0" w:color="auto"/>
        <w:left w:val="none" w:sz="0" w:space="0" w:color="auto"/>
        <w:bottom w:val="none" w:sz="0" w:space="0" w:color="auto"/>
        <w:right w:val="none" w:sz="0" w:space="0" w:color="auto"/>
      </w:divBdr>
    </w:div>
    <w:div w:id="1537110964">
      <w:bodyDiv w:val="1"/>
      <w:marLeft w:val="0"/>
      <w:marRight w:val="0"/>
      <w:marTop w:val="0"/>
      <w:marBottom w:val="0"/>
      <w:divBdr>
        <w:top w:val="none" w:sz="0" w:space="0" w:color="auto"/>
        <w:left w:val="none" w:sz="0" w:space="0" w:color="auto"/>
        <w:bottom w:val="none" w:sz="0" w:space="0" w:color="auto"/>
        <w:right w:val="none" w:sz="0" w:space="0" w:color="auto"/>
      </w:divBdr>
    </w:div>
    <w:div w:id="15461373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2173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8992829">
      <w:bodyDiv w:val="1"/>
      <w:marLeft w:val="0"/>
      <w:marRight w:val="0"/>
      <w:marTop w:val="0"/>
      <w:marBottom w:val="0"/>
      <w:divBdr>
        <w:top w:val="none" w:sz="0" w:space="0" w:color="auto"/>
        <w:left w:val="none" w:sz="0" w:space="0" w:color="auto"/>
        <w:bottom w:val="none" w:sz="0" w:space="0" w:color="auto"/>
        <w:right w:val="none" w:sz="0" w:space="0" w:color="auto"/>
      </w:divBdr>
    </w:div>
    <w:div w:id="1720667910">
      <w:bodyDiv w:val="1"/>
      <w:marLeft w:val="0"/>
      <w:marRight w:val="0"/>
      <w:marTop w:val="0"/>
      <w:marBottom w:val="0"/>
      <w:divBdr>
        <w:top w:val="none" w:sz="0" w:space="0" w:color="auto"/>
        <w:left w:val="none" w:sz="0" w:space="0" w:color="auto"/>
        <w:bottom w:val="none" w:sz="0" w:space="0" w:color="auto"/>
        <w:right w:val="none" w:sz="0" w:space="0" w:color="auto"/>
      </w:divBdr>
    </w:div>
    <w:div w:id="1764837358">
      <w:bodyDiv w:val="1"/>
      <w:marLeft w:val="0"/>
      <w:marRight w:val="0"/>
      <w:marTop w:val="0"/>
      <w:marBottom w:val="0"/>
      <w:divBdr>
        <w:top w:val="none" w:sz="0" w:space="0" w:color="auto"/>
        <w:left w:val="none" w:sz="0" w:space="0" w:color="auto"/>
        <w:bottom w:val="none" w:sz="0" w:space="0" w:color="auto"/>
        <w:right w:val="none" w:sz="0" w:space="0" w:color="auto"/>
      </w:divBdr>
    </w:div>
    <w:div w:id="1766227793">
      <w:bodyDiv w:val="1"/>
      <w:marLeft w:val="0"/>
      <w:marRight w:val="0"/>
      <w:marTop w:val="0"/>
      <w:marBottom w:val="0"/>
      <w:divBdr>
        <w:top w:val="none" w:sz="0" w:space="0" w:color="auto"/>
        <w:left w:val="none" w:sz="0" w:space="0" w:color="auto"/>
        <w:bottom w:val="none" w:sz="0" w:space="0" w:color="auto"/>
        <w:right w:val="none" w:sz="0" w:space="0" w:color="auto"/>
      </w:divBdr>
    </w:div>
    <w:div w:id="1819808638">
      <w:bodyDiv w:val="1"/>
      <w:marLeft w:val="0"/>
      <w:marRight w:val="0"/>
      <w:marTop w:val="0"/>
      <w:marBottom w:val="0"/>
      <w:divBdr>
        <w:top w:val="none" w:sz="0" w:space="0" w:color="auto"/>
        <w:left w:val="none" w:sz="0" w:space="0" w:color="auto"/>
        <w:bottom w:val="none" w:sz="0" w:space="0" w:color="auto"/>
        <w:right w:val="none" w:sz="0" w:space="0" w:color="auto"/>
      </w:divBdr>
    </w:div>
    <w:div w:id="1922714017">
      <w:bodyDiv w:val="1"/>
      <w:marLeft w:val="0"/>
      <w:marRight w:val="0"/>
      <w:marTop w:val="0"/>
      <w:marBottom w:val="0"/>
      <w:divBdr>
        <w:top w:val="none" w:sz="0" w:space="0" w:color="auto"/>
        <w:left w:val="none" w:sz="0" w:space="0" w:color="auto"/>
        <w:bottom w:val="none" w:sz="0" w:space="0" w:color="auto"/>
        <w:right w:val="none" w:sz="0" w:space="0" w:color="auto"/>
      </w:divBdr>
    </w:div>
    <w:div w:id="1949971621">
      <w:bodyDiv w:val="1"/>
      <w:marLeft w:val="0"/>
      <w:marRight w:val="0"/>
      <w:marTop w:val="0"/>
      <w:marBottom w:val="0"/>
      <w:divBdr>
        <w:top w:val="none" w:sz="0" w:space="0" w:color="auto"/>
        <w:left w:val="none" w:sz="0" w:space="0" w:color="auto"/>
        <w:bottom w:val="none" w:sz="0" w:space="0" w:color="auto"/>
        <w:right w:val="none" w:sz="0" w:space="0" w:color="auto"/>
      </w:divBdr>
    </w:div>
    <w:div w:id="1968465831">
      <w:bodyDiv w:val="1"/>
      <w:marLeft w:val="0"/>
      <w:marRight w:val="0"/>
      <w:marTop w:val="0"/>
      <w:marBottom w:val="0"/>
      <w:divBdr>
        <w:top w:val="none" w:sz="0" w:space="0" w:color="auto"/>
        <w:left w:val="none" w:sz="0" w:space="0" w:color="auto"/>
        <w:bottom w:val="none" w:sz="0" w:space="0" w:color="auto"/>
        <w:right w:val="none" w:sz="0" w:space="0" w:color="auto"/>
      </w:divBdr>
    </w:div>
    <w:div w:id="20244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uractiv.com/section/transport/news/test-shows-e10-increases-fuel-consumption/" TargetMode="External"/><Relationship Id="rId1" Type="http://schemas.openxmlformats.org/officeDocument/2006/relationships/hyperlink" Target="http://www.tf.llu.lv/adzl/publikacij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C581-F338-4264-A768-EE79568C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4773</Words>
  <Characters>33431</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38128</CharactersWithSpaces>
  <SharedDoc>false</SharedDoc>
  <HLinks>
    <vt:vector size="6" baseType="variant">
      <vt:variant>
        <vt:i4>6881345</vt:i4>
      </vt:variant>
      <vt:variant>
        <vt:i4>0</vt:i4>
      </vt:variant>
      <vt:variant>
        <vt:i4>0</vt:i4>
      </vt:variant>
      <vt:variant>
        <vt:i4>5</vt:i4>
      </vt:variant>
      <vt:variant>
        <vt:lpwstr>mailto:Mikus.Ramanis@em.gov.lv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EM</dc:creator>
  <cp:keywords/>
  <dc:description>67012345, vards.uzvards@mk.gov.lv</dc:description>
  <cp:lastModifiedBy>Mikus Ramanis</cp:lastModifiedBy>
  <cp:revision>7</cp:revision>
  <cp:lastPrinted>2017-10-23T06:01:00Z</cp:lastPrinted>
  <dcterms:created xsi:type="dcterms:W3CDTF">2019-12-02T14:44:00Z</dcterms:created>
  <dcterms:modified xsi:type="dcterms:W3CDTF">2019-12-03T15:02:00Z</dcterms:modified>
</cp:coreProperties>
</file>