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E173" w14:textId="77777777" w:rsidR="007116C7" w:rsidRPr="007132C5" w:rsidRDefault="007116C7" w:rsidP="00580EBA">
      <w:pPr>
        <w:pStyle w:val="naislab"/>
        <w:spacing w:before="0" w:after="0"/>
        <w:ind w:firstLine="720"/>
        <w:rPr>
          <w:sz w:val="28"/>
          <w:szCs w:val="28"/>
        </w:rPr>
      </w:pPr>
      <w:r w:rsidRPr="007132C5">
        <w:rPr>
          <w:sz w:val="28"/>
          <w:szCs w:val="28"/>
        </w:rPr>
        <w:t> </w:t>
      </w:r>
    </w:p>
    <w:p w14:paraId="33AFF097" w14:textId="77777777" w:rsidR="007116C7" w:rsidRPr="007132C5" w:rsidRDefault="007116C7" w:rsidP="00580EBA">
      <w:pPr>
        <w:pStyle w:val="naisnod"/>
        <w:spacing w:before="0" w:after="0"/>
        <w:ind w:firstLine="720"/>
        <w:rPr>
          <w:sz w:val="28"/>
          <w:szCs w:val="28"/>
        </w:rPr>
      </w:pPr>
      <w:r w:rsidRPr="007132C5">
        <w:rPr>
          <w:sz w:val="28"/>
          <w:szCs w:val="28"/>
        </w:rPr>
        <w:t>Izziņa par atzinumos sniegtajiem iebildumiem</w:t>
      </w:r>
    </w:p>
    <w:p w14:paraId="7FAD9569" w14:textId="77777777" w:rsidR="007116C7" w:rsidRPr="007132C5" w:rsidRDefault="007116C7" w:rsidP="00580EBA">
      <w:pPr>
        <w:pStyle w:val="naisf"/>
        <w:spacing w:before="0" w:after="0"/>
        <w:ind w:firstLine="720"/>
      </w:pPr>
    </w:p>
    <w:tbl>
      <w:tblPr>
        <w:tblW w:w="0" w:type="auto"/>
        <w:jc w:val="center"/>
        <w:tblLook w:val="00A0" w:firstRow="1" w:lastRow="0" w:firstColumn="1" w:lastColumn="0" w:noHBand="0" w:noVBand="0"/>
      </w:tblPr>
      <w:tblGrid>
        <w:gridCol w:w="10188"/>
      </w:tblGrid>
      <w:tr w:rsidR="007132C5" w:rsidRPr="007132C5" w14:paraId="4AE583D5" w14:textId="77777777">
        <w:trPr>
          <w:jc w:val="center"/>
        </w:trPr>
        <w:tc>
          <w:tcPr>
            <w:tcW w:w="10188" w:type="dxa"/>
            <w:tcBorders>
              <w:bottom w:val="single" w:sz="6" w:space="0" w:color="000000"/>
            </w:tcBorders>
          </w:tcPr>
          <w:p w14:paraId="4149E511" w14:textId="2C90E83A" w:rsidR="007116C7" w:rsidRPr="007132C5" w:rsidRDefault="001A0F78" w:rsidP="00580EBA">
            <w:pPr>
              <w:jc w:val="center"/>
            </w:pPr>
            <w:r w:rsidRPr="00BF3F1D">
              <w:rPr>
                <w:b/>
              </w:rPr>
              <w:t>Grozījum</w:t>
            </w:r>
            <w:r>
              <w:rPr>
                <w:b/>
              </w:rPr>
              <w:t>i</w:t>
            </w:r>
            <w:r w:rsidRPr="00BF3F1D">
              <w:rPr>
                <w:b/>
              </w:rPr>
              <w:t xml:space="preserve"> Ministru kabineta 2016. gada 11. oktobra noteikumos Nr. 669 “Kārtība, kādā noslēdz un pārrauga brīvprātīgu vienošanos par energoefektivitātes uzlabošanu”</w:t>
            </w:r>
          </w:p>
        </w:tc>
      </w:tr>
    </w:tbl>
    <w:p w14:paraId="61FF673B" w14:textId="77777777" w:rsidR="007116C7" w:rsidRPr="007132C5" w:rsidRDefault="007116C7" w:rsidP="00580EBA">
      <w:pPr>
        <w:pStyle w:val="naisc"/>
        <w:spacing w:before="0" w:after="0"/>
        <w:ind w:firstLine="1080"/>
      </w:pPr>
      <w:r w:rsidRPr="007132C5">
        <w:t>(dokumenta veids un nosaukums)</w:t>
      </w:r>
    </w:p>
    <w:p w14:paraId="1E282F02" w14:textId="77777777" w:rsidR="007B4C0F" w:rsidRPr="007132C5" w:rsidRDefault="007B4C0F" w:rsidP="00580EBA">
      <w:pPr>
        <w:pStyle w:val="naisf"/>
        <w:spacing w:before="0" w:after="0"/>
        <w:ind w:firstLine="720"/>
      </w:pPr>
    </w:p>
    <w:p w14:paraId="06A01AC6" w14:textId="77777777" w:rsidR="007B4C0F" w:rsidRPr="007132C5" w:rsidRDefault="007B4C0F" w:rsidP="00580EBA">
      <w:pPr>
        <w:pStyle w:val="naisf"/>
        <w:spacing w:before="0" w:after="0"/>
        <w:ind w:firstLine="0"/>
        <w:jc w:val="center"/>
        <w:rPr>
          <w:b/>
        </w:rPr>
      </w:pPr>
      <w:r w:rsidRPr="007132C5">
        <w:rPr>
          <w:b/>
        </w:rPr>
        <w:t xml:space="preserve">I. Jautājumi, par kuriem saskaņošanā </w:t>
      </w:r>
      <w:r w:rsidR="00134188" w:rsidRPr="007132C5">
        <w:rPr>
          <w:b/>
        </w:rPr>
        <w:t xml:space="preserve">vienošanās </w:t>
      </w:r>
      <w:r w:rsidRPr="007132C5">
        <w:rPr>
          <w:b/>
        </w:rPr>
        <w:t>nav panākta</w:t>
      </w:r>
    </w:p>
    <w:p w14:paraId="472FD680" w14:textId="77777777" w:rsidR="007B4C0F" w:rsidRPr="007132C5" w:rsidRDefault="007B4C0F" w:rsidP="00580EBA">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7132C5" w:rsidRPr="007132C5" w14:paraId="2CEBCB9A"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1144CBA9" w14:textId="77777777" w:rsidR="005F4BFD" w:rsidRPr="007132C5" w:rsidRDefault="005F4BFD" w:rsidP="00580EBA">
            <w:pPr>
              <w:pStyle w:val="naisc"/>
              <w:spacing w:before="0" w:after="0"/>
            </w:pPr>
            <w:r w:rsidRPr="007132C5">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745E019" w14:textId="77777777" w:rsidR="005F4BFD" w:rsidRPr="007132C5" w:rsidRDefault="005F4BFD" w:rsidP="00580EBA">
            <w:pPr>
              <w:pStyle w:val="naisc"/>
              <w:spacing w:before="0" w:after="0"/>
              <w:ind w:firstLine="12"/>
            </w:pPr>
            <w:r w:rsidRPr="007132C5">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EB2E06B" w14:textId="77777777" w:rsidR="005F4BFD" w:rsidRPr="007132C5" w:rsidRDefault="005F4BFD" w:rsidP="00580EBA">
            <w:pPr>
              <w:pStyle w:val="naisc"/>
              <w:spacing w:before="0" w:after="0"/>
              <w:ind w:right="3"/>
            </w:pPr>
            <w:r w:rsidRPr="007132C5">
              <w:t>Atzinumā norādītais ministrijas (citas institūcijas) iebildums</w:t>
            </w:r>
            <w:r w:rsidR="00184479" w:rsidRPr="007132C5">
              <w:t>,</w:t>
            </w:r>
            <w:r w:rsidR="000E5509" w:rsidRPr="007132C5">
              <w:t xml:space="preserve"> kā arī saskaņošanā papildus izteiktais iebildums</w:t>
            </w:r>
            <w:r w:rsidRPr="007132C5">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F5851B2" w14:textId="77777777" w:rsidR="005F4BFD" w:rsidRPr="007132C5" w:rsidRDefault="005F4BFD" w:rsidP="00580EBA">
            <w:pPr>
              <w:pStyle w:val="naisc"/>
              <w:spacing w:before="0" w:after="0"/>
              <w:ind w:firstLine="21"/>
            </w:pPr>
            <w:r w:rsidRPr="007132C5">
              <w:t>Atbildīgās ministrijas pamatojums</w:t>
            </w:r>
            <w:r w:rsidR="009307F2" w:rsidRPr="007132C5">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A42F7FF" w14:textId="77777777" w:rsidR="005F4BFD" w:rsidRPr="007132C5" w:rsidRDefault="005F4BFD" w:rsidP="00580EBA">
            <w:pPr>
              <w:jc w:val="center"/>
            </w:pPr>
            <w:r w:rsidRPr="007132C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630E5C6" w14:textId="77777777" w:rsidR="005F4BFD" w:rsidRPr="007132C5" w:rsidRDefault="005F4BFD" w:rsidP="00580EBA">
            <w:pPr>
              <w:jc w:val="center"/>
            </w:pPr>
            <w:r w:rsidRPr="007132C5">
              <w:t>Projekta attiecīgā punkta (panta) galīgā redakcija</w:t>
            </w:r>
          </w:p>
        </w:tc>
      </w:tr>
      <w:tr w:rsidR="007132C5" w:rsidRPr="007132C5" w14:paraId="3FD3968F" w14:textId="77777777" w:rsidTr="00A6469E">
        <w:trPr>
          <w:trHeight w:val="65"/>
        </w:trPr>
        <w:tc>
          <w:tcPr>
            <w:tcW w:w="708" w:type="dxa"/>
            <w:tcBorders>
              <w:top w:val="single" w:sz="6" w:space="0" w:color="000000"/>
              <w:left w:val="single" w:sz="6" w:space="0" w:color="000000"/>
              <w:bottom w:val="single" w:sz="6" w:space="0" w:color="000000"/>
              <w:right w:val="single" w:sz="6" w:space="0" w:color="000000"/>
            </w:tcBorders>
          </w:tcPr>
          <w:p w14:paraId="6CEE9149" w14:textId="77777777" w:rsidR="005F4BFD" w:rsidRPr="007132C5" w:rsidRDefault="008A36C9" w:rsidP="00580EBA">
            <w:pPr>
              <w:pStyle w:val="naisc"/>
              <w:spacing w:before="0" w:after="0"/>
              <w:rPr>
                <w:sz w:val="20"/>
                <w:szCs w:val="20"/>
              </w:rPr>
            </w:pPr>
            <w:r w:rsidRPr="007132C5">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7487C28" w14:textId="17E2BD3A" w:rsidR="00C24627" w:rsidRPr="007132C5" w:rsidRDefault="008A36C9" w:rsidP="00580EBA">
            <w:pPr>
              <w:pStyle w:val="naisc"/>
              <w:spacing w:before="0" w:after="0"/>
            </w:pPr>
            <w:r w:rsidRPr="007132C5">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2CFCDE4" w14:textId="2ED4FDFF" w:rsidR="005F4BFD" w:rsidRPr="007132C5" w:rsidRDefault="008A36C9" w:rsidP="00580EBA">
            <w:pPr>
              <w:pStyle w:val="naisc"/>
              <w:spacing w:before="0" w:after="0"/>
              <w:rPr>
                <w:sz w:val="20"/>
                <w:szCs w:val="20"/>
              </w:rPr>
            </w:pPr>
            <w:r w:rsidRPr="007132C5">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91A88FC" w14:textId="77777777" w:rsidR="005F4BFD" w:rsidRPr="007132C5" w:rsidRDefault="008A36C9" w:rsidP="00580EBA">
            <w:pPr>
              <w:pStyle w:val="naisc"/>
              <w:spacing w:before="0" w:after="0"/>
              <w:rPr>
                <w:sz w:val="20"/>
                <w:szCs w:val="20"/>
              </w:rPr>
            </w:pPr>
            <w:r w:rsidRPr="007132C5">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A05E743" w14:textId="77777777" w:rsidR="005F4BFD" w:rsidRPr="007132C5" w:rsidRDefault="008A36C9" w:rsidP="00580EBA">
            <w:pPr>
              <w:jc w:val="center"/>
              <w:rPr>
                <w:sz w:val="20"/>
                <w:szCs w:val="20"/>
              </w:rPr>
            </w:pPr>
            <w:r w:rsidRPr="007132C5">
              <w:rPr>
                <w:sz w:val="20"/>
                <w:szCs w:val="20"/>
              </w:rPr>
              <w:t>5</w:t>
            </w:r>
          </w:p>
        </w:tc>
        <w:tc>
          <w:tcPr>
            <w:tcW w:w="1920" w:type="dxa"/>
            <w:tcBorders>
              <w:top w:val="single" w:sz="4" w:space="0" w:color="auto"/>
              <w:left w:val="single" w:sz="4" w:space="0" w:color="auto"/>
              <w:bottom w:val="single" w:sz="4" w:space="0" w:color="auto"/>
            </w:tcBorders>
          </w:tcPr>
          <w:p w14:paraId="2F85ECA1" w14:textId="77777777" w:rsidR="005F4BFD" w:rsidRPr="007132C5" w:rsidRDefault="008A36C9" w:rsidP="00580EBA">
            <w:pPr>
              <w:jc w:val="center"/>
              <w:rPr>
                <w:sz w:val="20"/>
                <w:szCs w:val="20"/>
              </w:rPr>
            </w:pPr>
            <w:r w:rsidRPr="007132C5">
              <w:rPr>
                <w:sz w:val="20"/>
                <w:szCs w:val="20"/>
              </w:rPr>
              <w:t>6</w:t>
            </w:r>
          </w:p>
        </w:tc>
      </w:tr>
      <w:tr w:rsidR="007132C5" w:rsidRPr="007132C5" w14:paraId="379BA6E7" w14:textId="77777777">
        <w:tc>
          <w:tcPr>
            <w:tcW w:w="708" w:type="dxa"/>
            <w:tcBorders>
              <w:left w:val="single" w:sz="6" w:space="0" w:color="000000"/>
              <w:bottom w:val="single" w:sz="4" w:space="0" w:color="auto"/>
              <w:right w:val="single" w:sz="6" w:space="0" w:color="000000"/>
            </w:tcBorders>
          </w:tcPr>
          <w:p w14:paraId="3343BD06" w14:textId="77777777" w:rsidR="005F4BFD" w:rsidRPr="007132C5" w:rsidRDefault="005F4BFD" w:rsidP="00580EBA">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8B75730" w14:textId="77777777" w:rsidR="005F4BFD" w:rsidRPr="007132C5" w:rsidRDefault="005F4BFD" w:rsidP="00580EBA">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C989545" w14:textId="77777777" w:rsidR="005F4BFD" w:rsidRPr="007132C5" w:rsidRDefault="005F4BFD" w:rsidP="00580EBA">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44A340D2" w14:textId="77777777" w:rsidR="005F4BFD" w:rsidRPr="007132C5" w:rsidRDefault="005F4BFD" w:rsidP="00580EBA">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5FAA070" w14:textId="77777777" w:rsidR="005F4BFD" w:rsidRPr="007132C5" w:rsidRDefault="005F4BFD" w:rsidP="00580EBA"/>
        </w:tc>
        <w:tc>
          <w:tcPr>
            <w:tcW w:w="1920" w:type="dxa"/>
            <w:tcBorders>
              <w:top w:val="single" w:sz="4" w:space="0" w:color="auto"/>
              <w:left w:val="single" w:sz="4" w:space="0" w:color="auto"/>
              <w:bottom w:val="single" w:sz="4" w:space="0" w:color="auto"/>
            </w:tcBorders>
          </w:tcPr>
          <w:p w14:paraId="3AE9D4F6" w14:textId="77777777" w:rsidR="005F4BFD" w:rsidRPr="007132C5" w:rsidRDefault="005F4BFD" w:rsidP="00580EBA"/>
        </w:tc>
      </w:tr>
      <w:tr w:rsidR="008A36C9" w:rsidRPr="007132C5" w14:paraId="1DB025CC" w14:textId="77777777">
        <w:tc>
          <w:tcPr>
            <w:tcW w:w="708" w:type="dxa"/>
            <w:tcBorders>
              <w:left w:val="single" w:sz="6" w:space="0" w:color="000000"/>
              <w:bottom w:val="single" w:sz="4" w:space="0" w:color="auto"/>
              <w:right w:val="single" w:sz="6" w:space="0" w:color="000000"/>
            </w:tcBorders>
          </w:tcPr>
          <w:p w14:paraId="695EB4F9" w14:textId="77777777" w:rsidR="008A36C9" w:rsidRPr="007132C5" w:rsidRDefault="008A36C9" w:rsidP="00580EBA">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7151921D" w14:textId="77777777" w:rsidR="008A36C9" w:rsidRPr="007132C5" w:rsidRDefault="008A36C9" w:rsidP="00580EBA">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15F64AF" w14:textId="77777777" w:rsidR="008A36C9" w:rsidRPr="007132C5" w:rsidRDefault="008A36C9" w:rsidP="00580EBA">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23A67B0C" w14:textId="77777777" w:rsidR="008A36C9" w:rsidRPr="007132C5" w:rsidRDefault="008A36C9" w:rsidP="00580EBA">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4CB3D4C" w14:textId="77777777" w:rsidR="008A36C9" w:rsidRPr="007132C5" w:rsidRDefault="008A36C9" w:rsidP="00580EBA"/>
        </w:tc>
        <w:tc>
          <w:tcPr>
            <w:tcW w:w="1920" w:type="dxa"/>
            <w:tcBorders>
              <w:top w:val="single" w:sz="4" w:space="0" w:color="auto"/>
              <w:left w:val="single" w:sz="4" w:space="0" w:color="auto"/>
              <w:bottom w:val="single" w:sz="4" w:space="0" w:color="auto"/>
              <w:right w:val="single" w:sz="4" w:space="0" w:color="auto"/>
            </w:tcBorders>
          </w:tcPr>
          <w:p w14:paraId="43FB6074" w14:textId="77777777" w:rsidR="008A36C9" w:rsidRPr="007132C5" w:rsidRDefault="008A36C9" w:rsidP="00580EBA"/>
        </w:tc>
      </w:tr>
    </w:tbl>
    <w:p w14:paraId="09A6CCEB" w14:textId="77777777" w:rsidR="007B4C0F" w:rsidRPr="007132C5" w:rsidRDefault="007B4C0F" w:rsidP="00580EBA">
      <w:pPr>
        <w:pStyle w:val="naisf"/>
        <w:spacing w:before="0" w:after="0"/>
        <w:ind w:firstLine="0"/>
      </w:pPr>
    </w:p>
    <w:p w14:paraId="5F1003A0" w14:textId="71C0CFAE" w:rsidR="005D67F7" w:rsidRDefault="005D67F7" w:rsidP="00580EBA">
      <w:pPr>
        <w:pStyle w:val="naisf"/>
        <w:spacing w:before="0" w:after="0"/>
        <w:ind w:firstLine="0"/>
        <w:rPr>
          <w:b/>
        </w:rPr>
      </w:pPr>
      <w:r w:rsidRPr="007132C5">
        <w:rPr>
          <w:b/>
        </w:rPr>
        <w:t xml:space="preserve">Informācija par </w:t>
      </w:r>
      <w:proofErr w:type="spellStart"/>
      <w:r w:rsidRPr="007132C5">
        <w:rPr>
          <w:b/>
        </w:rPr>
        <w:t>starpministriju</w:t>
      </w:r>
      <w:proofErr w:type="spellEnd"/>
      <w:r w:rsidRPr="007132C5">
        <w:rPr>
          <w:b/>
        </w:rPr>
        <w:t xml:space="preserve"> (starpinstitūciju) sanāksmi vai elektronisko saskaņošanu</w:t>
      </w:r>
    </w:p>
    <w:p w14:paraId="0CEC4DC2" w14:textId="77777777" w:rsidR="00A6469E" w:rsidRPr="007132C5" w:rsidRDefault="00A6469E" w:rsidP="00580EBA">
      <w:pPr>
        <w:pStyle w:val="naisf"/>
        <w:spacing w:before="0" w:after="0"/>
        <w:ind w:firstLine="0"/>
        <w:rPr>
          <w:b/>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8"/>
        <w:gridCol w:w="5874"/>
      </w:tblGrid>
      <w:tr w:rsidR="007132C5" w:rsidRPr="007132C5" w14:paraId="31C707FE" w14:textId="77777777" w:rsidTr="007132C5">
        <w:tc>
          <w:tcPr>
            <w:tcW w:w="6708" w:type="dxa"/>
            <w:tcBorders>
              <w:top w:val="nil"/>
              <w:left w:val="nil"/>
              <w:bottom w:val="nil"/>
              <w:right w:val="nil"/>
            </w:tcBorders>
          </w:tcPr>
          <w:p w14:paraId="218B58F5" w14:textId="77777777" w:rsidR="007B4C0F" w:rsidRPr="00601CF3" w:rsidRDefault="005D67F7" w:rsidP="00580EBA">
            <w:pPr>
              <w:pStyle w:val="naisf"/>
              <w:spacing w:before="0" w:after="0"/>
              <w:ind w:firstLine="0"/>
            </w:pPr>
            <w:r w:rsidRPr="00601CF3">
              <w:t>D</w:t>
            </w:r>
            <w:r w:rsidR="007B4C0F" w:rsidRPr="00601CF3">
              <w:t>atums</w:t>
            </w:r>
          </w:p>
        </w:tc>
        <w:tc>
          <w:tcPr>
            <w:tcW w:w="5874" w:type="dxa"/>
            <w:tcBorders>
              <w:top w:val="nil"/>
              <w:left w:val="nil"/>
              <w:right w:val="nil"/>
            </w:tcBorders>
          </w:tcPr>
          <w:p w14:paraId="79E06D1E" w14:textId="01B32BC3" w:rsidR="007B4C0F" w:rsidRPr="00601CF3" w:rsidRDefault="00676B71" w:rsidP="00580EBA">
            <w:pPr>
              <w:pStyle w:val="NormalWeb"/>
              <w:spacing w:before="0" w:beforeAutospacing="0" w:after="0" w:afterAutospacing="0"/>
              <w:rPr>
                <w:highlight w:val="yellow"/>
              </w:rPr>
            </w:pPr>
            <w:r w:rsidRPr="00601CF3">
              <w:t>1</w:t>
            </w:r>
            <w:r w:rsidR="00E02E98" w:rsidRPr="00601CF3">
              <w:t>5</w:t>
            </w:r>
            <w:r w:rsidR="003E0C78" w:rsidRPr="00601CF3">
              <w:t>.</w:t>
            </w:r>
            <w:r w:rsidR="009A0F6F" w:rsidRPr="00601CF3">
              <w:t>10</w:t>
            </w:r>
            <w:r w:rsidR="007132C5" w:rsidRPr="00601CF3">
              <w:t>.2019.</w:t>
            </w:r>
            <w:r w:rsidR="00EA6740" w:rsidRPr="00601CF3">
              <w:t>-</w:t>
            </w:r>
            <w:r w:rsidR="00AF1210" w:rsidRPr="00601CF3">
              <w:t>0</w:t>
            </w:r>
            <w:r w:rsidR="00ED28AA">
              <w:t>1</w:t>
            </w:r>
            <w:r w:rsidR="00EA6740" w:rsidRPr="00601CF3">
              <w:t>.1</w:t>
            </w:r>
            <w:r w:rsidR="00AF1210" w:rsidRPr="00601CF3">
              <w:t>1</w:t>
            </w:r>
            <w:r w:rsidR="00580EBA" w:rsidRPr="00601CF3">
              <w:t>.</w:t>
            </w:r>
            <w:r w:rsidR="00EA6740" w:rsidRPr="00601CF3">
              <w:t>2019</w:t>
            </w:r>
            <w:r w:rsidR="00580EBA" w:rsidRPr="00601CF3">
              <w:t>.</w:t>
            </w:r>
          </w:p>
        </w:tc>
      </w:tr>
      <w:tr w:rsidR="007132C5" w:rsidRPr="007132C5" w14:paraId="2AEE2194" w14:textId="77777777" w:rsidTr="007132C5">
        <w:tc>
          <w:tcPr>
            <w:tcW w:w="6708" w:type="dxa"/>
            <w:tcBorders>
              <w:top w:val="nil"/>
              <w:left w:val="nil"/>
              <w:bottom w:val="nil"/>
              <w:right w:val="nil"/>
            </w:tcBorders>
          </w:tcPr>
          <w:p w14:paraId="4DBC9197" w14:textId="77777777" w:rsidR="007B4C0F" w:rsidRPr="007132C5" w:rsidRDefault="00365CC0" w:rsidP="00580EBA">
            <w:pPr>
              <w:pStyle w:val="naiskr"/>
              <w:spacing w:before="0" w:after="0"/>
            </w:pPr>
            <w:r w:rsidRPr="007132C5">
              <w:t>Saskaņošanas dalībnieki</w:t>
            </w:r>
          </w:p>
        </w:tc>
        <w:tc>
          <w:tcPr>
            <w:tcW w:w="5874" w:type="dxa"/>
            <w:tcBorders>
              <w:left w:val="nil"/>
              <w:right w:val="nil"/>
            </w:tcBorders>
          </w:tcPr>
          <w:p w14:paraId="562A2C30" w14:textId="576176AC" w:rsidR="00A6469E" w:rsidRPr="00B132B8" w:rsidRDefault="007132C5" w:rsidP="00580EBA">
            <w:pPr>
              <w:jc w:val="both"/>
            </w:pPr>
            <w:r w:rsidRPr="00B132B8">
              <w:t>Finanšu ministrija, Tieslietu ministrija</w:t>
            </w:r>
            <w:r w:rsidR="00B132B8" w:rsidRPr="00B132B8">
              <w:t>, Vides aizsardzības un reģionālās attīstības ministrija, Latvijas Pašvaldību savienība, Latvijas Darba devēju konfederācija, Latvijas Tirdzniecības un rūpniecības kamera</w:t>
            </w:r>
            <w:r w:rsidR="00BD62D4">
              <w:t xml:space="preserve">, </w:t>
            </w:r>
            <w:hyperlink r:id="rId7" w:history="1">
              <w:r w:rsidR="00BD62D4" w:rsidRPr="00BD62D4">
                <w:t>Latvijas Lielo pilsētu asociācija</w:t>
              </w:r>
            </w:hyperlink>
          </w:p>
        </w:tc>
      </w:tr>
      <w:tr w:rsidR="007132C5" w:rsidRPr="007132C5" w14:paraId="19FED45C" w14:textId="77777777" w:rsidTr="007132C5">
        <w:trPr>
          <w:trHeight w:val="285"/>
        </w:trPr>
        <w:tc>
          <w:tcPr>
            <w:tcW w:w="6708" w:type="dxa"/>
            <w:tcBorders>
              <w:top w:val="nil"/>
              <w:left w:val="nil"/>
              <w:bottom w:val="nil"/>
              <w:right w:val="nil"/>
            </w:tcBorders>
          </w:tcPr>
          <w:p w14:paraId="449613F3" w14:textId="77777777" w:rsidR="007132C5" w:rsidRPr="007132C5" w:rsidRDefault="007132C5" w:rsidP="00580EBA">
            <w:pPr>
              <w:pStyle w:val="naiskr"/>
              <w:spacing w:before="0" w:after="0"/>
            </w:pPr>
            <w:r w:rsidRPr="007132C5">
              <w:t>Saskaņošanas dalībnieki izskatīja šādu ministriju (citu institūciju) iebildumus</w:t>
            </w:r>
          </w:p>
        </w:tc>
        <w:tc>
          <w:tcPr>
            <w:tcW w:w="5874" w:type="dxa"/>
            <w:tcBorders>
              <w:left w:val="nil"/>
              <w:right w:val="nil"/>
            </w:tcBorders>
          </w:tcPr>
          <w:p w14:paraId="21497449" w14:textId="3B878D46" w:rsidR="007132C5" w:rsidRPr="007132C5" w:rsidRDefault="007132C5" w:rsidP="00580EBA">
            <w:pPr>
              <w:pStyle w:val="naiskr"/>
              <w:spacing w:before="0" w:after="0"/>
              <w:ind w:firstLine="12"/>
              <w:jc w:val="both"/>
            </w:pPr>
            <w:r>
              <w:t>Finanšu ministrija, Tieslietu ministrija</w:t>
            </w:r>
            <w:r w:rsidR="00E02E98">
              <w:t xml:space="preserve">, </w:t>
            </w:r>
            <w:r w:rsidR="00E02E98" w:rsidRPr="00B132B8">
              <w:t>Vides aizsardzības un reģionālās attīstības ministrija</w:t>
            </w:r>
          </w:p>
        </w:tc>
      </w:tr>
      <w:tr w:rsidR="007132C5" w:rsidRPr="007132C5" w14:paraId="5C8CD070" w14:textId="77777777" w:rsidTr="007132C5">
        <w:tc>
          <w:tcPr>
            <w:tcW w:w="6708" w:type="dxa"/>
            <w:tcBorders>
              <w:top w:val="nil"/>
              <w:left w:val="nil"/>
              <w:bottom w:val="nil"/>
              <w:right w:val="nil"/>
            </w:tcBorders>
          </w:tcPr>
          <w:p w14:paraId="280E99A3" w14:textId="77777777" w:rsidR="007132C5" w:rsidRPr="007132C5" w:rsidRDefault="007132C5" w:rsidP="00580EBA">
            <w:pPr>
              <w:pStyle w:val="naiskr"/>
              <w:spacing w:before="0" w:after="0"/>
            </w:pPr>
            <w:r w:rsidRPr="007132C5">
              <w:t>Ministrijas (citas institūcijas), kuras nav ieradušās uz sanāksmi vai kuras nav atbildējušas uz uzaicinājumu piedalīties elektroniskajā saskaņošanā</w:t>
            </w:r>
          </w:p>
        </w:tc>
        <w:tc>
          <w:tcPr>
            <w:tcW w:w="5874" w:type="dxa"/>
            <w:tcBorders>
              <w:left w:val="nil"/>
              <w:right w:val="nil"/>
            </w:tcBorders>
          </w:tcPr>
          <w:p w14:paraId="5328BAA3" w14:textId="30523B52" w:rsidR="007132C5" w:rsidRPr="007132C5" w:rsidRDefault="00E02E98" w:rsidP="00580EBA">
            <w:pPr>
              <w:pStyle w:val="naiskr"/>
              <w:spacing w:before="0" w:after="0"/>
              <w:jc w:val="both"/>
            </w:pPr>
            <w:r w:rsidRPr="00601CF3">
              <w:t>Latvijas Darba devēju konfederācija</w:t>
            </w:r>
            <w:bookmarkStart w:id="0" w:name="_GoBack"/>
            <w:bookmarkEnd w:id="0"/>
          </w:p>
        </w:tc>
      </w:tr>
    </w:tbl>
    <w:p w14:paraId="756E9F65" w14:textId="77777777" w:rsidR="00683081" w:rsidRPr="007132C5" w:rsidRDefault="00683081" w:rsidP="00580EBA">
      <w:pPr>
        <w:pStyle w:val="naisf"/>
        <w:spacing w:before="0" w:after="0"/>
        <w:ind w:firstLine="720"/>
      </w:pPr>
    </w:p>
    <w:p w14:paraId="2FE5DB7B" w14:textId="77777777" w:rsidR="007B4C0F" w:rsidRPr="007132C5" w:rsidRDefault="007B4C0F" w:rsidP="00580EBA">
      <w:pPr>
        <w:pStyle w:val="naisf"/>
        <w:spacing w:before="0" w:after="0"/>
        <w:ind w:firstLine="0"/>
        <w:jc w:val="center"/>
        <w:rPr>
          <w:b/>
        </w:rPr>
      </w:pPr>
      <w:r w:rsidRPr="007132C5">
        <w:rPr>
          <w:b/>
        </w:rPr>
        <w:lastRenderedPageBreak/>
        <w:t>II. </w:t>
      </w:r>
      <w:r w:rsidR="00134188" w:rsidRPr="007132C5">
        <w:rPr>
          <w:b/>
        </w:rPr>
        <w:t>Jautājumi, par kuriem saskaņošanā vienošan</w:t>
      </w:r>
      <w:r w:rsidR="00144622" w:rsidRPr="007132C5">
        <w:rPr>
          <w:b/>
        </w:rPr>
        <w:t>ā</w:t>
      </w:r>
      <w:r w:rsidR="00134188" w:rsidRPr="007132C5">
        <w:rPr>
          <w:b/>
        </w:rPr>
        <w:t>s ir panākta</w:t>
      </w:r>
    </w:p>
    <w:p w14:paraId="2021C5D8" w14:textId="77777777" w:rsidR="007B4C0F" w:rsidRPr="007132C5" w:rsidRDefault="007B4C0F" w:rsidP="00580EBA">
      <w:pPr>
        <w:pStyle w:val="naisf"/>
        <w:spacing w:before="0" w:after="0"/>
        <w:ind w:firstLine="720"/>
      </w:pPr>
    </w:p>
    <w:tbl>
      <w:tblPr>
        <w:tblW w:w="14111"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685"/>
        <w:gridCol w:w="2902"/>
        <w:gridCol w:w="4343"/>
        <w:gridCol w:w="330"/>
        <w:gridCol w:w="2931"/>
        <w:gridCol w:w="2912"/>
      </w:tblGrid>
      <w:tr w:rsidR="007132C5" w:rsidRPr="007132C5" w14:paraId="17BACFE2" w14:textId="77777777" w:rsidTr="0041650A">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vAlign w:val="center"/>
          </w:tcPr>
          <w:p w14:paraId="4AAF9FDF" w14:textId="77777777" w:rsidR="00134188" w:rsidRPr="007132C5" w:rsidRDefault="00134188" w:rsidP="00580EBA">
            <w:pPr>
              <w:pStyle w:val="naisc"/>
              <w:spacing w:before="0" w:after="0"/>
            </w:pPr>
            <w:r w:rsidRPr="007132C5">
              <w:t>Nr. p.k.</w:t>
            </w:r>
          </w:p>
        </w:tc>
        <w:tc>
          <w:tcPr>
            <w:tcW w:w="2902" w:type="dxa"/>
            <w:tcBorders>
              <w:top w:val="single" w:sz="6" w:space="0" w:color="000000"/>
              <w:left w:val="single" w:sz="6" w:space="0" w:color="000000"/>
              <w:bottom w:val="single" w:sz="6" w:space="0" w:color="000000"/>
              <w:right w:val="single" w:sz="6" w:space="0" w:color="000000"/>
            </w:tcBorders>
            <w:vAlign w:val="center"/>
          </w:tcPr>
          <w:p w14:paraId="4E9514E3" w14:textId="77777777" w:rsidR="00134188" w:rsidRPr="007132C5" w:rsidRDefault="00134188" w:rsidP="00580EBA">
            <w:pPr>
              <w:pStyle w:val="naisc"/>
              <w:spacing w:before="0" w:after="0"/>
              <w:ind w:firstLine="12"/>
            </w:pPr>
            <w:r w:rsidRPr="007132C5">
              <w:t>Saskaņošanai nosūtītā projekta redakcija (konkrēta punkta (panta) redakcija)</w:t>
            </w:r>
          </w:p>
        </w:tc>
        <w:tc>
          <w:tcPr>
            <w:tcW w:w="4343" w:type="dxa"/>
            <w:tcBorders>
              <w:top w:val="single" w:sz="6" w:space="0" w:color="000000"/>
              <w:left w:val="single" w:sz="6" w:space="0" w:color="000000"/>
              <w:bottom w:val="single" w:sz="6" w:space="0" w:color="000000"/>
              <w:right w:val="single" w:sz="6" w:space="0" w:color="000000"/>
            </w:tcBorders>
            <w:vAlign w:val="center"/>
          </w:tcPr>
          <w:p w14:paraId="484F315D" w14:textId="77777777" w:rsidR="00134188" w:rsidRPr="007132C5" w:rsidRDefault="00134188" w:rsidP="00580EBA">
            <w:pPr>
              <w:pStyle w:val="naisc"/>
              <w:spacing w:before="0" w:after="0"/>
              <w:ind w:right="3"/>
            </w:pPr>
            <w:r w:rsidRPr="007132C5">
              <w:t>Atzinumā norādītais ministrijas (citas institūcijas) iebildums, kā arī saskaņošanā papildus izteiktais iebildums par projekta konkrēto punktu (pantu)</w:t>
            </w:r>
          </w:p>
        </w:tc>
        <w:tc>
          <w:tcPr>
            <w:tcW w:w="3261" w:type="dxa"/>
            <w:gridSpan w:val="2"/>
            <w:tcBorders>
              <w:top w:val="single" w:sz="6" w:space="0" w:color="000000"/>
              <w:left w:val="single" w:sz="6" w:space="0" w:color="000000"/>
              <w:bottom w:val="single" w:sz="6" w:space="0" w:color="000000"/>
              <w:right w:val="single" w:sz="6" w:space="0" w:color="000000"/>
            </w:tcBorders>
            <w:vAlign w:val="center"/>
          </w:tcPr>
          <w:p w14:paraId="2125A204" w14:textId="77777777" w:rsidR="00134188" w:rsidRPr="007132C5" w:rsidRDefault="00134188" w:rsidP="00580EBA">
            <w:pPr>
              <w:pStyle w:val="naisc"/>
              <w:spacing w:before="0" w:after="0"/>
              <w:ind w:firstLine="21"/>
            </w:pPr>
            <w:r w:rsidRPr="007132C5">
              <w:t>Atbildīgās ministrijas norāde</w:t>
            </w:r>
            <w:r w:rsidR="006C1C48" w:rsidRPr="007132C5">
              <w:t xml:space="preserve"> par to, ka </w:t>
            </w:r>
            <w:r w:rsidRPr="007132C5">
              <w:t>iebildums ir ņemts vērā</w:t>
            </w:r>
            <w:r w:rsidR="006455E7" w:rsidRPr="007132C5">
              <w:t>,</w:t>
            </w:r>
            <w:r w:rsidRPr="007132C5">
              <w:t xml:space="preserve"> vai </w:t>
            </w:r>
            <w:r w:rsidR="006C1C48" w:rsidRPr="007132C5">
              <w:t xml:space="preserve">informācija par saskaņošanā </w:t>
            </w:r>
            <w:r w:rsidR="00022B0F" w:rsidRPr="007132C5">
              <w:t>panākto alternatīvo risinājumu</w:t>
            </w:r>
          </w:p>
        </w:tc>
        <w:tc>
          <w:tcPr>
            <w:tcW w:w="2912" w:type="dxa"/>
            <w:tcBorders>
              <w:top w:val="single" w:sz="4" w:space="0" w:color="auto"/>
              <w:left w:val="single" w:sz="4" w:space="0" w:color="auto"/>
              <w:bottom w:val="single" w:sz="4" w:space="0" w:color="auto"/>
            </w:tcBorders>
            <w:vAlign w:val="center"/>
          </w:tcPr>
          <w:p w14:paraId="3BC53624" w14:textId="77777777" w:rsidR="00134188" w:rsidRPr="007132C5" w:rsidRDefault="00134188" w:rsidP="00580EBA">
            <w:pPr>
              <w:jc w:val="center"/>
            </w:pPr>
            <w:r w:rsidRPr="007132C5">
              <w:t>Projekta attiecīgā punkta (panta) galīgā redakcija</w:t>
            </w:r>
          </w:p>
        </w:tc>
      </w:tr>
      <w:tr w:rsidR="007132C5" w:rsidRPr="007132C5" w14:paraId="35DA4086" w14:textId="77777777" w:rsidTr="0041650A">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tcPr>
          <w:p w14:paraId="74C5CB8B" w14:textId="77777777" w:rsidR="00134188" w:rsidRPr="007132C5" w:rsidRDefault="003B71E0" w:rsidP="00580EBA">
            <w:pPr>
              <w:pStyle w:val="naisc"/>
              <w:spacing w:before="0" w:after="0"/>
              <w:rPr>
                <w:sz w:val="20"/>
                <w:szCs w:val="20"/>
              </w:rPr>
            </w:pPr>
            <w:r w:rsidRPr="007132C5">
              <w:rPr>
                <w:sz w:val="20"/>
                <w:szCs w:val="20"/>
              </w:rPr>
              <w:t>1</w:t>
            </w:r>
          </w:p>
        </w:tc>
        <w:tc>
          <w:tcPr>
            <w:tcW w:w="2902" w:type="dxa"/>
            <w:tcBorders>
              <w:top w:val="single" w:sz="6" w:space="0" w:color="000000"/>
              <w:left w:val="single" w:sz="6" w:space="0" w:color="000000"/>
              <w:bottom w:val="single" w:sz="6" w:space="0" w:color="000000"/>
              <w:right w:val="single" w:sz="6" w:space="0" w:color="000000"/>
            </w:tcBorders>
          </w:tcPr>
          <w:p w14:paraId="631E8769" w14:textId="77777777" w:rsidR="00134188" w:rsidRPr="007132C5" w:rsidRDefault="00F34AAB" w:rsidP="00580EBA">
            <w:pPr>
              <w:pStyle w:val="naisc"/>
              <w:spacing w:before="0" w:after="0"/>
              <w:ind w:firstLine="720"/>
              <w:rPr>
                <w:sz w:val="20"/>
                <w:szCs w:val="20"/>
              </w:rPr>
            </w:pPr>
            <w:r w:rsidRPr="007132C5">
              <w:rPr>
                <w:sz w:val="20"/>
                <w:szCs w:val="20"/>
              </w:rPr>
              <w:t>2</w:t>
            </w:r>
          </w:p>
        </w:tc>
        <w:tc>
          <w:tcPr>
            <w:tcW w:w="4343" w:type="dxa"/>
            <w:tcBorders>
              <w:top w:val="single" w:sz="6" w:space="0" w:color="000000"/>
              <w:left w:val="single" w:sz="6" w:space="0" w:color="000000"/>
              <w:bottom w:val="single" w:sz="6" w:space="0" w:color="000000"/>
              <w:right w:val="single" w:sz="6" w:space="0" w:color="000000"/>
            </w:tcBorders>
          </w:tcPr>
          <w:p w14:paraId="253DA0FC" w14:textId="77777777" w:rsidR="00134188" w:rsidRPr="007132C5" w:rsidRDefault="003B71E0" w:rsidP="00580EBA">
            <w:pPr>
              <w:pStyle w:val="naisc"/>
              <w:spacing w:before="0" w:after="0"/>
              <w:ind w:firstLine="720"/>
              <w:rPr>
                <w:sz w:val="20"/>
                <w:szCs w:val="20"/>
              </w:rPr>
            </w:pPr>
            <w:r w:rsidRPr="007132C5">
              <w:rPr>
                <w:sz w:val="20"/>
                <w:szCs w:val="20"/>
              </w:rPr>
              <w:t>3</w:t>
            </w:r>
          </w:p>
        </w:tc>
        <w:tc>
          <w:tcPr>
            <w:tcW w:w="3261" w:type="dxa"/>
            <w:gridSpan w:val="2"/>
            <w:tcBorders>
              <w:top w:val="single" w:sz="6" w:space="0" w:color="000000"/>
              <w:left w:val="single" w:sz="6" w:space="0" w:color="000000"/>
              <w:bottom w:val="single" w:sz="6" w:space="0" w:color="000000"/>
              <w:right w:val="single" w:sz="6" w:space="0" w:color="000000"/>
            </w:tcBorders>
          </w:tcPr>
          <w:p w14:paraId="4855B538" w14:textId="77777777" w:rsidR="00134188" w:rsidRPr="007132C5" w:rsidRDefault="003B71E0" w:rsidP="00580EBA">
            <w:pPr>
              <w:pStyle w:val="naisc"/>
              <w:spacing w:before="0" w:after="0"/>
              <w:ind w:firstLine="720"/>
              <w:rPr>
                <w:sz w:val="20"/>
                <w:szCs w:val="20"/>
              </w:rPr>
            </w:pPr>
            <w:r w:rsidRPr="007132C5">
              <w:rPr>
                <w:sz w:val="20"/>
                <w:szCs w:val="20"/>
              </w:rPr>
              <w:t>4</w:t>
            </w:r>
          </w:p>
        </w:tc>
        <w:tc>
          <w:tcPr>
            <w:tcW w:w="2912" w:type="dxa"/>
            <w:tcBorders>
              <w:top w:val="single" w:sz="4" w:space="0" w:color="auto"/>
              <w:left w:val="single" w:sz="4" w:space="0" w:color="auto"/>
              <w:bottom w:val="single" w:sz="4" w:space="0" w:color="auto"/>
            </w:tcBorders>
          </w:tcPr>
          <w:p w14:paraId="1B15FEBC" w14:textId="77777777" w:rsidR="00134188" w:rsidRPr="007132C5" w:rsidRDefault="003B71E0" w:rsidP="00580EBA">
            <w:pPr>
              <w:jc w:val="center"/>
              <w:rPr>
                <w:sz w:val="20"/>
                <w:szCs w:val="20"/>
              </w:rPr>
            </w:pPr>
            <w:r w:rsidRPr="007132C5">
              <w:rPr>
                <w:sz w:val="20"/>
                <w:szCs w:val="20"/>
              </w:rPr>
              <w:t>5</w:t>
            </w:r>
          </w:p>
        </w:tc>
      </w:tr>
      <w:tr w:rsidR="00580EBA" w:rsidRPr="007132C5" w14:paraId="37ACDFA3" w14:textId="77777777" w:rsidTr="0041650A">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37C9DF4F" w14:textId="3576CFCE" w:rsidR="00580EBA" w:rsidRPr="007132C5" w:rsidRDefault="00580EBA" w:rsidP="00580EBA">
            <w:r>
              <w:t>1.</w:t>
            </w:r>
          </w:p>
        </w:tc>
        <w:tc>
          <w:tcPr>
            <w:tcW w:w="2902" w:type="dxa"/>
            <w:tcBorders>
              <w:top w:val="single" w:sz="4" w:space="0" w:color="auto"/>
              <w:left w:val="single" w:sz="4" w:space="0" w:color="auto"/>
              <w:bottom w:val="single" w:sz="4" w:space="0" w:color="auto"/>
              <w:right w:val="single" w:sz="4" w:space="0" w:color="auto"/>
            </w:tcBorders>
          </w:tcPr>
          <w:p w14:paraId="4E4E675F" w14:textId="77777777" w:rsidR="00580EBA" w:rsidRPr="00580EBA" w:rsidRDefault="00580EBA" w:rsidP="00580EBA">
            <w:pPr>
              <w:pStyle w:val="naisc"/>
              <w:spacing w:before="0" w:after="0"/>
              <w:jc w:val="both"/>
              <w:rPr>
                <w:b/>
                <w:bCs/>
              </w:rPr>
            </w:pPr>
            <w:r w:rsidRPr="00580EBA">
              <w:rPr>
                <w:b/>
                <w:bCs/>
              </w:rPr>
              <w:t>Noteikumu projekta 1., 2. un 6. punkts:</w:t>
            </w:r>
          </w:p>
          <w:p w14:paraId="1AFAA386" w14:textId="57F6411D" w:rsidR="00580EBA" w:rsidRPr="00580EBA" w:rsidRDefault="00580EBA" w:rsidP="00580EBA">
            <w:pPr>
              <w:shd w:val="clear" w:color="auto" w:fill="FFFFFF"/>
              <w:jc w:val="both"/>
            </w:pPr>
            <w:r>
              <w:t xml:space="preserve">“1. </w:t>
            </w:r>
            <w:r w:rsidRPr="00580EBA">
              <w:t>Izteikt 2.1. apakšpunktu šādā redakcijā:</w:t>
            </w:r>
          </w:p>
          <w:p w14:paraId="1C600441" w14:textId="77777777" w:rsidR="00580EBA" w:rsidRPr="00875F9F" w:rsidRDefault="00580EBA" w:rsidP="00580EBA">
            <w:pPr>
              <w:shd w:val="clear" w:color="auto" w:fill="FFFFFF"/>
              <w:jc w:val="both"/>
            </w:pPr>
            <w:r w:rsidRPr="00875F9F">
              <w:t>“2.1. vienošanās dalībnieks – komersantus pārstāvoša organizācija, komersants, pašvaldība, plānošanas reģions vai pašvaldības pārstāvoša organizācija, kas brīvprātīgi apņemas sasniegt paredzēto enerģijas ietaupījuma mērķi, īstenojot konkrētus energoefektivitātes paaugstināšanas pasākumus atbilstoši noslēgtās vienošanās nosacījumiem;”.</w:t>
            </w:r>
          </w:p>
          <w:p w14:paraId="2A8FEA69" w14:textId="77777777" w:rsidR="00580EBA" w:rsidRPr="00875F9F" w:rsidRDefault="00580EBA" w:rsidP="00580EBA">
            <w:pPr>
              <w:shd w:val="clear" w:color="auto" w:fill="FFFFFF"/>
              <w:ind w:firstLine="709"/>
              <w:jc w:val="both"/>
            </w:pPr>
          </w:p>
          <w:p w14:paraId="6E208BD8" w14:textId="77777777" w:rsidR="00580EBA" w:rsidRPr="00875F9F" w:rsidRDefault="00580EBA" w:rsidP="00580EBA">
            <w:pPr>
              <w:shd w:val="clear" w:color="auto" w:fill="FFFFFF"/>
              <w:jc w:val="both"/>
            </w:pPr>
            <w:r w:rsidRPr="00875F9F">
              <w:t>2. Izteikt 6. punktu šādā redakcijā:</w:t>
            </w:r>
          </w:p>
          <w:p w14:paraId="71A1C52B" w14:textId="77777777" w:rsidR="00580EBA" w:rsidRPr="00875F9F" w:rsidRDefault="00580EBA" w:rsidP="00580EBA">
            <w:pPr>
              <w:shd w:val="clear" w:color="auto" w:fill="FFFFFF"/>
              <w:jc w:val="both"/>
            </w:pPr>
            <w:r w:rsidRPr="00875F9F">
              <w:t xml:space="preserve">“6. Atbildīgā ministrija ne retāk kā reizi gadā publicē savā tīmekļvietnē </w:t>
            </w:r>
            <w:r w:rsidRPr="00875F9F">
              <w:lastRenderedPageBreak/>
              <w:t>aicinājumu komersantiem, tos pārstāvošajām organizācijām, pašvaldībām, plānošanas reģioniem vai pašvaldības pārstāvošām organizācijām noslēgt vienošanos ar atbildīgo ministriju par energoefektivitātes uzlabošanu.”</w:t>
            </w:r>
          </w:p>
          <w:p w14:paraId="6615EB72" w14:textId="77777777" w:rsidR="00580EBA" w:rsidRPr="00875F9F" w:rsidRDefault="00580EBA" w:rsidP="00580EBA">
            <w:pPr>
              <w:shd w:val="clear" w:color="auto" w:fill="FFFFFF"/>
              <w:ind w:firstLine="709"/>
              <w:jc w:val="both"/>
            </w:pPr>
          </w:p>
          <w:p w14:paraId="46593499" w14:textId="77777777" w:rsidR="00580EBA" w:rsidRPr="00875F9F" w:rsidRDefault="00580EBA" w:rsidP="00580EBA">
            <w:pPr>
              <w:shd w:val="clear" w:color="auto" w:fill="FFFFFF"/>
              <w:jc w:val="both"/>
            </w:pPr>
            <w:r w:rsidRPr="00875F9F">
              <w:t>6. Papildināt noteikumus ar 12.</w:t>
            </w:r>
            <w:r w:rsidRPr="00875F9F">
              <w:rPr>
                <w:vertAlign w:val="superscript"/>
              </w:rPr>
              <w:t>1</w:t>
            </w:r>
            <w:r w:rsidRPr="00875F9F">
              <w:t xml:space="preserve"> punktu šādā redakcijā:</w:t>
            </w:r>
          </w:p>
          <w:p w14:paraId="6743B503" w14:textId="77777777" w:rsidR="00580EBA" w:rsidRPr="00875F9F" w:rsidRDefault="00580EBA" w:rsidP="00580EBA">
            <w:pPr>
              <w:pStyle w:val="tv213"/>
              <w:shd w:val="clear" w:color="auto" w:fill="FFFFFF"/>
              <w:spacing w:before="0" w:beforeAutospacing="0" w:after="0" w:afterAutospacing="0"/>
              <w:jc w:val="both"/>
            </w:pPr>
            <w:r w:rsidRPr="00875F9F">
              <w:t>“12.</w:t>
            </w:r>
            <w:r w:rsidRPr="00875F9F">
              <w:rPr>
                <w:vertAlign w:val="superscript"/>
              </w:rPr>
              <w:t>1</w:t>
            </w:r>
            <w:r w:rsidRPr="00875F9F">
              <w:t xml:space="preserve"> Vienošanās starp atbildīgo ministriju un plānošanas reģionu vai pašvaldības pārstāvošu organizāciju ietver:</w:t>
            </w:r>
          </w:p>
          <w:p w14:paraId="2B840F5B" w14:textId="77777777" w:rsidR="00580EBA" w:rsidRPr="00875F9F" w:rsidRDefault="00580EBA" w:rsidP="00580EBA">
            <w:pPr>
              <w:shd w:val="clear" w:color="auto" w:fill="FFFFFF"/>
              <w:jc w:val="both"/>
            </w:pPr>
            <w:r w:rsidRPr="00875F9F">
              <w:t>12.</w:t>
            </w:r>
            <w:r w:rsidRPr="00875F9F">
              <w:rPr>
                <w:vertAlign w:val="superscript"/>
              </w:rPr>
              <w:t>1 </w:t>
            </w:r>
            <w:r w:rsidRPr="00875F9F">
              <w:t>1. plānošanas reģiona vai pašvaldības pārstāvošas organizācijas enerģijas ietaupījuma mērķi;</w:t>
            </w:r>
          </w:p>
          <w:p w14:paraId="044DD2AE" w14:textId="77777777" w:rsidR="00580EBA" w:rsidRPr="00875F9F" w:rsidRDefault="00580EBA" w:rsidP="00580EBA">
            <w:pPr>
              <w:shd w:val="clear" w:color="auto" w:fill="FFFFFF"/>
              <w:jc w:val="both"/>
            </w:pPr>
            <w:r w:rsidRPr="00875F9F">
              <w:t>12.</w:t>
            </w:r>
            <w:r w:rsidRPr="00875F9F">
              <w:rPr>
                <w:vertAlign w:val="superscript"/>
              </w:rPr>
              <w:t>1 </w:t>
            </w:r>
            <w:r w:rsidRPr="00875F9F">
              <w:t>2. plānošanas reģiona vai pašvaldības pārstāvošas organizācijas energoefektivitātes plānu, kas ir atsevišķs dokuments vai cita dokumenta sastāvdaļa;</w:t>
            </w:r>
          </w:p>
          <w:p w14:paraId="38980EAA" w14:textId="77777777" w:rsidR="00580EBA" w:rsidRPr="00875F9F" w:rsidRDefault="00580EBA" w:rsidP="00580EBA">
            <w:pPr>
              <w:shd w:val="clear" w:color="auto" w:fill="FFFFFF"/>
              <w:jc w:val="both"/>
            </w:pPr>
            <w:r w:rsidRPr="00875F9F">
              <w:t>12.</w:t>
            </w:r>
            <w:r w:rsidRPr="00875F9F">
              <w:rPr>
                <w:vertAlign w:val="superscript"/>
              </w:rPr>
              <w:t>1 </w:t>
            </w:r>
            <w:r w:rsidRPr="00875F9F">
              <w:t xml:space="preserve">3. plānošanas reģiona vai pašvaldības pārstāvošas organizācijas pienākumu informēt pārstāvētās </w:t>
            </w:r>
            <w:r w:rsidRPr="00875F9F">
              <w:lastRenderedPageBreak/>
              <w:t>pašvaldības par energoefektivitātes paaugstināšanas jautājumiem;</w:t>
            </w:r>
          </w:p>
          <w:p w14:paraId="3C77651A" w14:textId="77777777" w:rsidR="00580EBA" w:rsidRPr="00875F9F" w:rsidRDefault="00580EBA" w:rsidP="00580EBA">
            <w:pPr>
              <w:shd w:val="clear" w:color="auto" w:fill="FFFFFF"/>
              <w:jc w:val="both"/>
            </w:pPr>
            <w:r w:rsidRPr="00875F9F">
              <w:t>12.</w:t>
            </w:r>
            <w:r w:rsidRPr="00875F9F">
              <w:rPr>
                <w:vertAlign w:val="superscript"/>
              </w:rPr>
              <w:t>1 </w:t>
            </w:r>
            <w:r w:rsidRPr="00875F9F">
              <w:t>4. plānošanas reģiona vai pašvaldības pārstāvošas organizācijas pienākumu sniegt informāciju atbildīgajai ministrijai par vienošanās izpildes gaitu;</w:t>
            </w:r>
          </w:p>
          <w:p w14:paraId="4B6E6C03" w14:textId="77777777" w:rsidR="00580EBA" w:rsidRPr="00875F9F" w:rsidRDefault="00580EBA" w:rsidP="00580EBA">
            <w:pPr>
              <w:shd w:val="clear" w:color="auto" w:fill="FFFFFF"/>
              <w:jc w:val="both"/>
            </w:pPr>
            <w:r w:rsidRPr="00875F9F">
              <w:t>12.</w:t>
            </w:r>
            <w:r w:rsidRPr="00875F9F">
              <w:rPr>
                <w:vertAlign w:val="superscript"/>
              </w:rPr>
              <w:t>1 </w:t>
            </w:r>
            <w:r w:rsidRPr="00875F9F">
              <w:t xml:space="preserve">5. nosacījumus attiecībā uz atbalsta iespējām </w:t>
            </w:r>
            <w:proofErr w:type="spellStart"/>
            <w:r w:rsidRPr="00875F9F">
              <w:t>energoauditiem</w:t>
            </w:r>
            <w:proofErr w:type="spellEnd"/>
            <w:r w:rsidRPr="00875F9F">
              <w:t xml:space="preserve"> un atsevišķiem energoefektivitātes uzlabošanas pasākumiem, kas tiek veikti saskaņā ar vienošanos, kā arī atbalsta atmaksas nosacījumus;</w:t>
            </w:r>
          </w:p>
          <w:p w14:paraId="5688B4BC" w14:textId="3E3A076C" w:rsidR="00580EBA" w:rsidRPr="00C7726E" w:rsidRDefault="00580EBA" w:rsidP="00580EBA">
            <w:pPr>
              <w:shd w:val="clear" w:color="auto" w:fill="FFFFFF"/>
              <w:jc w:val="both"/>
              <w:rPr>
                <w:b/>
                <w:bCs/>
              </w:rPr>
            </w:pPr>
            <w:r w:rsidRPr="00875F9F">
              <w:t>12.</w:t>
            </w:r>
            <w:r w:rsidRPr="00875F9F">
              <w:rPr>
                <w:vertAlign w:val="superscript"/>
              </w:rPr>
              <w:t>1 </w:t>
            </w:r>
            <w:r w:rsidRPr="00875F9F">
              <w:t>6. citu informāciju, kas nepieciešama noslēgtās vienošanās izpildei.”</w:t>
            </w:r>
            <w:r>
              <w:t>”</w:t>
            </w:r>
          </w:p>
        </w:tc>
        <w:tc>
          <w:tcPr>
            <w:tcW w:w="4343" w:type="dxa"/>
            <w:tcBorders>
              <w:top w:val="single" w:sz="4" w:space="0" w:color="auto"/>
              <w:left w:val="single" w:sz="4" w:space="0" w:color="auto"/>
              <w:bottom w:val="single" w:sz="4" w:space="0" w:color="auto"/>
              <w:right w:val="single" w:sz="4" w:space="0" w:color="auto"/>
            </w:tcBorders>
          </w:tcPr>
          <w:p w14:paraId="558A84BC" w14:textId="77777777" w:rsidR="00580EBA" w:rsidRPr="00727624" w:rsidRDefault="00580EBA" w:rsidP="00577BB4">
            <w:pPr>
              <w:pStyle w:val="naisc"/>
              <w:spacing w:before="0" w:after="0"/>
              <w:jc w:val="both"/>
              <w:rPr>
                <w:b/>
                <w:bCs/>
              </w:rPr>
            </w:pPr>
            <w:r w:rsidRPr="00727624">
              <w:rPr>
                <w:b/>
              </w:rPr>
              <w:lastRenderedPageBreak/>
              <w:t>Latvijas Lielo pilsētu asociācijas</w:t>
            </w:r>
            <w:r w:rsidRPr="00727624">
              <w:rPr>
                <w:b/>
                <w:bCs/>
              </w:rPr>
              <w:t xml:space="preserve"> 27.09.2019. priekšlikums:</w:t>
            </w:r>
          </w:p>
          <w:p w14:paraId="3E13047A" w14:textId="77777777" w:rsidR="00580EBA" w:rsidRDefault="00580EBA" w:rsidP="00577BB4">
            <w:pPr>
              <w:jc w:val="both"/>
            </w:pPr>
            <w:r w:rsidRPr="00727624">
              <w:t>“</w:t>
            </w:r>
            <w:r w:rsidRPr="00727624">
              <w:rPr>
                <w:rFonts w:eastAsia="Calibri"/>
                <w:color w:val="000000"/>
              </w:rPr>
              <w:t xml:space="preserve">Aicinām izslēgt no </w:t>
            </w:r>
            <w:r w:rsidRPr="00727624">
              <w:t xml:space="preserve">paplašinātā Noteikumu projekta noteikto vienošanās dalībnieku loka plānošanas reģionus. </w:t>
            </w:r>
            <w:r w:rsidRPr="00727624">
              <w:rPr>
                <w:rFonts w:eastAsia="Calibri"/>
                <w:color w:val="000000"/>
              </w:rPr>
              <w:t>Saskaņā ar Reģionālās attīstības likuma 16.</w:t>
            </w:r>
            <w:r w:rsidRPr="00727624">
              <w:rPr>
                <w:rFonts w:eastAsia="Calibri"/>
                <w:color w:val="000000"/>
                <w:vertAlign w:val="superscript"/>
              </w:rPr>
              <w:t>1</w:t>
            </w:r>
            <w:r w:rsidRPr="00727624">
              <w:rPr>
                <w:rFonts w:eastAsia="Calibri"/>
                <w:color w:val="000000"/>
              </w:rPr>
              <w:t xml:space="preserve"> pantu </w:t>
            </w:r>
            <w:r w:rsidRPr="00727624">
              <w:rPr>
                <w:rFonts w:eastAsia="Calibri"/>
                <w:color w:val="000000"/>
                <w:u w:val="single"/>
              </w:rPr>
              <w:t>plānošanas reģiona kompetencē neietilpst saistību uzņemšana par energoefektivitātes paaugstināšanu</w:t>
            </w:r>
            <w:r w:rsidRPr="00727624">
              <w:t>.”</w:t>
            </w:r>
          </w:p>
          <w:p w14:paraId="7A9F9089" w14:textId="77777777" w:rsidR="00580EBA" w:rsidRDefault="00580EBA" w:rsidP="00577BB4">
            <w:pPr>
              <w:jc w:val="both"/>
            </w:pPr>
          </w:p>
          <w:p w14:paraId="5678DE44" w14:textId="391E1B5A" w:rsidR="00580EBA" w:rsidRPr="00727624" w:rsidRDefault="00580EBA" w:rsidP="00577BB4">
            <w:pPr>
              <w:pStyle w:val="naisc"/>
              <w:spacing w:before="0" w:after="0"/>
              <w:jc w:val="both"/>
              <w:rPr>
                <w:b/>
                <w:bCs/>
              </w:rPr>
            </w:pPr>
            <w:r>
              <w:rPr>
                <w:b/>
              </w:rPr>
              <w:t xml:space="preserve">Vides aizsardzības un reģionālās </w:t>
            </w:r>
            <w:r w:rsidRPr="00E447D4">
              <w:rPr>
                <w:b/>
              </w:rPr>
              <w:t>attīstības ministrijas 2</w:t>
            </w:r>
            <w:r w:rsidR="00577BB4" w:rsidRPr="00E447D4">
              <w:rPr>
                <w:b/>
              </w:rPr>
              <w:t>3</w:t>
            </w:r>
            <w:r w:rsidRPr="00E447D4">
              <w:rPr>
                <w:b/>
              </w:rPr>
              <w:t>.10</w:t>
            </w:r>
            <w:r w:rsidRPr="00E447D4">
              <w:rPr>
                <w:b/>
                <w:bCs/>
              </w:rPr>
              <w:t>.2019. iebildums:</w:t>
            </w:r>
          </w:p>
          <w:p w14:paraId="54BC2B51" w14:textId="3E9CFC6D" w:rsidR="00577BB4" w:rsidRPr="008B7AC9" w:rsidRDefault="00580EBA" w:rsidP="00577BB4">
            <w:pPr>
              <w:jc w:val="both"/>
            </w:pPr>
            <w:r w:rsidRPr="007162F3">
              <w:rPr>
                <w:bCs/>
              </w:rPr>
              <w:t>“</w:t>
            </w:r>
            <w:r w:rsidR="00577BB4" w:rsidRPr="008B7AC9">
              <w:t xml:space="preserve">Plānošanas reģioniem ir augoša loma </w:t>
            </w:r>
            <w:proofErr w:type="spellStart"/>
            <w:r w:rsidR="00577BB4" w:rsidRPr="008B7AC9">
              <w:t>energoplānošanā</w:t>
            </w:r>
            <w:proofErr w:type="spellEnd"/>
            <w:r w:rsidR="00577BB4" w:rsidRPr="008B7AC9">
              <w:t xml:space="preserve"> reģionālā līmenī. Jau šobrīd plānošanas reģioni ar savu darbību faktiski veicina enerģijas patēriņa samazinājumu, kas ir Noteikumu</w:t>
            </w:r>
            <w:r w:rsidR="00577BB4">
              <w:rPr>
                <w:rStyle w:val="FootnoteReference"/>
              </w:rPr>
              <w:footnoteReference w:id="1"/>
            </w:r>
            <w:r w:rsidR="00577BB4" w:rsidRPr="008B7AC9">
              <w:t xml:space="preserve"> mērķis. Ilgtermiņā saskatām nepieciešamību veidot plānošanas reģionus kā reģionālus kompetenču centrus </w:t>
            </w:r>
            <w:proofErr w:type="spellStart"/>
            <w:r w:rsidR="00577BB4" w:rsidRPr="008B7AC9">
              <w:t>energoplānošanas</w:t>
            </w:r>
            <w:proofErr w:type="spellEnd"/>
            <w:r w:rsidR="00577BB4" w:rsidRPr="008B7AC9">
              <w:t xml:space="preserve"> jautājumos, tai skaitā energoefektivitātes paaugstināšanā.</w:t>
            </w:r>
          </w:p>
          <w:p w14:paraId="210D9311" w14:textId="278CA795" w:rsidR="00580EBA" w:rsidRPr="00727624" w:rsidRDefault="00577BB4" w:rsidP="00577BB4">
            <w:pPr>
              <w:pStyle w:val="naisc"/>
              <w:spacing w:before="0" w:after="0"/>
              <w:jc w:val="both"/>
            </w:pPr>
            <w:r w:rsidRPr="008B7AC9">
              <w:lastRenderedPageBreak/>
              <w:t>Savukārt, saskaņā ar Reģionālās attīstības likuma 16</w:t>
            </w:r>
            <w:r w:rsidRPr="00D91289">
              <w:rPr>
                <w:vertAlign w:val="superscript"/>
              </w:rPr>
              <w:t>1</w:t>
            </w:r>
            <w:r w:rsidRPr="008B7AC9">
              <w:t xml:space="preserve">. pantu, plānošanas reģioni nosaka reģiona attīstības galvenos pamatprincipus, mērķus un prioritātes, kas tiešā mērā saistīts ar </w:t>
            </w:r>
            <w:proofErr w:type="spellStart"/>
            <w:r w:rsidRPr="008B7AC9">
              <w:t>energoplānošanu</w:t>
            </w:r>
            <w:proofErr w:type="spellEnd"/>
            <w:r w:rsidRPr="008B7AC9">
              <w:t xml:space="preserve"> un energoefektivitātes paaugstināšanu. Piemēram, Vidzemes plānošanas reģionā izstrādāta Ceļa karte uz ilgtspējīgu, oglekļa mazietilpīgu ekonomiku, kuras ieviešana saistīta ar atjaunojamo energoresursu īpatsvara paaugstināšanu un energoefektivitātes veicināšanu. Tādējādi lūdzam noteikumu projektā atgriezt svītrotos 1., 2. un 6. punktu, tajos atstājot arī plānošanas reģionus kā potenciālos vienošanās slēdzējus.</w:t>
            </w:r>
            <w:r w:rsidR="00580EBA" w:rsidRPr="007162F3">
              <w:rPr>
                <w:bCs/>
              </w:rPr>
              <w:t>”</w:t>
            </w:r>
          </w:p>
        </w:tc>
        <w:tc>
          <w:tcPr>
            <w:tcW w:w="3261" w:type="dxa"/>
            <w:gridSpan w:val="2"/>
            <w:tcBorders>
              <w:top w:val="single" w:sz="4" w:space="0" w:color="auto"/>
              <w:left w:val="single" w:sz="4" w:space="0" w:color="auto"/>
              <w:bottom w:val="single" w:sz="4" w:space="0" w:color="auto"/>
              <w:right w:val="single" w:sz="4" w:space="0" w:color="auto"/>
            </w:tcBorders>
          </w:tcPr>
          <w:p w14:paraId="20CFB68A" w14:textId="77777777" w:rsidR="00580EBA" w:rsidRDefault="00580EBA" w:rsidP="00580EBA">
            <w:pPr>
              <w:pStyle w:val="naisc"/>
              <w:spacing w:before="0" w:after="0"/>
              <w:rPr>
                <w:b/>
                <w:bCs/>
              </w:rPr>
            </w:pPr>
            <w:r>
              <w:rPr>
                <w:b/>
                <w:bCs/>
              </w:rPr>
              <w:lastRenderedPageBreak/>
              <w:t>Nav ņemts</w:t>
            </w:r>
            <w:r w:rsidRPr="001D2DCB">
              <w:rPr>
                <w:b/>
                <w:bCs/>
              </w:rPr>
              <w:t xml:space="preserve"> vērā</w:t>
            </w:r>
          </w:p>
          <w:p w14:paraId="5B9A8AEC" w14:textId="77777777" w:rsidR="00580EBA" w:rsidRDefault="00580EBA" w:rsidP="00580EBA">
            <w:pPr>
              <w:pStyle w:val="naisc"/>
              <w:spacing w:before="0" w:after="0"/>
            </w:pPr>
            <w:r w:rsidRPr="007162F3">
              <w:t>Lūdzam skat. Vides aizsardzības un reģionālās attīstības ministrijas 23.10.2019. iebildumu.</w:t>
            </w:r>
          </w:p>
          <w:p w14:paraId="52D061D1" w14:textId="77777777" w:rsidR="00580EBA" w:rsidRDefault="00580EBA" w:rsidP="00580EBA">
            <w:pPr>
              <w:pStyle w:val="naisc"/>
              <w:spacing w:before="0" w:after="0"/>
            </w:pPr>
          </w:p>
          <w:p w14:paraId="1F455FDA" w14:textId="77777777" w:rsidR="00580EBA" w:rsidRDefault="00580EBA" w:rsidP="00580EBA">
            <w:pPr>
              <w:pStyle w:val="naisc"/>
              <w:spacing w:before="0" w:after="0"/>
            </w:pPr>
          </w:p>
          <w:p w14:paraId="437AE844" w14:textId="77777777" w:rsidR="00580EBA" w:rsidRDefault="00580EBA" w:rsidP="00580EBA">
            <w:pPr>
              <w:pStyle w:val="naisc"/>
              <w:spacing w:before="0" w:after="0"/>
            </w:pPr>
          </w:p>
          <w:p w14:paraId="5D2D49C6" w14:textId="77777777" w:rsidR="00580EBA" w:rsidRDefault="00580EBA" w:rsidP="00580EBA">
            <w:pPr>
              <w:pStyle w:val="naisc"/>
              <w:spacing w:before="0" w:after="0"/>
            </w:pPr>
          </w:p>
          <w:p w14:paraId="2D741F4D" w14:textId="77777777" w:rsidR="00580EBA" w:rsidRDefault="00580EBA" w:rsidP="00580EBA">
            <w:pPr>
              <w:pStyle w:val="naisc"/>
              <w:spacing w:before="0" w:after="0"/>
            </w:pPr>
          </w:p>
          <w:p w14:paraId="1B3CC898" w14:textId="07FF793C" w:rsidR="00580EBA" w:rsidRPr="007162F3" w:rsidRDefault="00580EBA" w:rsidP="00601CF3">
            <w:pPr>
              <w:pStyle w:val="naisc"/>
              <w:spacing w:before="0" w:after="0"/>
              <w:rPr>
                <w:b/>
                <w:bCs/>
              </w:rPr>
            </w:pPr>
            <w:r>
              <w:rPr>
                <w:b/>
                <w:bCs/>
              </w:rPr>
              <w:t>Ņemts</w:t>
            </w:r>
            <w:r w:rsidRPr="001D2DCB">
              <w:rPr>
                <w:b/>
                <w:bCs/>
              </w:rPr>
              <w:t xml:space="preserve"> vērā</w:t>
            </w:r>
          </w:p>
        </w:tc>
        <w:tc>
          <w:tcPr>
            <w:tcW w:w="2912" w:type="dxa"/>
            <w:tcBorders>
              <w:top w:val="single" w:sz="4" w:space="0" w:color="auto"/>
              <w:left w:val="single" w:sz="4" w:space="0" w:color="auto"/>
              <w:bottom w:val="single" w:sz="4" w:space="0" w:color="auto"/>
            </w:tcBorders>
          </w:tcPr>
          <w:p w14:paraId="0540AD55" w14:textId="77777777" w:rsidR="00580EBA" w:rsidRPr="00580EBA" w:rsidRDefault="00580EBA" w:rsidP="00580EBA">
            <w:pPr>
              <w:pStyle w:val="naisc"/>
              <w:spacing w:before="0" w:after="0"/>
              <w:jc w:val="both"/>
              <w:rPr>
                <w:b/>
                <w:bCs/>
              </w:rPr>
            </w:pPr>
            <w:r w:rsidRPr="00580EBA">
              <w:rPr>
                <w:b/>
                <w:bCs/>
              </w:rPr>
              <w:t>Noteikumu projekta 1., 2. un 6. punkts:</w:t>
            </w:r>
          </w:p>
          <w:p w14:paraId="1D463A99" w14:textId="77777777" w:rsidR="00580EBA" w:rsidRPr="00580EBA" w:rsidRDefault="00580EBA" w:rsidP="00580EBA">
            <w:pPr>
              <w:shd w:val="clear" w:color="auto" w:fill="FFFFFF"/>
              <w:jc w:val="both"/>
            </w:pPr>
            <w:r>
              <w:t xml:space="preserve">“1. </w:t>
            </w:r>
            <w:r w:rsidRPr="00580EBA">
              <w:t>Izteikt 2.1. apakšpunktu šādā redakcijā:</w:t>
            </w:r>
          </w:p>
          <w:p w14:paraId="2A42B336" w14:textId="77777777" w:rsidR="00580EBA" w:rsidRPr="00875F9F" w:rsidRDefault="00580EBA" w:rsidP="00580EBA">
            <w:pPr>
              <w:shd w:val="clear" w:color="auto" w:fill="FFFFFF"/>
              <w:jc w:val="both"/>
            </w:pPr>
            <w:r w:rsidRPr="00875F9F">
              <w:t>“2.1. vienošanās dalībnieks – komersantus pārstāvoša organizācija, komersants, pašvaldība, plānošanas reģions vai pašvaldības pārstāvoša organizācija, kas brīvprātīgi apņemas sasniegt paredzēto enerģijas ietaupījuma mērķi, īstenojot konkrētus energoefektivitātes paaugstināšanas pasākumus atbilstoši noslēgtās vienošanās nosacījumiem;”.</w:t>
            </w:r>
          </w:p>
          <w:p w14:paraId="5BE1D7DC" w14:textId="77777777" w:rsidR="00580EBA" w:rsidRPr="00875F9F" w:rsidRDefault="00580EBA" w:rsidP="00580EBA">
            <w:pPr>
              <w:shd w:val="clear" w:color="auto" w:fill="FFFFFF"/>
              <w:ind w:firstLine="709"/>
              <w:jc w:val="both"/>
            </w:pPr>
          </w:p>
          <w:p w14:paraId="02230A70" w14:textId="77777777" w:rsidR="00580EBA" w:rsidRPr="00875F9F" w:rsidRDefault="00580EBA" w:rsidP="00580EBA">
            <w:pPr>
              <w:shd w:val="clear" w:color="auto" w:fill="FFFFFF"/>
              <w:jc w:val="both"/>
            </w:pPr>
            <w:r w:rsidRPr="00875F9F">
              <w:t>2. Izteikt 6. punktu šādā redakcijā:</w:t>
            </w:r>
          </w:p>
          <w:p w14:paraId="1554134D" w14:textId="77777777" w:rsidR="00580EBA" w:rsidRPr="00875F9F" w:rsidRDefault="00580EBA" w:rsidP="00580EBA">
            <w:pPr>
              <w:shd w:val="clear" w:color="auto" w:fill="FFFFFF"/>
              <w:jc w:val="both"/>
            </w:pPr>
            <w:r w:rsidRPr="00875F9F">
              <w:t xml:space="preserve">“6. Atbildīgā ministrija ne retāk kā reizi gadā publicē savā tīmekļvietnē </w:t>
            </w:r>
            <w:r w:rsidRPr="00875F9F">
              <w:lastRenderedPageBreak/>
              <w:t>aicinājumu komersantiem, tos pārstāvošajām organizācijām, pašvaldībām, plānošanas reģioniem vai pašvaldības pārstāvošām organizācijām noslēgt vienošanos ar atbildīgo ministriju par energoefektivitātes uzlabošanu.”</w:t>
            </w:r>
          </w:p>
          <w:p w14:paraId="557535AF" w14:textId="77777777" w:rsidR="00580EBA" w:rsidRPr="00875F9F" w:rsidRDefault="00580EBA" w:rsidP="00580EBA">
            <w:pPr>
              <w:shd w:val="clear" w:color="auto" w:fill="FFFFFF"/>
              <w:ind w:firstLine="709"/>
              <w:jc w:val="both"/>
            </w:pPr>
          </w:p>
          <w:p w14:paraId="0C995AB6" w14:textId="77777777" w:rsidR="00580EBA" w:rsidRPr="00875F9F" w:rsidRDefault="00580EBA" w:rsidP="00580EBA">
            <w:pPr>
              <w:shd w:val="clear" w:color="auto" w:fill="FFFFFF"/>
              <w:jc w:val="both"/>
            </w:pPr>
            <w:r w:rsidRPr="00875F9F">
              <w:t>6. Papildināt noteikumus ar 12.</w:t>
            </w:r>
            <w:r w:rsidRPr="00875F9F">
              <w:rPr>
                <w:vertAlign w:val="superscript"/>
              </w:rPr>
              <w:t>1</w:t>
            </w:r>
            <w:r w:rsidRPr="00875F9F">
              <w:t xml:space="preserve"> punktu šādā redakcijā:</w:t>
            </w:r>
          </w:p>
          <w:p w14:paraId="7239AD50" w14:textId="77777777" w:rsidR="00580EBA" w:rsidRPr="00875F9F" w:rsidRDefault="00580EBA" w:rsidP="00580EBA">
            <w:pPr>
              <w:pStyle w:val="tv213"/>
              <w:shd w:val="clear" w:color="auto" w:fill="FFFFFF"/>
              <w:spacing w:before="0" w:beforeAutospacing="0" w:after="0" w:afterAutospacing="0"/>
              <w:jc w:val="both"/>
            </w:pPr>
            <w:r w:rsidRPr="00875F9F">
              <w:t>“12.</w:t>
            </w:r>
            <w:r w:rsidRPr="00875F9F">
              <w:rPr>
                <w:vertAlign w:val="superscript"/>
              </w:rPr>
              <w:t>1</w:t>
            </w:r>
            <w:r w:rsidRPr="00875F9F">
              <w:t xml:space="preserve"> Vienošanās starp atbildīgo ministriju un plānošanas reģionu vai pašvaldības pārstāvošu organizāciju ietver:</w:t>
            </w:r>
          </w:p>
          <w:p w14:paraId="29BAD4EB" w14:textId="77777777" w:rsidR="00580EBA" w:rsidRPr="00875F9F" w:rsidRDefault="00580EBA" w:rsidP="00580EBA">
            <w:pPr>
              <w:shd w:val="clear" w:color="auto" w:fill="FFFFFF"/>
              <w:jc w:val="both"/>
            </w:pPr>
            <w:r w:rsidRPr="00875F9F">
              <w:t>12.</w:t>
            </w:r>
            <w:r w:rsidRPr="00875F9F">
              <w:rPr>
                <w:vertAlign w:val="superscript"/>
              </w:rPr>
              <w:t>1 </w:t>
            </w:r>
            <w:r w:rsidRPr="00875F9F">
              <w:t>1. plānošanas reģiona vai pašvaldības pārstāvošas organizācijas enerģijas ietaupījuma mērķi;</w:t>
            </w:r>
          </w:p>
          <w:p w14:paraId="7F8702C6" w14:textId="77777777" w:rsidR="00580EBA" w:rsidRPr="00875F9F" w:rsidRDefault="00580EBA" w:rsidP="00580EBA">
            <w:pPr>
              <w:shd w:val="clear" w:color="auto" w:fill="FFFFFF"/>
              <w:jc w:val="both"/>
            </w:pPr>
            <w:r w:rsidRPr="00875F9F">
              <w:t>12.</w:t>
            </w:r>
            <w:r w:rsidRPr="00875F9F">
              <w:rPr>
                <w:vertAlign w:val="superscript"/>
              </w:rPr>
              <w:t>1 </w:t>
            </w:r>
            <w:r w:rsidRPr="00875F9F">
              <w:t>2. plānošanas reģiona vai pašvaldības pārstāvošas organizācijas energoefektivitātes plānu, kas ir atsevišķs dokuments vai cita dokumenta sastāvdaļa;</w:t>
            </w:r>
          </w:p>
          <w:p w14:paraId="79826A1A" w14:textId="77777777" w:rsidR="00580EBA" w:rsidRPr="00875F9F" w:rsidRDefault="00580EBA" w:rsidP="00580EBA">
            <w:pPr>
              <w:shd w:val="clear" w:color="auto" w:fill="FFFFFF"/>
              <w:jc w:val="both"/>
            </w:pPr>
            <w:r w:rsidRPr="00875F9F">
              <w:t>12.</w:t>
            </w:r>
            <w:r w:rsidRPr="00875F9F">
              <w:rPr>
                <w:vertAlign w:val="superscript"/>
              </w:rPr>
              <w:t>1 </w:t>
            </w:r>
            <w:r w:rsidRPr="00875F9F">
              <w:t xml:space="preserve">3. plānošanas reģiona vai pašvaldības pārstāvošas organizācijas pienākumu informēt pārstāvētās </w:t>
            </w:r>
            <w:r w:rsidRPr="00875F9F">
              <w:lastRenderedPageBreak/>
              <w:t>pašvaldības par energoefektivitātes paaugstināšanas jautājumiem;</w:t>
            </w:r>
          </w:p>
          <w:p w14:paraId="1B2D512C" w14:textId="77777777" w:rsidR="00580EBA" w:rsidRPr="00875F9F" w:rsidRDefault="00580EBA" w:rsidP="00580EBA">
            <w:pPr>
              <w:shd w:val="clear" w:color="auto" w:fill="FFFFFF"/>
              <w:jc w:val="both"/>
            </w:pPr>
            <w:r w:rsidRPr="00875F9F">
              <w:t>12.</w:t>
            </w:r>
            <w:r w:rsidRPr="00875F9F">
              <w:rPr>
                <w:vertAlign w:val="superscript"/>
              </w:rPr>
              <w:t>1 </w:t>
            </w:r>
            <w:r w:rsidRPr="00875F9F">
              <w:t>4. plānošanas reģiona vai pašvaldības pārstāvošas organizācijas pienākumu sniegt informāciju atbildīgajai ministrijai par vienošanās izpildes gaitu;</w:t>
            </w:r>
          </w:p>
          <w:p w14:paraId="348FC3DA" w14:textId="77777777" w:rsidR="00580EBA" w:rsidRPr="00875F9F" w:rsidRDefault="00580EBA" w:rsidP="00580EBA">
            <w:pPr>
              <w:shd w:val="clear" w:color="auto" w:fill="FFFFFF"/>
              <w:jc w:val="both"/>
            </w:pPr>
            <w:r w:rsidRPr="00875F9F">
              <w:t>12.</w:t>
            </w:r>
            <w:r w:rsidRPr="00875F9F">
              <w:rPr>
                <w:vertAlign w:val="superscript"/>
              </w:rPr>
              <w:t>1 </w:t>
            </w:r>
            <w:r w:rsidRPr="00875F9F">
              <w:t xml:space="preserve">5. nosacījumus attiecībā uz atbalsta iespējām </w:t>
            </w:r>
            <w:proofErr w:type="spellStart"/>
            <w:r w:rsidRPr="00875F9F">
              <w:t>energoauditiem</w:t>
            </w:r>
            <w:proofErr w:type="spellEnd"/>
            <w:r w:rsidRPr="00875F9F">
              <w:t xml:space="preserve"> un atsevišķiem energoefektivitātes uzlabošanas pasākumiem, kas tiek veikti saskaņā ar vienošanos, kā arī atbalsta atmaksas nosacījumus;</w:t>
            </w:r>
          </w:p>
          <w:p w14:paraId="05E83102" w14:textId="0A5944E3" w:rsidR="00580EBA" w:rsidRPr="007132C5" w:rsidRDefault="00580EBA" w:rsidP="00580EBA">
            <w:pPr>
              <w:jc w:val="both"/>
            </w:pPr>
            <w:r w:rsidRPr="00875F9F">
              <w:t>12.</w:t>
            </w:r>
            <w:r w:rsidRPr="00875F9F">
              <w:rPr>
                <w:vertAlign w:val="superscript"/>
              </w:rPr>
              <w:t>1 </w:t>
            </w:r>
            <w:r w:rsidRPr="00875F9F">
              <w:t>6. citu informāciju, kas nepieciešama noslēgtās vienošanās izpildei.”</w:t>
            </w:r>
            <w:r>
              <w:t>”</w:t>
            </w:r>
          </w:p>
        </w:tc>
      </w:tr>
      <w:tr w:rsidR="00475826" w:rsidRPr="007132C5" w14:paraId="3A575BF0" w14:textId="77777777" w:rsidTr="0041650A">
        <w:trPr>
          <w:gridBefore w:val="1"/>
          <w:wBefore w:w="8" w:type="dxa"/>
        </w:trPr>
        <w:tc>
          <w:tcPr>
            <w:tcW w:w="685" w:type="dxa"/>
            <w:tcBorders>
              <w:left w:val="single" w:sz="6" w:space="0" w:color="000000"/>
              <w:bottom w:val="single" w:sz="4" w:space="0" w:color="auto"/>
              <w:right w:val="single" w:sz="6" w:space="0" w:color="000000"/>
            </w:tcBorders>
          </w:tcPr>
          <w:p w14:paraId="10EA206F" w14:textId="1A0996CC" w:rsidR="00475826" w:rsidRPr="007132C5" w:rsidRDefault="00EA6740" w:rsidP="00580EBA">
            <w:r>
              <w:lastRenderedPageBreak/>
              <w:t>2</w:t>
            </w:r>
            <w:r w:rsidR="00475826" w:rsidRPr="007132C5">
              <w:t>.</w:t>
            </w:r>
          </w:p>
        </w:tc>
        <w:tc>
          <w:tcPr>
            <w:tcW w:w="2902" w:type="dxa"/>
            <w:tcBorders>
              <w:left w:val="single" w:sz="6" w:space="0" w:color="000000"/>
              <w:bottom w:val="single" w:sz="4" w:space="0" w:color="auto"/>
              <w:right w:val="single" w:sz="6" w:space="0" w:color="000000"/>
            </w:tcBorders>
          </w:tcPr>
          <w:p w14:paraId="4ED5CBCC" w14:textId="0A1724D0" w:rsidR="0079160C" w:rsidRPr="00580EBA" w:rsidRDefault="0079160C" w:rsidP="00580EBA">
            <w:pPr>
              <w:shd w:val="clear" w:color="auto" w:fill="FFFFFF"/>
              <w:contextualSpacing/>
              <w:jc w:val="both"/>
              <w:rPr>
                <w:b/>
                <w:bCs/>
              </w:rPr>
            </w:pPr>
            <w:r w:rsidRPr="00580EBA">
              <w:rPr>
                <w:b/>
                <w:bCs/>
              </w:rPr>
              <w:t>Noteikumu projekta 7. punkts:</w:t>
            </w:r>
          </w:p>
          <w:p w14:paraId="19E4223F" w14:textId="28B26B50" w:rsidR="0079160C" w:rsidRPr="00875F9F" w:rsidRDefault="0079160C" w:rsidP="00580EBA">
            <w:pPr>
              <w:shd w:val="clear" w:color="auto" w:fill="FFFFFF"/>
              <w:contextualSpacing/>
              <w:jc w:val="both"/>
            </w:pPr>
            <w:r>
              <w:t>“</w:t>
            </w:r>
            <w:r w:rsidRPr="00875F9F">
              <w:t>7. Izteikt noteikumu 17. punktu šādā redakcijā:</w:t>
            </w:r>
          </w:p>
          <w:p w14:paraId="6002942A" w14:textId="77777777" w:rsidR="0079160C" w:rsidRPr="00875F9F" w:rsidRDefault="0079160C" w:rsidP="00580EBA">
            <w:pPr>
              <w:pStyle w:val="tv213"/>
              <w:shd w:val="clear" w:color="auto" w:fill="FFFFFF"/>
              <w:spacing w:before="0" w:beforeAutospacing="0" w:after="0" w:afterAutospacing="0"/>
              <w:jc w:val="both"/>
            </w:pPr>
            <w:r w:rsidRPr="00875F9F">
              <w:t xml:space="preserve">“17. Ja vienošanās dalībnieks nenodrošina energoefektivitātes uzlabošanas pasākumu uzraudzību vai ziņošanu par enerģijas ietaupījumu vai neizpilda citus vienošanās </w:t>
            </w:r>
            <w:r w:rsidRPr="00875F9F">
              <w:lastRenderedPageBreak/>
              <w:t>nosacījumus, vienošanās tiek izbeigta šādā kārtībā:</w:t>
            </w:r>
          </w:p>
          <w:p w14:paraId="5DFB01D2" w14:textId="77777777" w:rsidR="0079160C" w:rsidRPr="00875F9F" w:rsidRDefault="0079160C" w:rsidP="00580EBA">
            <w:pPr>
              <w:pStyle w:val="tv213"/>
              <w:shd w:val="clear" w:color="auto" w:fill="FFFFFF"/>
              <w:spacing w:before="0" w:beforeAutospacing="0" w:after="0" w:afterAutospacing="0"/>
              <w:jc w:val="both"/>
            </w:pPr>
            <w:r w:rsidRPr="00875F9F">
              <w:t xml:space="preserve">17.1. atbildīgā ministrija </w:t>
            </w:r>
            <w:proofErr w:type="spellStart"/>
            <w:r w:rsidRPr="00875F9F">
              <w:t>nosūta</w:t>
            </w:r>
            <w:proofErr w:type="spellEnd"/>
            <w:r w:rsidRPr="00875F9F">
              <w:t xml:space="preserve"> vienošanās dalībniekam atgādinājumu, kurā aicina vienošanās dalībnieku iesniegt šo noteikumu </w:t>
            </w:r>
            <w:hyperlink r:id="rId8" w:anchor="p14" w:history="1">
              <w:r w:rsidRPr="00875F9F">
                <w:t>14. punktā</w:t>
              </w:r>
            </w:hyperlink>
            <w:r w:rsidRPr="00875F9F">
              <w:t> minēto ziņojumu, vai pieprasījumu iesniegt informāciju par vienošanās nosacījumu izpildi, norādot iesniegšanas termiņu, kas nav īsāks par trim mēnešiem;</w:t>
            </w:r>
          </w:p>
          <w:p w14:paraId="0181CB15" w14:textId="77777777" w:rsidR="0079160C" w:rsidRPr="00875F9F" w:rsidRDefault="0079160C" w:rsidP="00580EBA">
            <w:pPr>
              <w:contextualSpacing/>
              <w:jc w:val="both"/>
            </w:pPr>
            <w:r w:rsidRPr="00875F9F">
              <w:t>17.2. ja vienošanās dalībnieks neievēro šo noteikumu 17.1. apakšpunktā minētos nosacījumus, atbildīgā ministrija izbeidz vienošanos, izslēdzot vienošanās dalībnieku no vienošanās reģistra;</w:t>
            </w:r>
          </w:p>
          <w:p w14:paraId="00EB0E4E" w14:textId="1DEF7E54" w:rsidR="00475826" w:rsidRPr="00C7726E" w:rsidRDefault="0079160C" w:rsidP="00580EBA">
            <w:pPr>
              <w:contextualSpacing/>
              <w:jc w:val="both"/>
            </w:pPr>
            <w:r w:rsidRPr="00875F9F">
              <w:t xml:space="preserve">17.3. ja </w:t>
            </w:r>
            <w:proofErr w:type="spellStart"/>
            <w:r w:rsidRPr="00875F9F">
              <w:t>energoauditiem</w:t>
            </w:r>
            <w:proofErr w:type="spellEnd"/>
            <w:r w:rsidRPr="00875F9F">
              <w:t xml:space="preserve"> un atsevišķiem energoefektivitātes uzlabošanas pasākumiem ir piešķirts atbalsts šīs vienošanās ietvaros un vienošanās dalībnieks neievēro </w:t>
            </w:r>
            <w:r w:rsidRPr="00971555">
              <w:t xml:space="preserve">šo noteikumu 17.1. apakšpunktā minētos </w:t>
            </w:r>
            <w:r w:rsidRPr="00971555">
              <w:lastRenderedPageBreak/>
              <w:t xml:space="preserve">nosacījumus, atbildīgā ministrija pieprasa piešķirtā atbalsta atmaksu, </w:t>
            </w:r>
            <w:r>
              <w:t>piemēro</w:t>
            </w:r>
            <w:r w:rsidRPr="00971555">
              <w:t xml:space="preserve"> procentu</w:t>
            </w:r>
            <w:r>
              <w:t xml:space="preserve"> likmi</w:t>
            </w:r>
            <w:r w:rsidRPr="00971555">
              <w:t xml:space="preserve"> saskaņā ar </w:t>
            </w:r>
            <w:r w:rsidRPr="005663D0">
              <w:t xml:space="preserve">Komisijas </w:t>
            </w:r>
            <w:r w:rsidRPr="00971555">
              <w:t>2004. gada 21. aprīļa regula</w:t>
            </w:r>
            <w:r>
              <w:t>s</w:t>
            </w:r>
            <w:r w:rsidRPr="00971555">
              <w:t xml:space="preserve"> Nr. 794/2004 ar ko īsteno Padomes Regulu (ES) 2015/1589, ar ko nosaka sīki izstrādātus noteikumus Līguma par Eiropas Savienības darbību 108. panta piemērošanai,</w:t>
            </w:r>
            <w:r>
              <w:t xml:space="preserve"> 10. un 11. pantu</w:t>
            </w:r>
            <w:r w:rsidRPr="00971555">
              <w:t xml:space="preserve"> un izbeidz vienošanos, izslēdzot</w:t>
            </w:r>
            <w:r w:rsidRPr="00875F9F">
              <w:t xml:space="preserve"> vienošanās dalībnieku no vienošanās reģistra.”</w:t>
            </w:r>
            <w:r>
              <w:t>”</w:t>
            </w:r>
          </w:p>
        </w:tc>
        <w:tc>
          <w:tcPr>
            <w:tcW w:w="4343" w:type="dxa"/>
            <w:tcBorders>
              <w:left w:val="single" w:sz="6" w:space="0" w:color="000000"/>
              <w:bottom w:val="single" w:sz="4" w:space="0" w:color="auto"/>
              <w:right w:val="single" w:sz="6" w:space="0" w:color="000000"/>
            </w:tcBorders>
          </w:tcPr>
          <w:p w14:paraId="28DECEBB" w14:textId="77777777" w:rsidR="004E7CD2" w:rsidRDefault="00475826" w:rsidP="00580EBA">
            <w:pPr>
              <w:pStyle w:val="naisc"/>
              <w:spacing w:before="0" w:after="0"/>
              <w:jc w:val="both"/>
              <w:rPr>
                <w:b/>
                <w:bCs/>
              </w:rPr>
            </w:pPr>
            <w:r w:rsidRPr="007132C5">
              <w:rPr>
                <w:b/>
                <w:bCs/>
              </w:rPr>
              <w:lastRenderedPageBreak/>
              <w:t xml:space="preserve">Tieslietu ministrijas </w:t>
            </w:r>
            <w:r w:rsidR="004E7CD2">
              <w:rPr>
                <w:b/>
                <w:bCs/>
              </w:rPr>
              <w:t>18</w:t>
            </w:r>
            <w:r w:rsidRPr="007132C5">
              <w:rPr>
                <w:b/>
                <w:bCs/>
              </w:rPr>
              <w:t>.09.2019. iebildums:</w:t>
            </w:r>
          </w:p>
          <w:p w14:paraId="06ADB613" w14:textId="77777777" w:rsidR="004E7CD2" w:rsidRDefault="00475826" w:rsidP="00580EBA">
            <w:pPr>
              <w:ind w:right="-2"/>
              <w:jc w:val="both"/>
            </w:pPr>
            <w:r w:rsidRPr="007132C5">
              <w:t>“</w:t>
            </w:r>
            <w:r w:rsidR="004E7CD2">
              <w:t xml:space="preserve">Projekta 7. punktā ietvertais </w:t>
            </w:r>
            <w:r w:rsidR="004E7CD2" w:rsidRPr="009F779A">
              <w:t>Ministru kabineta 2016. gada 11. oktobra noteikum</w:t>
            </w:r>
            <w:r w:rsidR="004E7CD2">
              <w:t xml:space="preserve">u </w:t>
            </w:r>
            <w:r w:rsidR="004E7CD2" w:rsidRPr="009F779A">
              <w:t>Nr. 669 "Kārtība, kādā noslēdz un pārrauga brīvprātīgu vienošanos par energoefektivitātes uzlabošanu</w:t>
            </w:r>
            <w:r w:rsidR="004E7CD2" w:rsidRPr="00DC43B8">
              <w:t>"</w:t>
            </w:r>
            <w:r w:rsidR="004E7CD2">
              <w:t xml:space="preserve"> (turpmāk – noteikumi) 17.2. un 17.3. apakšpunktā ietvertais regulējums dublējas, proti, abas tiesību normas noteic, ka atbildīgā ministrija izbeidz vienošanos, izslēdzot </w:t>
            </w:r>
            <w:r w:rsidR="004E7CD2">
              <w:lastRenderedPageBreak/>
              <w:t xml:space="preserve">vienošanās dalībnieku no vienošanās reģistra. Saskaņā ar Ministru kabineta 2009. gada 3. februāra noteikumu Nr. 108 "Normatīvo aktu projektu sagatavošanas noteikumi" (turpmāk – noteikumi Nr. 108) 3.3. apakšpunktu normatīvā akta projektā neietver normas, kas dublē tajā pašā normatīvā akta projektā ietverto regulējumu. </w:t>
            </w:r>
          </w:p>
          <w:p w14:paraId="549080DB" w14:textId="3E8BBCD3" w:rsidR="00475826" w:rsidRPr="007132C5" w:rsidRDefault="004E7CD2" w:rsidP="00580EBA">
            <w:pPr>
              <w:ind w:right="-2" w:firstLine="709"/>
              <w:jc w:val="both"/>
            </w:pPr>
            <w:r>
              <w:t xml:space="preserve">Ievērojot minēto, lūdzam izvērtēt iespēju redakcionāli precizēt projekta 7. punktā ietverto </w:t>
            </w:r>
            <w:r w:rsidRPr="009F779A">
              <w:t>noteikum</w:t>
            </w:r>
            <w:r>
              <w:t>u 17.2. un 17.3. apakšpunktu, piemēram, vienā tiesību normā nosakot gadījumus, kādos atbildīgā ministrija izbeidz vienošanos, izslēdzot vienošanās dalībnieku no vienošanās reģistra, bet otrā tiesību normā nosakot atbildīgās ministrijas tiesības pieprasīt piešķirtā atbalsta atmaksu.</w:t>
            </w:r>
            <w:r w:rsidR="00475826" w:rsidRPr="007132C5">
              <w:t>”</w:t>
            </w:r>
          </w:p>
        </w:tc>
        <w:tc>
          <w:tcPr>
            <w:tcW w:w="3261" w:type="dxa"/>
            <w:gridSpan w:val="2"/>
            <w:tcBorders>
              <w:left w:val="single" w:sz="6" w:space="0" w:color="000000"/>
              <w:bottom w:val="single" w:sz="4" w:space="0" w:color="auto"/>
              <w:right w:val="single" w:sz="6" w:space="0" w:color="000000"/>
            </w:tcBorders>
          </w:tcPr>
          <w:p w14:paraId="46AC2614" w14:textId="101939DA" w:rsidR="00475826" w:rsidRPr="007132C5" w:rsidRDefault="00475826" w:rsidP="00580EBA">
            <w:pPr>
              <w:pStyle w:val="naisc"/>
              <w:spacing w:before="0" w:after="0"/>
              <w:rPr>
                <w:b/>
                <w:bCs/>
              </w:rPr>
            </w:pPr>
            <w:r w:rsidRPr="00051CA8">
              <w:rPr>
                <w:b/>
                <w:sz w:val="22"/>
                <w:szCs w:val="22"/>
              </w:rPr>
              <w:lastRenderedPageBreak/>
              <w:t>Ņemts vērā</w:t>
            </w:r>
          </w:p>
        </w:tc>
        <w:tc>
          <w:tcPr>
            <w:tcW w:w="2912" w:type="dxa"/>
            <w:tcBorders>
              <w:top w:val="single" w:sz="4" w:space="0" w:color="auto"/>
              <w:left w:val="single" w:sz="4" w:space="0" w:color="auto"/>
              <w:bottom w:val="single" w:sz="4" w:space="0" w:color="auto"/>
            </w:tcBorders>
          </w:tcPr>
          <w:p w14:paraId="6AAE350B" w14:textId="583059A1" w:rsidR="004B3C39" w:rsidRPr="00580EBA" w:rsidRDefault="004B3C39" w:rsidP="00580EBA">
            <w:pPr>
              <w:jc w:val="both"/>
              <w:rPr>
                <w:b/>
                <w:bCs/>
              </w:rPr>
            </w:pPr>
            <w:r w:rsidRPr="00580EBA">
              <w:rPr>
                <w:b/>
                <w:bCs/>
              </w:rPr>
              <w:t xml:space="preserve">Noteikumu projekta </w:t>
            </w:r>
            <w:r w:rsidR="00580EBA">
              <w:rPr>
                <w:b/>
                <w:bCs/>
              </w:rPr>
              <w:t>7</w:t>
            </w:r>
            <w:r w:rsidRPr="00580EBA">
              <w:rPr>
                <w:b/>
                <w:bCs/>
              </w:rPr>
              <w:t>. punkts:</w:t>
            </w:r>
          </w:p>
          <w:p w14:paraId="3835DFB5" w14:textId="4A1E68E5" w:rsidR="004B3C39" w:rsidRPr="00875F9F" w:rsidRDefault="004B3C39" w:rsidP="00580EBA">
            <w:pPr>
              <w:shd w:val="clear" w:color="auto" w:fill="FFFFFF"/>
              <w:contextualSpacing/>
              <w:jc w:val="both"/>
            </w:pPr>
            <w:r>
              <w:t>“</w:t>
            </w:r>
            <w:r w:rsidR="00580EBA">
              <w:t>7</w:t>
            </w:r>
            <w:r>
              <w:t xml:space="preserve">. </w:t>
            </w:r>
            <w:r w:rsidRPr="00875F9F">
              <w:t>Izteikt noteikumu 17. punktu šādā redakcijā:</w:t>
            </w:r>
          </w:p>
          <w:p w14:paraId="09642A9F" w14:textId="77777777" w:rsidR="006F54BD" w:rsidRPr="00875F9F" w:rsidRDefault="004B3C39" w:rsidP="00580EBA">
            <w:pPr>
              <w:pStyle w:val="tv213"/>
              <w:shd w:val="clear" w:color="auto" w:fill="FFFFFF"/>
              <w:spacing w:before="0" w:beforeAutospacing="0" w:after="0" w:afterAutospacing="0"/>
              <w:jc w:val="both"/>
            </w:pPr>
            <w:r w:rsidRPr="00875F9F">
              <w:t>“</w:t>
            </w:r>
            <w:r w:rsidR="006F54BD" w:rsidRPr="00875F9F">
              <w:t xml:space="preserve">17. Ja vienošanās dalībnieks nenodrošina energoefektivitātes uzlabošanas pasākumu uzraudzību vai ziņošanu par enerģijas ietaupījumu vai neizpilda citus vienošanās </w:t>
            </w:r>
            <w:r w:rsidR="006F54BD" w:rsidRPr="00875F9F">
              <w:lastRenderedPageBreak/>
              <w:t>nosacījumus, vienošanās tiek izbeigta šādā kārtībā:</w:t>
            </w:r>
          </w:p>
          <w:p w14:paraId="62C3CC28" w14:textId="687FF650" w:rsidR="006F54BD" w:rsidRPr="00875F9F" w:rsidRDefault="006F54BD" w:rsidP="00580EBA">
            <w:pPr>
              <w:pStyle w:val="tv213"/>
              <w:shd w:val="clear" w:color="auto" w:fill="FFFFFF"/>
              <w:spacing w:before="0" w:beforeAutospacing="0" w:after="0" w:afterAutospacing="0"/>
              <w:jc w:val="both"/>
            </w:pPr>
            <w:r w:rsidRPr="00875F9F">
              <w:t xml:space="preserve">17.1. atbildīgā ministrija </w:t>
            </w:r>
            <w:proofErr w:type="spellStart"/>
            <w:r w:rsidRPr="00875F9F">
              <w:t>nosūta</w:t>
            </w:r>
            <w:proofErr w:type="spellEnd"/>
            <w:r w:rsidRPr="00875F9F">
              <w:t xml:space="preserve"> vienošanās dalībniekam atgādinājumu, kurā aicina vienošanās dalībnieku iesniegt šo noteikumu</w:t>
            </w:r>
            <w:r>
              <w:t xml:space="preserve"> </w:t>
            </w:r>
            <w:hyperlink r:id="rId9" w:anchor="p14" w:history="1">
              <w:r w:rsidRPr="00875F9F">
                <w:t>14. punktā</w:t>
              </w:r>
            </w:hyperlink>
            <w:r>
              <w:t xml:space="preserve"> </w:t>
            </w:r>
            <w:r w:rsidRPr="00875F9F">
              <w:t>minēto ziņojumu, vai pieprasījumu iesniegt informāciju par vienošanās nosacījumu izpildi, norādot iesniegšanas termiņu, kas nav īsāks par trim mēnešiem;</w:t>
            </w:r>
          </w:p>
          <w:p w14:paraId="0C7C15CB" w14:textId="77777777" w:rsidR="006F54BD" w:rsidRPr="00875F9F" w:rsidRDefault="006F54BD" w:rsidP="00580EBA">
            <w:pPr>
              <w:contextualSpacing/>
              <w:jc w:val="both"/>
            </w:pPr>
            <w:r w:rsidRPr="00875F9F">
              <w:t>17.2. ja vienošanās dalībnieks neievēro šo noteikumu 17.1. apakšpunktā minētos nosacījumus, atbildīgā ministrija izbeidz vienošanos, izslēdzot vienošanās dalībnieku no vienošanās reģistra;</w:t>
            </w:r>
          </w:p>
          <w:p w14:paraId="553DAE5F" w14:textId="6572C76D" w:rsidR="00475826" w:rsidRPr="00783432" w:rsidRDefault="006F54BD" w:rsidP="00580EBA">
            <w:pPr>
              <w:pStyle w:val="tv213"/>
              <w:shd w:val="clear" w:color="auto" w:fill="FFFFFF"/>
              <w:spacing w:before="0" w:beforeAutospacing="0" w:after="0" w:afterAutospacing="0"/>
              <w:jc w:val="both"/>
            </w:pPr>
            <w:r w:rsidRPr="00875F9F">
              <w:t xml:space="preserve">17.3. ja </w:t>
            </w:r>
            <w:proofErr w:type="spellStart"/>
            <w:r w:rsidRPr="00875F9F">
              <w:t>energoauditiem</w:t>
            </w:r>
            <w:proofErr w:type="spellEnd"/>
            <w:r w:rsidRPr="00875F9F">
              <w:t xml:space="preserve"> un atsevišķiem energoefektivitātes uzlabošanas pasākumiem ir piešķirts atbalsts šīs vienošanās ietvaros un vienošanās dalībnieks neievēro </w:t>
            </w:r>
            <w:r w:rsidRPr="00D262DB">
              <w:t xml:space="preserve">šo noteikumu 17.1. apakšpunktā minētos </w:t>
            </w:r>
            <w:r w:rsidRPr="00D262DB">
              <w:lastRenderedPageBreak/>
              <w:t>nosacījumus, atbildīgā ministrija pieprasa piešķirtā atbalsta atmaksu</w:t>
            </w:r>
            <w:r>
              <w:t>.</w:t>
            </w:r>
            <w:r w:rsidR="004B3C39">
              <w:t>”</w:t>
            </w:r>
            <w:r>
              <w:t>”</w:t>
            </w:r>
          </w:p>
        </w:tc>
      </w:tr>
      <w:tr w:rsidR="004B3C39" w:rsidRPr="007132C5" w14:paraId="02FEFE93" w14:textId="77777777" w:rsidTr="0041650A">
        <w:trPr>
          <w:gridBefore w:val="1"/>
          <w:wBefore w:w="8" w:type="dxa"/>
        </w:trPr>
        <w:tc>
          <w:tcPr>
            <w:tcW w:w="685" w:type="dxa"/>
            <w:tcBorders>
              <w:left w:val="single" w:sz="6" w:space="0" w:color="000000"/>
              <w:bottom w:val="single" w:sz="4" w:space="0" w:color="auto"/>
              <w:right w:val="single" w:sz="6" w:space="0" w:color="000000"/>
            </w:tcBorders>
          </w:tcPr>
          <w:p w14:paraId="764831B4" w14:textId="57AE4886" w:rsidR="004B3C39" w:rsidRPr="007132C5" w:rsidRDefault="00EA6740" w:rsidP="00580EBA">
            <w:r>
              <w:lastRenderedPageBreak/>
              <w:t>3</w:t>
            </w:r>
            <w:r w:rsidR="004B3C39">
              <w:t>.</w:t>
            </w:r>
          </w:p>
        </w:tc>
        <w:tc>
          <w:tcPr>
            <w:tcW w:w="2902" w:type="dxa"/>
            <w:tcBorders>
              <w:left w:val="single" w:sz="6" w:space="0" w:color="000000"/>
              <w:bottom w:val="single" w:sz="4" w:space="0" w:color="auto"/>
              <w:right w:val="single" w:sz="6" w:space="0" w:color="000000"/>
            </w:tcBorders>
          </w:tcPr>
          <w:p w14:paraId="4AA7AE9E" w14:textId="77D330FE" w:rsidR="004B3C39" w:rsidRPr="00C7726E" w:rsidRDefault="008A5AD2" w:rsidP="00580EBA">
            <w:pPr>
              <w:pStyle w:val="naisc"/>
              <w:spacing w:before="0" w:after="0"/>
              <w:jc w:val="both"/>
              <w:rPr>
                <w:b/>
                <w:bCs/>
              </w:rPr>
            </w:pPr>
            <w:r w:rsidRPr="00C7726E">
              <w:t>Noteikumu projekts, anotācija</w:t>
            </w:r>
          </w:p>
        </w:tc>
        <w:tc>
          <w:tcPr>
            <w:tcW w:w="4343" w:type="dxa"/>
            <w:tcBorders>
              <w:left w:val="single" w:sz="6" w:space="0" w:color="000000"/>
              <w:bottom w:val="single" w:sz="4" w:space="0" w:color="auto"/>
              <w:right w:val="single" w:sz="6" w:space="0" w:color="000000"/>
            </w:tcBorders>
          </w:tcPr>
          <w:p w14:paraId="1DE2B05A" w14:textId="77777777" w:rsidR="004B3C39" w:rsidRPr="00691ED5" w:rsidRDefault="004B3C39" w:rsidP="00580EBA">
            <w:pPr>
              <w:pStyle w:val="naisc"/>
              <w:spacing w:before="0" w:after="0"/>
              <w:jc w:val="both"/>
              <w:rPr>
                <w:b/>
                <w:bCs/>
              </w:rPr>
            </w:pPr>
            <w:r w:rsidRPr="00691ED5">
              <w:rPr>
                <w:b/>
                <w:bCs/>
              </w:rPr>
              <w:t>Finanšu ministrijas 18.09.2019. iebildums:</w:t>
            </w:r>
          </w:p>
          <w:p w14:paraId="1C943514" w14:textId="77777777" w:rsidR="004B3C39" w:rsidRPr="00691ED5" w:rsidRDefault="004B3C39" w:rsidP="00580EBA">
            <w:pPr>
              <w:shd w:val="clear" w:color="auto" w:fill="FFFFFF"/>
              <w:jc w:val="both"/>
            </w:pPr>
            <w:r w:rsidRPr="00691ED5">
              <w:t>“1. Atbilstoši Energoefektivitātes likuma (</w:t>
            </w:r>
            <w:r w:rsidRPr="00691ED5">
              <w:rPr>
                <w:iCs/>
              </w:rPr>
              <w:t xml:space="preserve">29.03.2016 </w:t>
            </w:r>
            <w:proofErr w:type="spellStart"/>
            <w:r w:rsidRPr="00691ED5">
              <w:rPr>
                <w:iCs/>
              </w:rPr>
              <w:t>red</w:t>
            </w:r>
            <w:proofErr w:type="spellEnd"/>
            <w:r w:rsidRPr="00691ED5">
              <w:rPr>
                <w:iCs/>
              </w:rPr>
              <w:t>.)</w:t>
            </w:r>
            <w:r w:rsidRPr="00691ED5">
              <w:t xml:space="preserve"> 8.panta trešajā daļā noteiktajam deleģējumam un tā sākotnējās ietekmes novērtējuma ziņojumā (anotācija) sniegtajam skaidrojumam </w:t>
            </w:r>
            <w:proofErr w:type="spellStart"/>
            <w:r w:rsidRPr="00691ED5">
              <w:t>Energofektivitātes</w:t>
            </w:r>
            <w:proofErr w:type="spellEnd"/>
            <w:r w:rsidRPr="00691ED5">
              <w:t xml:space="preserve"> likuma 8.panta trešā daļa paredz, ka kārtību, kādā tiek noslēgta vienošanās par energoefektivitātes paaugstināšanu un uzraudzīta tā izpilde, kā arī </w:t>
            </w:r>
            <w:r w:rsidRPr="00691ED5">
              <w:rPr>
                <w:bCs/>
              </w:rPr>
              <w:t xml:space="preserve">atbalsta </w:t>
            </w:r>
            <w:proofErr w:type="spellStart"/>
            <w:r w:rsidRPr="00691ED5">
              <w:rPr>
                <w:bCs/>
              </w:rPr>
              <w:t>energoauditiem</w:t>
            </w:r>
            <w:proofErr w:type="spellEnd"/>
            <w:r w:rsidRPr="00691ED5">
              <w:rPr>
                <w:bCs/>
              </w:rPr>
              <w:t xml:space="preserve"> piešķiršanas nosacījumu</w:t>
            </w:r>
            <w:r w:rsidRPr="00691ED5">
              <w:t xml:space="preserve"> vienošanās par energoefektivitātes paaugstināšanu ietvaros, nosaka Ministru kabinets.</w:t>
            </w:r>
          </w:p>
          <w:p w14:paraId="1A163697" w14:textId="77777777" w:rsidR="004B3C39" w:rsidRDefault="004B3C39" w:rsidP="00580EBA">
            <w:pPr>
              <w:shd w:val="clear" w:color="auto" w:fill="FFFFFF"/>
              <w:ind w:firstLine="720"/>
              <w:jc w:val="both"/>
            </w:pPr>
            <w:r w:rsidRPr="00691ED5">
              <w:t xml:space="preserve">Ņemot vērā šobrīd spēkā esošo Ministru kabineta noteikumu Nr.669 </w:t>
            </w:r>
            <w:r w:rsidRPr="00691ED5">
              <w:lastRenderedPageBreak/>
              <w:t xml:space="preserve">“Kārtība, kādā noslēdz un pārrauga brīvprātīgu vienošanos par energoefektivitātes uzlabošanu” redakciju, konstatējam, ka atbalsta piešķiršanas nosacījumi </w:t>
            </w:r>
            <w:proofErr w:type="spellStart"/>
            <w:r w:rsidRPr="00691ED5">
              <w:t>energoauditam</w:t>
            </w:r>
            <w:proofErr w:type="spellEnd"/>
            <w:r w:rsidRPr="00691ED5">
              <w:t xml:space="preserve"> tajos nav iekļauti, vienlaikus no noteikumu redakcijas nav viennozīmīgi saprotams, kāds atbalsts pasākuma ietvaros tiek sniegts, t.i., vai pasākums tiek kvalificēts kā komercdarbības atbalsts un tas ir ieviests atbilstoši komercdarbības atbalsta regulējumam. Ņemot vērā minēto, lūdzam skaidrot, kādā normatīvajā aktā minētie </w:t>
            </w:r>
            <w:proofErr w:type="spellStart"/>
            <w:r w:rsidRPr="00691ED5">
              <w:t>energoaudita</w:t>
            </w:r>
            <w:proofErr w:type="spellEnd"/>
            <w:r w:rsidRPr="00691ED5">
              <w:t xml:space="preserve"> atbalsta piešķiršanas nosacījumi ir ietverti un saskaņā ar kādu komercdarbības atbalsta regulējumu šāds pasākums ir ieviests. Mūsuprāt, lai nodrošinātu, ka gan atbalsta sniedzējiem, gan atbalsta saņēmējiem ir zināmi un skaidri saprotami komercdarbības atbalsta nosacījumi, kā arī, lai nodrošinātu, ka komercdarbības atbalsta prasības tiek piemērotas korekti, tiem ir jābūt iestrādātiem valsts atbalsta programmā (piem., Ministru kabineta noteikumos), nevis tikai iekļauti vienošanās.”</w:t>
            </w:r>
          </w:p>
          <w:p w14:paraId="64B1EAA3" w14:textId="77777777" w:rsidR="008A5AD2" w:rsidRDefault="008A5AD2" w:rsidP="00580EBA">
            <w:pPr>
              <w:shd w:val="clear" w:color="auto" w:fill="FFFFFF"/>
              <w:ind w:firstLine="720"/>
              <w:jc w:val="both"/>
            </w:pPr>
          </w:p>
          <w:p w14:paraId="7D90EC38" w14:textId="77777777" w:rsidR="008A5AD2" w:rsidRPr="00691ED5" w:rsidRDefault="008A5AD2" w:rsidP="00580EBA">
            <w:pPr>
              <w:pStyle w:val="naisc"/>
              <w:spacing w:before="0" w:after="0"/>
              <w:jc w:val="both"/>
              <w:rPr>
                <w:b/>
                <w:bCs/>
              </w:rPr>
            </w:pPr>
            <w:r w:rsidRPr="00691ED5">
              <w:rPr>
                <w:b/>
                <w:bCs/>
              </w:rPr>
              <w:t>Finanšu ministrijas 18.09.2019. iebildums:</w:t>
            </w:r>
          </w:p>
          <w:p w14:paraId="08CEC306" w14:textId="77777777" w:rsidR="008A5AD2" w:rsidRDefault="008A5AD2" w:rsidP="00580EBA">
            <w:pPr>
              <w:shd w:val="clear" w:color="auto" w:fill="FFFFFF"/>
              <w:jc w:val="both"/>
            </w:pPr>
            <w:r w:rsidRPr="00691ED5">
              <w:t xml:space="preserve">“2. Vēršam uzmanību, ka saskaņā ar Direktīvu 2012/27/ES lieliem uzņēmumiem </w:t>
            </w:r>
            <w:proofErr w:type="spellStart"/>
            <w:r w:rsidRPr="00691ED5">
              <w:t>energoauditi</w:t>
            </w:r>
            <w:proofErr w:type="spellEnd"/>
            <w:r w:rsidRPr="00691ED5">
              <w:t xml:space="preserve"> jāveic ik pēc četriem gadiem, tādēļ atbalstu </w:t>
            </w:r>
            <w:proofErr w:type="spellStart"/>
            <w:r w:rsidRPr="00691ED5">
              <w:lastRenderedPageBreak/>
              <w:t>energoauditiem</w:t>
            </w:r>
            <w:proofErr w:type="spellEnd"/>
            <w:r w:rsidRPr="00691ED5">
              <w:t xml:space="preserve"> lielos uzņēmumos saskaņā ar Komisijas regulu Nr.651/2014, ar ko noteiktas atbalsta kategorijas atzīst par saderīgām ar iekšējo tirgu, piemērojot Līguma 107. un 108.pantu un saskaņā ar Pamatnostādnēm par valstu atbalstu vides aizsardzībai un enerģētikai 2014.-2020.gadam, var piešķirt tikai tiktāl, ciktāl atbalsts nekompensē obligāto </w:t>
            </w:r>
            <w:proofErr w:type="spellStart"/>
            <w:r w:rsidRPr="00691ED5">
              <w:t>energoauditu</w:t>
            </w:r>
            <w:proofErr w:type="spellEnd"/>
            <w:r w:rsidRPr="00691ED5">
              <w:t xml:space="preserve"> lielajiem uzņēmumiem, kas nepieciešams saskaņā ar Direktīvu 2012/27/ES. Atbalsts </w:t>
            </w:r>
            <w:proofErr w:type="spellStart"/>
            <w:r w:rsidRPr="00691ED5">
              <w:t>energoauditiem</w:t>
            </w:r>
            <w:proofErr w:type="spellEnd"/>
            <w:r w:rsidRPr="00691ED5">
              <w:t xml:space="preserve"> lielos uzņēmumos var tikt piešķirts/var paredzēt piešķirt saskaņā ar Komisijas regulu Nr.1407/2013, par Līguma par Eiropas Savienības darbību 107. un 108. panta piemērošanu </w:t>
            </w:r>
            <w:proofErr w:type="spellStart"/>
            <w:r w:rsidRPr="00691ED5">
              <w:t>de</w:t>
            </w:r>
            <w:proofErr w:type="spellEnd"/>
            <w:r w:rsidRPr="00691ED5">
              <w:t xml:space="preserve"> </w:t>
            </w:r>
            <w:proofErr w:type="spellStart"/>
            <w:r w:rsidRPr="00691ED5">
              <w:t>minimis</w:t>
            </w:r>
            <w:proofErr w:type="spellEnd"/>
            <w:r w:rsidRPr="00691ED5">
              <w:t xml:space="preserve"> atbalstam. Lūdzam attiecīgi precizēt noteikumu projektu un anotāciju.</w:t>
            </w:r>
            <w:r>
              <w:t>”</w:t>
            </w:r>
          </w:p>
          <w:p w14:paraId="7EE7480C" w14:textId="77777777" w:rsidR="008A5AD2" w:rsidRDefault="008A5AD2" w:rsidP="00580EBA">
            <w:pPr>
              <w:shd w:val="clear" w:color="auto" w:fill="FFFFFF"/>
              <w:jc w:val="both"/>
            </w:pPr>
          </w:p>
          <w:p w14:paraId="09C3F65D" w14:textId="77777777" w:rsidR="008A5AD2" w:rsidRPr="00691ED5" w:rsidRDefault="008A5AD2" w:rsidP="00580EBA">
            <w:pPr>
              <w:pStyle w:val="naisc"/>
              <w:spacing w:before="0" w:after="0"/>
              <w:jc w:val="both"/>
              <w:rPr>
                <w:b/>
                <w:bCs/>
              </w:rPr>
            </w:pPr>
            <w:r w:rsidRPr="00691ED5">
              <w:rPr>
                <w:b/>
                <w:bCs/>
              </w:rPr>
              <w:t>Finanšu ministrijas 18.09.2019. iebildums:</w:t>
            </w:r>
          </w:p>
          <w:p w14:paraId="7CC50592" w14:textId="3DCF06F5" w:rsidR="008A5AD2" w:rsidRPr="00691ED5" w:rsidRDefault="008A5AD2" w:rsidP="00580EBA">
            <w:pPr>
              <w:shd w:val="clear" w:color="auto" w:fill="FFFFFF"/>
              <w:jc w:val="both"/>
            </w:pPr>
            <w:r w:rsidRPr="00691ED5">
              <w:t xml:space="preserve">“3. Vienlaikus, ņemot vērā aktuālāko Eiropas Savienības tiesas judikatūru (sk. Eiropas Savienības Tiesas 2019.gada 5.marta spriedumu lietā Nr.C-349/17 (ECLI:EU:C:2019:172)), kas skar jautājumus par komercdarbības atbalsta atgūšanu, aicinām noteikumu projekta punktus, kas paredz atbalsta atmaksas nosacījumus (gadījumā, ja atbalsts tiek kvalificēts kā komercdarbības atbalsts), tos precizēt, paredzot finansējuma saņēmējam pienākumu atmaksāt visu saņemto </w:t>
            </w:r>
            <w:r w:rsidRPr="00691ED5">
              <w:lastRenderedPageBreak/>
              <w:t>komercdarbības atbalsta atmaksu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nelikumīgs komercdarbības atbalsts tika nodots atbalsta saņēmēja rīcībā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 Lūdzam attiecīgi precizēt noteikumu projektu un anotāciju.”</w:t>
            </w:r>
          </w:p>
        </w:tc>
        <w:tc>
          <w:tcPr>
            <w:tcW w:w="3261" w:type="dxa"/>
            <w:gridSpan w:val="2"/>
            <w:tcBorders>
              <w:left w:val="single" w:sz="6" w:space="0" w:color="000000"/>
              <w:bottom w:val="single" w:sz="4" w:space="0" w:color="auto"/>
              <w:right w:val="single" w:sz="6" w:space="0" w:color="000000"/>
            </w:tcBorders>
          </w:tcPr>
          <w:p w14:paraId="5633FCB1" w14:textId="77777777" w:rsidR="004B3C39" w:rsidRPr="00C7726E" w:rsidRDefault="004B3C39" w:rsidP="00580EBA">
            <w:pPr>
              <w:pStyle w:val="naisc"/>
              <w:spacing w:before="0" w:after="0"/>
              <w:rPr>
                <w:b/>
                <w:bCs/>
              </w:rPr>
            </w:pPr>
            <w:r w:rsidRPr="00C7726E">
              <w:rPr>
                <w:b/>
                <w:bCs/>
              </w:rPr>
              <w:lastRenderedPageBreak/>
              <w:t>Ņemts vērā</w:t>
            </w:r>
          </w:p>
          <w:p w14:paraId="157086E1" w14:textId="638136ED" w:rsidR="004B3C39" w:rsidRDefault="004B3C39" w:rsidP="00580EBA">
            <w:pPr>
              <w:pStyle w:val="naisc"/>
              <w:spacing w:before="0" w:after="0"/>
            </w:pPr>
            <w:r w:rsidRPr="00803845">
              <w:t xml:space="preserve">Skaidrojam, ka pašlaik nav </w:t>
            </w:r>
            <w:r w:rsidR="006F54BD">
              <w:t>spēkā esoša</w:t>
            </w:r>
            <w:r w:rsidRPr="00803845">
              <w:t xml:space="preserve"> atbalsta programma, kā arī netiek sniegts atbalsts </w:t>
            </w:r>
            <w:proofErr w:type="spellStart"/>
            <w:r w:rsidRPr="00803845">
              <w:t>energoauditiem</w:t>
            </w:r>
            <w:proofErr w:type="spellEnd"/>
            <w:r w:rsidRPr="00803845">
              <w:t xml:space="preserve"> un atsevišķiem energoefektivitātes uzlabošanas pasākumiem, kas tiek veikti saskaņā ar brīvprātīgu vienošanos par energoefektivitātes uzlabošanu. Pamatojoties uz Energoefektivitātes likuma </w:t>
            </w:r>
            <w:r>
              <w:t xml:space="preserve">8. panta </w:t>
            </w:r>
            <w:r w:rsidRPr="00803845">
              <w:t>otr</w:t>
            </w:r>
            <w:r>
              <w:t>o</w:t>
            </w:r>
            <w:r w:rsidRPr="00803845">
              <w:t xml:space="preserve"> daļu, kas paredz, ka atbildīgā ministrija var sniegt atbalstu </w:t>
            </w:r>
            <w:proofErr w:type="spellStart"/>
            <w:r w:rsidRPr="00803845">
              <w:t>energoauditiem</w:t>
            </w:r>
            <w:proofErr w:type="spellEnd"/>
            <w:r w:rsidRPr="00803845">
              <w:t xml:space="preserve"> un atsevišķiem energoefektivitātes </w:t>
            </w:r>
            <w:r w:rsidRPr="00803845">
              <w:lastRenderedPageBreak/>
              <w:t>uzlabošanas pasākumiem, kas tiek veikti saskaņā ar šo vienošanos, Ministru kabineta 2016. gada 11. oktobra noteikumos Nr. 669 “Kārtība, kādā noslēdz un pārrauga brīvprātīgu vienošanos par energoefektivitātes uzlabošanu”</w:t>
            </w:r>
            <w:r>
              <w:t xml:space="preserve"> (turpmāk – MK noteikumi Nr. 669)</w:t>
            </w:r>
            <w:r w:rsidRPr="00803845">
              <w:t xml:space="preserve"> ir </w:t>
            </w:r>
            <w:r>
              <w:t>noteikts</w:t>
            </w:r>
            <w:r w:rsidRPr="00803845">
              <w:t xml:space="preserve">, ka vienošanās ietver nosacījumus attiecībā uz atbalsta </w:t>
            </w:r>
            <w:r w:rsidRPr="00803845">
              <w:rPr>
                <w:u w:val="single"/>
              </w:rPr>
              <w:t>iespējām</w:t>
            </w:r>
            <w:r w:rsidRPr="00803845">
              <w:t xml:space="preserve"> (nevis esošu atbalstu) </w:t>
            </w:r>
            <w:proofErr w:type="spellStart"/>
            <w:r w:rsidRPr="00803845">
              <w:t>energoauditiem</w:t>
            </w:r>
            <w:proofErr w:type="spellEnd"/>
            <w:r w:rsidRPr="00803845">
              <w:t xml:space="preserve"> un atsevišķiem energoefektivitātes uzlabošanas pasākumiem, kas tiek veikti saskaņā ar vienošanos. </w:t>
            </w:r>
          </w:p>
          <w:p w14:paraId="14F98881" w14:textId="6E7BBD63" w:rsidR="006F54BD" w:rsidRDefault="004B3C39" w:rsidP="00580EBA">
            <w:pPr>
              <w:pStyle w:val="naisc"/>
              <w:spacing w:before="0" w:after="0"/>
            </w:pPr>
            <w:r w:rsidRPr="00803845">
              <w:t>Atbilstoši anotācijā norādītajam, grozījumi</w:t>
            </w:r>
            <w:r>
              <w:t xml:space="preserve"> MK noteikumos Nr. 669</w:t>
            </w:r>
            <w:r w:rsidRPr="00803845">
              <w:t xml:space="preserve"> tiek veikti</w:t>
            </w:r>
            <w:r w:rsidR="00A87684">
              <w:t>, pamatojoties uz</w:t>
            </w:r>
            <w:r w:rsidRPr="00803845">
              <w:t xml:space="preserve"> Valsts kontroles ieteikum</w:t>
            </w:r>
            <w:r w:rsidR="00A87684">
              <w:t>u,</w:t>
            </w:r>
            <w:r w:rsidRPr="00803845">
              <w:t xml:space="preserve"> ar mērķi noteikt atbildību par vienošanās neizpildi.</w:t>
            </w:r>
            <w:r w:rsidR="006F54BD">
              <w:t xml:space="preserve"> G</w:t>
            </w:r>
            <w:r w:rsidR="006F54BD" w:rsidRPr="00803845">
              <w:t>rozījumi</w:t>
            </w:r>
            <w:r w:rsidR="006F54BD">
              <w:t xml:space="preserve"> MK noteikumos Nr. 669 neparedz atbalsta programmas izstrādi.</w:t>
            </w:r>
          </w:p>
          <w:p w14:paraId="609107A8" w14:textId="77777777" w:rsidR="006F54BD" w:rsidRDefault="006F54BD" w:rsidP="00580EBA">
            <w:pPr>
              <w:pStyle w:val="naisc"/>
              <w:spacing w:before="0" w:after="0"/>
            </w:pPr>
          </w:p>
          <w:p w14:paraId="2D73B2EB" w14:textId="0A743E5E" w:rsidR="0019008A" w:rsidRPr="00803845" w:rsidRDefault="004B3C39" w:rsidP="00580EBA">
            <w:pPr>
              <w:pStyle w:val="naisc"/>
              <w:spacing w:before="0" w:after="0"/>
            </w:pPr>
            <w:r w:rsidRPr="00803845">
              <w:t xml:space="preserve">Vienlaikus Ekonomikas ministrija izvērtē atbalsta sniegšanas iespējas vienošanās slēdzējiem, un gadījumā, ja tiks </w:t>
            </w:r>
            <w:r w:rsidRPr="00803845">
              <w:lastRenderedPageBreak/>
              <w:t>rasts finansējums, izstrādās</w:t>
            </w:r>
            <w:r>
              <w:t xml:space="preserve"> </w:t>
            </w:r>
            <w:r w:rsidRPr="00803845">
              <w:t>atbalsta programmu</w:t>
            </w:r>
            <w:r>
              <w:t>, kura tiks virzīta apstiprināšanai Ministru kabinetā</w:t>
            </w:r>
            <w:r w:rsidRPr="00803845">
              <w:t>.</w:t>
            </w:r>
          </w:p>
        </w:tc>
        <w:tc>
          <w:tcPr>
            <w:tcW w:w="2912" w:type="dxa"/>
            <w:tcBorders>
              <w:top w:val="single" w:sz="4" w:space="0" w:color="auto"/>
              <w:left w:val="single" w:sz="4" w:space="0" w:color="auto"/>
              <w:bottom w:val="single" w:sz="4" w:space="0" w:color="auto"/>
            </w:tcBorders>
          </w:tcPr>
          <w:p w14:paraId="4AA3A508" w14:textId="62041D4D" w:rsidR="004B3C39" w:rsidRPr="007132C5" w:rsidRDefault="006F54BD" w:rsidP="00580EBA">
            <w:pPr>
              <w:jc w:val="both"/>
            </w:pPr>
            <w:r>
              <w:lastRenderedPageBreak/>
              <w:t>-</w:t>
            </w:r>
          </w:p>
        </w:tc>
      </w:tr>
      <w:tr w:rsidR="007132C5" w:rsidRPr="007132C5" w14:paraId="43B6CF7C"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33B947B8" w14:textId="77777777" w:rsidR="0041650A" w:rsidRDefault="0041650A" w:rsidP="00580EBA"/>
          <w:p w14:paraId="40B03A3B" w14:textId="4F420B53" w:rsidR="007132C5" w:rsidRPr="007132C5" w:rsidRDefault="003B71E0" w:rsidP="00580EBA">
            <w:r w:rsidRPr="007132C5">
              <w:br w:type="page"/>
            </w:r>
            <w:r w:rsidR="007132C5" w:rsidRPr="007132C5">
              <w:t>Līga Mičule</w:t>
            </w:r>
          </w:p>
        </w:tc>
      </w:tr>
      <w:tr w:rsidR="007132C5" w:rsidRPr="007132C5" w14:paraId="11C8094E"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30499439" w14:textId="77777777" w:rsidR="008655A2" w:rsidRPr="007132C5" w:rsidRDefault="00184479" w:rsidP="00580EBA">
            <w:pPr>
              <w:jc w:val="center"/>
            </w:pPr>
            <w:r w:rsidRPr="007132C5">
              <w:t>(</w:t>
            </w:r>
            <w:r w:rsidR="008655A2" w:rsidRPr="007132C5">
              <w:t xml:space="preserve">par projektu atbildīgās amatpersonas </w:t>
            </w:r>
            <w:r w:rsidRPr="007132C5">
              <w:t xml:space="preserve">vārds un </w:t>
            </w:r>
            <w:r w:rsidR="008655A2" w:rsidRPr="007132C5">
              <w:t>uzvārds</w:t>
            </w:r>
            <w:r w:rsidRPr="007132C5">
              <w:t>)</w:t>
            </w:r>
          </w:p>
        </w:tc>
      </w:tr>
      <w:tr w:rsidR="007132C5" w:rsidRPr="007132C5" w14:paraId="6DAD4263"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4219AA76" w14:textId="6EB07493" w:rsidR="008655A2" w:rsidRPr="007132C5" w:rsidRDefault="007132C5" w:rsidP="00580EBA">
            <w:r w:rsidRPr="007132C5">
              <w:t>Vecākā eksperte</w:t>
            </w:r>
          </w:p>
        </w:tc>
      </w:tr>
      <w:tr w:rsidR="007132C5" w:rsidRPr="007132C5" w14:paraId="588EEC32"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2AD8C1C8" w14:textId="77777777" w:rsidR="008655A2" w:rsidRPr="007132C5" w:rsidRDefault="00184479" w:rsidP="00580EBA">
            <w:pPr>
              <w:jc w:val="center"/>
            </w:pPr>
            <w:r w:rsidRPr="007132C5">
              <w:t>(</w:t>
            </w:r>
            <w:r w:rsidR="008655A2" w:rsidRPr="007132C5">
              <w:t>amats</w:t>
            </w:r>
            <w:r w:rsidRPr="007132C5">
              <w:t>)</w:t>
            </w:r>
          </w:p>
        </w:tc>
      </w:tr>
      <w:tr w:rsidR="007132C5" w:rsidRPr="007132C5" w14:paraId="1B862767"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7E08327F" w14:textId="540CE8E7" w:rsidR="008655A2" w:rsidRPr="007132C5" w:rsidRDefault="007132C5" w:rsidP="00580EBA">
            <w:r w:rsidRPr="007132C5">
              <w:t>67013030</w:t>
            </w:r>
          </w:p>
        </w:tc>
      </w:tr>
      <w:tr w:rsidR="007132C5" w:rsidRPr="007132C5" w14:paraId="631FCA04"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04A2583D" w14:textId="77777777" w:rsidR="008655A2" w:rsidRPr="007132C5" w:rsidRDefault="00184479" w:rsidP="00580EBA">
            <w:pPr>
              <w:jc w:val="center"/>
            </w:pPr>
            <w:r w:rsidRPr="007132C5">
              <w:t>(</w:t>
            </w:r>
            <w:r w:rsidR="008655A2" w:rsidRPr="007132C5">
              <w:t>tālruņa un faksa numurs</w:t>
            </w:r>
            <w:r w:rsidRPr="007132C5">
              <w:t>)</w:t>
            </w:r>
          </w:p>
        </w:tc>
      </w:tr>
      <w:tr w:rsidR="007132C5" w:rsidRPr="007132C5" w14:paraId="7115E50D"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5595DB96" w14:textId="446111AD" w:rsidR="008655A2" w:rsidRPr="007132C5" w:rsidRDefault="007132C5" w:rsidP="00580EBA">
            <w:r w:rsidRPr="007132C5">
              <w:t>Liga.Micule@em.gov.lv</w:t>
            </w:r>
          </w:p>
        </w:tc>
      </w:tr>
      <w:tr w:rsidR="008655A2" w:rsidRPr="007132C5" w14:paraId="76984F2B"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70012293" w14:textId="77777777" w:rsidR="008655A2" w:rsidRPr="007132C5" w:rsidRDefault="00184479" w:rsidP="00580EBA">
            <w:pPr>
              <w:jc w:val="center"/>
            </w:pPr>
            <w:r w:rsidRPr="007132C5">
              <w:t>(</w:t>
            </w:r>
            <w:r w:rsidR="008655A2" w:rsidRPr="007132C5">
              <w:t>e-pasta adrese</w:t>
            </w:r>
            <w:r w:rsidRPr="007132C5">
              <w:t>)</w:t>
            </w:r>
          </w:p>
        </w:tc>
      </w:tr>
    </w:tbl>
    <w:p w14:paraId="2D1D7382" w14:textId="623C7668" w:rsidR="003B71E0" w:rsidRDefault="003B71E0" w:rsidP="00E447D4">
      <w:pPr>
        <w:pStyle w:val="naisf"/>
        <w:spacing w:before="0" w:after="0"/>
        <w:ind w:firstLine="0"/>
        <w:jc w:val="left"/>
        <w:rPr>
          <w:sz w:val="28"/>
          <w:szCs w:val="28"/>
        </w:rPr>
      </w:pPr>
    </w:p>
    <w:p w14:paraId="44976034" w14:textId="7E527E5B" w:rsidR="00ED28AA" w:rsidRPr="00ED28AA" w:rsidRDefault="00ED28AA" w:rsidP="00ED28AA"/>
    <w:p w14:paraId="3DC67699" w14:textId="01C0AA12" w:rsidR="00ED28AA" w:rsidRDefault="00ED28AA" w:rsidP="00ED28AA">
      <w:pPr>
        <w:rPr>
          <w:sz w:val="28"/>
          <w:szCs w:val="28"/>
        </w:rPr>
      </w:pPr>
    </w:p>
    <w:p w14:paraId="574929E3" w14:textId="2CD8CFE5" w:rsidR="00ED28AA" w:rsidRPr="00ED28AA" w:rsidRDefault="00ED28AA" w:rsidP="00ED28AA">
      <w:pPr>
        <w:tabs>
          <w:tab w:val="left" w:pos="3901"/>
        </w:tabs>
      </w:pPr>
      <w:r>
        <w:tab/>
      </w:r>
    </w:p>
    <w:sectPr w:rsidR="00ED28AA" w:rsidRPr="00ED28AA" w:rsidSect="00364BB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593F7" w14:textId="77777777" w:rsidR="00404D8D" w:rsidRDefault="00404D8D">
      <w:r>
        <w:separator/>
      </w:r>
    </w:p>
  </w:endnote>
  <w:endnote w:type="continuationSeparator" w:id="0">
    <w:p w14:paraId="5989965C" w14:textId="77777777" w:rsidR="00404D8D" w:rsidRDefault="0040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5D4C" w14:textId="51A283D2" w:rsidR="006455E7" w:rsidRPr="003E0C78" w:rsidRDefault="003E0C78" w:rsidP="003E0C78">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ED28AA">
      <w:rPr>
        <w:noProof/>
        <w:sz w:val="20"/>
        <w:szCs w:val="20"/>
      </w:rPr>
      <w:t>EMIzz_051119_groz669.docx</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E99A" w14:textId="62A80108" w:rsidR="006455E7" w:rsidRPr="003E0C78" w:rsidRDefault="003E0C78" w:rsidP="003E0C78">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ED28AA">
      <w:rPr>
        <w:noProof/>
        <w:sz w:val="20"/>
        <w:szCs w:val="20"/>
      </w:rPr>
      <w:t>EMIzz_051119_groz669.docx</w:t>
    </w:r>
    <w:r w:rsidRPr="003E0C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8EE64" w14:textId="77777777" w:rsidR="00404D8D" w:rsidRDefault="00404D8D">
      <w:r>
        <w:separator/>
      </w:r>
    </w:p>
  </w:footnote>
  <w:footnote w:type="continuationSeparator" w:id="0">
    <w:p w14:paraId="79E075B4" w14:textId="77777777" w:rsidR="00404D8D" w:rsidRDefault="00404D8D">
      <w:r>
        <w:continuationSeparator/>
      </w:r>
    </w:p>
  </w:footnote>
  <w:footnote w:id="1">
    <w:p w14:paraId="34A546CD" w14:textId="77777777" w:rsidR="00577BB4" w:rsidRPr="008B7AC9" w:rsidRDefault="00577BB4" w:rsidP="00577BB4">
      <w:pPr>
        <w:pStyle w:val="FootnoteText"/>
        <w:rPr>
          <w:rFonts w:ascii="Times New Roman" w:hAnsi="Times New Roman"/>
        </w:rPr>
      </w:pPr>
      <w:r w:rsidRPr="008B7AC9">
        <w:rPr>
          <w:rStyle w:val="FootnoteReference"/>
          <w:rFonts w:ascii="Times New Roman" w:hAnsi="Times New Roman"/>
        </w:rPr>
        <w:footnoteRef/>
      </w:r>
      <w:r w:rsidRPr="008B7AC9">
        <w:rPr>
          <w:rFonts w:ascii="Times New Roman" w:hAnsi="Times New Roman"/>
        </w:rPr>
        <w:t xml:space="preserve"> Ministru kabineta 2016. gada 11. oktobra noteikum</w:t>
      </w:r>
      <w:r>
        <w:rPr>
          <w:rFonts w:ascii="Times New Roman" w:hAnsi="Times New Roman"/>
        </w:rPr>
        <w:t>i</w:t>
      </w:r>
      <w:r w:rsidRPr="008B7AC9">
        <w:rPr>
          <w:rFonts w:ascii="Times New Roman" w:hAnsi="Times New Roman"/>
        </w:rPr>
        <w:t xml:space="preserve"> Nr. 669 “Kārtība, kādā noslēdz un pārrauga brīvprātīgu vienošanos par energoefektivitātes uzlabošanu”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FC"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60D81"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23D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CC6">
      <w:rPr>
        <w:rStyle w:val="PageNumber"/>
        <w:noProof/>
      </w:rPr>
      <w:t>3</w:t>
    </w:r>
    <w:r>
      <w:rPr>
        <w:rStyle w:val="PageNumber"/>
      </w:rPr>
      <w:fldChar w:fldCharType="end"/>
    </w:r>
  </w:p>
  <w:p w14:paraId="3CE7FB5F"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C21B44"/>
    <w:multiLevelType w:val="hybridMultilevel"/>
    <w:tmpl w:val="90E2D65C"/>
    <w:lvl w:ilvl="0" w:tplc="B7B29F9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773"/>
    <w:rsid w:val="00006BF1"/>
    <w:rsid w:val="0001118D"/>
    <w:rsid w:val="0001131F"/>
    <w:rsid w:val="00011663"/>
    <w:rsid w:val="0001249F"/>
    <w:rsid w:val="000125C0"/>
    <w:rsid w:val="0001270C"/>
    <w:rsid w:val="000136AA"/>
    <w:rsid w:val="00013B4C"/>
    <w:rsid w:val="00013BF6"/>
    <w:rsid w:val="0001554C"/>
    <w:rsid w:val="00015B94"/>
    <w:rsid w:val="00015DE5"/>
    <w:rsid w:val="00016E0F"/>
    <w:rsid w:val="000172E2"/>
    <w:rsid w:val="00017449"/>
    <w:rsid w:val="00020249"/>
    <w:rsid w:val="00022338"/>
    <w:rsid w:val="0002296A"/>
    <w:rsid w:val="00022B0F"/>
    <w:rsid w:val="00022B9A"/>
    <w:rsid w:val="00023FD6"/>
    <w:rsid w:val="0002416A"/>
    <w:rsid w:val="00024CCD"/>
    <w:rsid w:val="00024D20"/>
    <w:rsid w:val="000253DB"/>
    <w:rsid w:val="000258AF"/>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6FE"/>
    <w:rsid w:val="00083B8F"/>
    <w:rsid w:val="00084B11"/>
    <w:rsid w:val="00085322"/>
    <w:rsid w:val="0008656F"/>
    <w:rsid w:val="00086AB9"/>
    <w:rsid w:val="00086BCE"/>
    <w:rsid w:val="00086F36"/>
    <w:rsid w:val="00090168"/>
    <w:rsid w:val="00090C76"/>
    <w:rsid w:val="00091033"/>
    <w:rsid w:val="0009136A"/>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F83"/>
    <w:rsid w:val="000B7966"/>
    <w:rsid w:val="000B7CB1"/>
    <w:rsid w:val="000C0AE6"/>
    <w:rsid w:val="000C0D0D"/>
    <w:rsid w:val="000C2555"/>
    <w:rsid w:val="000C3545"/>
    <w:rsid w:val="000C41AA"/>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CA8"/>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1F7"/>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6C7E"/>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08A"/>
    <w:rsid w:val="001902E9"/>
    <w:rsid w:val="00190327"/>
    <w:rsid w:val="00190A0A"/>
    <w:rsid w:val="001926F2"/>
    <w:rsid w:val="00193BCE"/>
    <w:rsid w:val="00194B87"/>
    <w:rsid w:val="0019569A"/>
    <w:rsid w:val="00195962"/>
    <w:rsid w:val="00197533"/>
    <w:rsid w:val="001977E7"/>
    <w:rsid w:val="00197CCA"/>
    <w:rsid w:val="001A0D8A"/>
    <w:rsid w:val="001A0F78"/>
    <w:rsid w:val="001A192D"/>
    <w:rsid w:val="001A7BA3"/>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DCB"/>
    <w:rsid w:val="001D2FD0"/>
    <w:rsid w:val="001D3830"/>
    <w:rsid w:val="001D3BA6"/>
    <w:rsid w:val="001D5564"/>
    <w:rsid w:val="001D6FAA"/>
    <w:rsid w:val="001D70FA"/>
    <w:rsid w:val="001D7BA9"/>
    <w:rsid w:val="001E039D"/>
    <w:rsid w:val="001E04CA"/>
    <w:rsid w:val="001E22E7"/>
    <w:rsid w:val="001E2714"/>
    <w:rsid w:val="001E398C"/>
    <w:rsid w:val="001E4456"/>
    <w:rsid w:val="001E4DDC"/>
    <w:rsid w:val="001E64E7"/>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058"/>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0DC6"/>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790"/>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4A7B"/>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0186"/>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952"/>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2C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0C78"/>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8D"/>
    <w:rsid w:val="00404DAA"/>
    <w:rsid w:val="00404DDD"/>
    <w:rsid w:val="0040578B"/>
    <w:rsid w:val="004065D6"/>
    <w:rsid w:val="0040687D"/>
    <w:rsid w:val="0040709D"/>
    <w:rsid w:val="0040713F"/>
    <w:rsid w:val="004075A3"/>
    <w:rsid w:val="00410C48"/>
    <w:rsid w:val="00416277"/>
    <w:rsid w:val="0041650A"/>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826"/>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C39"/>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CD2"/>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135"/>
    <w:rsid w:val="00555220"/>
    <w:rsid w:val="005555F0"/>
    <w:rsid w:val="00555739"/>
    <w:rsid w:val="00556E75"/>
    <w:rsid w:val="0056069A"/>
    <w:rsid w:val="00560C3B"/>
    <w:rsid w:val="00561EA1"/>
    <w:rsid w:val="00562799"/>
    <w:rsid w:val="00564804"/>
    <w:rsid w:val="00564FEE"/>
    <w:rsid w:val="00565598"/>
    <w:rsid w:val="00565B5A"/>
    <w:rsid w:val="00567E8F"/>
    <w:rsid w:val="00567FBF"/>
    <w:rsid w:val="005702D6"/>
    <w:rsid w:val="00572588"/>
    <w:rsid w:val="00573A50"/>
    <w:rsid w:val="005746D2"/>
    <w:rsid w:val="00574E8A"/>
    <w:rsid w:val="00576996"/>
    <w:rsid w:val="00577775"/>
    <w:rsid w:val="00577BB4"/>
    <w:rsid w:val="00580EBA"/>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6AF9"/>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A64"/>
    <w:rsid w:val="00601CF3"/>
    <w:rsid w:val="00601E55"/>
    <w:rsid w:val="00602037"/>
    <w:rsid w:val="006029DD"/>
    <w:rsid w:val="00602C6A"/>
    <w:rsid w:val="00603AF5"/>
    <w:rsid w:val="00606C66"/>
    <w:rsid w:val="00610145"/>
    <w:rsid w:val="00610D1F"/>
    <w:rsid w:val="006123C6"/>
    <w:rsid w:val="00612C02"/>
    <w:rsid w:val="00612CDD"/>
    <w:rsid w:val="0061562E"/>
    <w:rsid w:val="00616203"/>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0E6"/>
    <w:rsid w:val="00655470"/>
    <w:rsid w:val="00656FEE"/>
    <w:rsid w:val="0065758F"/>
    <w:rsid w:val="00660897"/>
    <w:rsid w:val="00661028"/>
    <w:rsid w:val="0066125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76B71"/>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1ED5"/>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322"/>
    <w:rsid w:val="006C1C48"/>
    <w:rsid w:val="006C3C1D"/>
    <w:rsid w:val="006C41FF"/>
    <w:rsid w:val="006C4905"/>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BC0"/>
    <w:rsid w:val="006E5DDD"/>
    <w:rsid w:val="006E7811"/>
    <w:rsid w:val="006F04DA"/>
    <w:rsid w:val="006F0557"/>
    <w:rsid w:val="006F0EA3"/>
    <w:rsid w:val="006F1B5D"/>
    <w:rsid w:val="006F212B"/>
    <w:rsid w:val="006F37F7"/>
    <w:rsid w:val="006F4A61"/>
    <w:rsid w:val="006F4ADC"/>
    <w:rsid w:val="006F54BD"/>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2C9"/>
    <w:rsid w:val="007116C7"/>
    <w:rsid w:val="00711C5A"/>
    <w:rsid w:val="00712B66"/>
    <w:rsid w:val="007132C5"/>
    <w:rsid w:val="00713C31"/>
    <w:rsid w:val="0071428D"/>
    <w:rsid w:val="007144C9"/>
    <w:rsid w:val="007162F3"/>
    <w:rsid w:val="00716B3C"/>
    <w:rsid w:val="007170C2"/>
    <w:rsid w:val="00717EE4"/>
    <w:rsid w:val="00717F2D"/>
    <w:rsid w:val="00720453"/>
    <w:rsid w:val="00720853"/>
    <w:rsid w:val="00722129"/>
    <w:rsid w:val="00724173"/>
    <w:rsid w:val="00726730"/>
    <w:rsid w:val="00727624"/>
    <w:rsid w:val="00730598"/>
    <w:rsid w:val="00731C24"/>
    <w:rsid w:val="0073257E"/>
    <w:rsid w:val="00732A32"/>
    <w:rsid w:val="00733066"/>
    <w:rsid w:val="00733469"/>
    <w:rsid w:val="00733539"/>
    <w:rsid w:val="00735557"/>
    <w:rsid w:val="00737108"/>
    <w:rsid w:val="007379CE"/>
    <w:rsid w:val="0074104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117E"/>
    <w:rsid w:val="00783432"/>
    <w:rsid w:val="00783C7B"/>
    <w:rsid w:val="0078556C"/>
    <w:rsid w:val="007855C5"/>
    <w:rsid w:val="007856D3"/>
    <w:rsid w:val="00785ABD"/>
    <w:rsid w:val="007860C6"/>
    <w:rsid w:val="00786254"/>
    <w:rsid w:val="00786DB0"/>
    <w:rsid w:val="00787D47"/>
    <w:rsid w:val="0079014E"/>
    <w:rsid w:val="0079148B"/>
    <w:rsid w:val="0079160C"/>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1D1"/>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5EB9"/>
    <w:rsid w:val="007C6958"/>
    <w:rsid w:val="007C7449"/>
    <w:rsid w:val="007C7EA5"/>
    <w:rsid w:val="007D016D"/>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3845"/>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57C58"/>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5411"/>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D2"/>
    <w:rsid w:val="008A5AF9"/>
    <w:rsid w:val="008B16DE"/>
    <w:rsid w:val="008B251F"/>
    <w:rsid w:val="008B2602"/>
    <w:rsid w:val="008B2727"/>
    <w:rsid w:val="008B316B"/>
    <w:rsid w:val="008B5059"/>
    <w:rsid w:val="008B5BF2"/>
    <w:rsid w:val="008B6934"/>
    <w:rsid w:val="008B6CF8"/>
    <w:rsid w:val="008B72F6"/>
    <w:rsid w:val="008B7B4F"/>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493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B18"/>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0F6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44F"/>
    <w:rsid w:val="00A32AEA"/>
    <w:rsid w:val="00A32F32"/>
    <w:rsid w:val="00A33E80"/>
    <w:rsid w:val="00A33EFE"/>
    <w:rsid w:val="00A4148D"/>
    <w:rsid w:val="00A44D0E"/>
    <w:rsid w:val="00A4621D"/>
    <w:rsid w:val="00A47CB3"/>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495"/>
    <w:rsid w:val="00A61F0C"/>
    <w:rsid w:val="00A61FF0"/>
    <w:rsid w:val="00A62580"/>
    <w:rsid w:val="00A63AC9"/>
    <w:rsid w:val="00A64502"/>
    <w:rsid w:val="00A6469E"/>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684"/>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02A5"/>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1210"/>
    <w:rsid w:val="00AF2EC7"/>
    <w:rsid w:val="00AF3AC0"/>
    <w:rsid w:val="00AF4F4A"/>
    <w:rsid w:val="00B00C24"/>
    <w:rsid w:val="00B00F93"/>
    <w:rsid w:val="00B0165A"/>
    <w:rsid w:val="00B01BBE"/>
    <w:rsid w:val="00B03F92"/>
    <w:rsid w:val="00B055D8"/>
    <w:rsid w:val="00B06CD6"/>
    <w:rsid w:val="00B06EBC"/>
    <w:rsid w:val="00B11D2D"/>
    <w:rsid w:val="00B123F0"/>
    <w:rsid w:val="00B12891"/>
    <w:rsid w:val="00B132B8"/>
    <w:rsid w:val="00B146C1"/>
    <w:rsid w:val="00B146E7"/>
    <w:rsid w:val="00B14D81"/>
    <w:rsid w:val="00B156DF"/>
    <w:rsid w:val="00B15ABB"/>
    <w:rsid w:val="00B16973"/>
    <w:rsid w:val="00B176D9"/>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5A91"/>
    <w:rsid w:val="00BD60AD"/>
    <w:rsid w:val="00BD62D4"/>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270"/>
    <w:rsid w:val="00C239ED"/>
    <w:rsid w:val="00C24627"/>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4A6"/>
    <w:rsid w:val="00C46F06"/>
    <w:rsid w:val="00C47DA6"/>
    <w:rsid w:val="00C47FEA"/>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26E"/>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657"/>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1CD"/>
    <w:rsid w:val="00CF3C77"/>
    <w:rsid w:val="00CF45A2"/>
    <w:rsid w:val="00CF52E7"/>
    <w:rsid w:val="00CF64B5"/>
    <w:rsid w:val="00CF7853"/>
    <w:rsid w:val="00D004ED"/>
    <w:rsid w:val="00D021E6"/>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747"/>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A5"/>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E98"/>
    <w:rsid w:val="00E04441"/>
    <w:rsid w:val="00E05403"/>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7D4"/>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D76"/>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740"/>
    <w:rsid w:val="00EB02DE"/>
    <w:rsid w:val="00EB0A07"/>
    <w:rsid w:val="00EB1B69"/>
    <w:rsid w:val="00EB1C78"/>
    <w:rsid w:val="00EB1FD1"/>
    <w:rsid w:val="00EB31F1"/>
    <w:rsid w:val="00EB3B46"/>
    <w:rsid w:val="00EB4F08"/>
    <w:rsid w:val="00EC2E07"/>
    <w:rsid w:val="00EC43C7"/>
    <w:rsid w:val="00EC465D"/>
    <w:rsid w:val="00EC5C89"/>
    <w:rsid w:val="00EC66D2"/>
    <w:rsid w:val="00EC67E7"/>
    <w:rsid w:val="00ED0A1B"/>
    <w:rsid w:val="00ED21BC"/>
    <w:rsid w:val="00ED28AA"/>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05FF"/>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5785"/>
    <w:rsid w:val="00F86420"/>
    <w:rsid w:val="00F8659E"/>
    <w:rsid w:val="00F86CE4"/>
    <w:rsid w:val="00F86F42"/>
    <w:rsid w:val="00F91941"/>
    <w:rsid w:val="00F92E3F"/>
    <w:rsid w:val="00F938D2"/>
    <w:rsid w:val="00F96389"/>
    <w:rsid w:val="00F9650E"/>
    <w:rsid w:val="00F96B73"/>
    <w:rsid w:val="00F977C7"/>
    <w:rsid w:val="00FA0890"/>
    <w:rsid w:val="00FA164A"/>
    <w:rsid w:val="00FA2B08"/>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0741"/>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B67290"/>
  <w15:chartTrackingRefBased/>
  <w15:docId w15:val="{E587918D-2B7E-4B12-8568-CD4E5AE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230DC6"/>
    <w:pPr>
      <w:widowControl w:val="0"/>
      <w:ind w:firstLine="720"/>
      <w:jc w:val="both"/>
    </w:pPr>
    <w:rPr>
      <w:sz w:val="26"/>
      <w:lang w:eastAsia="en-US"/>
    </w:rPr>
  </w:style>
  <w:style w:type="paragraph" w:customStyle="1" w:styleId="tv213">
    <w:name w:val="tv213"/>
    <w:basedOn w:val="Normal"/>
    <w:rsid w:val="0079160C"/>
    <w:pPr>
      <w:spacing w:before="100" w:beforeAutospacing="1" w:after="100" w:afterAutospacing="1"/>
    </w:pPr>
  </w:style>
  <w:style w:type="character" w:customStyle="1" w:styleId="ListParagraphChar">
    <w:name w:val="List Paragraph Char"/>
    <w:aliases w:val="2 Char,Saraksta rindkopa1 Char"/>
    <w:link w:val="ListParagraph"/>
    <w:uiPriority w:val="34"/>
    <w:locked/>
    <w:rsid w:val="00580EBA"/>
    <w:rPr>
      <w:rFonts w:ascii="Calibri" w:hAnsi="Calibri"/>
      <w:sz w:val="22"/>
      <w:szCs w:val="22"/>
      <w:lang w:eastAsia="en-US"/>
    </w:rPr>
  </w:style>
  <w:style w:type="paragraph" w:styleId="FootnoteText">
    <w:name w:val="footnote text"/>
    <w:basedOn w:val="Normal"/>
    <w:link w:val="FootnoteTextChar"/>
    <w:uiPriority w:val="99"/>
    <w:semiHidden/>
    <w:unhideWhenUsed/>
    <w:rsid w:val="00577BB4"/>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577BB4"/>
    <w:rPr>
      <w:rFonts w:ascii="Calibri" w:eastAsia="Calibri" w:hAnsi="Calibri"/>
      <w:lang w:eastAsia="en-US"/>
    </w:rPr>
  </w:style>
  <w:style w:type="character" w:styleId="FootnoteReference">
    <w:name w:val="footnote reference"/>
    <w:basedOn w:val="DefaultParagraphFont"/>
    <w:uiPriority w:val="99"/>
    <w:semiHidden/>
    <w:unhideWhenUsed/>
    <w:rsid w:val="00577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036610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587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vs.em.gov.lv/Portal/Administration/Contacts/Organization?OrganizationId=1188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2858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9</Pages>
  <Words>1869</Words>
  <Characters>14298</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Grozījumi ministru kabineta 2016. gada 11. oktobra noteikumos Nr. 669 "Kārtība, kādā noslēdz un pārrauga brīvprātīgu vienošanos par energoefektivitātes uzlabošanu"</vt:lpstr>
    </vt:vector>
  </TitlesOfParts>
  <Company>Ekonomikas ministrija</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11. oktobra noteikumos Nr. 669 "Kārtība, kādā noslēdz un pārrauga brīvprātīgu vienošanos par energoefektivitātes uzlabošanu"</dc:title>
  <dc:subject>Izziņa par atzinumos sniegtajiem iebildumiem</dc:subject>
  <dc:creator>Līga Mičule</dc:creator>
  <cp:keywords/>
  <dc:description>67013030, Liga.Micule@em.gov.lv</dc:description>
  <cp:lastModifiedBy>Līga Mičule</cp:lastModifiedBy>
  <cp:revision>22</cp:revision>
  <cp:lastPrinted>2009-04-08T08:39:00Z</cp:lastPrinted>
  <dcterms:created xsi:type="dcterms:W3CDTF">2019-10-01T12:48:00Z</dcterms:created>
  <dcterms:modified xsi:type="dcterms:W3CDTF">2019-11-05T13:26:00Z</dcterms:modified>
</cp:coreProperties>
</file>