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D6FF" w14:textId="77777777" w:rsidR="001C4923" w:rsidRPr="000E23A0" w:rsidRDefault="001C4923" w:rsidP="001C4923">
      <w:pPr>
        <w:pStyle w:val="naislab"/>
        <w:spacing w:before="0" w:after="0"/>
        <w:jc w:val="center"/>
        <w:rPr>
          <w:b/>
          <w:sz w:val="22"/>
          <w:szCs w:val="22"/>
        </w:rPr>
      </w:pPr>
      <w:r w:rsidRPr="000E23A0">
        <w:rPr>
          <w:b/>
          <w:sz w:val="22"/>
          <w:szCs w:val="22"/>
        </w:rPr>
        <w:t>Izziņa par atzinumos sniegtajiem iebildumiem</w:t>
      </w:r>
    </w:p>
    <w:p w14:paraId="2682CB08" w14:textId="77777777" w:rsidR="001C4923" w:rsidRPr="000E23A0" w:rsidRDefault="001C4923" w:rsidP="001C4923">
      <w:pPr>
        <w:pStyle w:val="naisf"/>
        <w:spacing w:before="0" w:after="0"/>
        <w:ind w:firstLine="720"/>
        <w:rPr>
          <w:sz w:val="22"/>
          <w:szCs w:val="22"/>
        </w:rPr>
      </w:pPr>
    </w:p>
    <w:tbl>
      <w:tblPr>
        <w:tblW w:w="0" w:type="auto"/>
        <w:jc w:val="center"/>
        <w:tblLook w:val="00A0" w:firstRow="1" w:lastRow="0" w:firstColumn="1" w:lastColumn="0" w:noHBand="0" w:noVBand="0"/>
      </w:tblPr>
      <w:tblGrid>
        <w:gridCol w:w="10188"/>
      </w:tblGrid>
      <w:tr w:rsidR="000E23A0" w:rsidRPr="000E23A0" w14:paraId="4357B5B1" w14:textId="77777777" w:rsidTr="00BD1B21">
        <w:trPr>
          <w:jc w:val="center"/>
        </w:trPr>
        <w:tc>
          <w:tcPr>
            <w:tcW w:w="10188" w:type="dxa"/>
            <w:tcBorders>
              <w:bottom w:val="single" w:sz="6" w:space="0" w:color="000000"/>
            </w:tcBorders>
          </w:tcPr>
          <w:p w14:paraId="02B3B5F2" w14:textId="4296F05D" w:rsidR="001C4923" w:rsidRPr="000E23A0" w:rsidRDefault="001C4923" w:rsidP="00BD1B21">
            <w:pPr>
              <w:ind w:firstLine="720"/>
              <w:jc w:val="center"/>
              <w:rPr>
                <w:sz w:val="22"/>
                <w:szCs w:val="22"/>
              </w:rPr>
            </w:pPr>
            <w:r w:rsidRPr="000E23A0">
              <w:rPr>
                <w:sz w:val="22"/>
                <w:szCs w:val="22"/>
              </w:rPr>
              <w:t xml:space="preserve">Ministru kabineta noteikumu projekts </w:t>
            </w:r>
            <w:r w:rsidR="00CD3082" w:rsidRPr="000E23A0">
              <w:rPr>
                <w:sz w:val="22"/>
                <w:szCs w:val="22"/>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8D5E41" w:rsidRPr="000E23A0">
              <w:rPr>
                <w:sz w:val="22"/>
                <w:szCs w:val="22"/>
              </w:rPr>
              <w:t>"</w:t>
            </w:r>
          </w:p>
        </w:tc>
      </w:tr>
    </w:tbl>
    <w:p w14:paraId="16E22AA9" w14:textId="77777777" w:rsidR="001C4923" w:rsidRPr="000E23A0" w:rsidRDefault="001C4923" w:rsidP="001C4923">
      <w:pPr>
        <w:pStyle w:val="naisc"/>
        <w:spacing w:before="0" w:after="0"/>
        <w:ind w:firstLine="1080"/>
        <w:rPr>
          <w:sz w:val="22"/>
          <w:szCs w:val="22"/>
        </w:rPr>
      </w:pPr>
      <w:r w:rsidRPr="000E23A0">
        <w:rPr>
          <w:sz w:val="22"/>
          <w:szCs w:val="22"/>
        </w:rPr>
        <w:t>(dokumenta veids un nosaukums)</w:t>
      </w:r>
    </w:p>
    <w:p w14:paraId="7D8B5A53" w14:textId="77777777" w:rsidR="001C4923" w:rsidRPr="000E23A0" w:rsidRDefault="001C4923" w:rsidP="001C4923">
      <w:pPr>
        <w:pStyle w:val="naisf"/>
        <w:spacing w:before="0" w:after="0"/>
        <w:ind w:firstLine="720"/>
        <w:rPr>
          <w:sz w:val="22"/>
          <w:szCs w:val="22"/>
        </w:rPr>
      </w:pPr>
    </w:p>
    <w:p w14:paraId="6615268C" w14:textId="77777777" w:rsidR="001C4923" w:rsidRPr="000E23A0" w:rsidRDefault="001C4923" w:rsidP="001C4923">
      <w:pPr>
        <w:pStyle w:val="naisf"/>
        <w:spacing w:before="0" w:after="0"/>
        <w:ind w:firstLine="0"/>
        <w:rPr>
          <w:sz w:val="22"/>
          <w:szCs w:val="22"/>
        </w:rPr>
      </w:pPr>
    </w:p>
    <w:p w14:paraId="5474C790" w14:textId="77777777" w:rsidR="001C4923" w:rsidRPr="000E23A0" w:rsidRDefault="001C4923" w:rsidP="001C4923">
      <w:pPr>
        <w:pStyle w:val="naisf"/>
        <w:spacing w:before="0" w:after="0"/>
        <w:ind w:firstLine="0"/>
        <w:rPr>
          <w:b/>
          <w:sz w:val="22"/>
          <w:szCs w:val="22"/>
        </w:rPr>
      </w:pPr>
      <w:r w:rsidRPr="000E23A0">
        <w:rPr>
          <w:b/>
          <w:sz w:val="22"/>
          <w:szCs w:val="22"/>
        </w:rPr>
        <w:t xml:space="preserve">Informācija par </w:t>
      </w:r>
      <w:proofErr w:type="spellStart"/>
      <w:r w:rsidRPr="000E23A0">
        <w:rPr>
          <w:b/>
          <w:sz w:val="22"/>
          <w:szCs w:val="22"/>
        </w:rPr>
        <w:t>starpministriju</w:t>
      </w:r>
      <w:proofErr w:type="spellEnd"/>
      <w:r w:rsidRPr="000E23A0">
        <w:rPr>
          <w:b/>
          <w:sz w:val="22"/>
          <w:szCs w:val="22"/>
        </w:rPr>
        <w:t xml:space="preserve"> (starpinstitūciju) sanāksmi vai elektronisko saskaņošanu</w:t>
      </w:r>
    </w:p>
    <w:p w14:paraId="1F18BF13" w14:textId="77777777" w:rsidR="001C4923" w:rsidRPr="000E23A0" w:rsidRDefault="001C4923" w:rsidP="001C4923">
      <w:pPr>
        <w:pStyle w:val="naisf"/>
        <w:spacing w:before="0" w:after="0"/>
        <w:ind w:firstLine="0"/>
        <w:rPr>
          <w:b/>
          <w:sz w:val="22"/>
          <w:szCs w:val="22"/>
        </w:rPr>
      </w:pPr>
    </w:p>
    <w:tbl>
      <w:tblPr>
        <w:tblW w:w="14312" w:type="dxa"/>
        <w:tblLook w:val="00A0" w:firstRow="1" w:lastRow="0" w:firstColumn="1" w:lastColumn="0" w:noHBand="0" w:noVBand="0"/>
      </w:tblPr>
      <w:tblGrid>
        <w:gridCol w:w="6345"/>
        <w:gridCol w:w="7967"/>
      </w:tblGrid>
      <w:tr w:rsidR="000E23A0" w:rsidRPr="000E23A0" w14:paraId="36011162" w14:textId="77777777" w:rsidTr="00BD1B21">
        <w:tc>
          <w:tcPr>
            <w:tcW w:w="6345" w:type="dxa"/>
          </w:tcPr>
          <w:p w14:paraId="1366F4A0" w14:textId="77777777" w:rsidR="001C4923" w:rsidRPr="000E23A0" w:rsidRDefault="001C4923" w:rsidP="00BD1B21">
            <w:pPr>
              <w:pStyle w:val="naisf"/>
              <w:spacing w:before="0" w:after="0"/>
              <w:ind w:firstLine="0"/>
              <w:rPr>
                <w:sz w:val="22"/>
                <w:szCs w:val="22"/>
              </w:rPr>
            </w:pPr>
            <w:r w:rsidRPr="000E23A0">
              <w:rPr>
                <w:sz w:val="22"/>
                <w:szCs w:val="22"/>
              </w:rPr>
              <w:t xml:space="preserve">Datums: </w:t>
            </w:r>
          </w:p>
        </w:tc>
        <w:tc>
          <w:tcPr>
            <w:tcW w:w="7967" w:type="dxa"/>
          </w:tcPr>
          <w:p w14:paraId="6FC364DB" w14:textId="6466E27B" w:rsidR="001C4923" w:rsidRPr="000E23A0" w:rsidRDefault="00CD3082" w:rsidP="0088699C">
            <w:pPr>
              <w:pStyle w:val="NormalWeb"/>
              <w:spacing w:before="0" w:beforeAutospacing="0" w:after="0" w:afterAutospacing="0"/>
              <w:rPr>
                <w:sz w:val="22"/>
                <w:szCs w:val="22"/>
              </w:rPr>
            </w:pPr>
            <w:r w:rsidRPr="000E23A0">
              <w:rPr>
                <w:sz w:val="22"/>
                <w:szCs w:val="22"/>
              </w:rPr>
              <w:t>30.09.2019.</w:t>
            </w:r>
            <w:r w:rsidR="00320DCC" w:rsidRPr="000E23A0">
              <w:rPr>
                <w:sz w:val="22"/>
                <w:szCs w:val="22"/>
              </w:rPr>
              <w:t>, 01.11.2019.</w:t>
            </w:r>
            <w:r w:rsidR="000E23A0" w:rsidRPr="000E23A0">
              <w:rPr>
                <w:sz w:val="22"/>
                <w:szCs w:val="22"/>
              </w:rPr>
              <w:t>, 11.11.2019.</w:t>
            </w:r>
          </w:p>
        </w:tc>
      </w:tr>
      <w:tr w:rsidR="000E23A0" w:rsidRPr="000E23A0" w14:paraId="7A9D8325" w14:textId="77777777" w:rsidTr="00BD1B21">
        <w:tc>
          <w:tcPr>
            <w:tcW w:w="6345" w:type="dxa"/>
          </w:tcPr>
          <w:p w14:paraId="62049EC3" w14:textId="77777777" w:rsidR="001C4923" w:rsidRPr="000E23A0" w:rsidRDefault="001C4923" w:rsidP="00BD1B21">
            <w:pPr>
              <w:pStyle w:val="naisf"/>
              <w:spacing w:before="0" w:after="0"/>
              <w:ind w:firstLine="0"/>
              <w:rPr>
                <w:sz w:val="22"/>
                <w:szCs w:val="22"/>
              </w:rPr>
            </w:pPr>
          </w:p>
        </w:tc>
        <w:tc>
          <w:tcPr>
            <w:tcW w:w="7967" w:type="dxa"/>
          </w:tcPr>
          <w:p w14:paraId="664B8796" w14:textId="77777777" w:rsidR="001C4923" w:rsidRPr="000E23A0" w:rsidRDefault="001C4923" w:rsidP="00BD1B21">
            <w:pPr>
              <w:pStyle w:val="NormalWeb"/>
              <w:spacing w:before="0" w:beforeAutospacing="0" w:after="0" w:afterAutospacing="0"/>
              <w:ind w:firstLine="720"/>
              <w:rPr>
                <w:sz w:val="22"/>
                <w:szCs w:val="22"/>
              </w:rPr>
            </w:pPr>
          </w:p>
        </w:tc>
      </w:tr>
      <w:tr w:rsidR="001C4923" w:rsidRPr="000E23A0" w14:paraId="6547412E" w14:textId="77777777" w:rsidTr="00BD1B21">
        <w:tc>
          <w:tcPr>
            <w:tcW w:w="6345" w:type="dxa"/>
          </w:tcPr>
          <w:p w14:paraId="07BD13BD" w14:textId="77777777" w:rsidR="001C4923" w:rsidRPr="000E23A0" w:rsidRDefault="001C4923" w:rsidP="00BD1B21">
            <w:pPr>
              <w:pStyle w:val="naiskr"/>
              <w:spacing w:before="0" w:after="0"/>
              <w:jc w:val="both"/>
              <w:rPr>
                <w:sz w:val="22"/>
                <w:szCs w:val="22"/>
              </w:rPr>
            </w:pPr>
            <w:r w:rsidRPr="000E23A0">
              <w:rPr>
                <w:sz w:val="22"/>
                <w:szCs w:val="22"/>
              </w:rPr>
              <w:t>Saskaņošanas dalībnieki</w:t>
            </w:r>
          </w:p>
        </w:tc>
        <w:tc>
          <w:tcPr>
            <w:tcW w:w="7967" w:type="dxa"/>
          </w:tcPr>
          <w:p w14:paraId="7BAADF59" w14:textId="508E4E89" w:rsidR="001C4923" w:rsidRPr="000E23A0" w:rsidRDefault="00E206AE" w:rsidP="00BD1B21">
            <w:pPr>
              <w:pStyle w:val="NormalWeb"/>
              <w:spacing w:before="0" w:beforeAutospacing="0" w:after="0" w:afterAutospacing="0"/>
              <w:ind w:right="29"/>
              <w:jc w:val="both"/>
              <w:rPr>
                <w:sz w:val="22"/>
                <w:szCs w:val="22"/>
              </w:rPr>
            </w:pPr>
            <w:r w:rsidRPr="000E23A0">
              <w:rPr>
                <w:sz w:val="22"/>
                <w:szCs w:val="22"/>
              </w:rPr>
              <w:t>Finanšu ministrija</w:t>
            </w:r>
            <w:r w:rsidR="00320DCC" w:rsidRPr="000E23A0">
              <w:rPr>
                <w:sz w:val="22"/>
                <w:szCs w:val="22"/>
              </w:rPr>
              <w:t>, Tieslietu ministrija</w:t>
            </w:r>
          </w:p>
        </w:tc>
      </w:tr>
    </w:tbl>
    <w:p w14:paraId="799C789E" w14:textId="77777777" w:rsidR="001C4923" w:rsidRPr="000E23A0" w:rsidRDefault="001C4923" w:rsidP="001C4923">
      <w:pPr>
        <w:jc w:val="both"/>
        <w:rPr>
          <w:sz w:val="22"/>
          <w:szCs w:val="22"/>
        </w:rPr>
      </w:pPr>
    </w:p>
    <w:tbl>
      <w:tblPr>
        <w:tblW w:w="16115" w:type="dxa"/>
        <w:tblLook w:val="00A0" w:firstRow="1" w:lastRow="0" w:firstColumn="1" w:lastColumn="0" w:noHBand="0" w:noVBand="0"/>
      </w:tblPr>
      <w:tblGrid>
        <w:gridCol w:w="6237"/>
        <w:gridCol w:w="8148"/>
        <w:gridCol w:w="1730"/>
      </w:tblGrid>
      <w:tr w:rsidR="000E23A0" w:rsidRPr="000E23A0" w14:paraId="6EA77BC5" w14:textId="77777777" w:rsidTr="000F5C24">
        <w:trPr>
          <w:trHeight w:val="285"/>
        </w:trPr>
        <w:tc>
          <w:tcPr>
            <w:tcW w:w="6237" w:type="dxa"/>
          </w:tcPr>
          <w:p w14:paraId="02CC4FB8" w14:textId="77777777" w:rsidR="001C4923" w:rsidRPr="000E23A0" w:rsidRDefault="001C4923" w:rsidP="00BD1B21">
            <w:pPr>
              <w:pStyle w:val="naiskr"/>
              <w:spacing w:before="0" w:after="0"/>
              <w:jc w:val="both"/>
              <w:rPr>
                <w:sz w:val="22"/>
                <w:szCs w:val="22"/>
              </w:rPr>
            </w:pPr>
            <w:r w:rsidRPr="000E23A0">
              <w:rPr>
                <w:sz w:val="22"/>
                <w:szCs w:val="22"/>
              </w:rPr>
              <w:t>Saskaņošanas dalībnieki izskatīja šādu ministriju (citu institūciju) iebildumus</w:t>
            </w:r>
          </w:p>
        </w:tc>
        <w:tc>
          <w:tcPr>
            <w:tcW w:w="9878" w:type="dxa"/>
            <w:gridSpan w:val="2"/>
          </w:tcPr>
          <w:p w14:paraId="731B054E" w14:textId="25286536" w:rsidR="001C4923" w:rsidRPr="000E23A0" w:rsidRDefault="000F5C24" w:rsidP="000F5C24">
            <w:pPr>
              <w:pStyle w:val="NormalWeb"/>
              <w:spacing w:before="0" w:beforeAutospacing="0" w:after="0" w:afterAutospacing="0"/>
              <w:ind w:right="29" w:firstLine="39"/>
              <w:jc w:val="both"/>
              <w:rPr>
                <w:sz w:val="22"/>
                <w:szCs w:val="22"/>
              </w:rPr>
            </w:pPr>
            <w:r w:rsidRPr="000E23A0">
              <w:rPr>
                <w:sz w:val="22"/>
                <w:szCs w:val="22"/>
              </w:rPr>
              <w:t>Finanšu ministrija</w:t>
            </w:r>
            <w:r w:rsidR="00320DCC" w:rsidRPr="000E23A0">
              <w:rPr>
                <w:sz w:val="22"/>
                <w:szCs w:val="22"/>
              </w:rPr>
              <w:t>, Tieslietu ministrija</w:t>
            </w:r>
          </w:p>
        </w:tc>
      </w:tr>
      <w:tr w:rsidR="000E23A0" w:rsidRPr="000E23A0" w14:paraId="1239A2E4" w14:textId="77777777" w:rsidTr="000F5C24">
        <w:trPr>
          <w:gridAfter w:val="1"/>
          <w:wAfter w:w="1732" w:type="dxa"/>
          <w:trHeight w:val="465"/>
        </w:trPr>
        <w:tc>
          <w:tcPr>
            <w:tcW w:w="14383" w:type="dxa"/>
            <w:gridSpan w:val="2"/>
          </w:tcPr>
          <w:p w14:paraId="2A441DD8" w14:textId="77777777" w:rsidR="001C4923" w:rsidRPr="000E23A0" w:rsidRDefault="001C4923" w:rsidP="00BD1B21">
            <w:pPr>
              <w:pStyle w:val="naisc"/>
              <w:spacing w:before="0" w:after="0"/>
              <w:jc w:val="left"/>
              <w:rPr>
                <w:sz w:val="22"/>
                <w:szCs w:val="22"/>
              </w:rPr>
            </w:pPr>
          </w:p>
        </w:tc>
      </w:tr>
      <w:tr w:rsidR="006B13BF" w:rsidRPr="000E23A0" w14:paraId="1D6987D3" w14:textId="77777777" w:rsidTr="000F5C24">
        <w:trPr>
          <w:gridAfter w:val="1"/>
          <w:wAfter w:w="1730" w:type="dxa"/>
        </w:trPr>
        <w:tc>
          <w:tcPr>
            <w:tcW w:w="6237" w:type="dxa"/>
          </w:tcPr>
          <w:p w14:paraId="482AB9E1" w14:textId="77777777" w:rsidR="001C4923" w:rsidRPr="000E23A0" w:rsidRDefault="001C4923" w:rsidP="00BD1B21">
            <w:pPr>
              <w:pStyle w:val="naiskr"/>
              <w:spacing w:before="0" w:after="0"/>
              <w:rPr>
                <w:sz w:val="22"/>
                <w:szCs w:val="22"/>
              </w:rPr>
            </w:pPr>
            <w:r w:rsidRPr="000E23A0">
              <w:rPr>
                <w:sz w:val="22"/>
                <w:szCs w:val="22"/>
              </w:rPr>
              <w:t>Ministrijas (citas institūcijas), kuras nav ieradušās uz sanāksmi vai kuras nav atbildējušas uz uzaicinājumu piedalīties elektroniskajā saskaņošanā</w:t>
            </w:r>
          </w:p>
        </w:tc>
        <w:tc>
          <w:tcPr>
            <w:tcW w:w="8148" w:type="dxa"/>
          </w:tcPr>
          <w:p w14:paraId="2A29B74B" w14:textId="77777777" w:rsidR="001C4923" w:rsidRPr="000E23A0" w:rsidRDefault="00932A43" w:rsidP="00BD1B21">
            <w:pPr>
              <w:pStyle w:val="naiskr"/>
              <w:spacing w:before="0" w:after="0"/>
              <w:ind w:left="244"/>
              <w:jc w:val="both"/>
              <w:rPr>
                <w:sz w:val="22"/>
                <w:szCs w:val="22"/>
              </w:rPr>
            </w:pPr>
            <w:r w:rsidRPr="000E23A0">
              <w:rPr>
                <w:sz w:val="22"/>
                <w:szCs w:val="22"/>
              </w:rPr>
              <w:t>Nav.</w:t>
            </w:r>
          </w:p>
        </w:tc>
      </w:tr>
    </w:tbl>
    <w:p w14:paraId="748C5961" w14:textId="77777777" w:rsidR="001C4923" w:rsidRPr="000E23A0" w:rsidRDefault="001C4923" w:rsidP="001C4923">
      <w:pPr>
        <w:pStyle w:val="naisf"/>
        <w:spacing w:before="0" w:after="0"/>
        <w:ind w:firstLine="720"/>
        <w:rPr>
          <w:sz w:val="22"/>
          <w:szCs w:val="22"/>
        </w:rPr>
      </w:pPr>
    </w:p>
    <w:p w14:paraId="474DD320" w14:textId="15C6D521" w:rsidR="001C4923" w:rsidRPr="000E23A0" w:rsidRDefault="001C4923" w:rsidP="001C4923">
      <w:pPr>
        <w:pStyle w:val="naisf"/>
        <w:spacing w:before="0" w:after="0"/>
        <w:ind w:firstLine="0"/>
        <w:jc w:val="center"/>
        <w:rPr>
          <w:b/>
          <w:sz w:val="22"/>
          <w:szCs w:val="22"/>
        </w:rPr>
      </w:pPr>
      <w:r w:rsidRPr="000E23A0">
        <w:rPr>
          <w:b/>
          <w:sz w:val="22"/>
          <w:szCs w:val="22"/>
        </w:rPr>
        <w:t>II. Jautājumi, par kuriem saskaņošanā vienošanās ir panākta</w:t>
      </w:r>
    </w:p>
    <w:p w14:paraId="07EB2111" w14:textId="626046FD" w:rsidR="00D67795" w:rsidRPr="000E23A0" w:rsidRDefault="00D67795" w:rsidP="001C4923">
      <w:pPr>
        <w:pStyle w:val="naisf"/>
        <w:spacing w:before="0" w:after="0"/>
        <w:ind w:firstLine="0"/>
        <w:jc w:val="center"/>
        <w:rPr>
          <w:b/>
          <w:sz w:val="22"/>
          <w:szCs w:val="22"/>
        </w:rPr>
      </w:pPr>
    </w:p>
    <w:tbl>
      <w:tblPr>
        <w:tblpPr w:leftFromText="180" w:rightFromText="180" w:vertAnchor="text" w:tblpX="-24" w:tblpY="1"/>
        <w:tblOverlap w:val="neve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3845"/>
        <w:gridCol w:w="4394"/>
        <w:gridCol w:w="2835"/>
      </w:tblGrid>
      <w:tr w:rsidR="000E23A0" w:rsidRPr="000E23A0" w14:paraId="277FE77F" w14:textId="77777777" w:rsidTr="00AC3FB0">
        <w:tc>
          <w:tcPr>
            <w:tcW w:w="716" w:type="dxa"/>
            <w:tcBorders>
              <w:top w:val="single" w:sz="6" w:space="0" w:color="000000"/>
              <w:left w:val="single" w:sz="6" w:space="0" w:color="000000"/>
              <w:bottom w:val="single" w:sz="6" w:space="0" w:color="000000"/>
              <w:right w:val="single" w:sz="6" w:space="0" w:color="000000"/>
            </w:tcBorders>
            <w:vAlign w:val="center"/>
          </w:tcPr>
          <w:p w14:paraId="15B98BE9" w14:textId="77777777" w:rsidR="00D67795" w:rsidRPr="000E23A0" w:rsidRDefault="00D67795" w:rsidP="00BD1B21">
            <w:pPr>
              <w:pStyle w:val="naisc"/>
              <w:spacing w:before="0" w:after="0"/>
              <w:rPr>
                <w:sz w:val="22"/>
                <w:szCs w:val="22"/>
              </w:rPr>
            </w:pPr>
            <w:r w:rsidRPr="000E23A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A391ED9" w14:textId="77777777" w:rsidR="00D67795" w:rsidRPr="000E23A0" w:rsidRDefault="00D67795" w:rsidP="00BD1B21">
            <w:pPr>
              <w:pStyle w:val="naisc"/>
              <w:spacing w:before="0" w:after="0"/>
              <w:ind w:firstLine="12"/>
              <w:rPr>
                <w:sz w:val="22"/>
                <w:szCs w:val="22"/>
              </w:rPr>
            </w:pPr>
            <w:r w:rsidRPr="000E23A0">
              <w:rPr>
                <w:sz w:val="22"/>
                <w:szCs w:val="22"/>
              </w:rPr>
              <w:t>Saskaņošanai nosūtītā projekta redakcija (konkrēta punkta (panta) redakcija)</w:t>
            </w:r>
          </w:p>
        </w:tc>
        <w:tc>
          <w:tcPr>
            <w:tcW w:w="3845" w:type="dxa"/>
            <w:tcBorders>
              <w:top w:val="single" w:sz="6" w:space="0" w:color="000000"/>
              <w:left w:val="single" w:sz="6" w:space="0" w:color="000000"/>
              <w:bottom w:val="single" w:sz="6" w:space="0" w:color="000000"/>
              <w:right w:val="single" w:sz="6" w:space="0" w:color="000000"/>
            </w:tcBorders>
            <w:vAlign w:val="center"/>
          </w:tcPr>
          <w:p w14:paraId="4C611CF5" w14:textId="77777777" w:rsidR="00D67795" w:rsidRPr="000E23A0" w:rsidRDefault="00D67795" w:rsidP="00BD1B21">
            <w:pPr>
              <w:pStyle w:val="naisc"/>
              <w:spacing w:before="0" w:after="0"/>
              <w:ind w:right="3"/>
              <w:rPr>
                <w:sz w:val="22"/>
                <w:szCs w:val="22"/>
              </w:rPr>
            </w:pPr>
            <w:r w:rsidRPr="000E23A0">
              <w:rPr>
                <w:sz w:val="22"/>
                <w:szCs w:val="22"/>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tcPr>
          <w:p w14:paraId="44A0D0B3" w14:textId="77777777" w:rsidR="00D67795" w:rsidRPr="000E23A0" w:rsidRDefault="00D67795" w:rsidP="00BD1B21">
            <w:pPr>
              <w:pStyle w:val="naisc"/>
              <w:spacing w:before="0" w:after="0"/>
              <w:ind w:firstLine="21"/>
              <w:rPr>
                <w:sz w:val="22"/>
                <w:szCs w:val="22"/>
              </w:rPr>
            </w:pPr>
            <w:r w:rsidRPr="000E23A0">
              <w:rPr>
                <w:sz w:val="22"/>
                <w:szCs w:val="22"/>
              </w:rPr>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tcBorders>
            <w:vAlign w:val="center"/>
          </w:tcPr>
          <w:p w14:paraId="687339DE" w14:textId="77777777" w:rsidR="00D67795" w:rsidRPr="000E23A0" w:rsidRDefault="00D67795" w:rsidP="00BD1B21">
            <w:pPr>
              <w:jc w:val="center"/>
              <w:rPr>
                <w:sz w:val="22"/>
                <w:szCs w:val="22"/>
              </w:rPr>
            </w:pPr>
            <w:r w:rsidRPr="000E23A0">
              <w:rPr>
                <w:sz w:val="22"/>
                <w:szCs w:val="22"/>
              </w:rPr>
              <w:t>Projekta attiecīgā punkta (panta) galīgā redakcija</w:t>
            </w:r>
          </w:p>
        </w:tc>
      </w:tr>
      <w:tr w:rsidR="000E23A0" w:rsidRPr="000E23A0" w14:paraId="2C001296" w14:textId="77777777" w:rsidTr="00AC3FB0">
        <w:tc>
          <w:tcPr>
            <w:tcW w:w="716" w:type="dxa"/>
            <w:tcBorders>
              <w:top w:val="single" w:sz="6" w:space="0" w:color="000000"/>
              <w:left w:val="single" w:sz="6" w:space="0" w:color="000000"/>
              <w:bottom w:val="single" w:sz="6" w:space="0" w:color="000000"/>
              <w:right w:val="single" w:sz="6" w:space="0" w:color="000000"/>
            </w:tcBorders>
          </w:tcPr>
          <w:p w14:paraId="70E0B18D" w14:textId="77777777" w:rsidR="00D67795" w:rsidRPr="000E23A0" w:rsidRDefault="00D67795" w:rsidP="00BD1B21">
            <w:pPr>
              <w:pStyle w:val="naisc"/>
              <w:spacing w:before="0" w:after="0"/>
              <w:rPr>
                <w:sz w:val="22"/>
                <w:szCs w:val="22"/>
              </w:rPr>
            </w:pPr>
            <w:r w:rsidRPr="000E23A0">
              <w:rPr>
                <w:sz w:val="22"/>
                <w:szCs w:val="22"/>
              </w:rPr>
              <w:t>1</w:t>
            </w:r>
          </w:p>
        </w:tc>
        <w:tc>
          <w:tcPr>
            <w:tcW w:w="3086" w:type="dxa"/>
            <w:tcBorders>
              <w:top w:val="single" w:sz="6" w:space="0" w:color="000000"/>
              <w:left w:val="single" w:sz="6" w:space="0" w:color="000000"/>
              <w:bottom w:val="single" w:sz="4" w:space="0" w:color="auto"/>
              <w:right w:val="single" w:sz="6" w:space="0" w:color="000000"/>
            </w:tcBorders>
          </w:tcPr>
          <w:p w14:paraId="770853D3" w14:textId="77777777" w:rsidR="00D67795" w:rsidRPr="000E23A0" w:rsidRDefault="00D67795" w:rsidP="00BD1B21">
            <w:pPr>
              <w:pStyle w:val="naisc"/>
              <w:spacing w:before="0" w:after="0"/>
              <w:rPr>
                <w:sz w:val="22"/>
                <w:szCs w:val="22"/>
              </w:rPr>
            </w:pPr>
            <w:r w:rsidRPr="000E23A0">
              <w:rPr>
                <w:sz w:val="22"/>
                <w:szCs w:val="22"/>
              </w:rPr>
              <w:t>2</w:t>
            </w:r>
          </w:p>
        </w:tc>
        <w:tc>
          <w:tcPr>
            <w:tcW w:w="3845" w:type="dxa"/>
            <w:tcBorders>
              <w:top w:val="single" w:sz="6" w:space="0" w:color="000000"/>
              <w:left w:val="single" w:sz="6" w:space="0" w:color="000000"/>
              <w:bottom w:val="single" w:sz="6" w:space="0" w:color="000000"/>
              <w:right w:val="single" w:sz="6" w:space="0" w:color="000000"/>
            </w:tcBorders>
          </w:tcPr>
          <w:p w14:paraId="1584AB2F" w14:textId="77777777" w:rsidR="00D67795" w:rsidRPr="000E23A0" w:rsidRDefault="00D67795" w:rsidP="00BD1B21">
            <w:pPr>
              <w:pStyle w:val="naisc"/>
              <w:spacing w:before="0" w:after="0"/>
              <w:rPr>
                <w:sz w:val="22"/>
                <w:szCs w:val="22"/>
              </w:rPr>
            </w:pPr>
            <w:r w:rsidRPr="000E23A0">
              <w:rPr>
                <w:sz w:val="22"/>
                <w:szCs w:val="22"/>
              </w:rPr>
              <w:t>3</w:t>
            </w:r>
          </w:p>
        </w:tc>
        <w:tc>
          <w:tcPr>
            <w:tcW w:w="4394" w:type="dxa"/>
            <w:tcBorders>
              <w:top w:val="single" w:sz="6" w:space="0" w:color="000000"/>
              <w:left w:val="single" w:sz="6" w:space="0" w:color="000000"/>
              <w:bottom w:val="single" w:sz="6" w:space="0" w:color="000000"/>
              <w:right w:val="single" w:sz="6" w:space="0" w:color="000000"/>
            </w:tcBorders>
          </w:tcPr>
          <w:p w14:paraId="1DA7E259" w14:textId="77777777" w:rsidR="00D67795" w:rsidRPr="000E23A0" w:rsidRDefault="00D67795" w:rsidP="00BD1B21">
            <w:pPr>
              <w:pStyle w:val="naisc"/>
              <w:spacing w:before="0" w:after="0"/>
              <w:rPr>
                <w:sz w:val="22"/>
                <w:szCs w:val="22"/>
              </w:rPr>
            </w:pPr>
            <w:r w:rsidRPr="000E23A0">
              <w:rPr>
                <w:sz w:val="22"/>
                <w:szCs w:val="22"/>
              </w:rPr>
              <w:t>4</w:t>
            </w:r>
          </w:p>
        </w:tc>
        <w:tc>
          <w:tcPr>
            <w:tcW w:w="2835" w:type="dxa"/>
            <w:tcBorders>
              <w:top w:val="single" w:sz="4" w:space="0" w:color="auto"/>
              <w:left w:val="single" w:sz="4" w:space="0" w:color="auto"/>
              <w:bottom w:val="single" w:sz="4" w:space="0" w:color="auto"/>
            </w:tcBorders>
          </w:tcPr>
          <w:p w14:paraId="4CA3339E" w14:textId="77777777" w:rsidR="00D67795" w:rsidRPr="000E23A0" w:rsidRDefault="00D67795" w:rsidP="00BD1B21">
            <w:pPr>
              <w:jc w:val="center"/>
              <w:rPr>
                <w:sz w:val="22"/>
                <w:szCs w:val="22"/>
              </w:rPr>
            </w:pPr>
            <w:r w:rsidRPr="000E23A0">
              <w:rPr>
                <w:sz w:val="22"/>
                <w:szCs w:val="22"/>
              </w:rPr>
              <w:t>5</w:t>
            </w:r>
          </w:p>
        </w:tc>
      </w:tr>
      <w:tr w:rsidR="000E23A0" w:rsidRPr="000E23A0" w14:paraId="36932C12" w14:textId="77777777" w:rsidTr="00AC3FB0">
        <w:tc>
          <w:tcPr>
            <w:tcW w:w="716" w:type="dxa"/>
            <w:tcBorders>
              <w:left w:val="single" w:sz="6" w:space="0" w:color="000000"/>
              <w:bottom w:val="single" w:sz="4" w:space="0" w:color="000000"/>
              <w:right w:val="single" w:sz="4" w:space="0" w:color="auto"/>
            </w:tcBorders>
          </w:tcPr>
          <w:p w14:paraId="6057B38C" w14:textId="77777777" w:rsidR="00D67795" w:rsidRPr="000E23A0" w:rsidRDefault="00D67795"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3FBB683E" w14:textId="0579E5DB" w:rsidR="001C26B9" w:rsidRPr="000E23A0" w:rsidRDefault="000E1302" w:rsidP="001C26B9">
            <w:pPr>
              <w:pStyle w:val="naisc"/>
              <w:spacing w:before="0" w:after="0"/>
              <w:jc w:val="both"/>
              <w:rPr>
                <w:b/>
                <w:sz w:val="22"/>
                <w:szCs w:val="22"/>
              </w:rPr>
            </w:pPr>
            <w:r w:rsidRPr="000E23A0">
              <w:rPr>
                <w:b/>
                <w:sz w:val="22"/>
                <w:szCs w:val="22"/>
              </w:rPr>
              <w:t>MK n</w:t>
            </w:r>
            <w:r w:rsidR="001C26B9" w:rsidRPr="000E23A0">
              <w:rPr>
                <w:b/>
                <w:sz w:val="22"/>
                <w:szCs w:val="22"/>
              </w:rPr>
              <w:t xml:space="preserve">oteikumu projekta </w:t>
            </w:r>
            <w:r w:rsidR="00CD3082" w:rsidRPr="000E23A0">
              <w:rPr>
                <w:b/>
                <w:sz w:val="22"/>
                <w:szCs w:val="22"/>
              </w:rPr>
              <w:t>1</w:t>
            </w:r>
            <w:r w:rsidR="001C26B9" w:rsidRPr="000E23A0">
              <w:rPr>
                <w:b/>
                <w:sz w:val="22"/>
                <w:szCs w:val="22"/>
              </w:rPr>
              <w:t>.</w:t>
            </w:r>
            <w:r w:rsidR="00CD3082" w:rsidRPr="000E23A0">
              <w:rPr>
                <w:b/>
                <w:sz w:val="22"/>
                <w:szCs w:val="22"/>
              </w:rPr>
              <w:t xml:space="preserve"> un 2.</w:t>
            </w:r>
            <w:r w:rsidR="001C26B9" w:rsidRPr="000E23A0">
              <w:rPr>
                <w:b/>
                <w:sz w:val="22"/>
                <w:szCs w:val="22"/>
              </w:rPr>
              <w:t>punkts:</w:t>
            </w:r>
          </w:p>
          <w:p w14:paraId="04FE7890" w14:textId="6228F817" w:rsidR="00CD3082" w:rsidRPr="000E23A0" w:rsidRDefault="00280CD1" w:rsidP="00CD3082">
            <w:pPr>
              <w:pStyle w:val="naisc"/>
              <w:jc w:val="both"/>
              <w:rPr>
                <w:sz w:val="22"/>
                <w:szCs w:val="22"/>
              </w:rPr>
            </w:pPr>
            <w:r w:rsidRPr="000E23A0">
              <w:rPr>
                <w:sz w:val="22"/>
                <w:szCs w:val="22"/>
              </w:rPr>
              <w:t>“</w:t>
            </w:r>
            <w:r w:rsidR="00CD3082" w:rsidRPr="000E23A0">
              <w:rPr>
                <w:sz w:val="22"/>
                <w:szCs w:val="22"/>
              </w:rPr>
              <w:t xml:space="preserve"> 1.</w:t>
            </w:r>
            <w:r w:rsidR="00CD3082" w:rsidRPr="000E23A0">
              <w:rPr>
                <w:sz w:val="22"/>
                <w:szCs w:val="22"/>
              </w:rPr>
              <w:tab/>
              <w:t>Izteikt 9.punkta ievaddaļu šādā redakcijā:</w:t>
            </w:r>
          </w:p>
          <w:p w14:paraId="3163EE1A" w14:textId="77777777" w:rsidR="00CD3082" w:rsidRPr="000E23A0" w:rsidRDefault="00CD3082" w:rsidP="00CD3082">
            <w:pPr>
              <w:pStyle w:val="naisc"/>
              <w:jc w:val="both"/>
              <w:rPr>
                <w:sz w:val="22"/>
                <w:szCs w:val="22"/>
              </w:rPr>
            </w:pPr>
          </w:p>
          <w:p w14:paraId="61B2215A" w14:textId="77777777" w:rsidR="00CD3082" w:rsidRPr="000E23A0" w:rsidRDefault="00CD3082" w:rsidP="00CD3082">
            <w:pPr>
              <w:pStyle w:val="naisc"/>
              <w:jc w:val="both"/>
              <w:rPr>
                <w:sz w:val="22"/>
                <w:szCs w:val="22"/>
              </w:rPr>
            </w:pPr>
            <w:r w:rsidRPr="000E23A0">
              <w:rPr>
                <w:sz w:val="22"/>
                <w:szCs w:val="22"/>
              </w:rPr>
              <w:t xml:space="preserve">"9. Pieejamais kopējais attiecināmais finansējums līgumam par projekta īstenošanu un finansēšanas nolīgumam ir 166 462 726 </w:t>
            </w:r>
            <w:proofErr w:type="spellStart"/>
            <w:r w:rsidRPr="000E23A0">
              <w:rPr>
                <w:sz w:val="22"/>
                <w:szCs w:val="22"/>
              </w:rPr>
              <w:t>euro</w:t>
            </w:r>
            <w:proofErr w:type="spellEnd"/>
            <w:r w:rsidRPr="000E23A0">
              <w:rPr>
                <w:sz w:val="22"/>
                <w:szCs w:val="22"/>
              </w:rPr>
              <w:t xml:space="preserve">, ieskaitot Eiropas Reģionālās attīstības fonda finansējumu – 141 493 317 </w:t>
            </w:r>
            <w:proofErr w:type="spellStart"/>
            <w:r w:rsidRPr="000E23A0">
              <w:rPr>
                <w:sz w:val="22"/>
                <w:szCs w:val="22"/>
              </w:rPr>
              <w:t>euro</w:t>
            </w:r>
            <w:proofErr w:type="spellEnd"/>
            <w:r w:rsidRPr="000E23A0">
              <w:rPr>
                <w:sz w:val="22"/>
                <w:szCs w:val="22"/>
              </w:rPr>
              <w:t xml:space="preserve"> – un valsts budžeta finansējumu – 24 969 409 </w:t>
            </w:r>
            <w:proofErr w:type="spellStart"/>
            <w:r w:rsidRPr="000E23A0">
              <w:rPr>
                <w:sz w:val="22"/>
                <w:szCs w:val="22"/>
              </w:rPr>
              <w:t>euro</w:t>
            </w:r>
            <w:proofErr w:type="spellEnd"/>
            <w:r w:rsidRPr="000E23A0">
              <w:rPr>
                <w:sz w:val="22"/>
                <w:szCs w:val="22"/>
              </w:rPr>
              <w:t>. Maksimālais attiecināmais Eiropas Reģionālās attīstības fonda finansējuma apmērs ir 85 % no pieejamā kopējā attiecināmā finansējuma, tai skaitā:"</w:t>
            </w:r>
          </w:p>
          <w:p w14:paraId="09B66598" w14:textId="77777777" w:rsidR="00CD3082" w:rsidRPr="000E23A0" w:rsidRDefault="00CD3082" w:rsidP="00CD3082">
            <w:pPr>
              <w:pStyle w:val="naisc"/>
              <w:jc w:val="both"/>
              <w:rPr>
                <w:sz w:val="22"/>
                <w:szCs w:val="22"/>
              </w:rPr>
            </w:pPr>
          </w:p>
          <w:p w14:paraId="05457AD3" w14:textId="35644146" w:rsidR="0024580E" w:rsidRPr="000E23A0" w:rsidRDefault="00CD3082" w:rsidP="00CD3082">
            <w:pPr>
              <w:pStyle w:val="naisc"/>
              <w:jc w:val="both"/>
              <w:rPr>
                <w:sz w:val="22"/>
                <w:szCs w:val="22"/>
              </w:rPr>
            </w:pPr>
            <w:r w:rsidRPr="000E23A0">
              <w:rPr>
                <w:sz w:val="22"/>
                <w:szCs w:val="22"/>
              </w:rPr>
              <w:t>"2.</w:t>
            </w:r>
            <w:r w:rsidRPr="000E23A0">
              <w:rPr>
                <w:sz w:val="22"/>
                <w:szCs w:val="22"/>
              </w:rPr>
              <w:tab/>
              <w:t>Svītrot 10. punktu."</w:t>
            </w:r>
          </w:p>
          <w:p w14:paraId="62E55DD3" w14:textId="77777777" w:rsidR="00D67795" w:rsidRPr="000E23A0" w:rsidRDefault="00D67795" w:rsidP="00CD3082">
            <w:pPr>
              <w:pStyle w:val="naisc"/>
              <w:jc w:val="both"/>
              <w:rPr>
                <w:sz w:val="22"/>
                <w:szCs w:val="22"/>
              </w:rPr>
            </w:pPr>
          </w:p>
          <w:p w14:paraId="1F8FEDD5" w14:textId="090A1572" w:rsidR="00CD3082" w:rsidRPr="000E23A0" w:rsidRDefault="00CD3082" w:rsidP="00CD3082">
            <w:pPr>
              <w:pStyle w:val="naisc"/>
              <w:jc w:val="both"/>
              <w:rPr>
                <w:b/>
                <w:sz w:val="22"/>
                <w:szCs w:val="22"/>
              </w:rPr>
            </w:pPr>
          </w:p>
        </w:tc>
        <w:tc>
          <w:tcPr>
            <w:tcW w:w="3845" w:type="dxa"/>
            <w:tcBorders>
              <w:left w:val="single" w:sz="4" w:space="0" w:color="auto"/>
              <w:bottom w:val="single" w:sz="4" w:space="0" w:color="000000"/>
              <w:right w:val="single" w:sz="6" w:space="0" w:color="000000"/>
            </w:tcBorders>
          </w:tcPr>
          <w:p w14:paraId="00382B7C" w14:textId="4DA1BAD8" w:rsidR="001C26B9" w:rsidRPr="000E23A0" w:rsidRDefault="001C26B9" w:rsidP="001C26B9">
            <w:pPr>
              <w:pStyle w:val="naisc"/>
              <w:spacing w:before="0" w:after="0"/>
              <w:jc w:val="both"/>
              <w:rPr>
                <w:b/>
                <w:sz w:val="22"/>
                <w:szCs w:val="22"/>
              </w:rPr>
            </w:pPr>
            <w:r w:rsidRPr="000E23A0">
              <w:rPr>
                <w:b/>
                <w:sz w:val="22"/>
                <w:szCs w:val="22"/>
              </w:rPr>
              <w:lastRenderedPageBreak/>
              <w:t xml:space="preserve">Finanšu ministrijas </w:t>
            </w:r>
            <w:r w:rsidR="00CD3082" w:rsidRPr="000E23A0">
              <w:rPr>
                <w:b/>
                <w:sz w:val="22"/>
                <w:szCs w:val="22"/>
              </w:rPr>
              <w:t>27</w:t>
            </w:r>
            <w:r w:rsidRPr="000E23A0">
              <w:rPr>
                <w:b/>
                <w:sz w:val="22"/>
                <w:szCs w:val="22"/>
              </w:rPr>
              <w:t>.0</w:t>
            </w:r>
            <w:r w:rsidR="00CD3082" w:rsidRPr="000E23A0">
              <w:rPr>
                <w:b/>
                <w:sz w:val="22"/>
                <w:szCs w:val="22"/>
              </w:rPr>
              <w:t>9</w:t>
            </w:r>
            <w:r w:rsidRPr="000E23A0">
              <w:rPr>
                <w:b/>
                <w:sz w:val="22"/>
                <w:szCs w:val="22"/>
              </w:rPr>
              <w:t xml:space="preserve">.2019. </w:t>
            </w:r>
            <w:r w:rsidR="00D353C9" w:rsidRPr="000E23A0">
              <w:rPr>
                <w:b/>
                <w:sz w:val="22"/>
                <w:szCs w:val="22"/>
              </w:rPr>
              <w:t>1</w:t>
            </w:r>
            <w:r w:rsidRPr="000E23A0">
              <w:rPr>
                <w:b/>
                <w:sz w:val="22"/>
                <w:szCs w:val="22"/>
              </w:rPr>
              <w:t>.iebildums:</w:t>
            </w:r>
          </w:p>
          <w:p w14:paraId="0EBC06DD" w14:textId="76015183" w:rsidR="001C26B9" w:rsidRPr="000E23A0" w:rsidRDefault="001C26B9" w:rsidP="001C26B9">
            <w:pPr>
              <w:ind w:right="3"/>
              <w:jc w:val="both"/>
              <w:rPr>
                <w:sz w:val="22"/>
                <w:szCs w:val="22"/>
              </w:rPr>
            </w:pPr>
            <w:r w:rsidRPr="000E23A0">
              <w:rPr>
                <w:sz w:val="22"/>
                <w:szCs w:val="22"/>
              </w:rPr>
              <w:t>“</w:t>
            </w:r>
            <w:r w:rsidR="00CD3082" w:rsidRPr="000E23A0">
              <w:rPr>
                <w:sz w:val="22"/>
                <w:szCs w:val="22"/>
              </w:rPr>
              <w:t xml:space="preserve">Vēršam uzmanību, ka 4.2.1.1.pasākuma “Veicināt energoefektivitātes </w:t>
            </w:r>
            <w:r w:rsidR="00CD3082" w:rsidRPr="000E23A0">
              <w:rPr>
                <w:sz w:val="22"/>
                <w:szCs w:val="22"/>
              </w:rPr>
              <w:lastRenderedPageBreak/>
              <w:t>paaugstināšanu dzīvojamās ēkās” snieguma ietvara rezerves finansējumu varēs atbrīvot tikai pēc Ministru kabineta lēmuma par Finanšu ministrijas informatīvā ziņojuma par darbības programmas “Izaugsme un nodarbinātība” snieguma ietvara rezerves finansējuma izlietojumu</w:t>
            </w:r>
            <w:r w:rsidR="00D353C9" w:rsidRPr="000E23A0">
              <w:rPr>
                <w:rStyle w:val="FootnoteReference"/>
                <w:sz w:val="22"/>
                <w:szCs w:val="22"/>
              </w:rPr>
              <w:footnoteReference w:id="1"/>
            </w:r>
            <w:r w:rsidR="00CD3082" w:rsidRPr="000E23A0">
              <w:rPr>
                <w:sz w:val="22"/>
                <w:szCs w:val="22"/>
              </w:rPr>
              <w:t xml:space="preserve"> apstiprināšanu. Attiecīgi šobrīd noteikumu projekta 1. un 2.punkta turpmāka virzība nav atbalstāma</w:t>
            </w:r>
            <w:r w:rsidRPr="000E23A0">
              <w:rPr>
                <w:sz w:val="22"/>
                <w:szCs w:val="22"/>
              </w:rPr>
              <w:t>.”</w:t>
            </w:r>
          </w:p>
          <w:p w14:paraId="7B184CF4" w14:textId="5FD1CD40" w:rsidR="00D67795" w:rsidRPr="000E23A0" w:rsidRDefault="00D67795" w:rsidP="001C26B9">
            <w:pPr>
              <w:widowControl w:val="0"/>
              <w:tabs>
                <w:tab w:val="left" w:pos="993"/>
              </w:tabs>
              <w:ind w:right="3"/>
              <w:jc w:val="both"/>
              <w:rPr>
                <w:sz w:val="22"/>
                <w:szCs w:val="22"/>
              </w:rPr>
            </w:pPr>
          </w:p>
        </w:tc>
        <w:tc>
          <w:tcPr>
            <w:tcW w:w="4394" w:type="dxa"/>
            <w:tcBorders>
              <w:left w:val="single" w:sz="6" w:space="0" w:color="000000"/>
              <w:bottom w:val="single" w:sz="4" w:space="0" w:color="000000"/>
              <w:right w:val="single" w:sz="6" w:space="0" w:color="000000"/>
            </w:tcBorders>
          </w:tcPr>
          <w:p w14:paraId="221A2814" w14:textId="26B77CF2" w:rsidR="00653F87" w:rsidRPr="000E23A0" w:rsidRDefault="00CD3082" w:rsidP="00CD3082">
            <w:pPr>
              <w:pStyle w:val="naisc"/>
              <w:spacing w:before="0" w:after="0"/>
              <w:rPr>
                <w:b/>
                <w:sz w:val="22"/>
                <w:szCs w:val="22"/>
              </w:rPr>
            </w:pPr>
            <w:r w:rsidRPr="000E23A0">
              <w:rPr>
                <w:b/>
                <w:sz w:val="22"/>
                <w:szCs w:val="22"/>
              </w:rPr>
              <w:lastRenderedPageBreak/>
              <w:t>Ņemts vērā</w:t>
            </w:r>
          </w:p>
        </w:tc>
        <w:tc>
          <w:tcPr>
            <w:tcW w:w="2835" w:type="dxa"/>
            <w:tcBorders>
              <w:top w:val="single" w:sz="4" w:space="0" w:color="auto"/>
              <w:left w:val="single" w:sz="4" w:space="0" w:color="auto"/>
              <w:bottom w:val="single" w:sz="4" w:space="0" w:color="000000"/>
            </w:tcBorders>
          </w:tcPr>
          <w:p w14:paraId="608056EA" w14:textId="301BB381" w:rsidR="00D67795" w:rsidRPr="000E23A0" w:rsidRDefault="000E1302" w:rsidP="00BD1B21">
            <w:pPr>
              <w:jc w:val="both"/>
              <w:rPr>
                <w:sz w:val="22"/>
                <w:szCs w:val="22"/>
              </w:rPr>
            </w:pPr>
            <w:r w:rsidRPr="000E23A0">
              <w:rPr>
                <w:sz w:val="22"/>
                <w:szCs w:val="22"/>
              </w:rPr>
              <w:t xml:space="preserve">Skatīt </w:t>
            </w:r>
            <w:r w:rsidR="00CA7EAC" w:rsidRPr="000E23A0">
              <w:rPr>
                <w:sz w:val="22"/>
                <w:szCs w:val="22"/>
              </w:rPr>
              <w:t>MK n</w:t>
            </w:r>
            <w:r w:rsidRPr="000E23A0">
              <w:rPr>
                <w:sz w:val="22"/>
                <w:szCs w:val="22"/>
              </w:rPr>
              <w:t>oteikumu projekta precizēto redakciju</w:t>
            </w:r>
            <w:r w:rsidR="00114A41" w:rsidRPr="000E23A0">
              <w:rPr>
                <w:sz w:val="22"/>
                <w:szCs w:val="22"/>
              </w:rPr>
              <w:t>.</w:t>
            </w:r>
          </w:p>
        </w:tc>
      </w:tr>
      <w:tr w:rsidR="000E23A0" w:rsidRPr="000E23A0" w14:paraId="16B1BCBA" w14:textId="77777777" w:rsidTr="00AC3FB0">
        <w:tc>
          <w:tcPr>
            <w:tcW w:w="716" w:type="dxa"/>
            <w:tcBorders>
              <w:left w:val="single" w:sz="6" w:space="0" w:color="000000"/>
              <w:bottom w:val="single" w:sz="4" w:space="0" w:color="000000"/>
              <w:right w:val="single" w:sz="4" w:space="0" w:color="auto"/>
            </w:tcBorders>
          </w:tcPr>
          <w:p w14:paraId="2F713BE1" w14:textId="77777777" w:rsidR="00D628C8" w:rsidRPr="000E23A0" w:rsidRDefault="00D628C8" w:rsidP="00BD1B21">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4648C33D" w14:textId="77777777" w:rsidR="00D628C8" w:rsidRPr="000E23A0" w:rsidRDefault="00D628C8" w:rsidP="00D628C8">
            <w:pPr>
              <w:pStyle w:val="naisc"/>
              <w:spacing w:before="0" w:after="0"/>
              <w:jc w:val="both"/>
              <w:rPr>
                <w:b/>
                <w:sz w:val="22"/>
                <w:szCs w:val="22"/>
              </w:rPr>
            </w:pPr>
            <w:r w:rsidRPr="000E23A0">
              <w:rPr>
                <w:b/>
                <w:sz w:val="22"/>
                <w:szCs w:val="22"/>
              </w:rPr>
              <w:t>MK noteikumu projekta 1. un 2.punkts:</w:t>
            </w:r>
          </w:p>
          <w:p w14:paraId="7076E27C" w14:textId="77777777" w:rsidR="00D628C8" w:rsidRPr="000E23A0" w:rsidRDefault="00D628C8" w:rsidP="00D628C8">
            <w:pPr>
              <w:pStyle w:val="naisc"/>
              <w:jc w:val="both"/>
              <w:rPr>
                <w:sz w:val="22"/>
                <w:szCs w:val="22"/>
              </w:rPr>
            </w:pPr>
            <w:r w:rsidRPr="000E23A0">
              <w:rPr>
                <w:sz w:val="22"/>
                <w:szCs w:val="22"/>
              </w:rPr>
              <w:t>“ 1.</w:t>
            </w:r>
            <w:r w:rsidRPr="000E23A0">
              <w:rPr>
                <w:sz w:val="22"/>
                <w:szCs w:val="22"/>
              </w:rPr>
              <w:tab/>
              <w:t>Izteikt 9.punkta ievaddaļu šādā redakcijā:</w:t>
            </w:r>
          </w:p>
          <w:p w14:paraId="1BDB9B65" w14:textId="77777777" w:rsidR="00D628C8" w:rsidRPr="000E23A0" w:rsidRDefault="00D628C8" w:rsidP="00D628C8">
            <w:pPr>
              <w:pStyle w:val="naisc"/>
              <w:jc w:val="both"/>
              <w:rPr>
                <w:sz w:val="22"/>
                <w:szCs w:val="22"/>
              </w:rPr>
            </w:pPr>
          </w:p>
          <w:p w14:paraId="52E53E58" w14:textId="77777777" w:rsidR="00D628C8" w:rsidRPr="000E23A0" w:rsidRDefault="00D628C8" w:rsidP="00D628C8">
            <w:pPr>
              <w:pStyle w:val="naisc"/>
              <w:jc w:val="both"/>
              <w:rPr>
                <w:sz w:val="22"/>
                <w:szCs w:val="22"/>
              </w:rPr>
            </w:pPr>
            <w:r w:rsidRPr="000E23A0">
              <w:rPr>
                <w:sz w:val="22"/>
                <w:szCs w:val="22"/>
              </w:rPr>
              <w:t xml:space="preserve">"9. Pieejamais kopējais attiecināmais finansējums līgumam par projekta īstenošanu un finansēšanas nolīgumam ir 166 462 726 </w:t>
            </w:r>
            <w:proofErr w:type="spellStart"/>
            <w:r w:rsidRPr="000E23A0">
              <w:rPr>
                <w:sz w:val="22"/>
                <w:szCs w:val="22"/>
              </w:rPr>
              <w:t>euro</w:t>
            </w:r>
            <w:proofErr w:type="spellEnd"/>
            <w:r w:rsidRPr="000E23A0">
              <w:rPr>
                <w:sz w:val="22"/>
                <w:szCs w:val="22"/>
              </w:rPr>
              <w:t xml:space="preserve">, ieskaitot </w:t>
            </w:r>
            <w:r w:rsidRPr="000E23A0">
              <w:rPr>
                <w:sz w:val="22"/>
                <w:szCs w:val="22"/>
              </w:rPr>
              <w:lastRenderedPageBreak/>
              <w:t xml:space="preserve">Eiropas Reģionālās attīstības fonda finansējumu – 141 493 317 </w:t>
            </w:r>
            <w:proofErr w:type="spellStart"/>
            <w:r w:rsidRPr="000E23A0">
              <w:rPr>
                <w:sz w:val="22"/>
                <w:szCs w:val="22"/>
              </w:rPr>
              <w:t>euro</w:t>
            </w:r>
            <w:proofErr w:type="spellEnd"/>
            <w:r w:rsidRPr="000E23A0">
              <w:rPr>
                <w:sz w:val="22"/>
                <w:szCs w:val="22"/>
              </w:rPr>
              <w:t xml:space="preserve"> – un valsts budžeta finansējumu – 24 969 409 </w:t>
            </w:r>
            <w:proofErr w:type="spellStart"/>
            <w:r w:rsidRPr="000E23A0">
              <w:rPr>
                <w:sz w:val="22"/>
                <w:szCs w:val="22"/>
              </w:rPr>
              <w:t>euro</w:t>
            </w:r>
            <w:proofErr w:type="spellEnd"/>
            <w:r w:rsidRPr="000E23A0">
              <w:rPr>
                <w:sz w:val="22"/>
                <w:szCs w:val="22"/>
              </w:rPr>
              <w:t>. Maksimālais attiecināmais Eiropas Reģionālās attīstības fonda finansējuma apmērs ir 85 % no pieejamā kopējā attiecināmā finansējuma, tai skaitā:"</w:t>
            </w:r>
          </w:p>
          <w:p w14:paraId="3F9588D7" w14:textId="77777777" w:rsidR="00D628C8" w:rsidRPr="000E23A0" w:rsidRDefault="00D628C8" w:rsidP="00D628C8">
            <w:pPr>
              <w:pStyle w:val="naisc"/>
              <w:jc w:val="both"/>
              <w:rPr>
                <w:sz w:val="22"/>
                <w:szCs w:val="22"/>
              </w:rPr>
            </w:pPr>
          </w:p>
          <w:p w14:paraId="66AF75E5" w14:textId="77777777" w:rsidR="00D628C8" w:rsidRPr="000E23A0" w:rsidRDefault="00D628C8" w:rsidP="00D628C8">
            <w:pPr>
              <w:pStyle w:val="naisc"/>
              <w:jc w:val="both"/>
              <w:rPr>
                <w:sz w:val="22"/>
                <w:szCs w:val="22"/>
              </w:rPr>
            </w:pPr>
            <w:r w:rsidRPr="000E23A0">
              <w:rPr>
                <w:sz w:val="22"/>
                <w:szCs w:val="22"/>
              </w:rPr>
              <w:t>"2.</w:t>
            </w:r>
            <w:r w:rsidRPr="000E23A0">
              <w:rPr>
                <w:sz w:val="22"/>
                <w:szCs w:val="22"/>
              </w:rPr>
              <w:tab/>
              <w:t>Svītrot 10. punktu."</w:t>
            </w:r>
          </w:p>
          <w:p w14:paraId="2612F7E3" w14:textId="77777777" w:rsidR="00D628C8" w:rsidRPr="000E23A0" w:rsidRDefault="00D628C8" w:rsidP="001C26B9">
            <w:pPr>
              <w:pStyle w:val="naisc"/>
              <w:spacing w:before="0" w:after="0"/>
              <w:jc w:val="both"/>
              <w:rPr>
                <w:b/>
                <w:sz w:val="22"/>
                <w:szCs w:val="22"/>
              </w:rPr>
            </w:pPr>
          </w:p>
        </w:tc>
        <w:tc>
          <w:tcPr>
            <w:tcW w:w="3845" w:type="dxa"/>
            <w:tcBorders>
              <w:left w:val="single" w:sz="4" w:space="0" w:color="auto"/>
              <w:bottom w:val="single" w:sz="4" w:space="0" w:color="000000"/>
              <w:right w:val="single" w:sz="6" w:space="0" w:color="000000"/>
            </w:tcBorders>
          </w:tcPr>
          <w:p w14:paraId="75569FC8" w14:textId="6FDB46CF" w:rsidR="00D628C8" w:rsidRPr="000E23A0" w:rsidRDefault="00D628C8" w:rsidP="00D628C8">
            <w:pPr>
              <w:pStyle w:val="naisc"/>
              <w:spacing w:before="0" w:after="0"/>
              <w:jc w:val="both"/>
              <w:rPr>
                <w:b/>
                <w:sz w:val="22"/>
                <w:szCs w:val="22"/>
              </w:rPr>
            </w:pPr>
            <w:r w:rsidRPr="000E23A0">
              <w:rPr>
                <w:b/>
                <w:sz w:val="22"/>
                <w:szCs w:val="22"/>
              </w:rPr>
              <w:lastRenderedPageBreak/>
              <w:t>Finanšu ministrijas 07.11.2019. 1.iebildums:</w:t>
            </w:r>
          </w:p>
          <w:p w14:paraId="586782C7" w14:textId="0DF989CC" w:rsidR="00D628C8" w:rsidRPr="000E23A0" w:rsidRDefault="00D628C8" w:rsidP="00D628C8">
            <w:pPr>
              <w:jc w:val="both"/>
              <w:rPr>
                <w:sz w:val="22"/>
                <w:szCs w:val="22"/>
              </w:rPr>
            </w:pPr>
            <w:r w:rsidRPr="000E23A0">
              <w:rPr>
                <w:sz w:val="22"/>
                <w:szCs w:val="22"/>
              </w:rPr>
              <w:t xml:space="preserve">“Lūdzam svītrot Ministru kabineta 2016.gada 15.marta noteikumu Nr.160 “Darbības programmas “Izaugsme un nodarbinātība” 4.2.1.specifiskā atbalsta mērķa “Veicināt energoefektivitātes paaugstināšanu valsts un dzīvojamās ēkās” 4.2.1.1.specifiskā atbalsta mērķa pasākuma “Veicināt energoefektivitātes paaugstināšanu dzīvojamās ēkās” </w:t>
            </w:r>
            <w:r w:rsidRPr="000E23A0">
              <w:rPr>
                <w:sz w:val="22"/>
                <w:szCs w:val="22"/>
              </w:rPr>
              <w:lastRenderedPageBreak/>
              <w:t>īstenošanas noteikumi”” (turpmāk – MK noteikumi Nr.160) 10.punktu un izteikt MK noteikumu Nr.160 9.punkta ievaddaļu šādā redakcijā:</w:t>
            </w:r>
          </w:p>
          <w:p w14:paraId="161100BD" w14:textId="540FB578" w:rsidR="00D628C8" w:rsidRPr="000E23A0" w:rsidRDefault="00D628C8" w:rsidP="00D628C8">
            <w:pPr>
              <w:jc w:val="both"/>
              <w:rPr>
                <w:rFonts w:ascii="Calibri" w:hAnsi="Calibri" w:cs="Calibri"/>
                <w:sz w:val="20"/>
                <w:szCs w:val="20"/>
                <w:lang w:eastAsia="en-US"/>
              </w:rPr>
            </w:pPr>
            <w:r w:rsidRPr="000E23A0">
              <w:rPr>
                <w:sz w:val="22"/>
                <w:szCs w:val="22"/>
              </w:rPr>
              <w:t xml:space="preserve">“9. Pieejamais kopējais attiecināmais finansējums līgumam par projekta īstenošanu un finansēšanas nolīgumam ir 166 462 726 </w:t>
            </w:r>
            <w:proofErr w:type="spellStart"/>
            <w:r w:rsidRPr="000E23A0">
              <w:rPr>
                <w:i/>
                <w:iCs/>
                <w:sz w:val="22"/>
                <w:szCs w:val="22"/>
              </w:rPr>
              <w:t>euro</w:t>
            </w:r>
            <w:proofErr w:type="spellEnd"/>
            <w:r w:rsidRPr="000E23A0">
              <w:rPr>
                <w:sz w:val="22"/>
                <w:szCs w:val="22"/>
              </w:rPr>
              <w:t xml:space="preserve">, ieskaitot Eiropas Reģionālās attīstības fonda finansējumu – 141 493 317 </w:t>
            </w:r>
            <w:proofErr w:type="spellStart"/>
            <w:r w:rsidRPr="000E23A0">
              <w:rPr>
                <w:i/>
                <w:iCs/>
                <w:sz w:val="22"/>
                <w:szCs w:val="22"/>
              </w:rPr>
              <w:t>euro</w:t>
            </w:r>
            <w:proofErr w:type="spellEnd"/>
            <w:r w:rsidRPr="000E23A0">
              <w:rPr>
                <w:sz w:val="22"/>
                <w:szCs w:val="22"/>
              </w:rPr>
              <w:t xml:space="preserve"> – un valsts budžeta finansējumu – 24 969 409 </w:t>
            </w:r>
            <w:proofErr w:type="spellStart"/>
            <w:r w:rsidRPr="000E23A0">
              <w:rPr>
                <w:i/>
                <w:iCs/>
                <w:sz w:val="22"/>
                <w:szCs w:val="22"/>
              </w:rPr>
              <w:t>euro</w:t>
            </w:r>
            <w:proofErr w:type="spellEnd"/>
            <w:r w:rsidRPr="000E23A0">
              <w:rPr>
                <w:sz w:val="22"/>
                <w:szCs w:val="22"/>
              </w:rPr>
              <w:t>. Maksimālais attiecināmais Eiropas Reģionālās attīstības fonda finansējuma apmērs ir 85 % no pieejamā kopējā attiecināmā finansējuma, tai skaitā:””</w:t>
            </w:r>
          </w:p>
          <w:p w14:paraId="40BC8E71" w14:textId="77777777" w:rsidR="00D628C8" w:rsidRPr="000E23A0" w:rsidRDefault="00D628C8" w:rsidP="001C26B9">
            <w:pPr>
              <w:pStyle w:val="naisc"/>
              <w:spacing w:before="0" w:after="0"/>
              <w:jc w:val="both"/>
              <w:rPr>
                <w:b/>
                <w:sz w:val="22"/>
                <w:szCs w:val="22"/>
              </w:rPr>
            </w:pPr>
          </w:p>
        </w:tc>
        <w:tc>
          <w:tcPr>
            <w:tcW w:w="4394" w:type="dxa"/>
            <w:tcBorders>
              <w:left w:val="single" w:sz="6" w:space="0" w:color="000000"/>
              <w:bottom w:val="single" w:sz="4" w:space="0" w:color="000000"/>
              <w:right w:val="single" w:sz="6" w:space="0" w:color="000000"/>
            </w:tcBorders>
          </w:tcPr>
          <w:p w14:paraId="1CB149C3" w14:textId="3417868F" w:rsidR="00D628C8" w:rsidRPr="000E23A0" w:rsidRDefault="00D628C8" w:rsidP="00CD3082">
            <w:pPr>
              <w:pStyle w:val="naisc"/>
              <w:spacing w:before="0" w:after="0"/>
              <w:rPr>
                <w:b/>
                <w:sz w:val="22"/>
                <w:szCs w:val="22"/>
              </w:rPr>
            </w:pPr>
            <w:r w:rsidRPr="000E23A0">
              <w:rPr>
                <w:b/>
                <w:sz w:val="22"/>
                <w:szCs w:val="22"/>
              </w:rPr>
              <w:lastRenderedPageBreak/>
              <w:t>Ņemts vērā</w:t>
            </w:r>
          </w:p>
        </w:tc>
        <w:tc>
          <w:tcPr>
            <w:tcW w:w="2835" w:type="dxa"/>
            <w:tcBorders>
              <w:top w:val="single" w:sz="4" w:space="0" w:color="auto"/>
              <w:left w:val="single" w:sz="4" w:space="0" w:color="auto"/>
              <w:bottom w:val="single" w:sz="4" w:space="0" w:color="000000"/>
            </w:tcBorders>
          </w:tcPr>
          <w:p w14:paraId="586786F8" w14:textId="323DB800" w:rsidR="00D628C8" w:rsidRPr="000E23A0" w:rsidRDefault="00D628C8" w:rsidP="00BD1B21">
            <w:pPr>
              <w:jc w:val="both"/>
              <w:rPr>
                <w:sz w:val="22"/>
                <w:szCs w:val="22"/>
              </w:rPr>
            </w:pPr>
            <w:r w:rsidRPr="000E23A0">
              <w:rPr>
                <w:sz w:val="22"/>
                <w:szCs w:val="22"/>
              </w:rPr>
              <w:t>Skatīt MK noteikumu projekta precizēto redakciju.</w:t>
            </w:r>
          </w:p>
        </w:tc>
      </w:tr>
      <w:tr w:rsidR="000E23A0" w:rsidRPr="000E23A0" w14:paraId="1ABDAFDB" w14:textId="77777777" w:rsidTr="00AC3FB0">
        <w:tc>
          <w:tcPr>
            <w:tcW w:w="716" w:type="dxa"/>
            <w:vMerge w:val="restart"/>
            <w:tcBorders>
              <w:left w:val="single" w:sz="6" w:space="0" w:color="000000"/>
              <w:right w:val="single" w:sz="4" w:space="0" w:color="auto"/>
            </w:tcBorders>
          </w:tcPr>
          <w:p w14:paraId="263D5D0D" w14:textId="77777777" w:rsidR="00EB0E49" w:rsidRPr="000E23A0" w:rsidRDefault="00EB0E49" w:rsidP="008E5CEE">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0C013F2D" w14:textId="39CE14D9" w:rsidR="00EB0E49" w:rsidRPr="000E23A0" w:rsidRDefault="00EB0E49" w:rsidP="008E5CEE">
            <w:pPr>
              <w:pStyle w:val="naisc"/>
              <w:spacing w:before="0" w:after="0"/>
              <w:jc w:val="both"/>
              <w:rPr>
                <w:b/>
                <w:sz w:val="22"/>
                <w:szCs w:val="22"/>
              </w:rPr>
            </w:pPr>
            <w:r w:rsidRPr="000E23A0">
              <w:rPr>
                <w:b/>
                <w:sz w:val="22"/>
                <w:szCs w:val="22"/>
              </w:rPr>
              <w:t>MK noteikumu projekta 5.punkts:</w:t>
            </w:r>
          </w:p>
          <w:p w14:paraId="3224A680" w14:textId="268C31D8" w:rsidR="00EB0E49" w:rsidRPr="000E23A0" w:rsidRDefault="00EB0E49" w:rsidP="00D353C9">
            <w:pPr>
              <w:pStyle w:val="naisc"/>
              <w:jc w:val="both"/>
              <w:rPr>
                <w:sz w:val="22"/>
                <w:szCs w:val="22"/>
              </w:rPr>
            </w:pPr>
            <w:r w:rsidRPr="000E23A0">
              <w:rPr>
                <w:sz w:val="22"/>
                <w:szCs w:val="22"/>
              </w:rPr>
              <w:t>“5.</w:t>
            </w:r>
            <w:r w:rsidRPr="000E23A0">
              <w:rPr>
                <w:sz w:val="22"/>
                <w:szCs w:val="22"/>
              </w:rPr>
              <w:tab/>
              <w:t>Izteikt 68.</w:t>
            </w:r>
            <w:r w:rsidRPr="000E23A0">
              <w:rPr>
                <w:sz w:val="22"/>
                <w:szCs w:val="22"/>
                <w:vertAlign w:val="superscript"/>
              </w:rPr>
              <w:t>1</w:t>
            </w:r>
            <w:r w:rsidRPr="000E23A0">
              <w:rPr>
                <w:sz w:val="22"/>
                <w:szCs w:val="22"/>
              </w:rPr>
              <w:t xml:space="preserve"> punktu šādā redakcijā:</w:t>
            </w:r>
          </w:p>
          <w:p w14:paraId="431449FA" w14:textId="77777777" w:rsidR="00EB0E49" w:rsidRPr="000E23A0" w:rsidRDefault="00EB0E49" w:rsidP="00D353C9">
            <w:pPr>
              <w:pStyle w:val="naisc"/>
              <w:jc w:val="both"/>
              <w:rPr>
                <w:sz w:val="22"/>
                <w:szCs w:val="22"/>
              </w:rPr>
            </w:pPr>
          </w:p>
          <w:p w14:paraId="0D5F50D9" w14:textId="03081ABC" w:rsidR="00EB0E49" w:rsidRPr="000E23A0" w:rsidRDefault="00EB0E49" w:rsidP="00D353C9">
            <w:pPr>
              <w:pStyle w:val="naisc"/>
              <w:jc w:val="both"/>
              <w:rPr>
                <w:sz w:val="22"/>
                <w:szCs w:val="22"/>
              </w:rPr>
            </w:pPr>
            <w:r w:rsidRPr="000E23A0">
              <w:rPr>
                <w:sz w:val="22"/>
                <w:szCs w:val="22"/>
              </w:rPr>
              <w:t>"68.</w:t>
            </w:r>
            <w:r w:rsidRPr="000E23A0">
              <w:rPr>
                <w:sz w:val="22"/>
                <w:szCs w:val="22"/>
                <w:vertAlign w:val="superscript"/>
              </w:rPr>
              <w:t>1</w:t>
            </w:r>
            <w:r w:rsidRPr="000E23A0">
              <w:rPr>
                <w:sz w:val="22"/>
                <w:szCs w:val="22"/>
              </w:rPr>
              <w:t xml:space="preserve"> Dzīvokļu īpašnieku pilnvarotā persona var veikt energoefektivitātes pakalpojuma sniedzēja atlasi energoefektivitātes paaugstināšanas pasākumu īstenošanai. Tā izvēlas energoefektivitātes pakalpojuma sniedzēju atbilstoši sabiedrības "Altum" norādījumiem un ievērojot, ka pilnvarotā persona neatrodas interešu konfliktā ar energoefektivitātes pakalpojuma </w:t>
            </w:r>
            <w:r w:rsidRPr="000E23A0">
              <w:rPr>
                <w:sz w:val="22"/>
                <w:szCs w:val="22"/>
              </w:rPr>
              <w:lastRenderedPageBreak/>
              <w:t>sniedzēju, t.i., pilnvarotā persona, tās dalībnieks (akcionārs), biedrs, padomes vai valdes loceklis, jebkuras minētās personas radinieks līdz otrajai radniecības pakāpei, laulātais vai svainis līdz pirmajai svainības pakāpei vai pilnvarotās personas prokūrists vai komercpilnvarnieks nav energoefektivitātes pakalpojuma sniedzējs vai energoefektivitātes pakalpojuma sniedzēja apakšuzņēmējs, kā arī pilnvarotā persona nav energoefektivitātes pakalpojuma sniedzēja vai tā apakšuzņēmēja dalībnieks (akcionārs), biedrs, padomes vai valdes loceklis, prokūrists vai komercpilnvarnieks.”</w:t>
            </w:r>
          </w:p>
        </w:tc>
        <w:tc>
          <w:tcPr>
            <w:tcW w:w="3845" w:type="dxa"/>
            <w:tcBorders>
              <w:left w:val="single" w:sz="4" w:space="0" w:color="auto"/>
              <w:bottom w:val="single" w:sz="4" w:space="0" w:color="000000"/>
              <w:right w:val="single" w:sz="6" w:space="0" w:color="000000"/>
            </w:tcBorders>
          </w:tcPr>
          <w:p w14:paraId="1CAD4D68" w14:textId="7360D2BB" w:rsidR="00EB0E49" w:rsidRPr="000E23A0" w:rsidRDefault="00EB0E49" w:rsidP="008E5CEE">
            <w:pPr>
              <w:pStyle w:val="naisc"/>
              <w:spacing w:before="0" w:after="0"/>
              <w:jc w:val="both"/>
              <w:rPr>
                <w:b/>
                <w:sz w:val="22"/>
                <w:szCs w:val="22"/>
              </w:rPr>
            </w:pPr>
            <w:r w:rsidRPr="000E23A0">
              <w:rPr>
                <w:b/>
                <w:sz w:val="22"/>
                <w:szCs w:val="22"/>
              </w:rPr>
              <w:lastRenderedPageBreak/>
              <w:t>Finanšu ministrijas 27.09.2019. 2.iebildums:</w:t>
            </w:r>
          </w:p>
          <w:p w14:paraId="3F7F4794" w14:textId="5089CD87" w:rsidR="00EB0E49" w:rsidRPr="000E23A0" w:rsidRDefault="00EB0E49" w:rsidP="008E5CEE">
            <w:pPr>
              <w:pStyle w:val="naisc"/>
              <w:spacing w:before="0" w:after="0"/>
              <w:ind w:right="3"/>
              <w:jc w:val="both"/>
              <w:rPr>
                <w:sz w:val="22"/>
                <w:szCs w:val="22"/>
              </w:rPr>
            </w:pPr>
            <w:r w:rsidRPr="000E23A0">
              <w:rPr>
                <w:sz w:val="22"/>
                <w:szCs w:val="22"/>
              </w:rPr>
              <w:t xml:space="preserve">“Lai nodrošinātu, ka </w:t>
            </w:r>
            <w:r w:rsidRPr="000E23A0">
              <w:rPr>
                <w:sz w:val="22"/>
                <w:szCs w:val="22"/>
                <w:shd w:val="clear" w:color="auto" w:fill="FFFFFF"/>
              </w:rPr>
              <w:t>energoefektivitātes</w:t>
            </w:r>
            <w:r w:rsidRPr="000E23A0">
              <w:rPr>
                <w:sz w:val="22"/>
                <w:szCs w:val="22"/>
              </w:rPr>
              <w:t xml:space="preserve"> pakalpojumu sniedzēju (ESKO) līmenī netiek sniegts komercdarbības atbalsts, tai skaitā ESKO negūst finansiālās priekšrocības, tām energoefektivitātes projektos jādarbojas uz tirgus noteikumiem un atalgojums tām jānosaka pēc tirgus cenas principa. Ja noteikumu projekts paredz, ka </w:t>
            </w:r>
            <w:r w:rsidRPr="000E23A0">
              <w:rPr>
                <w:sz w:val="22"/>
                <w:szCs w:val="22"/>
                <w:shd w:val="clear" w:color="auto" w:fill="FFFFFF"/>
              </w:rPr>
              <w:t xml:space="preserve">dzīvokļu īpašnieku pilnvarotā persona izvēlas energoefektivitātes pakalpojuma sniedzēju atbilstoši sabiedrības “Altum” norādījumiem, nevis </w:t>
            </w:r>
            <w:r w:rsidRPr="000E23A0">
              <w:rPr>
                <w:sz w:val="22"/>
                <w:szCs w:val="22"/>
              </w:rPr>
              <w:t>atklātā, pārredzamā, nediskriminējošā un konkurenci nodrošinošā konkursa procedūrā, lūdzam papildināt noteikumu projekta 5.punktā izteikto 68.</w:t>
            </w:r>
            <w:r w:rsidRPr="000E23A0">
              <w:rPr>
                <w:smallCaps/>
                <w:sz w:val="22"/>
                <w:szCs w:val="22"/>
                <w:vertAlign w:val="superscript"/>
              </w:rPr>
              <w:t xml:space="preserve">1 </w:t>
            </w:r>
            <w:r w:rsidRPr="000E23A0">
              <w:rPr>
                <w:sz w:val="22"/>
                <w:szCs w:val="22"/>
              </w:rPr>
              <w:t xml:space="preserve">punktu, nosakot, ka </w:t>
            </w:r>
            <w:r w:rsidRPr="000E23A0">
              <w:rPr>
                <w:sz w:val="22"/>
                <w:szCs w:val="22"/>
              </w:rPr>
              <w:lastRenderedPageBreak/>
              <w:t xml:space="preserve">energoefektivitātes projekta laikā </w:t>
            </w:r>
            <w:r w:rsidRPr="000E23A0">
              <w:rPr>
                <w:sz w:val="22"/>
                <w:szCs w:val="22"/>
                <w:shd w:val="clear" w:color="auto" w:fill="FFFFFF"/>
              </w:rPr>
              <w:t>sabiedrība “Altum”</w:t>
            </w:r>
            <w:r w:rsidRPr="000E23A0">
              <w:rPr>
                <w:sz w:val="22"/>
                <w:szCs w:val="22"/>
              </w:rPr>
              <w:t xml:space="preserve"> nodrošinās, ka ESKO netiek pārkompensēts, tai skaitā attiecībā uz atlīdzību ESKO.”</w:t>
            </w:r>
          </w:p>
        </w:tc>
        <w:tc>
          <w:tcPr>
            <w:tcW w:w="4394" w:type="dxa"/>
            <w:tcBorders>
              <w:left w:val="single" w:sz="6" w:space="0" w:color="000000"/>
              <w:bottom w:val="single" w:sz="4" w:space="0" w:color="000000"/>
              <w:right w:val="single" w:sz="6" w:space="0" w:color="000000"/>
            </w:tcBorders>
          </w:tcPr>
          <w:p w14:paraId="684EE9BD" w14:textId="167CCC7B" w:rsidR="00D32823" w:rsidRDefault="000A287C" w:rsidP="0008746D">
            <w:pPr>
              <w:pStyle w:val="naisc"/>
              <w:spacing w:before="0" w:after="0"/>
              <w:rPr>
                <w:b/>
                <w:sz w:val="22"/>
                <w:szCs w:val="22"/>
              </w:rPr>
            </w:pPr>
            <w:r w:rsidRPr="000A287C">
              <w:rPr>
                <w:b/>
                <w:sz w:val="22"/>
                <w:szCs w:val="22"/>
              </w:rPr>
              <w:lastRenderedPageBreak/>
              <w:t>Daļēji ņemts vērā</w:t>
            </w:r>
            <w:r w:rsidR="00D32823">
              <w:rPr>
                <w:b/>
                <w:sz w:val="22"/>
                <w:szCs w:val="22"/>
              </w:rPr>
              <w:t>,</w:t>
            </w:r>
          </w:p>
          <w:p w14:paraId="5D015E14" w14:textId="6C21D0AA" w:rsidR="00EB0E49" w:rsidRPr="000E23A0" w:rsidRDefault="00D32823" w:rsidP="0008746D">
            <w:pPr>
              <w:pStyle w:val="naisc"/>
              <w:spacing w:before="0" w:after="0"/>
              <w:rPr>
                <w:b/>
                <w:sz w:val="22"/>
                <w:szCs w:val="22"/>
              </w:rPr>
            </w:pPr>
            <w:r>
              <w:rPr>
                <w:b/>
                <w:sz w:val="22"/>
                <w:szCs w:val="22"/>
              </w:rPr>
              <w:t>panākta vienošanās elektroniskās saskaņošanas laikā</w:t>
            </w:r>
          </w:p>
          <w:p w14:paraId="736FAAEE" w14:textId="77F30791" w:rsidR="00EB0E49" w:rsidRPr="000E23A0" w:rsidRDefault="00EB0E49" w:rsidP="00ED14D2">
            <w:pPr>
              <w:jc w:val="both"/>
              <w:rPr>
                <w:iCs/>
                <w:sz w:val="22"/>
                <w:szCs w:val="22"/>
              </w:rPr>
            </w:pPr>
            <w:r w:rsidRPr="000E23A0">
              <w:rPr>
                <w:bCs/>
                <w:sz w:val="22"/>
                <w:szCs w:val="22"/>
              </w:rPr>
              <w:t xml:space="preserve">Skaidrojam, ka </w:t>
            </w:r>
            <w:r w:rsidRPr="000E23A0">
              <w:rPr>
                <w:iCs/>
                <w:sz w:val="22"/>
                <w:szCs w:val="22"/>
              </w:rPr>
              <w:t xml:space="preserve"> norādījumu izstrādes būtība ir nodrošināt atklātu, pārredzamu, nediskriminējošu un konkurenci nodrošinošu konkursa procedūru, tāpat kā tas ir ar būvkomersantu atlasi, kas netiek veikta saskaņā ar Publisko iepirkumu likumu, bet gan saskaņā ar Altum vadlīnijām.</w:t>
            </w:r>
          </w:p>
        </w:tc>
        <w:tc>
          <w:tcPr>
            <w:tcW w:w="2835" w:type="dxa"/>
            <w:tcBorders>
              <w:top w:val="single" w:sz="4" w:space="0" w:color="auto"/>
              <w:left w:val="single" w:sz="4" w:space="0" w:color="auto"/>
              <w:bottom w:val="single" w:sz="4" w:space="0" w:color="000000"/>
            </w:tcBorders>
          </w:tcPr>
          <w:p w14:paraId="1DFD554A" w14:textId="45469B96" w:rsidR="00EB0E49" w:rsidRPr="000E23A0" w:rsidRDefault="00EB0E49" w:rsidP="008E5CEE">
            <w:pPr>
              <w:jc w:val="both"/>
              <w:rPr>
                <w:sz w:val="22"/>
                <w:szCs w:val="22"/>
              </w:rPr>
            </w:pPr>
            <w:r w:rsidRPr="000E23A0">
              <w:rPr>
                <w:sz w:val="22"/>
                <w:szCs w:val="22"/>
              </w:rPr>
              <w:t>Skatīt Anotācijas  I sadaļas “Tiesību akta projekta izstrādes nepieciešamība” 2. punktu “Pašreizējā situācija un problēmas, kuru risināšanai tiesību akta projekts izstrādāts, tiesiskā regulējuma mērķis un būtība” precizēto redakciju.</w:t>
            </w:r>
          </w:p>
        </w:tc>
      </w:tr>
      <w:tr w:rsidR="000E23A0" w:rsidRPr="000E23A0" w14:paraId="30A18C6E" w14:textId="77777777" w:rsidTr="00AC3FB0">
        <w:tc>
          <w:tcPr>
            <w:tcW w:w="716" w:type="dxa"/>
            <w:vMerge/>
            <w:tcBorders>
              <w:left w:val="single" w:sz="6" w:space="0" w:color="000000"/>
              <w:bottom w:val="single" w:sz="4" w:space="0" w:color="000000"/>
              <w:right w:val="single" w:sz="4" w:space="0" w:color="auto"/>
            </w:tcBorders>
          </w:tcPr>
          <w:p w14:paraId="2F933454" w14:textId="77777777" w:rsidR="00EB0E49" w:rsidRPr="000E23A0" w:rsidRDefault="00EB0E49" w:rsidP="00BA728C">
            <w:pPr>
              <w:pStyle w:val="ListParagraph"/>
              <w:spacing w:after="0" w:line="240" w:lineRule="auto"/>
              <w:ind w:left="357"/>
              <w:rPr>
                <w:rFonts w:ascii="Times New Roman" w:hAnsi="Times New Roman"/>
              </w:rPr>
            </w:pPr>
          </w:p>
        </w:tc>
        <w:tc>
          <w:tcPr>
            <w:tcW w:w="3086" w:type="dxa"/>
            <w:vMerge/>
            <w:tcBorders>
              <w:left w:val="single" w:sz="4" w:space="0" w:color="auto"/>
              <w:bottom w:val="single" w:sz="4" w:space="0" w:color="000000"/>
              <w:right w:val="single" w:sz="4" w:space="0" w:color="auto"/>
            </w:tcBorders>
          </w:tcPr>
          <w:p w14:paraId="3D4B48AB" w14:textId="77777777" w:rsidR="00EB0E49" w:rsidRPr="000E23A0" w:rsidRDefault="00EB0E49" w:rsidP="008E5CEE">
            <w:pPr>
              <w:pStyle w:val="naisc"/>
              <w:spacing w:before="0" w:after="0"/>
              <w:jc w:val="both"/>
              <w:rPr>
                <w:b/>
                <w:sz w:val="22"/>
                <w:szCs w:val="22"/>
              </w:rPr>
            </w:pPr>
          </w:p>
        </w:tc>
        <w:tc>
          <w:tcPr>
            <w:tcW w:w="3845" w:type="dxa"/>
            <w:tcBorders>
              <w:left w:val="single" w:sz="4" w:space="0" w:color="auto"/>
              <w:bottom w:val="single" w:sz="4" w:space="0" w:color="000000"/>
              <w:right w:val="single" w:sz="6" w:space="0" w:color="000000"/>
            </w:tcBorders>
          </w:tcPr>
          <w:p w14:paraId="76FC2C82" w14:textId="1E499D5A" w:rsidR="00EB0E49" w:rsidRPr="000E23A0" w:rsidRDefault="00EB0E49" w:rsidP="00BA728C">
            <w:pPr>
              <w:pStyle w:val="naisc"/>
              <w:spacing w:before="0" w:after="0"/>
              <w:jc w:val="both"/>
              <w:rPr>
                <w:b/>
                <w:sz w:val="22"/>
                <w:szCs w:val="22"/>
              </w:rPr>
            </w:pPr>
            <w:r w:rsidRPr="000E23A0">
              <w:rPr>
                <w:b/>
                <w:sz w:val="22"/>
                <w:szCs w:val="22"/>
              </w:rPr>
              <w:t>Finanšu ministrijas 11.10.2019. 1.iebildums:</w:t>
            </w:r>
          </w:p>
          <w:p w14:paraId="0C2F8CE9" w14:textId="4B5AD723" w:rsidR="00EB0E49" w:rsidRPr="000E23A0" w:rsidRDefault="00EB0E49" w:rsidP="008E5CEE">
            <w:pPr>
              <w:pStyle w:val="naisc"/>
              <w:spacing w:before="0" w:after="0"/>
              <w:jc w:val="both"/>
              <w:rPr>
                <w:bCs/>
                <w:sz w:val="22"/>
                <w:szCs w:val="22"/>
              </w:rPr>
            </w:pPr>
            <w:r w:rsidRPr="000E23A0">
              <w:rPr>
                <w:bCs/>
                <w:sz w:val="22"/>
                <w:szCs w:val="22"/>
              </w:rPr>
              <w:t>“1.</w:t>
            </w:r>
            <w:r w:rsidRPr="000E23A0">
              <w:rPr>
                <w:bCs/>
                <w:sz w:val="22"/>
                <w:szCs w:val="22"/>
              </w:rPr>
              <w:tab/>
              <w:t>Joprojām uzturam Finanšu ministrijas 2019.gada 27.septembra atzinuma Nr.12/A-21/4519 2.iebildumu un papildus lūdzam ņemt vērā, ka energoefektivitātes pakalpojumus sniedzēji (turpmāk – ESKO) ir saimnieciskās darbības veicēji, kas sniedz pakalpojumu dzīvokļu īpašniekiem. Papildus vēršam uzmanību uz Ekonomikas ministrijas sniegto skaidrojumu par ESKO iesaisti 4.2.1.1.pasākuma “Veicināt energoefektivitātes paaugstināšanu dzīvojamās ēkās” ietvaros, kas sniegts Ministru kabineta 2017. gada 18. jūlija noteikumu Nr. 410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anotācijā.”</w:t>
            </w:r>
          </w:p>
        </w:tc>
        <w:tc>
          <w:tcPr>
            <w:tcW w:w="4394" w:type="dxa"/>
            <w:tcBorders>
              <w:left w:val="single" w:sz="6" w:space="0" w:color="000000"/>
              <w:bottom w:val="single" w:sz="4" w:space="0" w:color="000000"/>
              <w:right w:val="single" w:sz="6" w:space="0" w:color="000000"/>
            </w:tcBorders>
          </w:tcPr>
          <w:p w14:paraId="7FE34D68" w14:textId="5DC6F985" w:rsidR="002B084D" w:rsidRPr="000E23A0" w:rsidRDefault="00EB0E49" w:rsidP="002B084D">
            <w:pPr>
              <w:pStyle w:val="naisc"/>
              <w:spacing w:before="0" w:after="0"/>
              <w:rPr>
                <w:b/>
                <w:sz w:val="22"/>
                <w:szCs w:val="22"/>
              </w:rPr>
            </w:pPr>
            <w:r w:rsidRPr="000E23A0">
              <w:rPr>
                <w:b/>
                <w:sz w:val="22"/>
                <w:szCs w:val="22"/>
              </w:rPr>
              <w:t>Ņemts vērā</w:t>
            </w:r>
          </w:p>
          <w:p w14:paraId="355F3CA2" w14:textId="6683CE97" w:rsidR="002B084D" w:rsidRPr="000E23A0" w:rsidRDefault="002B084D" w:rsidP="002B084D">
            <w:pPr>
              <w:pStyle w:val="naisc"/>
              <w:spacing w:before="0" w:after="0"/>
              <w:jc w:val="both"/>
              <w:rPr>
                <w:bCs/>
                <w:sz w:val="22"/>
                <w:szCs w:val="22"/>
              </w:rPr>
            </w:pPr>
            <w:r w:rsidRPr="000E23A0">
              <w:rPr>
                <w:bCs/>
                <w:sz w:val="22"/>
                <w:szCs w:val="22"/>
              </w:rPr>
              <w:t>Vēršam uzmanību, ka Finanšu ministrijas atzinuma 1.punktā nav norādīti konkrēti</w:t>
            </w:r>
            <w:r w:rsidR="00391172" w:rsidRPr="000E23A0">
              <w:rPr>
                <w:bCs/>
                <w:sz w:val="22"/>
                <w:szCs w:val="22"/>
              </w:rPr>
              <w:t xml:space="preserve"> problemātiskie noteikumu projekta punkti vai neskaidrie aspekti, līdz ar to </w:t>
            </w:r>
            <w:r w:rsidR="00726A02" w:rsidRPr="000E23A0">
              <w:rPr>
                <w:bCs/>
                <w:sz w:val="22"/>
                <w:szCs w:val="22"/>
              </w:rPr>
              <w:t>skaidrojumi tiek sniegti un labojumi veikti ņemot vērā neformālās komunikācijas laikā noskaidroto</w:t>
            </w:r>
            <w:r w:rsidRPr="000E23A0">
              <w:rPr>
                <w:bCs/>
                <w:sz w:val="22"/>
                <w:szCs w:val="22"/>
              </w:rPr>
              <w:t xml:space="preserve">: </w:t>
            </w:r>
          </w:p>
          <w:p w14:paraId="12DF3F92" w14:textId="722B871F" w:rsidR="004D53E1" w:rsidRPr="000E23A0" w:rsidRDefault="005B4E81" w:rsidP="005B4E81">
            <w:pPr>
              <w:pStyle w:val="naisc"/>
              <w:numPr>
                <w:ilvl w:val="0"/>
                <w:numId w:val="20"/>
              </w:numPr>
              <w:spacing w:before="0" w:after="0"/>
              <w:ind w:left="0" w:firstLine="0"/>
              <w:jc w:val="both"/>
              <w:rPr>
                <w:bCs/>
                <w:sz w:val="22"/>
                <w:szCs w:val="22"/>
              </w:rPr>
            </w:pPr>
            <w:r w:rsidRPr="000E23A0">
              <w:rPr>
                <w:bCs/>
                <w:sz w:val="22"/>
                <w:szCs w:val="22"/>
              </w:rPr>
              <w:t xml:space="preserve">Atkārtoti skaidrojam un vēršam uzmanību, ka noteikumu projekts  nosaka, ka ESKO atlase </w:t>
            </w:r>
            <w:r w:rsidRPr="000E23A0">
              <w:t xml:space="preserve"> ir jāveic saskaņā ar PIL vai saskaņā ar </w:t>
            </w:r>
            <w:r w:rsidRPr="000E23A0">
              <w:rPr>
                <w:bCs/>
                <w:sz w:val="22"/>
                <w:szCs w:val="22"/>
              </w:rPr>
              <w:t xml:space="preserve">sabiedrības “Altum” norādījumiem, </w:t>
            </w:r>
            <w:r w:rsidRPr="000E23A0">
              <w:rPr>
                <w:b/>
                <w:sz w:val="22"/>
                <w:szCs w:val="22"/>
              </w:rPr>
              <w:t xml:space="preserve">lai nodrošinātu to, ka atlase </w:t>
            </w:r>
            <w:r w:rsidR="002B084D" w:rsidRPr="000E23A0">
              <w:rPr>
                <w:b/>
                <w:sz w:val="22"/>
                <w:szCs w:val="22"/>
              </w:rPr>
              <w:t>tiek veikta a</w:t>
            </w:r>
            <w:r w:rsidRPr="000E23A0">
              <w:rPr>
                <w:b/>
                <w:sz w:val="22"/>
                <w:szCs w:val="22"/>
              </w:rPr>
              <w:t>tklāt</w:t>
            </w:r>
            <w:r w:rsidR="002B084D" w:rsidRPr="000E23A0">
              <w:rPr>
                <w:b/>
                <w:sz w:val="22"/>
                <w:szCs w:val="22"/>
              </w:rPr>
              <w:t>ā</w:t>
            </w:r>
            <w:r w:rsidRPr="000E23A0">
              <w:rPr>
                <w:b/>
                <w:sz w:val="22"/>
                <w:szCs w:val="22"/>
              </w:rPr>
              <w:t>, pārredzam</w:t>
            </w:r>
            <w:r w:rsidR="002B084D" w:rsidRPr="000E23A0">
              <w:rPr>
                <w:b/>
                <w:sz w:val="22"/>
                <w:szCs w:val="22"/>
              </w:rPr>
              <w:t>ā</w:t>
            </w:r>
            <w:r w:rsidRPr="000E23A0">
              <w:rPr>
                <w:b/>
                <w:sz w:val="22"/>
                <w:szCs w:val="22"/>
              </w:rPr>
              <w:t>, nediskriminējoš</w:t>
            </w:r>
            <w:r w:rsidR="002B084D" w:rsidRPr="000E23A0">
              <w:rPr>
                <w:b/>
                <w:sz w:val="22"/>
                <w:szCs w:val="22"/>
              </w:rPr>
              <w:t>ā</w:t>
            </w:r>
            <w:r w:rsidRPr="000E23A0">
              <w:rPr>
                <w:b/>
                <w:sz w:val="22"/>
                <w:szCs w:val="22"/>
              </w:rPr>
              <w:t xml:space="preserve"> un konkurenci nodrošinoš</w:t>
            </w:r>
            <w:r w:rsidR="002B084D" w:rsidRPr="000E23A0">
              <w:rPr>
                <w:b/>
                <w:sz w:val="22"/>
                <w:szCs w:val="22"/>
              </w:rPr>
              <w:t>ā</w:t>
            </w:r>
            <w:r w:rsidRPr="000E23A0">
              <w:rPr>
                <w:b/>
                <w:sz w:val="22"/>
                <w:szCs w:val="22"/>
              </w:rPr>
              <w:t xml:space="preserve"> konkursa procedūrā</w:t>
            </w:r>
            <w:r w:rsidR="002B084D" w:rsidRPr="000E23A0">
              <w:rPr>
                <w:b/>
                <w:sz w:val="22"/>
                <w:szCs w:val="22"/>
              </w:rPr>
              <w:t>.</w:t>
            </w:r>
            <w:r w:rsidR="001F6AAA" w:rsidRPr="000E23A0">
              <w:rPr>
                <w:b/>
                <w:sz w:val="22"/>
                <w:szCs w:val="22"/>
              </w:rPr>
              <w:t xml:space="preserve"> </w:t>
            </w:r>
            <w:r w:rsidR="00391172" w:rsidRPr="000E23A0">
              <w:rPr>
                <w:bCs/>
                <w:sz w:val="22"/>
                <w:szCs w:val="22"/>
              </w:rPr>
              <w:t>Esam skaidrojuši, ka šāda pati pieeja tiek piemērota būvkomersantu, būvuzraugu un autoruzraugu atlasei kopš 201</w:t>
            </w:r>
            <w:r w:rsidR="00421272" w:rsidRPr="000E23A0">
              <w:rPr>
                <w:bCs/>
                <w:sz w:val="22"/>
                <w:szCs w:val="22"/>
              </w:rPr>
              <w:t>6</w:t>
            </w:r>
            <w:r w:rsidR="00391172" w:rsidRPr="000E23A0">
              <w:rPr>
                <w:bCs/>
                <w:sz w:val="22"/>
                <w:szCs w:val="22"/>
              </w:rPr>
              <w:t>.gada (</w:t>
            </w:r>
            <w:hyperlink r:id="rId8" w:history="1">
              <w:r w:rsidR="00391172" w:rsidRPr="000E23A0">
                <w:rPr>
                  <w:rStyle w:val="Hyperlink"/>
                  <w:bCs/>
                  <w:color w:val="auto"/>
                  <w:sz w:val="22"/>
                  <w:szCs w:val="22"/>
                </w:rPr>
                <w:t>https://www.altum.lv/lv/pakalpojumi/maju-energoefektivitate/energoefektivitates-projekta-piegadataju-atlase/piegadataju-atlases-vadlinijas/</w:t>
              </w:r>
            </w:hyperlink>
            <w:r w:rsidR="00391172" w:rsidRPr="000E23A0">
              <w:rPr>
                <w:bCs/>
                <w:sz w:val="22"/>
                <w:szCs w:val="22"/>
              </w:rPr>
              <w:t>).</w:t>
            </w:r>
          </w:p>
          <w:p w14:paraId="3BD8D5E5" w14:textId="10651FF2" w:rsidR="00726A02" w:rsidRPr="000E23A0" w:rsidRDefault="00F35FC3" w:rsidP="00726A02">
            <w:pPr>
              <w:pStyle w:val="naisc"/>
              <w:spacing w:before="0" w:after="0"/>
              <w:jc w:val="both"/>
              <w:rPr>
                <w:bCs/>
                <w:sz w:val="22"/>
                <w:szCs w:val="22"/>
              </w:rPr>
            </w:pPr>
            <w:r w:rsidRPr="000E23A0">
              <w:rPr>
                <w:bCs/>
                <w:sz w:val="22"/>
                <w:szCs w:val="22"/>
              </w:rPr>
              <w:t xml:space="preserve">Ekonomikas ministrija ir papildinājusi noteikumu projekta anotāciju ar </w:t>
            </w:r>
            <w:r w:rsidR="00E96631" w:rsidRPr="000E23A0">
              <w:rPr>
                <w:bCs/>
                <w:sz w:val="22"/>
                <w:szCs w:val="22"/>
              </w:rPr>
              <w:t>atlases posmiem</w:t>
            </w:r>
            <w:r w:rsidR="003F0AE1" w:rsidRPr="000E23A0">
              <w:rPr>
                <w:bCs/>
                <w:sz w:val="22"/>
                <w:szCs w:val="22"/>
              </w:rPr>
              <w:t>.</w:t>
            </w:r>
          </w:p>
          <w:p w14:paraId="06FCD215" w14:textId="46FED441" w:rsidR="004D53E1" w:rsidRPr="000E23A0" w:rsidRDefault="004D53E1" w:rsidP="004D53E1">
            <w:pPr>
              <w:pStyle w:val="naisc"/>
              <w:spacing w:before="0" w:after="0"/>
              <w:jc w:val="both"/>
              <w:rPr>
                <w:bCs/>
                <w:sz w:val="22"/>
                <w:szCs w:val="22"/>
              </w:rPr>
            </w:pPr>
            <w:r w:rsidRPr="000E23A0">
              <w:rPr>
                <w:bCs/>
                <w:sz w:val="22"/>
                <w:szCs w:val="22"/>
              </w:rPr>
              <w:t>Papildus  Finanšu ministrijas 21.03.2017. atzinuma 4.iebildums:</w:t>
            </w:r>
          </w:p>
          <w:p w14:paraId="2C141804" w14:textId="77777777" w:rsidR="004D53E1" w:rsidRPr="000E23A0" w:rsidRDefault="004D53E1" w:rsidP="004D53E1">
            <w:pPr>
              <w:pStyle w:val="naisc"/>
              <w:spacing w:before="0" w:after="0"/>
              <w:jc w:val="both"/>
              <w:rPr>
                <w:bCs/>
                <w:sz w:val="22"/>
                <w:szCs w:val="22"/>
              </w:rPr>
            </w:pPr>
            <w:r w:rsidRPr="000E23A0">
              <w:rPr>
                <w:bCs/>
                <w:sz w:val="22"/>
                <w:szCs w:val="22"/>
              </w:rPr>
              <w:t>“4.</w:t>
            </w:r>
            <w:r w:rsidRPr="000E23A0">
              <w:rPr>
                <w:bCs/>
                <w:sz w:val="22"/>
                <w:szCs w:val="22"/>
              </w:rPr>
              <w:tab/>
              <w:t xml:space="preserve">Lai nodrošinātu, ka pasākuma ietvaros energoefektivitātes pakalpojumu sniedzējs nesaņem valsts atbalstu, proti netiek pārkompensēts, lūdzam papildināt MK </w:t>
            </w:r>
            <w:r w:rsidRPr="000E23A0">
              <w:rPr>
                <w:bCs/>
                <w:sz w:val="22"/>
                <w:szCs w:val="22"/>
              </w:rPr>
              <w:lastRenderedPageBreak/>
              <w:t>noteikumu projekta 18.punktā ietverto 68.</w:t>
            </w:r>
            <w:r w:rsidRPr="000E23A0">
              <w:rPr>
                <w:bCs/>
                <w:sz w:val="22"/>
                <w:szCs w:val="22"/>
                <w:vertAlign w:val="superscript"/>
              </w:rPr>
              <w:t>3</w:t>
            </w:r>
            <w:r w:rsidRPr="000E23A0">
              <w:rPr>
                <w:bCs/>
                <w:sz w:val="22"/>
                <w:szCs w:val="22"/>
              </w:rPr>
              <w:t xml:space="preserve"> punktu ar jaunu apakšpunktu, kas noteiktu, ka </w:t>
            </w:r>
            <w:r w:rsidRPr="000E23A0">
              <w:rPr>
                <w:b/>
                <w:sz w:val="22"/>
                <w:szCs w:val="22"/>
              </w:rPr>
              <w:t>dzīvokļu īpašnieki energoefektivitātes pakalpojumu sniedzēju izvēlas nodrošinot tiem ekonomiski izdevīgāko pasākumu</w:t>
            </w:r>
            <w:r w:rsidRPr="000E23A0">
              <w:rPr>
                <w:bCs/>
                <w:sz w:val="22"/>
                <w:szCs w:val="22"/>
              </w:rPr>
              <w:t>.”</w:t>
            </w:r>
          </w:p>
          <w:p w14:paraId="51DEB037" w14:textId="77777777" w:rsidR="00E96631" w:rsidRPr="000E23A0" w:rsidRDefault="004D53E1" w:rsidP="004D53E1">
            <w:pPr>
              <w:pStyle w:val="naisc"/>
              <w:spacing w:before="0" w:after="0"/>
              <w:jc w:val="both"/>
              <w:rPr>
                <w:bCs/>
                <w:sz w:val="22"/>
                <w:szCs w:val="22"/>
              </w:rPr>
            </w:pPr>
            <w:r w:rsidRPr="000E23A0">
              <w:rPr>
                <w:bCs/>
                <w:sz w:val="22"/>
                <w:szCs w:val="22"/>
              </w:rPr>
              <w:t>Šis FM iebildums tika ņemts vērā, MK noteikumus Nr.160 papildinot ar 68.</w:t>
            </w:r>
            <w:r w:rsidR="00E96631" w:rsidRPr="000E23A0">
              <w:rPr>
                <w:bCs/>
                <w:sz w:val="22"/>
                <w:szCs w:val="22"/>
                <w:vertAlign w:val="superscript"/>
              </w:rPr>
              <w:t>4</w:t>
            </w:r>
            <w:r w:rsidRPr="000E23A0">
              <w:rPr>
                <w:bCs/>
                <w:sz w:val="22"/>
                <w:szCs w:val="22"/>
              </w:rPr>
              <w:t xml:space="preserve"> punktu</w:t>
            </w:r>
            <w:r w:rsidR="00E96631" w:rsidRPr="000E23A0">
              <w:rPr>
                <w:bCs/>
                <w:sz w:val="22"/>
                <w:szCs w:val="22"/>
              </w:rPr>
              <w:t>.</w:t>
            </w:r>
          </w:p>
          <w:p w14:paraId="13ED723D" w14:textId="3839A078" w:rsidR="004D53E1" w:rsidRPr="000E23A0" w:rsidRDefault="00A97041" w:rsidP="004D53E1">
            <w:pPr>
              <w:pStyle w:val="naisc"/>
              <w:spacing w:before="0" w:after="0"/>
              <w:jc w:val="both"/>
              <w:rPr>
                <w:bCs/>
                <w:sz w:val="22"/>
                <w:szCs w:val="22"/>
              </w:rPr>
            </w:pPr>
            <w:r w:rsidRPr="000E23A0">
              <w:rPr>
                <w:bCs/>
                <w:sz w:val="22"/>
                <w:szCs w:val="22"/>
              </w:rPr>
              <w:t xml:space="preserve">Saskaņā ar FM atzinumu </w:t>
            </w:r>
            <w:r w:rsidR="00E96631" w:rsidRPr="000E23A0">
              <w:rPr>
                <w:bCs/>
                <w:sz w:val="22"/>
                <w:szCs w:val="22"/>
              </w:rPr>
              <w:t xml:space="preserve">Ekonomikas ministrija </w:t>
            </w:r>
            <w:r w:rsidR="00C97E9E" w:rsidRPr="000E23A0">
              <w:rPr>
                <w:bCs/>
                <w:sz w:val="22"/>
                <w:szCs w:val="22"/>
              </w:rPr>
              <w:t>68.</w:t>
            </w:r>
            <w:r w:rsidR="00C97E9E" w:rsidRPr="000E23A0">
              <w:rPr>
                <w:bCs/>
                <w:sz w:val="22"/>
                <w:szCs w:val="22"/>
                <w:vertAlign w:val="superscript"/>
              </w:rPr>
              <w:t>4</w:t>
            </w:r>
            <w:r w:rsidR="00C97E9E" w:rsidRPr="000E23A0">
              <w:rPr>
                <w:bCs/>
                <w:sz w:val="22"/>
                <w:szCs w:val="22"/>
              </w:rPr>
              <w:t xml:space="preserve">, kā arī </w:t>
            </w:r>
            <w:r w:rsidR="00E96631" w:rsidRPr="000E23A0">
              <w:rPr>
                <w:bCs/>
                <w:sz w:val="22"/>
                <w:szCs w:val="22"/>
              </w:rPr>
              <w:t>68.</w:t>
            </w:r>
            <w:r w:rsidR="00E96631" w:rsidRPr="000E23A0">
              <w:rPr>
                <w:bCs/>
                <w:sz w:val="22"/>
                <w:szCs w:val="22"/>
                <w:vertAlign w:val="superscript"/>
              </w:rPr>
              <w:t>3</w:t>
            </w:r>
            <w:r w:rsidR="00E96631" w:rsidRPr="000E23A0">
              <w:rPr>
                <w:bCs/>
                <w:sz w:val="22"/>
                <w:szCs w:val="22"/>
              </w:rPr>
              <w:t xml:space="preserve"> punktā ierosin</w:t>
            </w:r>
            <w:r w:rsidRPr="000E23A0">
              <w:rPr>
                <w:bCs/>
                <w:sz w:val="22"/>
                <w:szCs w:val="22"/>
              </w:rPr>
              <w:t>a</w:t>
            </w:r>
            <w:r w:rsidR="00E96631" w:rsidRPr="000E23A0">
              <w:rPr>
                <w:bCs/>
                <w:sz w:val="22"/>
                <w:szCs w:val="22"/>
              </w:rPr>
              <w:t xml:space="preserve"> izmaiņas, nosakot, ka šajā </w:t>
            </w:r>
            <w:r w:rsidR="00C97E9E" w:rsidRPr="000E23A0">
              <w:rPr>
                <w:bCs/>
                <w:sz w:val="22"/>
                <w:szCs w:val="22"/>
              </w:rPr>
              <w:t xml:space="preserve">MK noteikumu Nr.160 </w:t>
            </w:r>
            <w:r w:rsidR="00E96631" w:rsidRPr="000E23A0">
              <w:rPr>
                <w:bCs/>
                <w:sz w:val="22"/>
                <w:szCs w:val="22"/>
              </w:rPr>
              <w:t>punkt</w:t>
            </w:r>
            <w:r w:rsidR="00C97E9E" w:rsidRPr="000E23A0">
              <w:rPr>
                <w:bCs/>
                <w:sz w:val="22"/>
                <w:szCs w:val="22"/>
              </w:rPr>
              <w:t>os</w:t>
            </w:r>
            <w:r w:rsidR="00E96631" w:rsidRPr="000E23A0">
              <w:rPr>
                <w:bCs/>
                <w:sz w:val="22"/>
                <w:szCs w:val="22"/>
              </w:rPr>
              <w:t xml:space="preserve"> noteiktai</w:t>
            </w:r>
            <w:r w:rsidR="00C97E9E" w:rsidRPr="000E23A0">
              <w:rPr>
                <w:bCs/>
                <w:sz w:val="22"/>
                <w:szCs w:val="22"/>
              </w:rPr>
              <w:t>s</w:t>
            </w:r>
            <w:r w:rsidR="00E96631" w:rsidRPr="000E23A0">
              <w:rPr>
                <w:bCs/>
                <w:sz w:val="22"/>
                <w:szCs w:val="22"/>
              </w:rPr>
              <w:t xml:space="preserve"> ir jāievēro dzīvokļu īpašnieku pilnvarotajai personai.</w:t>
            </w:r>
          </w:p>
          <w:p w14:paraId="15CDF0F1" w14:textId="44B9C827" w:rsidR="00D15C94" w:rsidRPr="000E23A0" w:rsidRDefault="00D15C94" w:rsidP="004D53E1">
            <w:pPr>
              <w:pStyle w:val="naisc"/>
              <w:spacing w:before="0" w:after="0"/>
              <w:jc w:val="both"/>
              <w:rPr>
                <w:bCs/>
                <w:sz w:val="22"/>
                <w:szCs w:val="22"/>
              </w:rPr>
            </w:pPr>
            <w:r w:rsidRPr="000E23A0">
              <w:rPr>
                <w:bCs/>
                <w:sz w:val="22"/>
                <w:szCs w:val="22"/>
              </w:rPr>
              <w:t>Lai atvieglotu administratīvo slogu, ESKO atlases gadījumā atlases norisi Altum pārbaudīs pie granta pieteikuma izvērtēšanas.</w:t>
            </w:r>
          </w:p>
          <w:p w14:paraId="0913BF46" w14:textId="43BB3BF1" w:rsidR="004D53E1" w:rsidRPr="000E23A0" w:rsidRDefault="00EB0E49" w:rsidP="004D53E1">
            <w:pPr>
              <w:pStyle w:val="naisc"/>
              <w:numPr>
                <w:ilvl w:val="0"/>
                <w:numId w:val="20"/>
              </w:numPr>
              <w:spacing w:before="0" w:after="0"/>
              <w:ind w:left="0" w:firstLine="0"/>
              <w:jc w:val="both"/>
              <w:rPr>
                <w:bCs/>
                <w:sz w:val="22"/>
                <w:szCs w:val="22"/>
              </w:rPr>
            </w:pPr>
            <w:r w:rsidRPr="000E23A0">
              <w:rPr>
                <w:bCs/>
                <w:sz w:val="22"/>
                <w:szCs w:val="22"/>
              </w:rPr>
              <w:t>Ekonomikas ministrija ņem vērā, ka ESKO ir saimnieciskās darbības veicēji</w:t>
            </w:r>
            <w:r w:rsidR="004D53E1" w:rsidRPr="000E23A0">
              <w:rPr>
                <w:bCs/>
                <w:sz w:val="22"/>
                <w:szCs w:val="22"/>
              </w:rPr>
              <w:t>. Ekonomikas ministrija nekādā gadījumā šo skaidrojumu nevēlas mainīt. MK noteikumu Nr.410 anotācijā ir skaidrots, ka:</w:t>
            </w:r>
          </w:p>
          <w:p w14:paraId="37070505" w14:textId="2DEC1E54" w:rsidR="004D53E1" w:rsidRPr="000E23A0" w:rsidRDefault="004D53E1" w:rsidP="004D53E1">
            <w:pPr>
              <w:pStyle w:val="naisc"/>
              <w:spacing w:before="0" w:after="0"/>
              <w:jc w:val="both"/>
              <w:rPr>
                <w:bCs/>
                <w:sz w:val="22"/>
                <w:szCs w:val="22"/>
              </w:rPr>
            </w:pPr>
            <w:r w:rsidRPr="000E23A0">
              <w:rPr>
                <w:bCs/>
                <w:sz w:val="22"/>
                <w:szCs w:val="22"/>
              </w:rPr>
              <w:t>“ESKO Pasākuma ietvaros nevar būt dzīvokļu īpašnieku pilnvarotā persona un energoefektivitātes paaugstināšanas pasākumu vadītājs, jo ESKO veic saimniecisko darbību, sniedzot pakalpojumu dzīvokļu īpašniekiem”.</w:t>
            </w:r>
          </w:p>
          <w:p w14:paraId="173D7062" w14:textId="789A9FEB" w:rsidR="00EB0E49" w:rsidRPr="000E23A0" w:rsidRDefault="004D53E1" w:rsidP="00EB0E49">
            <w:pPr>
              <w:pStyle w:val="naisc"/>
              <w:spacing w:before="0" w:after="0"/>
              <w:jc w:val="both"/>
              <w:rPr>
                <w:bCs/>
                <w:sz w:val="22"/>
                <w:szCs w:val="22"/>
                <w:highlight w:val="yellow"/>
              </w:rPr>
            </w:pPr>
            <w:r w:rsidRPr="000E23A0">
              <w:rPr>
                <w:bCs/>
                <w:sz w:val="22"/>
                <w:szCs w:val="22"/>
              </w:rPr>
              <w:t>Šī pieeja nav mainījusies, tāpēc arī noteikumu projekta anotācijā ir norādīts:</w:t>
            </w:r>
            <w:r w:rsidRPr="000E23A0">
              <w:rPr>
                <w:bCs/>
                <w:sz w:val="22"/>
                <w:szCs w:val="22"/>
              </w:rPr>
              <w:br/>
              <w:t>“Ierosinātās izmaiņas MK noteikumu Nr. 160 68.</w:t>
            </w:r>
            <w:r w:rsidRPr="000E23A0">
              <w:rPr>
                <w:bCs/>
                <w:sz w:val="22"/>
                <w:szCs w:val="22"/>
                <w:vertAlign w:val="superscript"/>
              </w:rPr>
              <w:t>1</w:t>
            </w:r>
            <w:r w:rsidRPr="000E23A0">
              <w:rPr>
                <w:bCs/>
                <w:sz w:val="22"/>
                <w:szCs w:val="22"/>
              </w:rPr>
              <w:t xml:space="preserve"> punktā nosaka, ka ESKO atlases ietvaros </w:t>
            </w:r>
            <w:r w:rsidRPr="000E23A0">
              <w:rPr>
                <w:b/>
                <w:sz w:val="22"/>
                <w:szCs w:val="22"/>
              </w:rPr>
              <w:t>pasūtītājam (dzīvokļu īpašnieku pilnvarotajai personai) būs jāievēro prasības par interešu konflikta neesamību</w:t>
            </w:r>
            <w:r w:rsidRPr="000E23A0">
              <w:rPr>
                <w:bCs/>
                <w:sz w:val="22"/>
                <w:szCs w:val="22"/>
              </w:rPr>
              <w:t xml:space="preserve">, kā arī sabiedrības “Altum” norādījumi, kas šajā gadījumā būs ESKO atlases vadlīnijas.” Prasība, ka pilnvarotā persona un ESKO </w:t>
            </w:r>
            <w:r w:rsidRPr="000E23A0">
              <w:rPr>
                <w:bCs/>
                <w:sz w:val="22"/>
                <w:szCs w:val="22"/>
              </w:rPr>
              <w:lastRenderedPageBreak/>
              <w:t>nedrīkst būt interešu konfliktā</w:t>
            </w:r>
            <w:r w:rsidR="00CB7801" w:rsidRPr="000E23A0">
              <w:rPr>
                <w:bCs/>
                <w:sz w:val="22"/>
                <w:szCs w:val="22"/>
              </w:rPr>
              <w:t xml:space="preserve"> izslēdz iespēju ESKO būt dzīvokļu īpašnieku pilnvarotajai personai. </w:t>
            </w:r>
            <w:r w:rsidR="00A5128B" w:rsidRPr="000E23A0">
              <w:rPr>
                <w:bCs/>
                <w:sz w:val="22"/>
                <w:szCs w:val="22"/>
              </w:rPr>
              <w:t>Ekonomikas ministrijas ieskatā tas ir skaidr</w:t>
            </w:r>
            <w:r w:rsidR="00DB77E1" w:rsidRPr="000E23A0">
              <w:rPr>
                <w:bCs/>
                <w:sz w:val="22"/>
                <w:szCs w:val="22"/>
              </w:rPr>
              <w:t>i</w:t>
            </w:r>
            <w:r w:rsidR="00A5128B" w:rsidRPr="000E23A0">
              <w:rPr>
                <w:bCs/>
                <w:sz w:val="22"/>
                <w:szCs w:val="22"/>
              </w:rPr>
              <w:t xml:space="preserve"> norādīts gan noteikumu projektā iekļautajās normās, gan noteikumu projekta anotācijā.</w:t>
            </w:r>
          </w:p>
        </w:tc>
        <w:tc>
          <w:tcPr>
            <w:tcW w:w="2835" w:type="dxa"/>
            <w:tcBorders>
              <w:top w:val="single" w:sz="4" w:space="0" w:color="auto"/>
              <w:left w:val="single" w:sz="4" w:space="0" w:color="auto"/>
              <w:bottom w:val="single" w:sz="4" w:space="0" w:color="000000"/>
            </w:tcBorders>
          </w:tcPr>
          <w:p w14:paraId="36999B2F" w14:textId="288452CE" w:rsidR="00C97E9E" w:rsidRPr="000E23A0" w:rsidRDefault="00EB0E49" w:rsidP="00C97E9E">
            <w:pPr>
              <w:jc w:val="both"/>
              <w:rPr>
                <w:b/>
                <w:bCs/>
                <w:sz w:val="22"/>
                <w:szCs w:val="22"/>
              </w:rPr>
            </w:pPr>
            <w:r w:rsidRPr="000E23A0">
              <w:rPr>
                <w:b/>
                <w:bCs/>
                <w:sz w:val="22"/>
                <w:szCs w:val="22"/>
              </w:rPr>
              <w:lastRenderedPageBreak/>
              <w:t xml:space="preserve">Noteikumu projekts papildināts ar </w:t>
            </w:r>
            <w:r w:rsidR="00E704AC" w:rsidRPr="000E23A0">
              <w:rPr>
                <w:b/>
                <w:bCs/>
                <w:sz w:val="22"/>
                <w:szCs w:val="22"/>
              </w:rPr>
              <w:t>6</w:t>
            </w:r>
            <w:r w:rsidRPr="000E23A0">
              <w:rPr>
                <w:b/>
                <w:bCs/>
                <w:sz w:val="22"/>
                <w:szCs w:val="22"/>
              </w:rPr>
              <w:t>.</w:t>
            </w:r>
            <w:r w:rsidR="00C97E9E" w:rsidRPr="000E23A0">
              <w:rPr>
                <w:b/>
                <w:bCs/>
                <w:sz w:val="22"/>
                <w:szCs w:val="22"/>
              </w:rPr>
              <w:t xml:space="preserve"> un </w:t>
            </w:r>
            <w:r w:rsidR="00E704AC" w:rsidRPr="000E23A0">
              <w:rPr>
                <w:b/>
                <w:bCs/>
                <w:sz w:val="22"/>
                <w:szCs w:val="22"/>
              </w:rPr>
              <w:t>7</w:t>
            </w:r>
            <w:r w:rsidR="00C97E9E" w:rsidRPr="000E23A0">
              <w:rPr>
                <w:b/>
                <w:bCs/>
                <w:sz w:val="22"/>
                <w:szCs w:val="22"/>
              </w:rPr>
              <w:t>.</w:t>
            </w:r>
            <w:r w:rsidRPr="000E23A0">
              <w:rPr>
                <w:b/>
                <w:bCs/>
                <w:sz w:val="22"/>
                <w:szCs w:val="22"/>
              </w:rPr>
              <w:t>punktu šādā redakcijā:</w:t>
            </w:r>
          </w:p>
          <w:p w14:paraId="4CDBD141" w14:textId="233650E0" w:rsidR="00C97E9E" w:rsidRPr="000E23A0" w:rsidRDefault="00E704AC" w:rsidP="00C97E9E">
            <w:pPr>
              <w:jc w:val="both"/>
              <w:rPr>
                <w:sz w:val="22"/>
                <w:szCs w:val="22"/>
              </w:rPr>
            </w:pPr>
            <w:r w:rsidRPr="000E23A0">
              <w:rPr>
                <w:sz w:val="22"/>
                <w:szCs w:val="22"/>
              </w:rPr>
              <w:t>“6</w:t>
            </w:r>
            <w:r w:rsidR="00C97E9E" w:rsidRPr="000E23A0">
              <w:rPr>
                <w:sz w:val="22"/>
                <w:szCs w:val="22"/>
              </w:rPr>
              <w:t>.</w:t>
            </w:r>
            <w:r w:rsidR="00C97E9E" w:rsidRPr="000E23A0">
              <w:rPr>
                <w:sz w:val="22"/>
                <w:szCs w:val="22"/>
              </w:rPr>
              <w:tab/>
              <w:t>68.</w:t>
            </w:r>
            <w:r w:rsidR="00C97E9E" w:rsidRPr="000E23A0">
              <w:rPr>
                <w:sz w:val="22"/>
                <w:szCs w:val="22"/>
                <w:vertAlign w:val="superscript"/>
              </w:rPr>
              <w:t>3</w:t>
            </w:r>
            <w:r w:rsidR="00C97E9E" w:rsidRPr="000E23A0">
              <w:rPr>
                <w:sz w:val="22"/>
                <w:szCs w:val="22"/>
              </w:rPr>
              <w:t xml:space="preserve"> punkta ievaddaļā vārdu “īpašnieki” aizstāt ar vārdu savienojumu “īpašnieku pilnvarotā persona”.</w:t>
            </w:r>
          </w:p>
          <w:p w14:paraId="1FA9A149" w14:textId="5BAA38C1" w:rsidR="00EB0E49" w:rsidRPr="000E23A0" w:rsidRDefault="00E704AC" w:rsidP="00C97E9E">
            <w:pPr>
              <w:jc w:val="both"/>
              <w:rPr>
                <w:sz w:val="22"/>
                <w:szCs w:val="22"/>
              </w:rPr>
            </w:pPr>
            <w:r w:rsidRPr="000E23A0">
              <w:rPr>
                <w:sz w:val="22"/>
                <w:szCs w:val="22"/>
              </w:rPr>
              <w:t>7</w:t>
            </w:r>
            <w:r w:rsidR="00C97E9E" w:rsidRPr="000E23A0">
              <w:rPr>
                <w:sz w:val="22"/>
                <w:szCs w:val="22"/>
              </w:rPr>
              <w:t>.</w:t>
            </w:r>
            <w:r w:rsidR="00C97E9E" w:rsidRPr="000E23A0">
              <w:rPr>
                <w:sz w:val="22"/>
                <w:szCs w:val="22"/>
              </w:rPr>
              <w:tab/>
              <w:t>68.</w:t>
            </w:r>
            <w:r w:rsidR="00C97E9E" w:rsidRPr="000E23A0">
              <w:rPr>
                <w:sz w:val="22"/>
                <w:szCs w:val="22"/>
                <w:vertAlign w:val="superscript"/>
              </w:rPr>
              <w:t>4</w:t>
            </w:r>
            <w:r w:rsidR="00C97E9E" w:rsidRPr="000E23A0">
              <w:rPr>
                <w:sz w:val="22"/>
                <w:szCs w:val="22"/>
              </w:rPr>
              <w:t xml:space="preserve"> punktā vārdu “īpašniekiem” aizstāt ar vārdu savienojumu “īpašnieku pilnvarotajai personai”.</w:t>
            </w:r>
          </w:p>
          <w:p w14:paraId="2FD33C99" w14:textId="77777777" w:rsidR="009A7B3F" w:rsidRPr="000E23A0" w:rsidRDefault="009A7B3F" w:rsidP="00C97E9E">
            <w:pPr>
              <w:jc w:val="both"/>
              <w:rPr>
                <w:sz w:val="22"/>
                <w:szCs w:val="22"/>
              </w:rPr>
            </w:pPr>
          </w:p>
          <w:p w14:paraId="2B0D19BF" w14:textId="02A3691D" w:rsidR="009A7B3F" w:rsidRPr="000E23A0" w:rsidRDefault="009A7B3F" w:rsidP="00C97E9E">
            <w:pPr>
              <w:jc w:val="both"/>
              <w:rPr>
                <w:b/>
                <w:bCs/>
                <w:sz w:val="22"/>
                <w:szCs w:val="22"/>
                <w:highlight w:val="yellow"/>
              </w:rPr>
            </w:pPr>
            <w:r w:rsidRPr="000E23A0">
              <w:rPr>
                <w:b/>
                <w:bCs/>
                <w:sz w:val="22"/>
                <w:szCs w:val="22"/>
              </w:rPr>
              <w:t>Precizēta noteikumu projekta anotācija</w:t>
            </w:r>
          </w:p>
        </w:tc>
      </w:tr>
      <w:tr w:rsidR="000E23A0" w:rsidRPr="000E23A0" w14:paraId="68B407E9" w14:textId="77777777" w:rsidTr="00AC3FB0">
        <w:tc>
          <w:tcPr>
            <w:tcW w:w="716" w:type="dxa"/>
            <w:tcBorders>
              <w:left w:val="single" w:sz="6" w:space="0" w:color="000000"/>
              <w:right w:val="single" w:sz="4" w:space="0" w:color="auto"/>
            </w:tcBorders>
          </w:tcPr>
          <w:p w14:paraId="1E62AADF" w14:textId="77777777" w:rsidR="005B4E81" w:rsidRPr="000E23A0" w:rsidRDefault="005B4E81" w:rsidP="008E5CEE">
            <w:pPr>
              <w:pStyle w:val="ListParagraph"/>
              <w:numPr>
                <w:ilvl w:val="0"/>
                <w:numId w:val="1"/>
              </w:numPr>
              <w:spacing w:after="0" w:line="240" w:lineRule="auto"/>
              <w:ind w:left="357" w:hanging="357"/>
              <w:rPr>
                <w:rFonts w:ascii="Times New Roman" w:hAnsi="Times New Roman"/>
              </w:rPr>
            </w:pPr>
          </w:p>
        </w:tc>
        <w:tc>
          <w:tcPr>
            <w:tcW w:w="3086" w:type="dxa"/>
            <w:vMerge w:val="restart"/>
            <w:tcBorders>
              <w:top w:val="single" w:sz="4" w:space="0" w:color="auto"/>
              <w:left w:val="single" w:sz="4" w:space="0" w:color="auto"/>
              <w:right w:val="single" w:sz="4" w:space="0" w:color="auto"/>
            </w:tcBorders>
          </w:tcPr>
          <w:p w14:paraId="4A41F817" w14:textId="5F1A2A87" w:rsidR="005B4E81" w:rsidRPr="000E23A0" w:rsidRDefault="005B4E81" w:rsidP="004F3A9F">
            <w:pPr>
              <w:pStyle w:val="naisc"/>
              <w:spacing w:before="0" w:after="0"/>
              <w:jc w:val="both"/>
              <w:rPr>
                <w:b/>
                <w:sz w:val="22"/>
                <w:szCs w:val="22"/>
              </w:rPr>
            </w:pPr>
            <w:r w:rsidRPr="000E23A0">
              <w:rPr>
                <w:b/>
                <w:sz w:val="22"/>
                <w:szCs w:val="22"/>
              </w:rPr>
              <w:t>MK noteikumu projekts</w:t>
            </w:r>
          </w:p>
        </w:tc>
        <w:tc>
          <w:tcPr>
            <w:tcW w:w="3845" w:type="dxa"/>
            <w:tcBorders>
              <w:left w:val="single" w:sz="4" w:space="0" w:color="auto"/>
              <w:bottom w:val="single" w:sz="4" w:space="0" w:color="auto"/>
              <w:right w:val="single" w:sz="6" w:space="0" w:color="000000"/>
            </w:tcBorders>
          </w:tcPr>
          <w:p w14:paraId="0F675C80" w14:textId="431DE3CA" w:rsidR="005B4E81" w:rsidRPr="000E23A0" w:rsidRDefault="005B4E81" w:rsidP="00D353C9">
            <w:pPr>
              <w:pStyle w:val="naisc"/>
              <w:spacing w:before="0" w:after="0"/>
              <w:jc w:val="both"/>
              <w:rPr>
                <w:b/>
                <w:sz w:val="22"/>
                <w:szCs w:val="22"/>
              </w:rPr>
            </w:pPr>
            <w:r w:rsidRPr="000E23A0">
              <w:rPr>
                <w:b/>
                <w:sz w:val="22"/>
                <w:szCs w:val="22"/>
              </w:rPr>
              <w:t>Finanšu ministrijas 27.09.2019. 3.iebildums:</w:t>
            </w:r>
          </w:p>
          <w:p w14:paraId="5FD772BB" w14:textId="43C3B3D6" w:rsidR="005B4E81" w:rsidRPr="000E23A0" w:rsidRDefault="005B4E81" w:rsidP="00BA728C">
            <w:pPr>
              <w:jc w:val="both"/>
              <w:rPr>
                <w:sz w:val="22"/>
                <w:szCs w:val="22"/>
              </w:rPr>
            </w:pPr>
            <w:r w:rsidRPr="000E23A0">
              <w:rPr>
                <w:sz w:val="22"/>
                <w:szCs w:val="22"/>
              </w:rPr>
              <w:t>“ 3.</w:t>
            </w:r>
            <w:r w:rsidRPr="000E23A0">
              <w:rPr>
                <w:sz w:val="22"/>
                <w:szCs w:val="22"/>
              </w:rPr>
              <w:tab/>
              <w:t xml:space="preserve">Vēršam uzmanību, ka no Eiropas Savienības Tiesu judikatūras izriet, ka gadījumā, ja komercdarbības atbalsta saņēmējs ir pārkāpis Komisijas 2013.gada 18.decembra Regulas (ES) Nr.1407/2013 par Līguma par Eiropas Savienības darbību 107. un 108.panta piemērošanu </w:t>
            </w:r>
            <w:proofErr w:type="spellStart"/>
            <w:r w:rsidRPr="000E23A0">
              <w:rPr>
                <w:sz w:val="22"/>
                <w:szCs w:val="22"/>
              </w:rPr>
              <w:t>de</w:t>
            </w:r>
            <w:proofErr w:type="spellEnd"/>
            <w:r w:rsidRPr="000E23A0">
              <w:rPr>
                <w:sz w:val="22"/>
                <w:szCs w:val="22"/>
              </w:rPr>
              <w:t xml:space="preserve"> </w:t>
            </w:r>
            <w:proofErr w:type="spellStart"/>
            <w:r w:rsidRPr="000E23A0">
              <w:rPr>
                <w:sz w:val="22"/>
                <w:szCs w:val="22"/>
              </w:rPr>
              <w:t>minimis</w:t>
            </w:r>
            <w:proofErr w:type="spellEnd"/>
            <w:r w:rsidRPr="000E23A0">
              <w:rPr>
                <w:sz w:val="22"/>
                <w:szCs w:val="22"/>
              </w:rPr>
              <w:t xml:space="preserve"> atbalstam (turpmāk – Komisijas regula Nr.1407/2013), prasības, atbalsta sniedzējs pats pēc savas iniciatīvas veic visa nelikumīgā komercdarbības atbalsta atgūšanu un tam ir jāpieprasa no šī atbalsta saņēmēja procenti par visu laikposmu, kurā tas ir guvis labumu no šī atbalsta, pēc likmes, kas vienāda ar likmi, kura būtu tikusi piemērota, ja šim atbalsta saņēmējam minētajā laikposmā attiecīgā atbalsta summa būtu bijusi jāaizņemas tirgū</w:t>
            </w:r>
            <w:r w:rsidRPr="000E23A0">
              <w:rPr>
                <w:rStyle w:val="FootnoteReference"/>
                <w:sz w:val="22"/>
                <w:szCs w:val="22"/>
              </w:rPr>
              <w:footnoteReference w:id="2"/>
            </w:r>
            <w:r w:rsidRPr="000E23A0">
              <w:rPr>
                <w:sz w:val="22"/>
                <w:szCs w:val="22"/>
              </w:rPr>
              <w:t xml:space="preserve">. Attiecīgi, ja ir pārkāptas Komisijas regulas Nr.1407/2013 prasības, atbalsta saņēmējam ir pienākums atmaksāt atbalsta sniedzējam visu projekta ietvaros saņemto komercdarbības atbalstu kopā ar procentiem, ko publicē Eiropas Komisija </w:t>
            </w:r>
            <w:r w:rsidRPr="000E23A0">
              <w:rPr>
                <w:sz w:val="22"/>
                <w:szCs w:val="22"/>
              </w:rPr>
              <w:lastRenderedPageBreak/>
              <w:t xml:space="preserve">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 Ņemot vērā augstāk minēto, lūdzam papildināt noteikumu projektu ar jaunu punktu, kas paredz komercdarbības atbalsta atgūšanu kopā ar procentiem, norādot, ka ja komercdarbības atbalsta saņēmējs ir pārkāpis Komisijas regulas Nr.1407/2013 prasības, komercdarbības atbalsta saņēmējam ir pienākums atmaksāt [institūcijai – atbalsta sniedzējam] visu projekta ietvaros saņemto komercdarbības atbalstu, kas piešķirts saskaņā ar konkrēto regulu, kopā ar procentiem, ko publicē Eiropas Komisija saskaņā ar Komisijas 2004.gada 21.aprīļa regulas (EK) Nr.794/2004, ar ko īsteno Padomes Regulu (ES) 2015/1589, ar ko nosaka sīki izstrādātus noteikumus Līguma par Eiropas Savienības darbību 108. panta </w:t>
            </w:r>
            <w:r w:rsidRPr="000E23A0">
              <w:rPr>
                <w:sz w:val="22"/>
                <w:szCs w:val="22"/>
              </w:rPr>
              <w:lastRenderedPageBreak/>
              <w:t>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4394" w:type="dxa"/>
            <w:tcBorders>
              <w:left w:val="single" w:sz="6" w:space="0" w:color="000000"/>
              <w:bottom w:val="single" w:sz="4" w:space="0" w:color="auto"/>
              <w:right w:val="single" w:sz="6" w:space="0" w:color="000000"/>
            </w:tcBorders>
          </w:tcPr>
          <w:p w14:paraId="75B086B1" w14:textId="3B8F2B16" w:rsidR="005B4E81" w:rsidRPr="000E23A0" w:rsidRDefault="005B4E81" w:rsidP="00D353C9">
            <w:pPr>
              <w:pStyle w:val="naisc"/>
              <w:spacing w:before="0" w:after="0"/>
              <w:rPr>
                <w:b/>
                <w:sz w:val="22"/>
                <w:szCs w:val="22"/>
              </w:rPr>
            </w:pPr>
            <w:r w:rsidRPr="000E23A0">
              <w:rPr>
                <w:b/>
                <w:sz w:val="22"/>
                <w:szCs w:val="22"/>
              </w:rPr>
              <w:lastRenderedPageBreak/>
              <w:t>Ņemts vērā</w:t>
            </w:r>
          </w:p>
          <w:p w14:paraId="67594ABF" w14:textId="4245768B" w:rsidR="005B4E81" w:rsidRPr="000E23A0" w:rsidRDefault="005B4E81" w:rsidP="00D353C9">
            <w:pPr>
              <w:pStyle w:val="naisc"/>
              <w:spacing w:before="0" w:after="0"/>
              <w:jc w:val="both"/>
              <w:rPr>
                <w:sz w:val="22"/>
                <w:szCs w:val="22"/>
              </w:rPr>
            </w:pPr>
          </w:p>
        </w:tc>
        <w:tc>
          <w:tcPr>
            <w:tcW w:w="2835" w:type="dxa"/>
            <w:tcBorders>
              <w:top w:val="single" w:sz="4" w:space="0" w:color="auto"/>
              <w:left w:val="single" w:sz="4" w:space="0" w:color="auto"/>
              <w:bottom w:val="single" w:sz="4" w:space="0" w:color="auto"/>
            </w:tcBorders>
          </w:tcPr>
          <w:p w14:paraId="69DA143A" w14:textId="58802E18" w:rsidR="005B4E81" w:rsidRPr="000E23A0" w:rsidRDefault="005B4E81" w:rsidP="00BA728C">
            <w:pPr>
              <w:jc w:val="both"/>
              <w:rPr>
                <w:b/>
                <w:bCs/>
                <w:sz w:val="22"/>
                <w:szCs w:val="22"/>
              </w:rPr>
            </w:pPr>
            <w:r w:rsidRPr="000E23A0">
              <w:rPr>
                <w:b/>
                <w:bCs/>
                <w:sz w:val="22"/>
                <w:szCs w:val="22"/>
              </w:rPr>
              <w:t xml:space="preserve">MK noteikumu projekts papildināts ar </w:t>
            </w:r>
            <w:r w:rsidR="00E704AC" w:rsidRPr="000E23A0">
              <w:rPr>
                <w:b/>
                <w:bCs/>
                <w:sz w:val="22"/>
                <w:szCs w:val="22"/>
              </w:rPr>
              <w:t>6</w:t>
            </w:r>
            <w:r w:rsidRPr="000E23A0">
              <w:rPr>
                <w:b/>
                <w:bCs/>
                <w:sz w:val="22"/>
                <w:szCs w:val="22"/>
              </w:rPr>
              <w:t>. punktu šādā redakcijā:</w:t>
            </w:r>
          </w:p>
          <w:p w14:paraId="7334D65D" w14:textId="01B2BDFF" w:rsidR="005B4E81" w:rsidRPr="000E23A0" w:rsidRDefault="005B4E81" w:rsidP="00BA728C">
            <w:pPr>
              <w:jc w:val="both"/>
              <w:rPr>
                <w:sz w:val="22"/>
                <w:szCs w:val="22"/>
              </w:rPr>
            </w:pPr>
            <w:r w:rsidRPr="000E23A0">
              <w:rPr>
                <w:sz w:val="22"/>
                <w:szCs w:val="22"/>
              </w:rPr>
              <w:t>“</w:t>
            </w:r>
            <w:r w:rsidR="00E704AC" w:rsidRPr="000E23A0">
              <w:rPr>
                <w:sz w:val="22"/>
                <w:szCs w:val="22"/>
              </w:rPr>
              <w:t xml:space="preserve">6. </w:t>
            </w:r>
            <w:r w:rsidRPr="000E23A0">
              <w:rPr>
                <w:sz w:val="22"/>
                <w:szCs w:val="22"/>
              </w:rPr>
              <w:t>Papildināt noteikumus ar 87</w:t>
            </w:r>
            <w:r w:rsidRPr="000E23A0">
              <w:rPr>
                <w:sz w:val="22"/>
                <w:szCs w:val="22"/>
                <w:vertAlign w:val="superscript"/>
              </w:rPr>
              <w:t>1</w:t>
            </w:r>
            <w:r w:rsidRPr="000E23A0">
              <w:rPr>
                <w:sz w:val="22"/>
                <w:szCs w:val="22"/>
              </w:rPr>
              <w:t>. punktu šādā redakcijā:</w:t>
            </w:r>
          </w:p>
          <w:p w14:paraId="679560EB" w14:textId="2DD6447B" w:rsidR="005B4E81" w:rsidRPr="000E23A0" w:rsidRDefault="005B4E81" w:rsidP="00922F66">
            <w:pPr>
              <w:pStyle w:val="naisc"/>
              <w:jc w:val="both"/>
              <w:rPr>
                <w:sz w:val="22"/>
                <w:szCs w:val="22"/>
              </w:rPr>
            </w:pPr>
            <w:r w:rsidRPr="000E23A0">
              <w:rPr>
                <w:sz w:val="22"/>
                <w:szCs w:val="22"/>
              </w:rPr>
              <w:t>"87</w:t>
            </w:r>
            <w:r w:rsidRPr="000E23A0">
              <w:rPr>
                <w:sz w:val="22"/>
                <w:szCs w:val="22"/>
                <w:vertAlign w:val="superscript"/>
              </w:rPr>
              <w:t>1</w:t>
            </w:r>
            <w:r w:rsidRPr="000E23A0">
              <w:rPr>
                <w:sz w:val="22"/>
                <w:szCs w:val="22"/>
              </w:rPr>
              <w:t xml:space="preserve">. Ja finansējuma saņēmējs ir pārkāpis Komisijas regulas Nr. 1407/2013 prasības, iesniedzējam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w:t>
            </w:r>
            <w:r w:rsidRPr="000E23A0">
              <w:rPr>
                <w:sz w:val="22"/>
                <w:szCs w:val="22"/>
              </w:rPr>
              <w:lastRenderedPageBreak/>
              <w:t>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tc>
      </w:tr>
      <w:tr w:rsidR="000E23A0" w:rsidRPr="000E23A0" w14:paraId="45B47D5B" w14:textId="77777777" w:rsidTr="00AC3FB0">
        <w:tc>
          <w:tcPr>
            <w:tcW w:w="716" w:type="dxa"/>
            <w:tcBorders>
              <w:left w:val="single" w:sz="6" w:space="0" w:color="000000"/>
              <w:right w:val="single" w:sz="4" w:space="0" w:color="auto"/>
            </w:tcBorders>
          </w:tcPr>
          <w:p w14:paraId="252C6D01" w14:textId="77777777" w:rsidR="005B4E81" w:rsidRPr="000E23A0" w:rsidRDefault="005B4E81" w:rsidP="00BA728C">
            <w:pPr>
              <w:rPr>
                <w:sz w:val="22"/>
                <w:szCs w:val="22"/>
              </w:rPr>
            </w:pPr>
          </w:p>
        </w:tc>
        <w:tc>
          <w:tcPr>
            <w:tcW w:w="3086" w:type="dxa"/>
            <w:vMerge/>
            <w:tcBorders>
              <w:left w:val="single" w:sz="4" w:space="0" w:color="auto"/>
              <w:right w:val="single" w:sz="4" w:space="0" w:color="auto"/>
            </w:tcBorders>
          </w:tcPr>
          <w:p w14:paraId="345E79F5" w14:textId="77777777" w:rsidR="005B4E81" w:rsidRPr="000E23A0" w:rsidRDefault="005B4E81" w:rsidP="004F3A9F">
            <w:pPr>
              <w:pStyle w:val="naisc"/>
              <w:spacing w:before="0" w:after="0"/>
              <w:jc w:val="both"/>
              <w:rPr>
                <w:b/>
                <w:sz w:val="22"/>
                <w:szCs w:val="22"/>
              </w:rPr>
            </w:pPr>
          </w:p>
        </w:tc>
        <w:tc>
          <w:tcPr>
            <w:tcW w:w="3845" w:type="dxa"/>
            <w:tcBorders>
              <w:top w:val="single" w:sz="4" w:space="0" w:color="auto"/>
              <w:left w:val="single" w:sz="4" w:space="0" w:color="auto"/>
              <w:bottom w:val="single" w:sz="4" w:space="0" w:color="auto"/>
              <w:right w:val="single" w:sz="4" w:space="0" w:color="auto"/>
            </w:tcBorders>
          </w:tcPr>
          <w:p w14:paraId="5AE033BA" w14:textId="239AC049" w:rsidR="005B4E81" w:rsidRPr="000E23A0" w:rsidRDefault="005B4E81" w:rsidP="00BA728C">
            <w:pPr>
              <w:pStyle w:val="naisc"/>
              <w:spacing w:before="0" w:after="0"/>
              <w:jc w:val="both"/>
              <w:rPr>
                <w:b/>
                <w:sz w:val="22"/>
                <w:szCs w:val="22"/>
              </w:rPr>
            </w:pPr>
            <w:r w:rsidRPr="000E23A0">
              <w:rPr>
                <w:b/>
                <w:sz w:val="22"/>
                <w:szCs w:val="22"/>
              </w:rPr>
              <w:t>Finanšu ministrijas 11.10.2019. 2.iebildums:</w:t>
            </w:r>
          </w:p>
          <w:p w14:paraId="2779877E" w14:textId="69B4B9E0" w:rsidR="005B4E81" w:rsidRPr="000E23A0" w:rsidRDefault="005B4E81" w:rsidP="00D353C9">
            <w:pPr>
              <w:pStyle w:val="naisc"/>
              <w:spacing w:before="0" w:after="0"/>
              <w:jc w:val="both"/>
              <w:rPr>
                <w:bCs/>
                <w:sz w:val="22"/>
                <w:szCs w:val="22"/>
                <w:highlight w:val="yellow"/>
              </w:rPr>
            </w:pPr>
            <w:r w:rsidRPr="000E23A0">
              <w:rPr>
                <w:bCs/>
                <w:sz w:val="22"/>
                <w:szCs w:val="22"/>
              </w:rPr>
              <w:t>“ 2.</w:t>
            </w:r>
            <w:r w:rsidRPr="000E23A0">
              <w:rPr>
                <w:bCs/>
                <w:sz w:val="22"/>
                <w:szCs w:val="22"/>
              </w:rPr>
              <w:tab/>
              <w:t>Ievērojot noteikumu projekta 5.punktā ietvertajā 87.</w:t>
            </w:r>
            <w:r w:rsidRPr="000E23A0">
              <w:rPr>
                <w:bCs/>
                <w:sz w:val="22"/>
                <w:szCs w:val="22"/>
                <w:vertAlign w:val="superscript"/>
              </w:rPr>
              <w:t>1</w:t>
            </w:r>
            <w:r w:rsidRPr="000E23A0">
              <w:rPr>
                <w:bCs/>
                <w:sz w:val="22"/>
                <w:szCs w:val="22"/>
              </w:rPr>
              <w:t xml:space="preserve"> punktā veiktos precizējumus, lūdzam pievērst uzmanību tam, ka šobrīd šajā tiesību normā tiek lietots termins “finansējuma saņēmējs” un “iesniedzējs”, kas potenciāli rada juridisku neskaidrību. Ievērojot to, ka komercdarbības atbalsts, kas sniegts saskaņā ar Komisijas 2013.gada 18.decembra Regulu (ES) Nr.1407/2013 par Līguma par Eiropas Savienības darbību 107. un 108.panta piemērošanu </w:t>
            </w:r>
            <w:proofErr w:type="spellStart"/>
            <w:r w:rsidRPr="000E23A0">
              <w:rPr>
                <w:bCs/>
                <w:sz w:val="22"/>
                <w:szCs w:val="22"/>
              </w:rPr>
              <w:t>de</w:t>
            </w:r>
            <w:proofErr w:type="spellEnd"/>
            <w:r w:rsidRPr="000E23A0">
              <w:rPr>
                <w:bCs/>
                <w:sz w:val="22"/>
                <w:szCs w:val="22"/>
              </w:rPr>
              <w:t xml:space="preserve"> </w:t>
            </w:r>
            <w:proofErr w:type="spellStart"/>
            <w:r w:rsidRPr="000E23A0">
              <w:rPr>
                <w:bCs/>
                <w:sz w:val="22"/>
                <w:szCs w:val="22"/>
              </w:rPr>
              <w:t>minimis</w:t>
            </w:r>
            <w:proofErr w:type="spellEnd"/>
            <w:r w:rsidRPr="000E23A0">
              <w:rPr>
                <w:bCs/>
                <w:sz w:val="22"/>
                <w:szCs w:val="22"/>
              </w:rPr>
              <w:t xml:space="preserve"> atbalstam (turpmāk – Komisijas regula Nr.1407/2013), Komisijas regulas Nr.1407/2013 pārkāpuma gadījumā, ir atgūstams no tā subjekta, kas šo atbalstu ir saņēmis, aicinām atbilstoši precizēt noteikumu projekta 5.punktā ietverto 87.</w:t>
            </w:r>
            <w:r w:rsidRPr="000E23A0">
              <w:rPr>
                <w:bCs/>
                <w:sz w:val="22"/>
                <w:szCs w:val="22"/>
                <w:vertAlign w:val="superscript"/>
              </w:rPr>
              <w:t>1</w:t>
            </w:r>
            <w:r w:rsidRPr="000E23A0">
              <w:rPr>
                <w:bCs/>
                <w:sz w:val="22"/>
                <w:szCs w:val="22"/>
              </w:rPr>
              <w:t xml:space="preserve"> punktu.”</w:t>
            </w:r>
          </w:p>
        </w:tc>
        <w:tc>
          <w:tcPr>
            <w:tcW w:w="4394" w:type="dxa"/>
            <w:tcBorders>
              <w:top w:val="single" w:sz="4" w:space="0" w:color="auto"/>
              <w:left w:val="single" w:sz="4" w:space="0" w:color="auto"/>
              <w:bottom w:val="single" w:sz="4" w:space="0" w:color="auto"/>
              <w:right w:val="single" w:sz="4" w:space="0" w:color="auto"/>
            </w:tcBorders>
          </w:tcPr>
          <w:p w14:paraId="19B817E6" w14:textId="77777777" w:rsidR="005B4E81" w:rsidRPr="000E23A0" w:rsidRDefault="005B4E81" w:rsidP="00BA728C">
            <w:pPr>
              <w:pStyle w:val="naisc"/>
              <w:spacing w:before="0" w:after="0"/>
              <w:rPr>
                <w:b/>
                <w:sz w:val="22"/>
                <w:szCs w:val="22"/>
              </w:rPr>
            </w:pPr>
            <w:r w:rsidRPr="000E23A0">
              <w:rPr>
                <w:b/>
                <w:sz w:val="22"/>
                <w:szCs w:val="22"/>
              </w:rPr>
              <w:t>Ņemts vērā</w:t>
            </w:r>
          </w:p>
          <w:p w14:paraId="7C4FBE4B" w14:textId="4E7DC1F8" w:rsidR="00DB77E1" w:rsidRPr="000E23A0" w:rsidRDefault="00DB77E1" w:rsidP="00DB77E1">
            <w:pPr>
              <w:pStyle w:val="naisc"/>
              <w:spacing w:before="0" w:after="0"/>
              <w:jc w:val="both"/>
              <w:rPr>
                <w:bCs/>
                <w:sz w:val="22"/>
                <w:szCs w:val="22"/>
                <w:highlight w:val="yellow"/>
              </w:rPr>
            </w:pPr>
            <w:r w:rsidRPr="000E23A0">
              <w:rPr>
                <w:bCs/>
                <w:sz w:val="22"/>
                <w:szCs w:val="22"/>
              </w:rPr>
              <w:t>Papildus norma precizēta ņemot vērā MK noteikumos Nr.160 lietoto terminoloģiju.</w:t>
            </w:r>
          </w:p>
        </w:tc>
        <w:tc>
          <w:tcPr>
            <w:tcW w:w="2835" w:type="dxa"/>
            <w:vMerge w:val="restart"/>
            <w:tcBorders>
              <w:top w:val="single" w:sz="4" w:space="0" w:color="auto"/>
              <w:left w:val="single" w:sz="4" w:space="0" w:color="auto"/>
            </w:tcBorders>
          </w:tcPr>
          <w:p w14:paraId="684D20E4" w14:textId="68F3D4E5" w:rsidR="005B4E81" w:rsidRPr="000E23A0" w:rsidRDefault="005B4E81" w:rsidP="008E5CEE">
            <w:pPr>
              <w:jc w:val="both"/>
              <w:rPr>
                <w:b/>
                <w:bCs/>
                <w:sz w:val="22"/>
                <w:szCs w:val="22"/>
              </w:rPr>
            </w:pPr>
            <w:r w:rsidRPr="000E23A0">
              <w:rPr>
                <w:b/>
                <w:bCs/>
                <w:sz w:val="22"/>
                <w:szCs w:val="22"/>
              </w:rPr>
              <w:t xml:space="preserve">Noteikumu projekta </w:t>
            </w:r>
            <w:r w:rsidR="00E704AC" w:rsidRPr="000E23A0">
              <w:rPr>
                <w:b/>
                <w:bCs/>
                <w:sz w:val="22"/>
                <w:szCs w:val="22"/>
              </w:rPr>
              <w:t>8</w:t>
            </w:r>
            <w:r w:rsidRPr="000E23A0">
              <w:rPr>
                <w:b/>
                <w:bCs/>
                <w:sz w:val="22"/>
                <w:szCs w:val="22"/>
              </w:rPr>
              <w:t>.punkts izteikts šādā redakcijā:</w:t>
            </w:r>
          </w:p>
          <w:p w14:paraId="576293B7" w14:textId="14B5BE7E" w:rsidR="005B4E81" w:rsidRPr="000E23A0" w:rsidRDefault="005B4E81" w:rsidP="00BA728C">
            <w:pPr>
              <w:jc w:val="both"/>
              <w:rPr>
                <w:sz w:val="22"/>
                <w:szCs w:val="22"/>
              </w:rPr>
            </w:pPr>
            <w:r w:rsidRPr="000E23A0">
              <w:rPr>
                <w:sz w:val="22"/>
                <w:szCs w:val="22"/>
              </w:rPr>
              <w:t xml:space="preserve">“ </w:t>
            </w:r>
            <w:r w:rsidR="00E704AC" w:rsidRPr="000E23A0">
              <w:rPr>
                <w:sz w:val="22"/>
                <w:szCs w:val="22"/>
              </w:rPr>
              <w:t>8</w:t>
            </w:r>
            <w:r w:rsidRPr="000E23A0">
              <w:rPr>
                <w:sz w:val="22"/>
                <w:szCs w:val="22"/>
              </w:rPr>
              <w:t>.</w:t>
            </w:r>
            <w:r w:rsidRPr="000E23A0">
              <w:rPr>
                <w:sz w:val="22"/>
                <w:szCs w:val="22"/>
              </w:rPr>
              <w:tab/>
              <w:t>Papildināt noteikumus ar 87</w:t>
            </w:r>
            <w:r w:rsidRPr="000E23A0">
              <w:rPr>
                <w:sz w:val="22"/>
                <w:szCs w:val="22"/>
                <w:vertAlign w:val="superscript"/>
              </w:rPr>
              <w:t>1</w:t>
            </w:r>
            <w:r w:rsidRPr="000E23A0">
              <w:rPr>
                <w:sz w:val="22"/>
                <w:szCs w:val="22"/>
              </w:rPr>
              <w:t>. punktu šādā redakcijā:</w:t>
            </w:r>
          </w:p>
          <w:p w14:paraId="139F801E" w14:textId="77777777" w:rsidR="005B4E81" w:rsidRPr="000E23A0" w:rsidRDefault="005B4E81" w:rsidP="00BA728C">
            <w:pPr>
              <w:jc w:val="both"/>
              <w:rPr>
                <w:sz w:val="22"/>
                <w:szCs w:val="22"/>
              </w:rPr>
            </w:pPr>
            <w:r w:rsidRPr="000E23A0">
              <w:rPr>
                <w:sz w:val="22"/>
                <w:szCs w:val="22"/>
              </w:rPr>
              <w:t>"87</w:t>
            </w:r>
            <w:r w:rsidRPr="000E23A0">
              <w:rPr>
                <w:sz w:val="22"/>
                <w:szCs w:val="22"/>
                <w:vertAlign w:val="superscript"/>
              </w:rPr>
              <w:t>1</w:t>
            </w:r>
            <w:r w:rsidRPr="000E23A0">
              <w:rPr>
                <w:sz w:val="22"/>
                <w:szCs w:val="22"/>
              </w:rPr>
              <w:t xml:space="preserve">. </w:t>
            </w:r>
            <w:r w:rsidR="00F72E3C" w:rsidRPr="000E23A0">
              <w:rPr>
                <w:sz w:val="22"/>
                <w:szCs w:val="22"/>
              </w:rPr>
              <w:t xml:space="preserve"> </w:t>
            </w:r>
            <w:r w:rsidR="00DB77E1" w:rsidRPr="000E23A0">
              <w:t xml:space="preserve"> </w:t>
            </w:r>
            <w:r w:rsidR="00DB77E1" w:rsidRPr="000E23A0">
              <w:rPr>
                <w:sz w:val="22"/>
                <w:szCs w:val="22"/>
              </w:rPr>
              <w:t>Ja šo noteikumu 79. punktā minētais dzīvokļa īpašnieks ir pārkāpis Komisijas regulas Nr. 1407/2013 prasības, tam ir pienākums atmaksāt sabiedrībai "</w:t>
            </w:r>
            <w:proofErr w:type="spellStart"/>
            <w:r w:rsidR="00DB77E1" w:rsidRPr="000E23A0">
              <w:rPr>
                <w:sz w:val="22"/>
                <w:szCs w:val="22"/>
              </w:rPr>
              <w:t>Altum</w:t>
            </w:r>
            <w:proofErr w:type="spellEnd"/>
            <w:r w:rsidR="00DB77E1" w:rsidRPr="000E23A0">
              <w:rPr>
                <w:sz w:val="22"/>
                <w:szCs w:val="22"/>
              </w:rPr>
              <w:t xml:space="preserve">" visu saņemto </w:t>
            </w:r>
            <w:proofErr w:type="spellStart"/>
            <w:r w:rsidR="00DB77E1" w:rsidRPr="000E23A0">
              <w:rPr>
                <w:sz w:val="22"/>
                <w:szCs w:val="22"/>
              </w:rPr>
              <w:t>de</w:t>
            </w:r>
            <w:proofErr w:type="spellEnd"/>
            <w:r w:rsidR="00DB77E1" w:rsidRPr="000E23A0">
              <w:rPr>
                <w:sz w:val="22"/>
                <w:szCs w:val="22"/>
              </w:rPr>
              <w:t xml:space="preserve"> </w:t>
            </w:r>
            <w:proofErr w:type="spellStart"/>
            <w:r w:rsidR="00DB77E1" w:rsidRPr="000E23A0">
              <w:rPr>
                <w:sz w:val="22"/>
                <w:szCs w:val="22"/>
              </w:rPr>
              <w:t>minimis</w:t>
            </w:r>
            <w:proofErr w:type="spellEnd"/>
            <w:r w:rsidR="00DB77E1" w:rsidRPr="000E23A0">
              <w:rPr>
                <w:sz w:val="22"/>
                <w:szCs w:val="22"/>
              </w:rPr>
              <w:t xml:space="preserve"> atbalstu, kas piešķirts saskaņā ar attiecīgo regulu, kopā ar procentiem, ko publicē Eiropas Komisija saskaņā ar Komisijas 2004. gada 21. aprīļa Regulas (EK) Nr. 794/2004, ar ko īsteno Padomes Regulu (ES) 2015/1589, ar ko nosaka sīki </w:t>
            </w:r>
            <w:r w:rsidR="00DB77E1" w:rsidRPr="000E23A0">
              <w:rPr>
                <w:sz w:val="22"/>
                <w:szCs w:val="22"/>
              </w:rPr>
              <w:lastRenderedPageBreak/>
              <w:t xml:space="preserve">izstrādātus noteikumus Līguma par Eiropas Savienības darbību 108. panta piemērošanai (turpmāk - regula Nr.  794/2004), 10. pantu, tiem pieskaitot 100 bāzes punktus, no dienas, kad </w:t>
            </w:r>
            <w:proofErr w:type="spellStart"/>
            <w:r w:rsidR="00DB77E1" w:rsidRPr="000E23A0">
              <w:rPr>
                <w:sz w:val="22"/>
                <w:szCs w:val="22"/>
              </w:rPr>
              <w:t>de</w:t>
            </w:r>
            <w:proofErr w:type="spellEnd"/>
            <w:r w:rsidR="00DB77E1" w:rsidRPr="000E23A0">
              <w:rPr>
                <w:sz w:val="22"/>
                <w:szCs w:val="22"/>
              </w:rPr>
              <w:t xml:space="preserve"> </w:t>
            </w:r>
            <w:proofErr w:type="spellStart"/>
            <w:r w:rsidR="00DB77E1" w:rsidRPr="000E23A0">
              <w:rPr>
                <w:sz w:val="22"/>
                <w:szCs w:val="22"/>
              </w:rPr>
              <w:t>minimis</w:t>
            </w:r>
            <w:proofErr w:type="spellEnd"/>
            <w:r w:rsidR="00DB77E1" w:rsidRPr="000E23A0">
              <w:rPr>
                <w:sz w:val="22"/>
                <w:szCs w:val="22"/>
              </w:rPr>
              <w:t xml:space="preserve"> atbalsts tika izmaksāts šo noteikumu 79. punktā minētajam dzīvokļa īpašniekam līdz tā atgūšanas dienai, ievērojot regulas Nr. 794/2004 11. pantā noteikto procentu likmes piemērošanas metodi.</w:t>
            </w:r>
            <w:r w:rsidRPr="000E23A0">
              <w:rPr>
                <w:sz w:val="22"/>
                <w:szCs w:val="22"/>
              </w:rPr>
              <w:t>"”</w:t>
            </w:r>
          </w:p>
          <w:p w14:paraId="2B8F8FDD" w14:textId="454DF11B" w:rsidR="00FF29CC" w:rsidRPr="000E23A0" w:rsidRDefault="00FF29CC" w:rsidP="00BA728C">
            <w:pPr>
              <w:jc w:val="both"/>
              <w:rPr>
                <w:sz w:val="22"/>
                <w:szCs w:val="22"/>
              </w:rPr>
            </w:pPr>
          </w:p>
          <w:p w14:paraId="5A276B61" w14:textId="77777777" w:rsidR="00FF29CC" w:rsidRPr="000E23A0" w:rsidRDefault="00FF29CC" w:rsidP="00BA728C">
            <w:pPr>
              <w:jc w:val="both"/>
              <w:rPr>
                <w:sz w:val="22"/>
                <w:szCs w:val="22"/>
              </w:rPr>
            </w:pPr>
          </w:p>
          <w:p w14:paraId="1A443511" w14:textId="461C4348" w:rsidR="00FF29CC" w:rsidRPr="000E23A0" w:rsidRDefault="00FF29CC" w:rsidP="00BA728C">
            <w:pPr>
              <w:jc w:val="both"/>
              <w:rPr>
                <w:sz w:val="22"/>
                <w:szCs w:val="22"/>
                <w:highlight w:val="yellow"/>
              </w:rPr>
            </w:pPr>
            <w:r w:rsidRPr="000E23A0">
              <w:rPr>
                <w:b/>
                <w:bCs/>
                <w:sz w:val="22"/>
                <w:szCs w:val="22"/>
              </w:rPr>
              <w:t>Precizēta noteikumu projekta anotācija</w:t>
            </w:r>
          </w:p>
        </w:tc>
      </w:tr>
      <w:tr w:rsidR="000E23A0" w:rsidRPr="000E23A0" w14:paraId="1A636341" w14:textId="77777777" w:rsidTr="00AC3FB0">
        <w:tc>
          <w:tcPr>
            <w:tcW w:w="716" w:type="dxa"/>
            <w:tcBorders>
              <w:left w:val="single" w:sz="6" w:space="0" w:color="000000"/>
              <w:right w:val="single" w:sz="4" w:space="0" w:color="auto"/>
            </w:tcBorders>
          </w:tcPr>
          <w:p w14:paraId="0DC29338" w14:textId="77777777" w:rsidR="005B4E81" w:rsidRPr="000E23A0" w:rsidRDefault="005B4E81" w:rsidP="00BA728C">
            <w:pPr>
              <w:rPr>
                <w:sz w:val="22"/>
                <w:szCs w:val="22"/>
              </w:rPr>
            </w:pPr>
          </w:p>
        </w:tc>
        <w:tc>
          <w:tcPr>
            <w:tcW w:w="3086" w:type="dxa"/>
            <w:vMerge/>
            <w:tcBorders>
              <w:left w:val="single" w:sz="4" w:space="0" w:color="auto"/>
              <w:bottom w:val="single" w:sz="4" w:space="0" w:color="auto"/>
              <w:right w:val="single" w:sz="4" w:space="0" w:color="auto"/>
            </w:tcBorders>
          </w:tcPr>
          <w:p w14:paraId="7C968735" w14:textId="77777777" w:rsidR="005B4E81" w:rsidRPr="000E23A0" w:rsidRDefault="005B4E81" w:rsidP="004F3A9F">
            <w:pPr>
              <w:pStyle w:val="naisc"/>
              <w:spacing w:before="0" w:after="0"/>
              <w:jc w:val="both"/>
              <w:rPr>
                <w:b/>
                <w:sz w:val="22"/>
                <w:szCs w:val="22"/>
              </w:rPr>
            </w:pPr>
          </w:p>
        </w:tc>
        <w:tc>
          <w:tcPr>
            <w:tcW w:w="3845" w:type="dxa"/>
            <w:tcBorders>
              <w:top w:val="single" w:sz="4" w:space="0" w:color="auto"/>
              <w:left w:val="single" w:sz="4" w:space="0" w:color="auto"/>
              <w:bottom w:val="single" w:sz="4" w:space="0" w:color="auto"/>
              <w:right w:val="single" w:sz="4" w:space="0" w:color="auto"/>
            </w:tcBorders>
          </w:tcPr>
          <w:p w14:paraId="0AA5C5A3" w14:textId="45D0245F" w:rsidR="005B4E81" w:rsidRPr="000E23A0" w:rsidRDefault="005B4E81" w:rsidP="00BA728C">
            <w:pPr>
              <w:pStyle w:val="naisc"/>
              <w:spacing w:before="0" w:after="0"/>
              <w:jc w:val="both"/>
              <w:rPr>
                <w:b/>
                <w:sz w:val="22"/>
                <w:szCs w:val="22"/>
              </w:rPr>
            </w:pPr>
            <w:r w:rsidRPr="000E23A0">
              <w:rPr>
                <w:b/>
                <w:sz w:val="22"/>
                <w:szCs w:val="22"/>
              </w:rPr>
              <w:t>Tieslietu ministrijas 10.10.2019. atzinuma 1.iebildums:</w:t>
            </w:r>
          </w:p>
          <w:p w14:paraId="35CE017A" w14:textId="62786D41" w:rsidR="005B4E81" w:rsidRPr="000E23A0" w:rsidRDefault="005B4E81" w:rsidP="00BA728C">
            <w:pPr>
              <w:pStyle w:val="naisc"/>
              <w:spacing w:before="0" w:after="0"/>
              <w:jc w:val="both"/>
              <w:rPr>
                <w:bCs/>
                <w:sz w:val="22"/>
                <w:szCs w:val="22"/>
                <w:highlight w:val="yellow"/>
              </w:rPr>
            </w:pPr>
            <w:r w:rsidRPr="000E23A0">
              <w:rPr>
                <w:bCs/>
                <w:sz w:val="22"/>
                <w:szCs w:val="22"/>
              </w:rPr>
              <w:lastRenderedPageBreak/>
              <w:t>“1. Noteikumu projekta 5. punktā noteikts, ka finansējuma saņēmējam ir pienākums atmaksāt piešķirto atbalstu kopā ar procentiem, kurus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un "tiem pieskaitot 100 bāzes punktus, no dienas, kad valsts atbalsts tika izmaksāts finansējuma saņēmējam līdz tā atgūšanas dienai". Norādām, ka  Regulā Nr. 794/2004 nav norādīta prasība procentiem pieskaitīt 100 bāzes punktus, no dienas, kad valsts atbalsts tika izmaksāts finansējuma saņēmējam līdz tā atgūšanas dienai. Tajā pašā laikā  Regulas Nr. 794/2004 9. panta 2. daļā ir noteikts, ka ''procentu likmi aprēķina, pieskaitot 100 pamata punktus naudas tirgus viena gada likmei. Ja šādas likmes nav pieejamas, izmanto naudas tirgus trīs mēnešu likmes vai, ja tādu nav, izmanto peļņu no valsts parādzīmēm''. Pamatojoties uz iepriekš minēto, lūdzam precizēt noteikumu projekta 5. punktu attiecībā uz procentu likmes noteikšanas metodi atbilstoši Regulas Nr. 794/2004 9. pantam.”</w:t>
            </w:r>
          </w:p>
        </w:tc>
        <w:tc>
          <w:tcPr>
            <w:tcW w:w="4394" w:type="dxa"/>
            <w:tcBorders>
              <w:top w:val="single" w:sz="4" w:space="0" w:color="auto"/>
              <w:left w:val="single" w:sz="4" w:space="0" w:color="auto"/>
              <w:bottom w:val="single" w:sz="4" w:space="0" w:color="auto"/>
              <w:right w:val="single" w:sz="4" w:space="0" w:color="auto"/>
            </w:tcBorders>
          </w:tcPr>
          <w:p w14:paraId="7248A475" w14:textId="6A98B0F0" w:rsidR="00253251" w:rsidRDefault="000A287C" w:rsidP="00253251">
            <w:pPr>
              <w:pStyle w:val="naisc"/>
              <w:spacing w:before="0" w:after="0"/>
              <w:rPr>
                <w:b/>
                <w:sz w:val="22"/>
                <w:szCs w:val="22"/>
              </w:rPr>
            </w:pPr>
            <w:r w:rsidRPr="000A287C">
              <w:rPr>
                <w:b/>
                <w:sz w:val="22"/>
                <w:szCs w:val="22"/>
              </w:rPr>
              <w:lastRenderedPageBreak/>
              <w:t>Daļēji ņemts vērā</w:t>
            </w:r>
            <w:r w:rsidR="00D32823">
              <w:rPr>
                <w:b/>
                <w:sz w:val="22"/>
                <w:szCs w:val="22"/>
              </w:rPr>
              <w:t>,</w:t>
            </w:r>
          </w:p>
          <w:p w14:paraId="79EC6BC8" w14:textId="77777777" w:rsidR="00D32823" w:rsidRPr="000E23A0" w:rsidRDefault="00D32823" w:rsidP="00D32823">
            <w:pPr>
              <w:pStyle w:val="naisc"/>
              <w:spacing w:before="0" w:after="0"/>
              <w:rPr>
                <w:b/>
                <w:sz w:val="22"/>
                <w:szCs w:val="22"/>
              </w:rPr>
            </w:pPr>
            <w:r>
              <w:rPr>
                <w:b/>
                <w:sz w:val="22"/>
                <w:szCs w:val="22"/>
              </w:rPr>
              <w:lastRenderedPageBreak/>
              <w:t>panākta vienošanās elektroniskās saskaņošanas laikā</w:t>
            </w:r>
          </w:p>
          <w:p w14:paraId="7396C40F" w14:textId="77777777" w:rsidR="00D32823" w:rsidRPr="000E23A0" w:rsidRDefault="00D32823" w:rsidP="00253251">
            <w:pPr>
              <w:pStyle w:val="naisc"/>
              <w:spacing w:before="0" w:after="0"/>
              <w:rPr>
                <w:b/>
                <w:sz w:val="22"/>
                <w:szCs w:val="22"/>
              </w:rPr>
            </w:pPr>
          </w:p>
          <w:p w14:paraId="5C7D6814" w14:textId="27C5A642" w:rsidR="00253251" w:rsidRPr="000E23A0" w:rsidRDefault="00253251" w:rsidP="009E53A3">
            <w:pPr>
              <w:pStyle w:val="naisc"/>
              <w:jc w:val="both"/>
              <w:rPr>
                <w:bCs/>
                <w:sz w:val="22"/>
                <w:szCs w:val="22"/>
              </w:rPr>
            </w:pPr>
            <w:r w:rsidRPr="000E23A0">
              <w:rPr>
                <w:bCs/>
                <w:sz w:val="22"/>
                <w:szCs w:val="22"/>
              </w:rPr>
              <w:t xml:space="preserve">Informējam, ka pēc oficiāla pieprasījuma </w:t>
            </w:r>
            <w:r w:rsidR="004B0545" w:rsidRPr="000E23A0">
              <w:rPr>
                <w:bCs/>
                <w:sz w:val="22"/>
                <w:szCs w:val="22"/>
              </w:rPr>
              <w:t>Finanšu ministrijas K</w:t>
            </w:r>
            <w:r w:rsidRPr="000E23A0">
              <w:rPr>
                <w:bCs/>
                <w:sz w:val="22"/>
                <w:szCs w:val="22"/>
              </w:rPr>
              <w:t>omercdarbības atbalsta kontroles departament</w:t>
            </w:r>
            <w:r w:rsidR="004B0545" w:rsidRPr="000E23A0">
              <w:rPr>
                <w:bCs/>
                <w:sz w:val="22"/>
                <w:szCs w:val="22"/>
              </w:rPr>
              <w:t>am</w:t>
            </w:r>
            <w:r w:rsidRPr="000E23A0">
              <w:rPr>
                <w:bCs/>
                <w:sz w:val="22"/>
                <w:szCs w:val="22"/>
              </w:rPr>
              <w:t xml:space="preserve"> (turpmāk – KAKD) </w:t>
            </w:r>
            <w:r w:rsidR="004B0545" w:rsidRPr="000E23A0">
              <w:rPr>
                <w:bCs/>
                <w:sz w:val="22"/>
                <w:szCs w:val="22"/>
              </w:rPr>
              <w:t>tika saņemts</w:t>
            </w:r>
            <w:r w:rsidRPr="000E23A0">
              <w:rPr>
                <w:bCs/>
                <w:sz w:val="22"/>
                <w:szCs w:val="22"/>
              </w:rPr>
              <w:t xml:space="preserve"> sekojoš</w:t>
            </w:r>
            <w:r w:rsidR="004B0545" w:rsidRPr="000E23A0">
              <w:rPr>
                <w:bCs/>
                <w:sz w:val="22"/>
                <w:szCs w:val="22"/>
              </w:rPr>
              <w:t>s</w:t>
            </w:r>
            <w:r w:rsidRPr="000E23A0">
              <w:rPr>
                <w:bCs/>
                <w:sz w:val="22"/>
                <w:szCs w:val="22"/>
              </w:rPr>
              <w:t xml:space="preserve"> </w:t>
            </w:r>
            <w:r w:rsidR="004B0545" w:rsidRPr="000E23A0">
              <w:rPr>
                <w:bCs/>
                <w:sz w:val="22"/>
                <w:szCs w:val="22"/>
              </w:rPr>
              <w:t>skaidrojums:</w:t>
            </w:r>
          </w:p>
          <w:p w14:paraId="520EAF1E" w14:textId="6C391439" w:rsidR="00253251" w:rsidRPr="000E23A0" w:rsidRDefault="009E53A3" w:rsidP="009E53A3">
            <w:pPr>
              <w:pStyle w:val="naisc"/>
              <w:jc w:val="both"/>
              <w:rPr>
                <w:bCs/>
                <w:sz w:val="22"/>
                <w:szCs w:val="22"/>
              </w:rPr>
            </w:pPr>
            <w:r w:rsidRPr="000E23A0">
              <w:rPr>
                <w:bCs/>
                <w:sz w:val="22"/>
                <w:szCs w:val="22"/>
              </w:rPr>
              <w:t>“</w:t>
            </w:r>
            <w:r w:rsidR="00253251" w:rsidRPr="000E23A0">
              <w:rPr>
                <w:bCs/>
                <w:sz w:val="22"/>
                <w:szCs w:val="22"/>
              </w:rPr>
              <w:t>KAKD, balstoties arī uz telefonsarunā ar Tieslietu ministrijas atbildīgo personu par konkrēto iebildumu (Lindu Bernāni), skaidro, ka noteikumu projekta 5. punkts ir saglabājams sākotnēji piedāvātajā redakcijā, ņemot vērā sekojošus apsvērumus:</w:t>
            </w:r>
          </w:p>
          <w:p w14:paraId="1860E24D" w14:textId="2F910E4A" w:rsidR="00253251" w:rsidRPr="000E23A0" w:rsidRDefault="00253251" w:rsidP="00FF29CC">
            <w:pPr>
              <w:pStyle w:val="naisc"/>
              <w:jc w:val="both"/>
              <w:rPr>
                <w:bCs/>
                <w:sz w:val="22"/>
                <w:szCs w:val="22"/>
              </w:rPr>
            </w:pPr>
            <w:r w:rsidRPr="000E23A0">
              <w:rPr>
                <w:bCs/>
                <w:sz w:val="22"/>
                <w:szCs w:val="22"/>
              </w:rPr>
              <w:t>-</w:t>
            </w:r>
            <w:r w:rsidR="00FF29CC" w:rsidRPr="000E23A0">
              <w:rPr>
                <w:bCs/>
                <w:sz w:val="22"/>
                <w:szCs w:val="22"/>
              </w:rPr>
              <w:t xml:space="preserve"> </w:t>
            </w:r>
            <w:r w:rsidRPr="000E23A0">
              <w:rPr>
                <w:bCs/>
                <w:sz w:val="22"/>
                <w:szCs w:val="22"/>
              </w:rPr>
              <w:t>pirmkārt, Komisijas 2004. gada 21. aprīļa regulas (EK) Nr. 794/2004, ar ko īsteno Padomes Regulu (ES) 2015/1589, ar ko nosaka sīki izstrādātus noteikumus Līguma par Eiropas Savienības darbību 108. panta piemērošanai (turpmāk – regula nr. 794/2004) 9. panta 2. punktā jēdziens “pamata punkti” ir tiešais (nekorektais) tulkojums no jēdziena “</w:t>
            </w:r>
            <w:proofErr w:type="spellStart"/>
            <w:r w:rsidRPr="00A9100F">
              <w:rPr>
                <w:bCs/>
                <w:i/>
                <w:iCs/>
                <w:sz w:val="22"/>
                <w:szCs w:val="22"/>
              </w:rPr>
              <w:t>basis</w:t>
            </w:r>
            <w:proofErr w:type="spellEnd"/>
            <w:r w:rsidRPr="000E23A0">
              <w:rPr>
                <w:bCs/>
                <w:sz w:val="22"/>
                <w:szCs w:val="22"/>
              </w:rPr>
              <w:t xml:space="preserve"> </w:t>
            </w:r>
            <w:proofErr w:type="spellStart"/>
            <w:r w:rsidRPr="00A9100F">
              <w:rPr>
                <w:bCs/>
                <w:i/>
                <w:iCs/>
                <w:sz w:val="22"/>
                <w:szCs w:val="22"/>
              </w:rPr>
              <w:t>points</w:t>
            </w:r>
            <w:proofErr w:type="spellEnd"/>
            <w:r w:rsidRPr="000E23A0">
              <w:rPr>
                <w:bCs/>
                <w:sz w:val="22"/>
                <w:szCs w:val="22"/>
              </w:rPr>
              <w:t xml:space="preserve">”, kas attiecīgi ir uzskatāms par ekonomikas terminu “bāzes punkti”, kas apzīmē noteiktu </w:t>
            </w:r>
            <w:proofErr w:type="spellStart"/>
            <w:r w:rsidRPr="000E23A0">
              <w:rPr>
                <w:bCs/>
                <w:sz w:val="22"/>
                <w:szCs w:val="22"/>
              </w:rPr>
              <w:t>decimālskaitli</w:t>
            </w:r>
            <w:proofErr w:type="spellEnd"/>
            <w:r w:rsidRPr="000E23A0">
              <w:rPr>
                <w:bCs/>
                <w:sz w:val="22"/>
                <w:szCs w:val="22"/>
              </w:rPr>
              <w:t xml:space="preserve"> “0,01”, līdz ar to jēdziena “pamata punkti” lietošana varētu radīt neizpratni tiesību piemērotājam;</w:t>
            </w:r>
          </w:p>
          <w:p w14:paraId="57D653A0" w14:textId="6840D015" w:rsidR="00253251" w:rsidRPr="000E23A0" w:rsidRDefault="00253251" w:rsidP="00FF29CC">
            <w:pPr>
              <w:pStyle w:val="naisc"/>
              <w:jc w:val="both"/>
              <w:rPr>
                <w:bCs/>
                <w:sz w:val="22"/>
                <w:szCs w:val="22"/>
              </w:rPr>
            </w:pPr>
            <w:r w:rsidRPr="000E23A0">
              <w:rPr>
                <w:bCs/>
                <w:sz w:val="22"/>
                <w:szCs w:val="22"/>
              </w:rPr>
              <w:t>-</w:t>
            </w:r>
            <w:r w:rsidR="00FF29CC" w:rsidRPr="000E23A0">
              <w:rPr>
                <w:bCs/>
                <w:sz w:val="22"/>
                <w:szCs w:val="22"/>
              </w:rPr>
              <w:t xml:space="preserve"> </w:t>
            </w:r>
            <w:r w:rsidRPr="000E23A0">
              <w:rPr>
                <w:bCs/>
                <w:sz w:val="22"/>
                <w:szCs w:val="22"/>
              </w:rPr>
              <w:t xml:space="preserve">otrkārt vēršam Jūsu uzmanību, ka saskaņā ar Eiropas Savienības tiesas judikatūru lietā C-349/17 tika skaidri noteikts, ka regulas nr. 794/2004 nosacījumi nav ne tieši, ne pēc analoģijas piemērojami attiecībā uz dalībvalsts iestādēm, bet gan saistoši Eiropas Komisijai, līdz ar to regulas nr. 794/2004 nosacījumu ieviešana un redakciju precizēšana ir dalībvalsts </w:t>
            </w:r>
            <w:r w:rsidRPr="000E23A0">
              <w:rPr>
                <w:bCs/>
                <w:sz w:val="22"/>
                <w:szCs w:val="22"/>
              </w:rPr>
              <w:lastRenderedPageBreak/>
              <w:t>brīva griba, ko konkrētajā gadījumā normatīvā akta izstrādātājs ir izvēlējies, lai nodrošinātu vienādu pieeju nelikumīgā komercdarbības atbalsta atgūšanas praksē.</w:t>
            </w:r>
            <w:r w:rsidR="00FF29CC" w:rsidRPr="000E23A0">
              <w:rPr>
                <w:bCs/>
                <w:sz w:val="22"/>
                <w:szCs w:val="22"/>
              </w:rPr>
              <w:t>”</w:t>
            </w:r>
          </w:p>
          <w:p w14:paraId="3B1B7DA9" w14:textId="1895E7F1" w:rsidR="00253251" w:rsidRPr="000E23A0" w:rsidRDefault="006A4E77" w:rsidP="00FF29CC">
            <w:pPr>
              <w:pStyle w:val="naisc"/>
              <w:spacing w:before="0" w:after="0"/>
              <w:jc w:val="both"/>
              <w:rPr>
                <w:bCs/>
                <w:sz w:val="22"/>
                <w:szCs w:val="22"/>
                <w:highlight w:val="yellow"/>
              </w:rPr>
            </w:pPr>
            <w:r w:rsidRPr="000E23A0">
              <w:rPr>
                <w:bCs/>
                <w:sz w:val="22"/>
                <w:szCs w:val="22"/>
              </w:rPr>
              <w:t>Pamatojoties uz augstāk minēto,</w:t>
            </w:r>
            <w:r w:rsidR="00FF29CC" w:rsidRPr="000E23A0">
              <w:rPr>
                <w:bCs/>
                <w:sz w:val="22"/>
                <w:szCs w:val="22"/>
              </w:rPr>
              <w:t xml:space="preserve"> ņemts vērā KAKD </w:t>
            </w:r>
            <w:r w:rsidR="00253251" w:rsidRPr="000E23A0">
              <w:rPr>
                <w:bCs/>
                <w:sz w:val="22"/>
                <w:szCs w:val="22"/>
              </w:rPr>
              <w:t>lū</w:t>
            </w:r>
            <w:r w:rsidR="00FF29CC" w:rsidRPr="000E23A0">
              <w:rPr>
                <w:bCs/>
                <w:sz w:val="22"/>
                <w:szCs w:val="22"/>
              </w:rPr>
              <w:t>gums</w:t>
            </w:r>
            <w:r w:rsidR="00253251" w:rsidRPr="000E23A0">
              <w:rPr>
                <w:bCs/>
                <w:sz w:val="22"/>
                <w:szCs w:val="22"/>
              </w:rPr>
              <w:t xml:space="preserve"> precizēt noteikumu projekta anotāciju ar skaidrojumu saistībā ar Eiropas Savienības tiesas sprieduma attiecināmību konkrētajā lietā.</w:t>
            </w:r>
          </w:p>
        </w:tc>
        <w:tc>
          <w:tcPr>
            <w:tcW w:w="2835" w:type="dxa"/>
            <w:vMerge/>
            <w:tcBorders>
              <w:left w:val="single" w:sz="4" w:space="0" w:color="auto"/>
              <w:bottom w:val="single" w:sz="4" w:space="0" w:color="auto"/>
            </w:tcBorders>
          </w:tcPr>
          <w:p w14:paraId="28B09C28" w14:textId="77777777" w:rsidR="005B4E81" w:rsidRPr="000E23A0" w:rsidRDefault="005B4E81" w:rsidP="008E5CEE">
            <w:pPr>
              <w:jc w:val="both"/>
              <w:rPr>
                <w:b/>
                <w:bCs/>
                <w:sz w:val="22"/>
                <w:szCs w:val="22"/>
                <w:highlight w:val="yellow"/>
              </w:rPr>
            </w:pPr>
          </w:p>
        </w:tc>
      </w:tr>
      <w:tr w:rsidR="000E23A0" w:rsidRPr="000E23A0" w14:paraId="5549E6F3" w14:textId="77777777" w:rsidTr="00AC3FB0">
        <w:tc>
          <w:tcPr>
            <w:tcW w:w="716" w:type="dxa"/>
            <w:tcBorders>
              <w:left w:val="single" w:sz="6" w:space="0" w:color="000000"/>
              <w:right w:val="single" w:sz="4" w:space="0" w:color="auto"/>
            </w:tcBorders>
          </w:tcPr>
          <w:p w14:paraId="44837B73" w14:textId="77777777" w:rsidR="008336A1" w:rsidRPr="000E23A0" w:rsidRDefault="008336A1" w:rsidP="00BA728C">
            <w:pPr>
              <w:rPr>
                <w:sz w:val="22"/>
                <w:szCs w:val="22"/>
              </w:rPr>
            </w:pPr>
          </w:p>
        </w:tc>
        <w:tc>
          <w:tcPr>
            <w:tcW w:w="3086" w:type="dxa"/>
            <w:tcBorders>
              <w:left w:val="single" w:sz="4" w:space="0" w:color="auto"/>
              <w:bottom w:val="single" w:sz="4" w:space="0" w:color="auto"/>
              <w:right w:val="single" w:sz="4" w:space="0" w:color="auto"/>
            </w:tcBorders>
          </w:tcPr>
          <w:p w14:paraId="0323D4A8" w14:textId="605B5255" w:rsidR="008336A1" w:rsidRPr="000E23A0" w:rsidRDefault="008336A1" w:rsidP="004F3A9F">
            <w:pPr>
              <w:pStyle w:val="naisc"/>
              <w:spacing w:before="0" w:after="0"/>
              <w:jc w:val="both"/>
              <w:rPr>
                <w:b/>
                <w:sz w:val="22"/>
                <w:szCs w:val="22"/>
              </w:rPr>
            </w:pPr>
            <w:r w:rsidRPr="000E23A0">
              <w:rPr>
                <w:b/>
                <w:sz w:val="22"/>
                <w:szCs w:val="22"/>
              </w:rPr>
              <w:t>Noteikumu projekts</w:t>
            </w:r>
          </w:p>
        </w:tc>
        <w:tc>
          <w:tcPr>
            <w:tcW w:w="3845" w:type="dxa"/>
            <w:tcBorders>
              <w:top w:val="single" w:sz="4" w:space="0" w:color="auto"/>
              <w:left w:val="single" w:sz="4" w:space="0" w:color="auto"/>
              <w:bottom w:val="single" w:sz="4" w:space="0" w:color="auto"/>
              <w:right w:val="single" w:sz="4" w:space="0" w:color="auto"/>
            </w:tcBorders>
          </w:tcPr>
          <w:p w14:paraId="2FC0A7C9" w14:textId="77777777" w:rsidR="008336A1" w:rsidRPr="000E23A0" w:rsidRDefault="008336A1" w:rsidP="00BA728C">
            <w:pPr>
              <w:pStyle w:val="naisc"/>
              <w:spacing w:before="0" w:after="0"/>
              <w:jc w:val="both"/>
              <w:rPr>
                <w:b/>
                <w:sz w:val="22"/>
                <w:szCs w:val="22"/>
              </w:rPr>
            </w:pPr>
            <w:r w:rsidRPr="000E23A0">
              <w:rPr>
                <w:b/>
                <w:sz w:val="22"/>
                <w:szCs w:val="22"/>
              </w:rPr>
              <w:t>Ekonomikas ministrijas priekšlikums:</w:t>
            </w:r>
          </w:p>
          <w:p w14:paraId="10A1D766" w14:textId="3A5A666F" w:rsidR="008336A1" w:rsidRPr="000E23A0" w:rsidRDefault="008336A1" w:rsidP="00BA728C">
            <w:pPr>
              <w:pStyle w:val="naisc"/>
              <w:spacing w:before="0" w:after="0"/>
              <w:jc w:val="both"/>
              <w:rPr>
                <w:bCs/>
                <w:sz w:val="22"/>
                <w:szCs w:val="22"/>
                <w:highlight w:val="yellow"/>
              </w:rPr>
            </w:pPr>
            <w:r w:rsidRPr="000E23A0">
              <w:rPr>
                <w:bCs/>
                <w:sz w:val="22"/>
                <w:szCs w:val="22"/>
              </w:rPr>
              <w:t>“Spēkā esošā MK noteikumos Nr. 160 noteiktā kārtība paredz, ka pirms granta pieteikuma iesniegšanas sabiedrībā “Altum” ir nepieciešams saņemt sabiedrības “Altum” atzinumu par energoefektivitātes paaugstināšanas dokumentāciju (MK noteikumu Nr. 160 40. punkts). Ņemot vērā, ka ESKO pakalpojuma būtība ir nodrošināt augstas kvalitātes ekspertīzi energoefektivitātes jomā, kā arī uzņemties visus ar energoefektivitātes paaugstināšanas projekta īstenošanu un rezultātiem saistītos riskus (MK noteikumu Nr. 160 68.</w:t>
            </w:r>
            <w:r w:rsidRPr="000E23A0">
              <w:rPr>
                <w:bCs/>
                <w:sz w:val="22"/>
                <w:szCs w:val="22"/>
                <w:vertAlign w:val="superscript"/>
              </w:rPr>
              <w:t>5</w:t>
            </w:r>
            <w:r w:rsidRPr="000E23A0">
              <w:rPr>
                <w:bCs/>
                <w:sz w:val="22"/>
                <w:szCs w:val="22"/>
              </w:rPr>
              <w:t xml:space="preserve">3. punkts), kā arī nodrošināt detalizētu projekta budžetu, Ekonomikas ministrijas ieskatā gadījumos, kad projektu īsteno ESKO, pirms granta pieteikuma iesniegšanas sabiedrībā “Altum” nav nepieciešams saņemt sabiedrības “Altum” atzinumu par energoefektivitātes paaugstināšanas tehnisko dokumentāciju. Sabiedrība “Altum” veiks tehniskās dokumentācijas izvērtējumu tad, kad pilnvarotā persona </w:t>
            </w:r>
            <w:r w:rsidRPr="000E23A0">
              <w:rPr>
                <w:bCs/>
                <w:sz w:val="22"/>
                <w:szCs w:val="22"/>
              </w:rPr>
              <w:lastRenderedPageBreak/>
              <w:t>iesniegs granta pieteikumu, jo šajā brīdī ESKO būs nodrošinājusi tehniskās dokumentācijas un detalizēta projekta budžeta izstrādi.”</w:t>
            </w:r>
          </w:p>
        </w:tc>
        <w:tc>
          <w:tcPr>
            <w:tcW w:w="4394" w:type="dxa"/>
            <w:tcBorders>
              <w:top w:val="single" w:sz="4" w:space="0" w:color="auto"/>
              <w:left w:val="single" w:sz="4" w:space="0" w:color="auto"/>
              <w:bottom w:val="single" w:sz="4" w:space="0" w:color="auto"/>
              <w:right w:val="single" w:sz="4" w:space="0" w:color="auto"/>
            </w:tcBorders>
          </w:tcPr>
          <w:p w14:paraId="2BD11789" w14:textId="7498572E" w:rsidR="008336A1" w:rsidRPr="000E23A0" w:rsidRDefault="000E570F" w:rsidP="00BA728C">
            <w:pPr>
              <w:pStyle w:val="naisc"/>
              <w:spacing w:before="0" w:after="0"/>
              <w:rPr>
                <w:b/>
                <w:sz w:val="22"/>
                <w:szCs w:val="22"/>
                <w:highlight w:val="yellow"/>
              </w:rPr>
            </w:pPr>
            <w:r w:rsidRPr="000E23A0">
              <w:rPr>
                <w:b/>
                <w:sz w:val="22"/>
                <w:szCs w:val="22"/>
              </w:rPr>
              <w:lastRenderedPageBreak/>
              <w:t>Noteikumu projekts precizēts atbilstoši Ekonomikas ministrijas priekšlikumam</w:t>
            </w:r>
          </w:p>
        </w:tc>
        <w:tc>
          <w:tcPr>
            <w:tcW w:w="2835" w:type="dxa"/>
            <w:tcBorders>
              <w:left w:val="single" w:sz="4" w:space="0" w:color="auto"/>
              <w:bottom w:val="single" w:sz="4" w:space="0" w:color="auto"/>
            </w:tcBorders>
          </w:tcPr>
          <w:p w14:paraId="43107279" w14:textId="60005BC8" w:rsidR="008336A1" w:rsidRPr="000E23A0" w:rsidRDefault="008336A1" w:rsidP="008E5CEE">
            <w:pPr>
              <w:jc w:val="both"/>
              <w:rPr>
                <w:b/>
                <w:bCs/>
                <w:sz w:val="22"/>
                <w:szCs w:val="22"/>
              </w:rPr>
            </w:pPr>
            <w:r w:rsidRPr="000E23A0">
              <w:rPr>
                <w:b/>
                <w:bCs/>
                <w:sz w:val="22"/>
                <w:szCs w:val="22"/>
              </w:rPr>
              <w:t>Noteikumu projekts papildināts ar 1.punktu šādā redakcijā:</w:t>
            </w:r>
          </w:p>
          <w:p w14:paraId="2CF946D2" w14:textId="13E24D20" w:rsidR="008336A1" w:rsidRPr="000E23A0" w:rsidRDefault="008336A1" w:rsidP="008336A1">
            <w:pPr>
              <w:jc w:val="both"/>
              <w:rPr>
                <w:sz w:val="22"/>
                <w:szCs w:val="22"/>
              </w:rPr>
            </w:pPr>
            <w:r w:rsidRPr="000E23A0">
              <w:rPr>
                <w:sz w:val="22"/>
                <w:szCs w:val="22"/>
              </w:rPr>
              <w:t>“ 1.</w:t>
            </w:r>
            <w:r w:rsidRPr="000E23A0">
              <w:rPr>
                <w:sz w:val="22"/>
                <w:szCs w:val="22"/>
              </w:rPr>
              <w:tab/>
              <w:t>Izteikt 38.</w:t>
            </w:r>
            <w:r w:rsidRPr="000E23A0">
              <w:rPr>
                <w:sz w:val="22"/>
                <w:szCs w:val="22"/>
                <w:vertAlign w:val="superscript"/>
              </w:rPr>
              <w:t>1</w:t>
            </w:r>
            <w:r w:rsidRPr="000E23A0">
              <w:rPr>
                <w:sz w:val="22"/>
                <w:szCs w:val="22"/>
              </w:rPr>
              <w:t xml:space="preserve"> punktu šādā redakcijā:</w:t>
            </w:r>
          </w:p>
          <w:p w14:paraId="0F80A516" w14:textId="77E3304A" w:rsidR="008336A1" w:rsidRPr="000E23A0" w:rsidRDefault="008336A1" w:rsidP="008336A1">
            <w:pPr>
              <w:jc w:val="both"/>
              <w:rPr>
                <w:b/>
                <w:bCs/>
                <w:sz w:val="22"/>
                <w:szCs w:val="22"/>
              </w:rPr>
            </w:pPr>
            <w:r w:rsidRPr="000E23A0">
              <w:rPr>
                <w:sz w:val="22"/>
                <w:szCs w:val="22"/>
              </w:rPr>
              <w:t>"</w:t>
            </w:r>
            <w:r w:rsidR="009F7C65" w:rsidRPr="000E23A0">
              <w:rPr>
                <w:sz w:val="22"/>
                <w:szCs w:val="22"/>
              </w:rPr>
              <w:t>38.1 Ja dzīvokļu īpašnieki energoefektivitātes paaugstināšanas pasākumu īstenošanai ir izvēlējušies energoefektivitātes pakalpojuma sniedzēju, 39.2.-39.7. punktos minētos dokumentus pilnvarotā persona sabiedrībā "Altum" iesniedz kopā ar šo noteikumu 50. punktā  noteikto granta pieteikumu.</w:t>
            </w:r>
            <w:r w:rsidRPr="000E23A0">
              <w:rPr>
                <w:sz w:val="22"/>
                <w:szCs w:val="22"/>
              </w:rPr>
              <w:t>"”</w:t>
            </w:r>
          </w:p>
        </w:tc>
      </w:tr>
      <w:tr w:rsidR="000E23A0" w:rsidRPr="000E23A0" w14:paraId="290DD551" w14:textId="77777777" w:rsidTr="00AC3FB0">
        <w:tc>
          <w:tcPr>
            <w:tcW w:w="716" w:type="dxa"/>
            <w:tcBorders>
              <w:left w:val="single" w:sz="6" w:space="0" w:color="000000"/>
              <w:right w:val="single" w:sz="4" w:space="0" w:color="auto"/>
            </w:tcBorders>
          </w:tcPr>
          <w:p w14:paraId="4CCDD3AF" w14:textId="77777777" w:rsidR="00EB0E49" w:rsidRPr="000E23A0" w:rsidRDefault="00EB0E49" w:rsidP="00BA728C">
            <w:pPr>
              <w:rPr>
                <w:sz w:val="22"/>
                <w:szCs w:val="22"/>
              </w:rPr>
            </w:pPr>
          </w:p>
        </w:tc>
        <w:tc>
          <w:tcPr>
            <w:tcW w:w="3086" w:type="dxa"/>
            <w:tcBorders>
              <w:top w:val="single" w:sz="4" w:space="0" w:color="auto"/>
              <w:left w:val="single" w:sz="4" w:space="0" w:color="auto"/>
              <w:bottom w:val="single" w:sz="4" w:space="0" w:color="auto"/>
              <w:right w:val="single" w:sz="4" w:space="0" w:color="auto"/>
            </w:tcBorders>
          </w:tcPr>
          <w:p w14:paraId="0F3ECB80" w14:textId="65EBA2B4" w:rsidR="00EB0E49" w:rsidRPr="000E23A0" w:rsidRDefault="00726A02" w:rsidP="004F3A9F">
            <w:pPr>
              <w:pStyle w:val="naisc"/>
              <w:spacing w:before="0" w:after="0"/>
              <w:jc w:val="both"/>
              <w:rPr>
                <w:b/>
                <w:sz w:val="22"/>
                <w:szCs w:val="22"/>
              </w:rPr>
            </w:pPr>
            <w:r w:rsidRPr="000E23A0">
              <w:rPr>
                <w:b/>
                <w:sz w:val="22"/>
                <w:szCs w:val="22"/>
              </w:rPr>
              <w:t>Noteikumu projekts</w:t>
            </w:r>
          </w:p>
        </w:tc>
        <w:tc>
          <w:tcPr>
            <w:tcW w:w="3845" w:type="dxa"/>
            <w:tcBorders>
              <w:top w:val="single" w:sz="4" w:space="0" w:color="auto"/>
              <w:left w:val="single" w:sz="4" w:space="0" w:color="auto"/>
              <w:bottom w:val="single" w:sz="4" w:space="0" w:color="auto"/>
              <w:right w:val="single" w:sz="4" w:space="0" w:color="auto"/>
            </w:tcBorders>
          </w:tcPr>
          <w:p w14:paraId="40DD544E" w14:textId="1D3DAF72" w:rsidR="00EB0E49" w:rsidRPr="000E23A0" w:rsidRDefault="00EB0E49" w:rsidP="00BA728C">
            <w:pPr>
              <w:pStyle w:val="naisc"/>
              <w:spacing w:before="0" w:after="0"/>
              <w:jc w:val="both"/>
              <w:rPr>
                <w:b/>
                <w:sz w:val="22"/>
                <w:szCs w:val="22"/>
              </w:rPr>
            </w:pPr>
            <w:r w:rsidRPr="000E23A0">
              <w:rPr>
                <w:b/>
                <w:sz w:val="22"/>
                <w:szCs w:val="22"/>
              </w:rPr>
              <w:t>Finanšu ministrijas 11.10.2019. atzinuma priekšlikums:</w:t>
            </w:r>
          </w:p>
          <w:p w14:paraId="7711A8B1" w14:textId="4E1132ED" w:rsidR="00EB0E49" w:rsidRPr="000E23A0" w:rsidRDefault="00EB0E49" w:rsidP="00BA728C">
            <w:pPr>
              <w:pStyle w:val="naisc"/>
              <w:spacing w:before="0" w:after="0"/>
              <w:jc w:val="both"/>
              <w:rPr>
                <w:bCs/>
                <w:sz w:val="22"/>
                <w:szCs w:val="22"/>
              </w:rPr>
            </w:pPr>
            <w:r w:rsidRPr="000E23A0">
              <w:rPr>
                <w:bCs/>
                <w:sz w:val="22"/>
                <w:szCs w:val="22"/>
              </w:rPr>
              <w:t>“Vēršam uzmanību, ka valsts atbalsta programmas ieviešanu nosaka Ministru kabineta noteikumi, t.sk., ievērojot Attīstības finanšu institūcijas likumā noteikto kārtību, līdz ar to akciju sabiedrības “Attīstības finanšu institūcijā Altum” norādījumi energoefektivitātes pakalpojuma sniedzēju, būvkomersantu, autoruzraugu, būvuzraugu un citu piegādātāju atlasei nav uzskatāmi par ārējiem normatīvajiem aktiem. Pamatojoties uz iepriekš minēto, lūdzam izvērtēt un ietvert noteikumu projektā visus būtiskus akciju sabiedrības “Attīstības finanšu institūcijā Altum” norādījumu valsts atbalsta nosacījumus, lai tie būtu saistoši arī trešajām personām.”</w:t>
            </w:r>
          </w:p>
        </w:tc>
        <w:tc>
          <w:tcPr>
            <w:tcW w:w="4394" w:type="dxa"/>
            <w:tcBorders>
              <w:top w:val="single" w:sz="4" w:space="0" w:color="auto"/>
              <w:left w:val="single" w:sz="4" w:space="0" w:color="auto"/>
              <w:bottom w:val="single" w:sz="4" w:space="0" w:color="auto"/>
              <w:right w:val="single" w:sz="4" w:space="0" w:color="auto"/>
            </w:tcBorders>
          </w:tcPr>
          <w:p w14:paraId="0CBA84CA" w14:textId="70121D9F" w:rsidR="00EB0E49" w:rsidRDefault="000A287C" w:rsidP="00BA728C">
            <w:pPr>
              <w:pStyle w:val="naisc"/>
              <w:spacing w:before="0" w:after="0"/>
              <w:rPr>
                <w:b/>
                <w:sz w:val="22"/>
                <w:szCs w:val="22"/>
              </w:rPr>
            </w:pPr>
            <w:r w:rsidRPr="000A287C">
              <w:rPr>
                <w:b/>
                <w:sz w:val="22"/>
                <w:szCs w:val="22"/>
              </w:rPr>
              <w:t>Netiek ņemts vērā</w:t>
            </w:r>
            <w:r w:rsidR="00D32823">
              <w:rPr>
                <w:b/>
                <w:sz w:val="22"/>
                <w:szCs w:val="22"/>
              </w:rPr>
              <w:t>,</w:t>
            </w:r>
          </w:p>
          <w:p w14:paraId="17E244CC" w14:textId="77777777" w:rsidR="00D32823" w:rsidRPr="000E23A0" w:rsidRDefault="00D32823" w:rsidP="00D32823">
            <w:pPr>
              <w:pStyle w:val="naisc"/>
              <w:spacing w:before="0" w:after="0"/>
              <w:rPr>
                <w:b/>
                <w:sz w:val="22"/>
                <w:szCs w:val="22"/>
              </w:rPr>
            </w:pPr>
            <w:r>
              <w:rPr>
                <w:b/>
                <w:sz w:val="22"/>
                <w:szCs w:val="22"/>
              </w:rPr>
              <w:t>panākta vienošanās elektroniskās saskaņošanas laikā</w:t>
            </w:r>
          </w:p>
          <w:p w14:paraId="5E986833" w14:textId="77777777" w:rsidR="00D32823" w:rsidRPr="000E23A0" w:rsidRDefault="00D32823" w:rsidP="00BA728C">
            <w:pPr>
              <w:pStyle w:val="naisc"/>
              <w:spacing w:before="0" w:after="0"/>
              <w:rPr>
                <w:b/>
                <w:sz w:val="22"/>
                <w:szCs w:val="22"/>
              </w:rPr>
            </w:pPr>
          </w:p>
          <w:p w14:paraId="3C846FFA" w14:textId="77777777" w:rsidR="009201CE" w:rsidRPr="000E23A0" w:rsidRDefault="004F5507" w:rsidP="009201CE">
            <w:pPr>
              <w:pStyle w:val="naisc"/>
              <w:spacing w:before="0" w:after="0"/>
              <w:jc w:val="both"/>
              <w:rPr>
                <w:bCs/>
                <w:sz w:val="22"/>
                <w:szCs w:val="22"/>
              </w:rPr>
            </w:pPr>
            <w:r w:rsidRPr="000E23A0">
              <w:rPr>
                <w:bCs/>
                <w:sz w:val="22"/>
                <w:szCs w:val="22"/>
              </w:rPr>
              <w:t xml:space="preserve">4.2.1.1.pasākums </w:t>
            </w:r>
            <w:r w:rsidR="009201CE" w:rsidRPr="000E23A0">
              <w:rPr>
                <w:bCs/>
                <w:sz w:val="22"/>
                <w:szCs w:val="22"/>
              </w:rPr>
              <w:t>tiek ieviests saskaņā ar šādu pieeju, kuru ir saskaņojusi Finanšu ministrija, kopš 2016.gada.</w:t>
            </w:r>
          </w:p>
          <w:p w14:paraId="28A6AE26" w14:textId="77777777" w:rsidR="009201CE" w:rsidRPr="000E23A0" w:rsidRDefault="009201CE" w:rsidP="009201CE">
            <w:pPr>
              <w:pStyle w:val="naisc"/>
              <w:spacing w:before="0" w:after="0"/>
              <w:jc w:val="both"/>
              <w:rPr>
                <w:bCs/>
                <w:sz w:val="22"/>
                <w:szCs w:val="22"/>
              </w:rPr>
            </w:pPr>
            <w:r w:rsidRPr="000E23A0">
              <w:rPr>
                <w:bCs/>
                <w:sz w:val="22"/>
                <w:szCs w:val="22"/>
              </w:rPr>
              <w:t>Finanšu ministrija 19.08.2015. elektroniskā atzinuma 47.iebildumā lūdza skaidrot: “47. […] Papildus lūdzam skaidrot, kā tiks nodrošināts tas, lai būvkomersanti tiktu atlasīti pēc vienādiem principiem, ko būs iespējams pārbaudīt (vai Altum izstrādās attiecīgus metodiskos norādīju</w:t>
            </w:r>
            <w:bookmarkStart w:id="0" w:name="_GoBack"/>
            <w:bookmarkEnd w:id="0"/>
            <w:r w:rsidRPr="000E23A0">
              <w:rPr>
                <w:bCs/>
                <w:sz w:val="22"/>
                <w:szCs w:val="22"/>
              </w:rPr>
              <w:t>mus) vai arī noteikt, ka piemērojama Ministru kabineta 2013.gada 4.jūnija noteikumos Nr.299 “Noteikumi par iepirkuma procedūru un tās piemērošanas kārtību pasūtītāja finansētiem projektiem” noteiktā procedūra”. Ekonomikas ministrija skaidroja, ka: “Būvkomersantu atlase pēc vienādiem principiem tiks nodrošināta saskaņā ar Altum metodiskiem norādījumiem, kā arī Altum pārliecināsies, vai pilnvarotai personai ar pakalpojumu sniedzēju nav interešu konflikts, izmaksas ir pamatotas. Ja Altum būs bažas par kādu no minētajiem principiem, pilnvarotai personai būs nepieciešams veikt atkārtotu pakalpojumu sniedzēju atlasi, jo šādā situācijā arī Altum uzņemsies finanšu risku”.</w:t>
            </w:r>
            <w:r w:rsidR="007774AA" w:rsidRPr="000E23A0">
              <w:rPr>
                <w:bCs/>
                <w:sz w:val="22"/>
                <w:szCs w:val="22"/>
              </w:rPr>
              <w:t xml:space="preserve"> Finanšu ministrija šo skaidrojumu akceptēja un attiecīgi </w:t>
            </w:r>
            <w:r w:rsidR="007774AA" w:rsidRPr="000E23A0">
              <w:rPr>
                <w:bCs/>
                <w:sz w:val="22"/>
                <w:szCs w:val="22"/>
              </w:rPr>
              <w:lastRenderedPageBreak/>
              <w:t>4.2.1.1.pasākums saskaņā ar šo vienošanos ir ticis īstenots.</w:t>
            </w:r>
          </w:p>
          <w:p w14:paraId="7B817B2B" w14:textId="7C2A41B6" w:rsidR="007774AA" w:rsidRPr="000E23A0" w:rsidRDefault="007774AA" w:rsidP="009201CE">
            <w:pPr>
              <w:pStyle w:val="naisc"/>
              <w:spacing w:before="0" w:after="0"/>
              <w:jc w:val="both"/>
              <w:rPr>
                <w:bCs/>
                <w:sz w:val="22"/>
                <w:szCs w:val="22"/>
                <w:highlight w:val="yellow"/>
              </w:rPr>
            </w:pPr>
            <w:r w:rsidRPr="000E23A0">
              <w:rPr>
                <w:bCs/>
                <w:sz w:val="22"/>
                <w:szCs w:val="22"/>
              </w:rPr>
              <w:t>Papildus lūdzam Finanšu ministriju ņemt vērā, ka 4.2.1.1.pasākuma īstenošanu gandrīz nepārtraukti auditē CFLA, Revīzijas iestāde un Vadošā iestāde. Līdz šim nav norādīts, ka piegādātāju atlase saskaņā ar sabiedrības “Altum” norādījumiem ir nekorekta vai, ka trešās puses šīs vadlīnijas neievēroto.</w:t>
            </w:r>
          </w:p>
        </w:tc>
        <w:tc>
          <w:tcPr>
            <w:tcW w:w="2835" w:type="dxa"/>
            <w:tcBorders>
              <w:top w:val="single" w:sz="4" w:space="0" w:color="auto"/>
              <w:left w:val="single" w:sz="4" w:space="0" w:color="auto"/>
              <w:bottom w:val="single" w:sz="4" w:space="0" w:color="auto"/>
            </w:tcBorders>
          </w:tcPr>
          <w:p w14:paraId="315F1DFA" w14:textId="77777777" w:rsidR="00EB0E49" w:rsidRPr="000E23A0" w:rsidRDefault="00EB0E49" w:rsidP="008E5CEE">
            <w:pPr>
              <w:jc w:val="both"/>
              <w:rPr>
                <w:b/>
                <w:bCs/>
                <w:sz w:val="22"/>
                <w:szCs w:val="22"/>
                <w:highlight w:val="yellow"/>
              </w:rPr>
            </w:pPr>
          </w:p>
        </w:tc>
      </w:tr>
      <w:tr w:rsidR="000E23A0" w:rsidRPr="000E23A0" w14:paraId="6142385C" w14:textId="77777777" w:rsidTr="00AC3FB0">
        <w:tc>
          <w:tcPr>
            <w:tcW w:w="716" w:type="dxa"/>
            <w:tcBorders>
              <w:left w:val="single" w:sz="6" w:space="0" w:color="000000"/>
              <w:bottom w:val="single" w:sz="4" w:space="0" w:color="000000"/>
              <w:right w:val="single" w:sz="4" w:space="0" w:color="auto"/>
            </w:tcBorders>
          </w:tcPr>
          <w:p w14:paraId="050F0AF9" w14:textId="77777777" w:rsidR="00726A02" w:rsidRPr="000E23A0" w:rsidRDefault="00726A02" w:rsidP="00BA728C">
            <w:pPr>
              <w:rPr>
                <w:sz w:val="22"/>
                <w:szCs w:val="22"/>
              </w:rPr>
            </w:pPr>
          </w:p>
        </w:tc>
        <w:tc>
          <w:tcPr>
            <w:tcW w:w="3086" w:type="dxa"/>
            <w:tcBorders>
              <w:top w:val="single" w:sz="4" w:space="0" w:color="auto"/>
              <w:left w:val="single" w:sz="4" w:space="0" w:color="auto"/>
              <w:bottom w:val="single" w:sz="4" w:space="0" w:color="auto"/>
              <w:right w:val="single" w:sz="4" w:space="0" w:color="auto"/>
            </w:tcBorders>
          </w:tcPr>
          <w:p w14:paraId="2D249A78" w14:textId="20B1881F" w:rsidR="00726A02" w:rsidRPr="000E23A0" w:rsidRDefault="00726A02" w:rsidP="004F3A9F">
            <w:pPr>
              <w:pStyle w:val="naisc"/>
              <w:spacing w:before="0" w:after="0"/>
              <w:jc w:val="both"/>
              <w:rPr>
                <w:b/>
                <w:sz w:val="22"/>
                <w:szCs w:val="22"/>
              </w:rPr>
            </w:pPr>
            <w:r w:rsidRPr="000E23A0">
              <w:rPr>
                <w:b/>
                <w:sz w:val="22"/>
                <w:szCs w:val="22"/>
              </w:rPr>
              <w:t>Noteikumu projekta anotācija</w:t>
            </w:r>
          </w:p>
        </w:tc>
        <w:tc>
          <w:tcPr>
            <w:tcW w:w="3845" w:type="dxa"/>
            <w:tcBorders>
              <w:top w:val="single" w:sz="4" w:space="0" w:color="auto"/>
              <w:left w:val="single" w:sz="4" w:space="0" w:color="auto"/>
              <w:bottom w:val="single" w:sz="4" w:space="0" w:color="auto"/>
              <w:right w:val="single" w:sz="4" w:space="0" w:color="auto"/>
            </w:tcBorders>
          </w:tcPr>
          <w:p w14:paraId="0BEE75F2" w14:textId="7B7B51D9" w:rsidR="00726A02" w:rsidRPr="000E23A0" w:rsidRDefault="00726A02" w:rsidP="00BA728C">
            <w:pPr>
              <w:pStyle w:val="naisc"/>
              <w:spacing w:before="0" w:after="0"/>
              <w:jc w:val="both"/>
              <w:rPr>
                <w:b/>
                <w:sz w:val="22"/>
                <w:szCs w:val="22"/>
              </w:rPr>
            </w:pPr>
            <w:r w:rsidRPr="000E23A0">
              <w:rPr>
                <w:b/>
                <w:sz w:val="22"/>
                <w:szCs w:val="22"/>
              </w:rPr>
              <w:t>Tieslietu ministrijas 10.10.2019. atzinuma 2.iebildums:</w:t>
            </w:r>
          </w:p>
          <w:p w14:paraId="7046C748" w14:textId="0BAF6196" w:rsidR="00726A02" w:rsidRPr="000E23A0" w:rsidRDefault="00726A02" w:rsidP="00BA728C">
            <w:pPr>
              <w:pStyle w:val="naisc"/>
              <w:spacing w:before="0" w:after="0"/>
              <w:jc w:val="both"/>
              <w:rPr>
                <w:bCs/>
                <w:sz w:val="22"/>
                <w:szCs w:val="22"/>
                <w:highlight w:val="yellow"/>
              </w:rPr>
            </w:pPr>
            <w:r w:rsidRPr="000E23A0">
              <w:rPr>
                <w:bCs/>
                <w:sz w:val="22"/>
                <w:szCs w:val="22"/>
              </w:rPr>
              <w:t xml:space="preserve">“2. 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kuras noteikumu projekta normas ir ieviestas atbilstoši noteikumu projekta 5. punktā norādītajām Komisijas 2013. gada 18. decembra Regulai (ES) Nr. 1407/2013 par Līguma par Eiropas Savienības darbību 107. un 108. panta piemērošanu </w:t>
            </w:r>
            <w:proofErr w:type="spellStart"/>
            <w:r w:rsidRPr="00A9100F">
              <w:rPr>
                <w:bCs/>
                <w:sz w:val="22"/>
                <w:szCs w:val="22"/>
              </w:rPr>
              <w:t>de</w:t>
            </w:r>
            <w:proofErr w:type="spellEnd"/>
            <w:r w:rsidRPr="00A9100F">
              <w:rPr>
                <w:bCs/>
                <w:sz w:val="22"/>
                <w:szCs w:val="22"/>
              </w:rPr>
              <w:t xml:space="preserve"> </w:t>
            </w:r>
            <w:proofErr w:type="spellStart"/>
            <w:r w:rsidRPr="00A9100F">
              <w:rPr>
                <w:bCs/>
                <w:sz w:val="22"/>
                <w:szCs w:val="22"/>
              </w:rPr>
              <w:t>minimis</w:t>
            </w:r>
            <w:proofErr w:type="spellEnd"/>
            <w:r w:rsidRPr="000E23A0">
              <w:rPr>
                <w:bCs/>
                <w:sz w:val="22"/>
                <w:szCs w:val="22"/>
              </w:rPr>
              <w:t xml:space="preserve"> atbalstam un Regulas Nr. 794/2004 10. pantam, kā arī Komisijas 2004. gada 21. aprīļa regulas (EK) Nr. 794/2004, ar ko īsteno Padomes </w:t>
            </w:r>
            <w:r w:rsidRPr="000E23A0">
              <w:rPr>
                <w:bCs/>
                <w:sz w:val="22"/>
                <w:szCs w:val="22"/>
              </w:rPr>
              <w:lastRenderedPageBreak/>
              <w:t>Regulu (ES) 2015/1589, ar ko nosaka sīki izstrādātus noteikumus Līguma par Eiropas Savienības darbību 108. panta piemērošanai, 11. pantam. Ņemot vērā minēto, lūdzam precizēt noteikumu projekta anotāciju, jo Tieslietu ministrija varēs sniegt precīzu izvērtējumu par noteikumu projekta atbilstību minētajai regulai pēc anotācijas V sadaļas, jo īpaši 1. tabulas, aizpildīšanas.”</w:t>
            </w:r>
          </w:p>
        </w:tc>
        <w:tc>
          <w:tcPr>
            <w:tcW w:w="4394" w:type="dxa"/>
            <w:tcBorders>
              <w:top w:val="single" w:sz="4" w:space="0" w:color="auto"/>
              <w:left w:val="single" w:sz="4" w:space="0" w:color="auto"/>
              <w:bottom w:val="single" w:sz="4" w:space="0" w:color="auto"/>
              <w:right w:val="single" w:sz="4" w:space="0" w:color="auto"/>
            </w:tcBorders>
          </w:tcPr>
          <w:p w14:paraId="6657FF41" w14:textId="6191D36F" w:rsidR="00726A02" w:rsidRPr="000E23A0" w:rsidRDefault="00DB128F" w:rsidP="00BA728C">
            <w:pPr>
              <w:pStyle w:val="naisc"/>
              <w:spacing w:before="0" w:after="0"/>
              <w:rPr>
                <w:b/>
                <w:sz w:val="22"/>
                <w:szCs w:val="22"/>
                <w:highlight w:val="yellow"/>
              </w:rPr>
            </w:pPr>
            <w:r w:rsidRPr="000E23A0">
              <w:rPr>
                <w:b/>
                <w:sz w:val="22"/>
                <w:szCs w:val="22"/>
              </w:rPr>
              <w:lastRenderedPageBreak/>
              <w:t>Ņemts vērā</w:t>
            </w:r>
          </w:p>
        </w:tc>
        <w:tc>
          <w:tcPr>
            <w:tcW w:w="2835" w:type="dxa"/>
            <w:tcBorders>
              <w:top w:val="single" w:sz="4" w:space="0" w:color="auto"/>
              <w:left w:val="single" w:sz="4" w:space="0" w:color="auto"/>
              <w:bottom w:val="single" w:sz="4" w:space="0" w:color="000000"/>
            </w:tcBorders>
          </w:tcPr>
          <w:p w14:paraId="58E8423E" w14:textId="00559A4D" w:rsidR="00726A02" w:rsidRPr="000E23A0" w:rsidRDefault="00DB128F" w:rsidP="008E5CEE">
            <w:pPr>
              <w:jc w:val="both"/>
              <w:rPr>
                <w:b/>
                <w:bCs/>
                <w:sz w:val="22"/>
                <w:szCs w:val="22"/>
                <w:highlight w:val="yellow"/>
              </w:rPr>
            </w:pPr>
            <w:r w:rsidRPr="000E23A0">
              <w:rPr>
                <w:b/>
                <w:bCs/>
                <w:sz w:val="22"/>
                <w:szCs w:val="22"/>
              </w:rPr>
              <w:t xml:space="preserve">Noteikumu projekta anotācija papildināta ar </w:t>
            </w:r>
            <w:r w:rsidRPr="000E23A0">
              <w:t xml:space="preserve"> </w:t>
            </w:r>
            <w:r w:rsidRPr="000E23A0">
              <w:rPr>
                <w:b/>
                <w:bCs/>
                <w:sz w:val="22"/>
                <w:szCs w:val="22"/>
              </w:rPr>
              <w:t>V. nodaļu “Tiesību akta projekta atbilstība Latvijas Republikas</w:t>
            </w:r>
            <w:r w:rsidR="00AC3FB0" w:rsidRPr="000E23A0">
              <w:rPr>
                <w:b/>
                <w:bCs/>
                <w:sz w:val="22"/>
                <w:szCs w:val="22"/>
              </w:rPr>
              <w:t xml:space="preserve"> </w:t>
            </w:r>
            <w:r w:rsidRPr="000E23A0">
              <w:rPr>
                <w:b/>
                <w:bCs/>
                <w:sz w:val="22"/>
                <w:szCs w:val="22"/>
              </w:rPr>
              <w:t>starptautiskajām</w:t>
            </w:r>
            <w:r w:rsidR="00AC3FB0" w:rsidRPr="000E23A0">
              <w:rPr>
                <w:b/>
                <w:bCs/>
                <w:sz w:val="22"/>
                <w:szCs w:val="22"/>
              </w:rPr>
              <w:t xml:space="preserve"> </w:t>
            </w:r>
            <w:r w:rsidRPr="000E23A0">
              <w:rPr>
                <w:b/>
                <w:bCs/>
                <w:sz w:val="22"/>
                <w:szCs w:val="22"/>
              </w:rPr>
              <w:t>saistībām”</w:t>
            </w:r>
          </w:p>
        </w:tc>
      </w:tr>
    </w:tbl>
    <w:p w14:paraId="0FA95A41" w14:textId="77777777" w:rsidR="001C4923" w:rsidRPr="000E23A0" w:rsidRDefault="001C4923" w:rsidP="00726A02">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199"/>
      </w:tblGrid>
      <w:tr w:rsidR="000E23A0" w:rsidRPr="000E23A0" w14:paraId="22185E2F" w14:textId="77777777" w:rsidTr="008D5E41">
        <w:trPr>
          <w:trHeight w:val="583"/>
        </w:trPr>
        <w:tc>
          <w:tcPr>
            <w:tcW w:w="8199" w:type="dxa"/>
            <w:tcBorders>
              <w:bottom w:val="single" w:sz="4" w:space="0" w:color="000000"/>
            </w:tcBorders>
          </w:tcPr>
          <w:p w14:paraId="7AC23CA6" w14:textId="77777777" w:rsidR="0041134C" w:rsidRPr="000E23A0" w:rsidRDefault="0041134C" w:rsidP="001B797B">
            <w:pPr>
              <w:jc w:val="center"/>
              <w:rPr>
                <w:sz w:val="22"/>
                <w:szCs w:val="22"/>
              </w:rPr>
            </w:pPr>
          </w:p>
          <w:p w14:paraId="089DA039" w14:textId="5B5D4FC6" w:rsidR="001B797B" w:rsidRPr="000E23A0" w:rsidRDefault="00D353C9" w:rsidP="001B797B">
            <w:pPr>
              <w:jc w:val="center"/>
              <w:rPr>
                <w:sz w:val="22"/>
                <w:szCs w:val="22"/>
              </w:rPr>
            </w:pPr>
            <w:r w:rsidRPr="000E23A0">
              <w:rPr>
                <w:sz w:val="22"/>
                <w:szCs w:val="22"/>
              </w:rPr>
              <w:t>Jānis Siliņš</w:t>
            </w:r>
          </w:p>
        </w:tc>
      </w:tr>
      <w:tr w:rsidR="000E23A0" w:rsidRPr="000E23A0" w14:paraId="5EF8CA84" w14:textId="77777777" w:rsidTr="008D5E41">
        <w:trPr>
          <w:trHeight w:val="385"/>
        </w:trPr>
        <w:tc>
          <w:tcPr>
            <w:tcW w:w="8199" w:type="dxa"/>
            <w:tcBorders>
              <w:top w:val="single" w:sz="4" w:space="0" w:color="000000"/>
            </w:tcBorders>
          </w:tcPr>
          <w:p w14:paraId="1BE202C0" w14:textId="77777777" w:rsidR="001B797B" w:rsidRPr="000E23A0" w:rsidRDefault="001B797B" w:rsidP="001B797B">
            <w:pPr>
              <w:jc w:val="center"/>
              <w:rPr>
                <w:sz w:val="22"/>
                <w:szCs w:val="22"/>
              </w:rPr>
            </w:pPr>
            <w:r w:rsidRPr="000E23A0">
              <w:rPr>
                <w:sz w:val="22"/>
                <w:szCs w:val="22"/>
              </w:rPr>
              <w:t>(par projektu atbildīgās amatpersonas vārds un uzvārds)</w:t>
            </w:r>
          </w:p>
          <w:p w14:paraId="489032C7" w14:textId="77777777" w:rsidR="001B797B" w:rsidRPr="000E23A0" w:rsidRDefault="001B797B" w:rsidP="001B797B">
            <w:pPr>
              <w:jc w:val="center"/>
              <w:rPr>
                <w:sz w:val="22"/>
                <w:szCs w:val="22"/>
              </w:rPr>
            </w:pPr>
          </w:p>
        </w:tc>
      </w:tr>
      <w:tr w:rsidR="000E23A0" w:rsidRPr="000E23A0" w14:paraId="4607AA84" w14:textId="77777777" w:rsidTr="008D5E41">
        <w:trPr>
          <w:trHeight w:val="187"/>
        </w:trPr>
        <w:tc>
          <w:tcPr>
            <w:tcW w:w="8199" w:type="dxa"/>
            <w:tcBorders>
              <w:bottom w:val="single" w:sz="4" w:space="0" w:color="000000"/>
            </w:tcBorders>
          </w:tcPr>
          <w:p w14:paraId="097E1C13" w14:textId="461A4DDF" w:rsidR="001B797B" w:rsidRPr="000E23A0" w:rsidRDefault="001B797B" w:rsidP="001B797B">
            <w:pPr>
              <w:jc w:val="center"/>
              <w:rPr>
                <w:sz w:val="22"/>
                <w:szCs w:val="22"/>
              </w:rPr>
            </w:pPr>
            <w:r w:rsidRPr="000E23A0">
              <w:rPr>
                <w:sz w:val="22"/>
                <w:szCs w:val="22"/>
              </w:rPr>
              <w:t>Enerģētikas finanšu instrumentu nodaļas v</w:t>
            </w:r>
            <w:r w:rsidR="001C720A" w:rsidRPr="000E23A0">
              <w:rPr>
                <w:sz w:val="22"/>
                <w:szCs w:val="22"/>
              </w:rPr>
              <w:t>ecāk</w:t>
            </w:r>
            <w:r w:rsidR="0008746D" w:rsidRPr="000E23A0">
              <w:rPr>
                <w:sz w:val="22"/>
                <w:szCs w:val="22"/>
              </w:rPr>
              <w:t>ais</w:t>
            </w:r>
            <w:r w:rsidR="001C720A" w:rsidRPr="000E23A0">
              <w:rPr>
                <w:sz w:val="22"/>
                <w:szCs w:val="22"/>
              </w:rPr>
              <w:t xml:space="preserve"> ekspert</w:t>
            </w:r>
            <w:r w:rsidR="0008746D" w:rsidRPr="000E23A0">
              <w:rPr>
                <w:sz w:val="22"/>
                <w:szCs w:val="22"/>
              </w:rPr>
              <w:t>s</w:t>
            </w:r>
          </w:p>
        </w:tc>
      </w:tr>
      <w:tr w:rsidR="000E23A0" w:rsidRPr="000E23A0" w14:paraId="5E2CA7FB" w14:textId="77777777" w:rsidTr="008D5E41">
        <w:trPr>
          <w:trHeight w:val="385"/>
        </w:trPr>
        <w:tc>
          <w:tcPr>
            <w:tcW w:w="8199" w:type="dxa"/>
            <w:tcBorders>
              <w:top w:val="single" w:sz="4" w:space="0" w:color="000000"/>
            </w:tcBorders>
          </w:tcPr>
          <w:p w14:paraId="2F256AD6" w14:textId="77777777" w:rsidR="001B797B" w:rsidRPr="000E23A0" w:rsidRDefault="001B797B" w:rsidP="001B797B">
            <w:pPr>
              <w:jc w:val="center"/>
              <w:rPr>
                <w:sz w:val="22"/>
                <w:szCs w:val="22"/>
              </w:rPr>
            </w:pPr>
            <w:r w:rsidRPr="000E23A0">
              <w:rPr>
                <w:sz w:val="22"/>
                <w:szCs w:val="22"/>
              </w:rPr>
              <w:t>(amats)</w:t>
            </w:r>
          </w:p>
          <w:p w14:paraId="49806843" w14:textId="77777777" w:rsidR="001B797B" w:rsidRPr="000E23A0" w:rsidRDefault="001B797B" w:rsidP="001B797B">
            <w:pPr>
              <w:jc w:val="center"/>
              <w:rPr>
                <w:sz w:val="22"/>
                <w:szCs w:val="22"/>
              </w:rPr>
            </w:pPr>
          </w:p>
        </w:tc>
      </w:tr>
      <w:tr w:rsidR="000E23A0" w:rsidRPr="000E23A0" w14:paraId="7EF0891C" w14:textId="77777777" w:rsidTr="008D5E41">
        <w:trPr>
          <w:trHeight w:val="197"/>
        </w:trPr>
        <w:tc>
          <w:tcPr>
            <w:tcW w:w="8199" w:type="dxa"/>
            <w:tcBorders>
              <w:bottom w:val="single" w:sz="4" w:space="0" w:color="000000"/>
            </w:tcBorders>
          </w:tcPr>
          <w:p w14:paraId="7235399F" w14:textId="02F18C78" w:rsidR="001B797B" w:rsidRPr="000E23A0" w:rsidRDefault="001B797B" w:rsidP="001B797B">
            <w:pPr>
              <w:jc w:val="center"/>
              <w:rPr>
                <w:sz w:val="22"/>
                <w:szCs w:val="22"/>
              </w:rPr>
            </w:pPr>
            <w:r w:rsidRPr="000E23A0">
              <w:rPr>
                <w:sz w:val="22"/>
                <w:szCs w:val="22"/>
              </w:rPr>
              <w:t>67013</w:t>
            </w:r>
            <w:r w:rsidR="00D353C9" w:rsidRPr="000E23A0">
              <w:rPr>
                <w:sz w:val="22"/>
                <w:szCs w:val="22"/>
              </w:rPr>
              <w:t>005</w:t>
            </w:r>
          </w:p>
        </w:tc>
      </w:tr>
      <w:tr w:rsidR="000E23A0" w:rsidRPr="000E23A0" w14:paraId="2857CAAB" w14:textId="77777777" w:rsidTr="008D5E41">
        <w:trPr>
          <w:trHeight w:val="385"/>
        </w:trPr>
        <w:tc>
          <w:tcPr>
            <w:tcW w:w="8199" w:type="dxa"/>
            <w:tcBorders>
              <w:top w:val="single" w:sz="4" w:space="0" w:color="000000"/>
            </w:tcBorders>
          </w:tcPr>
          <w:p w14:paraId="6CC8FD37" w14:textId="77777777" w:rsidR="001B797B" w:rsidRPr="000E23A0" w:rsidRDefault="001B797B" w:rsidP="001B797B">
            <w:pPr>
              <w:jc w:val="center"/>
              <w:rPr>
                <w:sz w:val="22"/>
                <w:szCs w:val="22"/>
              </w:rPr>
            </w:pPr>
            <w:r w:rsidRPr="000E23A0">
              <w:rPr>
                <w:sz w:val="22"/>
                <w:szCs w:val="22"/>
              </w:rPr>
              <w:t>(tālruņa un faksa numurs)</w:t>
            </w:r>
          </w:p>
          <w:p w14:paraId="75A72588" w14:textId="77777777" w:rsidR="001B797B" w:rsidRPr="000E23A0" w:rsidRDefault="001B797B" w:rsidP="001B797B">
            <w:pPr>
              <w:jc w:val="center"/>
              <w:rPr>
                <w:sz w:val="22"/>
                <w:szCs w:val="22"/>
              </w:rPr>
            </w:pPr>
          </w:p>
        </w:tc>
      </w:tr>
      <w:tr w:rsidR="000E23A0" w:rsidRPr="000E23A0" w14:paraId="5E851CD1" w14:textId="77777777" w:rsidTr="008D5E41">
        <w:trPr>
          <w:trHeight w:val="197"/>
        </w:trPr>
        <w:tc>
          <w:tcPr>
            <w:tcW w:w="8199" w:type="dxa"/>
            <w:tcBorders>
              <w:bottom w:val="single" w:sz="4" w:space="0" w:color="000000"/>
            </w:tcBorders>
          </w:tcPr>
          <w:p w14:paraId="4B06CA20" w14:textId="67854964" w:rsidR="001B797B" w:rsidRPr="000E23A0" w:rsidRDefault="000A287C" w:rsidP="001B797B">
            <w:pPr>
              <w:jc w:val="center"/>
              <w:rPr>
                <w:sz w:val="22"/>
                <w:szCs w:val="22"/>
              </w:rPr>
            </w:pPr>
            <w:hyperlink r:id="rId9" w:history="1">
              <w:r w:rsidR="00D353C9" w:rsidRPr="000E23A0">
                <w:rPr>
                  <w:rStyle w:val="Hyperlink"/>
                  <w:color w:val="auto"/>
                  <w:sz w:val="22"/>
                  <w:szCs w:val="22"/>
                </w:rPr>
                <w:t>Janis.Silins@em.gov.lv</w:t>
              </w:r>
            </w:hyperlink>
            <w:r w:rsidR="001B797B" w:rsidRPr="000E23A0">
              <w:rPr>
                <w:sz w:val="22"/>
                <w:szCs w:val="22"/>
              </w:rPr>
              <w:t xml:space="preserve"> </w:t>
            </w:r>
          </w:p>
        </w:tc>
      </w:tr>
      <w:tr w:rsidR="000E23A0" w:rsidRPr="000E23A0" w14:paraId="6BF72725" w14:textId="77777777" w:rsidTr="008D5E41">
        <w:trPr>
          <w:trHeight w:val="187"/>
        </w:trPr>
        <w:tc>
          <w:tcPr>
            <w:tcW w:w="8199" w:type="dxa"/>
            <w:tcBorders>
              <w:top w:val="single" w:sz="4" w:space="0" w:color="000000"/>
            </w:tcBorders>
          </w:tcPr>
          <w:p w14:paraId="33AF6D0C" w14:textId="77777777" w:rsidR="001B797B" w:rsidRPr="000E23A0" w:rsidRDefault="001B797B" w:rsidP="001B797B">
            <w:pPr>
              <w:jc w:val="center"/>
              <w:rPr>
                <w:sz w:val="22"/>
                <w:szCs w:val="22"/>
              </w:rPr>
            </w:pPr>
            <w:r w:rsidRPr="000E23A0">
              <w:rPr>
                <w:sz w:val="22"/>
                <w:szCs w:val="22"/>
              </w:rPr>
              <w:t>(e-pasta adrese)</w:t>
            </w:r>
          </w:p>
        </w:tc>
      </w:tr>
    </w:tbl>
    <w:p w14:paraId="03A5A2B8" w14:textId="77777777" w:rsidR="0088699C" w:rsidRPr="000E23A0" w:rsidRDefault="0088699C" w:rsidP="001C4923">
      <w:pPr>
        <w:pStyle w:val="naisf"/>
        <w:tabs>
          <w:tab w:val="left" w:pos="6840"/>
        </w:tabs>
        <w:spacing w:before="0" w:after="0"/>
        <w:ind w:firstLine="0"/>
        <w:rPr>
          <w:sz w:val="22"/>
          <w:szCs w:val="22"/>
        </w:rPr>
      </w:pPr>
    </w:p>
    <w:p w14:paraId="04600C18" w14:textId="77777777" w:rsidR="0088699C" w:rsidRPr="000E23A0" w:rsidRDefault="0088699C" w:rsidP="0088699C">
      <w:pPr>
        <w:rPr>
          <w:sz w:val="22"/>
          <w:szCs w:val="22"/>
        </w:rPr>
      </w:pPr>
    </w:p>
    <w:p w14:paraId="73BC9E60" w14:textId="77777777" w:rsidR="0088699C" w:rsidRPr="000E23A0" w:rsidRDefault="0088699C" w:rsidP="0088699C">
      <w:pPr>
        <w:rPr>
          <w:sz w:val="22"/>
          <w:szCs w:val="22"/>
        </w:rPr>
      </w:pPr>
    </w:p>
    <w:p w14:paraId="2614C8C8" w14:textId="77777777" w:rsidR="0088699C" w:rsidRPr="000E23A0" w:rsidRDefault="0088699C" w:rsidP="0088699C">
      <w:pPr>
        <w:rPr>
          <w:sz w:val="22"/>
          <w:szCs w:val="22"/>
        </w:rPr>
      </w:pPr>
    </w:p>
    <w:p w14:paraId="06675689" w14:textId="77777777" w:rsidR="0088699C" w:rsidRPr="000E23A0" w:rsidRDefault="0088699C" w:rsidP="001C4923">
      <w:pPr>
        <w:pStyle w:val="naisf"/>
        <w:tabs>
          <w:tab w:val="left" w:pos="6840"/>
        </w:tabs>
        <w:spacing w:before="0" w:after="0"/>
        <w:ind w:firstLine="0"/>
        <w:rPr>
          <w:sz w:val="22"/>
          <w:szCs w:val="22"/>
        </w:rPr>
      </w:pPr>
    </w:p>
    <w:p w14:paraId="5E3DF212" w14:textId="64FF7D6E" w:rsidR="001B797B" w:rsidRPr="000E23A0" w:rsidRDefault="0088699C" w:rsidP="00C4513F">
      <w:pPr>
        <w:pStyle w:val="naisf"/>
        <w:tabs>
          <w:tab w:val="left" w:pos="6840"/>
        </w:tabs>
        <w:spacing w:before="0" w:after="0"/>
        <w:ind w:firstLine="0"/>
        <w:rPr>
          <w:sz w:val="22"/>
          <w:szCs w:val="22"/>
        </w:rPr>
      </w:pPr>
      <w:r w:rsidRPr="000E23A0">
        <w:rPr>
          <w:sz w:val="22"/>
          <w:szCs w:val="22"/>
        </w:rPr>
        <w:br w:type="textWrapping" w:clear="all"/>
      </w:r>
    </w:p>
    <w:p w14:paraId="01962D9D" w14:textId="77777777" w:rsidR="00B1659D" w:rsidRDefault="00B1659D" w:rsidP="00C4513F">
      <w:pPr>
        <w:pStyle w:val="naisf"/>
        <w:tabs>
          <w:tab w:val="left" w:pos="6840"/>
        </w:tabs>
        <w:spacing w:before="0" w:after="0"/>
        <w:ind w:firstLine="0"/>
        <w:rPr>
          <w:sz w:val="20"/>
          <w:szCs w:val="20"/>
        </w:rPr>
      </w:pPr>
    </w:p>
    <w:p w14:paraId="097C76C2" w14:textId="4FB22DDC" w:rsidR="001C4923" w:rsidRPr="00B1659D" w:rsidRDefault="0008746D" w:rsidP="00C4513F">
      <w:pPr>
        <w:pStyle w:val="naisf"/>
        <w:tabs>
          <w:tab w:val="left" w:pos="6840"/>
        </w:tabs>
        <w:spacing w:before="0" w:after="0"/>
        <w:ind w:firstLine="0"/>
        <w:rPr>
          <w:sz w:val="20"/>
          <w:szCs w:val="20"/>
        </w:rPr>
      </w:pPr>
      <w:r w:rsidRPr="00B1659D">
        <w:rPr>
          <w:sz w:val="20"/>
          <w:szCs w:val="20"/>
        </w:rPr>
        <w:t>Siliņš</w:t>
      </w:r>
    </w:p>
    <w:p w14:paraId="06E49844" w14:textId="3066C872" w:rsidR="001C4923" w:rsidRPr="00B1659D" w:rsidRDefault="001C4923" w:rsidP="001C4923">
      <w:pPr>
        <w:jc w:val="both"/>
        <w:rPr>
          <w:sz w:val="20"/>
          <w:szCs w:val="20"/>
        </w:rPr>
      </w:pPr>
      <w:r w:rsidRPr="00B1659D">
        <w:rPr>
          <w:sz w:val="20"/>
          <w:szCs w:val="20"/>
        </w:rPr>
        <w:t>Tel.: 67013</w:t>
      </w:r>
      <w:r w:rsidR="00D353C9" w:rsidRPr="00B1659D">
        <w:rPr>
          <w:sz w:val="20"/>
          <w:szCs w:val="20"/>
        </w:rPr>
        <w:t>005</w:t>
      </w:r>
    </w:p>
    <w:p w14:paraId="7087E482" w14:textId="6927627F" w:rsidR="006A6139" w:rsidRPr="00B1659D" w:rsidRDefault="001C4923" w:rsidP="003D6D21">
      <w:pPr>
        <w:jc w:val="both"/>
        <w:rPr>
          <w:sz w:val="20"/>
          <w:szCs w:val="20"/>
        </w:rPr>
      </w:pPr>
      <w:r w:rsidRPr="00B1659D">
        <w:rPr>
          <w:sz w:val="20"/>
          <w:szCs w:val="20"/>
        </w:rPr>
        <w:t xml:space="preserve">e-pasts: </w:t>
      </w:r>
      <w:hyperlink r:id="rId10" w:history="1">
        <w:r w:rsidR="00D353C9" w:rsidRPr="00B1659D">
          <w:rPr>
            <w:rStyle w:val="Hyperlink"/>
            <w:color w:val="auto"/>
            <w:sz w:val="20"/>
            <w:szCs w:val="20"/>
          </w:rPr>
          <w:t>Janis.Silins@em.gov.lv</w:t>
        </w:r>
      </w:hyperlink>
    </w:p>
    <w:p w14:paraId="26FA80B3" w14:textId="73280F58" w:rsidR="0008746D" w:rsidRPr="000E23A0" w:rsidRDefault="0008746D" w:rsidP="0008746D">
      <w:pPr>
        <w:rPr>
          <w:sz w:val="22"/>
          <w:szCs w:val="22"/>
        </w:rPr>
      </w:pPr>
    </w:p>
    <w:p w14:paraId="0E8E616D" w14:textId="073C4388" w:rsidR="0008746D" w:rsidRPr="000E23A0" w:rsidRDefault="0008746D" w:rsidP="0008746D">
      <w:pPr>
        <w:rPr>
          <w:sz w:val="22"/>
          <w:szCs w:val="22"/>
        </w:rPr>
      </w:pPr>
    </w:p>
    <w:p w14:paraId="2DF75CF9" w14:textId="05B68883" w:rsidR="0008746D" w:rsidRPr="000E23A0" w:rsidRDefault="0008746D" w:rsidP="0008746D">
      <w:pPr>
        <w:rPr>
          <w:sz w:val="22"/>
          <w:szCs w:val="22"/>
        </w:rPr>
      </w:pPr>
    </w:p>
    <w:p w14:paraId="469FCB14" w14:textId="7B3E8EA9" w:rsidR="0008746D" w:rsidRPr="000E23A0" w:rsidRDefault="0008746D" w:rsidP="0008746D">
      <w:pPr>
        <w:rPr>
          <w:sz w:val="22"/>
          <w:szCs w:val="22"/>
        </w:rPr>
      </w:pPr>
    </w:p>
    <w:p w14:paraId="29F3E5C7" w14:textId="77777777" w:rsidR="0008746D" w:rsidRPr="000E23A0" w:rsidRDefault="0008746D" w:rsidP="0008746D">
      <w:pPr>
        <w:rPr>
          <w:sz w:val="22"/>
          <w:szCs w:val="22"/>
        </w:rPr>
      </w:pPr>
    </w:p>
    <w:sectPr w:rsidR="0008746D" w:rsidRPr="000E23A0" w:rsidSect="001C4923">
      <w:footerReference w:type="default" r:id="rId11"/>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65C19" w14:textId="77777777" w:rsidR="006F6C8B" w:rsidRDefault="006F6C8B" w:rsidP="001C4923">
      <w:r>
        <w:separator/>
      </w:r>
    </w:p>
  </w:endnote>
  <w:endnote w:type="continuationSeparator" w:id="0">
    <w:p w14:paraId="2C2897F8" w14:textId="77777777" w:rsidR="006F6C8B" w:rsidRDefault="006F6C8B"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9CA2" w14:textId="0E10DD9F" w:rsidR="00A32F75" w:rsidRPr="001C4923" w:rsidRDefault="00A32F75" w:rsidP="001C4923">
    <w:pPr>
      <w:pStyle w:val="Footer"/>
      <w:jc w:val="both"/>
      <w:rPr>
        <w:sz w:val="20"/>
        <w:szCs w:val="20"/>
      </w:rPr>
    </w:pPr>
    <w:r>
      <w:rPr>
        <w:sz w:val="20"/>
        <w:szCs w:val="20"/>
      </w:rPr>
      <w:t>EMIzz_</w:t>
    </w:r>
    <w:r w:rsidR="00152FA6">
      <w:rPr>
        <w:sz w:val="20"/>
        <w:szCs w:val="20"/>
      </w:rPr>
      <w:t>1</w:t>
    </w:r>
    <w:r w:rsidR="002B2EE3">
      <w:rPr>
        <w:sz w:val="20"/>
        <w:szCs w:val="20"/>
      </w:rPr>
      <w:t>111</w:t>
    </w:r>
    <w:r>
      <w:rPr>
        <w:sz w:val="20"/>
        <w:szCs w:val="20"/>
      </w:rPr>
      <w:t>19_Groz160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10B6" w14:textId="77777777" w:rsidR="006F6C8B" w:rsidRDefault="006F6C8B" w:rsidP="001C4923">
      <w:r>
        <w:separator/>
      </w:r>
    </w:p>
  </w:footnote>
  <w:footnote w:type="continuationSeparator" w:id="0">
    <w:p w14:paraId="4E0F4818" w14:textId="77777777" w:rsidR="006F6C8B" w:rsidRDefault="006F6C8B" w:rsidP="001C4923">
      <w:r>
        <w:continuationSeparator/>
      </w:r>
    </w:p>
  </w:footnote>
  <w:footnote w:id="1">
    <w:p w14:paraId="2BA0FB03" w14:textId="40C5D1ED" w:rsidR="00D353C9" w:rsidRDefault="00D353C9">
      <w:pPr>
        <w:pStyle w:val="FootnoteText"/>
      </w:pPr>
      <w:r>
        <w:rPr>
          <w:rStyle w:val="FootnoteReference"/>
        </w:rPr>
        <w:footnoteRef/>
      </w:r>
      <w:r>
        <w:t xml:space="preserve"> Saskaņā ar </w:t>
      </w:r>
      <w:r w:rsidRPr="00F00830">
        <w:rPr>
          <w:iCs/>
        </w:rPr>
        <w:t xml:space="preserve">Ministru kabineta 2019.gada 23.aprīļa sēdes </w:t>
      </w:r>
      <w:proofErr w:type="spellStart"/>
      <w:r w:rsidRPr="00F00830">
        <w:rPr>
          <w:iCs/>
        </w:rPr>
        <w:t>protokollēmuma</w:t>
      </w:r>
      <w:proofErr w:type="spellEnd"/>
      <w:r w:rsidRPr="00F00830">
        <w:rPr>
          <w:iCs/>
        </w:rPr>
        <w:t xml:space="preserve"> Nr.21 23.§ “Informatīvais ziņojums “Par Kohēzijas politikas Eiropas Savienības fondu investīciju aktualitātēm līdz 2018.gada 31.decembrim un 2019.gada februāra ikmēneša operatīvā informācija”” 8.punkt</w:t>
      </w:r>
      <w:r>
        <w:rPr>
          <w:iCs/>
        </w:rPr>
        <w:t>u.</w:t>
      </w:r>
    </w:p>
  </w:footnote>
  <w:footnote w:id="2">
    <w:p w14:paraId="5DD63DA5" w14:textId="3349EF12" w:rsidR="005B4E81" w:rsidRDefault="005B4E81">
      <w:pPr>
        <w:pStyle w:val="FootnoteText"/>
      </w:pPr>
      <w:r>
        <w:rPr>
          <w:rStyle w:val="FootnoteReference"/>
        </w:rPr>
        <w:footnoteRef/>
      </w:r>
      <w:r>
        <w:t xml:space="preserve"> </w:t>
      </w:r>
      <w:r>
        <w:rPr>
          <w:sz w:val="18"/>
          <w:szCs w:val="18"/>
        </w:rPr>
        <w:t>Sk. 2019.gada 5.marta Tiesas sprieduma lietas C-349/17 142.punktu.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75D2952"/>
    <w:multiLevelType w:val="hybridMultilevel"/>
    <w:tmpl w:val="821871B2"/>
    <w:lvl w:ilvl="0" w:tplc="8FE84C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894DA8"/>
    <w:multiLevelType w:val="hybridMultilevel"/>
    <w:tmpl w:val="D4F0B66C"/>
    <w:lvl w:ilvl="0" w:tplc="02BC3D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6F2BF4"/>
    <w:multiLevelType w:val="hybridMultilevel"/>
    <w:tmpl w:val="06D45934"/>
    <w:lvl w:ilvl="0" w:tplc="752A55C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A161F5"/>
    <w:multiLevelType w:val="hybridMultilevel"/>
    <w:tmpl w:val="45286508"/>
    <w:lvl w:ilvl="0" w:tplc="18245D86">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558631D"/>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A62F72"/>
    <w:multiLevelType w:val="hybridMultilevel"/>
    <w:tmpl w:val="CE7600B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EE24DCA"/>
    <w:multiLevelType w:val="hybridMultilevel"/>
    <w:tmpl w:val="B7A4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15:restartNumberingAfterBreak="0">
    <w:nsid w:val="39117375"/>
    <w:multiLevelType w:val="hybridMultilevel"/>
    <w:tmpl w:val="6B5634D2"/>
    <w:lvl w:ilvl="0" w:tplc="B3F0AB74">
      <w:start w:val="1"/>
      <w:numFmt w:val="decimal"/>
      <w:lvlText w:val="%1."/>
      <w:lvlJc w:val="left"/>
      <w:pPr>
        <w:ind w:left="2532" w:hanging="360"/>
      </w:pPr>
      <w:rPr>
        <w:rFonts w:ascii="Times New Roman" w:eastAsia="Calibri" w:hAnsi="Times New Roman" w:cs="Calibri"/>
      </w:rPr>
    </w:lvl>
    <w:lvl w:ilvl="1" w:tplc="04260019">
      <w:start w:val="1"/>
      <w:numFmt w:val="lowerLetter"/>
      <w:lvlText w:val="%2."/>
      <w:lvlJc w:val="left"/>
      <w:pPr>
        <w:ind w:left="3252" w:hanging="360"/>
      </w:pPr>
    </w:lvl>
    <w:lvl w:ilvl="2" w:tplc="0426001B">
      <w:start w:val="1"/>
      <w:numFmt w:val="lowerRoman"/>
      <w:lvlText w:val="%3."/>
      <w:lvlJc w:val="right"/>
      <w:pPr>
        <w:ind w:left="3972" w:hanging="180"/>
      </w:pPr>
    </w:lvl>
    <w:lvl w:ilvl="3" w:tplc="0426000F">
      <w:start w:val="1"/>
      <w:numFmt w:val="decimal"/>
      <w:lvlText w:val="%4."/>
      <w:lvlJc w:val="left"/>
      <w:pPr>
        <w:ind w:left="4692" w:hanging="360"/>
      </w:pPr>
    </w:lvl>
    <w:lvl w:ilvl="4" w:tplc="04260019">
      <w:start w:val="1"/>
      <w:numFmt w:val="lowerLetter"/>
      <w:lvlText w:val="%5."/>
      <w:lvlJc w:val="left"/>
      <w:pPr>
        <w:ind w:left="5412" w:hanging="360"/>
      </w:pPr>
    </w:lvl>
    <w:lvl w:ilvl="5" w:tplc="0426001B">
      <w:start w:val="1"/>
      <w:numFmt w:val="lowerRoman"/>
      <w:lvlText w:val="%6."/>
      <w:lvlJc w:val="right"/>
      <w:pPr>
        <w:ind w:left="6132" w:hanging="180"/>
      </w:pPr>
    </w:lvl>
    <w:lvl w:ilvl="6" w:tplc="0426000F">
      <w:start w:val="1"/>
      <w:numFmt w:val="decimal"/>
      <w:lvlText w:val="%7."/>
      <w:lvlJc w:val="left"/>
      <w:pPr>
        <w:ind w:left="6852" w:hanging="360"/>
      </w:pPr>
    </w:lvl>
    <w:lvl w:ilvl="7" w:tplc="04260019">
      <w:start w:val="1"/>
      <w:numFmt w:val="lowerLetter"/>
      <w:lvlText w:val="%8."/>
      <w:lvlJc w:val="left"/>
      <w:pPr>
        <w:ind w:left="7572" w:hanging="360"/>
      </w:pPr>
    </w:lvl>
    <w:lvl w:ilvl="8" w:tplc="0426001B">
      <w:start w:val="1"/>
      <w:numFmt w:val="lowerRoman"/>
      <w:lvlText w:val="%9."/>
      <w:lvlJc w:val="right"/>
      <w:pPr>
        <w:ind w:left="8292" w:hanging="180"/>
      </w:pPr>
    </w:lvl>
  </w:abstractNum>
  <w:abstractNum w:abstractNumId="11"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2143C66"/>
    <w:multiLevelType w:val="hybridMultilevel"/>
    <w:tmpl w:val="384E5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C4645B"/>
    <w:multiLevelType w:val="hybridMultilevel"/>
    <w:tmpl w:val="71AC64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A962994"/>
    <w:multiLevelType w:val="hybridMultilevel"/>
    <w:tmpl w:val="CFE40B64"/>
    <w:lvl w:ilvl="0" w:tplc="6562D9C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9E1750"/>
    <w:multiLevelType w:val="hybridMultilevel"/>
    <w:tmpl w:val="8EFC03EE"/>
    <w:lvl w:ilvl="0" w:tplc="04B29836">
      <w:start w:val="1"/>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7006C0"/>
    <w:multiLevelType w:val="hybridMultilevel"/>
    <w:tmpl w:val="663EF7C4"/>
    <w:lvl w:ilvl="0" w:tplc="2C30712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7"/>
  </w:num>
  <w:num w:numId="2">
    <w:abstractNumId w:val="16"/>
  </w:num>
  <w:num w:numId="3">
    <w:abstractNumId w:val="15"/>
  </w:num>
  <w:num w:numId="4">
    <w:abstractNumId w:val="19"/>
  </w:num>
  <w:num w:numId="5">
    <w:abstractNumId w:val="11"/>
  </w:num>
  <w:num w:numId="6">
    <w:abstractNumId w:val="9"/>
  </w:num>
  <w:num w:numId="7">
    <w:abstractNumId w:val="0"/>
  </w:num>
  <w:num w:numId="8">
    <w:abstractNumId w:val="4"/>
  </w:num>
  <w:num w:numId="9">
    <w:abstractNumId w:val="14"/>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6"/>
  </w:num>
  <w:num w:numId="15">
    <w:abstractNumId w:val="7"/>
  </w:num>
  <w:num w:numId="16">
    <w:abstractNumId w:val="5"/>
  </w:num>
  <w:num w:numId="17">
    <w:abstractNumId w:val="18"/>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10C73"/>
    <w:rsid w:val="000278A6"/>
    <w:rsid w:val="00032D9C"/>
    <w:rsid w:val="00036780"/>
    <w:rsid w:val="000548B9"/>
    <w:rsid w:val="00060469"/>
    <w:rsid w:val="00063366"/>
    <w:rsid w:val="000645DC"/>
    <w:rsid w:val="00065F94"/>
    <w:rsid w:val="00071BF3"/>
    <w:rsid w:val="00074C77"/>
    <w:rsid w:val="00075D0E"/>
    <w:rsid w:val="000771EE"/>
    <w:rsid w:val="00077F09"/>
    <w:rsid w:val="0008746D"/>
    <w:rsid w:val="000912BA"/>
    <w:rsid w:val="000A287C"/>
    <w:rsid w:val="000A681E"/>
    <w:rsid w:val="000A73A5"/>
    <w:rsid w:val="000C01ED"/>
    <w:rsid w:val="000D7A30"/>
    <w:rsid w:val="000E1302"/>
    <w:rsid w:val="000E23A0"/>
    <w:rsid w:val="000E570F"/>
    <w:rsid w:val="000E741C"/>
    <w:rsid w:val="000F010E"/>
    <w:rsid w:val="000F3715"/>
    <w:rsid w:val="000F387C"/>
    <w:rsid w:val="000F5C24"/>
    <w:rsid w:val="00100580"/>
    <w:rsid w:val="001029EC"/>
    <w:rsid w:val="00107A0C"/>
    <w:rsid w:val="00114A41"/>
    <w:rsid w:val="0012078E"/>
    <w:rsid w:val="00122696"/>
    <w:rsid w:val="0012524F"/>
    <w:rsid w:val="00135CC1"/>
    <w:rsid w:val="00152FA6"/>
    <w:rsid w:val="00154B60"/>
    <w:rsid w:val="0015633E"/>
    <w:rsid w:val="00162509"/>
    <w:rsid w:val="00166B36"/>
    <w:rsid w:val="00173597"/>
    <w:rsid w:val="00176059"/>
    <w:rsid w:val="00185657"/>
    <w:rsid w:val="00195F27"/>
    <w:rsid w:val="001A10A4"/>
    <w:rsid w:val="001A11F3"/>
    <w:rsid w:val="001A53EF"/>
    <w:rsid w:val="001A616F"/>
    <w:rsid w:val="001B1A94"/>
    <w:rsid w:val="001B2E07"/>
    <w:rsid w:val="001B797B"/>
    <w:rsid w:val="001C26B9"/>
    <w:rsid w:val="001C4923"/>
    <w:rsid w:val="001C5E77"/>
    <w:rsid w:val="001C7175"/>
    <w:rsid w:val="001C720A"/>
    <w:rsid w:val="001D5DEE"/>
    <w:rsid w:val="001E1D3C"/>
    <w:rsid w:val="001E2FF8"/>
    <w:rsid w:val="001E5731"/>
    <w:rsid w:val="001E6B7E"/>
    <w:rsid w:val="001E7210"/>
    <w:rsid w:val="001E7427"/>
    <w:rsid w:val="001F6AAA"/>
    <w:rsid w:val="001F746B"/>
    <w:rsid w:val="002018AB"/>
    <w:rsid w:val="0020328C"/>
    <w:rsid w:val="00205C05"/>
    <w:rsid w:val="00211E39"/>
    <w:rsid w:val="00217079"/>
    <w:rsid w:val="00222483"/>
    <w:rsid w:val="002235D3"/>
    <w:rsid w:val="00235BB0"/>
    <w:rsid w:val="0024580E"/>
    <w:rsid w:val="0025090B"/>
    <w:rsid w:val="00253251"/>
    <w:rsid w:val="00264315"/>
    <w:rsid w:val="00265075"/>
    <w:rsid w:val="002659D6"/>
    <w:rsid w:val="00271B24"/>
    <w:rsid w:val="00273D34"/>
    <w:rsid w:val="00280389"/>
    <w:rsid w:val="00280CD1"/>
    <w:rsid w:val="00285498"/>
    <w:rsid w:val="00287B10"/>
    <w:rsid w:val="00297267"/>
    <w:rsid w:val="002A4E8D"/>
    <w:rsid w:val="002A7251"/>
    <w:rsid w:val="002B084D"/>
    <w:rsid w:val="002B2A99"/>
    <w:rsid w:val="002B2EE3"/>
    <w:rsid w:val="002B5F82"/>
    <w:rsid w:val="002C0726"/>
    <w:rsid w:val="002C3042"/>
    <w:rsid w:val="002D6441"/>
    <w:rsid w:val="002E4411"/>
    <w:rsid w:val="002F4453"/>
    <w:rsid w:val="0030647B"/>
    <w:rsid w:val="003104FB"/>
    <w:rsid w:val="0031175A"/>
    <w:rsid w:val="00316390"/>
    <w:rsid w:val="00320DCC"/>
    <w:rsid w:val="00332873"/>
    <w:rsid w:val="0033425C"/>
    <w:rsid w:val="00334E10"/>
    <w:rsid w:val="00335A6F"/>
    <w:rsid w:val="00350E39"/>
    <w:rsid w:val="00357706"/>
    <w:rsid w:val="003803FD"/>
    <w:rsid w:val="0038178A"/>
    <w:rsid w:val="003851A6"/>
    <w:rsid w:val="003852AB"/>
    <w:rsid w:val="00386B50"/>
    <w:rsid w:val="00390A5D"/>
    <w:rsid w:val="00391172"/>
    <w:rsid w:val="0039439E"/>
    <w:rsid w:val="003A1ECD"/>
    <w:rsid w:val="003A1F4F"/>
    <w:rsid w:val="003A4196"/>
    <w:rsid w:val="003B1924"/>
    <w:rsid w:val="003B7844"/>
    <w:rsid w:val="003C2376"/>
    <w:rsid w:val="003C4FA2"/>
    <w:rsid w:val="003D1301"/>
    <w:rsid w:val="003D6D21"/>
    <w:rsid w:val="003E07F9"/>
    <w:rsid w:val="003E60E1"/>
    <w:rsid w:val="003E78D0"/>
    <w:rsid w:val="003F0AE1"/>
    <w:rsid w:val="003F16E7"/>
    <w:rsid w:val="003F306E"/>
    <w:rsid w:val="003F768C"/>
    <w:rsid w:val="0040018C"/>
    <w:rsid w:val="00402E8B"/>
    <w:rsid w:val="00404EB6"/>
    <w:rsid w:val="0041134C"/>
    <w:rsid w:val="0041420C"/>
    <w:rsid w:val="00421272"/>
    <w:rsid w:val="004311E2"/>
    <w:rsid w:val="004323CC"/>
    <w:rsid w:val="00432580"/>
    <w:rsid w:val="00437CA6"/>
    <w:rsid w:val="0044307D"/>
    <w:rsid w:val="004432C2"/>
    <w:rsid w:val="00444385"/>
    <w:rsid w:val="004443C4"/>
    <w:rsid w:val="00450C8E"/>
    <w:rsid w:val="00453153"/>
    <w:rsid w:val="00456505"/>
    <w:rsid w:val="004705F5"/>
    <w:rsid w:val="00476CB0"/>
    <w:rsid w:val="00484D5A"/>
    <w:rsid w:val="00486FC6"/>
    <w:rsid w:val="00492D01"/>
    <w:rsid w:val="00495A75"/>
    <w:rsid w:val="00495F3F"/>
    <w:rsid w:val="004962A2"/>
    <w:rsid w:val="004B0545"/>
    <w:rsid w:val="004B1E57"/>
    <w:rsid w:val="004B3B4C"/>
    <w:rsid w:val="004C2A11"/>
    <w:rsid w:val="004D074D"/>
    <w:rsid w:val="004D53E1"/>
    <w:rsid w:val="004D5D14"/>
    <w:rsid w:val="004E5FDC"/>
    <w:rsid w:val="004F3A9F"/>
    <w:rsid w:val="004F4413"/>
    <w:rsid w:val="004F5507"/>
    <w:rsid w:val="004F5CBD"/>
    <w:rsid w:val="00507206"/>
    <w:rsid w:val="00510426"/>
    <w:rsid w:val="0051088F"/>
    <w:rsid w:val="005126A1"/>
    <w:rsid w:val="00513B06"/>
    <w:rsid w:val="00522446"/>
    <w:rsid w:val="0052389E"/>
    <w:rsid w:val="00532141"/>
    <w:rsid w:val="00532A05"/>
    <w:rsid w:val="00533404"/>
    <w:rsid w:val="00550CBA"/>
    <w:rsid w:val="00554773"/>
    <w:rsid w:val="0056421D"/>
    <w:rsid w:val="00564BF2"/>
    <w:rsid w:val="005742CE"/>
    <w:rsid w:val="0058547F"/>
    <w:rsid w:val="00590833"/>
    <w:rsid w:val="0059171F"/>
    <w:rsid w:val="005A3528"/>
    <w:rsid w:val="005A45AD"/>
    <w:rsid w:val="005A6981"/>
    <w:rsid w:val="005A7968"/>
    <w:rsid w:val="005B3FA0"/>
    <w:rsid w:val="005B4365"/>
    <w:rsid w:val="005B4E81"/>
    <w:rsid w:val="005B6050"/>
    <w:rsid w:val="005C5640"/>
    <w:rsid w:val="005C6F7C"/>
    <w:rsid w:val="005D2A77"/>
    <w:rsid w:val="005F2B8D"/>
    <w:rsid w:val="005F5510"/>
    <w:rsid w:val="005F7C63"/>
    <w:rsid w:val="00610015"/>
    <w:rsid w:val="0061630B"/>
    <w:rsid w:val="0063475C"/>
    <w:rsid w:val="0063655B"/>
    <w:rsid w:val="00643887"/>
    <w:rsid w:val="00644094"/>
    <w:rsid w:val="00644A25"/>
    <w:rsid w:val="006523E0"/>
    <w:rsid w:val="006531C9"/>
    <w:rsid w:val="00653F87"/>
    <w:rsid w:val="006568F7"/>
    <w:rsid w:val="00676B12"/>
    <w:rsid w:val="0068520B"/>
    <w:rsid w:val="00691997"/>
    <w:rsid w:val="006A1448"/>
    <w:rsid w:val="006A3133"/>
    <w:rsid w:val="006A4E77"/>
    <w:rsid w:val="006A6139"/>
    <w:rsid w:val="006B13BF"/>
    <w:rsid w:val="006C3EB1"/>
    <w:rsid w:val="006C6EE2"/>
    <w:rsid w:val="006E7C6C"/>
    <w:rsid w:val="006F6C8B"/>
    <w:rsid w:val="00700D73"/>
    <w:rsid w:val="007028B2"/>
    <w:rsid w:val="00705547"/>
    <w:rsid w:val="0070694A"/>
    <w:rsid w:val="00710FD0"/>
    <w:rsid w:val="00711F58"/>
    <w:rsid w:val="00713EA5"/>
    <w:rsid w:val="007260A8"/>
    <w:rsid w:val="00726A02"/>
    <w:rsid w:val="00732E2A"/>
    <w:rsid w:val="007344A9"/>
    <w:rsid w:val="00737C7F"/>
    <w:rsid w:val="00741E83"/>
    <w:rsid w:val="00742A13"/>
    <w:rsid w:val="00742B78"/>
    <w:rsid w:val="00751F8C"/>
    <w:rsid w:val="00753C66"/>
    <w:rsid w:val="007558AF"/>
    <w:rsid w:val="0075679B"/>
    <w:rsid w:val="00773712"/>
    <w:rsid w:val="007774AA"/>
    <w:rsid w:val="0077772D"/>
    <w:rsid w:val="007918B9"/>
    <w:rsid w:val="007960E0"/>
    <w:rsid w:val="007B0871"/>
    <w:rsid w:val="007B5AA2"/>
    <w:rsid w:val="007B6548"/>
    <w:rsid w:val="007B6614"/>
    <w:rsid w:val="007C259D"/>
    <w:rsid w:val="007C6858"/>
    <w:rsid w:val="007D5C3B"/>
    <w:rsid w:val="007E5C23"/>
    <w:rsid w:val="007F25F7"/>
    <w:rsid w:val="008001FB"/>
    <w:rsid w:val="00801CD8"/>
    <w:rsid w:val="00810CB1"/>
    <w:rsid w:val="00815169"/>
    <w:rsid w:val="00827861"/>
    <w:rsid w:val="00832B02"/>
    <w:rsid w:val="00832F88"/>
    <w:rsid w:val="008336A1"/>
    <w:rsid w:val="00835B42"/>
    <w:rsid w:val="00851E73"/>
    <w:rsid w:val="00861E2E"/>
    <w:rsid w:val="008763C5"/>
    <w:rsid w:val="00880D6B"/>
    <w:rsid w:val="00883D0B"/>
    <w:rsid w:val="0088699C"/>
    <w:rsid w:val="008874A5"/>
    <w:rsid w:val="00890D23"/>
    <w:rsid w:val="00892EC5"/>
    <w:rsid w:val="00894EC2"/>
    <w:rsid w:val="00897D7F"/>
    <w:rsid w:val="008A39D0"/>
    <w:rsid w:val="008A4985"/>
    <w:rsid w:val="008A5492"/>
    <w:rsid w:val="008A5AC7"/>
    <w:rsid w:val="008B611D"/>
    <w:rsid w:val="008B73BA"/>
    <w:rsid w:val="008C7D1B"/>
    <w:rsid w:val="008D2691"/>
    <w:rsid w:val="008D5E41"/>
    <w:rsid w:val="008E2CC2"/>
    <w:rsid w:val="008E5CEE"/>
    <w:rsid w:val="008F0DF6"/>
    <w:rsid w:val="008F5241"/>
    <w:rsid w:val="00902CB5"/>
    <w:rsid w:val="00915EBA"/>
    <w:rsid w:val="00916CA3"/>
    <w:rsid w:val="009201CE"/>
    <w:rsid w:val="00922F66"/>
    <w:rsid w:val="00926040"/>
    <w:rsid w:val="00926F31"/>
    <w:rsid w:val="00932A43"/>
    <w:rsid w:val="00935DF7"/>
    <w:rsid w:val="0093630C"/>
    <w:rsid w:val="00942F7C"/>
    <w:rsid w:val="009532BF"/>
    <w:rsid w:val="00956B9B"/>
    <w:rsid w:val="009642E8"/>
    <w:rsid w:val="00965634"/>
    <w:rsid w:val="00970A52"/>
    <w:rsid w:val="00971204"/>
    <w:rsid w:val="0097329B"/>
    <w:rsid w:val="00982BFA"/>
    <w:rsid w:val="00984439"/>
    <w:rsid w:val="009904C9"/>
    <w:rsid w:val="0099650E"/>
    <w:rsid w:val="009A2F4C"/>
    <w:rsid w:val="009A4DF6"/>
    <w:rsid w:val="009A7B3F"/>
    <w:rsid w:val="009B6E54"/>
    <w:rsid w:val="009C4058"/>
    <w:rsid w:val="009C4C02"/>
    <w:rsid w:val="009C7667"/>
    <w:rsid w:val="009D1AA4"/>
    <w:rsid w:val="009D2A50"/>
    <w:rsid w:val="009D2EFC"/>
    <w:rsid w:val="009D5A8B"/>
    <w:rsid w:val="009E0498"/>
    <w:rsid w:val="009E53A3"/>
    <w:rsid w:val="009F5AEF"/>
    <w:rsid w:val="009F7C65"/>
    <w:rsid w:val="00A0202F"/>
    <w:rsid w:val="00A04708"/>
    <w:rsid w:val="00A113C4"/>
    <w:rsid w:val="00A135BC"/>
    <w:rsid w:val="00A26A7D"/>
    <w:rsid w:val="00A31F2E"/>
    <w:rsid w:val="00A32F75"/>
    <w:rsid w:val="00A35343"/>
    <w:rsid w:val="00A37A7A"/>
    <w:rsid w:val="00A422D6"/>
    <w:rsid w:val="00A42D9A"/>
    <w:rsid w:val="00A43D1D"/>
    <w:rsid w:val="00A5128B"/>
    <w:rsid w:val="00A5466C"/>
    <w:rsid w:val="00A54716"/>
    <w:rsid w:val="00A56414"/>
    <w:rsid w:val="00A57BF5"/>
    <w:rsid w:val="00A6050C"/>
    <w:rsid w:val="00A72F59"/>
    <w:rsid w:val="00A74722"/>
    <w:rsid w:val="00A90659"/>
    <w:rsid w:val="00A9100F"/>
    <w:rsid w:val="00A951D9"/>
    <w:rsid w:val="00A95EF8"/>
    <w:rsid w:val="00A97041"/>
    <w:rsid w:val="00A97AE8"/>
    <w:rsid w:val="00AB29DB"/>
    <w:rsid w:val="00AB392B"/>
    <w:rsid w:val="00AC187D"/>
    <w:rsid w:val="00AC3FB0"/>
    <w:rsid w:val="00AC578C"/>
    <w:rsid w:val="00AD679B"/>
    <w:rsid w:val="00AE594C"/>
    <w:rsid w:val="00AF46CA"/>
    <w:rsid w:val="00AF4B52"/>
    <w:rsid w:val="00AF5B19"/>
    <w:rsid w:val="00B003E1"/>
    <w:rsid w:val="00B0564F"/>
    <w:rsid w:val="00B06ACF"/>
    <w:rsid w:val="00B10C8E"/>
    <w:rsid w:val="00B1124D"/>
    <w:rsid w:val="00B1659D"/>
    <w:rsid w:val="00B16F22"/>
    <w:rsid w:val="00B200D9"/>
    <w:rsid w:val="00B3443C"/>
    <w:rsid w:val="00B671CE"/>
    <w:rsid w:val="00B67DB6"/>
    <w:rsid w:val="00B70727"/>
    <w:rsid w:val="00B71468"/>
    <w:rsid w:val="00B75494"/>
    <w:rsid w:val="00B8283C"/>
    <w:rsid w:val="00B82D69"/>
    <w:rsid w:val="00B83F6F"/>
    <w:rsid w:val="00B85702"/>
    <w:rsid w:val="00B85DFA"/>
    <w:rsid w:val="00B87E8B"/>
    <w:rsid w:val="00B90BC7"/>
    <w:rsid w:val="00B970D3"/>
    <w:rsid w:val="00B976D8"/>
    <w:rsid w:val="00BA22B9"/>
    <w:rsid w:val="00BA728C"/>
    <w:rsid w:val="00BB6CC6"/>
    <w:rsid w:val="00BC18CC"/>
    <w:rsid w:val="00BD1B21"/>
    <w:rsid w:val="00BE3883"/>
    <w:rsid w:val="00BE3D2D"/>
    <w:rsid w:val="00BE3D2F"/>
    <w:rsid w:val="00BE474A"/>
    <w:rsid w:val="00BF0E97"/>
    <w:rsid w:val="00BF3988"/>
    <w:rsid w:val="00BF520A"/>
    <w:rsid w:val="00BF7778"/>
    <w:rsid w:val="00C07F10"/>
    <w:rsid w:val="00C2192A"/>
    <w:rsid w:val="00C21CFB"/>
    <w:rsid w:val="00C444D2"/>
    <w:rsid w:val="00C4513F"/>
    <w:rsid w:val="00C63BF2"/>
    <w:rsid w:val="00C7064A"/>
    <w:rsid w:val="00C72944"/>
    <w:rsid w:val="00C7382B"/>
    <w:rsid w:val="00C779A5"/>
    <w:rsid w:val="00C937B7"/>
    <w:rsid w:val="00C97E9E"/>
    <w:rsid w:val="00CA3FDA"/>
    <w:rsid w:val="00CA7030"/>
    <w:rsid w:val="00CA7EAC"/>
    <w:rsid w:val="00CB5ED5"/>
    <w:rsid w:val="00CB7801"/>
    <w:rsid w:val="00CC4FF7"/>
    <w:rsid w:val="00CD3082"/>
    <w:rsid w:val="00CE04B3"/>
    <w:rsid w:val="00CE2E2A"/>
    <w:rsid w:val="00CE3635"/>
    <w:rsid w:val="00CE5695"/>
    <w:rsid w:val="00CF1A93"/>
    <w:rsid w:val="00CF2463"/>
    <w:rsid w:val="00CF2715"/>
    <w:rsid w:val="00CF6F9F"/>
    <w:rsid w:val="00D00F6E"/>
    <w:rsid w:val="00D07CC0"/>
    <w:rsid w:val="00D1452F"/>
    <w:rsid w:val="00D15C94"/>
    <w:rsid w:val="00D232F7"/>
    <w:rsid w:val="00D32823"/>
    <w:rsid w:val="00D353C9"/>
    <w:rsid w:val="00D4576D"/>
    <w:rsid w:val="00D54FC4"/>
    <w:rsid w:val="00D628C8"/>
    <w:rsid w:val="00D66262"/>
    <w:rsid w:val="00D67795"/>
    <w:rsid w:val="00D71493"/>
    <w:rsid w:val="00D74178"/>
    <w:rsid w:val="00D74F69"/>
    <w:rsid w:val="00D81E8C"/>
    <w:rsid w:val="00D91CB8"/>
    <w:rsid w:val="00D93B13"/>
    <w:rsid w:val="00D9400B"/>
    <w:rsid w:val="00DB128F"/>
    <w:rsid w:val="00DB77E1"/>
    <w:rsid w:val="00DC04FC"/>
    <w:rsid w:val="00DC4E0E"/>
    <w:rsid w:val="00DD1DB2"/>
    <w:rsid w:val="00DD5B99"/>
    <w:rsid w:val="00DE28F6"/>
    <w:rsid w:val="00DE737D"/>
    <w:rsid w:val="00DE75D6"/>
    <w:rsid w:val="00DF4897"/>
    <w:rsid w:val="00E01F1B"/>
    <w:rsid w:val="00E0718E"/>
    <w:rsid w:val="00E07287"/>
    <w:rsid w:val="00E147B7"/>
    <w:rsid w:val="00E206AE"/>
    <w:rsid w:val="00E20B8A"/>
    <w:rsid w:val="00E219A5"/>
    <w:rsid w:val="00E2285E"/>
    <w:rsid w:val="00E415E4"/>
    <w:rsid w:val="00E43376"/>
    <w:rsid w:val="00E4418C"/>
    <w:rsid w:val="00E46FFB"/>
    <w:rsid w:val="00E50135"/>
    <w:rsid w:val="00E5025C"/>
    <w:rsid w:val="00E646D0"/>
    <w:rsid w:val="00E704AC"/>
    <w:rsid w:val="00E71488"/>
    <w:rsid w:val="00E72571"/>
    <w:rsid w:val="00E75E11"/>
    <w:rsid w:val="00E80942"/>
    <w:rsid w:val="00E811DE"/>
    <w:rsid w:val="00E8197F"/>
    <w:rsid w:val="00E85005"/>
    <w:rsid w:val="00E90691"/>
    <w:rsid w:val="00E92199"/>
    <w:rsid w:val="00E92CF2"/>
    <w:rsid w:val="00E93D15"/>
    <w:rsid w:val="00E96631"/>
    <w:rsid w:val="00EA36D1"/>
    <w:rsid w:val="00EB0E49"/>
    <w:rsid w:val="00EB6A80"/>
    <w:rsid w:val="00EC72F0"/>
    <w:rsid w:val="00ED14D2"/>
    <w:rsid w:val="00ED2505"/>
    <w:rsid w:val="00ED45FC"/>
    <w:rsid w:val="00EE0083"/>
    <w:rsid w:val="00EE1B15"/>
    <w:rsid w:val="00EE2C7A"/>
    <w:rsid w:val="00EE3A74"/>
    <w:rsid w:val="00EE58AE"/>
    <w:rsid w:val="00EF1A26"/>
    <w:rsid w:val="00EF4569"/>
    <w:rsid w:val="00EF6703"/>
    <w:rsid w:val="00F01939"/>
    <w:rsid w:val="00F113BA"/>
    <w:rsid w:val="00F12BBB"/>
    <w:rsid w:val="00F153D9"/>
    <w:rsid w:val="00F155C5"/>
    <w:rsid w:val="00F2290E"/>
    <w:rsid w:val="00F31FB9"/>
    <w:rsid w:val="00F35FC3"/>
    <w:rsid w:val="00F37E19"/>
    <w:rsid w:val="00F40A77"/>
    <w:rsid w:val="00F501D8"/>
    <w:rsid w:val="00F60C5B"/>
    <w:rsid w:val="00F60E60"/>
    <w:rsid w:val="00F62BE9"/>
    <w:rsid w:val="00F64E53"/>
    <w:rsid w:val="00F66677"/>
    <w:rsid w:val="00F67053"/>
    <w:rsid w:val="00F723A9"/>
    <w:rsid w:val="00F7262C"/>
    <w:rsid w:val="00F72E3C"/>
    <w:rsid w:val="00F84986"/>
    <w:rsid w:val="00F90AE7"/>
    <w:rsid w:val="00F9275C"/>
    <w:rsid w:val="00F92CB5"/>
    <w:rsid w:val="00F953B2"/>
    <w:rsid w:val="00FA0EC3"/>
    <w:rsid w:val="00FA1A54"/>
    <w:rsid w:val="00FA3ED3"/>
    <w:rsid w:val="00FA69FA"/>
    <w:rsid w:val="00FB1846"/>
    <w:rsid w:val="00FC20EA"/>
    <w:rsid w:val="00FD36D0"/>
    <w:rsid w:val="00FD6813"/>
    <w:rsid w:val="00FE4FFC"/>
    <w:rsid w:val="00FE7D8E"/>
    <w:rsid w:val="00FF2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1B51"/>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Normal bullet 2,Bullet list,Saistīto dokumentu saraksts,Syle 1,Numurets,List Paragraph11,OBC Bullet,Bullet Style,L"/>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Normal bullet 2 Char,Bullet list Char,Saistīto dokumentu saraksts Char,Syle 1 Char,Numurets Char,List Paragraph11 Char,OBC Bullet Char,Bullet Style Char,L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B71468"/>
    <w:rPr>
      <w:sz w:val="16"/>
      <w:szCs w:val="16"/>
    </w:rPr>
  </w:style>
  <w:style w:type="paragraph" w:styleId="CommentText">
    <w:name w:val="annotation text"/>
    <w:basedOn w:val="Normal"/>
    <w:link w:val="CommentTextChar"/>
    <w:uiPriority w:val="99"/>
    <w:unhideWhenUsed/>
    <w:rsid w:val="00B71468"/>
    <w:rPr>
      <w:sz w:val="20"/>
      <w:szCs w:val="20"/>
    </w:rPr>
  </w:style>
  <w:style w:type="character" w:customStyle="1" w:styleId="CommentTextChar">
    <w:name w:val="Comment Text Char"/>
    <w:basedOn w:val="DefaultParagraphFont"/>
    <w:link w:val="CommentText"/>
    <w:uiPriority w:val="99"/>
    <w:rsid w:val="00B7146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71468"/>
    <w:rPr>
      <w:b/>
      <w:bCs/>
    </w:rPr>
  </w:style>
  <w:style w:type="character" w:customStyle="1" w:styleId="CommentSubjectChar">
    <w:name w:val="Comment Subject Char"/>
    <w:basedOn w:val="CommentTextChar"/>
    <w:link w:val="CommentSubject"/>
    <w:uiPriority w:val="99"/>
    <w:semiHidden/>
    <w:rsid w:val="00B71468"/>
    <w:rPr>
      <w:rFonts w:eastAsia="Times New Roman" w:cs="Times New Roman"/>
      <w:b/>
      <w:bCs/>
      <w:sz w:val="20"/>
      <w:szCs w:val="20"/>
      <w:lang w:eastAsia="lv-LV"/>
    </w:rPr>
  </w:style>
  <w:style w:type="paragraph" w:styleId="Revision">
    <w:name w:val="Revision"/>
    <w:hidden/>
    <w:uiPriority w:val="99"/>
    <w:semiHidden/>
    <w:rsid w:val="00DD5B99"/>
    <w:rPr>
      <w:rFonts w:eastAsia="Times New Roman" w:cs="Times New Roman"/>
      <w:sz w:val="24"/>
      <w:szCs w:val="24"/>
      <w:lang w:eastAsia="lv-LV"/>
    </w:rPr>
  </w:style>
  <w:style w:type="paragraph" w:customStyle="1" w:styleId="tv213">
    <w:name w:val="tv213"/>
    <w:basedOn w:val="Normal"/>
    <w:rsid w:val="00C7064A"/>
    <w:pPr>
      <w:spacing w:before="100" w:beforeAutospacing="1" w:after="100" w:afterAutospacing="1"/>
    </w:pPr>
  </w:style>
  <w:style w:type="character" w:styleId="UnresolvedMention">
    <w:name w:val="Unresolved Mention"/>
    <w:basedOn w:val="DefaultParagraphFont"/>
    <w:uiPriority w:val="99"/>
    <w:semiHidden/>
    <w:unhideWhenUsed/>
    <w:rsid w:val="00890D23"/>
    <w:rPr>
      <w:color w:val="605E5C"/>
      <w:shd w:val="clear" w:color="auto" w:fill="E1DFDD"/>
    </w:rPr>
  </w:style>
  <w:style w:type="paragraph" w:styleId="FootnoteText">
    <w:name w:val="footnote text"/>
    <w:basedOn w:val="Normal"/>
    <w:link w:val="FootnoteTextChar"/>
    <w:uiPriority w:val="99"/>
    <w:semiHidden/>
    <w:rsid w:val="00D9400B"/>
    <w:pPr>
      <w:jc w:val="both"/>
    </w:pPr>
    <w:rPr>
      <w:sz w:val="20"/>
      <w:szCs w:val="20"/>
      <w:lang w:eastAsia="en-US"/>
    </w:rPr>
  </w:style>
  <w:style w:type="character" w:customStyle="1" w:styleId="FootnoteTextChar">
    <w:name w:val="Footnote Text Char"/>
    <w:basedOn w:val="DefaultParagraphFont"/>
    <w:link w:val="FootnoteText"/>
    <w:uiPriority w:val="99"/>
    <w:semiHidden/>
    <w:rsid w:val="00D9400B"/>
    <w:rPr>
      <w:rFonts w:eastAsia="Times New Roman" w:cs="Times New Roman"/>
      <w:sz w:val="20"/>
      <w:szCs w:val="20"/>
    </w:rPr>
  </w:style>
  <w:style w:type="character" w:styleId="FootnoteReference">
    <w:name w:val="footnote reference"/>
    <w:basedOn w:val="DefaultParagraphFont"/>
    <w:uiPriority w:val="99"/>
    <w:semiHidden/>
    <w:unhideWhenUsed/>
    <w:rsid w:val="006531C9"/>
    <w:rPr>
      <w:vertAlign w:val="superscript"/>
    </w:rPr>
  </w:style>
  <w:style w:type="paragraph" w:customStyle="1" w:styleId="h2">
    <w:name w:val="h2"/>
    <w:basedOn w:val="Normal"/>
    <w:uiPriority w:val="99"/>
    <w:rsid w:val="00074C77"/>
    <w:pPr>
      <w:spacing w:before="100" w:beforeAutospacing="1" w:after="100" w:afterAutospacing="1"/>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0609">
      <w:bodyDiv w:val="1"/>
      <w:marLeft w:val="0"/>
      <w:marRight w:val="0"/>
      <w:marTop w:val="0"/>
      <w:marBottom w:val="0"/>
      <w:divBdr>
        <w:top w:val="none" w:sz="0" w:space="0" w:color="auto"/>
        <w:left w:val="none" w:sz="0" w:space="0" w:color="auto"/>
        <w:bottom w:val="none" w:sz="0" w:space="0" w:color="auto"/>
        <w:right w:val="none" w:sz="0" w:space="0" w:color="auto"/>
      </w:divBdr>
    </w:div>
    <w:div w:id="278725064">
      <w:bodyDiv w:val="1"/>
      <w:marLeft w:val="0"/>
      <w:marRight w:val="0"/>
      <w:marTop w:val="0"/>
      <w:marBottom w:val="0"/>
      <w:divBdr>
        <w:top w:val="none" w:sz="0" w:space="0" w:color="auto"/>
        <w:left w:val="none" w:sz="0" w:space="0" w:color="auto"/>
        <w:bottom w:val="none" w:sz="0" w:space="0" w:color="auto"/>
        <w:right w:val="none" w:sz="0" w:space="0" w:color="auto"/>
      </w:divBdr>
    </w:div>
    <w:div w:id="760685287">
      <w:bodyDiv w:val="1"/>
      <w:marLeft w:val="0"/>
      <w:marRight w:val="0"/>
      <w:marTop w:val="0"/>
      <w:marBottom w:val="0"/>
      <w:divBdr>
        <w:top w:val="none" w:sz="0" w:space="0" w:color="auto"/>
        <w:left w:val="none" w:sz="0" w:space="0" w:color="auto"/>
        <w:bottom w:val="none" w:sz="0" w:space="0" w:color="auto"/>
        <w:right w:val="none" w:sz="0" w:space="0" w:color="auto"/>
      </w:divBdr>
    </w:div>
    <w:div w:id="925577708">
      <w:bodyDiv w:val="1"/>
      <w:marLeft w:val="0"/>
      <w:marRight w:val="0"/>
      <w:marTop w:val="0"/>
      <w:marBottom w:val="0"/>
      <w:divBdr>
        <w:top w:val="none" w:sz="0" w:space="0" w:color="auto"/>
        <w:left w:val="none" w:sz="0" w:space="0" w:color="auto"/>
        <w:bottom w:val="none" w:sz="0" w:space="0" w:color="auto"/>
        <w:right w:val="none" w:sz="0" w:space="0" w:color="auto"/>
      </w:divBdr>
    </w:div>
    <w:div w:id="957638139">
      <w:bodyDiv w:val="1"/>
      <w:marLeft w:val="0"/>
      <w:marRight w:val="0"/>
      <w:marTop w:val="0"/>
      <w:marBottom w:val="0"/>
      <w:divBdr>
        <w:top w:val="none" w:sz="0" w:space="0" w:color="auto"/>
        <w:left w:val="none" w:sz="0" w:space="0" w:color="auto"/>
        <w:bottom w:val="none" w:sz="0" w:space="0" w:color="auto"/>
        <w:right w:val="none" w:sz="0" w:space="0" w:color="auto"/>
      </w:divBdr>
    </w:div>
    <w:div w:id="1570460701">
      <w:bodyDiv w:val="1"/>
      <w:marLeft w:val="0"/>
      <w:marRight w:val="0"/>
      <w:marTop w:val="0"/>
      <w:marBottom w:val="0"/>
      <w:divBdr>
        <w:top w:val="none" w:sz="0" w:space="0" w:color="auto"/>
        <w:left w:val="none" w:sz="0" w:space="0" w:color="auto"/>
        <w:bottom w:val="none" w:sz="0" w:space="0" w:color="auto"/>
        <w:right w:val="none" w:sz="0" w:space="0" w:color="auto"/>
      </w:divBdr>
    </w:div>
    <w:div w:id="1584677294">
      <w:bodyDiv w:val="1"/>
      <w:marLeft w:val="0"/>
      <w:marRight w:val="0"/>
      <w:marTop w:val="0"/>
      <w:marBottom w:val="0"/>
      <w:divBdr>
        <w:top w:val="none" w:sz="0" w:space="0" w:color="auto"/>
        <w:left w:val="none" w:sz="0" w:space="0" w:color="auto"/>
        <w:bottom w:val="none" w:sz="0" w:space="0" w:color="auto"/>
        <w:right w:val="none" w:sz="0" w:space="0" w:color="auto"/>
      </w:divBdr>
    </w:div>
    <w:div w:id="2045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um.lv/lv/pakalpojumi/maju-energoefektivitate/energoefektivitates-projekta-piegadataju-atlase/piegadataju-atlases-vadlinij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is.Silins@em.gov.lv" TargetMode="External"/><Relationship Id="rId4" Type="http://schemas.openxmlformats.org/officeDocument/2006/relationships/settings" Target="settings.xml"/><Relationship Id="rId9" Type="http://schemas.openxmlformats.org/officeDocument/2006/relationships/hyperlink" Target="mailto:Janis.Sili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CECE-E0A8-4E12-9848-620627EC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13</Pages>
  <Words>15880</Words>
  <Characters>9053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EMIzzina_111119_Groz160.docx</vt:lpstr>
    </vt:vector>
  </TitlesOfParts>
  <Company>Ekonomikas ministrija</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EMIzzina_111119_Groz160</dc:title>
  <dc:subject>Izziņa par atzinumos sniegtajiem iebildumiem un priekšlikumiem</dc:subject>
  <dc:creator>Janis.Silins@em.gov.lv</dc:creator>
  <cp:keywords/>
  <dc:description>Janis.Silins@em.gov.lv
67013005</dc:description>
  <cp:lastModifiedBy>Jānis Siliņš</cp:lastModifiedBy>
  <cp:revision>45</cp:revision>
  <cp:lastPrinted>2019-05-13T14:06:00Z</cp:lastPrinted>
  <dcterms:created xsi:type="dcterms:W3CDTF">2019-10-22T13:11:00Z</dcterms:created>
  <dcterms:modified xsi:type="dcterms:W3CDTF">2019-11-12T09:32:00Z</dcterms:modified>
</cp:coreProperties>
</file>