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943A" w14:textId="77777777" w:rsidR="002A247F" w:rsidRPr="005824B6" w:rsidRDefault="002A247F" w:rsidP="00952581">
      <w:pPr>
        <w:ind w:firstLine="720"/>
        <w:jc w:val="right"/>
        <w:rPr>
          <w:rFonts w:cs="Times New Roman"/>
          <w:i/>
          <w:sz w:val="26"/>
          <w:szCs w:val="26"/>
        </w:rPr>
      </w:pPr>
      <w:r w:rsidRPr="005824B6">
        <w:rPr>
          <w:rFonts w:cs="Times New Roman"/>
          <w:i/>
          <w:sz w:val="26"/>
          <w:szCs w:val="26"/>
        </w:rPr>
        <w:t>Projekts</w:t>
      </w:r>
    </w:p>
    <w:p w14:paraId="7D154EC2" w14:textId="77777777" w:rsidR="002A247F" w:rsidRPr="005824B6" w:rsidRDefault="002A247F" w:rsidP="00952581">
      <w:pPr>
        <w:jc w:val="center"/>
        <w:rPr>
          <w:rFonts w:cs="Times New Roman"/>
          <w:b/>
          <w:sz w:val="26"/>
          <w:szCs w:val="26"/>
        </w:rPr>
      </w:pPr>
    </w:p>
    <w:p w14:paraId="357B5293" w14:textId="77777777" w:rsidR="002A247F" w:rsidRPr="005824B6" w:rsidRDefault="002A247F" w:rsidP="00952581">
      <w:pPr>
        <w:jc w:val="center"/>
        <w:rPr>
          <w:rFonts w:cs="Times New Roman"/>
          <w:b/>
          <w:i/>
          <w:sz w:val="26"/>
          <w:szCs w:val="26"/>
        </w:rPr>
      </w:pPr>
      <w:r w:rsidRPr="005824B6">
        <w:rPr>
          <w:rFonts w:cs="Times New Roman"/>
          <w:b/>
          <w:sz w:val="26"/>
          <w:szCs w:val="26"/>
        </w:rPr>
        <w:t>LATVIJAS REPUBLIKAS MINISTRU KABINETS</w:t>
      </w:r>
    </w:p>
    <w:p w14:paraId="571BB308" w14:textId="77777777" w:rsidR="002A247F" w:rsidRPr="005824B6" w:rsidRDefault="002A247F" w:rsidP="00952581">
      <w:pPr>
        <w:ind w:right="-1"/>
        <w:jc w:val="center"/>
        <w:rPr>
          <w:rFonts w:cs="Times New Roman"/>
          <w:sz w:val="26"/>
          <w:szCs w:val="26"/>
        </w:rPr>
      </w:pPr>
    </w:p>
    <w:p w14:paraId="5CB02DBE" w14:textId="77777777" w:rsidR="00A87313" w:rsidRPr="005824B6" w:rsidRDefault="00A87313" w:rsidP="00952581">
      <w:pPr>
        <w:rPr>
          <w:rFonts w:cs="Times New Roman"/>
          <w:sz w:val="26"/>
          <w:szCs w:val="26"/>
        </w:rPr>
      </w:pPr>
    </w:p>
    <w:p w14:paraId="6DD7CB2E" w14:textId="0D515974" w:rsidR="00A87313" w:rsidRPr="005824B6" w:rsidRDefault="00522D5A" w:rsidP="00952581">
      <w:pPr>
        <w:tabs>
          <w:tab w:val="left" w:pos="6804"/>
        </w:tabs>
        <w:rPr>
          <w:rFonts w:cs="Times New Roman"/>
          <w:sz w:val="26"/>
          <w:szCs w:val="26"/>
        </w:rPr>
      </w:pPr>
      <w:r w:rsidRPr="005824B6">
        <w:rPr>
          <w:rFonts w:cs="Times New Roman"/>
          <w:sz w:val="26"/>
          <w:szCs w:val="26"/>
        </w:rPr>
        <w:t>2019</w:t>
      </w:r>
      <w:r w:rsidR="00A87313" w:rsidRPr="005824B6">
        <w:rPr>
          <w:rFonts w:cs="Times New Roman"/>
          <w:sz w:val="26"/>
          <w:szCs w:val="26"/>
        </w:rPr>
        <w:t xml:space="preserve">. gada            </w:t>
      </w:r>
      <w:r w:rsidR="00A87313" w:rsidRPr="005824B6">
        <w:rPr>
          <w:rFonts w:cs="Times New Roman"/>
          <w:sz w:val="26"/>
          <w:szCs w:val="26"/>
        </w:rPr>
        <w:tab/>
        <w:t>Noteikumi Nr.</w:t>
      </w:r>
    </w:p>
    <w:p w14:paraId="0A9A98E7" w14:textId="77777777" w:rsidR="00A87313" w:rsidRPr="005824B6" w:rsidRDefault="00A87313" w:rsidP="00952581">
      <w:pPr>
        <w:tabs>
          <w:tab w:val="left" w:pos="6804"/>
        </w:tabs>
        <w:rPr>
          <w:rFonts w:cs="Times New Roman"/>
          <w:sz w:val="26"/>
          <w:szCs w:val="26"/>
        </w:rPr>
      </w:pPr>
      <w:r w:rsidRPr="005824B6">
        <w:rPr>
          <w:rFonts w:cs="Times New Roman"/>
          <w:sz w:val="26"/>
          <w:szCs w:val="26"/>
        </w:rPr>
        <w:t>Rīgā</w:t>
      </w:r>
      <w:r w:rsidRPr="005824B6">
        <w:rPr>
          <w:rFonts w:cs="Times New Roman"/>
          <w:sz w:val="26"/>
          <w:szCs w:val="26"/>
        </w:rPr>
        <w:tab/>
        <w:t>(prot. Nr.            . §)</w:t>
      </w:r>
    </w:p>
    <w:p w14:paraId="67E88CB0" w14:textId="77777777" w:rsidR="002A247F" w:rsidRPr="005824B6" w:rsidRDefault="002A247F" w:rsidP="00952581">
      <w:pPr>
        <w:pStyle w:val="naislab"/>
        <w:spacing w:before="0" w:after="0"/>
        <w:ind w:firstLine="709"/>
        <w:jc w:val="center"/>
        <w:rPr>
          <w:sz w:val="26"/>
          <w:szCs w:val="26"/>
        </w:rPr>
      </w:pPr>
      <w:bookmarkStart w:id="0" w:name="OLE_LINK1"/>
      <w:bookmarkStart w:id="1" w:name="OLE_LINK2"/>
    </w:p>
    <w:p w14:paraId="5F6A33AC" w14:textId="443BB75C" w:rsidR="002A247F" w:rsidRPr="005824B6" w:rsidRDefault="002A247F" w:rsidP="00952581">
      <w:pPr>
        <w:pStyle w:val="naislab"/>
        <w:spacing w:before="0" w:after="0"/>
        <w:jc w:val="center"/>
        <w:rPr>
          <w:b/>
          <w:sz w:val="26"/>
          <w:szCs w:val="26"/>
        </w:rPr>
      </w:pPr>
      <w:r w:rsidRPr="005824B6">
        <w:rPr>
          <w:b/>
          <w:sz w:val="26"/>
          <w:szCs w:val="26"/>
        </w:rPr>
        <w:t>Grozījumi Ministru kabineta 200</w:t>
      </w:r>
      <w:r w:rsidR="009164D6" w:rsidRPr="005824B6">
        <w:rPr>
          <w:b/>
          <w:sz w:val="26"/>
          <w:szCs w:val="26"/>
        </w:rPr>
        <w:t>0</w:t>
      </w:r>
      <w:r w:rsidRPr="005824B6">
        <w:rPr>
          <w:b/>
          <w:sz w:val="26"/>
          <w:szCs w:val="26"/>
        </w:rPr>
        <w:t>.</w:t>
      </w:r>
      <w:r w:rsidR="00B31950">
        <w:rPr>
          <w:b/>
          <w:sz w:val="26"/>
          <w:szCs w:val="26"/>
        </w:rPr>
        <w:t> </w:t>
      </w:r>
      <w:r w:rsidRPr="005824B6">
        <w:rPr>
          <w:b/>
          <w:sz w:val="26"/>
          <w:szCs w:val="26"/>
        </w:rPr>
        <w:t xml:space="preserve">gada </w:t>
      </w:r>
      <w:r w:rsidR="009164D6" w:rsidRPr="005824B6">
        <w:rPr>
          <w:b/>
          <w:sz w:val="26"/>
          <w:szCs w:val="26"/>
        </w:rPr>
        <w:t>26</w:t>
      </w:r>
      <w:r w:rsidR="00F35426" w:rsidRPr="005824B6">
        <w:rPr>
          <w:b/>
          <w:sz w:val="26"/>
          <w:szCs w:val="26"/>
        </w:rPr>
        <w:t>.</w:t>
      </w:r>
      <w:r w:rsidR="00B31950">
        <w:rPr>
          <w:b/>
          <w:sz w:val="26"/>
          <w:szCs w:val="26"/>
        </w:rPr>
        <w:t> </w:t>
      </w:r>
      <w:r w:rsidR="009164D6" w:rsidRPr="005824B6">
        <w:rPr>
          <w:b/>
          <w:sz w:val="26"/>
          <w:szCs w:val="26"/>
        </w:rPr>
        <w:t>septembra</w:t>
      </w:r>
      <w:r w:rsidR="00F35426" w:rsidRPr="005824B6">
        <w:rPr>
          <w:b/>
          <w:sz w:val="26"/>
          <w:szCs w:val="26"/>
        </w:rPr>
        <w:t xml:space="preserve"> </w:t>
      </w:r>
      <w:r w:rsidRPr="005824B6">
        <w:rPr>
          <w:b/>
          <w:sz w:val="26"/>
          <w:szCs w:val="26"/>
        </w:rPr>
        <w:t>noteikumos Nr.</w:t>
      </w:r>
      <w:r w:rsidR="00B31950">
        <w:rPr>
          <w:b/>
          <w:sz w:val="26"/>
          <w:szCs w:val="26"/>
        </w:rPr>
        <w:t> </w:t>
      </w:r>
      <w:r w:rsidR="009164D6" w:rsidRPr="005824B6">
        <w:rPr>
          <w:b/>
          <w:sz w:val="26"/>
          <w:szCs w:val="26"/>
        </w:rPr>
        <w:t>332</w:t>
      </w:r>
      <w:r w:rsidR="00F35426" w:rsidRPr="005824B6">
        <w:rPr>
          <w:b/>
          <w:sz w:val="26"/>
          <w:szCs w:val="26"/>
        </w:rPr>
        <w:t xml:space="preserve"> “</w:t>
      </w:r>
      <w:r w:rsidR="009164D6" w:rsidRPr="005824B6">
        <w:rPr>
          <w:b/>
          <w:sz w:val="26"/>
          <w:szCs w:val="26"/>
        </w:rPr>
        <w:t>Noteikumi par benzīna un dīzeļdegvielas atbilstības novērtēšanu</w:t>
      </w:r>
      <w:r w:rsidRPr="005824B6">
        <w:rPr>
          <w:b/>
          <w:sz w:val="26"/>
          <w:szCs w:val="26"/>
        </w:rPr>
        <w:t>”</w:t>
      </w:r>
    </w:p>
    <w:p w14:paraId="084D315E" w14:textId="77777777" w:rsidR="002A247F" w:rsidRPr="005824B6" w:rsidRDefault="002A247F" w:rsidP="00952581">
      <w:pPr>
        <w:pStyle w:val="naislab"/>
        <w:spacing w:before="0" w:after="0"/>
        <w:ind w:firstLine="709"/>
        <w:jc w:val="center"/>
        <w:rPr>
          <w:sz w:val="26"/>
          <w:szCs w:val="26"/>
        </w:rPr>
      </w:pPr>
    </w:p>
    <w:p w14:paraId="146B9B7F" w14:textId="41F612DF" w:rsidR="002A247F" w:rsidRPr="005824B6" w:rsidRDefault="002A247F" w:rsidP="00952581">
      <w:pPr>
        <w:pStyle w:val="naislab"/>
        <w:spacing w:before="0" w:after="0"/>
        <w:ind w:left="5670" w:firstLine="709"/>
        <w:rPr>
          <w:sz w:val="26"/>
          <w:szCs w:val="26"/>
        </w:rPr>
      </w:pPr>
      <w:r w:rsidRPr="005824B6">
        <w:rPr>
          <w:sz w:val="26"/>
          <w:szCs w:val="26"/>
        </w:rPr>
        <w:t xml:space="preserve">Izdoti saskaņā </w:t>
      </w:r>
      <w:bookmarkStart w:id="2" w:name="p-317659"/>
      <w:bookmarkStart w:id="3" w:name="p1"/>
      <w:bookmarkEnd w:id="2"/>
      <w:bookmarkEnd w:id="3"/>
      <w:r w:rsidR="009164D6" w:rsidRPr="005824B6">
        <w:rPr>
          <w:sz w:val="26"/>
          <w:szCs w:val="26"/>
        </w:rPr>
        <w:t>ar likuma “Par atbilstības novērtēšanu” 7.</w:t>
      </w:r>
      <w:r w:rsidR="00B31950">
        <w:rPr>
          <w:sz w:val="26"/>
          <w:szCs w:val="26"/>
        </w:rPr>
        <w:t> </w:t>
      </w:r>
      <w:r w:rsidR="009164D6" w:rsidRPr="005824B6">
        <w:rPr>
          <w:sz w:val="26"/>
          <w:szCs w:val="26"/>
        </w:rPr>
        <w:t>pantu</w:t>
      </w:r>
    </w:p>
    <w:p w14:paraId="7F392163" w14:textId="77777777" w:rsidR="000F049E" w:rsidRPr="005824B6" w:rsidRDefault="000F049E" w:rsidP="00952581">
      <w:pPr>
        <w:pStyle w:val="naislab"/>
        <w:spacing w:before="0" w:after="0"/>
        <w:ind w:firstLine="709"/>
        <w:rPr>
          <w:sz w:val="26"/>
          <w:szCs w:val="26"/>
        </w:rPr>
      </w:pPr>
    </w:p>
    <w:p w14:paraId="4DC2D364" w14:textId="50FCD592" w:rsidR="00D44726" w:rsidRPr="005824B6" w:rsidRDefault="004566D1" w:rsidP="00952581">
      <w:pPr>
        <w:spacing w:before="60" w:after="60"/>
        <w:ind w:firstLine="709"/>
        <w:jc w:val="both"/>
        <w:rPr>
          <w:rFonts w:cs="Times New Roman"/>
          <w:b/>
          <w:sz w:val="26"/>
          <w:szCs w:val="26"/>
        </w:rPr>
      </w:pPr>
      <w:bookmarkStart w:id="4" w:name="p-317661"/>
      <w:bookmarkStart w:id="5" w:name="p3"/>
      <w:bookmarkEnd w:id="0"/>
      <w:bookmarkEnd w:id="1"/>
      <w:bookmarkEnd w:id="4"/>
      <w:bookmarkEnd w:id="5"/>
      <w:r w:rsidRPr="005824B6">
        <w:rPr>
          <w:rFonts w:cs="Times New Roman"/>
          <w:sz w:val="26"/>
          <w:szCs w:val="26"/>
        </w:rPr>
        <w:t>1.</w:t>
      </w:r>
      <w:r w:rsidR="000F049E" w:rsidRPr="005824B6">
        <w:rPr>
          <w:rFonts w:cs="Times New Roman"/>
          <w:sz w:val="26"/>
          <w:szCs w:val="26"/>
        </w:rPr>
        <w:t xml:space="preserve"> </w:t>
      </w:r>
      <w:r w:rsidR="00FA7944" w:rsidRPr="005824B6">
        <w:rPr>
          <w:rFonts w:cs="Times New Roman"/>
          <w:sz w:val="26"/>
          <w:szCs w:val="26"/>
        </w:rPr>
        <w:t>Izdarīt Ministru kabineta 200</w:t>
      </w:r>
      <w:r w:rsidR="00871326">
        <w:rPr>
          <w:rFonts w:cs="Times New Roman"/>
          <w:sz w:val="26"/>
          <w:szCs w:val="26"/>
        </w:rPr>
        <w:t>0</w:t>
      </w:r>
      <w:r w:rsidR="00FA7944" w:rsidRPr="005824B6">
        <w:rPr>
          <w:rFonts w:cs="Times New Roman"/>
          <w:sz w:val="26"/>
          <w:szCs w:val="26"/>
        </w:rPr>
        <w:t>.</w:t>
      </w:r>
      <w:r w:rsidR="00B31950">
        <w:rPr>
          <w:rFonts w:cs="Times New Roman"/>
          <w:sz w:val="26"/>
          <w:szCs w:val="26"/>
        </w:rPr>
        <w:t> </w:t>
      </w:r>
      <w:r w:rsidR="00FA7944" w:rsidRPr="005824B6">
        <w:rPr>
          <w:rFonts w:cs="Times New Roman"/>
          <w:sz w:val="26"/>
          <w:szCs w:val="26"/>
        </w:rPr>
        <w:t xml:space="preserve">gada </w:t>
      </w:r>
      <w:r w:rsidR="00871326">
        <w:rPr>
          <w:rFonts w:cs="Times New Roman"/>
          <w:sz w:val="26"/>
          <w:szCs w:val="26"/>
        </w:rPr>
        <w:t>26</w:t>
      </w:r>
      <w:r w:rsidR="00FA7944" w:rsidRPr="005824B6">
        <w:rPr>
          <w:rFonts w:cs="Times New Roman"/>
          <w:sz w:val="26"/>
          <w:szCs w:val="26"/>
        </w:rPr>
        <w:t>.</w:t>
      </w:r>
      <w:r w:rsidR="00B31950">
        <w:rPr>
          <w:rFonts w:cs="Times New Roman"/>
          <w:sz w:val="26"/>
          <w:szCs w:val="26"/>
        </w:rPr>
        <w:t> </w:t>
      </w:r>
      <w:r w:rsidR="00871326" w:rsidRPr="00871326">
        <w:rPr>
          <w:rFonts w:cs="Times New Roman"/>
          <w:sz w:val="26"/>
          <w:szCs w:val="26"/>
        </w:rPr>
        <w:t>septembra</w:t>
      </w:r>
      <w:r w:rsidR="00FA7944" w:rsidRPr="005824B6">
        <w:rPr>
          <w:rFonts w:cs="Times New Roman"/>
          <w:sz w:val="26"/>
          <w:szCs w:val="26"/>
        </w:rPr>
        <w:t xml:space="preserve"> noteikumos Nr.</w:t>
      </w:r>
      <w:r w:rsidR="00B31950">
        <w:rPr>
          <w:rFonts w:cs="Times New Roman"/>
          <w:sz w:val="26"/>
          <w:szCs w:val="26"/>
        </w:rPr>
        <w:t> </w:t>
      </w:r>
      <w:r w:rsidR="009164D6" w:rsidRPr="005824B6">
        <w:rPr>
          <w:rFonts w:cs="Times New Roman"/>
          <w:sz w:val="26"/>
          <w:szCs w:val="26"/>
        </w:rPr>
        <w:t>332</w:t>
      </w:r>
      <w:r w:rsidR="00FA7944" w:rsidRPr="005824B6">
        <w:rPr>
          <w:rFonts w:cs="Times New Roman"/>
          <w:sz w:val="26"/>
          <w:szCs w:val="26"/>
        </w:rPr>
        <w:t xml:space="preserve"> “</w:t>
      </w:r>
      <w:r w:rsidR="009164D6" w:rsidRPr="005824B6">
        <w:rPr>
          <w:rFonts w:cs="Times New Roman"/>
          <w:sz w:val="26"/>
          <w:szCs w:val="26"/>
        </w:rPr>
        <w:t>Noteikumi par benzīna un dīzeļdegvielas atbilstības novērtēšanu</w:t>
      </w:r>
      <w:r w:rsidR="00FA7944" w:rsidRPr="005824B6">
        <w:rPr>
          <w:rFonts w:cs="Times New Roman"/>
          <w:sz w:val="26"/>
          <w:szCs w:val="26"/>
        </w:rPr>
        <w:t>” (</w:t>
      </w:r>
      <w:r w:rsidR="00ED52D3" w:rsidRPr="005824B6">
        <w:rPr>
          <w:rFonts w:cs="Times New Roman"/>
          <w:sz w:val="26"/>
          <w:szCs w:val="26"/>
        </w:rPr>
        <w:t>Latvijas Vēstnesis, 2000, 341./343.</w:t>
      </w:r>
      <w:r w:rsidR="00A0541E">
        <w:rPr>
          <w:rFonts w:cs="Times New Roman"/>
          <w:sz w:val="26"/>
          <w:szCs w:val="26"/>
        </w:rPr>
        <w:t> </w:t>
      </w:r>
      <w:r w:rsidR="00ED52D3" w:rsidRPr="005824B6">
        <w:rPr>
          <w:rFonts w:cs="Times New Roman"/>
          <w:sz w:val="26"/>
          <w:szCs w:val="26"/>
        </w:rPr>
        <w:t>nr.; 2002, 111.</w:t>
      </w:r>
      <w:r w:rsidR="00A0541E">
        <w:rPr>
          <w:rFonts w:cs="Times New Roman"/>
          <w:sz w:val="26"/>
          <w:szCs w:val="26"/>
        </w:rPr>
        <w:t> </w:t>
      </w:r>
      <w:r w:rsidR="00ED52D3" w:rsidRPr="005824B6">
        <w:rPr>
          <w:rFonts w:cs="Times New Roman"/>
          <w:sz w:val="26"/>
          <w:szCs w:val="26"/>
        </w:rPr>
        <w:t>nr.; 2003, 45., 180.</w:t>
      </w:r>
      <w:r w:rsidR="00A0541E">
        <w:rPr>
          <w:rFonts w:cs="Times New Roman"/>
          <w:sz w:val="26"/>
          <w:szCs w:val="26"/>
        </w:rPr>
        <w:t> </w:t>
      </w:r>
      <w:r w:rsidR="00ED52D3" w:rsidRPr="005824B6">
        <w:rPr>
          <w:rFonts w:cs="Times New Roman"/>
          <w:sz w:val="26"/>
          <w:szCs w:val="26"/>
        </w:rPr>
        <w:t>nr.; 2004, 69., 204. nr.; 2005, 24. nr.; 2009, 102., 179. nr.; 2011, 102. nr.; 2012, 81. nr.; 2014, 67.</w:t>
      </w:r>
      <w:r w:rsidR="00016DED">
        <w:rPr>
          <w:rFonts w:cs="Times New Roman"/>
          <w:sz w:val="26"/>
          <w:szCs w:val="26"/>
        </w:rPr>
        <w:t> </w:t>
      </w:r>
      <w:r w:rsidR="00ED52D3" w:rsidRPr="005824B6">
        <w:rPr>
          <w:rFonts w:cs="Times New Roman"/>
          <w:sz w:val="26"/>
          <w:szCs w:val="26"/>
        </w:rPr>
        <w:t>nr.</w:t>
      </w:r>
      <w:r w:rsidR="00522D5A" w:rsidRPr="005824B6">
        <w:rPr>
          <w:rFonts w:cs="Times New Roman"/>
          <w:sz w:val="26"/>
          <w:szCs w:val="26"/>
        </w:rPr>
        <w:t>; 2018, 18.</w:t>
      </w:r>
      <w:r w:rsidR="00A0541E">
        <w:rPr>
          <w:rFonts w:cs="Times New Roman"/>
          <w:sz w:val="26"/>
          <w:szCs w:val="26"/>
        </w:rPr>
        <w:t> </w:t>
      </w:r>
      <w:r w:rsidR="00522D5A" w:rsidRPr="005824B6">
        <w:rPr>
          <w:rFonts w:cs="Times New Roman"/>
          <w:sz w:val="26"/>
          <w:szCs w:val="26"/>
        </w:rPr>
        <w:t>nr.</w:t>
      </w:r>
      <w:r w:rsidR="00ED52D3" w:rsidRPr="005824B6">
        <w:rPr>
          <w:rFonts w:cs="Times New Roman"/>
          <w:sz w:val="26"/>
          <w:szCs w:val="26"/>
        </w:rPr>
        <w:t>)</w:t>
      </w:r>
      <w:r w:rsidR="00FA7944" w:rsidRPr="005824B6">
        <w:rPr>
          <w:rFonts w:cs="Times New Roman"/>
          <w:sz w:val="26"/>
          <w:szCs w:val="26"/>
        </w:rPr>
        <w:t xml:space="preserve"> šādus grozījumus:</w:t>
      </w:r>
      <w:r w:rsidR="002540CB" w:rsidRPr="005824B6">
        <w:rPr>
          <w:rFonts w:cs="Times New Roman"/>
          <w:b/>
          <w:sz w:val="26"/>
          <w:szCs w:val="26"/>
        </w:rPr>
        <w:t xml:space="preserve"> </w:t>
      </w:r>
    </w:p>
    <w:p w14:paraId="7C949269" w14:textId="5A32D4BE" w:rsidR="00672B76" w:rsidRPr="005824B6" w:rsidRDefault="00672B76" w:rsidP="002D2F63">
      <w:pPr>
        <w:spacing w:before="60" w:after="60"/>
        <w:jc w:val="both"/>
        <w:rPr>
          <w:rFonts w:cs="Times New Roman"/>
          <w:b/>
          <w:sz w:val="26"/>
          <w:szCs w:val="26"/>
        </w:rPr>
      </w:pPr>
    </w:p>
    <w:p w14:paraId="6B185609" w14:textId="378CE46C" w:rsidR="00672B76" w:rsidRDefault="00672B76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bookmarkStart w:id="6" w:name="_Hlk10019335"/>
      <w:r w:rsidRPr="005824B6">
        <w:rPr>
          <w:rFonts w:cs="Times New Roman"/>
          <w:sz w:val="26"/>
          <w:szCs w:val="26"/>
        </w:rPr>
        <w:t xml:space="preserve">1.1. </w:t>
      </w:r>
      <w:r w:rsidR="00A9549E" w:rsidRPr="005824B6">
        <w:rPr>
          <w:rFonts w:cs="Times New Roman"/>
          <w:sz w:val="26"/>
          <w:szCs w:val="26"/>
        </w:rPr>
        <w:t xml:space="preserve">svītrot </w:t>
      </w:r>
      <w:r w:rsidR="00382539" w:rsidRPr="005824B6">
        <w:rPr>
          <w:rFonts w:cs="Times New Roman"/>
          <w:sz w:val="26"/>
          <w:szCs w:val="26"/>
        </w:rPr>
        <w:t>1.</w:t>
      </w:r>
      <w:r w:rsidR="00382539" w:rsidRPr="005824B6">
        <w:rPr>
          <w:rFonts w:cs="Times New Roman"/>
          <w:sz w:val="26"/>
          <w:szCs w:val="26"/>
          <w:vertAlign w:val="superscript"/>
        </w:rPr>
        <w:t>4</w:t>
      </w:r>
      <w:r w:rsidR="00F0121E">
        <w:rPr>
          <w:rFonts w:cs="Times New Roman"/>
          <w:sz w:val="26"/>
          <w:szCs w:val="26"/>
        </w:rPr>
        <w:t xml:space="preserve"> </w:t>
      </w:r>
      <w:r w:rsidR="00343B88" w:rsidRPr="005824B6">
        <w:rPr>
          <w:rFonts w:cs="Times New Roman"/>
          <w:sz w:val="26"/>
          <w:szCs w:val="26"/>
        </w:rPr>
        <w:t>punkt</w:t>
      </w:r>
      <w:r w:rsidR="00343B88">
        <w:rPr>
          <w:rFonts w:cs="Times New Roman"/>
          <w:sz w:val="26"/>
          <w:szCs w:val="26"/>
        </w:rPr>
        <w:t>u</w:t>
      </w:r>
      <w:r w:rsidR="007343D2" w:rsidRPr="005824B6">
        <w:rPr>
          <w:rFonts w:cs="Times New Roman"/>
          <w:sz w:val="26"/>
          <w:szCs w:val="26"/>
        </w:rPr>
        <w:t>;</w:t>
      </w:r>
    </w:p>
    <w:p w14:paraId="68C5E8A1" w14:textId="3FD208D3" w:rsidR="00902847" w:rsidRDefault="00902847" w:rsidP="002D2F63">
      <w:pPr>
        <w:shd w:val="clear" w:color="auto" w:fill="FFFFFF"/>
        <w:jc w:val="both"/>
        <w:rPr>
          <w:rFonts w:cs="Times New Roman"/>
          <w:b/>
          <w:sz w:val="26"/>
          <w:szCs w:val="26"/>
        </w:rPr>
      </w:pPr>
    </w:p>
    <w:p w14:paraId="77A94EF4" w14:textId="1AFB452F" w:rsidR="00902847" w:rsidRPr="00902847" w:rsidRDefault="00902847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902847">
        <w:rPr>
          <w:rFonts w:cs="Times New Roman"/>
          <w:sz w:val="26"/>
          <w:szCs w:val="26"/>
        </w:rPr>
        <w:t xml:space="preserve">1.2. </w:t>
      </w:r>
      <w:r w:rsidR="006E4A7E">
        <w:rPr>
          <w:rFonts w:cs="Times New Roman"/>
          <w:sz w:val="26"/>
          <w:szCs w:val="26"/>
        </w:rPr>
        <w:t xml:space="preserve">aizstāt </w:t>
      </w:r>
      <w:r>
        <w:rPr>
          <w:rFonts w:cs="Times New Roman"/>
          <w:sz w:val="26"/>
          <w:szCs w:val="26"/>
        </w:rPr>
        <w:t>1.</w:t>
      </w:r>
      <w:r w:rsidRPr="00902847">
        <w:rPr>
          <w:rFonts w:cs="Times New Roman"/>
          <w:sz w:val="26"/>
          <w:szCs w:val="26"/>
          <w:vertAlign w:val="superscript"/>
        </w:rPr>
        <w:t>5</w:t>
      </w:r>
      <w:r>
        <w:rPr>
          <w:rFonts w:cs="Times New Roman"/>
          <w:sz w:val="26"/>
          <w:szCs w:val="26"/>
        </w:rPr>
        <w:t xml:space="preserve"> </w:t>
      </w:r>
      <w:r w:rsidRPr="006625B8">
        <w:rPr>
          <w:rFonts w:cs="Times New Roman"/>
          <w:sz w:val="26"/>
          <w:szCs w:val="26"/>
        </w:rPr>
        <w:t>punkt</w:t>
      </w:r>
      <w:r>
        <w:rPr>
          <w:rFonts w:cs="Times New Roman"/>
          <w:sz w:val="26"/>
          <w:szCs w:val="26"/>
        </w:rPr>
        <w:t>ā</w:t>
      </w:r>
      <w:r w:rsidRPr="006625B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vārdus un skaitļus “</w:t>
      </w:r>
      <w:r w:rsidRPr="00902847">
        <w:rPr>
          <w:rFonts w:cs="Times New Roman"/>
          <w:sz w:val="26"/>
          <w:szCs w:val="26"/>
        </w:rPr>
        <w:t xml:space="preserve">LVS EN 15940:2016 "Automobiļu degviela. Sintētiski vai ar </w:t>
      </w:r>
      <w:proofErr w:type="spellStart"/>
      <w:r w:rsidRPr="00902847">
        <w:rPr>
          <w:rFonts w:cs="Times New Roman"/>
          <w:sz w:val="26"/>
          <w:szCs w:val="26"/>
        </w:rPr>
        <w:t>hidroattīrīšanas</w:t>
      </w:r>
      <w:proofErr w:type="spellEnd"/>
      <w:r w:rsidRPr="00902847">
        <w:rPr>
          <w:rFonts w:cs="Times New Roman"/>
          <w:sz w:val="26"/>
          <w:szCs w:val="26"/>
        </w:rPr>
        <w:t xml:space="preserve"> paņēmienu iegūta </w:t>
      </w:r>
      <w:proofErr w:type="spellStart"/>
      <w:r w:rsidRPr="00902847">
        <w:rPr>
          <w:rFonts w:cs="Times New Roman"/>
          <w:sz w:val="26"/>
          <w:szCs w:val="26"/>
        </w:rPr>
        <w:t>parafinizētā</w:t>
      </w:r>
      <w:proofErr w:type="spellEnd"/>
      <w:r w:rsidRPr="00902847">
        <w:rPr>
          <w:rFonts w:cs="Times New Roman"/>
          <w:sz w:val="26"/>
          <w:szCs w:val="26"/>
        </w:rPr>
        <w:t xml:space="preserve"> dīzeļdegviela. Prasības un testēšanas metodes"</w:t>
      </w:r>
      <w:r>
        <w:rPr>
          <w:rFonts w:cs="Times New Roman"/>
          <w:sz w:val="26"/>
          <w:szCs w:val="26"/>
        </w:rPr>
        <w:t>” ar vārdiem un skaitļiem “</w:t>
      </w:r>
      <w:r w:rsidR="007F0B5A" w:rsidRPr="007F0B5A">
        <w:rPr>
          <w:rFonts w:cs="Times New Roman"/>
          <w:sz w:val="26"/>
          <w:szCs w:val="26"/>
        </w:rPr>
        <w:t>LVS EN 15940</w:t>
      </w:r>
      <w:r w:rsidR="00B22327">
        <w:rPr>
          <w:rFonts w:cs="Times New Roman"/>
          <w:sz w:val="26"/>
          <w:szCs w:val="26"/>
        </w:rPr>
        <w:t xml:space="preserve"> </w:t>
      </w:r>
      <w:r w:rsidR="007F0B5A" w:rsidRPr="007F0B5A">
        <w:rPr>
          <w:rFonts w:cs="Times New Roman"/>
          <w:sz w:val="26"/>
          <w:szCs w:val="26"/>
        </w:rPr>
        <w:t>+A1+AC:2019</w:t>
      </w:r>
      <w:r w:rsidR="007F0B5A">
        <w:rPr>
          <w:rFonts w:cs="Times New Roman"/>
          <w:sz w:val="26"/>
          <w:szCs w:val="26"/>
        </w:rPr>
        <w:t xml:space="preserve"> </w:t>
      </w:r>
      <w:r w:rsidRPr="00902847">
        <w:rPr>
          <w:rFonts w:cs="Times New Roman"/>
          <w:sz w:val="26"/>
          <w:szCs w:val="26"/>
        </w:rPr>
        <w:t xml:space="preserve">"Automobiļu degviela. Sintētiski vai ar </w:t>
      </w:r>
      <w:proofErr w:type="spellStart"/>
      <w:r w:rsidRPr="00902847">
        <w:rPr>
          <w:rFonts w:cs="Times New Roman"/>
          <w:sz w:val="26"/>
          <w:szCs w:val="26"/>
        </w:rPr>
        <w:t>hidroattīrīšanas</w:t>
      </w:r>
      <w:proofErr w:type="spellEnd"/>
      <w:r w:rsidRPr="00902847">
        <w:rPr>
          <w:rFonts w:cs="Times New Roman"/>
          <w:sz w:val="26"/>
          <w:szCs w:val="26"/>
        </w:rPr>
        <w:t xml:space="preserve"> paņēmienu iegūta </w:t>
      </w:r>
      <w:proofErr w:type="spellStart"/>
      <w:r w:rsidRPr="00902847">
        <w:rPr>
          <w:rFonts w:cs="Times New Roman"/>
          <w:sz w:val="26"/>
          <w:szCs w:val="26"/>
        </w:rPr>
        <w:t>parafinizētā</w:t>
      </w:r>
      <w:proofErr w:type="spellEnd"/>
      <w:r w:rsidRPr="00902847">
        <w:rPr>
          <w:rFonts w:cs="Times New Roman"/>
          <w:sz w:val="26"/>
          <w:szCs w:val="26"/>
        </w:rPr>
        <w:t xml:space="preserve"> dīzeļdegviela. Prasības un testēšanas metodes"</w:t>
      </w:r>
      <w:r>
        <w:rPr>
          <w:rFonts w:cs="Times New Roman"/>
          <w:sz w:val="26"/>
          <w:szCs w:val="26"/>
        </w:rPr>
        <w:t>”;</w:t>
      </w:r>
    </w:p>
    <w:bookmarkEnd w:id="6"/>
    <w:p w14:paraId="46348A0E" w14:textId="0C8E9BF1" w:rsidR="00E26E0D" w:rsidRDefault="00E26E0D" w:rsidP="00F202AB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3F9F6F88" w14:textId="4ED6E5AB" w:rsidR="00F0121E" w:rsidRDefault="00F0121E" w:rsidP="00F0121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5824B6">
        <w:rPr>
          <w:rFonts w:cs="Times New Roman"/>
          <w:sz w:val="26"/>
          <w:szCs w:val="26"/>
        </w:rPr>
        <w:t>1.</w:t>
      </w:r>
      <w:r w:rsidR="00E75AA1">
        <w:rPr>
          <w:rFonts w:cs="Times New Roman"/>
          <w:sz w:val="26"/>
          <w:szCs w:val="26"/>
        </w:rPr>
        <w:t>3</w:t>
      </w:r>
      <w:r w:rsidRPr="005824B6">
        <w:rPr>
          <w:rFonts w:cs="Times New Roman"/>
          <w:sz w:val="26"/>
          <w:szCs w:val="26"/>
        </w:rPr>
        <w:t xml:space="preserve">. svītrot </w:t>
      </w:r>
      <w:r>
        <w:rPr>
          <w:rFonts w:cs="Times New Roman"/>
          <w:sz w:val="26"/>
          <w:szCs w:val="26"/>
        </w:rPr>
        <w:t>3. un 4.</w:t>
      </w:r>
      <w:r w:rsidRPr="005824B6">
        <w:rPr>
          <w:rFonts w:cs="Times New Roman"/>
          <w:sz w:val="26"/>
          <w:szCs w:val="26"/>
        </w:rPr>
        <w:t>punktu;</w:t>
      </w:r>
    </w:p>
    <w:p w14:paraId="1E58D2F2" w14:textId="77777777" w:rsidR="00F0121E" w:rsidRPr="005824B6" w:rsidRDefault="00F0121E" w:rsidP="00F202AB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5E7C7B2C" w14:textId="47B79FD7" w:rsidR="008A341F" w:rsidRPr="005824B6" w:rsidRDefault="00B1527A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5824B6">
        <w:rPr>
          <w:rFonts w:cs="Times New Roman"/>
          <w:sz w:val="26"/>
          <w:szCs w:val="26"/>
        </w:rPr>
        <w:t>1.</w:t>
      </w:r>
      <w:r w:rsidR="00E75AA1">
        <w:rPr>
          <w:rFonts w:cs="Times New Roman"/>
          <w:sz w:val="26"/>
          <w:szCs w:val="26"/>
        </w:rPr>
        <w:t>4</w:t>
      </w:r>
      <w:r w:rsidRPr="005824B6">
        <w:rPr>
          <w:rFonts w:cs="Times New Roman"/>
          <w:sz w:val="26"/>
          <w:szCs w:val="26"/>
        </w:rPr>
        <w:t xml:space="preserve">. </w:t>
      </w:r>
      <w:r w:rsidR="00A9549E" w:rsidRPr="005824B6">
        <w:rPr>
          <w:rFonts w:cs="Times New Roman"/>
          <w:sz w:val="26"/>
          <w:szCs w:val="26"/>
        </w:rPr>
        <w:t xml:space="preserve">izteikt </w:t>
      </w:r>
      <w:r w:rsidR="00432299" w:rsidRPr="005824B6">
        <w:rPr>
          <w:rFonts w:cs="Times New Roman"/>
          <w:sz w:val="26"/>
          <w:szCs w:val="26"/>
        </w:rPr>
        <w:t>8.</w:t>
      </w:r>
      <w:r w:rsidR="00432299" w:rsidRPr="005824B6">
        <w:rPr>
          <w:rFonts w:cs="Times New Roman"/>
          <w:sz w:val="26"/>
          <w:szCs w:val="26"/>
          <w:vertAlign w:val="superscript"/>
        </w:rPr>
        <w:t>1</w:t>
      </w:r>
      <w:r w:rsidR="00432299" w:rsidRPr="005824B6">
        <w:rPr>
          <w:rFonts w:cs="Times New Roman"/>
          <w:sz w:val="26"/>
          <w:szCs w:val="26"/>
        </w:rPr>
        <w:t xml:space="preserve"> punkt</w:t>
      </w:r>
      <w:r w:rsidR="00A9549E" w:rsidRPr="005824B6">
        <w:rPr>
          <w:rFonts w:cs="Times New Roman"/>
          <w:sz w:val="26"/>
          <w:szCs w:val="26"/>
        </w:rPr>
        <w:t>u šādā redakcijā:</w:t>
      </w:r>
    </w:p>
    <w:p w14:paraId="6997F107" w14:textId="05067B41" w:rsidR="00A9549E" w:rsidRPr="005824B6" w:rsidRDefault="00A9549E" w:rsidP="00F202AB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01F92EA5" w14:textId="58AAAECE" w:rsidR="00A9549E" w:rsidRPr="006625B8" w:rsidRDefault="00237247" w:rsidP="00A9549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4431D8">
        <w:rPr>
          <w:sz w:val="26"/>
          <w:szCs w:val="26"/>
        </w:rPr>
        <w:t>“</w:t>
      </w:r>
      <w:r w:rsidR="00A9549E" w:rsidRPr="005824B6">
        <w:rPr>
          <w:rFonts w:cs="Times New Roman"/>
          <w:sz w:val="26"/>
          <w:szCs w:val="26"/>
        </w:rPr>
        <w:t>8.</w:t>
      </w:r>
      <w:r w:rsidR="00A9549E" w:rsidRPr="005824B6">
        <w:rPr>
          <w:rFonts w:cs="Times New Roman"/>
          <w:sz w:val="26"/>
          <w:szCs w:val="26"/>
          <w:vertAlign w:val="superscript"/>
        </w:rPr>
        <w:t>1</w:t>
      </w:r>
      <w:r w:rsidR="00A9549E" w:rsidRPr="005824B6">
        <w:rPr>
          <w:rFonts w:cs="Times New Roman"/>
          <w:sz w:val="26"/>
          <w:szCs w:val="26"/>
        </w:rPr>
        <w:t xml:space="preserve"> Benzīnu, kura pētnieciskais oktānskaitlis ir 95 vai lielāks, bet mazāks par 98 (95. markas benzīns), atļauts </w:t>
      </w:r>
      <w:r w:rsidR="00DB5663">
        <w:rPr>
          <w:rFonts w:cs="Times New Roman"/>
          <w:sz w:val="26"/>
          <w:szCs w:val="26"/>
        </w:rPr>
        <w:t>realizēt</w:t>
      </w:r>
      <w:r w:rsidR="00A9549E" w:rsidRPr="005824B6">
        <w:rPr>
          <w:rFonts w:cs="Times New Roman"/>
          <w:sz w:val="26"/>
          <w:szCs w:val="26"/>
        </w:rPr>
        <w:t xml:space="preserve"> tikai tad, ja tam ir pievienot</w:t>
      </w:r>
      <w:r w:rsidR="00174219">
        <w:rPr>
          <w:rFonts w:cs="Times New Roman"/>
          <w:sz w:val="26"/>
          <w:szCs w:val="26"/>
        </w:rPr>
        <w:t>s</w:t>
      </w:r>
      <w:r w:rsidR="00A9549E" w:rsidRPr="005824B6">
        <w:rPr>
          <w:rFonts w:cs="Times New Roman"/>
          <w:sz w:val="26"/>
          <w:szCs w:val="26"/>
        </w:rPr>
        <w:t xml:space="preserve"> </w:t>
      </w:r>
      <w:r w:rsidR="00174219">
        <w:rPr>
          <w:rFonts w:cs="Times New Roman"/>
          <w:sz w:val="26"/>
          <w:szCs w:val="26"/>
        </w:rPr>
        <w:t>bioetanols</w:t>
      </w:r>
      <w:r w:rsidR="00F66061" w:rsidRPr="005824B6">
        <w:rPr>
          <w:rFonts w:cs="Times New Roman"/>
          <w:sz w:val="26"/>
          <w:szCs w:val="26"/>
        </w:rPr>
        <w:t xml:space="preserve">, kas atbilst normatīvajiem aktiem par biodegvielu un bioloģisko šķidro </w:t>
      </w:r>
      <w:r w:rsidR="00F66061" w:rsidRPr="00C62CFF">
        <w:rPr>
          <w:rFonts w:cs="Times New Roman"/>
          <w:sz w:val="26"/>
          <w:szCs w:val="26"/>
        </w:rPr>
        <w:t>kurināmo ilgtspējas kritērijiem, to ieviešanas mehānismu un uzraudzības un kontroles kārtību</w:t>
      </w:r>
      <w:r w:rsidR="00D24D41">
        <w:rPr>
          <w:rFonts w:cs="Times New Roman"/>
          <w:sz w:val="26"/>
          <w:szCs w:val="26"/>
        </w:rPr>
        <w:t>,</w:t>
      </w:r>
      <w:r w:rsidR="00A9549E" w:rsidRPr="00C62CFF">
        <w:rPr>
          <w:rFonts w:cs="Times New Roman"/>
          <w:sz w:val="26"/>
          <w:szCs w:val="26"/>
        </w:rPr>
        <w:t xml:space="preserve"> </w:t>
      </w:r>
      <w:r w:rsidR="008C7D3B">
        <w:rPr>
          <w:rFonts w:cs="Times New Roman"/>
          <w:sz w:val="26"/>
          <w:szCs w:val="26"/>
        </w:rPr>
        <w:t>ne mazāk kā 9,5 tilpumprocentu apjomā</w:t>
      </w:r>
      <w:r w:rsidR="00A9549E" w:rsidRPr="00C62CFF">
        <w:rPr>
          <w:rFonts w:cs="Times New Roman"/>
          <w:sz w:val="26"/>
          <w:szCs w:val="26"/>
        </w:rPr>
        <w:t xml:space="preserve"> no kopējā maisījuma tilpuma</w:t>
      </w:r>
      <w:r w:rsidR="008C7D3B">
        <w:rPr>
          <w:rFonts w:cs="Times New Roman"/>
          <w:sz w:val="26"/>
          <w:szCs w:val="26"/>
        </w:rPr>
        <w:t>.</w:t>
      </w:r>
      <w:r w:rsidR="001053F0">
        <w:rPr>
          <w:rFonts w:cs="Times New Roman"/>
          <w:sz w:val="26"/>
          <w:szCs w:val="26"/>
        </w:rPr>
        <w:t xml:space="preserve"> </w:t>
      </w:r>
      <w:r w:rsidR="001053F0" w:rsidRPr="005824B6">
        <w:rPr>
          <w:rFonts w:cs="Times New Roman"/>
          <w:sz w:val="26"/>
          <w:szCs w:val="26"/>
        </w:rPr>
        <w:t xml:space="preserve">Benzīnu, kura pētnieciskais oktānskaitlis ir </w:t>
      </w:r>
      <w:r w:rsidR="001053F0">
        <w:rPr>
          <w:rFonts w:cs="Times New Roman"/>
          <w:sz w:val="26"/>
          <w:szCs w:val="26"/>
        </w:rPr>
        <w:t xml:space="preserve">lielāks par </w:t>
      </w:r>
      <w:r w:rsidR="001053F0" w:rsidRPr="005824B6">
        <w:rPr>
          <w:rFonts w:cs="Times New Roman"/>
          <w:sz w:val="26"/>
          <w:szCs w:val="26"/>
        </w:rPr>
        <w:t>9</w:t>
      </w:r>
      <w:r w:rsidR="001053F0">
        <w:rPr>
          <w:rFonts w:cs="Times New Roman"/>
          <w:sz w:val="26"/>
          <w:szCs w:val="26"/>
        </w:rPr>
        <w:t>8</w:t>
      </w:r>
      <w:r w:rsidR="00B751E4" w:rsidRPr="005824B6">
        <w:rPr>
          <w:rFonts w:cs="Times New Roman"/>
          <w:sz w:val="26"/>
          <w:szCs w:val="26"/>
        </w:rPr>
        <w:t xml:space="preserve">, bet mazāks par </w:t>
      </w:r>
      <w:r w:rsidR="00B751E4">
        <w:rPr>
          <w:rFonts w:cs="Times New Roman"/>
          <w:sz w:val="26"/>
          <w:szCs w:val="26"/>
        </w:rPr>
        <w:t>100</w:t>
      </w:r>
      <w:r w:rsidR="001053F0">
        <w:rPr>
          <w:rFonts w:cs="Times New Roman"/>
          <w:sz w:val="26"/>
          <w:szCs w:val="26"/>
        </w:rPr>
        <w:t xml:space="preserve"> (98.markas benzīns), </w:t>
      </w:r>
      <w:r w:rsidR="00174219" w:rsidRPr="00174219">
        <w:rPr>
          <w:rFonts w:cs="Times New Roman"/>
          <w:sz w:val="26"/>
          <w:szCs w:val="26"/>
        </w:rPr>
        <w:t xml:space="preserve">atļauts realizēt tikai, ja </w:t>
      </w:r>
      <w:r w:rsidR="00174219">
        <w:rPr>
          <w:rFonts w:cs="Times New Roman"/>
          <w:sz w:val="26"/>
          <w:szCs w:val="26"/>
        </w:rPr>
        <w:t>bioetanola</w:t>
      </w:r>
      <w:r w:rsidR="00174219" w:rsidRPr="00174219">
        <w:rPr>
          <w:rFonts w:cs="Times New Roman"/>
          <w:sz w:val="26"/>
          <w:szCs w:val="26"/>
        </w:rPr>
        <w:t>, kas atbilst normatīvajiem aktiem par biodegvielu un bioloģisko šķidro kurināmo ilgtspējas kritērijiem, to ieviešanas mehānismu un uzraudzības un kontroles kārtību</w:t>
      </w:r>
      <w:r w:rsidR="00B751E4" w:rsidRPr="00B751E4">
        <w:rPr>
          <w:rFonts w:cs="Times New Roman"/>
          <w:sz w:val="26"/>
          <w:szCs w:val="26"/>
        </w:rPr>
        <w:t xml:space="preserve"> </w:t>
      </w:r>
      <w:r w:rsidR="00B751E4">
        <w:rPr>
          <w:rFonts w:cs="Times New Roman"/>
          <w:sz w:val="26"/>
          <w:szCs w:val="26"/>
        </w:rPr>
        <w:t xml:space="preserve">saturs nav lielāks par </w:t>
      </w:r>
      <w:r w:rsidR="00B751E4" w:rsidRPr="00174219">
        <w:rPr>
          <w:rFonts w:cs="Times New Roman"/>
          <w:sz w:val="26"/>
          <w:szCs w:val="26"/>
        </w:rPr>
        <w:t>5 tilpumprocent</w:t>
      </w:r>
      <w:r w:rsidR="00B751E4">
        <w:rPr>
          <w:rFonts w:cs="Times New Roman"/>
          <w:sz w:val="26"/>
          <w:szCs w:val="26"/>
        </w:rPr>
        <w:t>iem</w:t>
      </w:r>
      <w:r w:rsidR="00B751E4" w:rsidRPr="00174219">
        <w:rPr>
          <w:rFonts w:cs="Times New Roman"/>
          <w:sz w:val="26"/>
          <w:szCs w:val="26"/>
        </w:rPr>
        <w:t xml:space="preserve"> no kopējā maisījuma tilpuma</w:t>
      </w:r>
      <w:r w:rsidR="00B751E4">
        <w:rPr>
          <w:rFonts w:cs="Times New Roman"/>
          <w:sz w:val="26"/>
          <w:szCs w:val="26"/>
        </w:rPr>
        <w:t>.</w:t>
      </w:r>
      <w:r>
        <w:rPr>
          <w:rFonts w:eastAsiaTheme="minorEastAsia" w:cs="Times New Roman"/>
          <w:sz w:val="26"/>
          <w:szCs w:val="26"/>
        </w:rPr>
        <w:t>”</w:t>
      </w:r>
      <w:r w:rsidR="00A9549E" w:rsidRPr="006625B8">
        <w:rPr>
          <w:rFonts w:cs="Times New Roman"/>
          <w:sz w:val="26"/>
          <w:szCs w:val="26"/>
        </w:rPr>
        <w:t>;</w:t>
      </w:r>
    </w:p>
    <w:p w14:paraId="57A15BC0" w14:textId="6449C01F" w:rsidR="00A9549E" w:rsidRPr="006625B8" w:rsidRDefault="00A9549E" w:rsidP="00262465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7C5C4A43" w14:textId="2C741047" w:rsidR="00A9549E" w:rsidRPr="006625B8" w:rsidRDefault="00A9549E" w:rsidP="00A9549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6625B8">
        <w:rPr>
          <w:rFonts w:cs="Times New Roman"/>
          <w:sz w:val="26"/>
          <w:szCs w:val="26"/>
        </w:rPr>
        <w:t>1.</w:t>
      </w:r>
      <w:r w:rsidR="00E75AA1">
        <w:rPr>
          <w:rFonts w:cs="Times New Roman"/>
          <w:sz w:val="26"/>
          <w:szCs w:val="26"/>
        </w:rPr>
        <w:t>5</w:t>
      </w:r>
      <w:r w:rsidRPr="006625B8">
        <w:rPr>
          <w:rFonts w:cs="Times New Roman"/>
          <w:sz w:val="26"/>
          <w:szCs w:val="26"/>
        </w:rPr>
        <w:t xml:space="preserve">. </w:t>
      </w:r>
      <w:r w:rsidR="00A97203" w:rsidRPr="006625B8">
        <w:rPr>
          <w:rFonts w:cs="Times New Roman"/>
          <w:sz w:val="26"/>
          <w:szCs w:val="26"/>
        </w:rPr>
        <w:t xml:space="preserve">izteikt </w:t>
      </w:r>
      <w:r w:rsidR="0086276C" w:rsidRPr="006625B8">
        <w:rPr>
          <w:rFonts w:cs="Times New Roman"/>
          <w:sz w:val="26"/>
          <w:szCs w:val="26"/>
        </w:rPr>
        <w:t>9</w:t>
      </w:r>
      <w:r w:rsidR="00A97203" w:rsidRPr="006625B8">
        <w:rPr>
          <w:rFonts w:cs="Times New Roman"/>
          <w:sz w:val="26"/>
          <w:szCs w:val="26"/>
        </w:rPr>
        <w:t>.</w:t>
      </w:r>
      <w:r w:rsidR="00A97203" w:rsidRPr="006625B8">
        <w:rPr>
          <w:rFonts w:cs="Times New Roman"/>
          <w:sz w:val="26"/>
          <w:szCs w:val="26"/>
          <w:vertAlign w:val="superscript"/>
        </w:rPr>
        <w:t>1</w:t>
      </w:r>
      <w:r w:rsidR="00A97203" w:rsidRPr="006625B8">
        <w:rPr>
          <w:rFonts w:cs="Times New Roman"/>
          <w:sz w:val="26"/>
          <w:szCs w:val="26"/>
        </w:rPr>
        <w:t xml:space="preserve"> punktu šādā redakcijā:</w:t>
      </w:r>
    </w:p>
    <w:p w14:paraId="0C3C09A9" w14:textId="77777777" w:rsidR="00A97203" w:rsidRPr="006625B8" w:rsidRDefault="00A97203" w:rsidP="00262465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1E576F71" w14:textId="27A947B5" w:rsidR="00A9549E" w:rsidRPr="006625B8" w:rsidRDefault="00237247" w:rsidP="00A9549E">
      <w:pPr>
        <w:pStyle w:val="Title"/>
        <w:ind w:firstLine="720"/>
        <w:jc w:val="both"/>
        <w:outlineLvl w:val="0"/>
        <w:rPr>
          <w:sz w:val="26"/>
          <w:szCs w:val="26"/>
        </w:rPr>
      </w:pPr>
      <w:r w:rsidRPr="004431D8">
        <w:rPr>
          <w:sz w:val="26"/>
          <w:szCs w:val="26"/>
        </w:rPr>
        <w:lastRenderedPageBreak/>
        <w:t>“</w:t>
      </w:r>
      <w:r w:rsidR="00A97203" w:rsidRPr="006625B8">
        <w:rPr>
          <w:sz w:val="26"/>
          <w:szCs w:val="26"/>
        </w:rPr>
        <w:t>9.</w:t>
      </w:r>
      <w:r w:rsidR="00A97203" w:rsidRPr="006625B8">
        <w:rPr>
          <w:sz w:val="26"/>
          <w:szCs w:val="26"/>
          <w:vertAlign w:val="superscript"/>
        </w:rPr>
        <w:t xml:space="preserve">1 </w:t>
      </w:r>
      <w:r w:rsidR="006148E3" w:rsidRPr="006625B8">
        <w:rPr>
          <w:sz w:val="26"/>
          <w:szCs w:val="26"/>
        </w:rPr>
        <w:t>D</w:t>
      </w:r>
      <w:r w:rsidR="00A97203" w:rsidRPr="006625B8">
        <w:rPr>
          <w:sz w:val="26"/>
          <w:szCs w:val="26"/>
        </w:rPr>
        <w:t xml:space="preserve">īzeļdegvielu atļauts </w:t>
      </w:r>
      <w:r w:rsidR="00DB5663">
        <w:rPr>
          <w:sz w:val="26"/>
          <w:szCs w:val="26"/>
        </w:rPr>
        <w:t>realizēt</w:t>
      </w:r>
      <w:r w:rsidR="00A97203" w:rsidRPr="006625B8">
        <w:rPr>
          <w:sz w:val="26"/>
          <w:szCs w:val="26"/>
        </w:rPr>
        <w:t xml:space="preserve"> tikai, ja tai ir pievienota biodegviela</w:t>
      </w:r>
      <w:r w:rsidR="00F66061" w:rsidRPr="006625B8">
        <w:rPr>
          <w:sz w:val="26"/>
          <w:szCs w:val="26"/>
        </w:rPr>
        <w:t>, kas atbilst normatīvajiem aktiem par biodegvielu un bioloģisko šķidro kurināmo ilgtspējas kritērijiem, to ieviešanas mehānismu un uzraudzības un kontroles kārtību</w:t>
      </w:r>
      <w:r w:rsidR="00D24D41">
        <w:rPr>
          <w:sz w:val="26"/>
          <w:szCs w:val="26"/>
        </w:rPr>
        <w:t>,</w:t>
      </w:r>
      <w:r w:rsidR="00A97203" w:rsidRPr="006625B8">
        <w:rPr>
          <w:sz w:val="26"/>
          <w:szCs w:val="26"/>
        </w:rPr>
        <w:t xml:space="preserve"> </w:t>
      </w:r>
      <w:r w:rsidR="008C7D3B">
        <w:rPr>
          <w:sz w:val="26"/>
          <w:szCs w:val="26"/>
        </w:rPr>
        <w:t>ne mazāk kā 6,5 tilpumprocentu</w:t>
      </w:r>
      <w:r w:rsidR="00A97203" w:rsidRPr="00C62CFF">
        <w:rPr>
          <w:sz w:val="26"/>
          <w:szCs w:val="26"/>
        </w:rPr>
        <w:t xml:space="preserve"> apjomā no kopējā maisījuma tilpuma</w:t>
      </w:r>
      <w:r w:rsidR="008C7D3B">
        <w:rPr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”</w:t>
      </w:r>
      <w:r w:rsidR="00A97203" w:rsidRPr="006625B8">
        <w:rPr>
          <w:sz w:val="26"/>
          <w:szCs w:val="26"/>
        </w:rPr>
        <w:t>;</w:t>
      </w:r>
    </w:p>
    <w:p w14:paraId="433F7A41" w14:textId="50E6CA1D" w:rsidR="0086276C" w:rsidRPr="006625B8" w:rsidRDefault="0086276C" w:rsidP="00C4400C">
      <w:pPr>
        <w:pStyle w:val="Title"/>
        <w:jc w:val="both"/>
        <w:outlineLvl w:val="0"/>
        <w:rPr>
          <w:sz w:val="26"/>
          <w:szCs w:val="26"/>
        </w:rPr>
      </w:pPr>
    </w:p>
    <w:p w14:paraId="2BCCF05B" w14:textId="4836936D" w:rsidR="00EC76AD" w:rsidRDefault="00145606" w:rsidP="00145606">
      <w:pPr>
        <w:pStyle w:val="Title"/>
        <w:ind w:firstLine="709"/>
        <w:jc w:val="both"/>
        <w:outlineLvl w:val="0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>1.</w:t>
      </w:r>
      <w:r w:rsidR="005E6813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145606">
        <w:rPr>
          <w:sz w:val="26"/>
          <w:szCs w:val="26"/>
        </w:rPr>
        <w:t>aizstāt 9.</w:t>
      </w:r>
      <w:r w:rsidRPr="00145606">
        <w:rPr>
          <w:sz w:val="26"/>
          <w:szCs w:val="26"/>
          <w:vertAlign w:val="superscript"/>
        </w:rPr>
        <w:t>2</w:t>
      </w:r>
      <w:r w:rsidRPr="00145606">
        <w:rPr>
          <w:sz w:val="26"/>
          <w:szCs w:val="26"/>
        </w:rPr>
        <w:t xml:space="preserve"> 3.2. un 9.</w:t>
      </w:r>
      <w:r w:rsidRPr="00145606">
        <w:rPr>
          <w:sz w:val="26"/>
          <w:szCs w:val="26"/>
          <w:vertAlign w:val="superscript"/>
        </w:rPr>
        <w:t>2</w:t>
      </w:r>
      <w:r w:rsidRPr="00145606">
        <w:rPr>
          <w:sz w:val="26"/>
          <w:szCs w:val="26"/>
        </w:rPr>
        <w:t xml:space="preserve"> 3.3 apakšpunktā vārdus un skaitļus “no 1. novembra līdz 15. aprīlim” ar vārdiem un skaitļiem “no 1. novembra līdz 1. aprīlim”;</w:t>
      </w:r>
    </w:p>
    <w:p w14:paraId="689A03EA" w14:textId="77777777" w:rsidR="00145606" w:rsidRDefault="00145606" w:rsidP="00843422">
      <w:pPr>
        <w:pStyle w:val="Title"/>
        <w:jc w:val="both"/>
        <w:outlineLvl w:val="0"/>
        <w:rPr>
          <w:sz w:val="26"/>
          <w:szCs w:val="26"/>
        </w:rPr>
      </w:pPr>
    </w:p>
    <w:p w14:paraId="1DBDCF49" w14:textId="6BFC46D7" w:rsidR="004431D8" w:rsidRPr="0019246C" w:rsidRDefault="00466AAF" w:rsidP="00466AAF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6625B8">
        <w:rPr>
          <w:rFonts w:cs="Times New Roman"/>
          <w:sz w:val="26"/>
          <w:szCs w:val="26"/>
        </w:rPr>
        <w:t>1.</w:t>
      </w:r>
      <w:r w:rsidR="005E6813">
        <w:rPr>
          <w:rFonts w:cs="Times New Roman"/>
          <w:sz w:val="26"/>
          <w:szCs w:val="26"/>
        </w:rPr>
        <w:t>7</w:t>
      </w:r>
      <w:r w:rsidRPr="004431D8">
        <w:rPr>
          <w:rFonts w:cs="Times New Roman"/>
          <w:sz w:val="26"/>
          <w:szCs w:val="26"/>
        </w:rPr>
        <w:t xml:space="preserve">. </w:t>
      </w:r>
      <w:r w:rsidR="0019246C">
        <w:rPr>
          <w:rFonts w:cs="Times New Roman"/>
          <w:sz w:val="26"/>
          <w:szCs w:val="26"/>
        </w:rPr>
        <w:t>i</w:t>
      </w:r>
      <w:r w:rsidR="004431D8" w:rsidRPr="004431D8">
        <w:rPr>
          <w:rFonts w:cs="Times New Roman"/>
          <w:sz w:val="26"/>
          <w:szCs w:val="26"/>
        </w:rPr>
        <w:t xml:space="preserve">zteikt </w:t>
      </w:r>
      <w:r w:rsidR="00957CB1" w:rsidRPr="004431D8">
        <w:rPr>
          <w:rFonts w:cs="Times New Roman"/>
          <w:sz w:val="26"/>
          <w:szCs w:val="26"/>
        </w:rPr>
        <w:t>11.</w:t>
      </w:r>
      <w:r w:rsidR="004431D8" w:rsidRPr="004431D8">
        <w:rPr>
          <w:rFonts w:cs="Times New Roman"/>
          <w:sz w:val="26"/>
          <w:szCs w:val="26"/>
        </w:rPr>
        <w:t xml:space="preserve"> </w:t>
      </w:r>
      <w:r w:rsidR="003D1513">
        <w:rPr>
          <w:rFonts w:cs="Times New Roman"/>
          <w:sz w:val="26"/>
          <w:szCs w:val="26"/>
        </w:rPr>
        <w:t>un 12. </w:t>
      </w:r>
      <w:r w:rsidR="004431D8" w:rsidRPr="004431D8">
        <w:rPr>
          <w:rFonts w:cs="Times New Roman"/>
          <w:sz w:val="26"/>
          <w:szCs w:val="26"/>
        </w:rPr>
        <w:t xml:space="preserve">punktu </w:t>
      </w:r>
      <w:r w:rsidR="00957CB1" w:rsidRPr="004431D8">
        <w:rPr>
          <w:rFonts w:cs="Times New Roman"/>
          <w:sz w:val="26"/>
          <w:szCs w:val="26"/>
          <w:vertAlign w:val="superscript"/>
        </w:rPr>
        <w:t xml:space="preserve"> </w:t>
      </w:r>
      <w:r w:rsidR="004431D8" w:rsidRPr="004431D8">
        <w:rPr>
          <w:rFonts w:cs="Times New Roman"/>
          <w:sz w:val="26"/>
          <w:szCs w:val="26"/>
        </w:rPr>
        <w:t>šādā redakcijā:</w:t>
      </w:r>
      <w:r w:rsidR="004431D8" w:rsidRPr="0019246C">
        <w:rPr>
          <w:rFonts w:cs="Times New Roman"/>
          <w:sz w:val="26"/>
          <w:szCs w:val="26"/>
        </w:rPr>
        <w:t xml:space="preserve"> </w:t>
      </w:r>
    </w:p>
    <w:p w14:paraId="665C3230" w14:textId="77777777" w:rsidR="004431D8" w:rsidRPr="00FE0834" w:rsidRDefault="004431D8" w:rsidP="00466AAF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2C50E84C" w14:textId="2C644527" w:rsidR="004431D8" w:rsidRPr="006949F8" w:rsidRDefault="004431D8" w:rsidP="00CC7A2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4D4574">
        <w:rPr>
          <w:sz w:val="26"/>
          <w:szCs w:val="26"/>
        </w:rPr>
        <w:t xml:space="preserve">“11. Benzīna un dīzeļdegvielas (turpmāk – degviela) atbilstību šo noteikumu prasībām apliecina </w:t>
      </w:r>
      <w:r w:rsidR="00691C41" w:rsidRPr="004D4574">
        <w:rPr>
          <w:sz w:val="26"/>
          <w:szCs w:val="26"/>
        </w:rPr>
        <w:t xml:space="preserve">ar atbilstības sertifikātu, kuru izsniegusi sertifikācijas institūcija, kas akreditēta nacionālajā akreditācijas institūcijā atbilstoši normatīvajiem aktiem par atbilstības novērtēšanas institūciju novērtēšanu, akreditāciju un uzraudzību vai </w:t>
      </w:r>
      <w:r w:rsidR="004D4574">
        <w:rPr>
          <w:sz w:val="26"/>
          <w:szCs w:val="26"/>
        </w:rPr>
        <w:t>citas Eiropas Savienības dalībvalsts akreditēta atbilstības novērtēšanas institūcija</w:t>
      </w:r>
      <w:r w:rsidR="00691C41" w:rsidRPr="004D4574">
        <w:rPr>
          <w:sz w:val="26"/>
          <w:szCs w:val="26"/>
        </w:rPr>
        <w:t>.</w:t>
      </w:r>
      <w:r w:rsidR="00691C41" w:rsidRPr="004D4574" w:rsidDel="00691C41">
        <w:rPr>
          <w:sz w:val="26"/>
          <w:szCs w:val="26"/>
        </w:rPr>
        <w:t xml:space="preserve"> </w:t>
      </w:r>
      <w:r w:rsidR="00DF6C06" w:rsidRPr="004D4574">
        <w:rPr>
          <w:rFonts w:cs="Times New Roman"/>
          <w:sz w:val="26"/>
          <w:szCs w:val="26"/>
        </w:rPr>
        <w:t>Akreditēta atbilstības novērtēšanas institūcija atbilstības sertifikātu izsniedz, pamatojoties uz akreditētas testēšanas laboratorijas testēšanas pārskatiem, veicot to interpretāciju atbilstoši standart</w:t>
      </w:r>
      <w:r w:rsidR="00CC7A2E">
        <w:rPr>
          <w:rFonts w:cs="Times New Roman"/>
          <w:sz w:val="26"/>
          <w:szCs w:val="26"/>
        </w:rPr>
        <w:t xml:space="preserve">am </w:t>
      </w:r>
      <w:r w:rsidR="00CC7A2E" w:rsidRPr="00CC7A2E">
        <w:rPr>
          <w:rFonts w:cs="Times New Roman"/>
          <w:sz w:val="26"/>
          <w:szCs w:val="26"/>
        </w:rPr>
        <w:t xml:space="preserve">LVS EN ISO 4259:2007 </w:t>
      </w:r>
      <w:r w:rsidR="00613E42" w:rsidRPr="00CC7A2E">
        <w:rPr>
          <w:rFonts w:cs="Times New Roman"/>
          <w:sz w:val="26"/>
          <w:szCs w:val="26"/>
        </w:rPr>
        <w:t>"</w:t>
      </w:r>
      <w:r w:rsidR="00CC7A2E" w:rsidRPr="00CC7A2E">
        <w:rPr>
          <w:rFonts w:cs="Times New Roman"/>
          <w:sz w:val="26"/>
          <w:szCs w:val="26"/>
        </w:rPr>
        <w:t>Naftas produkti – Datu precizitātes noteikšana un lietošana testēšanas metodēs</w:t>
      </w:r>
      <w:r w:rsidR="00613E42" w:rsidRPr="00CC7A2E">
        <w:rPr>
          <w:rFonts w:eastAsiaTheme="minorEastAsia" w:cs="Times New Roman"/>
          <w:sz w:val="26"/>
          <w:szCs w:val="26"/>
        </w:rPr>
        <w:t>"</w:t>
      </w:r>
      <w:r w:rsidR="00A17EA5" w:rsidRPr="004D4574">
        <w:rPr>
          <w:rFonts w:cs="Times New Roman"/>
          <w:sz w:val="26"/>
          <w:szCs w:val="26"/>
        </w:rPr>
        <w:t>.</w:t>
      </w:r>
      <w:r w:rsidR="005E6813">
        <w:rPr>
          <w:rFonts w:cs="Times New Roman"/>
          <w:sz w:val="26"/>
          <w:szCs w:val="26"/>
        </w:rPr>
        <w:t xml:space="preserve"> </w:t>
      </w:r>
      <w:r w:rsidR="00613E42">
        <w:rPr>
          <w:rFonts w:cs="Times New Roman"/>
          <w:sz w:val="26"/>
          <w:szCs w:val="26"/>
        </w:rPr>
        <w:t xml:space="preserve"> </w:t>
      </w:r>
    </w:p>
    <w:p w14:paraId="11A90392" w14:textId="2700EA7B" w:rsidR="00FE0834" w:rsidRPr="00FE0834" w:rsidRDefault="00FE0834" w:rsidP="00DC5F8D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</w:t>
      </w:r>
      <w:r w:rsidRPr="00FE0834">
        <w:rPr>
          <w:rFonts w:cs="Times New Roman"/>
          <w:sz w:val="26"/>
          <w:szCs w:val="26"/>
        </w:rPr>
        <w:t xml:space="preserve">. </w:t>
      </w:r>
      <w:r w:rsidRPr="00FE0834">
        <w:rPr>
          <w:sz w:val="26"/>
          <w:szCs w:val="26"/>
        </w:rPr>
        <w:t xml:space="preserve">Piegādājot </w:t>
      </w:r>
      <w:r w:rsidR="00FE014D">
        <w:rPr>
          <w:sz w:val="26"/>
          <w:szCs w:val="26"/>
        </w:rPr>
        <w:t xml:space="preserve">citā </w:t>
      </w:r>
      <w:r w:rsidRPr="00FE0834">
        <w:rPr>
          <w:sz w:val="26"/>
          <w:szCs w:val="26"/>
        </w:rPr>
        <w:t xml:space="preserve">Eiropas Savienības dalībvalstī </w:t>
      </w:r>
      <w:r w:rsidR="00A17EA5" w:rsidRPr="00FE0834">
        <w:rPr>
          <w:sz w:val="26"/>
          <w:szCs w:val="26"/>
        </w:rPr>
        <w:t>ražot</w:t>
      </w:r>
      <w:r w:rsidR="00A17EA5">
        <w:rPr>
          <w:sz w:val="26"/>
          <w:szCs w:val="26"/>
        </w:rPr>
        <w:t>u</w:t>
      </w:r>
      <w:r w:rsidR="00A17EA5" w:rsidRPr="00FE0834">
        <w:rPr>
          <w:sz w:val="26"/>
          <w:szCs w:val="26"/>
        </w:rPr>
        <w:t xml:space="preserve"> </w:t>
      </w:r>
      <w:r w:rsidRPr="00FE0834">
        <w:rPr>
          <w:sz w:val="26"/>
          <w:szCs w:val="26"/>
        </w:rPr>
        <w:t xml:space="preserve">degvielu tās realizācijai Latvijā, degvielas atbilstību šo noteikumu prasībām </w:t>
      </w:r>
      <w:r w:rsidR="00A17EA5">
        <w:rPr>
          <w:sz w:val="26"/>
          <w:szCs w:val="26"/>
        </w:rPr>
        <w:t xml:space="preserve">var </w:t>
      </w:r>
      <w:r w:rsidRPr="00FE0834">
        <w:rPr>
          <w:sz w:val="26"/>
          <w:szCs w:val="26"/>
        </w:rPr>
        <w:t>apliecin</w:t>
      </w:r>
      <w:r w:rsidR="00A17EA5">
        <w:rPr>
          <w:sz w:val="26"/>
          <w:szCs w:val="26"/>
        </w:rPr>
        <w:t>āt</w:t>
      </w:r>
      <w:r w:rsidRPr="00FE0834">
        <w:rPr>
          <w:sz w:val="26"/>
          <w:szCs w:val="26"/>
        </w:rPr>
        <w:t xml:space="preserve"> </w:t>
      </w:r>
      <w:r w:rsidR="00FE014D">
        <w:rPr>
          <w:sz w:val="26"/>
          <w:szCs w:val="26"/>
        </w:rPr>
        <w:t xml:space="preserve">arī </w:t>
      </w:r>
      <w:r w:rsidRPr="00FE0834">
        <w:rPr>
          <w:sz w:val="26"/>
          <w:szCs w:val="26"/>
        </w:rPr>
        <w:t xml:space="preserve">ar </w:t>
      </w:r>
      <w:r w:rsidR="005136A9" w:rsidRPr="00680E91">
        <w:rPr>
          <w:sz w:val="26"/>
          <w:szCs w:val="26"/>
        </w:rPr>
        <w:t xml:space="preserve">atbilstības apliecinājumu, kam pievienots akreditētas testēšanas laboratorijas degvielas testēšanas pārskats par attiecīgo </w:t>
      </w:r>
      <w:r w:rsidR="005B5077">
        <w:rPr>
          <w:sz w:val="26"/>
          <w:szCs w:val="26"/>
        </w:rPr>
        <w:t>degvielas</w:t>
      </w:r>
      <w:r w:rsidR="005136A9" w:rsidRPr="00680E91">
        <w:rPr>
          <w:sz w:val="26"/>
          <w:szCs w:val="26"/>
        </w:rPr>
        <w:t xml:space="preserve"> partiju</w:t>
      </w:r>
      <w:r w:rsidR="005136A9" w:rsidRPr="00FE0834">
        <w:rPr>
          <w:sz w:val="26"/>
          <w:szCs w:val="26"/>
        </w:rPr>
        <w:t>.</w:t>
      </w:r>
      <w:r w:rsidR="003D1513">
        <w:rPr>
          <w:sz w:val="26"/>
          <w:szCs w:val="26"/>
        </w:rPr>
        <w:t>”;</w:t>
      </w:r>
      <w:r w:rsidR="005136A9">
        <w:rPr>
          <w:sz w:val="26"/>
          <w:szCs w:val="26"/>
        </w:rPr>
        <w:t xml:space="preserve"> </w:t>
      </w:r>
    </w:p>
    <w:p w14:paraId="66FE430D" w14:textId="3DF399A4" w:rsidR="00466AAF" w:rsidRPr="006625B8" w:rsidRDefault="00466AAF" w:rsidP="00843422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747B967E" w14:textId="74291752" w:rsidR="00280C34" w:rsidRPr="006625B8" w:rsidRDefault="00280C34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6625B8">
        <w:rPr>
          <w:rFonts w:cs="Times New Roman"/>
          <w:sz w:val="26"/>
          <w:szCs w:val="26"/>
        </w:rPr>
        <w:t>1.</w:t>
      </w:r>
      <w:r w:rsidR="005E6813">
        <w:rPr>
          <w:rFonts w:cs="Times New Roman"/>
          <w:sz w:val="26"/>
          <w:szCs w:val="26"/>
        </w:rPr>
        <w:t>8</w:t>
      </w:r>
      <w:r w:rsidRPr="006625B8">
        <w:rPr>
          <w:rFonts w:cs="Times New Roman"/>
          <w:sz w:val="26"/>
          <w:szCs w:val="26"/>
        </w:rPr>
        <w:t>. izteikt 13.</w:t>
      </w:r>
      <w:r w:rsidRPr="006625B8">
        <w:rPr>
          <w:rFonts w:cs="Times New Roman"/>
          <w:sz w:val="26"/>
          <w:szCs w:val="26"/>
          <w:vertAlign w:val="superscript"/>
        </w:rPr>
        <w:t xml:space="preserve">1 </w:t>
      </w:r>
      <w:r w:rsidRPr="006625B8">
        <w:rPr>
          <w:rFonts w:cs="Times New Roman"/>
          <w:sz w:val="26"/>
          <w:szCs w:val="26"/>
        </w:rPr>
        <w:t>punktu šādā redakcijā:</w:t>
      </w:r>
    </w:p>
    <w:p w14:paraId="0E7B127E" w14:textId="3E496ABF" w:rsidR="00280C34" w:rsidRPr="006625B8" w:rsidRDefault="00280C34" w:rsidP="00843422">
      <w:pPr>
        <w:shd w:val="clear" w:color="auto" w:fill="FFFFFF"/>
        <w:jc w:val="both"/>
        <w:rPr>
          <w:rFonts w:eastAsiaTheme="minorEastAsia" w:cs="Times New Roman"/>
          <w:sz w:val="26"/>
          <w:szCs w:val="26"/>
        </w:rPr>
      </w:pPr>
    </w:p>
    <w:p w14:paraId="2190F023" w14:textId="640A3E0E" w:rsidR="00280C34" w:rsidRPr="00CC7A2E" w:rsidRDefault="00FB67C2" w:rsidP="00952581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  <w:r w:rsidRPr="00D75013">
        <w:rPr>
          <w:rFonts w:cs="Times New Roman"/>
          <w:sz w:val="26"/>
          <w:szCs w:val="26"/>
        </w:rPr>
        <w:t>“</w:t>
      </w:r>
      <w:r w:rsidR="00280C34" w:rsidRPr="00D75013">
        <w:rPr>
          <w:rFonts w:cs="Times New Roman"/>
          <w:sz w:val="26"/>
          <w:szCs w:val="26"/>
        </w:rPr>
        <w:t>13.</w:t>
      </w:r>
      <w:r w:rsidR="00280C34" w:rsidRPr="00D75013">
        <w:rPr>
          <w:rFonts w:cs="Times New Roman"/>
          <w:sz w:val="26"/>
          <w:szCs w:val="26"/>
          <w:vertAlign w:val="superscript"/>
        </w:rPr>
        <w:t>1</w:t>
      </w:r>
      <w:r w:rsidR="00280C34" w:rsidRPr="00D75013">
        <w:rPr>
          <w:rFonts w:cs="Times New Roman"/>
          <w:sz w:val="26"/>
          <w:szCs w:val="26"/>
        </w:rPr>
        <w:t xml:space="preserve"> Degvielas mazumtirdzniecības vietās uz degvielas uzpildes staciju tehnoloģiskajām iekārtām (degvielas uzpildes automātiem)</w:t>
      </w:r>
      <w:r w:rsidR="002E025A" w:rsidRPr="00D75013">
        <w:rPr>
          <w:rFonts w:cs="Times New Roman"/>
          <w:sz w:val="26"/>
          <w:szCs w:val="26"/>
        </w:rPr>
        <w:t xml:space="preserve"> no 1.</w:t>
      </w:r>
      <w:r w:rsidR="008D6A94" w:rsidRPr="00D75013">
        <w:rPr>
          <w:rFonts w:cs="Times New Roman"/>
          <w:sz w:val="26"/>
          <w:szCs w:val="26"/>
        </w:rPr>
        <w:t xml:space="preserve"> </w:t>
      </w:r>
      <w:r w:rsidR="002E025A" w:rsidRPr="00D75013">
        <w:rPr>
          <w:rFonts w:cs="Times New Roman"/>
          <w:sz w:val="26"/>
          <w:szCs w:val="26"/>
        </w:rPr>
        <w:t>novembra līdz 1.</w:t>
      </w:r>
      <w:r w:rsidR="004053CE" w:rsidRPr="00D75013">
        <w:rPr>
          <w:rFonts w:cs="Times New Roman"/>
          <w:sz w:val="26"/>
          <w:szCs w:val="26"/>
        </w:rPr>
        <w:t> </w:t>
      </w:r>
      <w:r w:rsidR="002E025A" w:rsidRPr="00D75013">
        <w:rPr>
          <w:rFonts w:cs="Times New Roman"/>
          <w:sz w:val="26"/>
          <w:szCs w:val="26"/>
        </w:rPr>
        <w:t>aprīlim</w:t>
      </w:r>
      <w:r w:rsidR="00280C34" w:rsidRPr="00D75013">
        <w:rPr>
          <w:rFonts w:cs="Times New Roman"/>
          <w:sz w:val="26"/>
          <w:szCs w:val="26"/>
        </w:rPr>
        <w:t xml:space="preserve"> patērētājam labi redzamā vietā norāda </w:t>
      </w:r>
      <w:r w:rsidR="002E025A" w:rsidRPr="00D75013">
        <w:rPr>
          <w:rFonts w:cs="Times New Roman"/>
          <w:sz w:val="26"/>
          <w:szCs w:val="26"/>
        </w:rPr>
        <w:t xml:space="preserve">dīzeļdegvielas </w:t>
      </w:r>
      <w:r w:rsidR="00280C34" w:rsidRPr="00D75013">
        <w:rPr>
          <w:rFonts w:cs="Times New Roman"/>
          <w:sz w:val="26"/>
          <w:szCs w:val="26"/>
        </w:rPr>
        <w:t xml:space="preserve">aukstā filtra nosprostošanās punktu (grādos pēc </w:t>
      </w:r>
      <w:r w:rsidR="00280C34" w:rsidRPr="00CC7A2E">
        <w:rPr>
          <w:rFonts w:cs="Times New Roman"/>
          <w:sz w:val="26"/>
          <w:szCs w:val="26"/>
        </w:rPr>
        <w:t>Celsija) un degvielas klasi atbilstoši standartam LVS EN 590</w:t>
      </w:r>
      <w:r w:rsidR="00623D91" w:rsidRPr="00CC7A2E">
        <w:rPr>
          <w:rFonts w:cs="Times New Roman"/>
          <w:sz w:val="26"/>
          <w:szCs w:val="26"/>
        </w:rPr>
        <w:t>+A1:2017</w:t>
      </w:r>
      <w:r w:rsidR="00B22327" w:rsidRPr="00CC7A2E">
        <w:rPr>
          <w:rFonts w:cs="Times New Roman"/>
          <w:sz w:val="26"/>
          <w:szCs w:val="26"/>
        </w:rPr>
        <w:t xml:space="preserve"> </w:t>
      </w:r>
      <w:r w:rsidR="00280C34" w:rsidRPr="00CC7A2E">
        <w:rPr>
          <w:rFonts w:cs="Times New Roman"/>
          <w:sz w:val="26"/>
          <w:szCs w:val="26"/>
        </w:rPr>
        <w:t>"Automobiļu degvielas. Dīzeļdegviela. Prasības un testēšanas metodes".</w:t>
      </w:r>
      <w:r w:rsidR="006625B8" w:rsidRPr="00D75013">
        <w:rPr>
          <w:sz w:val="26"/>
          <w:szCs w:val="26"/>
        </w:rPr>
        <w:t xml:space="preserve"> </w:t>
      </w:r>
      <w:r w:rsidR="006625B8" w:rsidRPr="00D75013">
        <w:rPr>
          <w:rFonts w:cs="Times New Roman"/>
          <w:sz w:val="26"/>
          <w:szCs w:val="26"/>
        </w:rPr>
        <w:t>Degvielas uzpildes iekārtu sūkņus un to sprauslas marķē atbilstoši standartā LVS EN 16942</w:t>
      </w:r>
      <w:r w:rsidR="00623D91" w:rsidRPr="00D75013">
        <w:rPr>
          <w:rFonts w:cs="Times New Roman"/>
          <w:sz w:val="26"/>
          <w:szCs w:val="26"/>
        </w:rPr>
        <w:t>:2017</w:t>
      </w:r>
      <w:r w:rsidR="00B22327" w:rsidRPr="00D75013">
        <w:rPr>
          <w:rFonts w:cs="Times New Roman"/>
          <w:sz w:val="26"/>
          <w:szCs w:val="26"/>
        </w:rPr>
        <w:t xml:space="preserve"> </w:t>
      </w:r>
      <w:r w:rsidR="005E35B2" w:rsidRPr="00D75013">
        <w:rPr>
          <w:rFonts w:cs="Times New Roman"/>
          <w:sz w:val="26"/>
          <w:szCs w:val="26"/>
        </w:rPr>
        <w:t>"</w:t>
      </w:r>
      <w:r w:rsidR="006625B8" w:rsidRPr="00D75013">
        <w:rPr>
          <w:rFonts w:cs="Times New Roman"/>
          <w:sz w:val="26"/>
          <w:szCs w:val="26"/>
        </w:rPr>
        <w:t>Degvielas. Transportlīdzekļu savietojamības identificēšana. Grafiskais attēlojums lietotāju informācijai</w:t>
      </w:r>
      <w:r w:rsidR="005E35B2" w:rsidRPr="00CC7A2E">
        <w:rPr>
          <w:rFonts w:eastAsiaTheme="minorEastAsia" w:cs="Times New Roman"/>
          <w:sz w:val="26"/>
          <w:szCs w:val="26"/>
        </w:rPr>
        <w:t>"</w:t>
      </w:r>
      <w:r w:rsidR="006625B8" w:rsidRPr="00CC7A2E">
        <w:rPr>
          <w:rFonts w:cs="Times New Roman"/>
          <w:sz w:val="26"/>
          <w:szCs w:val="26"/>
        </w:rPr>
        <w:t xml:space="preserve"> ietvertajām prasībām.</w:t>
      </w:r>
      <w:r w:rsidRPr="00CC7A2E">
        <w:rPr>
          <w:rFonts w:eastAsiaTheme="minorEastAsia" w:cs="Times New Roman"/>
          <w:sz w:val="26"/>
          <w:szCs w:val="26"/>
        </w:rPr>
        <w:t>”</w:t>
      </w:r>
      <w:r w:rsidR="00280C34" w:rsidRPr="00CC7A2E">
        <w:rPr>
          <w:rFonts w:eastAsiaTheme="minorEastAsia" w:cs="Times New Roman"/>
          <w:sz w:val="26"/>
          <w:szCs w:val="26"/>
        </w:rPr>
        <w:t>;</w:t>
      </w:r>
    </w:p>
    <w:p w14:paraId="595771A1" w14:textId="0AAF156B" w:rsidR="00F61467" w:rsidRDefault="00F61467" w:rsidP="00952581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</w:p>
    <w:p w14:paraId="0B554B62" w14:textId="3D0AEAE1" w:rsidR="00F61467" w:rsidRDefault="00F61467" w:rsidP="00F61467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  <w:bookmarkStart w:id="7" w:name="_Hlk16784808"/>
      <w:r>
        <w:rPr>
          <w:rFonts w:eastAsiaTheme="minorEastAsia" w:cs="Times New Roman"/>
          <w:sz w:val="26"/>
          <w:szCs w:val="26"/>
        </w:rPr>
        <w:t>1.</w:t>
      </w:r>
      <w:r w:rsidR="005E6813">
        <w:rPr>
          <w:rFonts w:eastAsiaTheme="minorEastAsia" w:cs="Times New Roman"/>
          <w:sz w:val="26"/>
          <w:szCs w:val="26"/>
        </w:rPr>
        <w:t>9</w:t>
      </w:r>
      <w:r>
        <w:rPr>
          <w:rFonts w:eastAsiaTheme="minorEastAsia" w:cs="Times New Roman"/>
          <w:sz w:val="26"/>
          <w:szCs w:val="26"/>
        </w:rPr>
        <w:t xml:space="preserve">. </w:t>
      </w:r>
      <w:r w:rsidR="00203D59">
        <w:rPr>
          <w:rFonts w:eastAsiaTheme="minorEastAsia" w:cs="Times New Roman"/>
          <w:sz w:val="26"/>
          <w:szCs w:val="26"/>
        </w:rPr>
        <w:t>i</w:t>
      </w:r>
      <w:r w:rsidRPr="00F61467">
        <w:rPr>
          <w:rFonts w:eastAsiaTheme="minorEastAsia" w:cs="Times New Roman"/>
          <w:sz w:val="26"/>
          <w:szCs w:val="26"/>
        </w:rPr>
        <w:t xml:space="preserve">zteikt 15. </w:t>
      </w:r>
      <w:r w:rsidR="003D1513">
        <w:rPr>
          <w:rFonts w:eastAsiaTheme="minorEastAsia" w:cs="Times New Roman"/>
          <w:sz w:val="26"/>
          <w:szCs w:val="26"/>
        </w:rPr>
        <w:t xml:space="preserve">un </w:t>
      </w:r>
      <w:r w:rsidR="003D1513" w:rsidRPr="00F61467">
        <w:rPr>
          <w:rFonts w:cs="Times New Roman"/>
          <w:sz w:val="26"/>
          <w:szCs w:val="26"/>
        </w:rPr>
        <w:t>15.</w:t>
      </w:r>
      <w:r w:rsidR="003D1513" w:rsidRPr="00F61467">
        <w:rPr>
          <w:rFonts w:cs="Times New Roman"/>
          <w:sz w:val="26"/>
          <w:szCs w:val="26"/>
          <w:vertAlign w:val="superscript"/>
        </w:rPr>
        <w:t>1</w:t>
      </w:r>
      <w:r w:rsidR="003D1513" w:rsidRPr="00F61467">
        <w:rPr>
          <w:rFonts w:cs="Times New Roman"/>
          <w:sz w:val="26"/>
          <w:szCs w:val="26"/>
        </w:rPr>
        <w:t xml:space="preserve"> </w:t>
      </w:r>
      <w:r w:rsidRPr="00F61467">
        <w:rPr>
          <w:rFonts w:eastAsiaTheme="minorEastAsia" w:cs="Times New Roman"/>
          <w:sz w:val="26"/>
          <w:szCs w:val="26"/>
        </w:rPr>
        <w:t>punktu šādā redakcijā:</w:t>
      </w:r>
    </w:p>
    <w:p w14:paraId="020AA56F" w14:textId="77777777" w:rsidR="00F61467" w:rsidRPr="00F61467" w:rsidRDefault="00F61467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</w:p>
    <w:p w14:paraId="79D55ADF" w14:textId="490FA846" w:rsidR="00F61467" w:rsidRDefault="00F61467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  <w:r w:rsidRPr="00F61467">
        <w:rPr>
          <w:rFonts w:eastAsiaTheme="minorEastAsia" w:cs="Times New Roman"/>
          <w:sz w:val="26"/>
          <w:szCs w:val="26"/>
        </w:rPr>
        <w:t xml:space="preserve">“15. </w:t>
      </w:r>
      <w:r w:rsidR="00056413">
        <w:rPr>
          <w:rFonts w:eastAsiaTheme="minorEastAsia" w:cs="Times New Roman"/>
          <w:sz w:val="26"/>
          <w:szCs w:val="26"/>
        </w:rPr>
        <w:t xml:space="preserve">Šo noteikumu prasību izpildi uzrauga  </w:t>
      </w:r>
      <w:r w:rsidRPr="00F61467">
        <w:rPr>
          <w:rFonts w:eastAsiaTheme="minorEastAsia" w:cs="Times New Roman"/>
          <w:sz w:val="26"/>
          <w:szCs w:val="26"/>
        </w:rPr>
        <w:t>Būvniecības valsts kontroles birojs</w:t>
      </w:r>
      <w:r w:rsidR="002400AD">
        <w:rPr>
          <w:rFonts w:eastAsiaTheme="minorEastAsia" w:cs="Times New Roman"/>
          <w:sz w:val="26"/>
          <w:szCs w:val="26"/>
        </w:rPr>
        <w:t xml:space="preserve"> un Patērētāju</w:t>
      </w:r>
      <w:r w:rsidR="00734E0E">
        <w:rPr>
          <w:rFonts w:eastAsiaTheme="minorEastAsia" w:cs="Times New Roman"/>
          <w:sz w:val="26"/>
          <w:szCs w:val="26"/>
        </w:rPr>
        <w:t xml:space="preserve"> tiesību</w:t>
      </w:r>
      <w:r w:rsidR="002400AD">
        <w:rPr>
          <w:rFonts w:eastAsiaTheme="minorEastAsia" w:cs="Times New Roman"/>
          <w:sz w:val="26"/>
          <w:szCs w:val="26"/>
        </w:rPr>
        <w:t xml:space="preserve"> aizsardzības centrs</w:t>
      </w:r>
      <w:r w:rsidR="00B9108E">
        <w:rPr>
          <w:rFonts w:eastAsiaTheme="minorEastAsia" w:cs="Times New Roman"/>
          <w:sz w:val="26"/>
          <w:szCs w:val="26"/>
        </w:rPr>
        <w:t>.</w:t>
      </w:r>
    </w:p>
    <w:p w14:paraId="08B30BDF" w14:textId="77777777" w:rsidR="00F61467" w:rsidRDefault="00F61467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</w:p>
    <w:p w14:paraId="72EA1CE5" w14:textId="78B7547A" w:rsidR="00F61467" w:rsidRDefault="00F61467" w:rsidP="00162D7F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9230FD">
        <w:rPr>
          <w:rFonts w:cs="Times New Roman"/>
          <w:sz w:val="26"/>
          <w:szCs w:val="26"/>
        </w:rPr>
        <w:t>15.</w:t>
      </w:r>
      <w:r w:rsidRPr="009230FD">
        <w:rPr>
          <w:rFonts w:cs="Times New Roman"/>
          <w:sz w:val="26"/>
          <w:szCs w:val="26"/>
          <w:vertAlign w:val="superscript"/>
        </w:rPr>
        <w:t>1</w:t>
      </w:r>
      <w:r w:rsidRPr="009230FD">
        <w:rPr>
          <w:rFonts w:cs="Times New Roman"/>
          <w:sz w:val="26"/>
          <w:szCs w:val="26"/>
        </w:rPr>
        <w:t xml:space="preserve"> </w:t>
      </w:r>
      <w:r w:rsidR="00203A19">
        <w:rPr>
          <w:rFonts w:cs="Times New Roman"/>
          <w:sz w:val="26"/>
          <w:szCs w:val="26"/>
        </w:rPr>
        <w:t xml:space="preserve">Būvniecības valsts kontroles birojs </w:t>
      </w:r>
      <w:r w:rsidR="00030C38">
        <w:rPr>
          <w:rFonts w:cs="Times New Roman"/>
          <w:sz w:val="26"/>
          <w:szCs w:val="26"/>
        </w:rPr>
        <w:t>organizē</w:t>
      </w:r>
      <w:r w:rsidR="002E49B6">
        <w:rPr>
          <w:rFonts w:cs="Times New Roman"/>
          <w:sz w:val="26"/>
          <w:szCs w:val="26"/>
        </w:rPr>
        <w:t>jot</w:t>
      </w:r>
      <w:r w:rsidR="00203A19">
        <w:rPr>
          <w:rFonts w:cs="Times New Roman"/>
          <w:sz w:val="26"/>
          <w:szCs w:val="26"/>
        </w:rPr>
        <w:t xml:space="preserve"> ikgadējo </w:t>
      </w:r>
      <w:r w:rsidR="00490351">
        <w:rPr>
          <w:rFonts w:cs="Times New Roman"/>
          <w:sz w:val="26"/>
          <w:szCs w:val="26"/>
        </w:rPr>
        <w:t>d</w:t>
      </w:r>
      <w:r w:rsidRPr="009230FD">
        <w:rPr>
          <w:rFonts w:cs="Times New Roman"/>
          <w:sz w:val="26"/>
          <w:szCs w:val="26"/>
        </w:rPr>
        <w:t xml:space="preserve">egvielas </w:t>
      </w:r>
      <w:r w:rsidR="00F502C1">
        <w:rPr>
          <w:rFonts w:cs="Times New Roman"/>
          <w:sz w:val="26"/>
          <w:szCs w:val="26"/>
        </w:rPr>
        <w:t xml:space="preserve">kvalitātes </w:t>
      </w:r>
      <w:r w:rsidR="00203A19">
        <w:rPr>
          <w:rFonts w:cs="Times New Roman"/>
          <w:sz w:val="26"/>
          <w:szCs w:val="26"/>
        </w:rPr>
        <w:t>monitoringu</w:t>
      </w:r>
      <w:r w:rsidRPr="009230FD">
        <w:rPr>
          <w:rFonts w:cs="Times New Roman"/>
          <w:sz w:val="26"/>
          <w:szCs w:val="26"/>
        </w:rPr>
        <w:t xml:space="preserve"> </w:t>
      </w:r>
      <w:r w:rsidR="002E49B6">
        <w:rPr>
          <w:rFonts w:cs="Times New Roman"/>
          <w:sz w:val="26"/>
          <w:szCs w:val="26"/>
        </w:rPr>
        <w:t>ievēro</w:t>
      </w:r>
      <w:r w:rsidRPr="00963A85">
        <w:rPr>
          <w:rFonts w:cs="Times New Roman"/>
          <w:sz w:val="26"/>
          <w:szCs w:val="26"/>
        </w:rPr>
        <w:t xml:space="preserve"> standart</w:t>
      </w:r>
      <w:r w:rsidR="00203A19">
        <w:rPr>
          <w:rFonts w:cs="Times New Roman"/>
          <w:sz w:val="26"/>
          <w:szCs w:val="26"/>
        </w:rPr>
        <w:t>a</w:t>
      </w:r>
      <w:r w:rsidRPr="00963A85">
        <w:rPr>
          <w:rFonts w:cs="Times New Roman"/>
          <w:sz w:val="26"/>
          <w:szCs w:val="26"/>
        </w:rPr>
        <w:t xml:space="preserve"> </w:t>
      </w:r>
      <w:r w:rsidRPr="00C501FA">
        <w:rPr>
          <w:rFonts w:cs="Times New Roman"/>
          <w:sz w:val="26"/>
          <w:szCs w:val="26"/>
        </w:rPr>
        <w:t xml:space="preserve">LVS EN 14274:2013 "Automobiļu degvielas. Benzīna un dīzeļdegvielas kvalitātes novērtēšana. Degvielas kvalitātes monitoringa sistēma (FQMS)" </w:t>
      </w:r>
      <w:r w:rsidR="00203A19">
        <w:rPr>
          <w:rFonts w:cs="Times New Roman"/>
          <w:sz w:val="26"/>
          <w:szCs w:val="26"/>
        </w:rPr>
        <w:t>prasīb</w:t>
      </w:r>
      <w:r w:rsidR="002E49B6">
        <w:rPr>
          <w:rFonts w:cs="Times New Roman"/>
          <w:sz w:val="26"/>
          <w:szCs w:val="26"/>
        </w:rPr>
        <w:t>as</w:t>
      </w:r>
      <w:r w:rsidR="00203A19">
        <w:rPr>
          <w:rFonts w:cs="Times New Roman"/>
          <w:sz w:val="26"/>
          <w:szCs w:val="26"/>
        </w:rPr>
        <w:t>.</w:t>
      </w:r>
      <w:r w:rsidR="002E49B6">
        <w:rPr>
          <w:rFonts w:cs="Times New Roman"/>
          <w:sz w:val="26"/>
          <w:szCs w:val="26"/>
        </w:rPr>
        <w:t xml:space="preserve"> </w:t>
      </w:r>
      <w:r w:rsidR="00156E4D">
        <w:rPr>
          <w:rFonts w:cs="Times New Roman"/>
          <w:sz w:val="26"/>
          <w:szCs w:val="26"/>
        </w:rPr>
        <w:t>D</w:t>
      </w:r>
      <w:r w:rsidR="002E49B6">
        <w:rPr>
          <w:rFonts w:cs="Times New Roman"/>
          <w:sz w:val="26"/>
          <w:szCs w:val="26"/>
        </w:rPr>
        <w:t xml:space="preserve">egvielas </w:t>
      </w:r>
      <w:r w:rsidR="003D68B1">
        <w:rPr>
          <w:rFonts w:cs="Times New Roman"/>
          <w:sz w:val="26"/>
          <w:szCs w:val="26"/>
        </w:rPr>
        <w:t>paraugu testēšanu</w:t>
      </w:r>
      <w:r w:rsidR="00162D7F">
        <w:rPr>
          <w:rFonts w:cs="Times New Roman"/>
          <w:sz w:val="26"/>
          <w:szCs w:val="26"/>
        </w:rPr>
        <w:t xml:space="preserve"> </w:t>
      </w:r>
      <w:r w:rsidR="003D68B1">
        <w:rPr>
          <w:rFonts w:cs="Times New Roman"/>
          <w:sz w:val="26"/>
          <w:szCs w:val="26"/>
        </w:rPr>
        <w:t>veic</w:t>
      </w:r>
      <w:r w:rsidR="00034D7C">
        <w:rPr>
          <w:rFonts w:cs="Times New Roman"/>
          <w:sz w:val="26"/>
          <w:szCs w:val="26"/>
        </w:rPr>
        <w:t xml:space="preserve"> akreditētā</w:t>
      </w:r>
      <w:r w:rsidR="002E49B6" w:rsidRPr="002E49B6">
        <w:t xml:space="preserve"> </w:t>
      </w:r>
      <w:r w:rsidR="002E49B6" w:rsidRPr="002E49B6">
        <w:rPr>
          <w:rFonts w:cs="Times New Roman"/>
          <w:sz w:val="26"/>
          <w:szCs w:val="26"/>
        </w:rPr>
        <w:t>atbilstības novērtēšanas institūcij</w:t>
      </w:r>
      <w:r w:rsidR="002E49B6">
        <w:rPr>
          <w:rFonts w:cs="Times New Roman"/>
          <w:sz w:val="26"/>
          <w:szCs w:val="26"/>
        </w:rPr>
        <w:t xml:space="preserve">ā </w:t>
      </w:r>
      <w:r w:rsidR="00490351">
        <w:rPr>
          <w:rFonts w:cs="Times New Roman"/>
          <w:sz w:val="26"/>
          <w:szCs w:val="26"/>
        </w:rPr>
        <w:t>ievērojot</w:t>
      </w:r>
      <w:r w:rsidRPr="00230F38">
        <w:rPr>
          <w:rFonts w:cs="Times New Roman"/>
          <w:sz w:val="26"/>
          <w:szCs w:val="26"/>
        </w:rPr>
        <w:t xml:space="preserve"> testēšanas metodes, kas noteiktas standartos LVS EN 228+A1:2017</w:t>
      </w:r>
      <w:r w:rsidR="00B22327">
        <w:rPr>
          <w:rFonts w:cs="Times New Roman"/>
          <w:sz w:val="26"/>
          <w:szCs w:val="26"/>
        </w:rPr>
        <w:t xml:space="preserve"> </w:t>
      </w:r>
      <w:r w:rsidRPr="00230F38">
        <w:rPr>
          <w:rFonts w:cs="Times New Roman"/>
          <w:sz w:val="26"/>
          <w:szCs w:val="26"/>
        </w:rPr>
        <w:t xml:space="preserve"> "Automobiļu degvielas. Bezsvina benzīns. Prasības un testa metodes", LVS EN 590+</w:t>
      </w:r>
      <w:r w:rsidRPr="00356FC7">
        <w:rPr>
          <w:rFonts w:cs="Times New Roman"/>
          <w:sz w:val="26"/>
          <w:szCs w:val="26"/>
        </w:rPr>
        <w:t xml:space="preserve">A1:2017 "Automobiļu degvielas. Dīzeļdegviela. Prasības un testēšanas metodes" </w:t>
      </w:r>
      <w:r w:rsidRPr="00356FC7">
        <w:rPr>
          <w:rFonts w:cs="Times New Roman"/>
          <w:sz w:val="26"/>
          <w:szCs w:val="26"/>
        </w:rPr>
        <w:lastRenderedPageBreak/>
        <w:t>un LVS EN 16640:2017 "Bioloģiskas izcelsmes produkti. Bioloģiskas izcelsmes oglekļa saturs. Bioloģiskas izcelsmes oglekļa satura noteikšana ar radioaktīvā oglekļa metodi".”</w:t>
      </w:r>
      <w:r w:rsidR="00F502C1">
        <w:rPr>
          <w:rFonts w:cs="Times New Roman"/>
          <w:sz w:val="26"/>
          <w:szCs w:val="26"/>
        </w:rPr>
        <w:t>;</w:t>
      </w:r>
      <w:r w:rsidRPr="00356FC7">
        <w:rPr>
          <w:rFonts w:cs="Times New Roman"/>
          <w:sz w:val="26"/>
          <w:szCs w:val="26"/>
        </w:rPr>
        <w:t xml:space="preserve"> </w:t>
      </w:r>
    </w:p>
    <w:bookmarkEnd w:id="7"/>
    <w:p w14:paraId="48003DDE" w14:textId="77777777" w:rsidR="00F61467" w:rsidRPr="00356FC7" w:rsidRDefault="00F61467" w:rsidP="00F6146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0800F6FF" w14:textId="74CDDE9E" w:rsidR="00F61467" w:rsidRDefault="00F61467" w:rsidP="00F61467">
      <w:pPr>
        <w:shd w:val="clear" w:color="auto" w:fill="FFFFFF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</w:t>
      </w:r>
      <w:r w:rsidR="005E6813">
        <w:rPr>
          <w:rFonts w:cs="Times New Roman"/>
          <w:sz w:val="26"/>
          <w:szCs w:val="26"/>
        </w:rPr>
        <w:t>0</w:t>
      </w:r>
      <w:r>
        <w:rPr>
          <w:rFonts w:cs="Times New Roman"/>
          <w:sz w:val="26"/>
          <w:szCs w:val="26"/>
        </w:rPr>
        <w:t xml:space="preserve">. </w:t>
      </w:r>
      <w:r w:rsidR="00203D59">
        <w:rPr>
          <w:rFonts w:cs="Times New Roman"/>
          <w:sz w:val="26"/>
          <w:szCs w:val="26"/>
        </w:rPr>
        <w:t>i</w:t>
      </w:r>
      <w:r w:rsidRPr="00F61467">
        <w:rPr>
          <w:rFonts w:cs="Times New Roman"/>
          <w:sz w:val="26"/>
          <w:szCs w:val="26"/>
        </w:rPr>
        <w:t xml:space="preserve">zteikt 17. </w:t>
      </w:r>
      <w:r w:rsidR="003D1513">
        <w:rPr>
          <w:rFonts w:cs="Times New Roman"/>
          <w:sz w:val="26"/>
          <w:szCs w:val="26"/>
        </w:rPr>
        <w:t>un 18. </w:t>
      </w:r>
      <w:r w:rsidRPr="00F61467">
        <w:rPr>
          <w:rFonts w:cs="Times New Roman"/>
          <w:sz w:val="26"/>
          <w:szCs w:val="26"/>
        </w:rPr>
        <w:t>punktu šādā redakcijā:</w:t>
      </w:r>
    </w:p>
    <w:p w14:paraId="0E6D36FA" w14:textId="77777777" w:rsidR="00F61467" w:rsidRPr="00F61467" w:rsidRDefault="00F61467" w:rsidP="00F61467">
      <w:pPr>
        <w:shd w:val="clear" w:color="auto" w:fill="FFFFFF"/>
        <w:ind w:left="709"/>
        <w:jc w:val="both"/>
        <w:rPr>
          <w:rFonts w:cs="Times New Roman"/>
          <w:sz w:val="26"/>
          <w:szCs w:val="26"/>
        </w:rPr>
      </w:pPr>
    </w:p>
    <w:p w14:paraId="28103741" w14:textId="7BAEB936" w:rsidR="00F61467" w:rsidRDefault="00F61467" w:rsidP="00F6146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9230FD">
        <w:rPr>
          <w:rFonts w:cs="Times New Roman"/>
          <w:sz w:val="26"/>
          <w:szCs w:val="26"/>
        </w:rPr>
        <w:t xml:space="preserve">“17. Degvielas importētājs, ražotājs, vairumtirgotājs vai mazumtirgotājs pēc </w:t>
      </w:r>
      <w:bookmarkStart w:id="8" w:name="_Hlk15555803"/>
      <w:r w:rsidR="00B9108E" w:rsidRPr="00B9108E">
        <w:rPr>
          <w:rFonts w:cs="Times New Roman"/>
          <w:sz w:val="26"/>
          <w:szCs w:val="26"/>
        </w:rPr>
        <w:t>Būvniecības valsts kontroles biroja</w:t>
      </w:r>
      <w:bookmarkEnd w:id="8"/>
      <w:r w:rsidRPr="009230FD">
        <w:rPr>
          <w:rFonts w:cs="Times New Roman"/>
          <w:sz w:val="26"/>
          <w:szCs w:val="26"/>
        </w:rPr>
        <w:t xml:space="preserve"> pieprasījuma uzrāda degvielas kvalitātes atbilstību apliecinošus dokumentus.</w:t>
      </w:r>
    </w:p>
    <w:p w14:paraId="184EEAAA" w14:textId="29788972" w:rsidR="00F61467" w:rsidRPr="009230FD" w:rsidRDefault="00F61467" w:rsidP="00F61467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9230FD">
        <w:rPr>
          <w:rFonts w:ascii="Times New Roman" w:hAnsi="Times New Roman" w:cs="Times New Roman"/>
          <w:sz w:val="26"/>
          <w:szCs w:val="26"/>
          <w:lang w:val="lv-LV"/>
        </w:rPr>
        <w:t xml:space="preserve">18. </w:t>
      </w:r>
      <w:r>
        <w:rPr>
          <w:rFonts w:ascii="Times New Roman" w:hAnsi="Times New Roman" w:cs="Times New Roman"/>
          <w:sz w:val="26"/>
          <w:szCs w:val="26"/>
          <w:lang w:val="lv-LV"/>
        </w:rPr>
        <w:t>A</w:t>
      </w:r>
      <w:r w:rsidRPr="009230FD">
        <w:rPr>
          <w:rFonts w:ascii="Times New Roman" w:hAnsi="Times New Roman" w:cs="Times New Roman"/>
          <w:sz w:val="26"/>
          <w:szCs w:val="26"/>
          <w:lang w:val="lv-LV"/>
        </w:rPr>
        <w:t>r degvielas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kvalitātes</w:t>
      </w:r>
      <w:r w:rsidRPr="009230FD">
        <w:rPr>
          <w:rFonts w:ascii="Times New Roman" w:hAnsi="Times New Roman" w:cs="Times New Roman"/>
          <w:sz w:val="26"/>
          <w:szCs w:val="26"/>
          <w:lang w:val="lv-LV"/>
        </w:rPr>
        <w:t xml:space="preserve"> atbilstības uzraudzību saistītos izdevumus sedz no </w:t>
      </w:r>
      <w:bookmarkStart w:id="9" w:name="_Hlk25603845"/>
      <w:r w:rsidR="004E5257" w:rsidRPr="004E5257">
        <w:rPr>
          <w:rFonts w:eastAsiaTheme="minorEastAsia" w:cs="Times New Roman"/>
          <w:sz w:val="26"/>
          <w:szCs w:val="26"/>
          <w:lang w:val="lv-LV"/>
        </w:rPr>
        <w:t>Būvniecības valsts kontroles biroja</w:t>
      </w:r>
      <w:bookmarkEnd w:id="9"/>
      <w:r w:rsidRPr="009230FD">
        <w:rPr>
          <w:rFonts w:ascii="Times New Roman" w:hAnsi="Times New Roman" w:cs="Times New Roman"/>
          <w:sz w:val="26"/>
          <w:szCs w:val="26"/>
          <w:lang w:val="lv-LV"/>
        </w:rPr>
        <w:t xml:space="preserve"> līdzekļiem,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9230FD">
        <w:rPr>
          <w:rFonts w:ascii="Times New Roman" w:hAnsi="Times New Roman" w:cs="Times New Roman"/>
          <w:sz w:val="26"/>
          <w:szCs w:val="26"/>
          <w:lang w:val="lv-LV"/>
        </w:rPr>
        <w:t xml:space="preserve">bet, ja tiek konstatēts, ka degviela neatbilst šajos noteikumos noteiktajām prasībām, minētos izdevumus sedz attiecīgais degvielas īpašnieks vai valdītājs </w:t>
      </w:r>
      <w:r w:rsidR="004053CE">
        <w:rPr>
          <w:rFonts w:ascii="Times New Roman" w:hAnsi="Times New Roman" w:cs="Times New Roman"/>
          <w:sz w:val="26"/>
          <w:szCs w:val="26"/>
          <w:lang w:val="lv-LV"/>
        </w:rPr>
        <w:t>20</w:t>
      </w:r>
      <w:r w:rsidR="006949F8" w:rsidRPr="009230FD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9230FD">
        <w:rPr>
          <w:rFonts w:ascii="Times New Roman" w:hAnsi="Times New Roman" w:cs="Times New Roman"/>
          <w:sz w:val="26"/>
          <w:szCs w:val="26"/>
          <w:lang w:val="lv-LV"/>
        </w:rPr>
        <w:t>darb</w:t>
      </w:r>
      <w:r w:rsidR="006949F8">
        <w:rPr>
          <w:rFonts w:ascii="Times New Roman" w:hAnsi="Times New Roman" w:cs="Times New Roman"/>
          <w:sz w:val="26"/>
          <w:szCs w:val="26"/>
          <w:lang w:val="lv-LV"/>
        </w:rPr>
        <w:t xml:space="preserve">a </w:t>
      </w:r>
      <w:r w:rsidRPr="009230FD">
        <w:rPr>
          <w:rFonts w:ascii="Times New Roman" w:hAnsi="Times New Roman" w:cs="Times New Roman"/>
          <w:sz w:val="26"/>
          <w:szCs w:val="26"/>
          <w:lang w:val="lv-LV"/>
        </w:rPr>
        <w:t xml:space="preserve">dienu laikā pēc rēķina saņemšanas no </w:t>
      </w:r>
      <w:r w:rsidR="00613E42" w:rsidRPr="00613E42">
        <w:rPr>
          <w:rFonts w:ascii="Times New Roman" w:hAnsi="Times New Roman" w:cs="Times New Roman"/>
          <w:sz w:val="26"/>
          <w:szCs w:val="26"/>
          <w:lang w:val="lv-LV"/>
        </w:rPr>
        <w:t>Būvniecības valsts kontroles biroja</w:t>
      </w:r>
      <w:r w:rsidRPr="009230FD">
        <w:rPr>
          <w:rFonts w:ascii="Times New Roman" w:hAnsi="Times New Roman" w:cs="Times New Roman"/>
          <w:sz w:val="26"/>
          <w:szCs w:val="26"/>
          <w:lang w:val="lv-LV"/>
        </w:rPr>
        <w:t>.”</w:t>
      </w:r>
      <w:r w:rsidR="00F502C1">
        <w:rPr>
          <w:rFonts w:ascii="Times New Roman" w:hAnsi="Times New Roman" w:cs="Times New Roman"/>
          <w:sz w:val="26"/>
          <w:szCs w:val="26"/>
          <w:lang w:val="lv-LV"/>
        </w:rPr>
        <w:t>;</w:t>
      </w:r>
      <w:r w:rsidR="00613E42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</w:p>
    <w:p w14:paraId="717D1261" w14:textId="4466202A" w:rsidR="00F61467" w:rsidRDefault="00F61467" w:rsidP="00F61467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</w:p>
    <w:p w14:paraId="2F05457A" w14:textId="3E1E27B9" w:rsidR="00F61467" w:rsidRDefault="00F61467" w:rsidP="00F61467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>1.1</w:t>
      </w:r>
      <w:r w:rsidR="005E6813">
        <w:rPr>
          <w:rFonts w:eastAsiaTheme="minorEastAsia" w:cs="Times New Roman"/>
          <w:sz w:val="26"/>
          <w:szCs w:val="26"/>
        </w:rPr>
        <w:t>1</w:t>
      </w:r>
      <w:r>
        <w:rPr>
          <w:rFonts w:eastAsiaTheme="minorEastAsia" w:cs="Times New Roman"/>
          <w:sz w:val="26"/>
          <w:szCs w:val="26"/>
        </w:rPr>
        <w:t xml:space="preserve">. </w:t>
      </w:r>
      <w:r w:rsidR="00203D59">
        <w:rPr>
          <w:rFonts w:eastAsiaTheme="minorEastAsia" w:cs="Times New Roman"/>
          <w:sz w:val="26"/>
          <w:szCs w:val="26"/>
        </w:rPr>
        <w:t>i</w:t>
      </w:r>
      <w:r w:rsidRPr="00F61467">
        <w:rPr>
          <w:rFonts w:eastAsiaTheme="minorEastAsia" w:cs="Times New Roman"/>
          <w:sz w:val="26"/>
          <w:szCs w:val="26"/>
        </w:rPr>
        <w:t>zteikt 22.</w:t>
      </w:r>
      <w:r w:rsidRPr="00F61467">
        <w:rPr>
          <w:rFonts w:eastAsiaTheme="minorEastAsia" w:cs="Times New Roman"/>
          <w:sz w:val="26"/>
          <w:szCs w:val="26"/>
          <w:vertAlign w:val="superscript"/>
        </w:rPr>
        <w:t>2</w:t>
      </w:r>
      <w:r w:rsidRPr="00F61467">
        <w:rPr>
          <w:rFonts w:eastAsiaTheme="minorEastAsia" w:cs="Times New Roman"/>
          <w:sz w:val="26"/>
          <w:szCs w:val="26"/>
        </w:rPr>
        <w:t xml:space="preserve"> punktu šādā redakcijā:</w:t>
      </w:r>
    </w:p>
    <w:p w14:paraId="53EC89F9" w14:textId="77777777" w:rsidR="00F61467" w:rsidRPr="00F61467" w:rsidRDefault="00F61467" w:rsidP="00F61467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</w:p>
    <w:p w14:paraId="1CECB18B" w14:textId="509371D8" w:rsidR="00F61467" w:rsidRPr="001A6F44" w:rsidRDefault="00F61467" w:rsidP="00F61467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  <w:bookmarkStart w:id="10" w:name="_Hlk16787802"/>
      <w:r w:rsidRPr="001A6F44">
        <w:rPr>
          <w:rFonts w:eastAsiaTheme="minorEastAsia" w:cs="Times New Roman"/>
          <w:sz w:val="26"/>
          <w:szCs w:val="26"/>
        </w:rPr>
        <w:t>“22.</w:t>
      </w:r>
      <w:r w:rsidRPr="001A6F44">
        <w:rPr>
          <w:rFonts w:eastAsiaTheme="minorEastAsia" w:cs="Times New Roman"/>
          <w:sz w:val="26"/>
          <w:szCs w:val="26"/>
          <w:vertAlign w:val="superscript"/>
        </w:rPr>
        <w:t>2</w:t>
      </w:r>
      <w:r w:rsidRPr="001A6F44">
        <w:rPr>
          <w:rFonts w:eastAsiaTheme="minorEastAsia" w:cs="Times New Roman"/>
          <w:sz w:val="26"/>
          <w:szCs w:val="26"/>
        </w:rPr>
        <w:t xml:space="preserve"> </w:t>
      </w:r>
      <w:r w:rsidR="003B0B3C" w:rsidRPr="001A6F44">
        <w:rPr>
          <w:rFonts w:eastAsiaTheme="minorEastAsia" w:cs="Times New Roman"/>
          <w:sz w:val="26"/>
          <w:szCs w:val="26"/>
        </w:rPr>
        <w:t xml:space="preserve">Valsts ieņēmumu dienests katru gadu līdz 1. jūnijam iesniedz </w:t>
      </w:r>
      <w:r w:rsidR="00B9108E" w:rsidRPr="004E5257">
        <w:rPr>
          <w:rFonts w:eastAsiaTheme="minorEastAsia" w:cs="Times New Roman"/>
          <w:sz w:val="26"/>
          <w:szCs w:val="26"/>
        </w:rPr>
        <w:t>Būvniecības valsts kontroles biroja</w:t>
      </w:r>
      <w:r w:rsidR="00B9108E">
        <w:rPr>
          <w:rFonts w:eastAsiaTheme="minorEastAsia" w:cs="Times New Roman"/>
          <w:sz w:val="26"/>
          <w:szCs w:val="26"/>
        </w:rPr>
        <w:t xml:space="preserve">m </w:t>
      </w:r>
      <w:r w:rsidR="003B0B3C" w:rsidRPr="001A6F44">
        <w:rPr>
          <w:rFonts w:eastAsiaTheme="minorEastAsia" w:cs="Times New Roman"/>
          <w:sz w:val="26"/>
          <w:szCs w:val="26"/>
        </w:rPr>
        <w:t xml:space="preserve">informāciju par </w:t>
      </w:r>
      <w:r w:rsidR="001A6F44" w:rsidRPr="001A6F44">
        <w:rPr>
          <w:rFonts w:eastAsiaTheme="minorEastAsia" w:cs="Times New Roman"/>
          <w:sz w:val="26"/>
          <w:szCs w:val="26"/>
        </w:rPr>
        <w:t xml:space="preserve">Latvijā </w:t>
      </w:r>
      <w:r w:rsidR="003B0B3C" w:rsidRPr="001A6F44">
        <w:rPr>
          <w:rFonts w:eastAsiaTheme="minorEastAsia" w:cs="Times New Roman"/>
          <w:sz w:val="26"/>
          <w:szCs w:val="26"/>
        </w:rPr>
        <w:t>realizēto benzīna</w:t>
      </w:r>
      <w:r w:rsidR="009A473B">
        <w:rPr>
          <w:rFonts w:eastAsiaTheme="minorEastAsia" w:cs="Times New Roman"/>
          <w:sz w:val="26"/>
          <w:szCs w:val="26"/>
        </w:rPr>
        <w:t xml:space="preserve"> un</w:t>
      </w:r>
      <w:r w:rsidR="009A473B" w:rsidRPr="001A6F44">
        <w:rPr>
          <w:rFonts w:eastAsiaTheme="minorEastAsia" w:cs="Times New Roman"/>
          <w:sz w:val="26"/>
          <w:szCs w:val="26"/>
        </w:rPr>
        <w:t xml:space="preserve"> </w:t>
      </w:r>
      <w:r w:rsidR="003B0B3C" w:rsidRPr="001A6F44">
        <w:rPr>
          <w:rFonts w:eastAsiaTheme="minorEastAsia" w:cs="Times New Roman"/>
          <w:sz w:val="26"/>
          <w:szCs w:val="26"/>
        </w:rPr>
        <w:t>dīzeļdegvielas</w:t>
      </w:r>
      <w:r w:rsidR="001A6F44" w:rsidRPr="001A6F44">
        <w:rPr>
          <w:sz w:val="26"/>
          <w:szCs w:val="26"/>
        </w:rPr>
        <w:t xml:space="preserve"> </w:t>
      </w:r>
      <w:r w:rsidR="003B0B3C" w:rsidRPr="001A6F44">
        <w:rPr>
          <w:rFonts w:eastAsiaTheme="minorEastAsia" w:cs="Times New Roman"/>
          <w:sz w:val="26"/>
          <w:szCs w:val="26"/>
        </w:rPr>
        <w:t>apjomu</w:t>
      </w:r>
      <w:r w:rsidR="00EF1FF2" w:rsidRPr="00EF1FF2">
        <w:rPr>
          <w:rFonts w:eastAsiaTheme="minorEastAsia" w:cs="Times New Roman"/>
          <w:sz w:val="26"/>
          <w:szCs w:val="26"/>
        </w:rPr>
        <w:t>, kas iegūta saskaņā ar normatīvajiem aktiem akcīzes preču aprites jomā</w:t>
      </w:r>
      <w:r w:rsidR="003B0B3C" w:rsidRPr="001A6F44">
        <w:rPr>
          <w:rFonts w:eastAsiaTheme="minorEastAsia" w:cs="Times New Roman"/>
          <w:sz w:val="26"/>
          <w:szCs w:val="26"/>
        </w:rPr>
        <w:t xml:space="preserve">. </w:t>
      </w:r>
      <w:r w:rsidRPr="001A6F44">
        <w:rPr>
          <w:rFonts w:eastAsiaTheme="minorEastAsia" w:cs="Times New Roman"/>
          <w:sz w:val="26"/>
          <w:szCs w:val="26"/>
        </w:rPr>
        <w:t xml:space="preserve">Katru gadu līdz 15. jūlijam </w:t>
      </w:r>
      <w:r w:rsidR="00B9108E" w:rsidRPr="00B9108E">
        <w:rPr>
          <w:rFonts w:eastAsiaTheme="minorEastAsia" w:cs="Times New Roman"/>
          <w:sz w:val="26"/>
          <w:szCs w:val="26"/>
        </w:rPr>
        <w:t>Būvniecības valsts kontroles biroj</w:t>
      </w:r>
      <w:r w:rsidR="00B9108E">
        <w:rPr>
          <w:rFonts w:eastAsiaTheme="minorEastAsia" w:cs="Times New Roman"/>
          <w:sz w:val="26"/>
          <w:szCs w:val="26"/>
        </w:rPr>
        <w:t xml:space="preserve">s </w:t>
      </w:r>
      <w:r w:rsidRPr="001A6F44">
        <w:rPr>
          <w:rFonts w:eastAsiaTheme="minorEastAsia" w:cs="Times New Roman"/>
          <w:sz w:val="26"/>
          <w:szCs w:val="26"/>
        </w:rPr>
        <w:t>sagatavo degvielas kvalitātes pārskatu par iepriekšējo gadu</w:t>
      </w:r>
      <w:r w:rsidR="003B0B3C" w:rsidRPr="001A6F44">
        <w:rPr>
          <w:rFonts w:eastAsiaTheme="minorEastAsia" w:cs="Times New Roman"/>
          <w:sz w:val="26"/>
          <w:szCs w:val="26"/>
        </w:rPr>
        <w:t xml:space="preserve"> atbilstoši </w:t>
      </w:r>
      <w:r w:rsidR="003B0B3C" w:rsidRPr="001A6F44">
        <w:rPr>
          <w:rFonts w:cs="Times New Roman"/>
          <w:sz w:val="26"/>
          <w:szCs w:val="26"/>
        </w:rPr>
        <w:t>veidlapai, kas publicēta Eiropas Vides aģentūras uzturētajā interneta vietnē</w:t>
      </w:r>
      <w:r w:rsidRPr="00FB5F59">
        <w:rPr>
          <w:rFonts w:eastAsiaTheme="minorEastAsia" w:cs="Times New Roman"/>
          <w:sz w:val="26"/>
          <w:szCs w:val="26"/>
        </w:rPr>
        <w:t xml:space="preserve">. Katru gadu līdz 31. augustam </w:t>
      </w:r>
      <w:r w:rsidR="00457011" w:rsidRPr="001A6F44">
        <w:rPr>
          <w:rFonts w:eastAsiaTheme="minorEastAsia" w:cs="Times New Roman"/>
          <w:sz w:val="26"/>
          <w:szCs w:val="26"/>
        </w:rPr>
        <w:t>uzraudzības institūcija</w:t>
      </w:r>
      <w:r w:rsidRPr="001A6F44">
        <w:rPr>
          <w:rFonts w:eastAsiaTheme="minorEastAsia" w:cs="Times New Roman"/>
          <w:sz w:val="26"/>
          <w:szCs w:val="26"/>
        </w:rPr>
        <w:t xml:space="preserve"> iesniedz degvielas kvalitātes pārskatu </w:t>
      </w:r>
      <w:bookmarkStart w:id="11" w:name="_Hlk16841305"/>
      <w:r w:rsidRPr="001A6F44">
        <w:rPr>
          <w:rFonts w:eastAsiaTheme="minorEastAsia" w:cs="Times New Roman"/>
          <w:sz w:val="26"/>
          <w:szCs w:val="26"/>
        </w:rPr>
        <w:t>Eiropas vides informācijas un novērojumu tīklā (EIONET) un informē par to Eiropas Komisiju</w:t>
      </w:r>
      <w:bookmarkEnd w:id="11"/>
      <w:r w:rsidRPr="001A6F44">
        <w:rPr>
          <w:rFonts w:eastAsiaTheme="minorEastAsia" w:cs="Times New Roman"/>
          <w:sz w:val="26"/>
          <w:szCs w:val="26"/>
        </w:rPr>
        <w:t>.</w:t>
      </w:r>
      <w:r w:rsidR="00F502C1" w:rsidRPr="001A6F44">
        <w:rPr>
          <w:rFonts w:eastAsiaTheme="minorEastAsia" w:cs="Times New Roman"/>
          <w:sz w:val="26"/>
          <w:szCs w:val="26"/>
        </w:rPr>
        <w:t>”;</w:t>
      </w:r>
    </w:p>
    <w:bookmarkEnd w:id="10"/>
    <w:p w14:paraId="4835B95C" w14:textId="20D51B0C" w:rsidR="00A55C4E" w:rsidRPr="006625B8" w:rsidRDefault="00A55C4E" w:rsidP="00F61467">
      <w:pPr>
        <w:shd w:val="clear" w:color="auto" w:fill="FFFFFF"/>
        <w:jc w:val="both"/>
        <w:rPr>
          <w:rFonts w:eastAsiaTheme="minorEastAsia" w:cs="Times New Roman"/>
          <w:sz w:val="26"/>
          <w:szCs w:val="26"/>
        </w:rPr>
      </w:pPr>
    </w:p>
    <w:p w14:paraId="47E4DDAD" w14:textId="2104394D" w:rsidR="00007EA4" w:rsidRDefault="00E741BD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bookmarkStart w:id="12" w:name="_Hlk10560580"/>
      <w:bookmarkStart w:id="13" w:name="_GoBack"/>
      <w:r>
        <w:rPr>
          <w:rFonts w:cs="Times New Roman"/>
          <w:sz w:val="26"/>
          <w:szCs w:val="26"/>
        </w:rPr>
        <w:t>1.</w:t>
      </w:r>
      <w:r w:rsidR="00285779">
        <w:rPr>
          <w:rFonts w:cs="Times New Roman"/>
          <w:sz w:val="26"/>
          <w:szCs w:val="26"/>
        </w:rPr>
        <w:t>1</w:t>
      </w:r>
      <w:r w:rsidR="005E6813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. </w:t>
      </w:r>
      <w:r w:rsidR="005D7EC5">
        <w:rPr>
          <w:rFonts w:cs="Times New Roman"/>
          <w:sz w:val="26"/>
          <w:szCs w:val="26"/>
        </w:rPr>
        <w:t xml:space="preserve">aizstāt </w:t>
      </w:r>
      <w:r>
        <w:rPr>
          <w:rFonts w:cs="Times New Roman"/>
          <w:sz w:val="26"/>
          <w:szCs w:val="26"/>
        </w:rPr>
        <w:t>22.</w:t>
      </w:r>
      <w:r w:rsidRPr="00E741BD">
        <w:rPr>
          <w:rFonts w:cs="Times New Roman"/>
          <w:sz w:val="26"/>
          <w:szCs w:val="26"/>
          <w:vertAlign w:val="superscript"/>
        </w:rPr>
        <w:t>3</w:t>
      </w:r>
      <w:r>
        <w:rPr>
          <w:rFonts w:cs="Times New Roman"/>
          <w:sz w:val="26"/>
          <w:szCs w:val="26"/>
        </w:rPr>
        <w:t xml:space="preserve"> </w:t>
      </w:r>
      <w:r w:rsidR="006D5BF1">
        <w:rPr>
          <w:rFonts w:cs="Times New Roman"/>
          <w:sz w:val="26"/>
          <w:szCs w:val="26"/>
        </w:rPr>
        <w:t>punktā vārdus</w:t>
      </w:r>
      <w:r w:rsidR="00AF259F">
        <w:rPr>
          <w:rFonts w:cs="Times New Roman"/>
          <w:sz w:val="26"/>
          <w:szCs w:val="26"/>
        </w:rPr>
        <w:t xml:space="preserve"> un skaitļus</w:t>
      </w:r>
      <w:r w:rsidR="006D5BF1">
        <w:rPr>
          <w:rFonts w:cs="Times New Roman"/>
          <w:sz w:val="26"/>
          <w:szCs w:val="26"/>
        </w:rPr>
        <w:t xml:space="preserve"> “</w:t>
      </w:r>
      <w:r w:rsidR="006D5BF1" w:rsidRPr="006D5BF1">
        <w:rPr>
          <w:rFonts w:cs="Times New Roman"/>
          <w:sz w:val="26"/>
          <w:szCs w:val="26"/>
        </w:rPr>
        <w:t>pievienota bioetanola 4,5–5 tilpumprocentu apmērā no kopējā benzīna tilpuma un bez pievienotas biodīzeļdegvielas 4,5–5 tilpumprocentu apmērā no kopējā dīzeļdegvielas apjoma</w:t>
      </w:r>
      <w:r w:rsidR="006D5BF1">
        <w:rPr>
          <w:rFonts w:cs="Times New Roman"/>
          <w:sz w:val="26"/>
          <w:szCs w:val="26"/>
        </w:rPr>
        <w:t xml:space="preserve">” ar vārdu “biodegvielas”; </w:t>
      </w:r>
    </w:p>
    <w:bookmarkEnd w:id="13"/>
    <w:p w14:paraId="3C0F67EB" w14:textId="36127B63" w:rsidR="004017DD" w:rsidRDefault="004017DD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7E1456B5" w14:textId="1DCA52AB" w:rsidR="004017DD" w:rsidRDefault="004017DD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</w:t>
      </w:r>
      <w:r w:rsidR="005E6813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 xml:space="preserve">. </w:t>
      </w:r>
      <w:r w:rsidRPr="004017DD">
        <w:rPr>
          <w:rFonts w:cs="Times New Roman"/>
          <w:sz w:val="26"/>
          <w:szCs w:val="26"/>
        </w:rPr>
        <w:t xml:space="preserve">papildināt </w:t>
      </w:r>
      <w:r>
        <w:rPr>
          <w:rFonts w:cs="Times New Roman"/>
          <w:sz w:val="26"/>
          <w:szCs w:val="26"/>
        </w:rPr>
        <w:t>VI</w:t>
      </w:r>
      <w:r w:rsidRPr="004017DD">
        <w:rPr>
          <w:rFonts w:cs="Times New Roman"/>
          <w:sz w:val="26"/>
          <w:szCs w:val="26"/>
        </w:rPr>
        <w:t xml:space="preserve"> nodaļu ar </w:t>
      </w:r>
      <w:r>
        <w:rPr>
          <w:rFonts w:cs="Times New Roman"/>
          <w:sz w:val="26"/>
          <w:szCs w:val="26"/>
        </w:rPr>
        <w:t>33.</w:t>
      </w:r>
      <w:r w:rsidRPr="004017DD">
        <w:rPr>
          <w:rFonts w:cs="Times New Roman"/>
          <w:sz w:val="26"/>
          <w:szCs w:val="26"/>
        </w:rPr>
        <w:t>punktu šādā redakcijā:</w:t>
      </w:r>
    </w:p>
    <w:p w14:paraId="215C2222" w14:textId="2670C8C7" w:rsidR="004017DD" w:rsidRDefault="004017DD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1842C5E4" w14:textId="500610C4" w:rsidR="004017DD" w:rsidRDefault="004017DD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“33. </w:t>
      </w:r>
      <w:bookmarkStart w:id="14" w:name="_Hlk19178006"/>
      <w:r w:rsidRPr="004017DD">
        <w:rPr>
          <w:rFonts w:cs="Times New Roman"/>
          <w:sz w:val="26"/>
          <w:szCs w:val="26"/>
        </w:rPr>
        <w:t xml:space="preserve">Valsts ieņēmumu dienests </w:t>
      </w:r>
      <w:r w:rsidR="003636E9">
        <w:rPr>
          <w:rFonts w:cs="Times New Roman"/>
          <w:sz w:val="26"/>
          <w:szCs w:val="26"/>
        </w:rPr>
        <w:t>pēc Būvniecības valsts kontroles biroja pieprasījuma sniedz tam pieejamo informāciju par veiktajām</w:t>
      </w:r>
      <w:bookmarkEnd w:id="14"/>
      <w:r w:rsidR="002D54BB">
        <w:rPr>
          <w:rFonts w:cs="Times New Roman"/>
          <w:sz w:val="26"/>
          <w:szCs w:val="26"/>
        </w:rPr>
        <w:t xml:space="preserve"> degvielas</w:t>
      </w:r>
      <w:r w:rsidR="008F3FF9" w:rsidRPr="008F3FF9">
        <w:rPr>
          <w:rFonts w:cs="Times New Roman"/>
          <w:sz w:val="26"/>
          <w:szCs w:val="26"/>
        </w:rPr>
        <w:t xml:space="preserve"> kvalitātes pārbaudēm</w:t>
      </w:r>
      <w:r w:rsidR="003636E9">
        <w:rPr>
          <w:rFonts w:cs="Times New Roman"/>
          <w:sz w:val="26"/>
          <w:szCs w:val="26"/>
        </w:rPr>
        <w:t>.</w:t>
      </w:r>
      <w:r w:rsidR="008F3FF9">
        <w:rPr>
          <w:rFonts w:cs="Times New Roman"/>
          <w:sz w:val="26"/>
          <w:szCs w:val="26"/>
        </w:rPr>
        <w:t>”</w:t>
      </w:r>
      <w:r w:rsidR="0081387B">
        <w:rPr>
          <w:rFonts w:cs="Times New Roman"/>
          <w:sz w:val="26"/>
          <w:szCs w:val="26"/>
        </w:rPr>
        <w:t xml:space="preserve">; </w:t>
      </w:r>
    </w:p>
    <w:p w14:paraId="14F07C72" w14:textId="68E2CED2" w:rsidR="003636E9" w:rsidRDefault="003636E9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60252AF9" w14:textId="18DA675A" w:rsidR="003636E9" w:rsidRDefault="003636E9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</w:t>
      </w:r>
      <w:r w:rsidR="005E6813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 xml:space="preserve">. </w:t>
      </w:r>
      <w:r w:rsidRPr="003636E9">
        <w:rPr>
          <w:rFonts w:cs="Times New Roman"/>
          <w:sz w:val="26"/>
          <w:szCs w:val="26"/>
        </w:rPr>
        <w:t>papildināt VI nodaļu ar 3</w:t>
      </w:r>
      <w:r>
        <w:rPr>
          <w:rFonts w:cs="Times New Roman"/>
          <w:sz w:val="26"/>
          <w:szCs w:val="26"/>
        </w:rPr>
        <w:t>4</w:t>
      </w:r>
      <w:r w:rsidRPr="003636E9">
        <w:rPr>
          <w:rFonts w:cs="Times New Roman"/>
          <w:sz w:val="26"/>
          <w:szCs w:val="26"/>
        </w:rPr>
        <w:t>.punktu šādā redakcijā:</w:t>
      </w:r>
    </w:p>
    <w:p w14:paraId="195EA42B" w14:textId="47586505" w:rsidR="003636E9" w:rsidRDefault="003636E9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2528463D" w14:textId="258E2EC0" w:rsidR="003636E9" w:rsidRDefault="003636E9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“</w:t>
      </w:r>
      <w:r w:rsidR="00943236">
        <w:rPr>
          <w:rFonts w:cs="Times New Roman"/>
          <w:sz w:val="26"/>
          <w:szCs w:val="26"/>
        </w:rPr>
        <w:t xml:space="preserve">34. </w:t>
      </w:r>
      <w:r>
        <w:rPr>
          <w:rFonts w:cs="Times New Roman"/>
          <w:sz w:val="26"/>
          <w:szCs w:val="26"/>
        </w:rPr>
        <w:t>Šo noteikumu 8.</w:t>
      </w:r>
      <w:r w:rsidRPr="003636E9">
        <w:rPr>
          <w:rFonts w:cs="Times New Roman"/>
          <w:sz w:val="26"/>
          <w:szCs w:val="26"/>
          <w:vertAlign w:val="superscript"/>
        </w:rPr>
        <w:t>1</w:t>
      </w:r>
      <w:r>
        <w:rPr>
          <w:rFonts w:cs="Times New Roman"/>
          <w:sz w:val="26"/>
          <w:szCs w:val="26"/>
          <w:vertAlign w:val="superscript"/>
        </w:rPr>
        <w:t xml:space="preserve"> </w:t>
      </w:r>
      <w:r>
        <w:rPr>
          <w:rFonts w:cs="Times New Roman"/>
          <w:sz w:val="26"/>
          <w:szCs w:val="26"/>
        </w:rPr>
        <w:t xml:space="preserve">punktā minētās prasības neattiecas uz </w:t>
      </w:r>
      <w:r w:rsidR="000C7403">
        <w:rPr>
          <w:rFonts w:cs="Times New Roman"/>
          <w:sz w:val="26"/>
          <w:szCs w:val="26"/>
        </w:rPr>
        <w:t>95.markas benzīnu, kura realizācija mazumtirdzniecībā uzsākta pirms 2020.gada 1.janvāra.</w:t>
      </w:r>
      <w:r>
        <w:rPr>
          <w:rFonts w:cs="Times New Roman"/>
          <w:sz w:val="26"/>
          <w:szCs w:val="26"/>
        </w:rPr>
        <w:t>”</w:t>
      </w:r>
    </w:p>
    <w:p w14:paraId="29A7AAF9" w14:textId="2056C88F" w:rsidR="00A2661E" w:rsidRDefault="00A2661E" w:rsidP="00713583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3608E2B3" w14:textId="729B68E0" w:rsidR="00A2661E" w:rsidRPr="00CB7B31" w:rsidRDefault="00A2661E" w:rsidP="00A2661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953D96">
        <w:rPr>
          <w:rFonts w:cs="Times New Roman"/>
          <w:sz w:val="26"/>
          <w:szCs w:val="26"/>
        </w:rPr>
        <w:t>1</w:t>
      </w:r>
      <w:r w:rsidR="005E6813">
        <w:rPr>
          <w:rFonts w:cs="Times New Roman"/>
          <w:sz w:val="26"/>
          <w:szCs w:val="26"/>
        </w:rPr>
        <w:t>5</w:t>
      </w:r>
      <w:r w:rsidRPr="00831B7A">
        <w:rPr>
          <w:rFonts w:cs="Times New Roman"/>
          <w:sz w:val="26"/>
          <w:szCs w:val="26"/>
        </w:rPr>
        <w:t xml:space="preserve">. </w:t>
      </w:r>
      <w:r w:rsidR="003C1E6E">
        <w:rPr>
          <w:rFonts w:cs="Times New Roman"/>
          <w:sz w:val="26"/>
          <w:szCs w:val="26"/>
        </w:rPr>
        <w:t>izteikt</w:t>
      </w:r>
      <w:r w:rsidR="003C1E6E" w:rsidRPr="00CB7B31">
        <w:rPr>
          <w:rFonts w:cs="Times New Roman"/>
          <w:sz w:val="26"/>
          <w:szCs w:val="26"/>
        </w:rPr>
        <w:t xml:space="preserve"> </w:t>
      </w:r>
      <w:r w:rsidRPr="00CB7B31">
        <w:rPr>
          <w:rFonts w:cs="Times New Roman"/>
          <w:sz w:val="26"/>
          <w:szCs w:val="26"/>
        </w:rPr>
        <w:t xml:space="preserve">informatīvo atsauci uz Eiropas Savienības direktīvām šādā redakcijā: </w:t>
      </w:r>
    </w:p>
    <w:p w14:paraId="0DEDC85E" w14:textId="77777777" w:rsidR="00A2661E" w:rsidRPr="00CB7B31" w:rsidRDefault="00A2661E" w:rsidP="006A6010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3A74C3E0" w14:textId="643E33A0" w:rsidR="003C1E6E" w:rsidRPr="003C1E6E" w:rsidRDefault="003C1E6E" w:rsidP="00871326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5" w:name="_Hlk17285673"/>
      <w:r w:rsidRPr="00F61467">
        <w:rPr>
          <w:rFonts w:eastAsiaTheme="minorEastAsia"/>
          <w:sz w:val="26"/>
          <w:szCs w:val="26"/>
        </w:rPr>
        <w:t>“</w:t>
      </w:r>
      <w:r w:rsidRPr="003C1E6E">
        <w:rPr>
          <w:sz w:val="26"/>
          <w:szCs w:val="26"/>
        </w:rPr>
        <w:t>1) Eiropas Parlamenta un Padomes 1998.gada 13.oktobra Direktīvas </w:t>
      </w:r>
      <w:hyperlink r:id="rId8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98/70/EK</w:t>
        </w:r>
      </w:hyperlink>
      <w:r w:rsidRPr="003C1E6E">
        <w:rPr>
          <w:sz w:val="26"/>
          <w:szCs w:val="26"/>
        </w:rPr>
        <w:t>, kas attiecas uz benzīna un dīzeļdegvielas kvalitāti un ar ko groza Padomes Direktīvu </w:t>
      </w:r>
      <w:hyperlink r:id="rId9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93/12/EEK</w:t>
        </w:r>
      </w:hyperlink>
      <w:r w:rsidRPr="003C1E6E">
        <w:rPr>
          <w:sz w:val="26"/>
          <w:szCs w:val="26"/>
        </w:rPr>
        <w:t>;</w:t>
      </w:r>
    </w:p>
    <w:p w14:paraId="2C8B425E" w14:textId="77777777" w:rsidR="003C1E6E" w:rsidRPr="003C1E6E" w:rsidRDefault="003C1E6E" w:rsidP="00871326">
      <w:pPr>
        <w:pStyle w:val="tv2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E6E">
        <w:rPr>
          <w:sz w:val="26"/>
          <w:szCs w:val="26"/>
        </w:rPr>
        <w:lastRenderedPageBreak/>
        <w:t>2) Komisijas 2000.gada 7.novembra Direktīvas </w:t>
      </w:r>
      <w:hyperlink r:id="rId10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2000/71/EK</w:t>
        </w:r>
      </w:hyperlink>
      <w:r w:rsidRPr="003C1E6E">
        <w:rPr>
          <w:sz w:val="26"/>
          <w:szCs w:val="26"/>
        </w:rPr>
        <w:t>, ar ko Eiropas Parlamenta un Padomes Direktīvas </w:t>
      </w:r>
      <w:hyperlink r:id="rId11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98/70/EK</w:t>
        </w:r>
      </w:hyperlink>
      <w:r w:rsidRPr="003C1E6E">
        <w:rPr>
          <w:sz w:val="26"/>
          <w:szCs w:val="26"/>
        </w:rPr>
        <w:t> I, II, III un IV pielikumā izklāstītās mērīšanas metodes pielāgo tehnikas attīstībai, kā paredzēts minētās direktīvas 10.pantā (dokuments attiecas uz EEZ);</w:t>
      </w:r>
    </w:p>
    <w:p w14:paraId="757DC964" w14:textId="77777777" w:rsidR="003C1E6E" w:rsidRPr="003C1E6E" w:rsidRDefault="003C1E6E" w:rsidP="00871326">
      <w:pPr>
        <w:pStyle w:val="tv2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E6E">
        <w:rPr>
          <w:sz w:val="26"/>
          <w:szCs w:val="26"/>
        </w:rPr>
        <w:t>3) Eiropas Parlamenta un Padomes 2003.gada 3.marta Direktīvas </w:t>
      </w:r>
      <w:hyperlink r:id="rId12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2003/17/EK</w:t>
        </w:r>
      </w:hyperlink>
      <w:r w:rsidRPr="003C1E6E">
        <w:rPr>
          <w:sz w:val="26"/>
          <w:szCs w:val="26"/>
        </w:rPr>
        <w:t>, ar ko groza Direktīvu </w:t>
      </w:r>
      <w:hyperlink r:id="rId13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98/70/EK</w:t>
        </w:r>
      </w:hyperlink>
      <w:r w:rsidRPr="003C1E6E">
        <w:rPr>
          <w:sz w:val="26"/>
          <w:szCs w:val="26"/>
        </w:rPr>
        <w:t>, kas attiecas uz benzīna un dīzeļdegvielas kvalitāti (Dokuments attiecas uz EEZ);</w:t>
      </w:r>
    </w:p>
    <w:p w14:paraId="75A3F8D6" w14:textId="77777777" w:rsidR="003C1E6E" w:rsidRPr="003C1E6E" w:rsidRDefault="003C1E6E" w:rsidP="00871326">
      <w:pPr>
        <w:pStyle w:val="tv2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E6E">
        <w:rPr>
          <w:sz w:val="26"/>
          <w:szCs w:val="26"/>
        </w:rPr>
        <w:t>4) Eiropas Parlamenta un Padomes 2009.gada 23.aprīļa Direktīvas </w:t>
      </w:r>
      <w:hyperlink r:id="rId14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2009/30/EK</w:t>
        </w:r>
      </w:hyperlink>
      <w:r w:rsidRPr="003C1E6E">
        <w:rPr>
          <w:sz w:val="26"/>
          <w:szCs w:val="26"/>
        </w:rPr>
        <w:t>, ar ko groza Direktīvu </w:t>
      </w:r>
      <w:hyperlink r:id="rId15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98/70/EK</w:t>
        </w:r>
      </w:hyperlink>
      <w:r w:rsidRPr="003C1E6E">
        <w:rPr>
          <w:sz w:val="26"/>
          <w:szCs w:val="26"/>
        </w:rPr>
        <w:t> attiecībā uz benzīna, dīzeļdegvielas un gāzeļļas specifikācijām un ievieš mehānismu autotransporta līdzekļos lietojamās degvielas radītās siltumnīcefekta gāzu emisijas kontrolei un samazināšanai, groza Padomes Direktīvu </w:t>
      </w:r>
      <w:hyperlink r:id="rId16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1999/32/EK</w:t>
        </w:r>
      </w:hyperlink>
      <w:r w:rsidRPr="003C1E6E">
        <w:rPr>
          <w:sz w:val="26"/>
          <w:szCs w:val="26"/>
        </w:rPr>
        <w:t> attiecībā uz tās degvielas specifikācijām, kuru lieto iekšējo ūdensceļu kuģos, un atceļ Direktīvu </w:t>
      </w:r>
      <w:hyperlink r:id="rId17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93/12/EEK</w:t>
        </w:r>
      </w:hyperlink>
      <w:r w:rsidRPr="003C1E6E">
        <w:rPr>
          <w:sz w:val="26"/>
          <w:szCs w:val="26"/>
        </w:rPr>
        <w:t>;</w:t>
      </w:r>
    </w:p>
    <w:p w14:paraId="2E8E1F28" w14:textId="77777777" w:rsidR="003C1E6E" w:rsidRPr="003C1E6E" w:rsidRDefault="003C1E6E" w:rsidP="00871326">
      <w:pPr>
        <w:pStyle w:val="tv2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E6E">
        <w:rPr>
          <w:sz w:val="26"/>
          <w:szCs w:val="26"/>
        </w:rPr>
        <w:t>5) Komisijas 2011.gada 1.jūnija Direktīvas </w:t>
      </w:r>
      <w:hyperlink r:id="rId18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2011/63/ES</w:t>
        </w:r>
      </w:hyperlink>
      <w:r w:rsidRPr="003C1E6E">
        <w:rPr>
          <w:sz w:val="26"/>
          <w:szCs w:val="26"/>
        </w:rPr>
        <w:t>, ar kuru, pielāgojot tehnikas attīstībai, groza Eiropas Parlamenta un Padomes Direktīvu </w:t>
      </w:r>
      <w:hyperlink r:id="rId19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98/70/EK</w:t>
        </w:r>
      </w:hyperlink>
      <w:r w:rsidRPr="003C1E6E">
        <w:rPr>
          <w:sz w:val="26"/>
          <w:szCs w:val="26"/>
        </w:rPr>
        <w:t>, kas attiecas uz benzīna un dīzeļdegvielu kvalitāti;</w:t>
      </w:r>
    </w:p>
    <w:p w14:paraId="1D4E0D49" w14:textId="77777777" w:rsidR="003C1E6E" w:rsidRPr="003C1E6E" w:rsidRDefault="003C1E6E" w:rsidP="00871326">
      <w:pPr>
        <w:pStyle w:val="tv2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E6E">
        <w:rPr>
          <w:sz w:val="26"/>
          <w:szCs w:val="26"/>
        </w:rPr>
        <w:t>6) Komisijas 2014. gada 10. jūnija Direktīvas </w:t>
      </w:r>
      <w:hyperlink r:id="rId20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2014/77/ES</w:t>
        </w:r>
      </w:hyperlink>
      <w:r w:rsidRPr="003C1E6E">
        <w:rPr>
          <w:sz w:val="26"/>
          <w:szCs w:val="26"/>
        </w:rPr>
        <w:t>, ar kuru groza Eiropas Parlamenta un Padomes Direktīvas </w:t>
      </w:r>
      <w:hyperlink r:id="rId21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98/70/EK</w:t>
        </w:r>
      </w:hyperlink>
      <w:r w:rsidRPr="003C1E6E">
        <w:rPr>
          <w:sz w:val="26"/>
          <w:szCs w:val="26"/>
        </w:rPr>
        <w:t> I un II pielikumu, kas attiecas uz benzīna un dīzeļdegvielu kvalitāti;</w:t>
      </w:r>
    </w:p>
    <w:p w14:paraId="5660757F" w14:textId="77777777" w:rsidR="003C1E6E" w:rsidRPr="003C1E6E" w:rsidRDefault="003C1E6E" w:rsidP="00871326">
      <w:pPr>
        <w:shd w:val="clear" w:color="auto" w:fill="FFFFFF"/>
        <w:jc w:val="both"/>
        <w:rPr>
          <w:rFonts w:cs="Times New Roman"/>
          <w:sz w:val="26"/>
          <w:szCs w:val="26"/>
        </w:rPr>
      </w:pPr>
      <w:r w:rsidRPr="003C1E6E">
        <w:rPr>
          <w:rFonts w:cs="Times New Roman"/>
          <w:sz w:val="26"/>
          <w:szCs w:val="26"/>
        </w:rPr>
        <w:t xml:space="preserve">7) Eiropas Parlamenta un Padomes 2014. gada 22. oktobra Direktīva </w:t>
      </w:r>
      <w:r w:rsidRPr="009F175A">
        <w:rPr>
          <w:rFonts w:cs="Times New Roman"/>
          <w:sz w:val="26"/>
          <w:szCs w:val="26"/>
        </w:rPr>
        <w:t>2014/94/ES</w:t>
      </w:r>
      <w:r w:rsidRPr="003C1E6E">
        <w:rPr>
          <w:rFonts w:cs="Times New Roman"/>
          <w:sz w:val="26"/>
          <w:szCs w:val="26"/>
        </w:rPr>
        <w:t xml:space="preserve"> par alternatīvo degvielu infrastruktūras ieviešanu;</w:t>
      </w:r>
    </w:p>
    <w:p w14:paraId="4D886A05" w14:textId="65FDA15C" w:rsidR="003C1E6E" w:rsidRPr="003C1E6E" w:rsidRDefault="003C1E6E" w:rsidP="00871326">
      <w:pPr>
        <w:pStyle w:val="tv2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E6E">
        <w:rPr>
          <w:sz w:val="26"/>
          <w:szCs w:val="26"/>
        </w:rPr>
        <w:t>8) Eiropas Parlamenta un Padomes 2015. gada 9. septembra Direktīvas (ES) </w:t>
      </w:r>
      <w:hyperlink r:id="rId22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2015/1513</w:t>
        </w:r>
      </w:hyperlink>
      <w:r w:rsidRPr="003C1E6E">
        <w:rPr>
          <w:sz w:val="26"/>
          <w:szCs w:val="26"/>
        </w:rPr>
        <w:t>, ar kuru groza Direktīvu </w:t>
      </w:r>
      <w:hyperlink r:id="rId23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98/70/EK</w:t>
        </w:r>
      </w:hyperlink>
      <w:r w:rsidRPr="003C1E6E">
        <w:rPr>
          <w:sz w:val="26"/>
          <w:szCs w:val="26"/>
        </w:rPr>
        <w:t>, kas attiecas uz benzīna un dīzeļdegvielu kvalitāti, un Direktīvu </w:t>
      </w:r>
      <w:hyperlink r:id="rId24" w:tgtFrame="_blank" w:history="1">
        <w:r w:rsidRPr="003C1E6E">
          <w:rPr>
            <w:rStyle w:val="Hyperlink"/>
            <w:color w:val="auto"/>
            <w:sz w:val="26"/>
            <w:szCs w:val="26"/>
            <w:u w:val="none"/>
          </w:rPr>
          <w:t>2009/28/EK</w:t>
        </w:r>
      </w:hyperlink>
      <w:r w:rsidRPr="003C1E6E">
        <w:rPr>
          <w:sz w:val="26"/>
          <w:szCs w:val="26"/>
        </w:rPr>
        <w:t> par atjaunojamo energoresursu izmantošanas veicināšanu</w:t>
      </w:r>
      <w:r>
        <w:rPr>
          <w:sz w:val="26"/>
          <w:szCs w:val="26"/>
        </w:rPr>
        <w:t>.”</w:t>
      </w:r>
      <w:r w:rsidR="00583AF0">
        <w:rPr>
          <w:sz w:val="26"/>
          <w:szCs w:val="26"/>
        </w:rPr>
        <w:t>;</w:t>
      </w:r>
    </w:p>
    <w:bookmarkEnd w:id="15"/>
    <w:p w14:paraId="3C58CEF8" w14:textId="77777777" w:rsidR="00A2661E" w:rsidRDefault="00A2661E" w:rsidP="005E22AD">
      <w:pPr>
        <w:shd w:val="clear" w:color="auto" w:fill="FFFFFF"/>
        <w:jc w:val="both"/>
        <w:rPr>
          <w:rFonts w:cs="Times New Roman"/>
          <w:sz w:val="26"/>
          <w:szCs w:val="26"/>
        </w:rPr>
      </w:pPr>
    </w:p>
    <w:bookmarkEnd w:id="12"/>
    <w:p w14:paraId="77592813" w14:textId="33B3DC46" w:rsidR="003C1E6E" w:rsidRDefault="000A3782" w:rsidP="003C1E6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C62CFF">
        <w:rPr>
          <w:rFonts w:cs="Times New Roman"/>
          <w:sz w:val="26"/>
          <w:szCs w:val="26"/>
        </w:rPr>
        <w:t>1.</w:t>
      </w:r>
      <w:r w:rsidR="00953D96">
        <w:rPr>
          <w:rFonts w:cs="Times New Roman"/>
          <w:sz w:val="26"/>
          <w:szCs w:val="26"/>
        </w:rPr>
        <w:t>1</w:t>
      </w:r>
      <w:r w:rsidR="005E6813">
        <w:rPr>
          <w:rFonts w:cs="Times New Roman"/>
          <w:sz w:val="26"/>
          <w:szCs w:val="26"/>
        </w:rPr>
        <w:t>6</w:t>
      </w:r>
      <w:r w:rsidRPr="00C62CFF">
        <w:rPr>
          <w:rFonts w:cs="Times New Roman"/>
          <w:sz w:val="26"/>
          <w:szCs w:val="26"/>
        </w:rPr>
        <w:t>.</w:t>
      </w:r>
      <w:r w:rsidR="005B164C">
        <w:rPr>
          <w:rFonts w:cs="Times New Roman"/>
          <w:sz w:val="26"/>
          <w:szCs w:val="26"/>
        </w:rPr>
        <w:t xml:space="preserve"> </w:t>
      </w:r>
      <w:r w:rsidRPr="00C62CFF">
        <w:rPr>
          <w:rFonts w:cs="Times New Roman"/>
          <w:sz w:val="26"/>
          <w:szCs w:val="26"/>
        </w:rPr>
        <w:t>izteikt 1.</w:t>
      </w:r>
      <w:r w:rsidR="00BD0E9C">
        <w:rPr>
          <w:rFonts w:cs="Times New Roman"/>
          <w:sz w:val="26"/>
          <w:szCs w:val="26"/>
        </w:rPr>
        <w:t xml:space="preserve"> un 2.</w:t>
      </w:r>
      <w:r w:rsidR="00BD0E9C" w:rsidRPr="00B660B9">
        <w:rPr>
          <w:rFonts w:cs="Times New Roman"/>
          <w:sz w:val="26"/>
          <w:szCs w:val="26"/>
          <w:vertAlign w:val="superscript"/>
        </w:rPr>
        <w:t xml:space="preserve"> </w:t>
      </w:r>
      <w:r w:rsidRPr="00C62CFF">
        <w:rPr>
          <w:rFonts w:cs="Times New Roman"/>
          <w:sz w:val="26"/>
          <w:szCs w:val="26"/>
        </w:rPr>
        <w:t>pielikumu šādā redakcijā:</w:t>
      </w:r>
    </w:p>
    <w:p w14:paraId="3189E326" w14:textId="446103F8" w:rsidR="000A3782" w:rsidRPr="006625B8" w:rsidRDefault="000A3782" w:rsidP="00952581">
      <w:pPr>
        <w:pStyle w:val="naisf"/>
        <w:spacing w:before="0" w:after="0"/>
        <w:jc w:val="right"/>
        <w:rPr>
          <w:bCs/>
          <w:sz w:val="26"/>
          <w:szCs w:val="26"/>
        </w:rPr>
      </w:pPr>
      <w:r w:rsidRPr="006625B8">
        <w:rPr>
          <w:bCs/>
          <w:sz w:val="26"/>
          <w:szCs w:val="26"/>
        </w:rPr>
        <w:t>1.pielikums</w:t>
      </w:r>
    </w:p>
    <w:p w14:paraId="7966200D" w14:textId="2A27C25A" w:rsidR="000A31D8" w:rsidRPr="006625B8" w:rsidRDefault="000A31D8" w:rsidP="00952581">
      <w:pPr>
        <w:pStyle w:val="naisf"/>
        <w:spacing w:before="0" w:after="0"/>
        <w:jc w:val="right"/>
        <w:rPr>
          <w:bCs/>
          <w:sz w:val="26"/>
          <w:szCs w:val="26"/>
        </w:rPr>
      </w:pPr>
      <w:r w:rsidRPr="006625B8">
        <w:rPr>
          <w:sz w:val="26"/>
          <w:szCs w:val="26"/>
        </w:rPr>
        <w:t xml:space="preserve">Ministru kabineta </w:t>
      </w:r>
      <w:r w:rsidRPr="006625B8">
        <w:rPr>
          <w:sz w:val="26"/>
          <w:szCs w:val="26"/>
        </w:rPr>
        <w:br/>
        <w:t>2000.</w:t>
      </w:r>
      <w:r w:rsidR="00DC77AA">
        <w:rPr>
          <w:sz w:val="26"/>
          <w:szCs w:val="26"/>
        </w:rPr>
        <w:t> </w:t>
      </w:r>
      <w:r w:rsidRPr="006625B8">
        <w:rPr>
          <w:sz w:val="26"/>
          <w:szCs w:val="26"/>
        </w:rPr>
        <w:t>gada 26.</w:t>
      </w:r>
      <w:r w:rsidR="00DC77AA">
        <w:rPr>
          <w:sz w:val="26"/>
          <w:szCs w:val="26"/>
        </w:rPr>
        <w:t> </w:t>
      </w:r>
      <w:r w:rsidRPr="006625B8">
        <w:rPr>
          <w:sz w:val="26"/>
          <w:szCs w:val="26"/>
        </w:rPr>
        <w:t xml:space="preserve">septembra </w:t>
      </w:r>
      <w:r w:rsidRPr="006625B8">
        <w:rPr>
          <w:sz w:val="26"/>
          <w:szCs w:val="26"/>
        </w:rPr>
        <w:br/>
        <w:t>noteikumiem Nr.</w:t>
      </w:r>
      <w:r w:rsidR="009F1050">
        <w:rPr>
          <w:sz w:val="26"/>
          <w:szCs w:val="26"/>
        </w:rPr>
        <w:t xml:space="preserve"> </w:t>
      </w:r>
      <w:r w:rsidRPr="006625B8">
        <w:rPr>
          <w:sz w:val="26"/>
          <w:szCs w:val="26"/>
        </w:rPr>
        <w:t>332</w:t>
      </w:r>
    </w:p>
    <w:p w14:paraId="11DBF71C" w14:textId="77777777" w:rsidR="000A3782" w:rsidRPr="006625B8" w:rsidRDefault="000A3782" w:rsidP="006A6010">
      <w:pPr>
        <w:pStyle w:val="naisf"/>
        <w:spacing w:before="0" w:after="0"/>
        <w:ind w:firstLine="0"/>
        <w:jc w:val="right"/>
        <w:rPr>
          <w:b/>
          <w:bCs/>
          <w:sz w:val="26"/>
          <w:szCs w:val="26"/>
        </w:rPr>
      </w:pPr>
    </w:p>
    <w:p w14:paraId="3EA39988" w14:textId="77777777" w:rsidR="000A3782" w:rsidRPr="006625B8" w:rsidRDefault="000A3782" w:rsidP="00952581">
      <w:pPr>
        <w:pStyle w:val="naisf"/>
        <w:spacing w:before="0" w:after="0"/>
        <w:ind w:firstLine="0"/>
        <w:jc w:val="center"/>
        <w:rPr>
          <w:b/>
          <w:bCs/>
          <w:sz w:val="26"/>
          <w:szCs w:val="26"/>
        </w:rPr>
      </w:pPr>
      <w:r w:rsidRPr="006625B8">
        <w:rPr>
          <w:b/>
          <w:bCs/>
          <w:sz w:val="26"/>
          <w:szCs w:val="26"/>
        </w:rPr>
        <w:t xml:space="preserve">Kvalitātes prasības svinu nesaturošam benzīnam </w:t>
      </w:r>
    </w:p>
    <w:p w14:paraId="7FA0F198" w14:textId="77777777" w:rsidR="000A3782" w:rsidRPr="006625B8" w:rsidRDefault="000A3782" w:rsidP="00952581">
      <w:pPr>
        <w:pStyle w:val="naisf"/>
        <w:spacing w:before="0" w:after="0"/>
        <w:ind w:firstLine="0"/>
        <w:rPr>
          <w:bCs/>
          <w:sz w:val="26"/>
          <w:szCs w:val="26"/>
        </w:rPr>
      </w:pP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9"/>
        <w:gridCol w:w="1636"/>
        <w:gridCol w:w="1636"/>
        <w:gridCol w:w="1750"/>
      </w:tblGrid>
      <w:tr w:rsidR="00441852" w:rsidRPr="006625B8" w14:paraId="0D6AB99C" w14:textId="77777777" w:rsidTr="003C1E6E">
        <w:trPr>
          <w:trHeight w:val="293"/>
        </w:trPr>
        <w:tc>
          <w:tcPr>
            <w:tcW w:w="4019" w:type="dxa"/>
            <w:vMerge w:val="restart"/>
          </w:tcPr>
          <w:p w14:paraId="1B9D543F" w14:textId="03F54232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 xml:space="preserve">Parametrs </w:t>
            </w:r>
            <w:r w:rsidRPr="006625B8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36" w:type="dxa"/>
            <w:vMerge w:val="restart"/>
          </w:tcPr>
          <w:p w14:paraId="7DB5A271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Mērvienība</w:t>
            </w:r>
          </w:p>
        </w:tc>
        <w:tc>
          <w:tcPr>
            <w:tcW w:w="3386" w:type="dxa"/>
            <w:gridSpan w:val="2"/>
          </w:tcPr>
          <w:p w14:paraId="3C25B3AD" w14:textId="721D211B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 xml:space="preserve">Robežvērtības </w:t>
            </w:r>
            <w:r w:rsidRPr="006625B8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441852" w:rsidRPr="006625B8" w14:paraId="0516F50B" w14:textId="77777777" w:rsidTr="003C1E6E">
        <w:trPr>
          <w:trHeight w:val="293"/>
        </w:trPr>
        <w:tc>
          <w:tcPr>
            <w:tcW w:w="4019" w:type="dxa"/>
            <w:vMerge/>
          </w:tcPr>
          <w:p w14:paraId="2D24215D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14:paraId="5E20C9B2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</w:tcPr>
          <w:p w14:paraId="2AE6947F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Minimālais</w:t>
            </w:r>
          </w:p>
        </w:tc>
        <w:tc>
          <w:tcPr>
            <w:tcW w:w="1749" w:type="dxa"/>
          </w:tcPr>
          <w:p w14:paraId="6ADB9604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Maksimālais</w:t>
            </w:r>
          </w:p>
        </w:tc>
      </w:tr>
      <w:tr w:rsidR="00441852" w:rsidRPr="006625B8" w14:paraId="41885333" w14:textId="77777777" w:rsidTr="003C1E6E">
        <w:trPr>
          <w:trHeight w:val="293"/>
        </w:trPr>
        <w:tc>
          <w:tcPr>
            <w:tcW w:w="4019" w:type="dxa"/>
          </w:tcPr>
          <w:p w14:paraId="4CB4EE2A" w14:textId="77777777" w:rsidR="00441852" w:rsidRPr="005824B6" w:rsidRDefault="00441852" w:rsidP="00D255AD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5824B6">
              <w:rPr>
                <w:sz w:val="26"/>
                <w:szCs w:val="26"/>
              </w:rPr>
              <w:t>Pētnieciskais oktānskaitlis, POS</w:t>
            </w:r>
          </w:p>
        </w:tc>
        <w:tc>
          <w:tcPr>
            <w:tcW w:w="1636" w:type="dxa"/>
          </w:tcPr>
          <w:p w14:paraId="54219E18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</w:tcPr>
          <w:p w14:paraId="28BADA95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95,0</w:t>
            </w:r>
          </w:p>
        </w:tc>
        <w:tc>
          <w:tcPr>
            <w:tcW w:w="1749" w:type="dxa"/>
          </w:tcPr>
          <w:p w14:paraId="23605422" w14:textId="53E738B6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41852" w:rsidRPr="006625B8" w14:paraId="623E3311" w14:textId="77777777" w:rsidTr="003C1E6E">
        <w:trPr>
          <w:trHeight w:val="275"/>
        </w:trPr>
        <w:tc>
          <w:tcPr>
            <w:tcW w:w="4019" w:type="dxa"/>
          </w:tcPr>
          <w:p w14:paraId="02575B69" w14:textId="0FA83DC5" w:rsidR="00C86485" w:rsidRPr="00F202AB" w:rsidRDefault="00441852" w:rsidP="00F202AB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5824B6">
              <w:rPr>
                <w:sz w:val="26"/>
                <w:szCs w:val="26"/>
              </w:rPr>
              <w:t>Motora oktānskaitlis, MOS</w:t>
            </w:r>
          </w:p>
        </w:tc>
        <w:tc>
          <w:tcPr>
            <w:tcW w:w="1636" w:type="dxa"/>
          </w:tcPr>
          <w:p w14:paraId="6C5A83DD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</w:tcPr>
          <w:p w14:paraId="6781A262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85,0</w:t>
            </w:r>
          </w:p>
        </w:tc>
        <w:tc>
          <w:tcPr>
            <w:tcW w:w="1749" w:type="dxa"/>
          </w:tcPr>
          <w:p w14:paraId="733F6623" w14:textId="6877884A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41852" w:rsidRPr="006625B8" w14:paraId="4E540BB8" w14:textId="77777777" w:rsidTr="003C1E6E">
        <w:trPr>
          <w:trHeight w:val="293"/>
        </w:trPr>
        <w:tc>
          <w:tcPr>
            <w:tcW w:w="4019" w:type="dxa"/>
          </w:tcPr>
          <w:p w14:paraId="54FE7BD9" w14:textId="5F94FE34" w:rsidR="00441852" w:rsidRPr="005824B6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5824B6">
              <w:rPr>
                <w:sz w:val="26"/>
                <w:szCs w:val="26"/>
              </w:rPr>
              <w:t>Tvaika spiediens vasaras periodā</w:t>
            </w:r>
            <w:r w:rsidRPr="005824B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6" w:type="dxa"/>
          </w:tcPr>
          <w:p w14:paraId="41E21204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625B8">
              <w:rPr>
                <w:sz w:val="26"/>
                <w:szCs w:val="26"/>
              </w:rPr>
              <w:t>kPa</w:t>
            </w:r>
            <w:proofErr w:type="spellEnd"/>
          </w:p>
        </w:tc>
        <w:tc>
          <w:tcPr>
            <w:tcW w:w="1636" w:type="dxa"/>
          </w:tcPr>
          <w:p w14:paraId="18DA09A8" w14:textId="4CB4677B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</w:tcPr>
          <w:p w14:paraId="7FB14293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70,0</w:t>
            </w:r>
          </w:p>
        </w:tc>
      </w:tr>
      <w:tr w:rsidR="00441852" w:rsidRPr="006625B8" w14:paraId="29BE2B48" w14:textId="77777777" w:rsidTr="003C1E6E">
        <w:trPr>
          <w:trHeight w:val="1629"/>
        </w:trPr>
        <w:tc>
          <w:tcPr>
            <w:tcW w:w="4019" w:type="dxa"/>
          </w:tcPr>
          <w:p w14:paraId="3BC5D58E" w14:textId="77777777" w:rsidR="00441852" w:rsidRPr="005824B6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5824B6">
              <w:rPr>
                <w:sz w:val="26"/>
                <w:szCs w:val="26"/>
              </w:rPr>
              <w:t>Destilācija</w:t>
            </w:r>
          </w:p>
          <w:p w14:paraId="2F9E7AC9" w14:textId="77777777" w:rsidR="00441852" w:rsidRPr="006625B8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- pārtvaicētās degvielas daudzums 100°C temperatūrā</w:t>
            </w:r>
          </w:p>
          <w:p w14:paraId="6DD92E75" w14:textId="77777777" w:rsidR="00441852" w:rsidRPr="006625B8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- pārtvaicētās degvielas daudzums 150°C temperatūrā</w:t>
            </w:r>
          </w:p>
        </w:tc>
        <w:tc>
          <w:tcPr>
            <w:tcW w:w="1636" w:type="dxa"/>
          </w:tcPr>
          <w:p w14:paraId="3FD83C9C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6599FB1F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% V/V</w:t>
            </w:r>
          </w:p>
          <w:p w14:paraId="5F43B4EB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43808159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% V/V</w:t>
            </w:r>
          </w:p>
        </w:tc>
        <w:tc>
          <w:tcPr>
            <w:tcW w:w="1636" w:type="dxa"/>
          </w:tcPr>
          <w:p w14:paraId="33EF1557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7612748F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46,0</w:t>
            </w:r>
          </w:p>
          <w:p w14:paraId="3D0E7681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6EE503B5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75,0</w:t>
            </w:r>
          </w:p>
        </w:tc>
        <w:tc>
          <w:tcPr>
            <w:tcW w:w="1749" w:type="dxa"/>
          </w:tcPr>
          <w:p w14:paraId="6317F927" w14:textId="20AE6D33" w:rsidR="002B1C9F" w:rsidRPr="002B1C9F" w:rsidRDefault="002B1C9F" w:rsidP="002B1C9F">
            <w:pPr>
              <w:rPr>
                <w:lang w:eastAsia="lv-LV"/>
              </w:rPr>
            </w:pPr>
          </w:p>
        </w:tc>
      </w:tr>
      <w:tr w:rsidR="00441852" w:rsidRPr="006625B8" w14:paraId="52CC0D07" w14:textId="77777777" w:rsidTr="003C1E6E">
        <w:trPr>
          <w:trHeight w:val="1155"/>
        </w:trPr>
        <w:tc>
          <w:tcPr>
            <w:tcW w:w="4019" w:type="dxa"/>
          </w:tcPr>
          <w:p w14:paraId="31193B37" w14:textId="77777777" w:rsidR="00441852" w:rsidRPr="005824B6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5824B6">
              <w:rPr>
                <w:sz w:val="26"/>
                <w:szCs w:val="26"/>
              </w:rPr>
              <w:t>Ogļūdeņražu sastāvs</w:t>
            </w:r>
          </w:p>
          <w:p w14:paraId="30016A59" w14:textId="77777777" w:rsidR="00441852" w:rsidRPr="006625B8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 xml:space="preserve">- </w:t>
            </w:r>
            <w:proofErr w:type="spellStart"/>
            <w:r w:rsidRPr="006625B8">
              <w:rPr>
                <w:sz w:val="26"/>
                <w:szCs w:val="26"/>
              </w:rPr>
              <w:t>olefīni</w:t>
            </w:r>
            <w:proofErr w:type="spellEnd"/>
          </w:p>
          <w:p w14:paraId="4159A91B" w14:textId="77777777" w:rsidR="00441852" w:rsidRPr="006625B8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- aromātiskie ogļūdeņraži</w:t>
            </w:r>
          </w:p>
          <w:p w14:paraId="27B9434E" w14:textId="77777777" w:rsidR="00441852" w:rsidRPr="006625B8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- benzols</w:t>
            </w:r>
          </w:p>
        </w:tc>
        <w:tc>
          <w:tcPr>
            <w:tcW w:w="1636" w:type="dxa"/>
          </w:tcPr>
          <w:p w14:paraId="0957E0A7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0B522DEE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% V/V</w:t>
            </w:r>
          </w:p>
          <w:p w14:paraId="6AB8ACF8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% V/V</w:t>
            </w:r>
          </w:p>
          <w:p w14:paraId="49D0980F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% V/V</w:t>
            </w:r>
          </w:p>
        </w:tc>
        <w:tc>
          <w:tcPr>
            <w:tcW w:w="1636" w:type="dxa"/>
          </w:tcPr>
          <w:p w14:paraId="7AB4CEA2" w14:textId="06750FAE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</w:tcPr>
          <w:p w14:paraId="05681138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04694845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18,0</w:t>
            </w:r>
          </w:p>
          <w:p w14:paraId="56063803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35,0</w:t>
            </w:r>
          </w:p>
          <w:p w14:paraId="479FA6BA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1,0</w:t>
            </w:r>
          </w:p>
        </w:tc>
      </w:tr>
      <w:tr w:rsidR="00441852" w:rsidRPr="006625B8" w14:paraId="1C665D16" w14:textId="77777777" w:rsidTr="003C1E6E">
        <w:trPr>
          <w:trHeight w:val="293"/>
        </w:trPr>
        <w:tc>
          <w:tcPr>
            <w:tcW w:w="4019" w:type="dxa"/>
          </w:tcPr>
          <w:p w14:paraId="5C76E91D" w14:textId="77777777" w:rsidR="00441852" w:rsidRPr="005824B6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5824B6">
              <w:rPr>
                <w:sz w:val="26"/>
                <w:szCs w:val="26"/>
              </w:rPr>
              <w:lastRenderedPageBreak/>
              <w:t>Skābekļa saturs</w:t>
            </w:r>
          </w:p>
        </w:tc>
        <w:tc>
          <w:tcPr>
            <w:tcW w:w="1636" w:type="dxa"/>
          </w:tcPr>
          <w:p w14:paraId="58D9E7DB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% m/m</w:t>
            </w:r>
          </w:p>
        </w:tc>
        <w:tc>
          <w:tcPr>
            <w:tcW w:w="1636" w:type="dxa"/>
          </w:tcPr>
          <w:p w14:paraId="3AA0B319" w14:textId="77777777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</w:tcPr>
          <w:p w14:paraId="42038732" w14:textId="3CBF865F" w:rsidR="00441852" w:rsidRPr="006625B8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625B8">
              <w:rPr>
                <w:sz w:val="26"/>
                <w:szCs w:val="26"/>
              </w:rPr>
              <w:t>3,7</w:t>
            </w:r>
          </w:p>
        </w:tc>
      </w:tr>
      <w:tr w:rsidR="008B6217" w:rsidRPr="008B6217" w14:paraId="0B31570C" w14:textId="77777777" w:rsidTr="003C1E6E">
        <w:trPr>
          <w:trHeight w:val="3209"/>
        </w:trPr>
        <w:tc>
          <w:tcPr>
            <w:tcW w:w="4019" w:type="dxa"/>
          </w:tcPr>
          <w:p w14:paraId="1454584D" w14:textId="77777777" w:rsidR="00441852" w:rsidRPr="008B6217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Skābekli saturošie savienojumi</w:t>
            </w:r>
          </w:p>
          <w:p w14:paraId="02CC329B" w14:textId="77777777" w:rsidR="00441852" w:rsidRPr="008B6217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- metanols</w:t>
            </w:r>
          </w:p>
          <w:p w14:paraId="6EBE135C" w14:textId="77777777" w:rsidR="00441852" w:rsidRPr="008B6217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- etanols (var būt jāpievieno stabilizatori)</w:t>
            </w:r>
          </w:p>
          <w:p w14:paraId="0CF9B354" w14:textId="77777777" w:rsidR="00441852" w:rsidRPr="008B6217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 xml:space="preserve">- </w:t>
            </w:r>
            <w:proofErr w:type="spellStart"/>
            <w:r w:rsidRPr="008B6217">
              <w:rPr>
                <w:sz w:val="26"/>
                <w:szCs w:val="26"/>
              </w:rPr>
              <w:t>izopropilspirts</w:t>
            </w:r>
            <w:proofErr w:type="spellEnd"/>
          </w:p>
          <w:p w14:paraId="62614E24" w14:textId="77777777" w:rsidR="00441852" w:rsidRPr="008B6217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 xml:space="preserve">- </w:t>
            </w:r>
            <w:proofErr w:type="spellStart"/>
            <w:r w:rsidRPr="008B6217">
              <w:rPr>
                <w:sz w:val="26"/>
                <w:szCs w:val="26"/>
              </w:rPr>
              <w:t>terc-butilspirts</w:t>
            </w:r>
            <w:proofErr w:type="spellEnd"/>
          </w:p>
          <w:p w14:paraId="49FFB6DC" w14:textId="77777777" w:rsidR="00441852" w:rsidRPr="008B6217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 xml:space="preserve">- </w:t>
            </w:r>
            <w:proofErr w:type="spellStart"/>
            <w:r w:rsidRPr="008B6217">
              <w:rPr>
                <w:sz w:val="26"/>
                <w:szCs w:val="26"/>
              </w:rPr>
              <w:t>izobutilspirts</w:t>
            </w:r>
            <w:proofErr w:type="spellEnd"/>
          </w:p>
          <w:p w14:paraId="7216F275" w14:textId="77777777" w:rsidR="00441852" w:rsidRPr="008B6217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- ēteri, kuru molekulā ir 5 vai vairāk oglekļa atomu</w:t>
            </w:r>
          </w:p>
          <w:p w14:paraId="756058DA" w14:textId="7A21339F" w:rsidR="00441852" w:rsidRPr="008B6217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- citi skābekli saturoši savienojumi</w:t>
            </w:r>
            <w:r w:rsidRPr="008B6217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636" w:type="dxa"/>
          </w:tcPr>
          <w:p w14:paraId="0C3DA832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346A4987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% V/V</w:t>
            </w:r>
          </w:p>
          <w:p w14:paraId="6C937ED5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% V/V</w:t>
            </w:r>
          </w:p>
          <w:p w14:paraId="71759375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% V/V</w:t>
            </w:r>
          </w:p>
          <w:p w14:paraId="46A6E6DD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% V/V</w:t>
            </w:r>
          </w:p>
          <w:p w14:paraId="0BF393C4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% V/V</w:t>
            </w:r>
          </w:p>
          <w:p w14:paraId="1A7873C3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% V/V</w:t>
            </w:r>
          </w:p>
          <w:p w14:paraId="19FDC41A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% V/V</w:t>
            </w:r>
          </w:p>
          <w:p w14:paraId="3758DF21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6774CBFA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% V/V</w:t>
            </w:r>
          </w:p>
          <w:p w14:paraId="06C2319B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</w:tcPr>
          <w:p w14:paraId="62F5BD7B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0872FE0A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3E887DC1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50BCAECC" w14:textId="77777777" w:rsidR="00441852" w:rsidRPr="008B6217" w:rsidRDefault="00441852" w:rsidP="007971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</w:tcPr>
          <w:p w14:paraId="718A9941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6D2647F3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3,0</w:t>
            </w:r>
          </w:p>
          <w:p w14:paraId="70A3207F" w14:textId="580C4309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10,0</w:t>
            </w:r>
          </w:p>
          <w:p w14:paraId="3D22A5A4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75396801" w14:textId="3386DBE4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12,0</w:t>
            </w:r>
          </w:p>
          <w:p w14:paraId="3657EFFD" w14:textId="2B6FD245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15,0</w:t>
            </w:r>
          </w:p>
          <w:p w14:paraId="669EA00A" w14:textId="3753FCA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15,0</w:t>
            </w:r>
          </w:p>
          <w:p w14:paraId="6E6E8562" w14:textId="5BF744F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22,0</w:t>
            </w:r>
          </w:p>
          <w:p w14:paraId="20FFF411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16430692" w14:textId="3199101F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15,0</w:t>
            </w:r>
          </w:p>
          <w:p w14:paraId="245FD313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B6217" w:rsidRPr="008B6217" w14:paraId="18A67672" w14:textId="77777777" w:rsidTr="003C1E6E">
        <w:trPr>
          <w:trHeight w:val="293"/>
        </w:trPr>
        <w:tc>
          <w:tcPr>
            <w:tcW w:w="4019" w:type="dxa"/>
          </w:tcPr>
          <w:p w14:paraId="37B064FE" w14:textId="77777777" w:rsidR="00441852" w:rsidRPr="008B6217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Sēra saturs</w:t>
            </w:r>
          </w:p>
        </w:tc>
        <w:tc>
          <w:tcPr>
            <w:tcW w:w="1636" w:type="dxa"/>
          </w:tcPr>
          <w:p w14:paraId="051F2517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mg/kg</w:t>
            </w:r>
          </w:p>
        </w:tc>
        <w:tc>
          <w:tcPr>
            <w:tcW w:w="1636" w:type="dxa"/>
          </w:tcPr>
          <w:p w14:paraId="16DE9B68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</w:tcPr>
          <w:p w14:paraId="74FC9329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10,0</w:t>
            </w:r>
          </w:p>
        </w:tc>
      </w:tr>
      <w:tr w:rsidR="008B6217" w:rsidRPr="008B6217" w14:paraId="39479FDD" w14:textId="77777777" w:rsidTr="003C1E6E">
        <w:trPr>
          <w:trHeight w:val="275"/>
        </w:trPr>
        <w:tc>
          <w:tcPr>
            <w:tcW w:w="4019" w:type="dxa"/>
          </w:tcPr>
          <w:p w14:paraId="2C3636D8" w14:textId="77777777" w:rsidR="00441852" w:rsidRPr="008B6217" w:rsidRDefault="00441852" w:rsidP="00952581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Svina saturs</w:t>
            </w:r>
          </w:p>
        </w:tc>
        <w:tc>
          <w:tcPr>
            <w:tcW w:w="1636" w:type="dxa"/>
          </w:tcPr>
          <w:p w14:paraId="36E2C945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g/l</w:t>
            </w:r>
          </w:p>
        </w:tc>
        <w:tc>
          <w:tcPr>
            <w:tcW w:w="1636" w:type="dxa"/>
          </w:tcPr>
          <w:p w14:paraId="35503CE0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</w:tcPr>
          <w:p w14:paraId="623C2AED" w14:textId="77777777" w:rsidR="00441852" w:rsidRPr="008B6217" w:rsidRDefault="00441852" w:rsidP="00952581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8B6217">
              <w:rPr>
                <w:sz w:val="26"/>
                <w:szCs w:val="26"/>
              </w:rPr>
              <w:t>0,005</w:t>
            </w:r>
          </w:p>
        </w:tc>
      </w:tr>
    </w:tbl>
    <w:p w14:paraId="0BCCABFE" w14:textId="1F266304" w:rsidR="000A3782" w:rsidRPr="008B6217" w:rsidRDefault="00010BD0" w:rsidP="009E4AC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6"/>
          <w:lang w:val="lv-LV"/>
        </w:rPr>
      </w:pPr>
      <w:r w:rsidRPr="008B6217">
        <w:rPr>
          <w:rFonts w:ascii="Times New Roman" w:hAnsi="Times New Roman" w:cs="Times New Roman"/>
          <w:color w:val="auto"/>
          <w:sz w:val="20"/>
          <w:szCs w:val="26"/>
          <w:vertAlign w:val="superscript"/>
          <w:lang w:val="lv-LV"/>
        </w:rPr>
        <w:t xml:space="preserve">1 </w:t>
      </w:r>
      <w:r w:rsidR="000A3782"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Lieto testēšanas metodes, kas norādītas standartā </w:t>
      </w:r>
      <w:r w:rsidR="00CC1CF3"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LVS EN 228+A1:2017 </w:t>
      </w:r>
      <w:r w:rsidR="00F936D7" w:rsidRPr="008B6217">
        <w:rPr>
          <w:rStyle w:val="Emphasis"/>
          <w:rFonts w:ascii="Times New Roman" w:hAnsi="Times New Roman" w:cs="Times New Roman"/>
          <w:i w:val="0"/>
          <w:color w:val="auto"/>
          <w:sz w:val="20"/>
          <w:szCs w:val="26"/>
          <w:lang w:val="lv-LV"/>
        </w:rPr>
        <w:t>"</w:t>
      </w:r>
      <w:r w:rsidR="000A3782" w:rsidRPr="008B6217">
        <w:rPr>
          <w:rStyle w:val="Emphasis"/>
          <w:rFonts w:ascii="Times New Roman" w:hAnsi="Times New Roman" w:cs="Times New Roman"/>
          <w:i w:val="0"/>
          <w:color w:val="auto"/>
          <w:sz w:val="20"/>
          <w:szCs w:val="26"/>
          <w:lang w:val="lv-LV"/>
        </w:rPr>
        <w:t>Autodegvielas. Bezsvina benzīns. Prasības un testēšanas metodes</w:t>
      </w:r>
      <w:r w:rsidR="00F936D7" w:rsidRPr="008B6217">
        <w:rPr>
          <w:rFonts w:ascii="Times New Roman" w:hAnsi="Times New Roman" w:cs="Times New Roman"/>
          <w:color w:val="auto"/>
          <w:sz w:val="20"/>
          <w:szCs w:val="26"/>
          <w:shd w:val="clear" w:color="auto" w:fill="FFFFFF"/>
          <w:lang w:val="lv-LV"/>
        </w:rPr>
        <w:t>"</w:t>
      </w:r>
      <w:r w:rsidR="000A3782"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. </w:t>
      </w:r>
    </w:p>
    <w:p w14:paraId="45EEE66C" w14:textId="2099FC2D" w:rsidR="000A3782" w:rsidRPr="008B6217" w:rsidRDefault="00010BD0" w:rsidP="009E4AC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6"/>
          <w:lang w:val="lv-LV"/>
        </w:rPr>
      </w:pPr>
      <w:r w:rsidRPr="008B6217">
        <w:rPr>
          <w:rFonts w:ascii="Times New Roman" w:hAnsi="Times New Roman" w:cs="Times New Roman"/>
          <w:color w:val="auto"/>
          <w:sz w:val="20"/>
          <w:szCs w:val="26"/>
          <w:vertAlign w:val="superscript"/>
          <w:lang w:val="lv-LV"/>
        </w:rPr>
        <w:t xml:space="preserve">2 </w:t>
      </w:r>
      <w:r w:rsidR="00DF6C6D" w:rsidRPr="00DF6C6D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Specifikācijās norādītas "patiesās vērtības". To robežvērtības noteiktas saskaņā ar standartu LVS EN ISO 4259:2007 "Naftas produkti. Datu precizitātes noteikšana un lietošana testēšanas metodēs", un minimālā vērtība noteikta 2R virs nulles (R = </w:t>
      </w:r>
      <w:proofErr w:type="spellStart"/>
      <w:r w:rsidR="00DF6C6D" w:rsidRPr="00DF6C6D">
        <w:rPr>
          <w:rFonts w:ascii="Times New Roman" w:hAnsi="Times New Roman" w:cs="Times New Roman"/>
          <w:color w:val="auto"/>
          <w:sz w:val="20"/>
          <w:szCs w:val="26"/>
          <w:lang w:val="lv-LV"/>
        </w:rPr>
        <w:t>reproducējamība</w:t>
      </w:r>
      <w:proofErr w:type="spellEnd"/>
      <w:r w:rsidR="00DF6C6D" w:rsidRPr="00DF6C6D">
        <w:rPr>
          <w:rFonts w:ascii="Times New Roman" w:hAnsi="Times New Roman" w:cs="Times New Roman"/>
          <w:color w:val="auto"/>
          <w:sz w:val="20"/>
          <w:szCs w:val="26"/>
          <w:lang w:val="lv-LV"/>
        </w:rPr>
        <w:t>). Atsevišķu mērījumu rezultātus interpretē, pamatojoties uz standartā LVS EN ISO 4259:2007 "Naftas produkti. Datu precizitātes noteikšana un lietošana testēšanas metodēs" aprakstītajiem kritērijiem.</w:t>
      </w:r>
    </w:p>
    <w:p w14:paraId="790A8B15" w14:textId="52958BF4" w:rsidR="000A3782" w:rsidRPr="008B6217" w:rsidRDefault="00010BD0" w:rsidP="009E4AC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6"/>
          <w:lang w:val="lv-LV"/>
        </w:rPr>
      </w:pPr>
      <w:r w:rsidRPr="008B6217">
        <w:rPr>
          <w:rFonts w:ascii="Times New Roman" w:hAnsi="Times New Roman" w:cs="Times New Roman"/>
          <w:bCs/>
          <w:color w:val="auto"/>
          <w:sz w:val="20"/>
          <w:szCs w:val="26"/>
          <w:vertAlign w:val="superscript"/>
          <w:lang w:val="lv-LV" w:eastAsia="lv-LV"/>
        </w:rPr>
        <w:t xml:space="preserve">3 </w:t>
      </w:r>
      <w:r w:rsidR="000A3782"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Vasaras periods sākas ne vēlāk par 1. jūniju un ilgst vismaz līdz 31. augustam. Tvaika spiediens no 1.septembra līdz 31.maijam nedrīkst pārsniegt 100 </w:t>
      </w:r>
      <w:proofErr w:type="spellStart"/>
      <w:r w:rsidR="000A3782"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>kPa</w:t>
      </w:r>
      <w:proofErr w:type="spellEnd"/>
      <w:r w:rsidR="000A3782"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>.</w:t>
      </w:r>
    </w:p>
    <w:p w14:paraId="3F0D165F" w14:textId="6770AA16" w:rsidR="00A95CEF" w:rsidRPr="008B6217" w:rsidRDefault="00010BD0" w:rsidP="003C2E9A">
      <w:pPr>
        <w:pStyle w:val="Default"/>
        <w:spacing w:before="120"/>
        <w:jc w:val="both"/>
        <w:rPr>
          <w:rFonts w:cs="Times New Roman"/>
          <w:color w:val="auto"/>
          <w:sz w:val="26"/>
          <w:szCs w:val="26"/>
        </w:rPr>
      </w:pPr>
      <w:r w:rsidRPr="008B6217">
        <w:rPr>
          <w:rFonts w:ascii="Times New Roman" w:hAnsi="Times New Roman" w:cs="Times New Roman"/>
          <w:bCs/>
          <w:color w:val="auto"/>
          <w:sz w:val="20"/>
          <w:szCs w:val="26"/>
          <w:vertAlign w:val="superscript"/>
          <w:lang w:val="lv-LV" w:eastAsia="lv-LV"/>
        </w:rPr>
        <w:t xml:space="preserve">4 </w:t>
      </w:r>
      <w:r w:rsidR="000A3782"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Citi vienvērtīgie spirti un ēteri, kuru viršanas beigu punkts nepārsniedz standartā </w:t>
      </w:r>
      <w:r w:rsidR="00CC1CF3"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LVS EN 228+A1:2017 </w:t>
      </w:r>
      <w:r w:rsidR="00F936D7" w:rsidRPr="008B6217">
        <w:rPr>
          <w:rStyle w:val="Emphasis"/>
          <w:rFonts w:ascii="Times New Roman" w:hAnsi="Times New Roman" w:cs="Times New Roman"/>
          <w:i w:val="0"/>
          <w:color w:val="auto"/>
          <w:sz w:val="20"/>
          <w:szCs w:val="26"/>
          <w:lang w:val="lv-LV"/>
        </w:rPr>
        <w:t>"</w:t>
      </w:r>
      <w:r w:rsidR="000A3782" w:rsidRPr="008B6217">
        <w:rPr>
          <w:rStyle w:val="Emphasis"/>
          <w:rFonts w:ascii="Times New Roman" w:hAnsi="Times New Roman" w:cs="Times New Roman"/>
          <w:i w:val="0"/>
          <w:color w:val="auto"/>
          <w:sz w:val="20"/>
          <w:szCs w:val="26"/>
          <w:lang w:val="lv-LV"/>
        </w:rPr>
        <w:t>Autodegvielas. Bezsvina benzīns. Prasības un testēšanas metodes</w:t>
      </w:r>
      <w:r w:rsidR="00F936D7" w:rsidRPr="008B6217">
        <w:rPr>
          <w:rFonts w:ascii="Times New Roman" w:hAnsi="Times New Roman" w:cs="Times New Roman"/>
          <w:color w:val="auto"/>
          <w:sz w:val="20"/>
          <w:szCs w:val="26"/>
          <w:shd w:val="clear" w:color="auto" w:fill="FFFFFF"/>
          <w:lang w:val="lv-LV"/>
        </w:rPr>
        <w:t>"</w:t>
      </w:r>
      <w:r w:rsidR="000A3782"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 noteikto.</w:t>
      </w:r>
    </w:p>
    <w:p w14:paraId="0B566B83" w14:textId="4E2444D3" w:rsidR="00772A34" w:rsidRPr="008B6217" w:rsidRDefault="00772A34" w:rsidP="003C2E9A">
      <w:pPr>
        <w:shd w:val="clear" w:color="auto" w:fill="FFFFFF"/>
        <w:ind w:firstLine="709"/>
        <w:jc w:val="right"/>
        <w:rPr>
          <w:rFonts w:cs="Times New Roman"/>
          <w:sz w:val="26"/>
          <w:szCs w:val="26"/>
        </w:rPr>
      </w:pPr>
    </w:p>
    <w:p w14:paraId="406CD9EE" w14:textId="38A2B4E2" w:rsidR="00EF187F" w:rsidRPr="008B6217" w:rsidRDefault="00EF187F" w:rsidP="00952581">
      <w:pPr>
        <w:pStyle w:val="naisf"/>
        <w:spacing w:before="0" w:after="0"/>
        <w:jc w:val="right"/>
        <w:rPr>
          <w:bCs/>
          <w:sz w:val="26"/>
          <w:szCs w:val="26"/>
        </w:rPr>
      </w:pPr>
      <w:r w:rsidRPr="008B6217">
        <w:rPr>
          <w:bCs/>
          <w:sz w:val="26"/>
          <w:szCs w:val="26"/>
        </w:rPr>
        <w:t>2.</w:t>
      </w:r>
      <w:r w:rsidR="009F1050" w:rsidRPr="008B6217">
        <w:rPr>
          <w:bCs/>
          <w:sz w:val="26"/>
          <w:szCs w:val="26"/>
        </w:rPr>
        <w:t xml:space="preserve"> </w:t>
      </w:r>
      <w:r w:rsidRPr="008B6217">
        <w:rPr>
          <w:bCs/>
          <w:sz w:val="26"/>
          <w:szCs w:val="26"/>
        </w:rPr>
        <w:t>pielikums</w:t>
      </w:r>
    </w:p>
    <w:p w14:paraId="2AF1431F" w14:textId="327500E9" w:rsidR="00EF187F" w:rsidRPr="008B6217" w:rsidRDefault="00EF187F" w:rsidP="00952581">
      <w:pPr>
        <w:pStyle w:val="naisf"/>
        <w:spacing w:before="0" w:after="0"/>
        <w:jc w:val="right"/>
        <w:rPr>
          <w:sz w:val="26"/>
          <w:szCs w:val="26"/>
        </w:rPr>
      </w:pPr>
      <w:r w:rsidRPr="008B6217">
        <w:rPr>
          <w:sz w:val="26"/>
          <w:szCs w:val="26"/>
        </w:rPr>
        <w:t xml:space="preserve">Ministru kabineta </w:t>
      </w:r>
      <w:r w:rsidRPr="008B6217">
        <w:rPr>
          <w:sz w:val="26"/>
          <w:szCs w:val="26"/>
        </w:rPr>
        <w:br/>
        <w:t>2000.</w:t>
      </w:r>
      <w:r w:rsidR="009F1050" w:rsidRPr="008B6217">
        <w:rPr>
          <w:sz w:val="26"/>
          <w:szCs w:val="26"/>
        </w:rPr>
        <w:t xml:space="preserve"> </w:t>
      </w:r>
      <w:r w:rsidRPr="008B6217">
        <w:rPr>
          <w:sz w:val="26"/>
          <w:szCs w:val="26"/>
        </w:rPr>
        <w:t>gada 26.</w:t>
      </w:r>
      <w:r w:rsidR="009F1050" w:rsidRPr="008B6217">
        <w:rPr>
          <w:sz w:val="26"/>
          <w:szCs w:val="26"/>
        </w:rPr>
        <w:t xml:space="preserve"> </w:t>
      </w:r>
      <w:r w:rsidRPr="008B6217">
        <w:rPr>
          <w:sz w:val="26"/>
          <w:szCs w:val="26"/>
        </w:rPr>
        <w:t xml:space="preserve">septembra </w:t>
      </w:r>
      <w:r w:rsidRPr="008B6217">
        <w:rPr>
          <w:sz w:val="26"/>
          <w:szCs w:val="26"/>
        </w:rPr>
        <w:br/>
        <w:t>noteikumiem Nr.</w:t>
      </w:r>
      <w:r w:rsidR="009F1050" w:rsidRPr="008B6217">
        <w:rPr>
          <w:sz w:val="26"/>
          <w:szCs w:val="26"/>
        </w:rPr>
        <w:t xml:space="preserve"> </w:t>
      </w:r>
      <w:r w:rsidRPr="008B6217">
        <w:rPr>
          <w:sz w:val="26"/>
          <w:szCs w:val="26"/>
        </w:rPr>
        <w:t>332</w:t>
      </w:r>
    </w:p>
    <w:p w14:paraId="5C4A13B1" w14:textId="77777777" w:rsidR="00EF187F" w:rsidRPr="008B6217" w:rsidRDefault="00EF187F" w:rsidP="00952581">
      <w:pPr>
        <w:pStyle w:val="naisf"/>
        <w:spacing w:before="0" w:after="0"/>
        <w:jc w:val="center"/>
        <w:rPr>
          <w:b/>
          <w:bCs/>
          <w:sz w:val="26"/>
          <w:szCs w:val="26"/>
        </w:rPr>
      </w:pPr>
    </w:p>
    <w:p w14:paraId="5ECDE73B" w14:textId="77777777" w:rsidR="001C5041" w:rsidRPr="008B6217" w:rsidRDefault="001C5041" w:rsidP="001C5041">
      <w:pPr>
        <w:pStyle w:val="naisf"/>
        <w:numPr>
          <w:ilvl w:val="0"/>
          <w:numId w:val="14"/>
        </w:numPr>
        <w:spacing w:before="240" w:after="240"/>
        <w:ind w:left="731" w:hanging="357"/>
        <w:contextualSpacing/>
        <w:jc w:val="center"/>
        <w:rPr>
          <w:bCs/>
          <w:sz w:val="26"/>
          <w:szCs w:val="26"/>
        </w:rPr>
      </w:pPr>
      <w:r w:rsidRPr="008B6217">
        <w:rPr>
          <w:b/>
          <w:bCs/>
          <w:sz w:val="26"/>
          <w:szCs w:val="26"/>
        </w:rPr>
        <w:t xml:space="preserve">Kvalitātes prasības dīzeļdegvielai </w:t>
      </w:r>
    </w:p>
    <w:tbl>
      <w:tblPr>
        <w:tblW w:w="8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1559"/>
        <w:gridCol w:w="1559"/>
        <w:gridCol w:w="1666"/>
      </w:tblGrid>
      <w:tr w:rsidR="008B6217" w:rsidRPr="008B6217" w14:paraId="70137749" w14:textId="77777777" w:rsidTr="005E22AD">
        <w:trPr>
          <w:jc w:val="center"/>
        </w:trPr>
        <w:tc>
          <w:tcPr>
            <w:tcW w:w="4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A1F4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bookmarkStart w:id="16" w:name="_Hlk1574169"/>
            <w:r w:rsidRPr="008B6217">
              <w:rPr>
                <w:sz w:val="26"/>
                <w:szCs w:val="26"/>
                <w:lang w:eastAsia="en-US"/>
              </w:rPr>
              <w:t>Parametrs</w:t>
            </w:r>
            <w:r w:rsidRPr="008B6217">
              <w:rPr>
                <w:sz w:val="26"/>
                <w:szCs w:val="26"/>
                <w:vertAlign w:val="superscript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01A2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Mērvienība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5E39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Robežvērtība</w:t>
            </w:r>
            <w:r w:rsidRPr="008B6217"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</w:tr>
      <w:tr w:rsidR="008B6217" w:rsidRPr="008B6217" w14:paraId="04FD2DDE" w14:textId="77777777" w:rsidTr="005E22AD">
        <w:trPr>
          <w:jc w:val="center"/>
        </w:trPr>
        <w:tc>
          <w:tcPr>
            <w:tcW w:w="4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2FC5" w14:textId="77777777" w:rsidR="001C5041" w:rsidRPr="008B6217" w:rsidRDefault="001C5041" w:rsidP="0034294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62F9" w14:textId="77777777" w:rsidR="001C5041" w:rsidRPr="008B6217" w:rsidRDefault="001C5041" w:rsidP="0034294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6AC18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minimālā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4F30D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maksimālā</w:t>
            </w:r>
          </w:p>
        </w:tc>
      </w:tr>
      <w:bookmarkEnd w:id="16"/>
      <w:tr w:rsidR="008B6217" w:rsidRPr="008B6217" w14:paraId="5FE90FFF" w14:textId="77777777" w:rsidTr="005E22AD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53FBD" w14:textId="77777777" w:rsidR="001C5041" w:rsidRPr="008B6217" w:rsidRDefault="001C5041" w:rsidP="0034294B">
            <w:pPr>
              <w:pStyle w:val="naisf"/>
              <w:spacing w:before="0" w:after="0"/>
              <w:ind w:firstLine="0"/>
              <w:rPr>
                <w:sz w:val="26"/>
                <w:szCs w:val="26"/>
                <w:vertAlign w:val="superscript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Cetānskaitlis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284D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5E883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E1EC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B6217" w:rsidRPr="008B6217" w14:paraId="4CBFFCDA" w14:textId="77777777" w:rsidTr="005E22AD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78DBF" w14:textId="77777777" w:rsidR="001C5041" w:rsidRPr="008B6217" w:rsidRDefault="001C5041" w:rsidP="0034294B">
            <w:pPr>
              <w:pStyle w:val="naisf"/>
              <w:spacing w:before="0" w:after="0"/>
              <w:ind w:firstLine="0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Blīvums 15°C temperatūrā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7F47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kg/m</w:t>
            </w:r>
            <w:r w:rsidRPr="008B6217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84AF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F08C3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845,0</w:t>
            </w:r>
          </w:p>
        </w:tc>
      </w:tr>
      <w:tr w:rsidR="008B6217" w:rsidRPr="008B6217" w14:paraId="40B36A36" w14:textId="77777777" w:rsidTr="005E22AD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1321" w14:textId="77777777" w:rsidR="001C5041" w:rsidRPr="008B6217" w:rsidRDefault="001C5041" w:rsidP="0034294B">
            <w:pPr>
              <w:pStyle w:val="naisf"/>
              <w:spacing w:before="0" w:after="0"/>
              <w:ind w:firstLine="0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Destilācija:</w:t>
            </w:r>
          </w:p>
          <w:p w14:paraId="406ED452" w14:textId="77777777" w:rsidR="001C5041" w:rsidRPr="008B6217" w:rsidRDefault="001C5041" w:rsidP="0034294B">
            <w:pPr>
              <w:pStyle w:val="naisf"/>
              <w:spacing w:before="0" w:after="0"/>
              <w:ind w:firstLine="0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- temperatūra, kad iztvaicēts 95% V/V degvielas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2707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43EA1E32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°C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3850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07DE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03A088F9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360,0</w:t>
            </w:r>
          </w:p>
        </w:tc>
      </w:tr>
      <w:tr w:rsidR="008B6217" w:rsidRPr="008B6217" w14:paraId="31CDEFB4" w14:textId="77777777" w:rsidTr="005E22AD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E7B77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Policikliskie aromātiskie ogļūdeņraži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5753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% m/m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F5D9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78D8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8,0</w:t>
            </w:r>
          </w:p>
        </w:tc>
      </w:tr>
      <w:tr w:rsidR="008B6217" w:rsidRPr="008B6217" w14:paraId="41F153F1" w14:textId="77777777" w:rsidTr="005E22AD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A22F" w14:textId="77777777" w:rsidR="001C5041" w:rsidRPr="008B6217" w:rsidRDefault="001C5041" w:rsidP="0034294B">
            <w:pPr>
              <w:pStyle w:val="naisf"/>
              <w:spacing w:before="0" w:after="0"/>
              <w:ind w:firstLine="0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Sēra saturs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7BE17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mg/kg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4A1A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BA7CF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8B6217" w:rsidRPr="008B6217" w14:paraId="2D6E1A99" w14:textId="77777777" w:rsidTr="005E22AD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B3B4" w14:textId="2187FC74" w:rsidR="001C5041" w:rsidRPr="008B6217" w:rsidRDefault="00D255AD" w:rsidP="0034294B">
            <w:pPr>
              <w:pStyle w:val="naisf"/>
              <w:spacing w:before="0" w:after="0"/>
              <w:ind w:firstLine="0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Taukskābju metilestera saturs (</w:t>
            </w:r>
            <w:r w:rsidR="001C5041" w:rsidRPr="008B6217">
              <w:rPr>
                <w:sz w:val="26"/>
                <w:szCs w:val="26"/>
                <w:lang w:eastAsia="en-US"/>
              </w:rPr>
              <w:t>FAME</w:t>
            </w:r>
            <w:r w:rsidRPr="008B6217">
              <w:rPr>
                <w:sz w:val="26"/>
                <w:szCs w:val="26"/>
                <w:lang w:eastAsia="en-US"/>
              </w:rPr>
              <w:t>)</w:t>
            </w:r>
            <w:r w:rsidR="001C5041" w:rsidRPr="008B6217">
              <w:rPr>
                <w:sz w:val="26"/>
                <w:szCs w:val="26"/>
                <w:lang w:eastAsia="en-US"/>
              </w:rPr>
              <w:t xml:space="preserve"> saturs</w:t>
            </w:r>
            <w:r w:rsidR="001C5041" w:rsidRPr="008B6217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3E3D2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% V/V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7CAA1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4613" w14:textId="77777777" w:rsidR="001C5041" w:rsidRPr="008B6217" w:rsidRDefault="001C5041" w:rsidP="0034294B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6217">
              <w:rPr>
                <w:sz w:val="26"/>
                <w:szCs w:val="26"/>
                <w:lang w:eastAsia="en-US"/>
              </w:rPr>
              <w:t>7,0</w:t>
            </w:r>
          </w:p>
        </w:tc>
      </w:tr>
    </w:tbl>
    <w:p w14:paraId="72156532" w14:textId="1547E7F1" w:rsidR="001C5041" w:rsidRPr="008B6217" w:rsidRDefault="001C5041" w:rsidP="009E4AC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6"/>
          <w:lang w:val="lv-LV"/>
        </w:rPr>
      </w:pPr>
      <w:r w:rsidRPr="008B6217">
        <w:rPr>
          <w:rFonts w:ascii="Times New Roman" w:hAnsi="Times New Roman" w:cs="Times New Roman"/>
          <w:color w:val="auto"/>
          <w:sz w:val="20"/>
          <w:szCs w:val="26"/>
          <w:vertAlign w:val="superscript"/>
          <w:lang w:val="lv-LV"/>
        </w:rPr>
        <w:t>1</w:t>
      </w:r>
      <w:r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 Tiek lietotas testēšanas metodes, kas norādītas standartā LVS EN 590+A1:2017 "Automobiļu degvielas. Dīzeļdegviela. Prasības un testēšanas metodes". </w:t>
      </w:r>
    </w:p>
    <w:p w14:paraId="4BA97D29" w14:textId="77777777" w:rsidR="00CC7A2E" w:rsidRDefault="001C5041" w:rsidP="009E4AC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6"/>
          <w:lang w:val="lv-LV"/>
        </w:rPr>
      </w:pPr>
      <w:r w:rsidRPr="008B6217">
        <w:rPr>
          <w:rFonts w:ascii="Times New Roman" w:hAnsi="Times New Roman" w:cs="Times New Roman"/>
          <w:color w:val="auto"/>
          <w:sz w:val="20"/>
          <w:szCs w:val="26"/>
          <w:vertAlign w:val="superscript"/>
          <w:lang w:val="lv-LV"/>
        </w:rPr>
        <w:t>2</w:t>
      </w:r>
      <w:r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 </w:t>
      </w:r>
      <w:r w:rsidR="00CC7A2E" w:rsidRPr="00CC7A2E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Specifikācijās norādītas "patiesās vērtības". To robežvērtības noteiktas saskaņā ar standartu LVS EN ISO 4259:2007 "Naftas produkti. Datu precizitātes noteikšana un lietošana testēšanas metodēs", un minimālā vērtība noteikta 2R virs nulles (R = </w:t>
      </w:r>
      <w:proofErr w:type="spellStart"/>
      <w:r w:rsidR="00CC7A2E" w:rsidRPr="00CC7A2E">
        <w:rPr>
          <w:rFonts w:ascii="Times New Roman" w:hAnsi="Times New Roman" w:cs="Times New Roman"/>
          <w:color w:val="auto"/>
          <w:sz w:val="20"/>
          <w:szCs w:val="26"/>
          <w:lang w:val="lv-LV"/>
        </w:rPr>
        <w:t>reproducējamība</w:t>
      </w:r>
      <w:proofErr w:type="spellEnd"/>
      <w:r w:rsidR="00CC7A2E" w:rsidRPr="00CC7A2E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). Atsevišķu mērījumu rezultātus interpretē, pamatojoties uz standartā </w:t>
      </w:r>
      <w:r w:rsidR="00CC7A2E" w:rsidRPr="00CC7A2E">
        <w:rPr>
          <w:rFonts w:ascii="Times New Roman" w:hAnsi="Times New Roman" w:cs="Times New Roman"/>
          <w:color w:val="auto"/>
          <w:sz w:val="20"/>
          <w:szCs w:val="26"/>
          <w:lang w:val="lv-LV"/>
        </w:rPr>
        <w:lastRenderedPageBreak/>
        <w:t>LVS EN ISO 4259:2007</w:t>
      </w:r>
      <w:r w:rsidR="00CC7A2E">
        <w:rPr>
          <w:rFonts w:ascii="Times New Roman" w:hAnsi="Times New Roman" w:cs="Times New Roman"/>
          <w:color w:val="auto"/>
          <w:sz w:val="20"/>
          <w:szCs w:val="26"/>
          <w:lang w:val="lv-LV"/>
        </w:rPr>
        <w:t xml:space="preserve"> </w:t>
      </w:r>
      <w:r w:rsidR="00CC7A2E" w:rsidRPr="00CC7A2E">
        <w:rPr>
          <w:rFonts w:ascii="Times New Roman" w:hAnsi="Times New Roman" w:cs="Times New Roman"/>
          <w:color w:val="auto"/>
          <w:sz w:val="20"/>
          <w:szCs w:val="26"/>
          <w:lang w:val="lv-LV"/>
        </w:rPr>
        <w:t>"Naftas produkti. Datu precizitātes noteikšana un lietošana testēšanas metodēs" aprakstītajiem kritērijiem.</w:t>
      </w:r>
    </w:p>
    <w:p w14:paraId="3120458E" w14:textId="45DF1F75" w:rsidR="001C5041" w:rsidRDefault="001C5041" w:rsidP="009E4ACE">
      <w:pPr>
        <w:pStyle w:val="Default"/>
        <w:spacing w:before="120" w:after="120"/>
        <w:jc w:val="both"/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</w:pPr>
      <w:r w:rsidRPr="008B6217">
        <w:rPr>
          <w:rFonts w:ascii="Times New Roman" w:hAnsi="Times New Roman" w:cs="Times New Roman"/>
          <w:bCs/>
          <w:color w:val="auto"/>
          <w:sz w:val="20"/>
          <w:szCs w:val="26"/>
          <w:vertAlign w:val="superscript"/>
          <w:lang w:val="lv-LV" w:eastAsia="lv-LV"/>
        </w:rPr>
        <w:t>3</w:t>
      </w:r>
      <w:r w:rsidRPr="008B6217"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  <w:t xml:space="preserve"> Taukskābju </w:t>
      </w:r>
      <w:proofErr w:type="spellStart"/>
      <w:r w:rsidRPr="008B6217"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  <w:t>metilesteri</w:t>
      </w:r>
      <w:proofErr w:type="spellEnd"/>
      <w:r w:rsidRPr="008B6217"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  <w:t xml:space="preserve"> atbilst standartam LVS EN </w:t>
      </w:r>
      <w:r w:rsidR="005E597A" w:rsidRPr="008B6217"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  <w:t>14214</w:t>
      </w:r>
      <w:r w:rsidR="0094453A"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  <w:t>+A1</w:t>
      </w:r>
      <w:r w:rsidR="005E597A" w:rsidRPr="008B6217"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  <w:t>:201</w:t>
      </w:r>
      <w:r w:rsidR="0094453A"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  <w:t>4</w:t>
      </w:r>
      <w:r w:rsidR="005E597A" w:rsidRPr="008B6217"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  <w:t xml:space="preserve"> </w:t>
      </w:r>
      <w:r w:rsidRPr="008B6217">
        <w:rPr>
          <w:rFonts w:ascii="Times New Roman" w:hAnsi="Times New Roman" w:cs="Times New Roman"/>
          <w:color w:val="auto"/>
          <w:sz w:val="20"/>
          <w:szCs w:val="26"/>
          <w:lang w:val="lv-LV"/>
        </w:rPr>
        <w:t>"</w:t>
      </w:r>
      <w:r w:rsidRPr="008B6217"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  <w:t>Šķidrie naftas produkti. Taukskābju metilesteri (FAME) dīzeļdzinējiem un apkurei. Prasības un testa metodes".</w:t>
      </w:r>
      <w:r w:rsidR="000813E5" w:rsidRPr="008B6217">
        <w:rPr>
          <w:rFonts w:ascii="Times New Roman" w:hAnsi="Times New Roman" w:cs="Times New Roman"/>
          <w:bCs/>
          <w:color w:val="auto"/>
          <w:sz w:val="20"/>
          <w:szCs w:val="26"/>
          <w:lang w:val="lv-LV" w:eastAsia="lv-LV"/>
        </w:rPr>
        <w:t>”;</w:t>
      </w:r>
    </w:p>
    <w:p w14:paraId="2148BD87" w14:textId="77777777" w:rsidR="00EC0CC5" w:rsidRPr="008B6217" w:rsidRDefault="00EC0CC5" w:rsidP="00EC0CC5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47D7A887" w14:textId="1B4168C9" w:rsidR="004F3874" w:rsidRPr="008B6217" w:rsidRDefault="004566D1" w:rsidP="003F5B63">
      <w:pPr>
        <w:pStyle w:val="Default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val="lv-LV"/>
        </w:rPr>
      </w:pPr>
      <w:r w:rsidRPr="008B6217">
        <w:rPr>
          <w:rFonts w:ascii="Times New Roman" w:eastAsiaTheme="minorEastAsia" w:hAnsi="Times New Roman" w:cs="Times New Roman"/>
          <w:color w:val="auto"/>
          <w:sz w:val="26"/>
          <w:szCs w:val="26"/>
          <w:lang w:val="lv-LV"/>
        </w:rPr>
        <w:t>2.</w:t>
      </w:r>
      <w:r w:rsidR="000F049E" w:rsidRPr="008B6217">
        <w:rPr>
          <w:rFonts w:ascii="Times New Roman" w:eastAsiaTheme="minorEastAsia" w:hAnsi="Times New Roman" w:cs="Times New Roman"/>
          <w:color w:val="auto"/>
          <w:sz w:val="26"/>
          <w:szCs w:val="26"/>
          <w:lang w:val="lv-LV"/>
        </w:rPr>
        <w:t xml:space="preserve"> </w:t>
      </w:r>
      <w:r w:rsidR="004F3874" w:rsidRPr="008B6217">
        <w:rPr>
          <w:rFonts w:ascii="Times New Roman" w:eastAsiaTheme="minorEastAsia" w:hAnsi="Times New Roman" w:cs="Times New Roman"/>
          <w:color w:val="auto"/>
          <w:sz w:val="26"/>
          <w:szCs w:val="26"/>
          <w:lang w:val="lv-LV"/>
        </w:rPr>
        <w:t xml:space="preserve">Noteikumi stājas spēkā </w:t>
      </w:r>
      <w:r w:rsidR="005824B6" w:rsidRPr="008B6217">
        <w:rPr>
          <w:rFonts w:ascii="Times New Roman" w:eastAsiaTheme="minorEastAsia" w:hAnsi="Times New Roman" w:cs="Times New Roman"/>
          <w:color w:val="auto"/>
          <w:sz w:val="26"/>
          <w:szCs w:val="26"/>
          <w:lang w:val="lv-LV"/>
        </w:rPr>
        <w:t>2020.</w:t>
      </w:r>
      <w:r w:rsidR="00203D59" w:rsidRPr="008B6217">
        <w:rPr>
          <w:rFonts w:ascii="Times New Roman" w:eastAsiaTheme="minorEastAsia" w:hAnsi="Times New Roman" w:cs="Times New Roman"/>
          <w:color w:val="auto"/>
          <w:sz w:val="26"/>
          <w:szCs w:val="26"/>
          <w:lang w:val="lv-LV"/>
        </w:rPr>
        <w:t xml:space="preserve"> </w:t>
      </w:r>
      <w:r w:rsidR="005824B6" w:rsidRPr="008B6217">
        <w:rPr>
          <w:rFonts w:ascii="Times New Roman" w:eastAsiaTheme="minorEastAsia" w:hAnsi="Times New Roman" w:cs="Times New Roman"/>
          <w:color w:val="auto"/>
          <w:sz w:val="26"/>
          <w:szCs w:val="26"/>
          <w:lang w:val="lv-LV"/>
        </w:rPr>
        <w:t>gada 1. janvārī.</w:t>
      </w:r>
    </w:p>
    <w:p w14:paraId="308E63A6" w14:textId="072BB624" w:rsidR="005824B6" w:rsidRPr="008B6217" w:rsidRDefault="005824B6" w:rsidP="003F5B63">
      <w:pPr>
        <w:pStyle w:val="Default"/>
        <w:tabs>
          <w:tab w:val="left" w:pos="1478"/>
          <w:tab w:val="left" w:pos="3869"/>
        </w:tabs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val="lv-LV"/>
        </w:rPr>
      </w:pPr>
    </w:p>
    <w:p w14:paraId="37691132" w14:textId="77777777" w:rsidR="006E35AD" w:rsidRPr="008B6217" w:rsidRDefault="006E35AD" w:rsidP="003F5B63">
      <w:pPr>
        <w:contextualSpacing/>
        <w:jc w:val="both"/>
        <w:rPr>
          <w:rFonts w:cs="Times New Roman"/>
          <w:sz w:val="26"/>
          <w:szCs w:val="26"/>
        </w:rPr>
      </w:pPr>
    </w:p>
    <w:p w14:paraId="54C56FF3" w14:textId="0D64DED0" w:rsidR="00AC080B" w:rsidRPr="00333A4A" w:rsidRDefault="00AC080B" w:rsidP="00042F05">
      <w:pPr>
        <w:tabs>
          <w:tab w:val="left" w:pos="7230"/>
        </w:tabs>
        <w:contextualSpacing/>
        <w:jc w:val="both"/>
        <w:rPr>
          <w:rFonts w:cs="Times New Roman"/>
          <w:sz w:val="26"/>
          <w:szCs w:val="26"/>
        </w:rPr>
      </w:pPr>
      <w:r w:rsidRPr="008B6217">
        <w:rPr>
          <w:rFonts w:cs="Times New Roman"/>
          <w:sz w:val="26"/>
          <w:szCs w:val="26"/>
        </w:rPr>
        <w:t>Ministru prezidents</w:t>
      </w:r>
      <w:r w:rsidRPr="008B6217">
        <w:rPr>
          <w:rFonts w:cs="Times New Roman"/>
          <w:sz w:val="26"/>
          <w:szCs w:val="26"/>
        </w:rPr>
        <w:tab/>
      </w:r>
      <w:r w:rsidR="00D255AD" w:rsidRPr="00333A4A">
        <w:rPr>
          <w:rFonts w:cs="Times New Roman"/>
          <w:sz w:val="26"/>
          <w:szCs w:val="26"/>
        </w:rPr>
        <w:t>A. K. Kariņš</w:t>
      </w:r>
    </w:p>
    <w:p w14:paraId="5B68A981" w14:textId="784ABAC2" w:rsidR="005824B6" w:rsidRPr="008268AC" w:rsidRDefault="005824B6" w:rsidP="00042F05">
      <w:pPr>
        <w:tabs>
          <w:tab w:val="left" w:pos="7230"/>
        </w:tabs>
        <w:contextualSpacing/>
        <w:jc w:val="both"/>
        <w:rPr>
          <w:rFonts w:cs="Times New Roman"/>
          <w:sz w:val="26"/>
          <w:szCs w:val="26"/>
        </w:rPr>
      </w:pPr>
    </w:p>
    <w:p w14:paraId="65EB92EB" w14:textId="77777777" w:rsidR="003F5B63" w:rsidRPr="00333A4A" w:rsidRDefault="003F5B63" w:rsidP="00042F05">
      <w:pPr>
        <w:tabs>
          <w:tab w:val="left" w:pos="7230"/>
        </w:tabs>
        <w:contextualSpacing/>
        <w:jc w:val="both"/>
        <w:rPr>
          <w:rFonts w:cs="Times New Roman"/>
          <w:sz w:val="26"/>
          <w:szCs w:val="26"/>
        </w:rPr>
      </w:pPr>
    </w:p>
    <w:p w14:paraId="5B0093A4" w14:textId="43612D9F" w:rsidR="00AC080B" w:rsidRPr="00333A4A" w:rsidRDefault="00D255AD" w:rsidP="00042F05">
      <w:pPr>
        <w:tabs>
          <w:tab w:val="left" w:pos="7230"/>
        </w:tabs>
        <w:contextualSpacing/>
        <w:jc w:val="both"/>
        <w:rPr>
          <w:rFonts w:cs="Times New Roman"/>
          <w:sz w:val="26"/>
          <w:szCs w:val="26"/>
        </w:rPr>
      </w:pPr>
      <w:r w:rsidRPr="00333A4A">
        <w:rPr>
          <w:rFonts w:cs="Times New Roman"/>
          <w:sz w:val="26"/>
          <w:szCs w:val="26"/>
        </w:rPr>
        <w:t>E</w:t>
      </w:r>
      <w:r w:rsidR="00AC080B" w:rsidRPr="00333A4A">
        <w:rPr>
          <w:rFonts w:cs="Times New Roman"/>
          <w:sz w:val="26"/>
          <w:szCs w:val="26"/>
        </w:rPr>
        <w:t>konomikas ministrs</w:t>
      </w:r>
      <w:r w:rsidR="00AC080B" w:rsidRPr="00333A4A">
        <w:rPr>
          <w:rFonts w:cs="Times New Roman"/>
          <w:sz w:val="26"/>
          <w:szCs w:val="26"/>
        </w:rPr>
        <w:tab/>
      </w:r>
      <w:r w:rsidRPr="00333A4A">
        <w:rPr>
          <w:rFonts w:cs="Times New Roman"/>
          <w:sz w:val="26"/>
          <w:szCs w:val="26"/>
        </w:rPr>
        <w:t xml:space="preserve">R. </w:t>
      </w:r>
      <w:proofErr w:type="spellStart"/>
      <w:r w:rsidRPr="00333A4A">
        <w:rPr>
          <w:rFonts w:cs="Times New Roman"/>
          <w:sz w:val="26"/>
          <w:szCs w:val="26"/>
        </w:rPr>
        <w:t>Nemiro</w:t>
      </w:r>
      <w:proofErr w:type="spellEnd"/>
    </w:p>
    <w:p w14:paraId="45D7865F" w14:textId="77777777" w:rsidR="003F5B63" w:rsidRPr="00333A4A" w:rsidRDefault="003F5B63" w:rsidP="00042F05">
      <w:pPr>
        <w:tabs>
          <w:tab w:val="left" w:pos="7230"/>
        </w:tabs>
        <w:contextualSpacing/>
        <w:jc w:val="both"/>
        <w:rPr>
          <w:rFonts w:cs="Times New Roman"/>
          <w:sz w:val="26"/>
          <w:szCs w:val="26"/>
        </w:rPr>
      </w:pPr>
    </w:p>
    <w:p w14:paraId="15564218" w14:textId="01150726" w:rsidR="00AC080B" w:rsidRPr="00333A4A" w:rsidRDefault="00AC080B" w:rsidP="00042F05">
      <w:pPr>
        <w:tabs>
          <w:tab w:val="left" w:pos="7230"/>
        </w:tabs>
        <w:contextualSpacing/>
        <w:jc w:val="both"/>
        <w:rPr>
          <w:rFonts w:cs="Times New Roman"/>
          <w:sz w:val="26"/>
          <w:szCs w:val="26"/>
        </w:rPr>
      </w:pPr>
      <w:r w:rsidRPr="00333A4A">
        <w:rPr>
          <w:rFonts w:cs="Times New Roman"/>
          <w:sz w:val="26"/>
          <w:szCs w:val="26"/>
        </w:rPr>
        <w:t>Iesniedzējs:</w:t>
      </w:r>
    </w:p>
    <w:p w14:paraId="3F2547CC" w14:textId="021FFC1D" w:rsidR="0069079E" w:rsidRPr="00333A4A" w:rsidRDefault="0069079E" w:rsidP="00042F05">
      <w:pPr>
        <w:tabs>
          <w:tab w:val="left" w:pos="7230"/>
        </w:tabs>
        <w:contextualSpacing/>
        <w:jc w:val="both"/>
        <w:rPr>
          <w:sz w:val="26"/>
          <w:szCs w:val="26"/>
        </w:rPr>
      </w:pPr>
      <w:r w:rsidRPr="00333A4A">
        <w:rPr>
          <w:sz w:val="26"/>
          <w:szCs w:val="26"/>
        </w:rPr>
        <w:t>Ekonomikas ministr</w:t>
      </w:r>
      <w:r w:rsidR="00D255AD" w:rsidRPr="00333A4A">
        <w:rPr>
          <w:sz w:val="26"/>
          <w:szCs w:val="26"/>
        </w:rPr>
        <w:t>s</w:t>
      </w:r>
      <w:r w:rsidRPr="00333A4A">
        <w:rPr>
          <w:sz w:val="26"/>
          <w:szCs w:val="26"/>
        </w:rPr>
        <w:tab/>
      </w:r>
      <w:r w:rsidR="00D255AD" w:rsidRPr="00333A4A">
        <w:rPr>
          <w:sz w:val="26"/>
          <w:szCs w:val="26"/>
        </w:rPr>
        <w:t xml:space="preserve">R. </w:t>
      </w:r>
      <w:proofErr w:type="spellStart"/>
      <w:r w:rsidR="00D255AD" w:rsidRPr="00333A4A">
        <w:rPr>
          <w:sz w:val="26"/>
          <w:szCs w:val="26"/>
        </w:rPr>
        <w:t>Nemiro</w:t>
      </w:r>
      <w:proofErr w:type="spellEnd"/>
    </w:p>
    <w:p w14:paraId="26320DC3" w14:textId="6946B7AC" w:rsidR="003F5B63" w:rsidRPr="00333A4A" w:rsidRDefault="003F5B63" w:rsidP="00042F05">
      <w:pPr>
        <w:tabs>
          <w:tab w:val="left" w:pos="7230"/>
        </w:tabs>
        <w:contextualSpacing/>
        <w:jc w:val="both"/>
        <w:rPr>
          <w:sz w:val="26"/>
          <w:szCs w:val="26"/>
        </w:rPr>
      </w:pPr>
    </w:p>
    <w:p w14:paraId="7E65387E" w14:textId="41403A5C" w:rsidR="005824B6" w:rsidRPr="00333A4A" w:rsidRDefault="00AC080B" w:rsidP="00042F05">
      <w:pPr>
        <w:tabs>
          <w:tab w:val="left" w:pos="7230"/>
        </w:tabs>
        <w:contextualSpacing/>
        <w:jc w:val="both"/>
        <w:rPr>
          <w:sz w:val="26"/>
          <w:szCs w:val="26"/>
        </w:rPr>
      </w:pPr>
      <w:r w:rsidRPr="00333A4A">
        <w:rPr>
          <w:sz w:val="26"/>
          <w:szCs w:val="26"/>
        </w:rPr>
        <w:t xml:space="preserve">Vīza: </w:t>
      </w:r>
    </w:p>
    <w:p w14:paraId="34BEF4EE" w14:textId="3FF0112B" w:rsidR="00902847" w:rsidRDefault="00AC080B" w:rsidP="00042F05">
      <w:pPr>
        <w:tabs>
          <w:tab w:val="left" w:pos="7230"/>
        </w:tabs>
        <w:rPr>
          <w:sz w:val="26"/>
          <w:szCs w:val="26"/>
        </w:rPr>
      </w:pPr>
      <w:r w:rsidRPr="00333A4A">
        <w:rPr>
          <w:sz w:val="26"/>
          <w:szCs w:val="26"/>
        </w:rPr>
        <w:t>Valsts sekretār</w:t>
      </w:r>
      <w:r w:rsidR="00276569">
        <w:rPr>
          <w:sz w:val="26"/>
          <w:szCs w:val="26"/>
        </w:rPr>
        <w:t>s</w:t>
      </w:r>
      <w:r w:rsidR="00E741BD" w:rsidRPr="00333A4A">
        <w:rPr>
          <w:sz w:val="26"/>
          <w:szCs w:val="26"/>
        </w:rPr>
        <w:tab/>
      </w:r>
      <w:r w:rsidR="00276569">
        <w:rPr>
          <w:sz w:val="26"/>
          <w:szCs w:val="26"/>
        </w:rPr>
        <w:t>Ē. Eglītis</w:t>
      </w:r>
    </w:p>
    <w:p w14:paraId="42F3969F" w14:textId="240355E4" w:rsidR="007C1155" w:rsidRDefault="007C1155" w:rsidP="00042F05">
      <w:pPr>
        <w:tabs>
          <w:tab w:val="left" w:pos="7230"/>
        </w:tabs>
        <w:rPr>
          <w:sz w:val="26"/>
          <w:szCs w:val="26"/>
        </w:rPr>
      </w:pPr>
    </w:p>
    <w:p w14:paraId="2F02DB2E" w14:textId="1B9F34E7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45BD3671" w14:textId="06DE738E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1F03D4A5" w14:textId="71019169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64345052" w14:textId="45FA3846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2B4DB125" w14:textId="5E919881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12947252" w14:textId="63F26504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651A3141" w14:textId="38E06C8C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14B0F9D9" w14:textId="646DBC24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60D7A7C3" w14:textId="4C4BD941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3BF52A9E" w14:textId="4770C38B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4C0A84A9" w14:textId="4A902714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17380262" w14:textId="5AC03474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1AA93197" w14:textId="67E03376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1F232C42" w14:textId="07F23B6A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72DDFF70" w14:textId="499D52CA" w:rsidR="00F37FA4" w:rsidRDefault="00F37FA4" w:rsidP="00042F05">
      <w:pPr>
        <w:tabs>
          <w:tab w:val="left" w:pos="7230"/>
        </w:tabs>
        <w:rPr>
          <w:sz w:val="26"/>
          <w:szCs w:val="26"/>
        </w:rPr>
      </w:pPr>
    </w:p>
    <w:p w14:paraId="337DE6D3" w14:textId="000D0586" w:rsidR="00F37FA4" w:rsidRDefault="00F37FA4" w:rsidP="00042F05">
      <w:pPr>
        <w:tabs>
          <w:tab w:val="left" w:pos="7230"/>
        </w:tabs>
        <w:rPr>
          <w:sz w:val="26"/>
          <w:szCs w:val="26"/>
        </w:rPr>
      </w:pPr>
    </w:p>
    <w:p w14:paraId="0E998321" w14:textId="32484B3A" w:rsidR="00F37FA4" w:rsidRDefault="00F37FA4" w:rsidP="00042F05">
      <w:pPr>
        <w:tabs>
          <w:tab w:val="left" w:pos="7230"/>
        </w:tabs>
        <w:rPr>
          <w:sz w:val="26"/>
          <w:szCs w:val="26"/>
        </w:rPr>
      </w:pPr>
    </w:p>
    <w:p w14:paraId="1A7AC715" w14:textId="73343E2D" w:rsidR="00F37FA4" w:rsidRDefault="00F37FA4" w:rsidP="00042F05">
      <w:pPr>
        <w:tabs>
          <w:tab w:val="left" w:pos="7230"/>
        </w:tabs>
        <w:rPr>
          <w:sz w:val="26"/>
          <w:szCs w:val="26"/>
        </w:rPr>
      </w:pPr>
    </w:p>
    <w:p w14:paraId="3642447A" w14:textId="2749C72D" w:rsidR="00F37FA4" w:rsidRDefault="00F37FA4" w:rsidP="00042F05">
      <w:pPr>
        <w:tabs>
          <w:tab w:val="left" w:pos="7230"/>
        </w:tabs>
        <w:rPr>
          <w:sz w:val="26"/>
          <w:szCs w:val="26"/>
        </w:rPr>
      </w:pPr>
    </w:p>
    <w:p w14:paraId="546ACE6E" w14:textId="207E3DEF" w:rsidR="00F37FA4" w:rsidRDefault="00F37FA4" w:rsidP="00042F05">
      <w:pPr>
        <w:tabs>
          <w:tab w:val="left" w:pos="7230"/>
        </w:tabs>
        <w:rPr>
          <w:sz w:val="26"/>
          <w:szCs w:val="26"/>
        </w:rPr>
      </w:pPr>
    </w:p>
    <w:p w14:paraId="261AC9D9" w14:textId="6CBE635E" w:rsidR="00F37FA4" w:rsidRDefault="00F37FA4" w:rsidP="00042F05">
      <w:pPr>
        <w:tabs>
          <w:tab w:val="left" w:pos="7230"/>
        </w:tabs>
        <w:rPr>
          <w:sz w:val="26"/>
          <w:szCs w:val="26"/>
        </w:rPr>
      </w:pPr>
    </w:p>
    <w:p w14:paraId="5EF70FAC" w14:textId="47212382" w:rsidR="00F37FA4" w:rsidRDefault="00F37FA4" w:rsidP="00042F05">
      <w:pPr>
        <w:tabs>
          <w:tab w:val="left" w:pos="7230"/>
        </w:tabs>
        <w:rPr>
          <w:sz w:val="26"/>
          <w:szCs w:val="26"/>
        </w:rPr>
      </w:pPr>
    </w:p>
    <w:p w14:paraId="5D5C0CE3" w14:textId="77777777" w:rsidR="00F37FA4" w:rsidRDefault="00F37FA4" w:rsidP="00042F05">
      <w:pPr>
        <w:tabs>
          <w:tab w:val="left" w:pos="7230"/>
        </w:tabs>
        <w:rPr>
          <w:sz w:val="26"/>
          <w:szCs w:val="26"/>
        </w:rPr>
      </w:pPr>
    </w:p>
    <w:p w14:paraId="0ACB1B55" w14:textId="2CE44F64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4DC67C0E" w14:textId="5291FEED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45ED9BC5" w14:textId="477DADF5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3B875E3B" w14:textId="77777777" w:rsidR="0094453A" w:rsidRDefault="0094453A" w:rsidP="00042F05">
      <w:pPr>
        <w:tabs>
          <w:tab w:val="left" w:pos="7230"/>
        </w:tabs>
        <w:rPr>
          <w:sz w:val="26"/>
          <w:szCs w:val="26"/>
        </w:rPr>
      </w:pPr>
    </w:p>
    <w:p w14:paraId="2F2A3C74" w14:textId="02B36263" w:rsidR="007C1155" w:rsidRPr="006B46E0" w:rsidRDefault="007C1155" w:rsidP="007C1155">
      <w:pPr>
        <w:tabs>
          <w:tab w:val="left" w:pos="6237"/>
        </w:tabs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Ramanis</w:t>
      </w:r>
      <w:r w:rsidRPr="006B46E0">
        <w:rPr>
          <w:rFonts w:cs="Times New Roman"/>
          <w:sz w:val="20"/>
          <w:szCs w:val="20"/>
        </w:rPr>
        <w:t>, 67013</w:t>
      </w:r>
      <w:r>
        <w:rPr>
          <w:rFonts w:cs="Times New Roman"/>
          <w:sz w:val="20"/>
          <w:szCs w:val="20"/>
        </w:rPr>
        <w:t>149</w:t>
      </w:r>
    </w:p>
    <w:p w14:paraId="3715A7CB" w14:textId="06E5F73A" w:rsidR="007C1155" w:rsidRPr="00333A4A" w:rsidRDefault="007C1155" w:rsidP="007C1155">
      <w:pPr>
        <w:tabs>
          <w:tab w:val="left" w:pos="6237"/>
        </w:tabs>
        <w:contextualSpacing/>
        <w:rPr>
          <w:sz w:val="26"/>
          <w:szCs w:val="26"/>
        </w:rPr>
      </w:pPr>
      <w:r>
        <w:rPr>
          <w:rFonts w:cs="Times New Roman"/>
          <w:sz w:val="20"/>
          <w:szCs w:val="20"/>
        </w:rPr>
        <w:t>Mikus.Ramanis</w:t>
      </w:r>
      <w:r w:rsidRPr="006B46E0">
        <w:rPr>
          <w:rFonts w:cs="Times New Roman"/>
          <w:sz w:val="20"/>
          <w:szCs w:val="20"/>
        </w:rPr>
        <w:t>@em.gov.lv</w:t>
      </w:r>
    </w:p>
    <w:sectPr w:rsidR="007C1155" w:rsidRPr="00333A4A" w:rsidSect="00001AF2">
      <w:headerReference w:type="default" r:id="rId25"/>
      <w:footerReference w:type="default" r:id="rId26"/>
      <w:footerReference w:type="first" r:id="rId2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998C" w14:textId="77777777" w:rsidR="00000D65" w:rsidRDefault="00000D65" w:rsidP="009D281C">
      <w:r>
        <w:separator/>
      </w:r>
    </w:p>
  </w:endnote>
  <w:endnote w:type="continuationSeparator" w:id="0">
    <w:p w14:paraId="09F2E077" w14:textId="77777777" w:rsidR="00000D65" w:rsidRDefault="00000D65" w:rsidP="009D281C">
      <w:r>
        <w:continuationSeparator/>
      </w:r>
    </w:p>
  </w:endnote>
  <w:endnote w:type="continuationNotice" w:id="1">
    <w:p w14:paraId="3BE60069" w14:textId="77777777" w:rsidR="00000D65" w:rsidRDefault="00000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5390" w14:textId="57A55478" w:rsidR="00237247" w:rsidRPr="00700F3A" w:rsidRDefault="00237247" w:rsidP="00000202">
    <w:pPr>
      <w:contextualSpacing/>
      <w:jc w:val="both"/>
      <w:outlineLvl w:val="0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6E97" w14:textId="22D3B83B" w:rsidR="00237247" w:rsidRDefault="00237247" w:rsidP="00C86485">
    <w:pPr>
      <w:contextualSpacing/>
      <w:jc w:val="both"/>
      <w:outlineLv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9051" w14:textId="77777777" w:rsidR="00000D65" w:rsidRDefault="00000D65" w:rsidP="009D281C">
      <w:r>
        <w:separator/>
      </w:r>
    </w:p>
  </w:footnote>
  <w:footnote w:type="continuationSeparator" w:id="0">
    <w:p w14:paraId="203E09CE" w14:textId="77777777" w:rsidR="00000D65" w:rsidRDefault="00000D65" w:rsidP="009D281C">
      <w:r>
        <w:continuationSeparator/>
      </w:r>
    </w:p>
  </w:footnote>
  <w:footnote w:type="continuationNotice" w:id="1">
    <w:p w14:paraId="49206523" w14:textId="77777777" w:rsidR="00000D65" w:rsidRDefault="00000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241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C9446B" w14:textId="34D54688" w:rsidR="00237247" w:rsidRDefault="00237247" w:rsidP="002E7F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B59"/>
    <w:multiLevelType w:val="hybridMultilevel"/>
    <w:tmpl w:val="1534D40A"/>
    <w:lvl w:ilvl="0" w:tplc="5B789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30411"/>
    <w:multiLevelType w:val="hybridMultilevel"/>
    <w:tmpl w:val="F1A4EA5A"/>
    <w:lvl w:ilvl="0" w:tplc="386AC45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9212C0E"/>
    <w:multiLevelType w:val="hybridMultilevel"/>
    <w:tmpl w:val="554478E8"/>
    <w:lvl w:ilvl="0" w:tplc="E9BEABBC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38B48C0"/>
    <w:multiLevelType w:val="hybridMultilevel"/>
    <w:tmpl w:val="F16A0BD2"/>
    <w:lvl w:ilvl="0" w:tplc="E7F8D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DC35741"/>
    <w:multiLevelType w:val="hybridMultilevel"/>
    <w:tmpl w:val="773EFF0C"/>
    <w:lvl w:ilvl="0" w:tplc="FDFE88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351702"/>
    <w:multiLevelType w:val="hybridMultilevel"/>
    <w:tmpl w:val="D3388B38"/>
    <w:lvl w:ilvl="0" w:tplc="042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77B2615"/>
    <w:multiLevelType w:val="hybridMultilevel"/>
    <w:tmpl w:val="02C23A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4085"/>
    <w:multiLevelType w:val="hybridMultilevel"/>
    <w:tmpl w:val="79DC59DE"/>
    <w:lvl w:ilvl="0" w:tplc="DB468B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1F1B"/>
    <w:multiLevelType w:val="multilevel"/>
    <w:tmpl w:val="EEF609DC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4C0A4EF9"/>
    <w:multiLevelType w:val="hybridMultilevel"/>
    <w:tmpl w:val="01EE6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759FA"/>
    <w:multiLevelType w:val="hybridMultilevel"/>
    <w:tmpl w:val="98A8E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F61C4"/>
    <w:multiLevelType w:val="hybridMultilevel"/>
    <w:tmpl w:val="9E7C93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F6D09"/>
    <w:multiLevelType w:val="hybridMultilevel"/>
    <w:tmpl w:val="EA78A444"/>
    <w:lvl w:ilvl="0" w:tplc="77521E18">
      <w:start w:val="1"/>
      <w:numFmt w:val="decimal"/>
      <w:lvlText w:val="%1."/>
      <w:lvlJc w:val="left"/>
      <w:pPr>
        <w:ind w:left="768" w:hanging="408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7798D"/>
    <w:multiLevelType w:val="hybridMultilevel"/>
    <w:tmpl w:val="B7A267EA"/>
    <w:lvl w:ilvl="0" w:tplc="A05ED0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76E13A9"/>
    <w:multiLevelType w:val="hybridMultilevel"/>
    <w:tmpl w:val="638C8A88"/>
    <w:lvl w:ilvl="0" w:tplc="C9B6E616">
      <w:start w:val="1"/>
      <w:numFmt w:val="decimal"/>
      <w:lvlText w:val="%1."/>
      <w:lvlJc w:val="left"/>
      <w:pPr>
        <w:ind w:left="66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86042FF"/>
    <w:multiLevelType w:val="hybridMultilevel"/>
    <w:tmpl w:val="3FE48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7D"/>
    <w:rsid w:val="00000202"/>
    <w:rsid w:val="00000D65"/>
    <w:rsid w:val="00001AF2"/>
    <w:rsid w:val="00006567"/>
    <w:rsid w:val="00006CCA"/>
    <w:rsid w:val="00007EA4"/>
    <w:rsid w:val="00010BD0"/>
    <w:rsid w:val="00011522"/>
    <w:rsid w:val="000116AD"/>
    <w:rsid w:val="00013933"/>
    <w:rsid w:val="00016616"/>
    <w:rsid w:val="000167FC"/>
    <w:rsid w:val="00016DED"/>
    <w:rsid w:val="0002052C"/>
    <w:rsid w:val="0002063A"/>
    <w:rsid w:val="0002434F"/>
    <w:rsid w:val="00024AE4"/>
    <w:rsid w:val="00030C38"/>
    <w:rsid w:val="00030D70"/>
    <w:rsid w:val="00031058"/>
    <w:rsid w:val="000311E2"/>
    <w:rsid w:val="00031A5B"/>
    <w:rsid w:val="000320B3"/>
    <w:rsid w:val="00033C75"/>
    <w:rsid w:val="00034D7C"/>
    <w:rsid w:val="00035CA0"/>
    <w:rsid w:val="00037FD7"/>
    <w:rsid w:val="0004047F"/>
    <w:rsid w:val="00040EC6"/>
    <w:rsid w:val="00042F05"/>
    <w:rsid w:val="00053C0D"/>
    <w:rsid w:val="00056413"/>
    <w:rsid w:val="00057A37"/>
    <w:rsid w:val="00061830"/>
    <w:rsid w:val="000649A3"/>
    <w:rsid w:val="00066573"/>
    <w:rsid w:val="00074081"/>
    <w:rsid w:val="000743DE"/>
    <w:rsid w:val="00076E28"/>
    <w:rsid w:val="00077B1E"/>
    <w:rsid w:val="00080932"/>
    <w:rsid w:val="000813E5"/>
    <w:rsid w:val="00096FF9"/>
    <w:rsid w:val="000A0702"/>
    <w:rsid w:val="000A123C"/>
    <w:rsid w:val="000A31D8"/>
    <w:rsid w:val="000A3782"/>
    <w:rsid w:val="000A40D1"/>
    <w:rsid w:val="000A7F47"/>
    <w:rsid w:val="000B0BE7"/>
    <w:rsid w:val="000B0DE8"/>
    <w:rsid w:val="000B42D7"/>
    <w:rsid w:val="000C7403"/>
    <w:rsid w:val="000D053D"/>
    <w:rsid w:val="000D312C"/>
    <w:rsid w:val="000D4050"/>
    <w:rsid w:val="000E33D5"/>
    <w:rsid w:val="000F049E"/>
    <w:rsid w:val="000F1DF7"/>
    <w:rsid w:val="000F2AF1"/>
    <w:rsid w:val="000F519D"/>
    <w:rsid w:val="001053F0"/>
    <w:rsid w:val="00105456"/>
    <w:rsid w:val="00110FF3"/>
    <w:rsid w:val="001145FB"/>
    <w:rsid w:val="001148DB"/>
    <w:rsid w:val="0011566B"/>
    <w:rsid w:val="001163F1"/>
    <w:rsid w:val="00117665"/>
    <w:rsid w:val="001215B1"/>
    <w:rsid w:val="0012373F"/>
    <w:rsid w:val="00126036"/>
    <w:rsid w:val="0012626A"/>
    <w:rsid w:val="0012703D"/>
    <w:rsid w:val="00127CAA"/>
    <w:rsid w:val="0013425F"/>
    <w:rsid w:val="00135ED8"/>
    <w:rsid w:val="00137F51"/>
    <w:rsid w:val="001423CC"/>
    <w:rsid w:val="00145606"/>
    <w:rsid w:val="00150853"/>
    <w:rsid w:val="00155809"/>
    <w:rsid w:val="00156E4D"/>
    <w:rsid w:val="00156F1F"/>
    <w:rsid w:val="00162D7F"/>
    <w:rsid w:val="00165459"/>
    <w:rsid w:val="0017255C"/>
    <w:rsid w:val="00172F2F"/>
    <w:rsid w:val="00174219"/>
    <w:rsid w:val="00174C03"/>
    <w:rsid w:val="00180FFB"/>
    <w:rsid w:val="00184CE0"/>
    <w:rsid w:val="00186E07"/>
    <w:rsid w:val="0019246C"/>
    <w:rsid w:val="00192593"/>
    <w:rsid w:val="00196169"/>
    <w:rsid w:val="001A0152"/>
    <w:rsid w:val="001A1194"/>
    <w:rsid w:val="001A3F65"/>
    <w:rsid w:val="001A5B1D"/>
    <w:rsid w:val="001A6F44"/>
    <w:rsid w:val="001B01A1"/>
    <w:rsid w:val="001B2CDE"/>
    <w:rsid w:val="001B74FA"/>
    <w:rsid w:val="001C155B"/>
    <w:rsid w:val="001C161E"/>
    <w:rsid w:val="001C5041"/>
    <w:rsid w:val="001C717D"/>
    <w:rsid w:val="001C71B4"/>
    <w:rsid w:val="001C7979"/>
    <w:rsid w:val="001C7BB3"/>
    <w:rsid w:val="001D025F"/>
    <w:rsid w:val="001D0874"/>
    <w:rsid w:val="001D0919"/>
    <w:rsid w:val="001D2A84"/>
    <w:rsid w:val="001D3E7A"/>
    <w:rsid w:val="001D4477"/>
    <w:rsid w:val="001D47D3"/>
    <w:rsid w:val="001F1A69"/>
    <w:rsid w:val="001F5A35"/>
    <w:rsid w:val="00203108"/>
    <w:rsid w:val="00203A19"/>
    <w:rsid w:val="00203C97"/>
    <w:rsid w:val="00203D59"/>
    <w:rsid w:val="002043DE"/>
    <w:rsid w:val="00212DB2"/>
    <w:rsid w:val="0021788A"/>
    <w:rsid w:val="002228EF"/>
    <w:rsid w:val="00224B2E"/>
    <w:rsid w:val="00224C61"/>
    <w:rsid w:val="0022582B"/>
    <w:rsid w:val="00225FDC"/>
    <w:rsid w:val="002311C1"/>
    <w:rsid w:val="00234E9A"/>
    <w:rsid w:val="00235D43"/>
    <w:rsid w:val="00237247"/>
    <w:rsid w:val="00240066"/>
    <w:rsid w:val="002400AD"/>
    <w:rsid w:val="00242C43"/>
    <w:rsid w:val="00253760"/>
    <w:rsid w:val="002540CB"/>
    <w:rsid w:val="0025436A"/>
    <w:rsid w:val="00260ADD"/>
    <w:rsid w:val="00262465"/>
    <w:rsid w:val="00262D74"/>
    <w:rsid w:val="002649C9"/>
    <w:rsid w:val="00264C1A"/>
    <w:rsid w:val="00265201"/>
    <w:rsid w:val="00265E57"/>
    <w:rsid w:val="0026684E"/>
    <w:rsid w:val="00275025"/>
    <w:rsid w:val="00275454"/>
    <w:rsid w:val="00276569"/>
    <w:rsid w:val="00277F32"/>
    <w:rsid w:val="00280C34"/>
    <w:rsid w:val="00282F29"/>
    <w:rsid w:val="00285722"/>
    <w:rsid w:val="00285779"/>
    <w:rsid w:val="00292505"/>
    <w:rsid w:val="00295ABF"/>
    <w:rsid w:val="002978FE"/>
    <w:rsid w:val="002A247F"/>
    <w:rsid w:val="002A4435"/>
    <w:rsid w:val="002B11AB"/>
    <w:rsid w:val="002B1C9F"/>
    <w:rsid w:val="002B2CCE"/>
    <w:rsid w:val="002B41EB"/>
    <w:rsid w:val="002B76EF"/>
    <w:rsid w:val="002B7EEC"/>
    <w:rsid w:val="002C075C"/>
    <w:rsid w:val="002C1DDD"/>
    <w:rsid w:val="002C3548"/>
    <w:rsid w:val="002C3B5A"/>
    <w:rsid w:val="002D2F63"/>
    <w:rsid w:val="002D4DD5"/>
    <w:rsid w:val="002D54BB"/>
    <w:rsid w:val="002E025A"/>
    <w:rsid w:val="002E24B2"/>
    <w:rsid w:val="002E3157"/>
    <w:rsid w:val="002E49B6"/>
    <w:rsid w:val="002E5405"/>
    <w:rsid w:val="002E7FC0"/>
    <w:rsid w:val="002F52C9"/>
    <w:rsid w:val="002F68E4"/>
    <w:rsid w:val="0030003B"/>
    <w:rsid w:val="00301D6E"/>
    <w:rsid w:val="00302478"/>
    <w:rsid w:val="0030413A"/>
    <w:rsid w:val="00310E58"/>
    <w:rsid w:val="00312C6B"/>
    <w:rsid w:val="00315E29"/>
    <w:rsid w:val="00317FE5"/>
    <w:rsid w:val="0032067F"/>
    <w:rsid w:val="0032378D"/>
    <w:rsid w:val="00325E0C"/>
    <w:rsid w:val="00333A4A"/>
    <w:rsid w:val="00333AB9"/>
    <w:rsid w:val="0034137D"/>
    <w:rsid w:val="0034294B"/>
    <w:rsid w:val="00343B88"/>
    <w:rsid w:val="00344FFF"/>
    <w:rsid w:val="00353488"/>
    <w:rsid w:val="00356D00"/>
    <w:rsid w:val="00356E88"/>
    <w:rsid w:val="00356F66"/>
    <w:rsid w:val="003636E9"/>
    <w:rsid w:val="003675FB"/>
    <w:rsid w:val="003704EE"/>
    <w:rsid w:val="00370752"/>
    <w:rsid w:val="00371295"/>
    <w:rsid w:val="00372D57"/>
    <w:rsid w:val="00374A76"/>
    <w:rsid w:val="00374A96"/>
    <w:rsid w:val="00375D46"/>
    <w:rsid w:val="00380645"/>
    <w:rsid w:val="00382539"/>
    <w:rsid w:val="00383440"/>
    <w:rsid w:val="003842E0"/>
    <w:rsid w:val="00390BC0"/>
    <w:rsid w:val="00391662"/>
    <w:rsid w:val="0039253F"/>
    <w:rsid w:val="0039326B"/>
    <w:rsid w:val="003A0F1A"/>
    <w:rsid w:val="003A2117"/>
    <w:rsid w:val="003A355B"/>
    <w:rsid w:val="003A76CB"/>
    <w:rsid w:val="003A77D1"/>
    <w:rsid w:val="003B0B3C"/>
    <w:rsid w:val="003B2264"/>
    <w:rsid w:val="003B6B62"/>
    <w:rsid w:val="003C136C"/>
    <w:rsid w:val="003C1E6E"/>
    <w:rsid w:val="003C2E9A"/>
    <w:rsid w:val="003C419B"/>
    <w:rsid w:val="003C64B0"/>
    <w:rsid w:val="003D1513"/>
    <w:rsid w:val="003D21E0"/>
    <w:rsid w:val="003D68B1"/>
    <w:rsid w:val="003D6B7B"/>
    <w:rsid w:val="003E0C69"/>
    <w:rsid w:val="003E2AF9"/>
    <w:rsid w:val="003E3242"/>
    <w:rsid w:val="003E6A9A"/>
    <w:rsid w:val="003E7091"/>
    <w:rsid w:val="003F4939"/>
    <w:rsid w:val="003F5B63"/>
    <w:rsid w:val="00401473"/>
    <w:rsid w:val="0040161C"/>
    <w:rsid w:val="004017DD"/>
    <w:rsid w:val="0040447F"/>
    <w:rsid w:val="004053CE"/>
    <w:rsid w:val="00407630"/>
    <w:rsid w:val="004116C3"/>
    <w:rsid w:val="00411C20"/>
    <w:rsid w:val="004127E0"/>
    <w:rsid w:val="00423889"/>
    <w:rsid w:val="00423CAC"/>
    <w:rsid w:val="00426DCB"/>
    <w:rsid w:val="004275B4"/>
    <w:rsid w:val="00430156"/>
    <w:rsid w:val="0043163E"/>
    <w:rsid w:val="00432299"/>
    <w:rsid w:val="004333FC"/>
    <w:rsid w:val="004416AD"/>
    <w:rsid w:val="00441852"/>
    <w:rsid w:val="004431D8"/>
    <w:rsid w:val="00450DC5"/>
    <w:rsid w:val="00454E42"/>
    <w:rsid w:val="004566D1"/>
    <w:rsid w:val="004567AC"/>
    <w:rsid w:val="00457011"/>
    <w:rsid w:val="00457CBD"/>
    <w:rsid w:val="004602ED"/>
    <w:rsid w:val="00464526"/>
    <w:rsid w:val="00465117"/>
    <w:rsid w:val="0046521A"/>
    <w:rsid w:val="00466924"/>
    <w:rsid w:val="00466AAF"/>
    <w:rsid w:val="00470AB4"/>
    <w:rsid w:val="00473299"/>
    <w:rsid w:val="00474DA0"/>
    <w:rsid w:val="00483736"/>
    <w:rsid w:val="00486923"/>
    <w:rsid w:val="00490351"/>
    <w:rsid w:val="0049215E"/>
    <w:rsid w:val="004923AB"/>
    <w:rsid w:val="00492A14"/>
    <w:rsid w:val="004963BC"/>
    <w:rsid w:val="0049703F"/>
    <w:rsid w:val="004A0E33"/>
    <w:rsid w:val="004A6721"/>
    <w:rsid w:val="004B0CE7"/>
    <w:rsid w:val="004B1309"/>
    <w:rsid w:val="004B3761"/>
    <w:rsid w:val="004B3798"/>
    <w:rsid w:val="004B6A46"/>
    <w:rsid w:val="004C1997"/>
    <w:rsid w:val="004C34BE"/>
    <w:rsid w:val="004C51D0"/>
    <w:rsid w:val="004C74CC"/>
    <w:rsid w:val="004D2F94"/>
    <w:rsid w:val="004D31A6"/>
    <w:rsid w:val="004D4574"/>
    <w:rsid w:val="004E055C"/>
    <w:rsid w:val="004E1D3A"/>
    <w:rsid w:val="004E4492"/>
    <w:rsid w:val="004E5257"/>
    <w:rsid w:val="004F0D60"/>
    <w:rsid w:val="004F1994"/>
    <w:rsid w:val="004F1A9F"/>
    <w:rsid w:val="004F3874"/>
    <w:rsid w:val="004F483F"/>
    <w:rsid w:val="005015B6"/>
    <w:rsid w:val="005136A9"/>
    <w:rsid w:val="00517D20"/>
    <w:rsid w:val="00522D5A"/>
    <w:rsid w:val="0052373D"/>
    <w:rsid w:val="005304FC"/>
    <w:rsid w:val="00532B29"/>
    <w:rsid w:val="0053361B"/>
    <w:rsid w:val="0053790C"/>
    <w:rsid w:val="00542BE9"/>
    <w:rsid w:val="00543838"/>
    <w:rsid w:val="00546C6F"/>
    <w:rsid w:val="00547BA9"/>
    <w:rsid w:val="0055071B"/>
    <w:rsid w:val="00551771"/>
    <w:rsid w:val="00553B7F"/>
    <w:rsid w:val="00554181"/>
    <w:rsid w:val="005545FC"/>
    <w:rsid w:val="005621FB"/>
    <w:rsid w:val="00563DC4"/>
    <w:rsid w:val="005652A4"/>
    <w:rsid w:val="005652EF"/>
    <w:rsid w:val="005673E0"/>
    <w:rsid w:val="005710D3"/>
    <w:rsid w:val="00571FAF"/>
    <w:rsid w:val="00572698"/>
    <w:rsid w:val="0058033D"/>
    <w:rsid w:val="005805E2"/>
    <w:rsid w:val="005824B6"/>
    <w:rsid w:val="00583AF0"/>
    <w:rsid w:val="0058707F"/>
    <w:rsid w:val="0058766D"/>
    <w:rsid w:val="00592873"/>
    <w:rsid w:val="0059685D"/>
    <w:rsid w:val="005A52A9"/>
    <w:rsid w:val="005A6937"/>
    <w:rsid w:val="005B164C"/>
    <w:rsid w:val="005B5077"/>
    <w:rsid w:val="005B5519"/>
    <w:rsid w:val="005C0C31"/>
    <w:rsid w:val="005C295B"/>
    <w:rsid w:val="005C50E7"/>
    <w:rsid w:val="005D029D"/>
    <w:rsid w:val="005D0328"/>
    <w:rsid w:val="005D0959"/>
    <w:rsid w:val="005D0C07"/>
    <w:rsid w:val="005D2B7A"/>
    <w:rsid w:val="005D3255"/>
    <w:rsid w:val="005D51BC"/>
    <w:rsid w:val="005D6D73"/>
    <w:rsid w:val="005D7DAD"/>
    <w:rsid w:val="005D7EC5"/>
    <w:rsid w:val="005E22AD"/>
    <w:rsid w:val="005E2730"/>
    <w:rsid w:val="005E35B2"/>
    <w:rsid w:val="005E3F9E"/>
    <w:rsid w:val="005E50E8"/>
    <w:rsid w:val="005E597A"/>
    <w:rsid w:val="005E6813"/>
    <w:rsid w:val="005E7EBC"/>
    <w:rsid w:val="005F5238"/>
    <w:rsid w:val="005F5C9B"/>
    <w:rsid w:val="005F6C94"/>
    <w:rsid w:val="006009AD"/>
    <w:rsid w:val="00600D90"/>
    <w:rsid w:val="00602F38"/>
    <w:rsid w:val="00605207"/>
    <w:rsid w:val="00610EBB"/>
    <w:rsid w:val="00613E42"/>
    <w:rsid w:val="006148E3"/>
    <w:rsid w:val="00615072"/>
    <w:rsid w:val="006203A9"/>
    <w:rsid w:val="006221E4"/>
    <w:rsid w:val="00623D91"/>
    <w:rsid w:val="00626C8C"/>
    <w:rsid w:val="00636A9E"/>
    <w:rsid w:val="00637CC6"/>
    <w:rsid w:val="00647822"/>
    <w:rsid w:val="00652637"/>
    <w:rsid w:val="006545F2"/>
    <w:rsid w:val="00661D58"/>
    <w:rsid w:val="006625B8"/>
    <w:rsid w:val="0066779C"/>
    <w:rsid w:val="00672B76"/>
    <w:rsid w:val="0067561D"/>
    <w:rsid w:val="0068327D"/>
    <w:rsid w:val="00684D9C"/>
    <w:rsid w:val="0068612A"/>
    <w:rsid w:val="0069079E"/>
    <w:rsid w:val="00691C41"/>
    <w:rsid w:val="0069278E"/>
    <w:rsid w:val="00692A67"/>
    <w:rsid w:val="00693415"/>
    <w:rsid w:val="00694467"/>
    <w:rsid w:val="006949F8"/>
    <w:rsid w:val="006A1DE0"/>
    <w:rsid w:val="006A6010"/>
    <w:rsid w:val="006A6C44"/>
    <w:rsid w:val="006C0458"/>
    <w:rsid w:val="006C2E81"/>
    <w:rsid w:val="006C70BD"/>
    <w:rsid w:val="006D4189"/>
    <w:rsid w:val="006D5BF1"/>
    <w:rsid w:val="006E191D"/>
    <w:rsid w:val="006E1C93"/>
    <w:rsid w:val="006E35AD"/>
    <w:rsid w:val="006E4A7E"/>
    <w:rsid w:val="006E6E1B"/>
    <w:rsid w:val="006E74C0"/>
    <w:rsid w:val="006F1465"/>
    <w:rsid w:val="006F1988"/>
    <w:rsid w:val="006F2A3E"/>
    <w:rsid w:val="006F4FAF"/>
    <w:rsid w:val="00700E1A"/>
    <w:rsid w:val="00700F3A"/>
    <w:rsid w:val="00703CE8"/>
    <w:rsid w:val="00704054"/>
    <w:rsid w:val="00706DCF"/>
    <w:rsid w:val="00710669"/>
    <w:rsid w:val="007132F2"/>
    <w:rsid w:val="00713583"/>
    <w:rsid w:val="00714CCC"/>
    <w:rsid w:val="007173CC"/>
    <w:rsid w:val="00723E78"/>
    <w:rsid w:val="00724B1D"/>
    <w:rsid w:val="007250BF"/>
    <w:rsid w:val="0072557E"/>
    <w:rsid w:val="00725D79"/>
    <w:rsid w:val="00730927"/>
    <w:rsid w:val="007343D2"/>
    <w:rsid w:val="00734B1B"/>
    <w:rsid w:val="00734E0E"/>
    <w:rsid w:val="0074039F"/>
    <w:rsid w:val="00741554"/>
    <w:rsid w:val="00747D2B"/>
    <w:rsid w:val="0075164F"/>
    <w:rsid w:val="0075231C"/>
    <w:rsid w:val="0075283C"/>
    <w:rsid w:val="00753018"/>
    <w:rsid w:val="00754A95"/>
    <w:rsid w:val="00761897"/>
    <w:rsid w:val="00762369"/>
    <w:rsid w:val="00766CE9"/>
    <w:rsid w:val="00772A34"/>
    <w:rsid w:val="007735F9"/>
    <w:rsid w:val="00775A4C"/>
    <w:rsid w:val="007760A0"/>
    <w:rsid w:val="0077680D"/>
    <w:rsid w:val="00783386"/>
    <w:rsid w:val="00785827"/>
    <w:rsid w:val="00790597"/>
    <w:rsid w:val="00792436"/>
    <w:rsid w:val="00794CDB"/>
    <w:rsid w:val="00796355"/>
    <w:rsid w:val="0079671E"/>
    <w:rsid w:val="00797181"/>
    <w:rsid w:val="007A0480"/>
    <w:rsid w:val="007A28B9"/>
    <w:rsid w:val="007A3614"/>
    <w:rsid w:val="007A37BB"/>
    <w:rsid w:val="007A4892"/>
    <w:rsid w:val="007A5F34"/>
    <w:rsid w:val="007A7435"/>
    <w:rsid w:val="007B0B31"/>
    <w:rsid w:val="007B0EDE"/>
    <w:rsid w:val="007B4262"/>
    <w:rsid w:val="007B5BC0"/>
    <w:rsid w:val="007B5EDA"/>
    <w:rsid w:val="007B5F68"/>
    <w:rsid w:val="007C1155"/>
    <w:rsid w:val="007C2502"/>
    <w:rsid w:val="007C642B"/>
    <w:rsid w:val="007D12A0"/>
    <w:rsid w:val="007D40A8"/>
    <w:rsid w:val="007D4158"/>
    <w:rsid w:val="007D59F2"/>
    <w:rsid w:val="007D62C3"/>
    <w:rsid w:val="007E0BEE"/>
    <w:rsid w:val="007E2F96"/>
    <w:rsid w:val="007E425E"/>
    <w:rsid w:val="007E6D5E"/>
    <w:rsid w:val="007E7F62"/>
    <w:rsid w:val="007F0B5A"/>
    <w:rsid w:val="007F21C1"/>
    <w:rsid w:val="007F47F9"/>
    <w:rsid w:val="008006B2"/>
    <w:rsid w:val="008040A5"/>
    <w:rsid w:val="00804C51"/>
    <w:rsid w:val="008103DA"/>
    <w:rsid w:val="00811925"/>
    <w:rsid w:val="0081387B"/>
    <w:rsid w:val="00816BB9"/>
    <w:rsid w:val="008237DF"/>
    <w:rsid w:val="00825CBF"/>
    <w:rsid w:val="008268AC"/>
    <w:rsid w:val="008417CE"/>
    <w:rsid w:val="00843422"/>
    <w:rsid w:val="00844C54"/>
    <w:rsid w:val="00845C1F"/>
    <w:rsid w:val="008471AC"/>
    <w:rsid w:val="008477DE"/>
    <w:rsid w:val="00850E3E"/>
    <w:rsid w:val="0085135A"/>
    <w:rsid w:val="008533B8"/>
    <w:rsid w:val="00854C2A"/>
    <w:rsid w:val="00855F98"/>
    <w:rsid w:val="0086201B"/>
    <w:rsid w:val="0086276C"/>
    <w:rsid w:val="00863EC2"/>
    <w:rsid w:val="00865DFA"/>
    <w:rsid w:val="00870C42"/>
    <w:rsid w:val="00871326"/>
    <w:rsid w:val="00872F4F"/>
    <w:rsid w:val="008829E4"/>
    <w:rsid w:val="008831D9"/>
    <w:rsid w:val="00883645"/>
    <w:rsid w:val="00885A3C"/>
    <w:rsid w:val="00892970"/>
    <w:rsid w:val="008955D1"/>
    <w:rsid w:val="008A1046"/>
    <w:rsid w:val="008A341F"/>
    <w:rsid w:val="008A5D46"/>
    <w:rsid w:val="008A70FF"/>
    <w:rsid w:val="008B06F5"/>
    <w:rsid w:val="008B074C"/>
    <w:rsid w:val="008B2078"/>
    <w:rsid w:val="008B34F8"/>
    <w:rsid w:val="008B6217"/>
    <w:rsid w:val="008B6F12"/>
    <w:rsid w:val="008C0A52"/>
    <w:rsid w:val="008C31A6"/>
    <w:rsid w:val="008C3A30"/>
    <w:rsid w:val="008C7D3B"/>
    <w:rsid w:val="008D3FFE"/>
    <w:rsid w:val="008D60D6"/>
    <w:rsid w:val="008D6A94"/>
    <w:rsid w:val="008D778C"/>
    <w:rsid w:val="008E0212"/>
    <w:rsid w:val="008E067B"/>
    <w:rsid w:val="008E0E66"/>
    <w:rsid w:val="008E35BE"/>
    <w:rsid w:val="008F2765"/>
    <w:rsid w:val="008F3FF9"/>
    <w:rsid w:val="008F7FDF"/>
    <w:rsid w:val="00902847"/>
    <w:rsid w:val="009029AD"/>
    <w:rsid w:val="00902B35"/>
    <w:rsid w:val="009059A9"/>
    <w:rsid w:val="009124E5"/>
    <w:rsid w:val="00913207"/>
    <w:rsid w:val="009138FA"/>
    <w:rsid w:val="009164D6"/>
    <w:rsid w:val="009179BC"/>
    <w:rsid w:val="00921F81"/>
    <w:rsid w:val="00930D48"/>
    <w:rsid w:val="00934FC5"/>
    <w:rsid w:val="00935AEC"/>
    <w:rsid w:val="00936887"/>
    <w:rsid w:val="0093720F"/>
    <w:rsid w:val="0094050A"/>
    <w:rsid w:val="00942B19"/>
    <w:rsid w:val="00943236"/>
    <w:rsid w:val="009440A7"/>
    <w:rsid w:val="0094453A"/>
    <w:rsid w:val="00952581"/>
    <w:rsid w:val="00953D96"/>
    <w:rsid w:val="00957C0B"/>
    <w:rsid w:val="00957CB1"/>
    <w:rsid w:val="009602DA"/>
    <w:rsid w:val="00961D6B"/>
    <w:rsid w:val="009626DE"/>
    <w:rsid w:val="0097134D"/>
    <w:rsid w:val="00971D1F"/>
    <w:rsid w:val="00972B71"/>
    <w:rsid w:val="00973E75"/>
    <w:rsid w:val="009810E4"/>
    <w:rsid w:val="009852FF"/>
    <w:rsid w:val="00986926"/>
    <w:rsid w:val="00987509"/>
    <w:rsid w:val="009877DD"/>
    <w:rsid w:val="009A473B"/>
    <w:rsid w:val="009A71C5"/>
    <w:rsid w:val="009B075F"/>
    <w:rsid w:val="009B16A6"/>
    <w:rsid w:val="009B3B8A"/>
    <w:rsid w:val="009B4B3F"/>
    <w:rsid w:val="009C0FC3"/>
    <w:rsid w:val="009C133F"/>
    <w:rsid w:val="009C135E"/>
    <w:rsid w:val="009C2BCA"/>
    <w:rsid w:val="009C6AA3"/>
    <w:rsid w:val="009D0998"/>
    <w:rsid w:val="009D281C"/>
    <w:rsid w:val="009E0427"/>
    <w:rsid w:val="009E4ACE"/>
    <w:rsid w:val="009E5CBC"/>
    <w:rsid w:val="009E7EA8"/>
    <w:rsid w:val="009F1050"/>
    <w:rsid w:val="009F175A"/>
    <w:rsid w:val="009F5602"/>
    <w:rsid w:val="009F59B8"/>
    <w:rsid w:val="009F71DC"/>
    <w:rsid w:val="00A0541E"/>
    <w:rsid w:val="00A07EE7"/>
    <w:rsid w:val="00A13BC5"/>
    <w:rsid w:val="00A1669E"/>
    <w:rsid w:val="00A17EA5"/>
    <w:rsid w:val="00A21983"/>
    <w:rsid w:val="00A2377C"/>
    <w:rsid w:val="00A26072"/>
    <w:rsid w:val="00A2661E"/>
    <w:rsid w:val="00A274BB"/>
    <w:rsid w:val="00A32428"/>
    <w:rsid w:val="00A352DF"/>
    <w:rsid w:val="00A354E4"/>
    <w:rsid w:val="00A37BAA"/>
    <w:rsid w:val="00A40AA8"/>
    <w:rsid w:val="00A42DA1"/>
    <w:rsid w:val="00A43537"/>
    <w:rsid w:val="00A4530C"/>
    <w:rsid w:val="00A45BA8"/>
    <w:rsid w:val="00A47305"/>
    <w:rsid w:val="00A51395"/>
    <w:rsid w:val="00A55C4E"/>
    <w:rsid w:val="00A6011C"/>
    <w:rsid w:val="00A64FEE"/>
    <w:rsid w:val="00A70FF2"/>
    <w:rsid w:val="00A74CD3"/>
    <w:rsid w:val="00A77F00"/>
    <w:rsid w:val="00A80494"/>
    <w:rsid w:val="00A81DE3"/>
    <w:rsid w:val="00A87313"/>
    <w:rsid w:val="00A908FB"/>
    <w:rsid w:val="00A94BD1"/>
    <w:rsid w:val="00A9549E"/>
    <w:rsid w:val="00A95CEF"/>
    <w:rsid w:val="00A97203"/>
    <w:rsid w:val="00AA3FB7"/>
    <w:rsid w:val="00AA6F91"/>
    <w:rsid w:val="00AB1782"/>
    <w:rsid w:val="00AB1FF7"/>
    <w:rsid w:val="00AB4012"/>
    <w:rsid w:val="00AC080B"/>
    <w:rsid w:val="00AC1057"/>
    <w:rsid w:val="00AC33DF"/>
    <w:rsid w:val="00AC57A2"/>
    <w:rsid w:val="00AC7F38"/>
    <w:rsid w:val="00AD2561"/>
    <w:rsid w:val="00AD4C4B"/>
    <w:rsid w:val="00AD6933"/>
    <w:rsid w:val="00AD6EB8"/>
    <w:rsid w:val="00AE1052"/>
    <w:rsid w:val="00AF22FA"/>
    <w:rsid w:val="00AF259F"/>
    <w:rsid w:val="00AF3A15"/>
    <w:rsid w:val="00AF466D"/>
    <w:rsid w:val="00B0245B"/>
    <w:rsid w:val="00B039DC"/>
    <w:rsid w:val="00B058A4"/>
    <w:rsid w:val="00B06E6C"/>
    <w:rsid w:val="00B07CA0"/>
    <w:rsid w:val="00B10E55"/>
    <w:rsid w:val="00B1527A"/>
    <w:rsid w:val="00B22327"/>
    <w:rsid w:val="00B24AA4"/>
    <w:rsid w:val="00B25A01"/>
    <w:rsid w:val="00B30294"/>
    <w:rsid w:val="00B31950"/>
    <w:rsid w:val="00B3624E"/>
    <w:rsid w:val="00B400AF"/>
    <w:rsid w:val="00B401D0"/>
    <w:rsid w:val="00B42C3B"/>
    <w:rsid w:val="00B50260"/>
    <w:rsid w:val="00B5259B"/>
    <w:rsid w:val="00B660B9"/>
    <w:rsid w:val="00B673AE"/>
    <w:rsid w:val="00B73F9A"/>
    <w:rsid w:val="00B74911"/>
    <w:rsid w:val="00B751E4"/>
    <w:rsid w:val="00B755AE"/>
    <w:rsid w:val="00B8090E"/>
    <w:rsid w:val="00B82F92"/>
    <w:rsid w:val="00B834CA"/>
    <w:rsid w:val="00B869D9"/>
    <w:rsid w:val="00B9108E"/>
    <w:rsid w:val="00B93A45"/>
    <w:rsid w:val="00BA1DB0"/>
    <w:rsid w:val="00BA5E71"/>
    <w:rsid w:val="00BA684A"/>
    <w:rsid w:val="00BA6B96"/>
    <w:rsid w:val="00BA7E35"/>
    <w:rsid w:val="00BB00C4"/>
    <w:rsid w:val="00BB3397"/>
    <w:rsid w:val="00BC1BBE"/>
    <w:rsid w:val="00BC58DE"/>
    <w:rsid w:val="00BD0E9C"/>
    <w:rsid w:val="00BD2329"/>
    <w:rsid w:val="00BD2CC3"/>
    <w:rsid w:val="00BD5960"/>
    <w:rsid w:val="00BD6296"/>
    <w:rsid w:val="00BE00BA"/>
    <w:rsid w:val="00BF2B29"/>
    <w:rsid w:val="00BF2BCC"/>
    <w:rsid w:val="00BF7361"/>
    <w:rsid w:val="00C04035"/>
    <w:rsid w:val="00C04108"/>
    <w:rsid w:val="00C07B41"/>
    <w:rsid w:val="00C131AC"/>
    <w:rsid w:val="00C14873"/>
    <w:rsid w:val="00C16A25"/>
    <w:rsid w:val="00C23730"/>
    <w:rsid w:val="00C23D74"/>
    <w:rsid w:val="00C244CE"/>
    <w:rsid w:val="00C279F1"/>
    <w:rsid w:val="00C304FD"/>
    <w:rsid w:val="00C33CED"/>
    <w:rsid w:val="00C36D14"/>
    <w:rsid w:val="00C41F97"/>
    <w:rsid w:val="00C43890"/>
    <w:rsid w:val="00C43B3E"/>
    <w:rsid w:val="00C4400C"/>
    <w:rsid w:val="00C47109"/>
    <w:rsid w:val="00C51577"/>
    <w:rsid w:val="00C562FE"/>
    <w:rsid w:val="00C56E3F"/>
    <w:rsid w:val="00C57225"/>
    <w:rsid w:val="00C61E88"/>
    <w:rsid w:val="00C62CFF"/>
    <w:rsid w:val="00C769ED"/>
    <w:rsid w:val="00C77C29"/>
    <w:rsid w:val="00C77DE1"/>
    <w:rsid w:val="00C80896"/>
    <w:rsid w:val="00C8489E"/>
    <w:rsid w:val="00C859D3"/>
    <w:rsid w:val="00C85E64"/>
    <w:rsid w:val="00C86485"/>
    <w:rsid w:val="00C901C2"/>
    <w:rsid w:val="00C905A0"/>
    <w:rsid w:val="00C932AD"/>
    <w:rsid w:val="00CA2DE8"/>
    <w:rsid w:val="00CA5A90"/>
    <w:rsid w:val="00CA5DAA"/>
    <w:rsid w:val="00CA773D"/>
    <w:rsid w:val="00CA7F48"/>
    <w:rsid w:val="00CB156D"/>
    <w:rsid w:val="00CB2A36"/>
    <w:rsid w:val="00CB65ED"/>
    <w:rsid w:val="00CC0D60"/>
    <w:rsid w:val="00CC1360"/>
    <w:rsid w:val="00CC1383"/>
    <w:rsid w:val="00CC1CF3"/>
    <w:rsid w:val="00CC1DDE"/>
    <w:rsid w:val="00CC22F9"/>
    <w:rsid w:val="00CC2DFF"/>
    <w:rsid w:val="00CC5FE8"/>
    <w:rsid w:val="00CC7A2E"/>
    <w:rsid w:val="00CD2840"/>
    <w:rsid w:val="00CD645E"/>
    <w:rsid w:val="00CE43B1"/>
    <w:rsid w:val="00CE6C2A"/>
    <w:rsid w:val="00CF05BB"/>
    <w:rsid w:val="00CF3AF8"/>
    <w:rsid w:val="00CF5A06"/>
    <w:rsid w:val="00CF5EC2"/>
    <w:rsid w:val="00CF754B"/>
    <w:rsid w:val="00CF7D8F"/>
    <w:rsid w:val="00D0280C"/>
    <w:rsid w:val="00D075C3"/>
    <w:rsid w:val="00D07DA3"/>
    <w:rsid w:val="00D07EC1"/>
    <w:rsid w:val="00D11D09"/>
    <w:rsid w:val="00D233B1"/>
    <w:rsid w:val="00D24273"/>
    <w:rsid w:val="00D24D41"/>
    <w:rsid w:val="00D255AD"/>
    <w:rsid w:val="00D30A7E"/>
    <w:rsid w:val="00D322EA"/>
    <w:rsid w:val="00D34F97"/>
    <w:rsid w:val="00D43C3F"/>
    <w:rsid w:val="00D4403C"/>
    <w:rsid w:val="00D441A1"/>
    <w:rsid w:val="00D44726"/>
    <w:rsid w:val="00D5362C"/>
    <w:rsid w:val="00D64311"/>
    <w:rsid w:val="00D652F0"/>
    <w:rsid w:val="00D66147"/>
    <w:rsid w:val="00D67A10"/>
    <w:rsid w:val="00D7020D"/>
    <w:rsid w:val="00D75013"/>
    <w:rsid w:val="00D80F73"/>
    <w:rsid w:val="00D81527"/>
    <w:rsid w:val="00D82019"/>
    <w:rsid w:val="00D849E6"/>
    <w:rsid w:val="00D873E7"/>
    <w:rsid w:val="00D928CA"/>
    <w:rsid w:val="00DA22A2"/>
    <w:rsid w:val="00DA67D7"/>
    <w:rsid w:val="00DB52F5"/>
    <w:rsid w:val="00DB5663"/>
    <w:rsid w:val="00DB75EC"/>
    <w:rsid w:val="00DC2464"/>
    <w:rsid w:val="00DC5F8D"/>
    <w:rsid w:val="00DC6281"/>
    <w:rsid w:val="00DC708A"/>
    <w:rsid w:val="00DC77AA"/>
    <w:rsid w:val="00DC78D1"/>
    <w:rsid w:val="00DC7A44"/>
    <w:rsid w:val="00DD275B"/>
    <w:rsid w:val="00DD7208"/>
    <w:rsid w:val="00DE2F27"/>
    <w:rsid w:val="00DE31E4"/>
    <w:rsid w:val="00DE4B76"/>
    <w:rsid w:val="00DF0C13"/>
    <w:rsid w:val="00DF155C"/>
    <w:rsid w:val="00DF2D12"/>
    <w:rsid w:val="00DF50F5"/>
    <w:rsid w:val="00DF5404"/>
    <w:rsid w:val="00DF5FF0"/>
    <w:rsid w:val="00DF6602"/>
    <w:rsid w:val="00DF6C06"/>
    <w:rsid w:val="00DF6C6D"/>
    <w:rsid w:val="00DF6E14"/>
    <w:rsid w:val="00DF7613"/>
    <w:rsid w:val="00E05313"/>
    <w:rsid w:val="00E07471"/>
    <w:rsid w:val="00E14726"/>
    <w:rsid w:val="00E1723C"/>
    <w:rsid w:val="00E208A1"/>
    <w:rsid w:val="00E22CA5"/>
    <w:rsid w:val="00E2412E"/>
    <w:rsid w:val="00E25667"/>
    <w:rsid w:val="00E26E0D"/>
    <w:rsid w:val="00E300AE"/>
    <w:rsid w:val="00E350DE"/>
    <w:rsid w:val="00E422AC"/>
    <w:rsid w:val="00E426F6"/>
    <w:rsid w:val="00E44ED5"/>
    <w:rsid w:val="00E50D06"/>
    <w:rsid w:val="00E51383"/>
    <w:rsid w:val="00E54833"/>
    <w:rsid w:val="00E552E0"/>
    <w:rsid w:val="00E63DD2"/>
    <w:rsid w:val="00E6685C"/>
    <w:rsid w:val="00E67956"/>
    <w:rsid w:val="00E712F1"/>
    <w:rsid w:val="00E734F7"/>
    <w:rsid w:val="00E741BD"/>
    <w:rsid w:val="00E75AA1"/>
    <w:rsid w:val="00E81279"/>
    <w:rsid w:val="00E82E3D"/>
    <w:rsid w:val="00E849DE"/>
    <w:rsid w:val="00E86055"/>
    <w:rsid w:val="00E87E61"/>
    <w:rsid w:val="00E90AA5"/>
    <w:rsid w:val="00E9604B"/>
    <w:rsid w:val="00E96639"/>
    <w:rsid w:val="00EA2BCA"/>
    <w:rsid w:val="00EA5B7A"/>
    <w:rsid w:val="00EB29D7"/>
    <w:rsid w:val="00EB3ABA"/>
    <w:rsid w:val="00EB4EDC"/>
    <w:rsid w:val="00EB5A2B"/>
    <w:rsid w:val="00EB7F04"/>
    <w:rsid w:val="00EC0CC5"/>
    <w:rsid w:val="00EC13C9"/>
    <w:rsid w:val="00EC1A63"/>
    <w:rsid w:val="00EC2E81"/>
    <w:rsid w:val="00EC7661"/>
    <w:rsid w:val="00EC76AD"/>
    <w:rsid w:val="00ED03C9"/>
    <w:rsid w:val="00ED2D48"/>
    <w:rsid w:val="00ED52D3"/>
    <w:rsid w:val="00EE1084"/>
    <w:rsid w:val="00EE460D"/>
    <w:rsid w:val="00EE4E16"/>
    <w:rsid w:val="00EE5027"/>
    <w:rsid w:val="00EF03B8"/>
    <w:rsid w:val="00EF1724"/>
    <w:rsid w:val="00EF187F"/>
    <w:rsid w:val="00EF1FF2"/>
    <w:rsid w:val="00EF2B6B"/>
    <w:rsid w:val="00EF33E5"/>
    <w:rsid w:val="00EF34C6"/>
    <w:rsid w:val="00EF723D"/>
    <w:rsid w:val="00F0121E"/>
    <w:rsid w:val="00F01361"/>
    <w:rsid w:val="00F02190"/>
    <w:rsid w:val="00F04411"/>
    <w:rsid w:val="00F049D4"/>
    <w:rsid w:val="00F0556E"/>
    <w:rsid w:val="00F05BCF"/>
    <w:rsid w:val="00F15C7D"/>
    <w:rsid w:val="00F15DC8"/>
    <w:rsid w:val="00F1708D"/>
    <w:rsid w:val="00F1757D"/>
    <w:rsid w:val="00F202AB"/>
    <w:rsid w:val="00F20541"/>
    <w:rsid w:val="00F20DC5"/>
    <w:rsid w:val="00F21AC6"/>
    <w:rsid w:val="00F21BC2"/>
    <w:rsid w:val="00F22EDA"/>
    <w:rsid w:val="00F232B0"/>
    <w:rsid w:val="00F303B1"/>
    <w:rsid w:val="00F33965"/>
    <w:rsid w:val="00F35426"/>
    <w:rsid w:val="00F37FA4"/>
    <w:rsid w:val="00F42437"/>
    <w:rsid w:val="00F46C3B"/>
    <w:rsid w:val="00F477A5"/>
    <w:rsid w:val="00F502C1"/>
    <w:rsid w:val="00F507B3"/>
    <w:rsid w:val="00F51123"/>
    <w:rsid w:val="00F53F62"/>
    <w:rsid w:val="00F56087"/>
    <w:rsid w:val="00F604D5"/>
    <w:rsid w:val="00F61467"/>
    <w:rsid w:val="00F635AE"/>
    <w:rsid w:val="00F66061"/>
    <w:rsid w:val="00F73AE7"/>
    <w:rsid w:val="00F76FFA"/>
    <w:rsid w:val="00F804BA"/>
    <w:rsid w:val="00F8229C"/>
    <w:rsid w:val="00F84134"/>
    <w:rsid w:val="00F86375"/>
    <w:rsid w:val="00F868C9"/>
    <w:rsid w:val="00F90B0B"/>
    <w:rsid w:val="00F90DD2"/>
    <w:rsid w:val="00F936D7"/>
    <w:rsid w:val="00F947B4"/>
    <w:rsid w:val="00FA6990"/>
    <w:rsid w:val="00FA7944"/>
    <w:rsid w:val="00FB0AE8"/>
    <w:rsid w:val="00FB5F59"/>
    <w:rsid w:val="00FB67C2"/>
    <w:rsid w:val="00FC07E3"/>
    <w:rsid w:val="00FC401B"/>
    <w:rsid w:val="00FC44C0"/>
    <w:rsid w:val="00FC7475"/>
    <w:rsid w:val="00FD4238"/>
    <w:rsid w:val="00FD647E"/>
    <w:rsid w:val="00FE014D"/>
    <w:rsid w:val="00FE0834"/>
    <w:rsid w:val="00FE1565"/>
    <w:rsid w:val="00FE2C7B"/>
    <w:rsid w:val="00FE3731"/>
    <w:rsid w:val="00FE52F1"/>
    <w:rsid w:val="00FF085E"/>
    <w:rsid w:val="00FF16EC"/>
    <w:rsid w:val="00FF3498"/>
    <w:rsid w:val="00FF5461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3A085B5"/>
  <w15:chartTrackingRefBased/>
  <w15:docId w15:val="{57F5ED9D-46C5-493E-8E4C-4C53065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9E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5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1757D"/>
  </w:style>
  <w:style w:type="character" w:styleId="Hyperlink">
    <w:name w:val="Hyperlink"/>
    <w:basedOn w:val="DefaultParagraphFont"/>
    <w:uiPriority w:val="99"/>
    <w:unhideWhenUsed/>
    <w:rsid w:val="00F1757D"/>
    <w:rPr>
      <w:color w:val="0000FF"/>
      <w:u w:val="single"/>
    </w:rPr>
  </w:style>
  <w:style w:type="paragraph" w:customStyle="1" w:styleId="tv213">
    <w:name w:val="tv213"/>
    <w:basedOn w:val="Normal"/>
    <w:rsid w:val="008513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10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81C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81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281C"/>
    <w:rPr>
      <w:vertAlign w:val="superscript"/>
    </w:rPr>
  </w:style>
  <w:style w:type="character" w:customStyle="1" w:styleId="labojumupamats">
    <w:name w:val="labojumu_pamats"/>
    <w:basedOn w:val="DefaultParagraphFont"/>
    <w:rsid w:val="00E2412E"/>
  </w:style>
  <w:style w:type="paragraph" w:customStyle="1" w:styleId="ListParagraph1">
    <w:name w:val="List Paragraph1"/>
    <w:basedOn w:val="Normal"/>
    <w:rsid w:val="00E2412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7B5F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5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6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849E6"/>
    <w:rPr>
      <w:rFonts w:eastAsia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5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1057"/>
    <w:rPr>
      <w:color w:val="800080"/>
      <w:u w:val="single"/>
    </w:rPr>
  </w:style>
  <w:style w:type="character" w:customStyle="1" w:styleId="red">
    <w:name w:val="red"/>
    <w:basedOn w:val="DefaultParagraphFont"/>
    <w:rsid w:val="00AC1057"/>
  </w:style>
  <w:style w:type="paragraph" w:customStyle="1" w:styleId="tvhtml">
    <w:name w:val="tv_html"/>
    <w:basedOn w:val="Normal"/>
    <w:rsid w:val="00AC10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AC1057"/>
    <w:rPr>
      <w:i/>
      <w:iCs/>
    </w:rPr>
  </w:style>
  <w:style w:type="character" w:customStyle="1" w:styleId="tvhtml1">
    <w:name w:val="tv_html1"/>
    <w:basedOn w:val="DefaultParagraphFont"/>
    <w:rsid w:val="00AC1057"/>
  </w:style>
  <w:style w:type="character" w:customStyle="1" w:styleId="fontsize2">
    <w:name w:val="fontsize2"/>
    <w:basedOn w:val="DefaultParagraphFont"/>
    <w:rsid w:val="00AC1057"/>
  </w:style>
  <w:style w:type="paragraph" w:customStyle="1" w:styleId="labojumupamats1">
    <w:name w:val="labojumu_pamats1"/>
    <w:basedOn w:val="Normal"/>
    <w:rsid w:val="00AC10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Caption">
    <w:name w:val="caption"/>
    <w:basedOn w:val="Normal"/>
    <w:next w:val="Normal"/>
    <w:uiPriority w:val="35"/>
    <w:unhideWhenUsed/>
    <w:qFormat/>
    <w:rsid w:val="00AC1057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customStyle="1" w:styleId="naislab">
    <w:name w:val="naislab"/>
    <w:basedOn w:val="Normal"/>
    <w:rsid w:val="002A247F"/>
    <w:pPr>
      <w:spacing w:before="63" w:after="63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AC080B"/>
    <w:pPr>
      <w:keepLines/>
      <w:widowControl w:val="0"/>
      <w:spacing w:before="600"/>
    </w:pPr>
    <w:rPr>
      <w:rFonts w:eastAsia="Times New Roman" w:cs="Times New Roman"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002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02"/>
  </w:style>
  <w:style w:type="paragraph" w:styleId="Footer">
    <w:name w:val="footer"/>
    <w:basedOn w:val="Normal"/>
    <w:link w:val="FooterChar"/>
    <w:uiPriority w:val="99"/>
    <w:unhideWhenUsed/>
    <w:rsid w:val="000002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02"/>
  </w:style>
  <w:style w:type="character" w:styleId="Mention">
    <w:name w:val="Mention"/>
    <w:basedOn w:val="DefaultParagraphFont"/>
    <w:uiPriority w:val="99"/>
    <w:semiHidden/>
    <w:unhideWhenUsed/>
    <w:rsid w:val="00700F3A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E26E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26E0D"/>
  </w:style>
  <w:style w:type="paragraph" w:customStyle="1" w:styleId="naisf">
    <w:name w:val="naisf"/>
    <w:basedOn w:val="Normal"/>
    <w:rsid w:val="00EF187F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Default">
    <w:name w:val="Default"/>
    <w:rsid w:val="00EF187F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9549E"/>
    <w:pPr>
      <w:jc w:val="center"/>
    </w:pPr>
    <w:rPr>
      <w:rFonts w:eastAsia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A9549E"/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5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16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5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1998/70/oj/?locale=LV" TargetMode="External"/><Relationship Id="rId13" Type="http://schemas.openxmlformats.org/officeDocument/2006/relationships/hyperlink" Target="http://eur-lex.europa.eu/eli/dir/1998/70/oj/?locale=LV" TargetMode="External"/><Relationship Id="rId18" Type="http://schemas.openxmlformats.org/officeDocument/2006/relationships/hyperlink" Target="http://eur-lex.europa.eu/eli/dir/2011/63/oj/?locale=LV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ur-lex.europa.eu/eli/dir/1998/70/oj/?locale=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dir/2003/17/oj/?locale=LV" TargetMode="External"/><Relationship Id="rId17" Type="http://schemas.openxmlformats.org/officeDocument/2006/relationships/hyperlink" Target="http://eur-lex.europa.eu/eli/dir/1993/12/oj/?locale=LV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dir/1999/32/oj/?locale=LV" TargetMode="External"/><Relationship Id="rId20" Type="http://schemas.openxmlformats.org/officeDocument/2006/relationships/hyperlink" Target="http://eur-lex.europa.eu/eli/dir/2014/77/oj/?locale=L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dir/1998/70/oj/?locale=LV" TargetMode="External"/><Relationship Id="rId24" Type="http://schemas.openxmlformats.org/officeDocument/2006/relationships/hyperlink" Target="http://eur-lex.europa.eu/eli/dir/2009/28/oj/?locale=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dir/1998/70/oj/?locale=LV" TargetMode="External"/><Relationship Id="rId23" Type="http://schemas.openxmlformats.org/officeDocument/2006/relationships/hyperlink" Target="http://eur-lex.europa.eu/eli/dir/1998/70/oj/?locale=L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ur-lex.europa.eu/eli/dir/2000/71/oj/?locale=LV" TargetMode="External"/><Relationship Id="rId19" Type="http://schemas.openxmlformats.org/officeDocument/2006/relationships/hyperlink" Target="http://eur-lex.europa.eu/eli/dir/1998/70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1993/12/oj/?locale=LV" TargetMode="External"/><Relationship Id="rId14" Type="http://schemas.openxmlformats.org/officeDocument/2006/relationships/hyperlink" Target="http://eur-lex.europa.eu/eli/dir/2009/30/oj/?locale=LV" TargetMode="External"/><Relationship Id="rId22" Type="http://schemas.openxmlformats.org/officeDocument/2006/relationships/hyperlink" Target="http://eur-lex.europa.eu/eli/dir/2015/1513/oj/?locale=LV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1E10-B832-45FF-9464-A5502621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8856</Words>
  <Characters>5049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2000.gada 26.septembra noteikumos Nr.332 “Noteikumi par benzīna un dīzeļdegvielas atbilstības novērtēšanu”</vt:lpstr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2000.gada 26.septembra noteikumos Nr.332 “Noteikumi par benzīna un dīzeļdegvielas atbilstības novērtēšanu”</dc:title>
  <dc:subject/>
  <dc:creator>EM</dc:creator>
  <cp:keywords>MK noteikumi</cp:keywords>
  <dc:description>67013149, Mikus.Ramanis@em.gov.lv</dc:description>
  <cp:lastModifiedBy>Mikus Ramanis</cp:lastModifiedBy>
  <cp:revision>6</cp:revision>
  <cp:lastPrinted>2017-11-07T14:02:00Z</cp:lastPrinted>
  <dcterms:created xsi:type="dcterms:W3CDTF">2019-12-02T14:44:00Z</dcterms:created>
  <dcterms:modified xsi:type="dcterms:W3CDTF">2019-12-03T13:13:00Z</dcterms:modified>
</cp:coreProperties>
</file>