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Default="00747EEC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D78A8" w14:textId="7BEC23AD" w:rsidR="0070665D" w:rsidRPr="00771904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201</w:t>
      </w:r>
      <w:r w:rsidR="00747EEC">
        <w:rPr>
          <w:rFonts w:ascii="Times New Roman" w:hAnsi="Times New Roman" w:cs="Times New Roman"/>
          <w:sz w:val="28"/>
          <w:szCs w:val="28"/>
        </w:rPr>
        <w:t>9</w:t>
      </w:r>
      <w:r w:rsidRPr="00771904">
        <w:rPr>
          <w:rFonts w:ascii="Times New Roman" w:hAnsi="Times New Roman" w:cs="Times New Roman"/>
          <w:sz w:val="28"/>
          <w:szCs w:val="28"/>
        </w:rPr>
        <w:t>.gada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53C002D6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23B89936" w14:textId="35E4601E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A773E" w14:textId="77777777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77777777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2016.gada 31.maija noteikumos Nr.328 „</w:t>
      </w:r>
      <w:r w:rsidRPr="00771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mikroaizdevumiem un starta aizdevumiem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2218803" w14:textId="4D6838D9" w:rsidR="0070665D" w:rsidRDefault="0070665D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3259B0E7" w14:textId="77777777" w:rsidR="00771904" w:rsidRPr="00771904" w:rsidRDefault="00771904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2B6B8A99" w14:textId="77777777" w:rsidR="0070665D" w:rsidRPr="00771904" w:rsidRDefault="0070665D" w:rsidP="0070665D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Izdoti saskaņā ar</w:t>
      </w:r>
    </w:p>
    <w:p w14:paraId="57B0C933" w14:textId="77777777" w:rsidR="0070665D" w:rsidRPr="00771904" w:rsidRDefault="00617DEF" w:rsidP="0070665D">
      <w:pPr>
        <w:pStyle w:val="naislab"/>
        <w:spacing w:before="0" w:after="0"/>
        <w:rPr>
          <w:i/>
          <w:sz w:val="28"/>
          <w:szCs w:val="28"/>
        </w:rPr>
      </w:pPr>
      <w:hyperlink r:id="rId8" w:tgtFrame="_blank" w:history="1">
        <w:r w:rsidR="0070665D" w:rsidRPr="00771904">
          <w:rPr>
            <w:i/>
            <w:sz w:val="28"/>
            <w:szCs w:val="28"/>
          </w:rPr>
          <w:t>Eiropas Savienības struktūrfondu un</w:t>
        </w:r>
        <w:r w:rsidR="0070665D" w:rsidRPr="00771904">
          <w:rPr>
            <w:i/>
            <w:sz w:val="28"/>
            <w:szCs w:val="28"/>
          </w:rPr>
          <w:br/>
          <w:t>Kohēzijas fonda 2014.–2020. gada plānošanas perioda</w:t>
        </w:r>
        <w:r w:rsidR="0070665D" w:rsidRPr="00771904">
          <w:rPr>
            <w:i/>
            <w:sz w:val="28"/>
            <w:szCs w:val="28"/>
          </w:rPr>
          <w:br/>
          <w:t>vadības likuma</w:t>
        </w:r>
      </w:hyperlink>
      <w:r w:rsidR="0070665D" w:rsidRPr="00771904">
        <w:rPr>
          <w:i/>
          <w:sz w:val="28"/>
          <w:szCs w:val="28"/>
        </w:rPr>
        <w:t> </w:t>
      </w:r>
      <w:hyperlink r:id="rId9" w:anchor="p20" w:tgtFrame="_blank" w:history="1">
        <w:r w:rsidR="0070665D" w:rsidRPr="00771904">
          <w:rPr>
            <w:i/>
            <w:sz w:val="28"/>
            <w:szCs w:val="28"/>
          </w:rPr>
          <w:t>20. pant</w:t>
        </w:r>
      </w:hyperlink>
      <w:r w:rsidR="0070665D" w:rsidRPr="00771904">
        <w:rPr>
          <w:i/>
          <w:sz w:val="28"/>
          <w:szCs w:val="28"/>
        </w:rPr>
        <w:t xml:space="preserve">a 14.punktu un </w:t>
      </w:r>
    </w:p>
    <w:p w14:paraId="34239D84" w14:textId="77777777" w:rsidR="0070665D" w:rsidRPr="00771904" w:rsidRDefault="0070665D" w:rsidP="0070665D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 xml:space="preserve">Attīstības finanšu institūcijas likuma </w:t>
      </w:r>
    </w:p>
    <w:p w14:paraId="555EB1AF" w14:textId="77777777" w:rsidR="0070665D" w:rsidRPr="00771904" w:rsidRDefault="0070665D" w:rsidP="0070665D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12.panta ceturto daļu</w:t>
      </w:r>
    </w:p>
    <w:p w14:paraId="2CD37385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47039334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6F32FC38" w14:textId="07C10DC9" w:rsidR="0070665D" w:rsidRPr="00771904" w:rsidRDefault="0070665D" w:rsidP="0070665D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>2016.gada 31.maija noteikumos Nr.328 „Noteikumi par mikroaizdevumiem un starta aizdevumiem”</w:t>
      </w:r>
      <w:r w:rsidRPr="00771904">
        <w:rPr>
          <w:rFonts w:ascii="Times New Roman" w:hAnsi="Times New Roman" w:cs="Times New Roman"/>
          <w:sz w:val="28"/>
          <w:szCs w:val="28"/>
        </w:rPr>
        <w:t xml:space="preserve"> </w:t>
      </w:r>
      <w:r w:rsidRPr="008E6361">
        <w:rPr>
          <w:rFonts w:ascii="Times New Roman" w:hAnsi="Times New Roman" w:cs="Times New Roman"/>
          <w:i/>
          <w:sz w:val="28"/>
          <w:szCs w:val="28"/>
        </w:rPr>
        <w:t xml:space="preserve">(Latvijas Vēstnesis, 2016,  </w:t>
      </w:r>
      <w:r w:rsidR="00B90537" w:rsidRPr="008E6361">
        <w:rPr>
          <w:rFonts w:ascii="Times New Roman" w:hAnsi="Times New Roman" w:cs="Times New Roman"/>
          <w:i/>
          <w:sz w:val="28"/>
          <w:szCs w:val="28"/>
        </w:rPr>
        <w:t>106. nr</w:t>
      </w:r>
      <w:r w:rsidR="005E5A8E" w:rsidRPr="008E636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470C4" w:rsidRPr="008E6361">
        <w:rPr>
          <w:rFonts w:ascii="Times New Roman" w:hAnsi="Times New Roman" w:cs="Times New Roman"/>
          <w:i/>
          <w:sz w:val="28"/>
          <w:szCs w:val="28"/>
        </w:rPr>
        <w:t>2018, 23. nr.; 2018, 90. nr.</w:t>
      </w:r>
      <w:r w:rsidR="00484223">
        <w:rPr>
          <w:rFonts w:ascii="Times New Roman" w:hAnsi="Times New Roman" w:cs="Times New Roman"/>
          <w:i/>
          <w:sz w:val="28"/>
          <w:szCs w:val="28"/>
        </w:rPr>
        <w:t>, 232. nr.</w:t>
      </w:r>
      <w:r w:rsidRPr="00675611">
        <w:rPr>
          <w:rFonts w:ascii="Times New Roman" w:hAnsi="Times New Roman" w:cs="Times New Roman"/>
          <w:i/>
          <w:sz w:val="28"/>
          <w:szCs w:val="28"/>
        </w:rPr>
        <w:t>)</w:t>
      </w:r>
      <w:r w:rsidRPr="00771904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75500ED4" w14:textId="2EE97A1D" w:rsidR="00F05A18" w:rsidRPr="00201CFA" w:rsidRDefault="00F05A18" w:rsidP="00201CFA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9A61DFF" w14:textId="20263871" w:rsidR="00117643" w:rsidRPr="00157AE5" w:rsidRDefault="002154F5" w:rsidP="00834E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CFA">
        <w:rPr>
          <w:rFonts w:ascii="Times New Roman" w:hAnsi="Times New Roman" w:cs="Times New Roman"/>
          <w:sz w:val="28"/>
          <w:szCs w:val="28"/>
        </w:rPr>
        <w:t>i</w:t>
      </w:r>
      <w:r w:rsidR="00CC3C08" w:rsidRPr="00157AE5">
        <w:rPr>
          <w:rFonts w:ascii="Times New Roman" w:hAnsi="Times New Roman" w:cs="Times New Roman"/>
          <w:sz w:val="28"/>
          <w:szCs w:val="28"/>
        </w:rPr>
        <w:t xml:space="preserve">zteikt </w:t>
      </w:r>
      <w:r w:rsidR="008A7641" w:rsidRPr="00157AE5">
        <w:rPr>
          <w:rFonts w:ascii="Times New Roman" w:hAnsi="Times New Roman" w:cs="Times New Roman"/>
          <w:sz w:val="28"/>
          <w:szCs w:val="28"/>
        </w:rPr>
        <w:t>5</w:t>
      </w:r>
      <w:r w:rsidR="00CC3C08" w:rsidRPr="00157AE5">
        <w:rPr>
          <w:rFonts w:ascii="Times New Roman" w:hAnsi="Times New Roman" w:cs="Times New Roman"/>
          <w:sz w:val="28"/>
          <w:szCs w:val="28"/>
        </w:rPr>
        <w:t>.</w:t>
      </w:r>
      <w:r w:rsidR="008A7641" w:rsidRPr="00157AE5">
        <w:rPr>
          <w:rFonts w:ascii="Times New Roman" w:hAnsi="Times New Roman" w:cs="Times New Roman"/>
          <w:sz w:val="28"/>
          <w:szCs w:val="28"/>
        </w:rPr>
        <w:t>punktu</w:t>
      </w:r>
      <w:r w:rsidR="009532FB" w:rsidRPr="00157AE5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CC3C08" w:rsidRPr="00157AE5">
        <w:rPr>
          <w:rFonts w:ascii="Times New Roman" w:hAnsi="Times New Roman" w:cs="Times New Roman"/>
          <w:sz w:val="28"/>
          <w:szCs w:val="28"/>
        </w:rPr>
        <w:t>:</w:t>
      </w:r>
    </w:p>
    <w:p w14:paraId="340C8001" w14:textId="450B9633" w:rsidR="00747EEC" w:rsidRPr="002B25D8" w:rsidRDefault="00747EEC" w:rsidP="00747EEC">
      <w:pPr>
        <w:pStyle w:val="tv213"/>
        <w:shd w:val="clear" w:color="auto" w:fill="FFFFFF"/>
        <w:spacing w:before="0" w:beforeAutospacing="0" w:after="0" w:afterAutospacing="0" w:line="293" w:lineRule="atLeast"/>
        <w:ind w:left="284" w:firstLine="16"/>
        <w:jc w:val="both"/>
        <w:rPr>
          <w:sz w:val="28"/>
          <w:szCs w:val="28"/>
        </w:rPr>
      </w:pPr>
      <w:r w:rsidRPr="002B25D8">
        <w:rPr>
          <w:sz w:val="28"/>
          <w:szCs w:val="28"/>
        </w:rPr>
        <w:t xml:space="preserve">“5. Pasākumam paredzētais un papildus pieejamais finansējums aizdevumu izsniegšanai un sabiedrības Altum pārvaldības izmaksām ir </w:t>
      </w:r>
      <w:r w:rsidR="00AE0610">
        <w:rPr>
          <w:sz w:val="28"/>
          <w:szCs w:val="28"/>
        </w:rPr>
        <w:t>34 297 554</w:t>
      </w:r>
      <w:r w:rsidRPr="002B25D8">
        <w:rPr>
          <w:sz w:val="28"/>
          <w:szCs w:val="28"/>
        </w:rPr>
        <w:t> </w:t>
      </w:r>
      <w:r w:rsidRPr="00AE0610">
        <w:rPr>
          <w:i/>
          <w:iCs/>
          <w:sz w:val="28"/>
          <w:szCs w:val="28"/>
        </w:rPr>
        <w:t>euro</w:t>
      </w:r>
      <w:r w:rsidRPr="002B25D8">
        <w:rPr>
          <w:sz w:val="28"/>
          <w:szCs w:val="28"/>
        </w:rPr>
        <w:t>, tai skaitā:</w:t>
      </w:r>
    </w:p>
    <w:p w14:paraId="5E976EE4" w14:textId="3A38A256" w:rsidR="00747EEC" w:rsidRPr="002B25D8" w:rsidRDefault="00747EEC" w:rsidP="00747EEC">
      <w:pPr>
        <w:pStyle w:val="tv213"/>
        <w:shd w:val="clear" w:color="auto" w:fill="FFFFFF"/>
        <w:spacing w:before="0" w:beforeAutospacing="0" w:after="0" w:afterAutospacing="0" w:line="293" w:lineRule="atLeast"/>
        <w:ind w:left="284" w:firstLine="16"/>
        <w:jc w:val="both"/>
        <w:rPr>
          <w:sz w:val="28"/>
          <w:szCs w:val="28"/>
        </w:rPr>
      </w:pPr>
      <w:r w:rsidRPr="002B25D8">
        <w:rPr>
          <w:sz w:val="28"/>
          <w:szCs w:val="28"/>
        </w:rPr>
        <w:t xml:space="preserve">5.1. Eiropas Reģionālās attīstības fonda finansējums – </w:t>
      </w:r>
      <w:r w:rsidR="002B25D8" w:rsidRPr="002B25D8">
        <w:rPr>
          <w:sz w:val="28"/>
          <w:szCs w:val="28"/>
        </w:rPr>
        <w:t>6 797 554</w:t>
      </w:r>
      <w:r w:rsidRPr="002B25D8">
        <w:rPr>
          <w:sz w:val="28"/>
          <w:szCs w:val="28"/>
        </w:rPr>
        <w:t> euro;</w:t>
      </w:r>
    </w:p>
    <w:p w14:paraId="72861A6F" w14:textId="48685344" w:rsidR="00747EEC" w:rsidRPr="002B25D8" w:rsidRDefault="00747EEC" w:rsidP="00747EEC">
      <w:pPr>
        <w:pStyle w:val="tv213"/>
        <w:shd w:val="clear" w:color="auto" w:fill="FFFFFF"/>
        <w:spacing w:before="0" w:beforeAutospacing="0" w:after="0" w:afterAutospacing="0" w:line="293" w:lineRule="atLeast"/>
        <w:ind w:left="284" w:firstLine="16"/>
        <w:jc w:val="both"/>
        <w:rPr>
          <w:sz w:val="28"/>
          <w:szCs w:val="28"/>
        </w:rPr>
      </w:pPr>
      <w:r w:rsidRPr="002B25D8">
        <w:rPr>
          <w:sz w:val="28"/>
          <w:szCs w:val="28"/>
        </w:rPr>
        <w:t>5.</w:t>
      </w:r>
      <w:r w:rsidR="002B25D8" w:rsidRPr="002B25D8">
        <w:rPr>
          <w:sz w:val="28"/>
          <w:szCs w:val="28"/>
        </w:rPr>
        <w:t>3</w:t>
      </w:r>
      <w:r w:rsidRPr="002B25D8">
        <w:rPr>
          <w:sz w:val="28"/>
          <w:szCs w:val="28"/>
        </w:rPr>
        <w:t>. sabiedrības Altum piesaistītais finansējums – 23 000 000 euro;</w:t>
      </w:r>
    </w:p>
    <w:p w14:paraId="1DB10CF6" w14:textId="2676C2E6" w:rsidR="00747EEC" w:rsidRPr="002B25D8" w:rsidRDefault="00747EEC" w:rsidP="00747EEC">
      <w:pPr>
        <w:pStyle w:val="tv213"/>
        <w:shd w:val="clear" w:color="auto" w:fill="FFFFFF"/>
        <w:spacing w:before="0" w:beforeAutospacing="0" w:after="0" w:afterAutospacing="0" w:line="293" w:lineRule="atLeast"/>
        <w:ind w:left="284" w:firstLine="16"/>
        <w:jc w:val="both"/>
        <w:rPr>
          <w:sz w:val="28"/>
          <w:szCs w:val="28"/>
        </w:rPr>
      </w:pPr>
      <w:r w:rsidRPr="002B25D8">
        <w:rPr>
          <w:sz w:val="28"/>
          <w:szCs w:val="28"/>
        </w:rPr>
        <w:t>5.</w:t>
      </w:r>
      <w:r w:rsidR="002B25D8" w:rsidRPr="002B25D8">
        <w:rPr>
          <w:sz w:val="28"/>
          <w:szCs w:val="28"/>
        </w:rPr>
        <w:t>4</w:t>
      </w:r>
      <w:r w:rsidRPr="002B25D8">
        <w:rPr>
          <w:sz w:val="28"/>
          <w:szCs w:val="28"/>
        </w:rPr>
        <w:t>. Eiropas Savienības struktūrfondu un Kohēzijas fonda 2007.–2013. gada plānošanas perioda darbības programmas "Cilvēkresursi un nodarbinātība" papildinājuma 1.3.1.2. aktivitātes "Atbalsts pašnodarbinātības un uzņēmējdarbības uzsākšanai" ietvaros atmaksāto līdzekļu publiskais finansējums – 2 500 000 euro;</w:t>
      </w:r>
    </w:p>
    <w:p w14:paraId="2C4AFDEE" w14:textId="063DD476" w:rsidR="00747EEC" w:rsidRPr="002B25D8" w:rsidRDefault="00747EEC" w:rsidP="00747EEC">
      <w:pPr>
        <w:pStyle w:val="tv213"/>
        <w:shd w:val="clear" w:color="auto" w:fill="FFFFFF"/>
        <w:spacing w:before="0" w:beforeAutospacing="0" w:after="0" w:afterAutospacing="0" w:line="293" w:lineRule="atLeast"/>
        <w:ind w:left="284" w:firstLine="16"/>
        <w:jc w:val="both"/>
        <w:rPr>
          <w:sz w:val="28"/>
          <w:szCs w:val="28"/>
        </w:rPr>
      </w:pPr>
      <w:r w:rsidRPr="002B25D8">
        <w:rPr>
          <w:sz w:val="28"/>
          <w:szCs w:val="28"/>
        </w:rPr>
        <w:t>5</w:t>
      </w:r>
      <w:r w:rsidR="002B25D8" w:rsidRPr="002B25D8">
        <w:rPr>
          <w:sz w:val="28"/>
          <w:szCs w:val="28"/>
        </w:rPr>
        <w:t>.5</w:t>
      </w:r>
      <w:r w:rsidRPr="002B25D8">
        <w:rPr>
          <w:sz w:val="28"/>
          <w:szCs w:val="28"/>
        </w:rPr>
        <w:t>. darbības programmas "Uzņēmējdarbība un inovācijas" papildinājuma 2.2.1.4.1. apakšaktivitātes "Atbalsts aizdevumu veidā komersantu konkurētspējas uzlabošanai" ietvaros atmaksāto līdzekļu publiskais finansējums – 2 000 000 euro.”</w:t>
      </w:r>
    </w:p>
    <w:p w14:paraId="55BDCEC2" w14:textId="6DB1DD70" w:rsidR="008D3F6F" w:rsidRPr="00747EEC" w:rsidRDefault="008D3F6F" w:rsidP="0077190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B890048" w14:textId="7EE76649" w:rsidR="008D3F6F" w:rsidRPr="0064220D" w:rsidRDefault="002154F5" w:rsidP="000F3B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0D">
        <w:rPr>
          <w:rFonts w:ascii="Times New Roman" w:hAnsi="Times New Roman" w:cs="Times New Roman"/>
          <w:sz w:val="28"/>
          <w:szCs w:val="28"/>
        </w:rPr>
        <w:t>a</w:t>
      </w:r>
      <w:r w:rsidR="000F3B9A" w:rsidRPr="0064220D">
        <w:rPr>
          <w:rFonts w:ascii="Times New Roman" w:hAnsi="Times New Roman" w:cs="Times New Roman"/>
          <w:sz w:val="28"/>
          <w:szCs w:val="28"/>
        </w:rPr>
        <w:t>izstāt</w:t>
      </w:r>
      <w:r w:rsidR="008D3F6F" w:rsidRPr="0064220D">
        <w:rPr>
          <w:rFonts w:ascii="Times New Roman" w:hAnsi="Times New Roman" w:cs="Times New Roman"/>
          <w:sz w:val="28"/>
          <w:szCs w:val="28"/>
        </w:rPr>
        <w:t xml:space="preserve"> </w:t>
      </w:r>
      <w:r w:rsidR="0064220D">
        <w:rPr>
          <w:rFonts w:ascii="Times New Roman" w:hAnsi="Times New Roman" w:cs="Times New Roman"/>
          <w:sz w:val="28"/>
          <w:szCs w:val="28"/>
        </w:rPr>
        <w:t>8.3.apakš</w:t>
      </w:r>
      <w:r w:rsidR="008D3F6F" w:rsidRPr="0064220D">
        <w:rPr>
          <w:rFonts w:ascii="Times New Roman" w:hAnsi="Times New Roman" w:cs="Times New Roman"/>
          <w:sz w:val="28"/>
          <w:szCs w:val="28"/>
        </w:rPr>
        <w:t xml:space="preserve">punktā </w:t>
      </w:r>
      <w:bookmarkStart w:id="0" w:name="_GoBack"/>
      <w:bookmarkEnd w:id="0"/>
      <w:r w:rsidR="0064220D">
        <w:rPr>
          <w:rFonts w:ascii="Times New Roman" w:hAnsi="Times New Roman" w:cs="Times New Roman"/>
          <w:sz w:val="28"/>
          <w:szCs w:val="28"/>
        </w:rPr>
        <w:t>skaitli “624” ar “511”</w:t>
      </w:r>
      <w:r w:rsidRPr="0064220D">
        <w:rPr>
          <w:rFonts w:ascii="Times New Roman" w:hAnsi="Times New Roman" w:cs="Times New Roman"/>
          <w:sz w:val="28"/>
          <w:szCs w:val="28"/>
        </w:rPr>
        <w:t>;</w:t>
      </w:r>
    </w:p>
    <w:p w14:paraId="7C611DF4" w14:textId="77777777" w:rsidR="008D3F6F" w:rsidRPr="00747EEC" w:rsidRDefault="008D3F6F" w:rsidP="008D3F6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191EA8" w14:textId="49C7E86D" w:rsidR="00771904" w:rsidRDefault="002154F5" w:rsidP="007719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6">
        <w:rPr>
          <w:rFonts w:ascii="Times New Roman" w:hAnsi="Times New Roman" w:cs="Times New Roman"/>
          <w:sz w:val="28"/>
          <w:szCs w:val="28"/>
        </w:rPr>
        <w:t>i</w:t>
      </w:r>
      <w:r w:rsidR="00771904" w:rsidRPr="00716E66">
        <w:rPr>
          <w:rFonts w:ascii="Times New Roman" w:hAnsi="Times New Roman" w:cs="Times New Roman"/>
          <w:sz w:val="28"/>
          <w:szCs w:val="28"/>
        </w:rPr>
        <w:t xml:space="preserve">zteikt </w:t>
      </w:r>
      <w:r w:rsidR="00716E66" w:rsidRPr="00716E66">
        <w:rPr>
          <w:rFonts w:ascii="Times New Roman" w:hAnsi="Times New Roman" w:cs="Times New Roman"/>
          <w:sz w:val="28"/>
          <w:szCs w:val="28"/>
        </w:rPr>
        <w:t>11.8</w:t>
      </w:r>
      <w:r w:rsidR="00771904" w:rsidRPr="00716E66">
        <w:rPr>
          <w:rFonts w:ascii="Times New Roman" w:hAnsi="Times New Roman" w:cs="Times New Roman"/>
          <w:sz w:val="28"/>
          <w:szCs w:val="28"/>
        </w:rPr>
        <w:t>.</w:t>
      </w:r>
      <w:r w:rsidR="00580EC8">
        <w:rPr>
          <w:rFonts w:ascii="Times New Roman" w:hAnsi="Times New Roman" w:cs="Times New Roman"/>
          <w:sz w:val="28"/>
          <w:szCs w:val="28"/>
        </w:rPr>
        <w:t>apakš</w:t>
      </w:r>
      <w:r w:rsidR="00771904" w:rsidRPr="00716E6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CF83D0B" w14:textId="0BA2D74A" w:rsidR="0064220D" w:rsidRPr="00716E66" w:rsidRDefault="00716E66" w:rsidP="00484223">
      <w:pPr>
        <w:pStyle w:val="tv213"/>
        <w:shd w:val="clear" w:color="auto" w:fill="FFFFFF"/>
        <w:spacing w:before="0" w:beforeAutospacing="0" w:after="0" w:afterAutospacing="0" w:line="293" w:lineRule="atLeast"/>
        <w:ind w:left="284" w:firstLine="16"/>
        <w:jc w:val="both"/>
        <w:rPr>
          <w:sz w:val="28"/>
          <w:szCs w:val="28"/>
        </w:rPr>
      </w:pPr>
      <w:r w:rsidRPr="00716E66">
        <w:rPr>
          <w:sz w:val="28"/>
          <w:szCs w:val="28"/>
        </w:rPr>
        <w:lastRenderedPageBreak/>
        <w:t xml:space="preserve">“11.8. operācijām ar nekustamo īpašumu (NACE 2. redakcijas L sadaļa "Operācijas ar nekustamo īpašumu", izņemot </w:t>
      </w:r>
      <w:r w:rsidR="00484223">
        <w:rPr>
          <w:sz w:val="28"/>
          <w:szCs w:val="28"/>
        </w:rPr>
        <w:t>grupu</w:t>
      </w:r>
      <w:r w:rsidR="0064220D" w:rsidRPr="00716E66">
        <w:rPr>
          <w:sz w:val="28"/>
          <w:szCs w:val="28"/>
        </w:rPr>
        <w:t xml:space="preserve"> </w:t>
      </w:r>
      <w:r w:rsidR="00484223" w:rsidRPr="00716E66">
        <w:rPr>
          <w:sz w:val="28"/>
          <w:szCs w:val="28"/>
        </w:rPr>
        <w:t>68.20 "Sava vai nomāta nekustamā īpašuma izīrēšana un pārvaldīšana", ja paredzēta industriālā nekustamā īpašuma attīstīšana vai nekustamā īpašuma attīstīšana, lai to nodotu viesu izmitināšanas un apkalpošanas operatoram</w:t>
      </w:r>
      <w:r w:rsidR="00484223">
        <w:rPr>
          <w:sz w:val="28"/>
          <w:szCs w:val="28"/>
        </w:rPr>
        <w:t xml:space="preserve">” un grupu </w:t>
      </w:r>
      <w:r w:rsidR="0064220D" w:rsidRPr="00716E66">
        <w:rPr>
          <w:sz w:val="28"/>
          <w:szCs w:val="28"/>
        </w:rPr>
        <w:t>68.32 "Nekustamā īpašuma pārvaldīšana par atlīdzību vai uz līguma pamata"</w:t>
      </w:r>
      <w:r w:rsidR="00484223">
        <w:rPr>
          <w:sz w:val="28"/>
          <w:szCs w:val="28"/>
        </w:rPr>
        <w:t>)</w:t>
      </w:r>
      <w:r w:rsidR="0064220D" w:rsidRPr="00716E66">
        <w:rPr>
          <w:sz w:val="28"/>
          <w:szCs w:val="28"/>
        </w:rPr>
        <w:t>;</w:t>
      </w:r>
    </w:p>
    <w:p w14:paraId="4019F0EE" w14:textId="77777777" w:rsidR="00ED368C" w:rsidRDefault="00ED368C" w:rsidP="00716E66">
      <w:pPr>
        <w:pStyle w:val="tv213"/>
        <w:shd w:val="clear" w:color="auto" w:fill="FFFFFF"/>
        <w:spacing w:before="0" w:beforeAutospacing="0" w:after="0" w:afterAutospacing="0" w:line="293" w:lineRule="atLeast"/>
        <w:ind w:left="284" w:firstLine="16"/>
        <w:jc w:val="both"/>
        <w:rPr>
          <w:sz w:val="28"/>
          <w:szCs w:val="28"/>
        </w:rPr>
      </w:pPr>
    </w:p>
    <w:p w14:paraId="7898C42C" w14:textId="36E0E3CF" w:rsidR="00DA553A" w:rsidRPr="00ED368C" w:rsidRDefault="00ED368C" w:rsidP="00ED36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6">
        <w:rPr>
          <w:rFonts w:ascii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16E66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26A02CB6" w14:textId="4A3D6CF5" w:rsidR="00B43FF8" w:rsidRDefault="00C95EF2" w:rsidP="00C64F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4223">
        <w:rPr>
          <w:rFonts w:ascii="Times New Roman" w:hAnsi="Times New Roman" w:cs="Times New Roman"/>
          <w:sz w:val="28"/>
          <w:szCs w:val="28"/>
        </w:rPr>
        <w:t xml:space="preserve"> </w:t>
      </w:r>
      <w:r w:rsidR="00DA553A" w:rsidRPr="00484223">
        <w:rPr>
          <w:rFonts w:ascii="Times New Roman" w:hAnsi="Times New Roman" w:cs="Times New Roman"/>
          <w:sz w:val="28"/>
          <w:szCs w:val="28"/>
        </w:rPr>
        <w:t>“</w:t>
      </w:r>
      <w:r w:rsidRPr="00484223">
        <w:rPr>
          <w:rFonts w:ascii="Times New Roman" w:hAnsi="Times New Roman" w:cs="Times New Roman"/>
          <w:sz w:val="28"/>
          <w:szCs w:val="28"/>
        </w:rPr>
        <w:t xml:space="preserve">17. Aizdevuma līgumu noslēgšanas termiņš ir </w:t>
      </w:r>
      <w:r w:rsidR="00F43F3B" w:rsidRPr="00484223">
        <w:rPr>
          <w:rFonts w:ascii="Times New Roman" w:hAnsi="Times New Roman" w:cs="Times New Roman"/>
          <w:sz w:val="28"/>
          <w:szCs w:val="28"/>
        </w:rPr>
        <w:t>2021.gada 30.jūnijs</w:t>
      </w:r>
      <w:r w:rsidRPr="00484223">
        <w:rPr>
          <w:rFonts w:ascii="Times New Roman" w:hAnsi="Times New Roman" w:cs="Times New Roman"/>
          <w:sz w:val="28"/>
          <w:szCs w:val="28"/>
        </w:rPr>
        <w:t>.”</w:t>
      </w:r>
    </w:p>
    <w:p w14:paraId="38C6EC31" w14:textId="77777777" w:rsidR="00ED368C" w:rsidRDefault="00ED368C" w:rsidP="00C64F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C13CD7" w14:textId="216FAF78" w:rsidR="00ED368C" w:rsidRPr="00ED368C" w:rsidRDefault="00ED368C" w:rsidP="00ED36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6797226"/>
      <w:r w:rsidRPr="00716E66">
        <w:rPr>
          <w:rFonts w:ascii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6E66">
        <w:rPr>
          <w:rFonts w:ascii="Times New Roman" w:hAnsi="Times New Roman" w:cs="Times New Roman"/>
          <w:sz w:val="28"/>
          <w:szCs w:val="28"/>
        </w:rPr>
        <w:t>.punktu šādā redakcijā:</w:t>
      </w:r>
    </w:p>
    <w:bookmarkEnd w:id="1"/>
    <w:p w14:paraId="77BEFD6B" w14:textId="3189CF64" w:rsidR="00C95EF2" w:rsidRPr="008F35EE" w:rsidRDefault="00C95EF2" w:rsidP="00C64F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EE">
        <w:rPr>
          <w:rFonts w:ascii="Times New Roman" w:hAnsi="Times New Roman" w:cs="Times New Roman"/>
          <w:sz w:val="28"/>
          <w:szCs w:val="28"/>
        </w:rPr>
        <w:t>“22. Mikroaizdevuma maksimālā summa vienam saimnieciskās darbības veicējam ir 25 000 euro.</w:t>
      </w:r>
      <w:r w:rsidR="00F43F3B" w:rsidRPr="008F35EE">
        <w:rPr>
          <w:rFonts w:ascii="Times New Roman" w:hAnsi="Times New Roman" w:cs="Times New Roman"/>
          <w:sz w:val="28"/>
          <w:szCs w:val="28"/>
        </w:rPr>
        <w:t xml:space="preserve"> Mikroaizdevuma minimālā summa ir </w:t>
      </w:r>
      <w:r w:rsidR="008F35EE" w:rsidRPr="002643DC">
        <w:rPr>
          <w:rFonts w:ascii="Times New Roman" w:hAnsi="Times New Roman" w:cs="Times New Roman"/>
          <w:sz w:val="28"/>
          <w:szCs w:val="28"/>
        </w:rPr>
        <w:t>1</w:t>
      </w:r>
      <w:r w:rsidR="00F43F3B" w:rsidRPr="002643DC">
        <w:rPr>
          <w:rFonts w:ascii="Times New Roman" w:hAnsi="Times New Roman" w:cs="Times New Roman"/>
          <w:sz w:val="28"/>
          <w:szCs w:val="28"/>
        </w:rPr>
        <w:t xml:space="preserve"> 000 euro</w:t>
      </w:r>
      <w:r w:rsidR="00F43F3B" w:rsidRPr="008F35EE">
        <w:rPr>
          <w:rFonts w:ascii="Times New Roman" w:hAnsi="Times New Roman" w:cs="Times New Roman"/>
          <w:sz w:val="28"/>
          <w:szCs w:val="28"/>
        </w:rPr>
        <w:t>.</w:t>
      </w:r>
      <w:r w:rsidRPr="008F35EE">
        <w:rPr>
          <w:rFonts w:ascii="Times New Roman" w:hAnsi="Times New Roman" w:cs="Times New Roman"/>
          <w:sz w:val="28"/>
          <w:szCs w:val="28"/>
        </w:rPr>
        <w:t>”</w:t>
      </w:r>
    </w:p>
    <w:p w14:paraId="71C5856F" w14:textId="77777777" w:rsidR="00ED368C" w:rsidRPr="00747EEC" w:rsidRDefault="00ED368C" w:rsidP="00C64F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46D9CE" w14:textId="0C502356" w:rsidR="00ED368C" w:rsidRPr="00ED368C" w:rsidRDefault="00ED368C" w:rsidP="00ED36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6">
        <w:rPr>
          <w:rFonts w:ascii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16E66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721C937D" w14:textId="5C11A2B6" w:rsidR="0070665D" w:rsidRDefault="00F43F3B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43F3B">
        <w:rPr>
          <w:rFonts w:ascii="Times New Roman" w:hAnsi="Times New Roman" w:cs="Times New Roman"/>
          <w:sz w:val="28"/>
          <w:szCs w:val="28"/>
        </w:rPr>
        <w:t xml:space="preserve">27. Šo noteikumu izpratnē par jaundibinātu saimnieciskās darbības veicēju uzskata saimnieciskās darbības veicēju, kas Uzņēmumu reģistrā </w:t>
      </w:r>
      <w:r>
        <w:rPr>
          <w:rFonts w:ascii="Times New Roman" w:hAnsi="Times New Roman" w:cs="Times New Roman"/>
          <w:sz w:val="28"/>
          <w:szCs w:val="28"/>
        </w:rPr>
        <w:t xml:space="preserve">vai Valsts ieņēmumu dienestā </w:t>
      </w:r>
      <w:r w:rsidRPr="00F43F3B">
        <w:rPr>
          <w:rFonts w:ascii="Times New Roman" w:hAnsi="Times New Roman" w:cs="Times New Roman"/>
          <w:sz w:val="28"/>
          <w:szCs w:val="28"/>
        </w:rPr>
        <w:t>reģistrēts ne agrāk kā piecus gadus pirms pieteikuma iesniegšanas sabiedrībā Altum.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3A8E1284" w14:textId="77777777" w:rsidR="00ED368C" w:rsidRDefault="00ED368C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6E650" w14:textId="27E53EFB" w:rsidR="00ED368C" w:rsidRPr="00ED368C" w:rsidRDefault="00ED368C" w:rsidP="00ED36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Svītrot 28</w:t>
      </w:r>
      <w:r w:rsidRPr="00716E66">
        <w:rPr>
          <w:rFonts w:ascii="Times New Roman" w:hAnsi="Times New Roman" w:cs="Times New Roman"/>
          <w:sz w:val="28"/>
          <w:szCs w:val="28"/>
        </w:rPr>
        <w:t>.punktu</w:t>
      </w:r>
      <w:r w:rsidR="00AF3901">
        <w:rPr>
          <w:rFonts w:ascii="Times New Roman" w:hAnsi="Times New Roman" w:cs="Times New Roman"/>
          <w:sz w:val="28"/>
          <w:szCs w:val="28"/>
        </w:rPr>
        <w:t>.</w:t>
      </w:r>
    </w:p>
    <w:p w14:paraId="17AB08F7" w14:textId="77777777" w:rsidR="00ED368C" w:rsidRDefault="00ED368C" w:rsidP="00ED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AA015" w14:textId="77D29412" w:rsidR="00ED368C" w:rsidRPr="00ED368C" w:rsidRDefault="00ED368C" w:rsidP="00ED36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8C">
        <w:t xml:space="preserve"> </w:t>
      </w:r>
      <w:r>
        <w:rPr>
          <w:rFonts w:ascii="Times New Roman" w:hAnsi="Times New Roman" w:cs="Times New Roman"/>
          <w:sz w:val="28"/>
          <w:szCs w:val="28"/>
        </w:rPr>
        <w:t>Svītrot 30</w:t>
      </w:r>
      <w:r w:rsidRPr="00ED368C">
        <w:rPr>
          <w:rFonts w:ascii="Times New Roman" w:hAnsi="Times New Roman" w:cs="Times New Roman"/>
          <w:sz w:val="28"/>
          <w:szCs w:val="28"/>
        </w:rPr>
        <w:t>.punktu</w:t>
      </w:r>
      <w:r w:rsidR="00AF3901">
        <w:rPr>
          <w:rFonts w:ascii="Times New Roman" w:hAnsi="Times New Roman" w:cs="Times New Roman"/>
          <w:sz w:val="28"/>
          <w:szCs w:val="28"/>
        </w:rPr>
        <w:t>.</w:t>
      </w:r>
    </w:p>
    <w:p w14:paraId="1F452762" w14:textId="3B04A8D4" w:rsidR="002643DC" w:rsidRDefault="002643DC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08DF2" w14:textId="3B421417" w:rsidR="002643DC" w:rsidRDefault="002643DC" w:rsidP="002643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66">
        <w:rPr>
          <w:rFonts w:ascii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16E66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3CCD98C5" w14:textId="01F9AC9A" w:rsidR="002643DC" w:rsidRPr="002377D6" w:rsidRDefault="002643DC" w:rsidP="002643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“31.</w:t>
      </w:r>
      <w:r w:rsidRPr="002643DC">
        <w:rPr>
          <w:rFonts w:ascii="Times New Roman" w:hAnsi="Times New Roman" w:cs="Times New Roman"/>
          <w:sz w:val="28"/>
          <w:szCs w:val="28"/>
        </w:rPr>
        <w:t xml:space="preserve"> Starta aizdevuma maksimālā summa vienam saimnieciskās darbības veicējam ir 150 000 euro. Starta aizdevuma minimālā summa ir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43DC">
        <w:rPr>
          <w:rFonts w:ascii="Times New Roman" w:hAnsi="Times New Roman" w:cs="Times New Roman"/>
          <w:sz w:val="28"/>
          <w:szCs w:val="28"/>
        </w:rPr>
        <w:t>000 euro.</w:t>
      </w:r>
      <w:r w:rsidR="00341FA5">
        <w:rPr>
          <w:rFonts w:ascii="Times New Roman" w:hAnsi="Times New Roman" w:cs="Times New Roman"/>
          <w:sz w:val="28"/>
          <w:szCs w:val="28"/>
        </w:rPr>
        <w:t>”</w:t>
      </w:r>
    </w:p>
    <w:p w14:paraId="6FC2741B" w14:textId="77777777" w:rsidR="00ED368C" w:rsidRDefault="00ED368C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</w:p>
    <w:p w14:paraId="23EA0FA9" w14:textId="7D02CEBF" w:rsidR="002377D6" w:rsidRPr="002377D6" w:rsidRDefault="002377D6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Ministru prezidents</w:t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  <w:t>A. K. Kariņš</w:t>
      </w:r>
    </w:p>
    <w:p w14:paraId="6567840F" w14:textId="77777777" w:rsidR="002377D6" w:rsidRPr="002377D6" w:rsidRDefault="002377D6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</w:p>
    <w:p w14:paraId="02519849" w14:textId="77777777" w:rsidR="002D05F8" w:rsidRDefault="002D05F8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</w:p>
    <w:p w14:paraId="6B29E3FC" w14:textId="77777777" w:rsidR="002D05F8" w:rsidRDefault="002D05F8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</w:p>
    <w:p w14:paraId="4F422018" w14:textId="0F4BD4A8" w:rsidR="002377D6" w:rsidRPr="002377D6" w:rsidRDefault="002377D6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Ekonomikas ministrs</w:t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  <w:t>R. Nemiro</w:t>
      </w:r>
    </w:p>
    <w:p w14:paraId="36D62118" w14:textId="77777777" w:rsidR="002377D6" w:rsidRPr="002377D6" w:rsidRDefault="002377D6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</w:p>
    <w:p w14:paraId="4FC07088" w14:textId="77777777" w:rsidR="002377D6" w:rsidRPr="002377D6" w:rsidRDefault="002377D6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Iesniedzējs:</w:t>
      </w:r>
    </w:p>
    <w:p w14:paraId="24A9F0F1" w14:textId="77777777" w:rsidR="002377D6" w:rsidRPr="002377D6" w:rsidRDefault="002377D6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Ekonomikas ministrs</w:t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  <w:t>R. Nemiro</w:t>
      </w:r>
    </w:p>
    <w:p w14:paraId="268D17BB" w14:textId="77777777" w:rsidR="002377D6" w:rsidRPr="002377D6" w:rsidRDefault="002377D6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</w:p>
    <w:p w14:paraId="0DD43408" w14:textId="77777777" w:rsidR="002377D6" w:rsidRPr="002377D6" w:rsidRDefault="002377D6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Vīza:</w:t>
      </w:r>
    </w:p>
    <w:p w14:paraId="20DCDB3E" w14:textId="77777777" w:rsidR="002377D6" w:rsidRPr="002377D6" w:rsidRDefault="002377D6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Valsts sekretārs</w:t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</w:r>
      <w:r w:rsidRPr="002377D6">
        <w:rPr>
          <w:rFonts w:ascii="Times New Roman" w:hAnsi="Times New Roman"/>
          <w:sz w:val="28"/>
          <w:szCs w:val="28"/>
        </w:rPr>
        <w:tab/>
        <w:t>Ē. Eglītis</w:t>
      </w:r>
    </w:p>
    <w:p w14:paraId="14F9D1C9" w14:textId="64878114" w:rsidR="00080691" w:rsidRPr="005429A4" w:rsidRDefault="00080691" w:rsidP="005429A4">
      <w:pPr>
        <w:tabs>
          <w:tab w:val="left" w:pos="2340"/>
        </w:tabs>
      </w:pPr>
    </w:p>
    <w:sectPr w:rsidR="00080691" w:rsidRPr="005429A4" w:rsidSect="00771904">
      <w:headerReference w:type="default" r:id="rId10"/>
      <w:footerReference w:type="default" r:id="rId11"/>
      <w:footerReference w:type="first" r:id="rId12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CAE5" w14:textId="77777777" w:rsidR="00C6200D" w:rsidRDefault="00C6200D" w:rsidP="0070665D">
      <w:pPr>
        <w:spacing w:after="0" w:line="240" w:lineRule="auto"/>
      </w:pPr>
      <w:r>
        <w:separator/>
      </w:r>
    </w:p>
  </w:endnote>
  <w:endnote w:type="continuationSeparator" w:id="0">
    <w:p w14:paraId="3F7E6A3C" w14:textId="77777777" w:rsidR="00C6200D" w:rsidRDefault="00C6200D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243A9468" w:rsidR="0070665D" w:rsidRPr="00A9450A" w:rsidRDefault="0070665D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 w:rsidR="002A018B">
      <w:rPr>
        <w:rFonts w:ascii="Times New Roman" w:hAnsi="Times New Roman" w:cs="Times New Roman"/>
        <w:noProof/>
        <w:sz w:val="20"/>
        <w:szCs w:val="20"/>
      </w:rPr>
      <w:t>EMNot_</w:t>
    </w:r>
    <w:r w:rsidR="00CB4F5B">
      <w:rPr>
        <w:rFonts w:ascii="Times New Roman" w:hAnsi="Times New Roman" w:cs="Times New Roman"/>
        <w:noProof/>
        <w:sz w:val="20"/>
        <w:szCs w:val="20"/>
      </w:rPr>
      <w:t>1312</w:t>
    </w:r>
    <w:r w:rsidR="00747EEC">
      <w:rPr>
        <w:rFonts w:ascii="Times New Roman" w:hAnsi="Times New Roman" w:cs="Times New Roman"/>
        <w:noProof/>
        <w:sz w:val="20"/>
        <w:szCs w:val="20"/>
      </w:rPr>
      <w:t>19</w:t>
    </w:r>
    <w:r w:rsidR="00252CB5">
      <w:rPr>
        <w:rFonts w:ascii="Times New Roman" w:hAnsi="Times New Roman" w:cs="Times New Roman"/>
        <w:noProof/>
        <w:sz w:val="20"/>
        <w:szCs w:val="20"/>
      </w:rPr>
      <w:t>_GrozMKN328</w:t>
    </w:r>
    <w:r w:rsidR="002A018B">
      <w:rPr>
        <w:rFonts w:ascii="Times New Roman" w:hAnsi="Times New Roman" w:cs="Times New Roman"/>
        <w:noProof/>
        <w:sz w:val="20"/>
        <w:szCs w:val="20"/>
      </w:rPr>
      <w:t>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EE5389" w:rsidRPr="0070665D" w:rsidRDefault="00EE5389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EE5389" w:rsidRPr="002149C0" w:rsidRDefault="00F70D74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154F5"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9E4A55">
      <w:rPr>
        <w:rFonts w:ascii="Times New Roman" w:hAnsi="Times New Roman" w:cs="Times New Roman"/>
        <w:sz w:val="20"/>
        <w:szCs w:val="20"/>
      </w:rPr>
      <w:t xml:space="preserve"> </w:t>
    </w:r>
    <w:r w:rsidR="009E4A55"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="009E4A55" w:rsidRPr="009E4A55">
      <w:rPr>
        <w:rFonts w:ascii="Times New Roman" w:hAnsi="Times New Roman" w:cs="Times New Roman"/>
        <w:sz w:val="20"/>
        <w:szCs w:val="20"/>
      </w:rPr>
      <w:t>Grozījumi Ministru kabineta 2016.gada 31.maija noteikumos Nr.328 „Noteikumi par mikroaizdevumiem un starta aizdevumiem”</w:t>
    </w:r>
    <w:r w:rsidR="009E4A55"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5CDC" w14:textId="77777777" w:rsidR="00C6200D" w:rsidRDefault="00C6200D" w:rsidP="0070665D">
      <w:pPr>
        <w:spacing w:after="0" w:line="240" w:lineRule="auto"/>
      </w:pPr>
      <w:r>
        <w:separator/>
      </w:r>
    </w:p>
  </w:footnote>
  <w:footnote w:type="continuationSeparator" w:id="0">
    <w:p w14:paraId="3A16F34F" w14:textId="77777777" w:rsidR="00C6200D" w:rsidRDefault="00C6200D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CCB2" w14:textId="77777777" w:rsidR="00EE5389" w:rsidRPr="00173166" w:rsidRDefault="00EE5389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1051E3"/>
    <w:multiLevelType w:val="hybridMultilevel"/>
    <w:tmpl w:val="AD065A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20344"/>
    <w:rsid w:val="000235C6"/>
    <w:rsid w:val="0005767E"/>
    <w:rsid w:val="000718AC"/>
    <w:rsid w:val="0007428C"/>
    <w:rsid w:val="00080691"/>
    <w:rsid w:val="00090EE2"/>
    <w:rsid w:val="00095C5C"/>
    <w:rsid w:val="000A5D72"/>
    <w:rsid w:val="000B6663"/>
    <w:rsid w:val="000C5922"/>
    <w:rsid w:val="000D0B34"/>
    <w:rsid w:val="000F3B9A"/>
    <w:rsid w:val="000F3BD1"/>
    <w:rsid w:val="001117BC"/>
    <w:rsid w:val="00115206"/>
    <w:rsid w:val="00117643"/>
    <w:rsid w:val="00127C50"/>
    <w:rsid w:val="001332CC"/>
    <w:rsid w:val="001343F1"/>
    <w:rsid w:val="00134F94"/>
    <w:rsid w:val="00143F46"/>
    <w:rsid w:val="00156AD6"/>
    <w:rsid w:val="00157AE5"/>
    <w:rsid w:val="00163FD0"/>
    <w:rsid w:val="001813A1"/>
    <w:rsid w:val="0019146C"/>
    <w:rsid w:val="00192611"/>
    <w:rsid w:val="00197D18"/>
    <w:rsid w:val="001A402C"/>
    <w:rsid w:val="001A7855"/>
    <w:rsid w:val="001B12E4"/>
    <w:rsid w:val="001F1C73"/>
    <w:rsid w:val="00200639"/>
    <w:rsid w:val="00201CFA"/>
    <w:rsid w:val="002154F5"/>
    <w:rsid w:val="00223143"/>
    <w:rsid w:val="00230158"/>
    <w:rsid w:val="002377D6"/>
    <w:rsid w:val="002457A0"/>
    <w:rsid w:val="00252CB5"/>
    <w:rsid w:val="002643DC"/>
    <w:rsid w:val="0027661E"/>
    <w:rsid w:val="0028725C"/>
    <w:rsid w:val="002A018B"/>
    <w:rsid w:val="002A6323"/>
    <w:rsid w:val="002B25D8"/>
    <w:rsid w:val="002B2DB9"/>
    <w:rsid w:val="002B7B74"/>
    <w:rsid w:val="002D05F8"/>
    <w:rsid w:val="002D1659"/>
    <w:rsid w:val="002E6598"/>
    <w:rsid w:val="002E6B3F"/>
    <w:rsid w:val="002F0256"/>
    <w:rsid w:val="0030106A"/>
    <w:rsid w:val="00315C8A"/>
    <w:rsid w:val="003323CE"/>
    <w:rsid w:val="00341FA5"/>
    <w:rsid w:val="003449AD"/>
    <w:rsid w:val="0036588D"/>
    <w:rsid w:val="003830D4"/>
    <w:rsid w:val="003836F3"/>
    <w:rsid w:val="00390161"/>
    <w:rsid w:val="00392013"/>
    <w:rsid w:val="00393845"/>
    <w:rsid w:val="003A2E34"/>
    <w:rsid w:val="003D313A"/>
    <w:rsid w:val="003E56D0"/>
    <w:rsid w:val="0041161E"/>
    <w:rsid w:val="00445205"/>
    <w:rsid w:val="004470C4"/>
    <w:rsid w:val="0045218F"/>
    <w:rsid w:val="00467AB8"/>
    <w:rsid w:val="004834E7"/>
    <w:rsid w:val="00484223"/>
    <w:rsid w:val="00491170"/>
    <w:rsid w:val="0049313B"/>
    <w:rsid w:val="00493C79"/>
    <w:rsid w:val="004A08E8"/>
    <w:rsid w:val="004A425F"/>
    <w:rsid w:val="004E4844"/>
    <w:rsid w:val="004E568B"/>
    <w:rsid w:val="00516F1F"/>
    <w:rsid w:val="00523543"/>
    <w:rsid w:val="0053693B"/>
    <w:rsid w:val="005429A4"/>
    <w:rsid w:val="005442A4"/>
    <w:rsid w:val="005544AE"/>
    <w:rsid w:val="00565156"/>
    <w:rsid w:val="00567776"/>
    <w:rsid w:val="00580933"/>
    <w:rsid w:val="00580EC8"/>
    <w:rsid w:val="005A22CE"/>
    <w:rsid w:val="005A60E1"/>
    <w:rsid w:val="005C07DB"/>
    <w:rsid w:val="005C3C41"/>
    <w:rsid w:val="005E5A8E"/>
    <w:rsid w:val="00617DEF"/>
    <w:rsid w:val="00631182"/>
    <w:rsid w:val="00634AF3"/>
    <w:rsid w:val="00640F28"/>
    <w:rsid w:val="0064220D"/>
    <w:rsid w:val="00643D69"/>
    <w:rsid w:val="00647C88"/>
    <w:rsid w:val="0065786C"/>
    <w:rsid w:val="00670BA4"/>
    <w:rsid w:val="00675611"/>
    <w:rsid w:val="00681D82"/>
    <w:rsid w:val="00684CB6"/>
    <w:rsid w:val="00686BA9"/>
    <w:rsid w:val="0069625B"/>
    <w:rsid w:val="006B7933"/>
    <w:rsid w:val="006E4CC6"/>
    <w:rsid w:val="006E5F44"/>
    <w:rsid w:val="006F4E56"/>
    <w:rsid w:val="00704073"/>
    <w:rsid w:val="0070665D"/>
    <w:rsid w:val="00710C42"/>
    <w:rsid w:val="00716E66"/>
    <w:rsid w:val="00747EEC"/>
    <w:rsid w:val="0075038B"/>
    <w:rsid w:val="00771904"/>
    <w:rsid w:val="00775218"/>
    <w:rsid w:val="007940C4"/>
    <w:rsid w:val="00795AB0"/>
    <w:rsid w:val="007A1BFF"/>
    <w:rsid w:val="007B5CC3"/>
    <w:rsid w:val="007C2E75"/>
    <w:rsid w:val="007C3F82"/>
    <w:rsid w:val="007E635E"/>
    <w:rsid w:val="007E6B9A"/>
    <w:rsid w:val="007F38A6"/>
    <w:rsid w:val="007F4136"/>
    <w:rsid w:val="00804677"/>
    <w:rsid w:val="00813814"/>
    <w:rsid w:val="00823FAD"/>
    <w:rsid w:val="00831CE4"/>
    <w:rsid w:val="00834EF0"/>
    <w:rsid w:val="0084284E"/>
    <w:rsid w:val="008573E5"/>
    <w:rsid w:val="0089462D"/>
    <w:rsid w:val="00895EEB"/>
    <w:rsid w:val="008A68C8"/>
    <w:rsid w:val="008A7641"/>
    <w:rsid w:val="008B1124"/>
    <w:rsid w:val="008B6F80"/>
    <w:rsid w:val="008C3542"/>
    <w:rsid w:val="008D3C88"/>
    <w:rsid w:val="008D3F6F"/>
    <w:rsid w:val="008E21CA"/>
    <w:rsid w:val="008E6361"/>
    <w:rsid w:val="008F35EE"/>
    <w:rsid w:val="008F4CB2"/>
    <w:rsid w:val="008F657D"/>
    <w:rsid w:val="00901F52"/>
    <w:rsid w:val="00906E4C"/>
    <w:rsid w:val="00946C76"/>
    <w:rsid w:val="009532FB"/>
    <w:rsid w:val="009551A3"/>
    <w:rsid w:val="00955246"/>
    <w:rsid w:val="009555E6"/>
    <w:rsid w:val="00963DAA"/>
    <w:rsid w:val="00975352"/>
    <w:rsid w:val="00980265"/>
    <w:rsid w:val="00985639"/>
    <w:rsid w:val="00992740"/>
    <w:rsid w:val="00995336"/>
    <w:rsid w:val="009C720D"/>
    <w:rsid w:val="009D45ED"/>
    <w:rsid w:val="009E4A55"/>
    <w:rsid w:val="009E7F0E"/>
    <w:rsid w:val="00A12712"/>
    <w:rsid w:val="00A60C5A"/>
    <w:rsid w:val="00A61D9D"/>
    <w:rsid w:val="00A64032"/>
    <w:rsid w:val="00A80EB3"/>
    <w:rsid w:val="00A94CC4"/>
    <w:rsid w:val="00AB6E34"/>
    <w:rsid w:val="00AC5C72"/>
    <w:rsid w:val="00AC66E7"/>
    <w:rsid w:val="00AD0EDA"/>
    <w:rsid w:val="00AE000B"/>
    <w:rsid w:val="00AE0610"/>
    <w:rsid w:val="00AF2D09"/>
    <w:rsid w:val="00AF3901"/>
    <w:rsid w:val="00B25684"/>
    <w:rsid w:val="00B43FF8"/>
    <w:rsid w:val="00B60AAB"/>
    <w:rsid w:val="00B82506"/>
    <w:rsid w:val="00B83A63"/>
    <w:rsid w:val="00B854DF"/>
    <w:rsid w:val="00B90537"/>
    <w:rsid w:val="00B91E47"/>
    <w:rsid w:val="00BA0405"/>
    <w:rsid w:val="00BA3818"/>
    <w:rsid w:val="00BA5637"/>
    <w:rsid w:val="00BA7038"/>
    <w:rsid w:val="00BD1211"/>
    <w:rsid w:val="00BD3FEF"/>
    <w:rsid w:val="00BF5F14"/>
    <w:rsid w:val="00BF5F7E"/>
    <w:rsid w:val="00C30387"/>
    <w:rsid w:val="00C31F50"/>
    <w:rsid w:val="00C427F2"/>
    <w:rsid w:val="00C50DBB"/>
    <w:rsid w:val="00C6200D"/>
    <w:rsid w:val="00C647F8"/>
    <w:rsid w:val="00C64FD5"/>
    <w:rsid w:val="00C71753"/>
    <w:rsid w:val="00C7684F"/>
    <w:rsid w:val="00C9242C"/>
    <w:rsid w:val="00C95EF2"/>
    <w:rsid w:val="00C96804"/>
    <w:rsid w:val="00CB3E61"/>
    <w:rsid w:val="00CB4F5B"/>
    <w:rsid w:val="00CC0FA7"/>
    <w:rsid w:val="00CC3C08"/>
    <w:rsid w:val="00CD77E3"/>
    <w:rsid w:val="00CE1E42"/>
    <w:rsid w:val="00CF7E43"/>
    <w:rsid w:val="00D043AF"/>
    <w:rsid w:val="00D044B1"/>
    <w:rsid w:val="00D060ED"/>
    <w:rsid w:val="00D20C52"/>
    <w:rsid w:val="00D460A7"/>
    <w:rsid w:val="00D52915"/>
    <w:rsid w:val="00D530A2"/>
    <w:rsid w:val="00D55B68"/>
    <w:rsid w:val="00D6176E"/>
    <w:rsid w:val="00D74100"/>
    <w:rsid w:val="00D82126"/>
    <w:rsid w:val="00D86058"/>
    <w:rsid w:val="00DA553A"/>
    <w:rsid w:val="00DB1BFB"/>
    <w:rsid w:val="00DB5E28"/>
    <w:rsid w:val="00DB62C1"/>
    <w:rsid w:val="00DD50FC"/>
    <w:rsid w:val="00DE023C"/>
    <w:rsid w:val="00DE4118"/>
    <w:rsid w:val="00DE6A16"/>
    <w:rsid w:val="00DE7AC1"/>
    <w:rsid w:val="00DF2987"/>
    <w:rsid w:val="00DF2AAE"/>
    <w:rsid w:val="00E04C91"/>
    <w:rsid w:val="00E12F03"/>
    <w:rsid w:val="00E267DF"/>
    <w:rsid w:val="00E341AD"/>
    <w:rsid w:val="00E479B7"/>
    <w:rsid w:val="00E56D55"/>
    <w:rsid w:val="00E62FA7"/>
    <w:rsid w:val="00E654FD"/>
    <w:rsid w:val="00E80A16"/>
    <w:rsid w:val="00E837A6"/>
    <w:rsid w:val="00E83C1A"/>
    <w:rsid w:val="00EB27F5"/>
    <w:rsid w:val="00EB502C"/>
    <w:rsid w:val="00ED368C"/>
    <w:rsid w:val="00EE157C"/>
    <w:rsid w:val="00EE5389"/>
    <w:rsid w:val="00EE6AA3"/>
    <w:rsid w:val="00EF1F2E"/>
    <w:rsid w:val="00F01130"/>
    <w:rsid w:val="00F04FB2"/>
    <w:rsid w:val="00F05A18"/>
    <w:rsid w:val="00F1317E"/>
    <w:rsid w:val="00F34496"/>
    <w:rsid w:val="00F43F3B"/>
    <w:rsid w:val="00F70D74"/>
    <w:rsid w:val="00F9201D"/>
    <w:rsid w:val="00FA1879"/>
    <w:rsid w:val="00FE1A76"/>
    <w:rsid w:val="00FE5150"/>
    <w:rsid w:val="00FE59D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6E31-677A-4701-A1A7-0B9919EE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Haralds Skarbnieks</cp:lastModifiedBy>
  <cp:revision>11</cp:revision>
  <cp:lastPrinted>2018-10-24T12:19:00Z</cp:lastPrinted>
  <dcterms:created xsi:type="dcterms:W3CDTF">2018-10-24T13:38:00Z</dcterms:created>
  <dcterms:modified xsi:type="dcterms:W3CDTF">2019-12-19T09:56:00Z</dcterms:modified>
</cp:coreProperties>
</file>