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06D85" w14:textId="77777777" w:rsidR="00747EEC" w:rsidRDefault="00747EEC" w:rsidP="00B301E3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FED78A8" w14:textId="0B69CE45" w:rsidR="0070665D" w:rsidRPr="00771904" w:rsidRDefault="0070665D" w:rsidP="00B301E3">
      <w:pPr>
        <w:tabs>
          <w:tab w:val="left" w:pos="2552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201</w:t>
      </w:r>
      <w:r w:rsidR="00747EEC">
        <w:rPr>
          <w:rFonts w:ascii="Times New Roman" w:hAnsi="Times New Roman" w:cs="Times New Roman"/>
          <w:sz w:val="28"/>
          <w:szCs w:val="28"/>
        </w:rPr>
        <w:t>9</w:t>
      </w:r>
      <w:r w:rsidRPr="00771904">
        <w:rPr>
          <w:rFonts w:ascii="Times New Roman" w:hAnsi="Times New Roman" w:cs="Times New Roman"/>
          <w:sz w:val="28"/>
          <w:szCs w:val="28"/>
        </w:rPr>
        <w:t>.gada ___.______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43A967B" w14:textId="36E17587" w:rsidR="0070665D" w:rsidRPr="00771904" w:rsidRDefault="0070665D" w:rsidP="00B301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>Rīgā</w:t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</w:r>
      <w:r w:rsidRPr="00771904">
        <w:rPr>
          <w:rFonts w:ascii="Times New Roman" w:hAnsi="Times New Roman" w:cs="Times New Roman"/>
          <w:sz w:val="28"/>
          <w:szCs w:val="28"/>
        </w:rPr>
        <w:tab/>
        <w:t>(prot. Nr. _______ .§)</w:t>
      </w:r>
    </w:p>
    <w:p w14:paraId="26ABB12C" w14:textId="77777777" w:rsidR="0070665D" w:rsidRPr="00771904" w:rsidRDefault="0070665D" w:rsidP="00B301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3B89936" w14:textId="35E4601E" w:rsidR="0070665D" w:rsidRDefault="0070665D" w:rsidP="00B301E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1D826F" w14:textId="26718352" w:rsidR="0070665D" w:rsidRPr="00771904" w:rsidRDefault="0070665D" w:rsidP="00B301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24641291"/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Grozījumi Ministru kabineta 2016.</w:t>
      </w:r>
      <w:r w:rsidR="007F4A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gada </w:t>
      </w:r>
      <w:r w:rsidR="008A137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15.</w:t>
      </w:r>
      <w:r w:rsidR="007F4A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8A137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jūlija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noteikumos Nr.</w:t>
      </w:r>
      <w:r w:rsidR="007F4AC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="008A137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469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="008A1374" w:rsidRPr="008A137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Noteikumi par paralēlajiem aizdevumiem saimnieciskās darbības veicējiem konkurētspējas uzlabošanai</w:t>
      </w:r>
      <w:r w:rsidRPr="0077190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”</w:t>
      </w:r>
    </w:p>
    <w:bookmarkEnd w:id="0"/>
    <w:p w14:paraId="12218803" w14:textId="4D6838D9" w:rsidR="0070665D" w:rsidRDefault="0070665D" w:rsidP="00B301E3">
      <w:pPr>
        <w:pStyle w:val="naislab"/>
        <w:spacing w:before="0" w:after="0"/>
        <w:contextualSpacing/>
        <w:rPr>
          <w:b/>
          <w:sz w:val="28"/>
          <w:szCs w:val="28"/>
        </w:rPr>
      </w:pPr>
    </w:p>
    <w:p w14:paraId="3259B0E7" w14:textId="77777777" w:rsidR="00771904" w:rsidRPr="00771904" w:rsidRDefault="00771904" w:rsidP="00B301E3">
      <w:pPr>
        <w:pStyle w:val="naislab"/>
        <w:spacing w:before="0" w:after="0"/>
        <w:contextualSpacing/>
        <w:rPr>
          <w:b/>
          <w:sz w:val="28"/>
          <w:szCs w:val="28"/>
        </w:rPr>
      </w:pPr>
    </w:p>
    <w:p w14:paraId="05ABBBC0" w14:textId="77777777" w:rsidR="002B281A" w:rsidRDefault="0070665D" w:rsidP="00B301E3">
      <w:pPr>
        <w:pStyle w:val="naislab"/>
        <w:spacing w:before="0" w:after="0"/>
        <w:contextualSpacing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Izdoti saskaņā ar</w:t>
      </w:r>
      <w:r w:rsidR="005E16C1">
        <w:rPr>
          <w:i/>
          <w:sz w:val="28"/>
          <w:szCs w:val="28"/>
        </w:rPr>
        <w:t xml:space="preserve"> </w:t>
      </w:r>
      <w:r w:rsidRPr="00771904">
        <w:rPr>
          <w:i/>
          <w:sz w:val="28"/>
          <w:szCs w:val="28"/>
        </w:rPr>
        <w:t>Eiropas Savienības struktūrfondu</w:t>
      </w:r>
    </w:p>
    <w:p w14:paraId="19260CCD" w14:textId="77777777" w:rsidR="002B281A" w:rsidRDefault="002B281A" w:rsidP="00B301E3">
      <w:pPr>
        <w:pStyle w:val="naislab"/>
        <w:spacing w:before="0" w:after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u</w:t>
      </w:r>
      <w:r w:rsidR="0070665D" w:rsidRPr="00771904">
        <w:rPr>
          <w:i/>
          <w:sz w:val="28"/>
          <w:szCs w:val="28"/>
        </w:rPr>
        <w:t>n</w:t>
      </w:r>
      <w:r>
        <w:rPr>
          <w:i/>
          <w:sz w:val="28"/>
          <w:szCs w:val="28"/>
        </w:rPr>
        <w:t xml:space="preserve"> </w:t>
      </w:r>
      <w:r w:rsidR="0070665D" w:rsidRPr="00771904">
        <w:rPr>
          <w:i/>
          <w:sz w:val="28"/>
          <w:szCs w:val="28"/>
        </w:rPr>
        <w:t>Kohēzijas fonda 2014.–2020. gada plānošanas perioda</w:t>
      </w:r>
    </w:p>
    <w:p w14:paraId="18D51D16" w14:textId="77777777" w:rsidR="002B281A" w:rsidRDefault="0070665D" w:rsidP="00B301E3">
      <w:pPr>
        <w:pStyle w:val="naislab"/>
        <w:spacing w:before="0" w:after="0"/>
        <w:contextualSpacing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vadības likuma </w:t>
      </w:r>
      <w:hyperlink r:id="rId8" w:anchor="p20" w:tgtFrame="_blank" w:history="1">
        <w:r w:rsidRPr="00771904">
          <w:rPr>
            <w:i/>
            <w:sz w:val="28"/>
            <w:szCs w:val="28"/>
          </w:rPr>
          <w:t>20. pant</w:t>
        </w:r>
      </w:hyperlink>
      <w:r w:rsidRPr="00771904">
        <w:rPr>
          <w:i/>
          <w:sz w:val="28"/>
          <w:szCs w:val="28"/>
        </w:rPr>
        <w:t>a 14.punktu un</w:t>
      </w:r>
      <w:r w:rsidR="002B281A">
        <w:rPr>
          <w:i/>
          <w:sz w:val="28"/>
          <w:szCs w:val="28"/>
        </w:rPr>
        <w:t xml:space="preserve"> </w:t>
      </w:r>
      <w:r w:rsidRPr="00771904">
        <w:rPr>
          <w:i/>
          <w:sz w:val="28"/>
          <w:szCs w:val="28"/>
        </w:rPr>
        <w:t>Attīstības finanšu</w:t>
      </w:r>
    </w:p>
    <w:p w14:paraId="555EB1AF" w14:textId="48A1F3F9" w:rsidR="0070665D" w:rsidRPr="00771904" w:rsidRDefault="0070665D" w:rsidP="00B301E3">
      <w:pPr>
        <w:pStyle w:val="naislab"/>
        <w:spacing w:before="0" w:after="0"/>
        <w:contextualSpacing/>
        <w:rPr>
          <w:i/>
          <w:sz w:val="28"/>
          <w:szCs w:val="28"/>
        </w:rPr>
      </w:pPr>
      <w:r w:rsidRPr="00771904">
        <w:rPr>
          <w:i/>
          <w:sz w:val="28"/>
          <w:szCs w:val="28"/>
        </w:rPr>
        <w:t>institūcijas likuma</w:t>
      </w:r>
      <w:r w:rsidR="002B281A">
        <w:rPr>
          <w:i/>
          <w:sz w:val="28"/>
          <w:szCs w:val="28"/>
        </w:rPr>
        <w:t xml:space="preserve"> </w:t>
      </w:r>
      <w:r w:rsidRPr="00771904">
        <w:rPr>
          <w:i/>
          <w:sz w:val="28"/>
          <w:szCs w:val="28"/>
        </w:rPr>
        <w:t>12.panta ceturto daļu</w:t>
      </w:r>
    </w:p>
    <w:p w14:paraId="2CD37385" w14:textId="77777777" w:rsidR="0070665D" w:rsidRPr="00771904" w:rsidRDefault="0070665D" w:rsidP="00B301E3">
      <w:pPr>
        <w:pStyle w:val="naislab"/>
        <w:spacing w:before="0" w:after="0"/>
        <w:contextualSpacing/>
        <w:rPr>
          <w:sz w:val="28"/>
          <w:szCs w:val="28"/>
        </w:rPr>
      </w:pPr>
    </w:p>
    <w:p w14:paraId="47039334" w14:textId="77777777" w:rsidR="0070665D" w:rsidRPr="00771904" w:rsidRDefault="0070665D" w:rsidP="00B301E3">
      <w:pPr>
        <w:pStyle w:val="naislab"/>
        <w:spacing w:before="0" w:after="0"/>
        <w:contextualSpacing/>
        <w:rPr>
          <w:sz w:val="28"/>
          <w:szCs w:val="28"/>
        </w:rPr>
      </w:pPr>
    </w:p>
    <w:p w14:paraId="6F32FC38" w14:textId="20E675FC" w:rsidR="0070665D" w:rsidRPr="00771904" w:rsidRDefault="0070665D" w:rsidP="00FD20F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904">
        <w:rPr>
          <w:rFonts w:ascii="Times New Roman" w:hAnsi="Times New Roman" w:cs="Times New Roman"/>
          <w:sz w:val="28"/>
          <w:szCs w:val="28"/>
        </w:rPr>
        <w:t xml:space="preserve">Izdarīt Ministru kabineta 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2016.</w:t>
      </w:r>
      <w:r w:rsidR="005E16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8A1374">
        <w:rPr>
          <w:rFonts w:ascii="Times New Roman" w:eastAsia="Times New Roman" w:hAnsi="Times New Roman" w:cs="Times New Roman"/>
          <w:sz w:val="28"/>
          <w:szCs w:val="28"/>
          <w:lang w:eastAsia="lv-LV"/>
        </w:rPr>
        <w:t>15.</w:t>
      </w:r>
      <w:r w:rsidR="005E16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1374">
        <w:rPr>
          <w:rFonts w:ascii="Times New Roman" w:eastAsia="Times New Roman" w:hAnsi="Times New Roman" w:cs="Times New Roman"/>
          <w:sz w:val="28"/>
          <w:szCs w:val="28"/>
          <w:lang w:eastAsia="lv-LV"/>
        </w:rPr>
        <w:t>jūlija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noteikumos Nr.</w:t>
      </w:r>
      <w:r w:rsidR="005E16C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8A1374">
        <w:rPr>
          <w:rFonts w:ascii="Times New Roman" w:eastAsia="Times New Roman" w:hAnsi="Times New Roman" w:cs="Times New Roman"/>
          <w:sz w:val="28"/>
          <w:szCs w:val="28"/>
          <w:lang w:eastAsia="lv-LV"/>
        </w:rPr>
        <w:t>469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„Noteikumi par </w:t>
      </w:r>
      <w:r w:rsidR="008A1374" w:rsidRPr="008A1374">
        <w:rPr>
          <w:rFonts w:ascii="Times New Roman" w:eastAsia="Times New Roman" w:hAnsi="Times New Roman" w:cs="Times New Roman"/>
          <w:sz w:val="28"/>
          <w:szCs w:val="28"/>
          <w:lang w:eastAsia="lv-LV"/>
        </w:rPr>
        <w:t>paralēlajiem aizdevumiem saimnieciskās darbības veicējiem konkurētspējas uzlabošanai</w:t>
      </w:r>
      <w:r w:rsidR="00CD77E3" w:rsidRPr="0077190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  <w:r w:rsidRPr="00771904">
        <w:rPr>
          <w:rFonts w:ascii="Times New Roman" w:hAnsi="Times New Roman" w:cs="Times New Roman"/>
          <w:sz w:val="28"/>
          <w:szCs w:val="28"/>
        </w:rPr>
        <w:t xml:space="preserve"> </w:t>
      </w:r>
      <w:r w:rsidRPr="007B6A9A">
        <w:rPr>
          <w:rFonts w:ascii="Times New Roman" w:hAnsi="Times New Roman" w:cs="Times New Roman"/>
          <w:iCs/>
          <w:sz w:val="28"/>
          <w:szCs w:val="28"/>
        </w:rPr>
        <w:t>(Latvijas Vēstnesis, 2016,</w:t>
      </w:r>
      <w:r w:rsidR="007B6A9A" w:rsidRPr="007B6A9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138</w:t>
      </w:r>
      <w:r w:rsidR="009D2D89" w:rsidRPr="007B6A9A">
        <w:rPr>
          <w:rFonts w:ascii="Times New Roman" w:hAnsi="Times New Roman" w:cs="Times New Roman"/>
          <w:iCs/>
          <w:sz w:val="28"/>
          <w:szCs w:val="28"/>
        </w:rPr>
        <w:t>.</w:t>
      </w:r>
      <w:r w:rsidR="009D2D89">
        <w:rPr>
          <w:rFonts w:ascii="Times New Roman" w:hAnsi="Times New Roman" w:cs="Times New Roman"/>
          <w:iCs/>
          <w:sz w:val="28"/>
          <w:szCs w:val="28"/>
        </w:rPr>
        <w:t> </w:t>
      </w:r>
      <w:r w:rsidR="00B90537" w:rsidRPr="007B6A9A">
        <w:rPr>
          <w:rFonts w:ascii="Times New Roman" w:hAnsi="Times New Roman" w:cs="Times New Roman"/>
          <w:iCs/>
          <w:sz w:val="28"/>
          <w:szCs w:val="28"/>
        </w:rPr>
        <w:t>nr</w:t>
      </w:r>
      <w:r w:rsidR="009A16B6">
        <w:rPr>
          <w:rFonts w:ascii="Times New Roman" w:hAnsi="Times New Roman" w:cs="Times New Roman"/>
          <w:iCs/>
          <w:sz w:val="28"/>
          <w:szCs w:val="28"/>
        </w:rPr>
        <w:t>.</w:t>
      </w:r>
      <w:r w:rsidR="005E5A8E" w:rsidRPr="007B6A9A">
        <w:rPr>
          <w:rFonts w:ascii="Times New Roman" w:hAnsi="Times New Roman" w:cs="Times New Roman"/>
          <w:iCs/>
          <w:sz w:val="28"/>
          <w:szCs w:val="28"/>
        </w:rPr>
        <w:t xml:space="preserve">; 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>201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7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158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>.</w:t>
      </w:r>
      <w:r w:rsidR="009D2D89">
        <w:rPr>
          <w:rFonts w:ascii="Times New Roman" w:hAnsi="Times New Roman" w:cs="Times New Roman"/>
          <w:iCs/>
          <w:sz w:val="28"/>
          <w:szCs w:val="28"/>
        </w:rPr>
        <w:t> 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 xml:space="preserve">nr.; 2018, 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2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>0.</w:t>
      </w:r>
      <w:r w:rsidR="006C3EA1">
        <w:rPr>
          <w:rFonts w:ascii="Times New Roman" w:hAnsi="Times New Roman" w:cs="Times New Roman"/>
          <w:iCs/>
          <w:sz w:val="28"/>
          <w:szCs w:val="28"/>
        </w:rPr>
        <w:t> </w:t>
      </w:r>
      <w:r w:rsidR="004470C4" w:rsidRPr="007B6A9A">
        <w:rPr>
          <w:rFonts w:ascii="Times New Roman" w:hAnsi="Times New Roman" w:cs="Times New Roman"/>
          <w:iCs/>
          <w:sz w:val="28"/>
          <w:szCs w:val="28"/>
        </w:rPr>
        <w:t>nr.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; 2019, 170.</w:t>
      </w:r>
      <w:r w:rsidR="006C3EA1">
        <w:rPr>
          <w:rFonts w:ascii="Times New Roman" w:hAnsi="Times New Roman" w:cs="Times New Roman"/>
          <w:iCs/>
          <w:sz w:val="28"/>
          <w:szCs w:val="28"/>
        </w:rPr>
        <w:t> </w:t>
      </w:r>
      <w:r w:rsidR="008A1374" w:rsidRPr="007B6A9A">
        <w:rPr>
          <w:rFonts w:ascii="Times New Roman" w:hAnsi="Times New Roman" w:cs="Times New Roman"/>
          <w:iCs/>
          <w:sz w:val="28"/>
          <w:szCs w:val="28"/>
        </w:rPr>
        <w:t>nr.</w:t>
      </w:r>
      <w:r w:rsidRPr="007B6A9A">
        <w:rPr>
          <w:rFonts w:ascii="Times New Roman" w:hAnsi="Times New Roman" w:cs="Times New Roman"/>
          <w:iCs/>
          <w:sz w:val="28"/>
          <w:szCs w:val="28"/>
        </w:rPr>
        <w:t>)</w:t>
      </w:r>
      <w:r w:rsidRPr="00771904">
        <w:rPr>
          <w:rFonts w:ascii="Times New Roman" w:hAnsi="Times New Roman" w:cs="Times New Roman"/>
          <w:sz w:val="28"/>
          <w:szCs w:val="28"/>
        </w:rPr>
        <w:t xml:space="preserve"> šādus grozījumus:</w:t>
      </w:r>
    </w:p>
    <w:p w14:paraId="6AB64271" w14:textId="77777777" w:rsidR="00771904" w:rsidRPr="00624BEB" w:rsidRDefault="00771904" w:rsidP="0062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61DFF" w14:textId="7674D53F" w:rsidR="00117643" w:rsidRPr="002B25D8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D522B">
        <w:rPr>
          <w:rFonts w:ascii="Times New Roman" w:hAnsi="Times New Roman" w:cs="Times New Roman"/>
          <w:sz w:val="28"/>
          <w:szCs w:val="28"/>
        </w:rPr>
        <w:t>I</w:t>
      </w:r>
      <w:r w:rsidR="00CC3C08" w:rsidRPr="002B25D8">
        <w:rPr>
          <w:rFonts w:ascii="Times New Roman" w:hAnsi="Times New Roman" w:cs="Times New Roman"/>
          <w:sz w:val="28"/>
          <w:szCs w:val="28"/>
        </w:rPr>
        <w:t xml:space="preserve">zteikt </w:t>
      </w:r>
      <w:r w:rsidR="00D036BA">
        <w:rPr>
          <w:rFonts w:ascii="Times New Roman" w:hAnsi="Times New Roman" w:cs="Times New Roman"/>
          <w:sz w:val="28"/>
          <w:szCs w:val="28"/>
        </w:rPr>
        <w:t>8</w:t>
      </w:r>
      <w:r w:rsidR="00CC3C08" w:rsidRPr="002B25D8">
        <w:rPr>
          <w:rFonts w:ascii="Times New Roman" w:hAnsi="Times New Roman" w:cs="Times New Roman"/>
          <w:sz w:val="28"/>
          <w:szCs w:val="28"/>
        </w:rPr>
        <w:t>.</w:t>
      </w:r>
      <w:r w:rsidR="00132F49">
        <w:rPr>
          <w:rFonts w:ascii="Times New Roman" w:hAnsi="Times New Roman" w:cs="Times New Roman"/>
          <w:sz w:val="28"/>
          <w:szCs w:val="28"/>
        </w:rPr>
        <w:t> </w:t>
      </w:r>
      <w:r w:rsidR="008A7641" w:rsidRPr="002B25D8">
        <w:rPr>
          <w:rFonts w:ascii="Times New Roman" w:hAnsi="Times New Roman" w:cs="Times New Roman"/>
          <w:sz w:val="28"/>
          <w:szCs w:val="28"/>
        </w:rPr>
        <w:t>punktu</w:t>
      </w:r>
      <w:r w:rsidR="009532FB" w:rsidRPr="002B25D8">
        <w:rPr>
          <w:rFonts w:ascii="Times New Roman" w:hAnsi="Times New Roman" w:cs="Times New Roman"/>
          <w:sz w:val="28"/>
          <w:szCs w:val="28"/>
        </w:rPr>
        <w:t xml:space="preserve"> šādā redakcijā</w:t>
      </w:r>
      <w:r w:rsidR="00CC3C08" w:rsidRPr="002B25D8">
        <w:rPr>
          <w:rFonts w:ascii="Times New Roman" w:hAnsi="Times New Roman" w:cs="Times New Roman"/>
          <w:sz w:val="28"/>
          <w:szCs w:val="28"/>
        </w:rPr>
        <w:t>:</w:t>
      </w:r>
    </w:p>
    <w:p w14:paraId="46CBDF85" w14:textId="77777777" w:rsidR="00BC33C4" w:rsidRDefault="00BC33C4" w:rsidP="00BC33C4">
      <w:pPr>
        <w:pStyle w:val="tv21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2C4AFDEE" w14:textId="5F508130" w:rsidR="00747EEC" w:rsidRPr="002B25D8" w:rsidRDefault="00747EEC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B25D8">
        <w:rPr>
          <w:sz w:val="28"/>
          <w:szCs w:val="28"/>
        </w:rPr>
        <w:t>“</w:t>
      </w:r>
      <w:r w:rsidR="001B3EAD">
        <w:rPr>
          <w:sz w:val="28"/>
          <w:szCs w:val="28"/>
        </w:rPr>
        <w:t>8</w:t>
      </w:r>
      <w:r w:rsidRPr="002B25D8">
        <w:rPr>
          <w:sz w:val="28"/>
          <w:szCs w:val="28"/>
        </w:rPr>
        <w:t xml:space="preserve">. </w:t>
      </w:r>
      <w:r w:rsidR="001B3EAD" w:rsidRPr="001B3EAD">
        <w:rPr>
          <w:sz w:val="28"/>
          <w:szCs w:val="28"/>
        </w:rPr>
        <w:t>Pasākuma ietvaros Eiropas Reģionālās attīstības fonda (turpmāk – ERAF)</w:t>
      </w:r>
      <w:r w:rsidR="00DE1FD6">
        <w:rPr>
          <w:sz w:val="28"/>
          <w:szCs w:val="28"/>
        </w:rPr>
        <w:t xml:space="preserve"> pieejamais</w:t>
      </w:r>
      <w:r w:rsidR="001B3EAD" w:rsidRPr="001B3EAD">
        <w:rPr>
          <w:sz w:val="28"/>
          <w:szCs w:val="28"/>
        </w:rPr>
        <w:t xml:space="preserve"> finansējums </w:t>
      </w:r>
      <w:r w:rsidR="00DE1FD6">
        <w:rPr>
          <w:sz w:val="28"/>
          <w:szCs w:val="28"/>
        </w:rPr>
        <w:t xml:space="preserve">ir </w:t>
      </w:r>
      <w:r w:rsidR="001B3EAD" w:rsidRPr="001B3EAD">
        <w:rPr>
          <w:sz w:val="28"/>
          <w:szCs w:val="28"/>
        </w:rPr>
        <w:t>7</w:t>
      </w:r>
      <w:r w:rsidR="00917695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>000</w:t>
      </w:r>
      <w:r w:rsidR="00917695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 xml:space="preserve">000 </w:t>
      </w:r>
      <w:proofErr w:type="spellStart"/>
      <w:r w:rsidR="001B3EAD" w:rsidRPr="00566F58">
        <w:rPr>
          <w:i/>
          <w:iCs/>
          <w:sz w:val="28"/>
          <w:szCs w:val="28"/>
        </w:rPr>
        <w:t>euro</w:t>
      </w:r>
      <w:proofErr w:type="spellEnd"/>
      <w:r w:rsidR="00DE1FD6">
        <w:rPr>
          <w:sz w:val="28"/>
          <w:szCs w:val="28"/>
        </w:rPr>
        <w:t>,</w:t>
      </w:r>
      <w:r w:rsidR="001B3EAD" w:rsidRPr="001B3EAD">
        <w:rPr>
          <w:sz w:val="28"/>
          <w:szCs w:val="28"/>
        </w:rPr>
        <w:t xml:space="preserve"> darbības programmas "Uzņēmējdarbība un inovācijas" papildinājuma 2.2.1.4.1.</w:t>
      </w:r>
      <w:r w:rsidR="00B04CC8">
        <w:rPr>
          <w:sz w:val="28"/>
          <w:szCs w:val="28"/>
        </w:rPr>
        <w:t> </w:t>
      </w:r>
      <w:proofErr w:type="spellStart"/>
      <w:r w:rsidR="001B3EAD" w:rsidRPr="001B3EAD">
        <w:rPr>
          <w:sz w:val="28"/>
          <w:szCs w:val="28"/>
        </w:rPr>
        <w:t>apakšaktivitātē</w:t>
      </w:r>
      <w:proofErr w:type="spellEnd"/>
      <w:r w:rsidR="001B3EAD" w:rsidRPr="001B3EAD">
        <w:rPr>
          <w:sz w:val="28"/>
          <w:szCs w:val="28"/>
        </w:rPr>
        <w:t xml:space="preserve"> "Atbalsts aizdevumu veidā komersantu konkurētspējas uzlabošanai" gūto atmaksu publiskā finansējuma daļa</w:t>
      </w:r>
      <w:r w:rsidR="00DE1FD6">
        <w:rPr>
          <w:sz w:val="28"/>
          <w:szCs w:val="28"/>
        </w:rPr>
        <w:t xml:space="preserve"> ir</w:t>
      </w:r>
      <w:r w:rsidR="001B3EAD" w:rsidRPr="001B3EAD">
        <w:rPr>
          <w:sz w:val="28"/>
          <w:szCs w:val="28"/>
        </w:rPr>
        <w:t xml:space="preserve"> 2</w:t>
      </w:r>
      <w:r w:rsidR="009601C1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>000</w:t>
      </w:r>
      <w:r w:rsidR="009601C1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 xml:space="preserve">000 </w:t>
      </w:r>
      <w:proofErr w:type="spellStart"/>
      <w:r w:rsidR="001B3EAD" w:rsidRPr="00566F58">
        <w:rPr>
          <w:i/>
          <w:iCs/>
          <w:sz w:val="28"/>
          <w:szCs w:val="28"/>
        </w:rPr>
        <w:t>euro</w:t>
      </w:r>
      <w:proofErr w:type="spellEnd"/>
      <w:r w:rsidR="001B3EAD" w:rsidRPr="001B3EAD">
        <w:rPr>
          <w:sz w:val="28"/>
          <w:szCs w:val="28"/>
        </w:rPr>
        <w:t xml:space="preserve"> un sabiedrības </w:t>
      </w:r>
      <w:proofErr w:type="spellStart"/>
      <w:r w:rsidR="001B3EAD" w:rsidRPr="001B3EAD">
        <w:rPr>
          <w:sz w:val="28"/>
          <w:szCs w:val="28"/>
        </w:rPr>
        <w:t>Altum</w:t>
      </w:r>
      <w:proofErr w:type="spellEnd"/>
      <w:r w:rsidR="001B3EAD" w:rsidRPr="001B3EAD">
        <w:rPr>
          <w:sz w:val="28"/>
          <w:szCs w:val="28"/>
        </w:rPr>
        <w:t xml:space="preserve"> finansējums līdz 20</w:t>
      </w:r>
      <w:r w:rsidR="009601C1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>000</w:t>
      </w:r>
      <w:r w:rsidR="009601C1">
        <w:rPr>
          <w:sz w:val="28"/>
          <w:szCs w:val="28"/>
        </w:rPr>
        <w:t> </w:t>
      </w:r>
      <w:r w:rsidR="001B3EAD" w:rsidRPr="001B3EAD">
        <w:rPr>
          <w:sz w:val="28"/>
          <w:szCs w:val="28"/>
        </w:rPr>
        <w:t xml:space="preserve">000 </w:t>
      </w:r>
      <w:proofErr w:type="spellStart"/>
      <w:r w:rsidR="001B3EAD" w:rsidRPr="009B797C">
        <w:rPr>
          <w:i/>
          <w:iCs/>
          <w:sz w:val="28"/>
          <w:szCs w:val="28"/>
        </w:rPr>
        <w:t>euro</w:t>
      </w:r>
      <w:proofErr w:type="spellEnd"/>
      <w:r w:rsidR="001B3EAD" w:rsidRPr="001B3EAD">
        <w:rPr>
          <w:sz w:val="28"/>
          <w:szCs w:val="28"/>
        </w:rPr>
        <w:t>.</w:t>
      </w:r>
      <w:r w:rsidRPr="002B25D8">
        <w:rPr>
          <w:sz w:val="28"/>
          <w:szCs w:val="28"/>
        </w:rPr>
        <w:t>”</w:t>
      </w:r>
    </w:p>
    <w:p w14:paraId="55BDCEC2" w14:textId="6DB1DD70" w:rsidR="008D3F6F" w:rsidRPr="00747EEC" w:rsidRDefault="008D3F6F" w:rsidP="00624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5B890048" w14:textId="7B25C4F9" w:rsidR="008D3F6F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6D1D" w:rsidRPr="00186D1D">
        <w:rPr>
          <w:rFonts w:ascii="Times New Roman" w:hAnsi="Times New Roman" w:cs="Times New Roman"/>
          <w:sz w:val="28"/>
          <w:szCs w:val="28"/>
        </w:rPr>
        <w:t>Izteikt 11.</w:t>
      </w:r>
      <w:r w:rsidR="00132F49">
        <w:rPr>
          <w:rFonts w:ascii="Times New Roman" w:hAnsi="Times New Roman" w:cs="Times New Roman"/>
          <w:sz w:val="28"/>
          <w:szCs w:val="28"/>
        </w:rPr>
        <w:t> </w:t>
      </w:r>
      <w:r w:rsidR="00186D1D" w:rsidRPr="00186D1D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D471F04" w14:textId="77777777" w:rsidR="00BC33C4" w:rsidRPr="00BC33C4" w:rsidRDefault="00BC33C4" w:rsidP="00BC33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5A29D" w14:textId="0AC978AB" w:rsidR="00186D1D" w:rsidRPr="00186D1D" w:rsidRDefault="00186D1D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1D">
        <w:rPr>
          <w:rFonts w:ascii="Times New Roman" w:hAnsi="Times New Roman" w:cs="Times New Roman"/>
          <w:sz w:val="28"/>
          <w:szCs w:val="28"/>
        </w:rPr>
        <w:t>“11.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D1D">
        <w:rPr>
          <w:rFonts w:ascii="Times New Roman" w:hAnsi="Times New Roman" w:cs="Times New Roman"/>
          <w:sz w:val="28"/>
          <w:szCs w:val="28"/>
        </w:rPr>
        <w:t xml:space="preserve">Sabiedrības </w:t>
      </w:r>
      <w:proofErr w:type="spellStart"/>
      <w:r w:rsidRPr="00186D1D">
        <w:rPr>
          <w:rFonts w:ascii="Times New Roman" w:hAnsi="Times New Roman" w:cs="Times New Roman"/>
          <w:sz w:val="28"/>
          <w:szCs w:val="28"/>
        </w:rPr>
        <w:t>Altum</w:t>
      </w:r>
      <w:proofErr w:type="spellEnd"/>
      <w:r w:rsidRPr="00186D1D">
        <w:rPr>
          <w:rFonts w:ascii="Times New Roman" w:hAnsi="Times New Roman" w:cs="Times New Roman"/>
          <w:sz w:val="28"/>
          <w:szCs w:val="28"/>
        </w:rPr>
        <w:t xml:space="preserve"> pārvaldības izmaksu daļai piemēro 2 % samazinājumu, ja saskaņā ar Regulas Nr.</w:t>
      </w:r>
      <w:r w:rsidR="006051B2">
        <w:rPr>
          <w:rFonts w:ascii="Times New Roman" w:hAnsi="Times New Roman" w:cs="Times New Roman"/>
          <w:sz w:val="28"/>
          <w:szCs w:val="28"/>
        </w:rPr>
        <w:t> </w:t>
      </w:r>
      <w:r w:rsidRPr="00186D1D">
        <w:rPr>
          <w:rFonts w:ascii="Times New Roman" w:hAnsi="Times New Roman" w:cs="Times New Roman"/>
          <w:sz w:val="28"/>
          <w:szCs w:val="28"/>
        </w:rPr>
        <w:t>480/2014 12.</w:t>
      </w:r>
      <w:r w:rsidR="00B04CC8">
        <w:rPr>
          <w:rFonts w:ascii="Times New Roman" w:hAnsi="Times New Roman" w:cs="Times New Roman"/>
          <w:sz w:val="28"/>
          <w:szCs w:val="28"/>
        </w:rPr>
        <w:t> </w:t>
      </w:r>
      <w:r w:rsidRPr="00186D1D">
        <w:rPr>
          <w:rFonts w:ascii="Times New Roman" w:hAnsi="Times New Roman" w:cs="Times New Roman"/>
          <w:sz w:val="28"/>
          <w:szCs w:val="28"/>
        </w:rPr>
        <w:t>pantā definētajiem kritērijiem 2023. gada 31. decembrī:</w:t>
      </w:r>
    </w:p>
    <w:p w14:paraId="3C5C2333" w14:textId="77777777" w:rsidR="00186D1D" w:rsidRPr="00186D1D" w:rsidRDefault="00186D1D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86D1D">
        <w:rPr>
          <w:rFonts w:ascii="Times New Roman" w:hAnsi="Times New Roman" w:cs="Times New Roman"/>
          <w:sz w:val="28"/>
          <w:szCs w:val="28"/>
        </w:rPr>
        <w:t>11.1. pasākuma ERAF finansējuma apguve ir mazāka par 80 %;</w:t>
      </w:r>
    </w:p>
    <w:p w14:paraId="476CB74A" w14:textId="28E0A4AC" w:rsidR="00186D1D" w:rsidRPr="00186D1D" w:rsidRDefault="00186D1D" w:rsidP="00FD20F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86D1D">
        <w:rPr>
          <w:rFonts w:ascii="Times New Roman" w:hAnsi="Times New Roman" w:cs="Times New Roman"/>
          <w:sz w:val="28"/>
          <w:szCs w:val="28"/>
        </w:rPr>
        <w:t>11.2. atbalstīto saimnieciskās darbības veicēju skaits pasākuma ietvaros ir mazāks par 18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7C611DF4" w14:textId="77777777" w:rsidR="008D3F6F" w:rsidRPr="00747EEC" w:rsidRDefault="008D3F6F" w:rsidP="00624B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3191EA8" w14:textId="7C772A82" w:rsidR="00771904" w:rsidRDefault="00BC33C4" w:rsidP="00BC33C4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D522B">
        <w:rPr>
          <w:rFonts w:ascii="Times New Roman" w:hAnsi="Times New Roman" w:cs="Times New Roman"/>
          <w:sz w:val="28"/>
          <w:szCs w:val="28"/>
        </w:rPr>
        <w:t>I</w:t>
      </w:r>
      <w:r w:rsidR="00771904" w:rsidRPr="00716E66">
        <w:rPr>
          <w:rFonts w:ascii="Times New Roman" w:hAnsi="Times New Roman" w:cs="Times New Roman"/>
          <w:sz w:val="28"/>
          <w:szCs w:val="28"/>
        </w:rPr>
        <w:t xml:space="preserve">zteikt </w:t>
      </w:r>
      <w:r w:rsidR="006B02F2">
        <w:rPr>
          <w:rFonts w:ascii="Times New Roman" w:hAnsi="Times New Roman" w:cs="Times New Roman"/>
          <w:sz w:val="28"/>
          <w:szCs w:val="28"/>
        </w:rPr>
        <w:t>20.11</w:t>
      </w:r>
      <w:r w:rsidR="00771904" w:rsidRPr="00716E66">
        <w:rPr>
          <w:rFonts w:ascii="Times New Roman" w:hAnsi="Times New Roman" w:cs="Times New Roman"/>
          <w:sz w:val="28"/>
          <w:szCs w:val="28"/>
        </w:rPr>
        <w:t>.</w:t>
      </w:r>
      <w:r w:rsidR="00C12520">
        <w:rPr>
          <w:rFonts w:ascii="Times New Roman" w:hAnsi="Times New Roman" w:cs="Times New Roman"/>
          <w:sz w:val="28"/>
          <w:szCs w:val="28"/>
        </w:rPr>
        <w:t> apakš</w:t>
      </w:r>
      <w:r w:rsidR="00771904" w:rsidRPr="00716E66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02A6B531" w14:textId="77777777" w:rsidR="003C0A65" w:rsidRPr="003C0A65" w:rsidRDefault="003C0A65" w:rsidP="003C0A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4A4A8A1D" w14:textId="44490AD4" w:rsidR="0064220D" w:rsidRDefault="00716E66" w:rsidP="00FD20F6">
      <w:pPr>
        <w:pStyle w:val="tv21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16E66">
        <w:rPr>
          <w:sz w:val="28"/>
          <w:szCs w:val="28"/>
        </w:rPr>
        <w:t>“</w:t>
      </w:r>
      <w:r w:rsidR="00F84A12" w:rsidRPr="00F84A12">
        <w:rPr>
          <w:sz w:val="28"/>
          <w:szCs w:val="28"/>
        </w:rPr>
        <w:t xml:space="preserve">20.11. operācijām ar nekustamo īpašumu (NACE 2. </w:t>
      </w:r>
      <w:proofErr w:type="spellStart"/>
      <w:r w:rsidR="00F84A12" w:rsidRPr="00F84A12">
        <w:rPr>
          <w:sz w:val="28"/>
          <w:szCs w:val="28"/>
        </w:rPr>
        <w:t>red</w:t>
      </w:r>
      <w:proofErr w:type="spellEnd"/>
      <w:r w:rsidR="00F84A12" w:rsidRPr="00F84A12">
        <w:rPr>
          <w:sz w:val="28"/>
          <w:szCs w:val="28"/>
        </w:rPr>
        <w:t xml:space="preserve">. L sadaļa “Operācijas ar nekustamo īpašumu”), izņemot gadījumus, ja aizdevumu piešķir nekustamā industriālā īpašuma attīstīšanai. Šo noteikumu ietvaros ar nekustamo </w:t>
      </w:r>
      <w:r w:rsidR="00F84A12" w:rsidRPr="00F84A12">
        <w:rPr>
          <w:sz w:val="28"/>
          <w:szCs w:val="28"/>
        </w:rPr>
        <w:lastRenderedPageBreak/>
        <w:t>industriālo īpašumu saprot būves un telpas, kas atbilst Ministru kabineta 2018</w:t>
      </w:r>
      <w:r w:rsidR="00B240E1" w:rsidRPr="00F84A12">
        <w:rPr>
          <w:sz w:val="28"/>
          <w:szCs w:val="28"/>
        </w:rPr>
        <w:t>.</w:t>
      </w:r>
      <w:r w:rsidR="00B240E1">
        <w:rPr>
          <w:sz w:val="28"/>
          <w:szCs w:val="28"/>
        </w:rPr>
        <w:t> </w:t>
      </w:r>
      <w:r w:rsidR="00F84A12" w:rsidRPr="00F84A12">
        <w:rPr>
          <w:sz w:val="28"/>
          <w:szCs w:val="28"/>
        </w:rPr>
        <w:t>gada 12</w:t>
      </w:r>
      <w:r w:rsidR="009303C6" w:rsidRPr="00F84A12">
        <w:rPr>
          <w:sz w:val="28"/>
          <w:szCs w:val="28"/>
        </w:rPr>
        <w:t>.</w:t>
      </w:r>
      <w:r w:rsidR="009303C6">
        <w:rPr>
          <w:sz w:val="28"/>
          <w:szCs w:val="28"/>
        </w:rPr>
        <w:t> </w:t>
      </w:r>
      <w:r w:rsidR="00F84A12" w:rsidRPr="00F84A12">
        <w:rPr>
          <w:sz w:val="28"/>
          <w:szCs w:val="28"/>
        </w:rPr>
        <w:t>jūnija noteikum</w:t>
      </w:r>
      <w:r w:rsidR="009303C6">
        <w:rPr>
          <w:sz w:val="28"/>
          <w:szCs w:val="28"/>
        </w:rPr>
        <w:t>u</w:t>
      </w:r>
      <w:r w:rsidR="00F84A12" w:rsidRPr="00F84A12">
        <w:rPr>
          <w:sz w:val="28"/>
          <w:szCs w:val="28"/>
        </w:rPr>
        <w:t xml:space="preserve"> Nr</w:t>
      </w:r>
      <w:r w:rsidR="009303C6" w:rsidRPr="00F84A12">
        <w:rPr>
          <w:sz w:val="28"/>
          <w:szCs w:val="28"/>
        </w:rPr>
        <w:t>.</w:t>
      </w:r>
      <w:r w:rsidR="009303C6">
        <w:rPr>
          <w:sz w:val="28"/>
          <w:szCs w:val="28"/>
        </w:rPr>
        <w:t> </w:t>
      </w:r>
      <w:r w:rsidR="00F84A12" w:rsidRPr="00F84A12">
        <w:rPr>
          <w:sz w:val="28"/>
          <w:szCs w:val="28"/>
        </w:rPr>
        <w:t>326 “Būvju klasifikācijas noteikumi” pielikumā “Būvju klasifikācija” noteiktajai klasifikācijai, izņemot 11</w:t>
      </w:r>
      <w:r w:rsidR="00267E50" w:rsidRPr="00F84A12">
        <w:rPr>
          <w:sz w:val="28"/>
          <w:szCs w:val="28"/>
        </w:rPr>
        <w:t>.</w:t>
      </w:r>
      <w:r w:rsidR="00267E50">
        <w:rPr>
          <w:sz w:val="28"/>
          <w:szCs w:val="28"/>
        </w:rPr>
        <w:t> </w:t>
      </w:r>
      <w:r w:rsidR="00F84A12" w:rsidRPr="00F84A12">
        <w:rPr>
          <w:sz w:val="28"/>
          <w:szCs w:val="28"/>
        </w:rPr>
        <w:t>kodu “Dzīvojamās mājas”, kā arī kazino, lombardu un tādas būves un telpas, kurās plānots īstenot darbības, par kurām aizdevumu nepiešķir saskaņā ar šo noteikumu 20. punktu</w:t>
      </w:r>
      <w:r w:rsidR="00963E27">
        <w:rPr>
          <w:sz w:val="28"/>
          <w:szCs w:val="28"/>
        </w:rPr>
        <w:t>;</w:t>
      </w:r>
      <w:r>
        <w:rPr>
          <w:sz w:val="28"/>
          <w:szCs w:val="28"/>
        </w:rPr>
        <w:t>”</w:t>
      </w:r>
    </w:p>
    <w:p w14:paraId="26A02CB6" w14:textId="77777777" w:rsidR="00B43FF8" w:rsidRPr="00747EEC" w:rsidRDefault="00B43FF8" w:rsidP="00B301E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21C937D" w14:textId="77777777" w:rsidR="0070665D" w:rsidRPr="002377D6" w:rsidRDefault="0070665D" w:rsidP="00B301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EA0FA9" w14:textId="51E17CC0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Ministru prezidents</w:t>
      </w:r>
      <w:r w:rsidRPr="002377D6">
        <w:rPr>
          <w:rFonts w:ascii="Times New Roman" w:hAnsi="Times New Roman"/>
          <w:sz w:val="28"/>
          <w:szCs w:val="28"/>
        </w:rPr>
        <w:tab/>
        <w:t>A. K. Kariņš</w:t>
      </w:r>
    </w:p>
    <w:p w14:paraId="6567840F" w14:textId="77777777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2519849" w14:textId="77777777" w:rsidR="002D05F8" w:rsidRDefault="002D05F8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422018" w14:textId="527BB6D4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Ekonomikas ministrs</w:t>
      </w:r>
      <w:r w:rsidRPr="002377D6">
        <w:rPr>
          <w:rFonts w:ascii="Times New Roman" w:hAnsi="Times New Roman"/>
          <w:sz w:val="28"/>
          <w:szCs w:val="28"/>
        </w:rPr>
        <w:tab/>
        <w:t xml:space="preserve">R. </w:t>
      </w:r>
      <w:proofErr w:type="spellStart"/>
      <w:r w:rsidRPr="002377D6">
        <w:rPr>
          <w:rFonts w:ascii="Times New Roman" w:hAnsi="Times New Roman"/>
          <w:sz w:val="28"/>
          <w:szCs w:val="28"/>
        </w:rPr>
        <w:t>Nemiro</w:t>
      </w:r>
      <w:proofErr w:type="spellEnd"/>
    </w:p>
    <w:p w14:paraId="36D62118" w14:textId="46C2527E" w:rsid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27E3743B" w14:textId="77777777" w:rsidR="008B63CE" w:rsidRPr="002377D6" w:rsidRDefault="008B63CE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FC07088" w14:textId="77777777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Iesniedzējs:</w:t>
      </w:r>
    </w:p>
    <w:p w14:paraId="24A9F0F1" w14:textId="6F21BE20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Ekonomikas ministrs</w:t>
      </w:r>
      <w:r w:rsidRPr="002377D6">
        <w:rPr>
          <w:rFonts w:ascii="Times New Roman" w:hAnsi="Times New Roman"/>
          <w:sz w:val="28"/>
          <w:szCs w:val="28"/>
        </w:rPr>
        <w:tab/>
        <w:t xml:space="preserve">R. </w:t>
      </w:r>
      <w:proofErr w:type="spellStart"/>
      <w:r w:rsidRPr="002377D6">
        <w:rPr>
          <w:rFonts w:ascii="Times New Roman" w:hAnsi="Times New Roman"/>
          <w:sz w:val="28"/>
          <w:szCs w:val="28"/>
        </w:rPr>
        <w:t>Nemiro</w:t>
      </w:r>
      <w:proofErr w:type="spellEnd"/>
    </w:p>
    <w:p w14:paraId="268D17BB" w14:textId="20AA831E" w:rsid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4874E001" w14:textId="77777777" w:rsidR="008B63CE" w:rsidRPr="002377D6" w:rsidRDefault="008B63CE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DD43408" w14:textId="77777777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Vīza:</w:t>
      </w:r>
    </w:p>
    <w:p w14:paraId="20DCDB3E" w14:textId="7C87CD07" w:rsidR="002377D6" w:rsidRPr="002377D6" w:rsidRDefault="002377D6" w:rsidP="00FD20F6">
      <w:pPr>
        <w:tabs>
          <w:tab w:val="left" w:pos="6663"/>
        </w:tabs>
        <w:spacing w:after="0" w:line="240" w:lineRule="auto"/>
        <w:ind w:right="-199"/>
        <w:contextualSpacing/>
        <w:jc w:val="both"/>
        <w:rPr>
          <w:rFonts w:ascii="Times New Roman" w:hAnsi="Times New Roman"/>
          <w:sz w:val="28"/>
          <w:szCs w:val="28"/>
        </w:rPr>
      </w:pPr>
      <w:r w:rsidRPr="002377D6">
        <w:rPr>
          <w:rFonts w:ascii="Times New Roman" w:hAnsi="Times New Roman"/>
          <w:sz w:val="28"/>
          <w:szCs w:val="28"/>
        </w:rPr>
        <w:t>Valsts sekretārs</w:t>
      </w:r>
      <w:r w:rsidRPr="002377D6">
        <w:rPr>
          <w:rFonts w:ascii="Times New Roman" w:hAnsi="Times New Roman"/>
          <w:sz w:val="28"/>
          <w:szCs w:val="28"/>
        </w:rPr>
        <w:tab/>
        <w:t>Ē. Eglītis</w:t>
      </w:r>
    </w:p>
    <w:sectPr w:rsidR="002377D6" w:rsidRPr="002377D6" w:rsidSect="00771904">
      <w:headerReference w:type="default" r:id="rId9"/>
      <w:footerReference w:type="default" r:id="rId10"/>
      <w:footerReference w:type="first" r:id="rId11"/>
      <w:pgSz w:w="11906" w:h="16838" w:code="9"/>
      <w:pgMar w:top="1247" w:right="1247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8D16D" w14:textId="77777777" w:rsidR="00F44DE7" w:rsidRDefault="00F44DE7" w:rsidP="0070665D">
      <w:pPr>
        <w:spacing w:after="0" w:line="240" w:lineRule="auto"/>
      </w:pPr>
      <w:r>
        <w:separator/>
      </w:r>
    </w:p>
  </w:endnote>
  <w:endnote w:type="continuationSeparator" w:id="0">
    <w:p w14:paraId="179D5FC4" w14:textId="77777777" w:rsidR="00F44DE7" w:rsidRDefault="00F44DE7" w:rsidP="00706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594E6" w14:textId="2FE12A60" w:rsidR="0070665D" w:rsidRPr="00A9450A" w:rsidRDefault="0070665D" w:rsidP="0070665D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A9450A">
      <w:rPr>
        <w:rFonts w:ascii="Times New Roman" w:hAnsi="Times New Roman" w:cs="Times New Roman"/>
        <w:sz w:val="20"/>
        <w:szCs w:val="20"/>
      </w:rPr>
      <w:fldChar w:fldCharType="begin"/>
    </w:r>
    <w:r w:rsidRPr="00A9450A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A9450A">
      <w:rPr>
        <w:rFonts w:ascii="Times New Roman" w:hAnsi="Times New Roman" w:cs="Times New Roman"/>
        <w:sz w:val="20"/>
        <w:szCs w:val="20"/>
      </w:rPr>
      <w:fldChar w:fldCharType="separate"/>
    </w:r>
    <w:r w:rsidR="001775E7">
      <w:rPr>
        <w:rFonts w:ascii="Times New Roman" w:hAnsi="Times New Roman" w:cs="Times New Roman"/>
        <w:noProof/>
        <w:sz w:val="20"/>
        <w:szCs w:val="20"/>
      </w:rPr>
      <w:t>EMNot_Groz_MKN469_031219.docx</w:t>
    </w:r>
    <w:r w:rsidRPr="00A9450A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F5D5" w14:textId="4D7CA470" w:rsidR="00EE5389" w:rsidRPr="002149C0" w:rsidRDefault="00F70D74" w:rsidP="00EE5389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2154F5">
      <w:rPr>
        <w:rFonts w:ascii="Times New Roman" w:hAnsi="Times New Roman" w:cs="Times New Roman"/>
        <w:noProof/>
        <w:sz w:val="20"/>
        <w:szCs w:val="20"/>
      </w:rPr>
      <w:t>EMNot_Groz_MKN328_191018.docx</w:t>
    </w:r>
    <w:r>
      <w:rPr>
        <w:rFonts w:ascii="Times New Roman" w:hAnsi="Times New Roman" w:cs="Times New Roman"/>
        <w:sz w:val="20"/>
        <w:szCs w:val="20"/>
      </w:rPr>
      <w:fldChar w:fldCharType="end"/>
    </w:r>
    <w:r w:rsidR="009E4A55">
      <w:rPr>
        <w:rFonts w:ascii="Times New Roman" w:hAnsi="Times New Roman" w:cs="Times New Roman"/>
        <w:sz w:val="20"/>
        <w:szCs w:val="20"/>
      </w:rPr>
      <w:t xml:space="preserve"> </w:t>
    </w:r>
    <w:r w:rsidR="009E4A55" w:rsidRPr="00A9450A">
      <w:rPr>
        <w:rFonts w:ascii="Times New Roman" w:hAnsi="Times New Roman" w:cs="Times New Roman"/>
        <w:sz w:val="20"/>
        <w:szCs w:val="20"/>
      </w:rPr>
      <w:t>Ministru kabineta noteikumu projekts “</w:t>
    </w:r>
    <w:r w:rsidR="009E4A55" w:rsidRPr="009E4A55">
      <w:rPr>
        <w:rFonts w:ascii="Times New Roman" w:hAnsi="Times New Roman" w:cs="Times New Roman"/>
        <w:sz w:val="20"/>
        <w:szCs w:val="20"/>
      </w:rPr>
      <w:t xml:space="preserve">Grozījumi Ministru kabineta 2016.gada 31.maija noteikumos Nr.328 „Noteikumi par </w:t>
    </w:r>
    <w:proofErr w:type="spellStart"/>
    <w:r w:rsidR="009E4A55" w:rsidRPr="009E4A55">
      <w:rPr>
        <w:rFonts w:ascii="Times New Roman" w:hAnsi="Times New Roman" w:cs="Times New Roman"/>
        <w:sz w:val="20"/>
        <w:szCs w:val="20"/>
      </w:rPr>
      <w:t>mikroaizdevumiem</w:t>
    </w:r>
    <w:proofErr w:type="spellEnd"/>
    <w:r w:rsidR="009E4A55" w:rsidRPr="009E4A55">
      <w:rPr>
        <w:rFonts w:ascii="Times New Roman" w:hAnsi="Times New Roman" w:cs="Times New Roman"/>
        <w:sz w:val="20"/>
        <w:szCs w:val="20"/>
      </w:rPr>
      <w:t xml:space="preserve"> un starta aizdevumiem”</w:t>
    </w:r>
    <w:r w:rsidR="009E4A55" w:rsidRPr="00A9450A">
      <w:rPr>
        <w:rFonts w:ascii="Times New Roman" w:hAnsi="Times New Roman" w:cs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F6706" w14:textId="77777777" w:rsidR="00F44DE7" w:rsidRDefault="00F44DE7" w:rsidP="0070665D">
      <w:pPr>
        <w:spacing w:after="0" w:line="240" w:lineRule="auto"/>
      </w:pPr>
      <w:r>
        <w:separator/>
      </w:r>
    </w:p>
  </w:footnote>
  <w:footnote w:type="continuationSeparator" w:id="0">
    <w:p w14:paraId="3E7437CA" w14:textId="77777777" w:rsidR="00F44DE7" w:rsidRDefault="00F44DE7" w:rsidP="00706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2BDE" w14:textId="43FC7694" w:rsidR="00EE5389" w:rsidRPr="00747EEC" w:rsidRDefault="00747EEC" w:rsidP="00747EEC">
    <w:pPr>
      <w:pStyle w:val="Header"/>
      <w:jc w:val="right"/>
      <w:rPr>
        <w:rFonts w:ascii="Times New Roman" w:hAnsi="Times New Roman" w:cs="Times New Roman"/>
        <w:i/>
      </w:rPr>
    </w:pPr>
    <w:r w:rsidRPr="00747EEC">
      <w:rPr>
        <w:i/>
      </w:rPr>
      <w:t xml:space="preserve"> </w:t>
    </w:r>
    <w:r w:rsidRPr="00747EEC">
      <w:rPr>
        <w:rFonts w:ascii="Times New Roman" w:hAnsi="Times New Roman" w:cs="Times New Roman"/>
        <w:i/>
      </w:rPr>
      <w:t>PROJEKTS</w:t>
    </w:r>
  </w:p>
  <w:p w14:paraId="79DECCB2" w14:textId="77777777" w:rsidR="00EE5389" w:rsidRPr="00173166" w:rsidRDefault="00EE5389" w:rsidP="00EE5389">
    <w:pPr>
      <w:pStyle w:val="Header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42065"/>
    <w:multiLevelType w:val="hybridMultilevel"/>
    <w:tmpl w:val="D89681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D33EE"/>
    <w:multiLevelType w:val="hybridMultilevel"/>
    <w:tmpl w:val="F72854F2"/>
    <w:lvl w:ilvl="0" w:tplc="042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E47F1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A0C"/>
    <w:multiLevelType w:val="hybridMultilevel"/>
    <w:tmpl w:val="B7164DA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F1BEC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23163C"/>
    <w:multiLevelType w:val="hybridMultilevel"/>
    <w:tmpl w:val="6CAC7A9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11051E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624433"/>
    <w:multiLevelType w:val="hybridMultilevel"/>
    <w:tmpl w:val="946ECF5A"/>
    <w:lvl w:ilvl="0" w:tplc="042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24464"/>
    <w:multiLevelType w:val="hybridMultilevel"/>
    <w:tmpl w:val="FA8EA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C91"/>
    <w:rsid w:val="00020344"/>
    <w:rsid w:val="000235C6"/>
    <w:rsid w:val="0005767E"/>
    <w:rsid w:val="000718AC"/>
    <w:rsid w:val="0007428C"/>
    <w:rsid w:val="00080691"/>
    <w:rsid w:val="00090EE2"/>
    <w:rsid w:val="00095C5C"/>
    <w:rsid w:val="000A5D72"/>
    <w:rsid w:val="000B6663"/>
    <w:rsid w:val="000D0B34"/>
    <w:rsid w:val="000D522B"/>
    <w:rsid w:val="000F3B9A"/>
    <w:rsid w:val="000F3BD1"/>
    <w:rsid w:val="001117BC"/>
    <w:rsid w:val="00111D52"/>
    <w:rsid w:val="00115206"/>
    <w:rsid w:val="00117643"/>
    <w:rsid w:val="00127C50"/>
    <w:rsid w:val="00132F49"/>
    <w:rsid w:val="001332CC"/>
    <w:rsid w:val="001343F1"/>
    <w:rsid w:val="00134F94"/>
    <w:rsid w:val="00143F46"/>
    <w:rsid w:val="00156AD6"/>
    <w:rsid w:val="00163FD0"/>
    <w:rsid w:val="001775E7"/>
    <w:rsid w:val="001813A1"/>
    <w:rsid w:val="00186D1D"/>
    <w:rsid w:val="0019146C"/>
    <w:rsid w:val="00192611"/>
    <w:rsid w:val="00197D18"/>
    <w:rsid w:val="001A402C"/>
    <w:rsid w:val="001B12E4"/>
    <w:rsid w:val="001B3EAD"/>
    <w:rsid w:val="001B4900"/>
    <w:rsid w:val="001F195B"/>
    <w:rsid w:val="001F1C73"/>
    <w:rsid w:val="00200639"/>
    <w:rsid w:val="002154F5"/>
    <w:rsid w:val="00223143"/>
    <w:rsid w:val="00230158"/>
    <w:rsid w:val="002377D6"/>
    <w:rsid w:val="002457A0"/>
    <w:rsid w:val="00267E50"/>
    <w:rsid w:val="0027661E"/>
    <w:rsid w:val="0028725C"/>
    <w:rsid w:val="002A018B"/>
    <w:rsid w:val="002A1881"/>
    <w:rsid w:val="002A6323"/>
    <w:rsid w:val="002B25D8"/>
    <w:rsid w:val="002B281A"/>
    <w:rsid w:val="002B2DB9"/>
    <w:rsid w:val="002B7B74"/>
    <w:rsid w:val="002D05F8"/>
    <w:rsid w:val="002D1659"/>
    <w:rsid w:val="002E6598"/>
    <w:rsid w:val="002E6B3F"/>
    <w:rsid w:val="002F0256"/>
    <w:rsid w:val="0030106A"/>
    <w:rsid w:val="00315C8A"/>
    <w:rsid w:val="003449AD"/>
    <w:rsid w:val="003735CD"/>
    <w:rsid w:val="003830D4"/>
    <w:rsid w:val="003836F3"/>
    <w:rsid w:val="00390161"/>
    <w:rsid w:val="00392013"/>
    <w:rsid w:val="00393845"/>
    <w:rsid w:val="003A105A"/>
    <w:rsid w:val="003A2E34"/>
    <w:rsid w:val="003C0A65"/>
    <w:rsid w:val="003E56D0"/>
    <w:rsid w:val="0041161E"/>
    <w:rsid w:val="004304BB"/>
    <w:rsid w:val="00445205"/>
    <w:rsid w:val="004470C4"/>
    <w:rsid w:val="0045218F"/>
    <w:rsid w:val="00466943"/>
    <w:rsid w:val="00467AB8"/>
    <w:rsid w:val="004834E7"/>
    <w:rsid w:val="00491170"/>
    <w:rsid w:val="0049313B"/>
    <w:rsid w:val="00493C79"/>
    <w:rsid w:val="004A08E8"/>
    <w:rsid w:val="004A425F"/>
    <w:rsid w:val="004E4844"/>
    <w:rsid w:val="004E568B"/>
    <w:rsid w:val="00516F1F"/>
    <w:rsid w:val="00523543"/>
    <w:rsid w:val="0053693B"/>
    <w:rsid w:val="005429A4"/>
    <w:rsid w:val="005442A4"/>
    <w:rsid w:val="005544AE"/>
    <w:rsid w:val="00565156"/>
    <w:rsid w:val="00566B03"/>
    <w:rsid w:val="00566F58"/>
    <w:rsid w:val="00567776"/>
    <w:rsid w:val="00580933"/>
    <w:rsid w:val="005A22CE"/>
    <w:rsid w:val="005A60E1"/>
    <w:rsid w:val="005C3C41"/>
    <w:rsid w:val="005E16C1"/>
    <w:rsid w:val="005E5A8E"/>
    <w:rsid w:val="006051B2"/>
    <w:rsid w:val="00624BEB"/>
    <w:rsid w:val="00631182"/>
    <w:rsid w:val="00634AF3"/>
    <w:rsid w:val="00640F28"/>
    <w:rsid w:val="0064220D"/>
    <w:rsid w:val="00643D69"/>
    <w:rsid w:val="0065786C"/>
    <w:rsid w:val="00670BA4"/>
    <w:rsid w:val="00675611"/>
    <w:rsid w:val="00681D82"/>
    <w:rsid w:val="00686BA9"/>
    <w:rsid w:val="0069625B"/>
    <w:rsid w:val="006B02F2"/>
    <w:rsid w:val="006B7933"/>
    <w:rsid w:val="006C3EA1"/>
    <w:rsid w:val="006E4CC6"/>
    <w:rsid w:val="006E5F44"/>
    <w:rsid w:val="006F4E56"/>
    <w:rsid w:val="00704073"/>
    <w:rsid w:val="0070665D"/>
    <w:rsid w:val="00710C42"/>
    <w:rsid w:val="00716E66"/>
    <w:rsid w:val="00747EEC"/>
    <w:rsid w:val="0075038B"/>
    <w:rsid w:val="00771904"/>
    <w:rsid w:val="00775218"/>
    <w:rsid w:val="007940C4"/>
    <w:rsid w:val="00795AB0"/>
    <w:rsid w:val="007A1BFF"/>
    <w:rsid w:val="007B5CC3"/>
    <w:rsid w:val="007B6A9A"/>
    <w:rsid w:val="007C2E75"/>
    <w:rsid w:val="007C3F82"/>
    <w:rsid w:val="007D6442"/>
    <w:rsid w:val="007E635E"/>
    <w:rsid w:val="007E6B9A"/>
    <w:rsid w:val="007F38A6"/>
    <w:rsid w:val="007F4136"/>
    <w:rsid w:val="007F4ACB"/>
    <w:rsid w:val="00804677"/>
    <w:rsid w:val="00813814"/>
    <w:rsid w:val="00823FAD"/>
    <w:rsid w:val="00831CE4"/>
    <w:rsid w:val="00834EF0"/>
    <w:rsid w:val="0084284E"/>
    <w:rsid w:val="008573E5"/>
    <w:rsid w:val="0089462D"/>
    <w:rsid w:val="00895EEB"/>
    <w:rsid w:val="008A1374"/>
    <w:rsid w:val="008A68C8"/>
    <w:rsid w:val="008A7641"/>
    <w:rsid w:val="008B63CE"/>
    <w:rsid w:val="008B6F80"/>
    <w:rsid w:val="008C3542"/>
    <w:rsid w:val="008D3C88"/>
    <w:rsid w:val="008D3F6F"/>
    <w:rsid w:val="008E21CA"/>
    <w:rsid w:val="008E6361"/>
    <w:rsid w:val="008F4CB2"/>
    <w:rsid w:val="008F657D"/>
    <w:rsid w:val="00901F52"/>
    <w:rsid w:val="00906E4C"/>
    <w:rsid w:val="00917695"/>
    <w:rsid w:val="009303C6"/>
    <w:rsid w:val="00946C76"/>
    <w:rsid w:val="009532FB"/>
    <w:rsid w:val="009551A3"/>
    <w:rsid w:val="00955246"/>
    <w:rsid w:val="009555A9"/>
    <w:rsid w:val="009555E6"/>
    <w:rsid w:val="009601C1"/>
    <w:rsid w:val="00963DAA"/>
    <w:rsid w:val="00963E27"/>
    <w:rsid w:val="00975352"/>
    <w:rsid w:val="00980265"/>
    <w:rsid w:val="00985639"/>
    <w:rsid w:val="00992740"/>
    <w:rsid w:val="00995336"/>
    <w:rsid w:val="009A16B6"/>
    <w:rsid w:val="009B797C"/>
    <w:rsid w:val="009C720D"/>
    <w:rsid w:val="009D2D89"/>
    <w:rsid w:val="009D45ED"/>
    <w:rsid w:val="009E4A55"/>
    <w:rsid w:val="009E7F0E"/>
    <w:rsid w:val="009F5B7F"/>
    <w:rsid w:val="00A10627"/>
    <w:rsid w:val="00A12712"/>
    <w:rsid w:val="00A25F63"/>
    <w:rsid w:val="00A41B36"/>
    <w:rsid w:val="00A60C5A"/>
    <w:rsid w:val="00A61D9D"/>
    <w:rsid w:val="00A64032"/>
    <w:rsid w:val="00A80EB3"/>
    <w:rsid w:val="00A94CC4"/>
    <w:rsid w:val="00AB6E34"/>
    <w:rsid w:val="00AC5C72"/>
    <w:rsid w:val="00AD0EDA"/>
    <w:rsid w:val="00AE000B"/>
    <w:rsid w:val="00AF2D09"/>
    <w:rsid w:val="00B04CC8"/>
    <w:rsid w:val="00B240E1"/>
    <w:rsid w:val="00B301E3"/>
    <w:rsid w:val="00B43FF8"/>
    <w:rsid w:val="00B478BC"/>
    <w:rsid w:val="00B60AAB"/>
    <w:rsid w:val="00B82506"/>
    <w:rsid w:val="00B83A63"/>
    <w:rsid w:val="00B854DF"/>
    <w:rsid w:val="00B90537"/>
    <w:rsid w:val="00B9101A"/>
    <w:rsid w:val="00B91E47"/>
    <w:rsid w:val="00BA0405"/>
    <w:rsid w:val="00BA3818"/>
    <w:rsid w:val="00BA5637"/>
    <w:rsid w:val="00BA7038"/>
    <w:rsid w:val="00BC33C4"/>
    <w:rsid w:val="00BD1211"/>
    <w:rsid w:val="00BD3FEF"/>
    <w:rsid w:val="00BF540A"/>
    <w:rsid w:val="00BF5F14"/>
    <w:rsid w:val="00BF5F7E"/>
    <w:rsid w:val="00C12520"/>
    <w:rsid w:val="00C30387"/>
    <w:rsid w:val="00C31F50"/>
    <w:rsid w:val="00C427F2"/>
    <w:rsid w:val="00C50DBB"/>
    <w:rsid w:val="00C647F8"/>
    <w:rsid w:val="00C64FD5"/>
    <w:rsid w:val="00C71753"/>
    <w:rsid w:val="00C7684F"/>
    <w:rsid w:val="00C7784B"/>
    <w:rsid w:val="00C9242C"/>
    <w:rsid w:val="00C96804"/>
    <w:rsid w:val="00CB3E61"/>
    <w:rsid w:val="00CC0FA7"/>
    <w:rsid w:val="00CC3C08"/>
    <w:rsid w:val="00CD4F9B"/>
    <w:rsid w:val="00CD77E3"/>
    <w:rsid w:val="00CE1E42"/>
    <w:rsid w:val="00CF7E43"/>
    <w:rsid w:val="00D036BA"/>
    <w:rsid w:val="00D043AF"/>
    <w:rsid w:val="00D044B1"/>
    <w:rsid w:val="00D060ED"/>
    <w:rsid w:val="00D20C52"/>
    <w:rsid w:val="00D321BD"/>
    <w:rsid w:val="00D460A7"/>
    <w:rsid w:val="00D52915"/>
    <w:rsid w:val="00D530A2"/>
    <w:rsid w:val="00D55B68"/>
    <w:rsid w:val="00D6176E"/>
    <w:rsid w:val="00D74100"/>
    <w:rsid w:val="00D82126"/>
    <w:rsid w:val="00D86058"/>
    <w:rsid w:val="00DB1BFB"/>
    <w:rsid w:val="00DB5E28"/>
    <w:rsid w:val="00DB62C1"/>
    <w:rsid w:val="00DD50FC"/>
    <w:rsid w:val="00DE023C"/>
    <w:rsid w:val="00DE1FD6"/>
    <w:rsid w:val="00DE4118"/>
    <w:rsid w:val="00DE6A16"/>
    <w:rsid w:val="00DE7AC1"/>
    <w:rsid w:val="00DF2987"/>
    <w:rsid w:val="00DF2AAE"/>
    <w:rsid w:val="00E04C91"/>
    <w:rsid w:val="00E11D33"/>
    <w:rsid w:val="00E12F03"/>
    <w:rsid w:val="00E267DF"/>
    <w:rsid w:val="00E341AD"/>
    <w:rsid w:val="00E479B7"/>
    <w:rsid w:val="00E56D55"/>
    <w:rsid w:val="00E62FA7"/>
    <w:rsid w:val="00E654FD"/>
    <w:rsid w:val="00E80A16"/>
    <w:rsid w:val="00E837A6"/>
    <w:rsid w:val="00EB27F5"/>
    <w:rsid w:val="00EB502C"/>
    <w:rsid w:val="00EE157C"/>
    <w:rsid w:val="00EE5389"/>
    <w:rsid w:val="00EE6AA3"/>
    <w:rsid w:val="00EF1F2E"/>
    <w:rsid w:val="00F04FB2"/>
    <w:rsid w:val="00F1317E"/>
    <w:rsid w:val="00F34496"/>
    <w:rsid w:val="00F44DE7"/>
    <w:rsid w:val="00F70D74"/>
    <w:rsid w:val="00F84A12"/>
    <w:rsid w:val="00F9201D"/>
    <w:rsid w:val="00FA1491"/>
    <w:rsid w:val="00FA1879"/>
    <w:rsid w:val="00FD20F6"/>
    <w:rsid w:val="00FE1A76"/>
    <w:rsid w:val="00FE5150"/>
    <w:rsid w:val="00FE59D4"/>
    <w:rsid w:val="00FF604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3CF1A44C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665D"/>
    <w:pPr>
      <w:spacing w:after="200" w:line="276" w:lineRule="auto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65D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70665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65D"/>
    <w:rPr>
      <w:rFonts w:eastAsiaTheme="minorEastAsia"/>
      <w:lang w:eastAsia="ja-JP"/>
    </w:rPr>
  </w:style>
  <w:style w:type="paragraph" w:customStyle="1" w:styleId="naislab">
    <w:name w:val="naislab"/>
    <w:basedOn w:val="Normal"/>
    <w:rsid w:val="0070665D"/>
    <w:pPr>
      <w:spacing w:before="84" w:after="84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70665D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70665D"/>
  </w:style>
  <w:style w:type="paragraph" w:styleId="BalloonText">
    <w:name w:val="Balloon Text"/>
    <w:basedOn w:val="Normal"/>
    <w:link w:val="BalloonTextChar"/>
    <w:uiPriority w:val="99"/>
    <w:semiHidden/>
    <w:unhideWhenUsed/>
    <w:rsid w:val="0031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C8A"/>
    <w:rPr>
      <w:rFonts w:ascii="Segoe UI" w:eastAsiaTheme="minorEastAsia" w:hAnsi="Segoe UI" w:cs="Segoe UI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080691"/>
    <w:pPr>
      <w:spacing w:after="0" w:line="240" w:lineRule="auto"/>
    </w:pPr>
    <w:rPr>
      <w:rFonts w:eastAsiaTheme="minorEastAsia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B905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05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90537"/>
    <w:rPr>
      <w:rFonts w:eastAsiaTheme="minorEastAsi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5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537"/>
    <w:rPr>
      <w:rFonts w:eastAsiaTheme="minorEastAsia"/>
      <w:b/>
      <w:bCs/>
      <w:sz w:val="20"/>
      <w:szCs w:val="20"/>
      <w:lang w:eastAsia="ja-JP"/>
    </w:rPr>
  </w:style>
  <w:style w:type="character" w:customStyle="1" w:styleId="Mention1">
    <w:name w:val="Mention1"/>
    <w:basedOn w:val="DefaultParagraphFont"/>
    <w:uiPriority w:val="99"/>
    <w:semiHidden/>
    <w:unhideWhenUsed/>
    <w:rsid w:val="00D060ED"/>
    <w:rPr>
      <w:color w:val="2B579A"/>
      <w:shd w:val="clear" w:color="auto" w:fill="E6E6E6"/>
    </w:rPr>
  </w:style>
  <w:style w:type="paragraph" w:customStyle="1" w:styleId="tv213">
    <w:name w:val="tv213"/>
    <w:basedOn w:val="Normal"/>
    <w:rsid w:val="00A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2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23C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DE023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095C5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640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5A0ED-5F43-4185-B9AE-939F4ADA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1516</Words>
  <Characters>865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“Grozījumi Ministru kabineta 2016.gada 31.maija noteikumos Nr.328 „Noteikumi par mikroaizdevumiem un starta aizdevumiem””</vt:lpstr>
      <vt:lpstr>Ministru kabineta noteikumu projekts “Grozījumi Ministru kabineta 2016.gada 31.maija noteikumos Nr.328 „Noteikumi par mikroaizdevumiem un starta aizdevumiem””</vt:lpstr>
    </vt:vector>
  </TitlesOfParts>
  <Company>LHZB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2016.gada 15.jūlija noteikumos Nr.469 „Noteikumi par paralēlajiem aizdevumiem saimnieciskās darbības veicējiem konkurētspējas uzlabošanai””</dc:title>
  <dc:creator>Signe Tuklere</dc:creator>
  <cp:keywords>MK noteikumi</cp:keywords>
  <dc:description>67013203
Liene.Bergholde@em.gov.lv</dc:description>
  <cp:lastModifiedBy>Liene Bergholde</cp:lastModifiedBy>
  <cp:revision>3</cp:revision>
  <cp:lastPrinted>2019-11-27T15:23:00Z</cp:lastPrinted>
  <dcterms:created xsi:type="dcterms:W3CDTF">2019-12-02T09:05:00Z</dcterms:created>
  <dcterms:modified xsi:type="dcterms:W3CDTF">2019-12-03T07:35:00Z</dcterms:modified>
</cp:coreProperties>
</file>