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DE7F" w14:textId="77777777" w:rsidR="007207ED" w:rsidRPr="00712B66" w:rsidRDefault="00E1789C" w:rsidP="007207ED">
      <w:pPr>
        <w:pStyle w:val="naisnod"/>
        <w:spacing w:before="0" w:after="0"/>
        <w:ind w:firstLine="720"/>
        <w:rPr>
          <w:sz w:val="28"/>
          <w:szCs w:val="28"/>
        </w:rPr>
      </w:pPr>
      <w:r w:rsidRPr="00712B66">
        <w:rPr>
          <w:sz w:val="28"/>
          <w:szCs w:val="28"/>
        </w:rPr>
        <w:t>Izziņa par atzinumos sniegtajiem iebildumiem</w:t>
      </w:r>
    </w:p>
    <w:p w14:paraId="1EC45660" w14:textId="77777777" w:rsidR="007207ED" w:rsidRPr="008A36C9" w:rsidRDefault="007207ED" w:rsidP="007207ED">
      <w:pPr>
        <w:pStyle w:val="naisf"/>
        <w:spacing w:before="0" w:after="0"/>
        <w:ind w:firstLine="720"/>
      </w:pPr>
    </w:p>
    <w:tbl>
      <w:tblPr>
        <w:tblW w:w="0" w:type="auto"/>
        <w:jc w:val="center"/>
        <w:tblLook w:val="00A0" w:firstRow="1" w:lastRow="0" w:firstColumn="1" w:lastColumn="0" w:noHBand="0" w:noVBand="0"/>
      </w:tblPr>
      <w:tblGrid>
        <w:gridCol w:w="13467"/>
      </w:tblGrid>
      <w:tr w:rsidR="005C663F" w14:paraId="41F70E8B" w14:textId="77777777" w:rsidTr="00B77CEA">
        <w:trPr>
          <w:jc w:val="center"/>
        </w:trPr>
        <w:tc>
          <w:tcPr>
            <w:tcW w:w="13467" w:type="dxa"/>
            <w:tcBorders>
              <w:bottom w:val="single" w:sz="6" w:space="0" w:color="000000"/>
            </w:tcBorders>
          </w:tcPr>
          <w:p w14:paraId="6D32691A" w14:textId="20B4244A" w:rsidR="007207ED" w:rsidRPr="00712B66" w:rsidRDefault="00A930C4" w:rsidP="00B77CEA">
            <w:pPr>
              <w:jc w:val="center"/>
            </w:pPr>
            <w:r>
              <w:rPr>
                <w:b/>
              </w:rPr>
              <w:t>Ministru kabineta n</w:t>
            </w:r>
            <w:r w:rsidR="00350F96">
              <w:rPr>
                <w:b/>
              </w:rPr>
              <w:t xml:space="preserve">oteikumu projekts </w:t>
            </w:r>
            <w:r w:rsidR="00350F96" w:rsidRPr="00350F96">
              <w:rPr>
                <w:b/>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p>
        </w:tc>
      </w:tr>
    </w:tbl>
    <w:p w14:paraId="3DF5CD54" w14:textId="77777777" w:rsidR="007207ED" w:rsidRPr="00712B66" w:rsidRDefault="00E1789C" w:rsidP="007207ED">
      <w:pPr>
        <w:pStyle w:val="naisc"/>
        <w:spacing w:before="0" w:after="0"/>
        <w:ind w:firstLine="1080"/>
      </w:pPr>
      <w:r w:rsidRPr="00712B66">
        <w:t>(dokumenta veids un nosaukums)</w:t>
      </w:r>
    </w:p>
    <w:p w14:paraId="19D2D966" w14:textId="77777777" w:rsidR="007207ED" w:rsidRPr="00712B66" w:rsidRDefault="007207ED" w:rsidP="007207ED">
      <w:pPr>
        <w:pStyle w:val="naisf"/>
        <w:spacing w:before="0" w:after="0"/>
        <w:ind w:firstLine="720"/>
      </w:pPr>
    </w:p>
    <w:p w14:paraId="48EAD547" w14:textId="77777777" w:rsidR="007207ED" w:rsidRPr="00712B66" w:rsidRDefault="00E1789C" w:rsidP="007207ED">
      <w:pPr>
        <w:pStyle w:val="naisf"/>
        <w:spacing w:before="0" w:after="0"/>
        <w:ind w:firstLine="0"/>
        <w:jc w:val="center"/>
        <w:rPr>
          <w:b/>
        </w:rPr>
      </w:pPr>
      <w:r w:rsidRPr="00712B66">
        <w:rPr>
          <w:b/>
        </w:rPr>
        <w:t>I. Jautājumi, par kuriem saskaņošanā vienošanās nav panākta</w:t>
      </w:r>
    </w:p>
    <w:p w14:paraId="7404D99C" w14:textId="77777777" w:rsidR="007207ED" w:rsidRPr="00712B66" w:rsidRDefault="007207ED" w:rsidP="007207E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C663F" w14:paraId="4F439753" w14:textId="77777777" w:rsidTr="00B77CEA">
        <w:tc>
          <w:tcPr>
            <w:tcW w:w="708" w:type="dxa"/>
            <w:tcBorders>
              <w:top w:val="single" w:sz="6" w:space="0" w:color="000000"/>
              <w:left w:val="single" w:sz="6" w:space="0" w:color="000000"/>
              <w:bottom w:val="single" w:sz="6" w:space="0" w:color="000000"/>
              <w:right w:val="single" w:sz="6" w:space="0" w:color="000000"/>
            </w:tcBorders>
            <w:vAlign w:val="center"/>
          </w:tcPr>
          <w:p w14:paraId="791D272F" w14:textId="77777777" w:rsidR="007207ED" w:rsidRPr="00350F96" w:rsidRDefault="00E1789C" w:rsidP="00B77CEA">
            <w:pPr>
              <w:pStyle w:val="naisc"/>
              <w:spacing w:before="0" w:after="0"/>
              <w:rPr>
                <w:sz w:val="22"/>
                <w:szCs w:val="22"/>
              </w:rPr>
            </w:pPr>
            <w:r w:rsidRPr="00350F96">
              <w:rPr>
                <w:sz w:val="22"/>
                <w:szCs w:val="22"/>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6E753D78" w14:textId="77777777" w:rsidR="007207ED" w:rsidRPr="00350F96" w:rsidRDefault="00E1789C" w:rsidP="00B77CEA">
            <w:pPr>
              <w:pStyle w:val="naisc"/>
              <w:spacing w:before="0" w:after="0"/>
              <w:ind w:firstLine="12"/>
              <w:rPr>
                <w:sz w:val="22"/>
                <w:szCs w:val="22"/>
              </w:rPr>
            </w:pPr>
            <w:r w:rsidRPr="00350F96">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2C40720" w14:textId="77777777" w:rsidR="007207ED" w:rsidRPr="00350F96" w:rsidRDefault="00E1789C" w:rsidP="00B77CEA">
            <w:pPr>
              <w:pStyle w:val="naisc"/>
              <w:spacing w:before="0" w:after="0"/>
              <w:ind w:right="3"/>
              <w:rPr>
                <w:sz w:val="22"/>
                <w:szCs w:val="22"/>
              </w:rPr>
            </w:pPr>
            <w:r w:rsidRPr="00350F96">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5522B11" w14:textId="77777777" w:rsidR="007207ED" w:rsidRPr="00350F96" w:rsidRDefault="00E1789C" w:rsidP="00B77CEA">
            <w:pPr>
              <w:pStyle w:val="naisc"/>
              <w:spacing w:before="0" w:after="0"/>
              <w:ind w:firstLine="21"/>
              <w:rPr>
                <w:sz w:val="22"/>
                <w:szCs w:val="22"/>
              </w:rPr>
            </w:pPr>
            <w:r w:rsidRPr="00350F96">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C4B2037" w14:textId="77777777" w:rsidR="007207ED" w:rsidRPr="00350F96" w:rsidRDefault="00E1789C" w:rsidP="00B77CEA">
            <w:pPr>
              <w:jc w:val="center"/>
              <w:rPr>
                <w:sz w:val="22"/>
                <w:szCs w:val="22"/>
              </w:rPr>
            </w:pPr>
            <w:r w:rsidRPr="00350F96">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91FAD2D" w14:textId="77777777" w:rsidR="007207ED" w:rsidRPr="00350F96" w:rsidRDefault="00E1789C" w:rsidP="00B77CEA">
            <w:pPr>
              <w:jc w:val="center"/>
              <w:rPr>
                <w:sz w:val="22"/>
                <w:szCs w:val="22"/>
              </w:rPr>
            </w:pPr>
            <w:r w:rsidRPr="00350F96">
              <w:rPr>
                <w:sz w:val="22"/>
                <w:szCs w:val="22"/>
              </w:rPr>
              <w:t>Projekta attiecīgā punkta (panta) galīgā redakcija</w:t>
            </w:r>
          </w:p>
        </w:tc>
      </w:tr>
      <w:tr w:rsidR="005C663F" w14:paraId="5D0CB517" w14:textId="77777777" w:rsidTr="00B77CEA">
        <w:tc>
          <w:tcPr>
            <w:tcW w:w="708" w:type="dxa"/>
            <w:tcBorders>
              <w:top w:val="single" w:sz="6" w:space="0" w:color="000000"/>
              <w:left w:val="single" w:sz="6" w:space="0" w:color="000000"/>
              <w:bottom w:val="single" w:sz="6" w:space="0" w:color="000000"/>
              <w:right w:val="single" w:sz="6" w:space="0" w:color="000000"/>
            </w:tcBorders>
          </w:tcPr>
          <w:p w14:paraId="6F112E48" w14:textId="77777777" w:rsidR="007207ED" w:rsidRPr="008A36C9" w:rsidRDefault="00E1789C" w:rsidP="00B77CEA">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12965EA" w14:textId="77777777" w:rsidR="007207ED" w:rsidRPr="008A36C9" w:rsidRDefault="00E1789C" w:rsidP="00B77CEA">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3768E6" w14:textId="77777777" w:rsidR="007207ED" w:rsidRPr="008A36C9" w:rsidRDefault="00E1789C" w:rsidP="00B77CEA">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4BFFD72" w14:textId="77777777" w:rsidR="007207ED" w:rsidRPr="008A36C9" w:rsidRDefault="00E1789C" w:rsidP="00B77CEA">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46AE51B" w14:textId="77777777" w:rsidR="007207ED" w:rsidRPr="008A36C9" w:rsidRDefault="00E1789C" w:rsidP="00B77CEA">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3E40126" w14:textId="77777777" w:rsidR="007207ED" w:rsidRPr="008A36C9" w:rsidRDefault="00E1789C" w:rsidP="00B77CEA">
            <w:pPr>
              <w:jc w:val="center"/>
              <w:rPr>
                <w:sz w:val="20"/>
                <w:szCs w:val="20"/>
              </w:rPr>
            </w:pPr>
            <w:r w:rsidRPr="008A36C9">
              <w:rPr>
                <w:sz w:val="20"/>
                <w:szCs w:val="20"/>
              </w:rPr>
              <w:t>6</w:t>
            </w:r>
          </w:p>
        </w:tc>
      </w:tr>
      <w:tr w:rsidR="006D6DFF" w14:paraId="795E5DB9" w14:textId="77777777" w:rsidTr="00BD5D08">
        <w:trPr>
          <w:trHeight w:val="65"/>
        </w:trPr>
        <w:tc>
          <w:tcPr>
            <w:tcW w:w="708" w:type="dxa"/>
            <w:tcBorders>
              <w:top w:val="single" w:sz="6" w:space="0" w:color="000000"/>
              <w:left w:val="single" w:sz="6" w:space="0" w:color="000000"/>
              <w:bottom w:val="single" w:sz="6" w:space="0" w:color="000000"/>
              <w:right w:val="single" w:sz="6" w:space="0" w:color="000000"/>
            </w:tcBorders>
          </w:tcPr>
          <w:p w14:paraId="04EF91ED" w14:textId="4B456E6E" w:rsidR="006D6DFF" w:rsidRPr="008A36C9" w:rsidRDefault="00825895" w:rsidP="00B77CEA">
            <w:pPr>
              <w:pStyle w:val="naisc"/>
              <w:spacing w:before="0" w:after="0"/>
              <w:rPr>
                <w:sz w:val="20"/>
                <w:szCs w:val="20"/>
              </w:rPr>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929628C" w14:textId="77777777" w:rsidR="00793694" w:rsidRDefault="00793694" w:rsidP="00793694">
            <w:pPr>
              <w:shd w:val="clear" w:color="auto" w:fill="FFFFFF"/>
              <w:contextualSpacing/>
              <w:jc w:val="both"/>
            </w:pPr>
            <w:r>
              <w:t>8. Trīs darbdienu laikā pēc elektroniskās darba laika uzskaites sistēmas datu saņemšanas vienotās elektroniskās darba laika uzskaites datubāze salīdzina:</w:t>
            </w:r>
          </w:p>
          <w:p w14:paraId="63B64423" w14:textId="77777777" w:rsidR="00793694" w:rsidRDefault="00793694" w:rsidP="00793694">
            <w:pPr>
              <w:shd w:val="clear" w:color="auto" w:fill="FFFFFF"/>
              <w:contextualSpacing/>
              <w:jc w:val="both"/>
            </w:pPr>
            <w:r>
              <w:t>8.1. elektroniskās darba laika uzskaites sistēmā iekļautos būvlaukumā nodarbināto personu darba laika reģistrācijas un uzskaites datu laukus – vārds, uzvārds, personas kods – ar Iedzīvotāju reģistra datiem, izņemot ārvalstniekus;</w:t>
            </w:r>
          </w:p>
          <w:p w14:paraId="6260E428" w14:textId="5AD3F936" w:rsidR="00793694" w:rsidRDefault="00793694" w:rsidP="00793694">
            <w:pPr>
              <w:shd w:val="clear" w:color="auto" w:fill="FFFFFF"/>
              <w:contextualSpacing/>
              <w:jc w:val="both"/>
            </w:pPr>
            <w:r>
              <w:t>8.2. elektroniskās darba laika uzskaites sistēmā iekļauto darba devēja datu lauku:</w:t>
            </w:r>
          </w:p>
          <w:p w14:paraId="3A1DAC85" w14:textId="08F63E7C" w:rsidR="00793694" w:rsidRDefault="0091211D" w:rsidP="00793694">
            <w:pPr>
              <w:shd w:val="clear" w:color="auto" w:fill="FFFFFF"/>
              <w:contextualSpacing/>
              <w:jc w:val="both"/>
            </w:pPr>
            <w:r>
              <w:lastRenderedPageBreak/>
              <w:t>8</w:t>
            </w:r>
            <w:r w:rsidR="00793694">
              <w:t>.2.1. darba devēja vienotais reģistrācijas numurs – ar Uzņēmumu reģistra datiem, izņemot ārvalstī reģistrēto juridisko personu;</w:t>
            </w:r>
          </w:p>
          <w:p w14:paraId="75BDED0A" w14:textId="1F7049ED" w:rsidR="006D6DFF" w:rsidRPr="008A36C9" w:rsidRDefault="00793694" w:rsidP="00793694">
            <w:pPr>
              <w:pStyle w:val="naisc"/>
              <w:spacing w:before="0" w:after="0"/>
              <w:ind w:firstLine="720"/>
              <w:jc w:val="both"/>
              <w:rPr>
                <w:sz w:val="20"/>
                <w:szCs w:val="20"/>
              </w:rPr>
            </w:pPr>
            <w:r>
              <w:t>8.2.2. darba devēja vārds un uzvārds, ja darba devējs ir fiziska persona – ar Iedzīvotāju reģistra datiem, izņemot ārvalstniekus.</w:t>
            </w:r>
          </w:p>
        </w:tc>
        <w:tc>
          <w:tcPr>
            <w:tcW w:w="3118" w:type="dxa"/>
            <w:tcBorders>
              <w:top w:val="single" w:sz="6" w:space="0" w:color="000000"/>
              <w:left w:val="single" w:sz="6" w:space="0" w:color="000000"/>
              <w:bottom w:val="single" w:sz="6" w:space="0" w:color="000000"/>
              <w:right w:val="single" w:sz="6" w:space="0" w:color="000000"/>
            </w:tcBorders>
          </w:tcPr>
          <w:p w14:paraId="6476F6D1" w14:textId="77777777" w:rsidR="00793694" w:rsidRPr="00440DF4" w:rsidRDefault="00793694" w:rsidP="00793694">
            <w:pPr>
              <w:ind w:right="57"/>
              <w:contextualSpacing/>
              <w:jc w:val="both"/>
              <w:rPr>
                <w:b/>
                <w:u w:val="single"/>
              </w:rPr>
            </w:pPr>
            <w:proofErr w:type="spellStart"/>
            <w:r w:rsidRPr="00440DF4">
              <w:rPr>
                <w:b/>
                <w:u w:val="single"/>
              </w:rPr>
              <w:lastRenderedPageBreak/>
              <w:t>Iekšlietu</w:t>
            </w:r>
            <w:proofErr w:type="spellEnd"/>
            <w:r w:rsidRPr="00440DF4">
              <w:rPr>
                <w:b/>
                <w:u w:val="single"/>
              </w:rPr>
              <w:t xml:space="preserve"> ministrija</w:t>
            </w:r>
          </w:p>
          <w:p w14:paraId="42E7AF61" w14:textId="49960CA1" w:rsidR="00793694" w:rsidRPr="00F06C71" w:rsidRDefault="00A52F3D" w:rsidP="00793694">
            <w:pPr>
              <w:widowControl w:val="0"/>
              <w:tabs>
                <w:tab w:val="left" w:pos="720"/>
              </w:tabs>
              <w:jc w:val="both"/>
              <w:rPr>
                <w:rFonts w:eastAsia="Calibri"/>
                <w:lang w:eastAsia="en-US"/>
              </w:rPr>
            </w:pPr>
            <w:r>
              <w:rPr>
                <w:rFonts w:eastAsia="Calibri"/>
                <w:lang w:eastAsia="en-US"/>
              </w:rPr>
              <w:t>P</w:t>
            </w:r>
            <w:r w:rsidR="00793694" w:rsidRPr="00F06C71">
              <w:rPr>
                <w:rFonts w:eastAsia="Calibri"/>
                <w:lang w:eastAsia="en-US"/>
              </w:rPr>
              <w:t xml:space="preserve">rojekta 8.1.apakšpunktā noteikts, ka trīs darbdienu laikā pēc elektroniskās darba laika uzskaites sistēmas datu saņemšanas vienotās elektroniskās darba laika uzskaites datubāze salīdzina elektroniskās darba laika uzskaites sistēmā iekļautos </w:t>
            </w:r>
            <w:bookmarkStart w:id="0" w:name="_Hlk15477608"/>
            <w:r w:rsidR="00793694" w:rsidRPr="00F06C71">
              <w:rPr>
                <w:rFonts w:eastAsia="Calibri"/>
                <w:lang w:eastAsia="en-US"/>
              </w:rPr>
              <w:t>būvlaukumā nodarbināto personu darba laika reģistrācijas un uzskaites datu</w:t>
            </w:r>
            <w:bookmarkEnd w:id="0"/>
            <w:r w:rsidR="00793694" w:rsidRPr="00F06C71">
              <w:rPr>
                <w:rFonts w:eastAsia="Calibri"/>
                <w:lang w:eastAsia="en-US"/>
              </w:rPr>
              <w:t xml:space="preserve"> laukus – vārds, uzvārds, personas kods – ar Iedzīvotāju reģistra datiem, izņemot ārvalstniekus.</w:t>
            </w:r>
          </w:p>
          <w:p w14:paraId="4D3FF4F4"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tab/>
              <w:t xml:space="preserve">Likuma “Par </w:t>
            </w:r>
            <w:r w:rsidRPr="00F06C71">
              <w:rPr>
                <w:rFonts w:eastAsia="Calibri"/>
                <w:lang w:eastAsia="en-US"/>
              </w:rPr>
              <w:lastRenderedPageBreak/>
              <w:t>nodokļiem un nodevām” 112.panta pirmajā daļā noteikts, ka vienotā elektroniskās darba laika uzskaites datubāze ir Būvniecības informācijas sistēmas sastāvdaļa.</w:t>
            </w:r>
          </w:p>
          <w:p w14:paraId="29A510E1"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tab/>
              <w:t xml:space="preserve">Ekonomikas ministrijas izstrādātā Ministru kabineta noteikumu projekta “Grozījumi Ministru kabineta 2015.gada 28.jūlija noteikumos Nr.438 “Būvniecības informācijas sistēmas noteikumi”” (VSS prot. Nr.35, 3.§, VSS-920) 8.punktā noteikts, ka, lai nodrošinātu Ministru kabineta 2015.gada 28.jūlija noteikumu Nr.438 “Būvniecības informācijas sistēmas noteikumi” (turpmāk – BIS noteikumi) </w:t>
            </w:r>
            <w:hyperlink r:id="rId8" w:anchor="p15" w:history="1">
              <w:r w:rsidRPr="00F06C71">
                <w:rPr>
                  <w:rFonts w:eastAsia="Calibri"/>
                  <w:lang w:eastAsia="en-US"/>
                </w:rPr>
                <w:t>15.punktā</w:t>
              </w:r>
            </w:hyperlink>
            <w:r w:rsidRPr="00F06C71">
              <w:rPr>
                <w:rFonts w:eastAsia="Calibri"/>
                <w:lang w:eastAsia="en-US"/>
              </w:rPr>
              <w:t xml:space="preserve"> minētās informācijas atbilstību iesniegtajiem datiem, to aktualizēšanu, labošanu, kā arī datu kvalitāti, vienotā elektroniskās darba laika uzskaites datubāze izmanto BIS noteikumu 15.1., 24.2.1.1., 26.1.7., 28.1., 28.2., 28.4.apakšpunktā, 27., 30. un </w:t>
            </w:r>
            <w:r w:rsidRPr="00F06C71">
              <w:rPr>
                <w:rFonts w:eastAsia="Calibri"/>
                <w:lang w:eastAsia="en-US"/>
              </w:rPr>
              <w:lastRenderedPageBreak/>
              <w:t>31.punktā minēto informāciju.</w:t>
            </w:r>
          </w:p>
          <w:p w14:paraId="3C855238" w14:textId="77777777" w:rsidR="00793694" w:rsidRDefault="00793694" w:rsidP="00793694">
            <w:pPr>
              <w:widowControl w:val="0"/>
              <w:tabs>
                <w:tab w:val="left" w:pos="720"/>
              </w:tabs>
              <w:jc w:val="both"/>
              <w:rPr>
                <w:rFonts w:eastAsia="Calibri"/>
                <w:lang w:eastAsia="en-US"/>
              </w:rPr>
            </w:pPr>
            <w:r w:rsidRPr="00F06C71">
              <w:rPr>
                <w:rFonts w:eastAsia="Calibri"/>
                <w:lang w:eastAsia="en-US"/>
              </w:rPr>
              <w:tab/>
            </w:r>
          </w:p>
          <w:p w14:paraId="61AFF6F3"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t>BIS noteikumu 28.1., 28.2. un 28.4.apakšpunktā noteikts, ka Pilsonības un migrācijas lietu pārvalde Būvniecības informācijas sistēmai no Iedzīvotāju reģistra tiešsaistē sniedz šādu informāciju, kā arī nodrošina tai datu monitoringa pakalpojumu:</w:t>
            </w:r>
          </w:p>
          <w:p w14:paraId="36A1A27E"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tab/>
              <w:t>1) personas kods;</w:t>
            </w:r>
          </w:p>
          <w:p w14:paraId="71E389EC"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tab/>
              <w:t>2) personas vārds (vārdi), uzvārds;</w:t>
            </w:r>
          </w:p>
          <w:p w14:paraId="412F0DE2"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tab/>
              <w:t>3) personas statuss (miris, aktīvs, pasīvs);</w:t>
            </w:r>
          </w:p>
          <w:p w14:paraId="4534675A"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tab/>
            </w:r>
          </w:p>
          <w:p w14:paraId="066DAFC8"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t>No minētā secināms, ka:</w:t>
            </w:r>
          </w:p>
          <w:p w14:paraId="38FD3518"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tab/>
              <w:t>1) ziņas par personas kodu, personas vārdu (vārdiem), uzvārdu, personas statusu (aktīvs, pasīvs) un personas miršanas faktu tiek ietverti un glabāti Būvniecības informācijas sistēmā. Tādējādi vienotā elektroniskās darba laika uzskaites datubāze minēto ziņu pārbaudi veiks attiecībā pret Būvniecības informācijas sistēmā, nevis Iedzīvotāju reģistrā esošajām ziņām;</w:t>
            </w:r>
          </w:p>
          <w:p w14:paraId="64EA9E5A" w14:textId="77777777" w:rsidR="00793694" w:rsidRPr="00F06C71" w:rsidRDefault="00793694" w:rsidP="00793694">
            <w:pPr>
              <w:widowControl w:val="0"/>
              <w:tabs>
                <w:tab w:val="left" w:pos="720"/>
              </w:tabs>
              <w:jc w:val="both"/>
              <w:rPr>
                <w:rFonts w:eastAsia="Calibri"/>
                <w:lang w:eastAsia="en-US"/>
              </w:rPr>
            </w:pPr>
            <w:r w:rsidRPr="00F06C71">
              <w:rPr>
                <w:rFonts w:eastAsia="Calibri"/>
                <w:lang w:eastAsia="en-US"/>
              </w:rPr>
              <w:lastRenderedPageBreak/>
              <w:tab/>
              <w:t>2) projekta 8.1.apakšpunktā ir norādīts mazāks Iedzīvotāju reģistra ziņu apjoms, ko vienotā elektroniskās darba laika uzskaites datubāze saņem no Būvniecības informācijas sistēmas – nav norādīts, ka vienotā elektroniskās darba laika uzskaites datubāze pārbauda personas statusu (miris, aktīvs, pasīvs).</w:t>
            </w:r>
          </w:p>
          <w:p w14:paraId="17C9CB39" w14:textId="77777777" w:rsidR="00793694" w:rsidRPr="00F06C71" w:rsidRDefault="00793694" w:rsidP="00793694">
            <w:pPr>
              <w:widowControl w:val="0"/>
              <w:tabs>
                <w:tab w:val="left" w:pos="720"/>
              </w:tabs>
              <w:jc w:val="both"/>
              <w:rPr>
                <w:lang w:eastAsia="x-none"/>
              </w:rPr>
            </w:pPr>
            <w:r w:rsidRPr="00F06C71">
              <w:rPr>
                <w:lang w:eastAsia="x-none"/>
              </w:rPr>
              <w:tab/>
              <w:t>Saskaņā ar Iedzīvotāju reģistra likuma 7.</w:t>
            </w:r>
            <w:r w:rsidRPr="00F06C71">
              <w:rPr>
                <w:vertAlign w:val="superscript"/>
                <w:lang w:eastAsia="x-none"/>
              </w:rPr>
              <w:t>1</w:t>
            </w:r>
            <w:r w:rsidRPr="00F06C71">
              <w:rPr>
                <w:lang w:eastAsia="x-none"/>
              </w:rPr>
              <w:t xml:space="preserve"> pantu Iedzīvotāju reģistrā personai norāda, ka tai ir statuss “aktīvs”, ja persona ir Latvijas pilsonis vai </w:t>
            </w:r>
            <w:proofErr w:type="spellStart"/>
            <w:r w:rsidRPr="00F06C71">
              <w:rPr>
                <w:lang w:eastAsia="x-none"/>
              </w:rPr>
              <w:t>nepilsonis</w:t>
            </w:r>
            <w:proofErr w:type="spellEnd"/>
            <w:r w:rsidRPr="00F06C71">
              <w:rPr>
                <w:lang w:eastAsia="x-none"/>
              </w:rPr>
              <w:t xml:space="preserve">, un par personām, kuras Latvijā saņēmušas uzturēšanās atļauju, reģistrācijas apliecību vai pastāvīgās uzturēšanās apliecību, savukārt statuss “pasīvs”, ja personai Latvijā zudis tiesiskais statuss un jauns statuss nav noteikts. Tādējādi, personai, kurai ir zudis tiesiskais statuss Latvijā, un jauns statuss nav noteikts, Iedzīvotāju reģistrā ir statuss “pasīvs” no statusa zaudēšanas datuma, proti, </w:t>
            </w:r>
            <w:r w:rsidRPr="00F06C71">
              <w:rPr>
                <w:lang w:eastAsia="x-none"/>
              </w:rPr>
              <w:lastRenderedPageBreak/>
              <w:t>Iedzīvotāju reģistrā ziņas par šo personu vairs netiks aktualizētas.</w:t>
            </w:r>
          </w:p>
          <w:p w14:paraId="33860C18" w14:textId="77777777" w:rsidR="00793694" w:rsidRPr="00F06C71" w:rsidRDefault="00793694" w:rsidP="00793694">
            <w:pPr>
              <w:widowControl w:val="0"/>
              <w:jc w:val="both"/>
              <w:rPr>
                <w:rFonts w:eastAsia="Calibri"/>
                <w:lang w:eastAsia="en-US"/>
              </w:rPr>
            </w:pPr>
            <w:r w:rsidRPr="00F06C71">
              <w:rPr>
                <w:lang w:eastAsia="x-none"/>
              </w:rPr>
              <w:tab/>
            </w:r>
            <w:proofErr w:type="spellStart"/>
            <w:r w:rsidRPr="00F06C71">
              <w:rPr>
                <w:lang w:eastAsia="x-none"/>
              </w:rPr>
              <w:t>Iekšlietu</w:t>
            </w:r>
            <w:proofErr w:type="spellEnd"/>
            <w:r w:rsidRPr="00F06C71">
              <w:rPr>
                <w:lang w:eastAsia="x-none"/>
              </w:rPr>
              <w:t xml:space="preserve"> ministrijas ieskatā, ir nepieciešams veikt saņemto personas datu pārbaudi arī attiecībā uz </w:t>
            </w:r>
            <w:r w:rsidRPr="00F06C71">
              <w:rPr>
                <w:rFonts w:eastAsia="Calibri"/>
                <w:lang w:eastAsia="en-US"/>
              </w:rPr>
              <w:t>personas statusu (aktīvs, pasīvs) un miris, tādējādi izvairoties no nepatiesas informācijas iekļaušanas elektroniskās darba laika uzskaites sistēmā.</w:t>
            </w:r>
          </w:p>
          <w:p w14:paraId="38ADAEF9" w14:textId="77777777" w:rsidR="006D6DFF" w:rsidRDefault="00793694" w:rsidP="00BD5D08">
            <w:pPr>
              <w:widowControl w:val="0"/>
              <w:tabs>
                <w:tab w:val="left" w:pos="720"/>
              </w:tabs>
              <w:jc w:val="both"/>
              <w:rPr>
                <w:rFonts w:eastAsia="Calibri"/>
                <w:lang w:eastAsia="en-US"/>
              </w:rPr>
            </w:pPr>
            <w:r w:rsidRPr="00F06C71">
              <w:rPr>
                <w:rFonts w:eastAsia="Calibri"/>
                <w:lang w:eastAsia="en-US"/>
              </w:rPr>
              <w:tab/>
              <w:t>Ņemot vērā minēto, attiecīgi precizēt projektu un projekta sākotnējās ietekmes novērtējuma ziņojuma (anotācijas) (turpmāk – anotācija) I sadaļas 2.punktu;</w:t>
            </w:r>
          </w:p>
          <w:p w14:paraId="7AC5B0C0" w14:textId="77777777" w:rsidR="00BD5D08" w:rsidRPr="00BD5D08" w:rsidRDefault="00BD5D08" w:rsidP="00BD5D08">
            <w:pPr>
              <w:rPr>
                <w:rFonts w:eastAsia="Calibri"/>
                <w:lang w:eastAsia="en-US"/>
              </w:rPr>
            </w:pPr>
          </w:p>
          <w:p w14:paraId="56165420" w14:textId="77777777" w:rsidR="00BD5D08" w:rsidRPr="00BD5D08" w:rsidRDefault="00BD5D08" w:rsidP="00BD5D08">
            <w:pPr>
              <w:rPr>
                <w:rFonts w:eastAsia="Calibri"/>
                <w:lang w:eastAsia="en-US"/>
              </w:rPr>
            </w:pPr>
          </w:p>
          <w:p w14:paraId="13BE0999" w14:textId="77777777" w:rsidR="00DE6345" w:rsidRDefault="00DE6345" w:rsidP="00BD5D08">
            <w:pPr>
              <w:rPr>
                <w:rFonts w:eastAsia="Calibri"/>
                <w:b/>
                <w:bCs/>
                <w:u w:val="single"/>
                <w:lang w:eastAsia="en-US"/>
              </w:rPr>
            </w:pPr>
          </w:p>
          <w:p w14:paraId="48C5B0D2" w14:textId="77777777" w:rsidR="00DE6345" w:rsidRDefault="00DE6345" w:rsidP="00BD5D08">
            <w:pPr>
              <w:rPr>
                <w:rFonts w:eastAsia="Calibri"/>
                <w:b/>
                <w:bCs/>
                <w:u w:val="single"/>
                <w:lang w:eastAsia="en-US"/>
              </w:rPr>
            </w:pPr>
          </w:p>
          <w:p w14:paraId="778C9A7B" w14:textId="77777777" w:rsidR="00DE6345" w:rsidRDefault="00DE6345" w:rsidP="00BD5D08">
            <w:pPr>
              <w:rPr>
                <w:rFonts w:eastAsia="Calibri"/>
                <w:b/>
                <w:bCs/>
                <w:u w:val="single"/>
                <w:lang w:eastAsia="en-US"/>
              </w:rPr>
            </w:pPr>
          </w:p>
          <w:p w14:paraId="2FB18579" w14:textId="77777777" w:rsidR="00DE6345" w:rsidRDefault="00DE6345" w:rsidP="00BD5D08">
            <w:pPr>
              <w:rPr>
                <w:rFonts w:eastAsia="Calibri"/>
                <w:b/>
                <w:bCs/>
                <w:u w:val="single"/>
                <w:lang w:eastAsia="en-US"/>
              </w:rPr>
            </w:pPr>
          </w:p>
          <w:p w14:paraId="4A5DE9FF" w14:textId="77777777" w:rsidR="00DE6345" w:rsidRDefault="00DE6345" w:rsidP="00BD5D08">
            <w:pPr>
              <w:rPr>
                <w:rFonts w:eastAsia="Calibri"/>
                <w:b/>
                <w:bCs/>
                <w:u w:val="single"/>
                <w:lang w:eastAsia="en-US"/>
              </w:rPr>
            </w:pPr>
          </w:p>
          <w:p w14:paraId="5168CB2F" w14:textId="485A46E0" w:rsidR="00BD5D08" w:rsidRDefault="00DE6345" w:rsidP="00BD5D08">
            <w:pPr>
              <w:rPr>
                <w:rFonts w:eastAsia="Calibri"/>
                <w:b/>
                <w:bCs/>
                <w:u w:val="single"/>
                <w:lang w:eastAsia="en-US"/>
              </w:rPr>
            </w:pPr>
            <w:r>
              <w:rPr>
                <w:rFonts w:eastAsia="Calibri"/>
                <w:b/>
                <w:bCs/>
                <w:u w:val="single"/>
                <w:lang w:eastAsia="en-US"/>
              </w:rPr>
              <w:t xml:space="preserve">Latvijas Būvuzņēmēju partnerība </w:t>
            </w:r>
          </w:p>
          <w:p w14:paraId="4DE2471D" w14:textId="7E02A18F" w:rsidR="00DE6345" w:rsidRDefault="00DE6345" w:rsidP="00BD5D08">
            <w:pPr>
              <w:rPr>
                <w:rFonts w:eastAsia="Calibri"/>
                <w:lang w:eastAsia="en-US"/>
              </w:rPr>
            </w:pPr>
            <w:r>
              <w:rPr>
                <w:rFonts w:eastAsia="Calibri"/>
                <w:lang w:eastAsia="en-US"/>
              </w:rPr>
              <w:t>Iebildums izteikts elektroniskās saskaņošanas ietvaros (01.11.2019.)</w:t>
            </w:r>
          </w:p>
          <w:p w14:paraId="45FCF425" w14:textId="142EF966" w:rsidR="00DE6345" w:rsidRDefault="00DE6345" w:rsidP="00BD5D08">
            <w:pPr>
              <w:rPr>
                <w:rFonts w:eastAsia="Calibri"/>
                <w:lang w:eastAsia="en-US"/>
              </w:rPr>
            </w:pPr>
          </w:p>
          <w:p w14:paraId="77C9D172" w14:textId="0D3C6BA1" w:rsidR="00DE6345" w:rsidRDefault="00DE6345" w:rsidP="00DE6345">
            <w:pPr>
              <w:jc w:val="both"/>
              <w:rPr>
                <w:rFonts w:eastAsia="Calibri"/>
                <w:lang w:eastAsia="en-US"/>
              </w:rPr>
            </w:pPr>
            <w:r w:rsidRPr="00DE6345">
              <w:rPr>
                <w:rFonts w:eastAsia="Calibri"/>
                <w:lang w:eastAsia="en-US"/>
              </w:rPr>
              <w:lastRenderedPageBreak/>
              <w:t>Noteikumu 9.1. punktā ir noteikts, ka VEDLUDB salīdzinās EDLUS iekļautos būvlaukumā nodarbināto personu darba laika reģistrācijas un uzskaites datu laukus – vārds, uzvārds, personas kods – ar Iedzīvotāju reģistra datiem, izņemot ārvalstniekus, kam nav piešķirts personas kods. Lai izvairītos no situācijām, kad ar Iedzīvotāju reģistra datiem tiek salīdzināti gan personu dati, kas reģistrēti Iedzīvotāju reģistrā, gan ārzemnieku personas dati, lūdzam papildināt VEDLUDB noteikumu 8. punktu, nosakot, ka attiecībā uz ārvalstniekiem ir jānorāda pazīme par to, ka persona ir ārvalstnieks, bez Latvijas personas koda. Līdz ar to VEDLUDB neveiks nevajadzīgu datu apstrādi un VEDLUDB iesniegtajās atskaitēs ārvalstnieku personas dati netiks norādīti kā kļūdaini.</w:t>
            </w:r>
          </w:p>
          <w:p w14:paraId="61F9C399" w14:textId="77777777" w:rsidR="00DE6345" w:rsidRPr="00DE6345" w:rsidRDefault="00DE6345" w:rsidP="00DE6345">
            <w:pPr>
              <w:jc w:val="both"/>
              <w:rPr>
                <w:rFonts w:eastAsia="Calibri"/>
                <w:lang w:eastAsia="en-US"/>
              </w:rPr>
            </w:pPr>
          </w:p>
          <w:p w14:paraId="123B7E77" w14:textId="74ACD8FB" w:rsidR="00BD5D08" w:rsidRPr="00BD5D08" w:rsidRDefault="00BD5D08" w:rsidP="00BD5D08">
            <w:pPr>
              <w:rPr>
                <w:lang w:eastAsia="en-US"/>
              </w:rPr>
            </w:pPr>
          </w:p>
        </w:tc>
        <w:tc>
          <w:tcPr>
            <w:tcW w:w="2977" w:type="dxa"/>
            <w:tcBorders>
              <w:top w:val="single" w:sz="6" w:space="0" w:color="000000"/>
              <w:left w:val="single" w:sz="6" w:space="0" w:color="000000"/>
              <w:bottom w:val="single" w:sz="6" w:space="0" w:color="000000"/>
              <w:right w:val="single" w:sz="6" w:space="0" w:color="000000"/>
            </w:tcBorders>
          </w:tcPr>
          <w:p w14:paraId="47614A9B" w14:textId="77777777" w:rsidR="00793694" w:rsidRDefault="00793694" w:rsidP="00793694">
            <w:pPr>
              <w:ind w:right="57"/>
              <w:contextualSpacing/>
              <w:jc w:val="center"/>
              <w:rPr>
                <w:b/>
              </w:rPr>
            </w:pPr>
            <w:r w:rsidRPr="001E4D6A">
              <w:rPr>
                <w:b/>
              </w:rPr>
              <w:lastRenderedPageBreak/>
              <w:t>Nav ņemts vērā</w:t>
            </w:r>
          </w:p>
          <w:p w14:paraId="43298177" w14:textId="3C978FFF" w:rsidR="00552764" w:rsidRDefault="00552764" w:rsidP="00552764">
            <w:pPr>
              <w:ind w:right="57"/>
              <w:contextualSpacing/>
              <w:jc w:val="both"/>
              <w:rPr>
                <w:rFonts w:eastAsia="Calibri"/>
                <w:lang w:eastAsia="en-US"/>
              </w:rPr>
            </w:pPr>
            <w:r w:rsidRPr="00552764">
              <w:rPr>
                <w:rFonts w:eastAsia="Calibri"/>
                <w:lang w:eastAsia="en-US"/>
              </w:rPr>
              <w:t xml:space="preserve">Būvlaukumā nodarbinātās personas vārds, uzvārds un personas kods tiks salīdzināti brīdī, kad dati no elektroniskās darba laika uzskaites sistēmas tiks nodoti vienotā elektroniskās darba laika uzskaites datubāzē. Būvniecības informācijas sistēmā </w:t>
            </w:r>
            <w:r w:rsidR="00A20916">
              <w:rPr>
                <w:rFonts w:eastAsia="Calibri"/>
                <w:lang w:eastAsia="en-US"/>
              </w:rPr>
              <w:t xml:space="preserve">nav uzkrāti dati </w:t>
            </w:r>
            <w:r w:rsidRPr="00552764">
              <w:rPr>
                <w:rFonts w:eastAsia="Calibri"/>
                <w:lang w:eastAsia="en-US"/>
              </w:rPr>
              <w:t xml:space="preserve">par visiem darba ņēmējiem, līdz ar to, </w:t>
            </w:r>
            <w:r w:rsidR="00A20916">
              <w:rPr>
                <w:rFonts w:eastAsia="Calibri"/>
                <w:lang w:eastAsia="en-US"/>
              </w:rPr>
              <w:t xml:space="preserve">lai vienotās elektroniskās darba laika uzskaites sistēmas dati būtu efektīvi izmantojami nodokļu nomaksas kontroles pasākumos, ir </w:t>
            </w:r>
            <w:r w:rsidR="00A20916">
              <w:rPr>
                <w:rFonts w:eastAsia="Calibri"/>
                <w:lang w:eastAsia="en-US"/>
              </w:rPr>
              <w:lastRenderedPageBreak/>
              <w:t xml:space="preserve">nepieciešams pārliecināties par iesniegto datu kvalitāti. Šim nolūkam </w:t>
            </w:r>
            <w:r w:rsidRPr="00552764">
              <w:rPr>
                <w:rFonts w:eastAsia="Calibri"/>
                <w:lang w:eastAsia="en-US"/>
              </w:rPr>
              <w:t xml:space="preserve">dati tiks salīdzināti ar Iedzīvotāju reģistra datiem, izmantojot </w:t>
            </w:r>
            <w:r w:rsidR="00A20916">
              <w:rPr>
                <w:rFonts w:eastAsia="Calibri"/>
                <w:lang w:eastAsia="en-US"/>
              </w:rPr>
              <w:t xml:space="preserve">jau šobrīd izveidotās un </w:t>
            </w:r>
            <w:proofErr w:type="spellStart"/>
            <w:r w:rsidR="00A20916">
              <w:rPr>
                <w:rFonts w:eastAsia="Calibri"/>
                <w:lang w:eastAsia="en-US"/>
              </w:rPr>
              <w:t>darbojosšas</w:t>
            </w:r>
            <w:proofErr w:type="spellEnd"/>
            <w:r w:rsidR="00A20916">
              <w:rPr>
                <w:rFonts w:eastAsia="Calibri"/>
                <w:lang w:eastAsia="en-US"/>
              </w:rPr>
              <w:t xml:space="preserve"> </w:t>
            </w:r>
            <w:proofErr w:type="spellStart"/>
            <w:r w:rsidRPr="00552764">
              <w:rPr>
                <w:rFonts w:eastAsia="Calibri"/>
                <w:lang w:eastAsia="en-US"/>
              </w:rPr>
              <w:t>saskar</w:t>
            </w:r>
            <w:r w:rsidR="00A20916">
              <w:rPr>
                <w:rFonts w:eastAsia="Calibri"/>
                <w:lang w:eastAsia="en-US"/>
              </w:rPr>
              <w:t>nes</w:t>
            </w:r>
            <w:proofErr w:type="spellEnd"/>
            <w:r w:rsidR="002E7FCE">
              <w:rPr>
                <w:rFonts w:eastAsia="Calibri"/>
                <w:lang w:eastAsia="en-US"/>
              </w:rPr>
              <w:t xml:space="preserve">. Jaunu </w:t>
            </w:r>
            <w:proofErr w:type="spellStart"/>
            <w:r w:rsidR="002E7FCE">
              <w:rPr>
                <w:rFonts w:eastAsia="Calibri"/>
                <w:lang w:eastAsia="en-US"/>
              </w:rPr>
              <w:t>saskarņu</w:t>
            </w:r>
            <w:proofErr w:type="spellEnd"/>
            <w:r w:rsidR="002E7FCE">
              <w:rPr>
                <w:rFonts w:eastAsia="Calibri"/>
                <w:lang w:eastAsia="en-US"/>
              </w:rPr>
              <w:t xml:space="preserve"> izveidošana vai esošo pilnveidošana nav nepieciešama un nav paredzēta, līdz ar to, </w:t>
            </w:r>
            <w:proofErr w:type="spellStart"/>
            <w:r w:rsidR="002E7FCE">
              <w:rPr>
                <w:rFonts w:eastAsia="Calibri"/>
                <w:lang w:eastAsia="en-US"/>
              </w:rPr>
              <w:t>Iekšlietu</w:t>
            </w:r>
            <w:proofErr w:type="spellEnd"/>
            <w:r w:rsidR="002E7FCE">
              <w:rPr>
                <w:rFonts w:eastAsia="Calibri"/>
                <w:lang w:eastAsia="en-US"/>
              </w:rPr>
              <w:t xml:space="preserve"> ministrijai neradīsies papildus izmaksas. B</w:t>
            </w:r>
            <w:r w:rsidRPr="00552764">
              <w:rPr>
                <w:rFonts w:eastAsia="Calibri"/>
                <w:lang w:eastAsia="en-US"/>
              </w:rPr>
              <w:t>ūvniecības informācijas sistēma</w:t>
            </w:r>
            <w:r w:rsidR="002E7FCE">
              <w:rPr>
                <w:rFonts w:eastAsia="Calibri"/>
                <w:lang w:eastAsia="en-US"/>
              </w:rPr>
              <w:t xml:space="preserve"> neuztur personas datus, līdz ar to, tā nevar nodrošināt no elektroniskās darba laika uzskaites sistēmas saņemto personas datu pārbaudi. </w:t>
            </w:r>
          </w:p>
          <w:p w14:paraId="737E7447" w14:textId="77777777" w:rsidR="002E7FCE" w:rsidRPr="00552764" w:rsidRDefault="002E7FCE" w:rsidP="00552764">
            <w:pPr>
              <w:ind w:right="57"/>
              <w:contextualSpacing/>
              <w:jc w:val="both"/>
              <w:rPr>
                <w:rFonts w:eastAsia="Calibri"/>
                <w:lang w:eastAsia="en-US"/>
              </w:rPr>
            </w:pPr>
          </w:p>
          <w:p w14:paraId="1AD6477D" w14:textId="2A588015" w:rsidR="00793694" w:rsidRDefault="00552764" w:rsidP="00552764">
            <w:pPr>
              <w:ind w:right="57"/>
              <w:contextualSpacing/>
              <w:jc w:val="both"/>
              <w:rPr>
                <w:b/>
              </w:rPr>
            </w:pPr>
            <w:r w:rsidRPr="00552764">
              <w:rPr>
                <w:rFonts w:eastAsia="Calibri"/>
                <w:lang w:eastAsia="en-US"/>
              </w:rPr>
              <w:t xml:space="preserve">Likuma “Par nodokļiem un nodevām” 113.pantā ir noteikti elektroniskās darba laika uzskaites sistēmā reģistrējamie dati. Personas statuss (miris, aktīvs, pasīvs) EDLUS  reģistrējamos datos likuma regulējumā nav iekļauts un tam, šobrīd, nav nozīmes VEDLUDB izveidošanas </w:t>
            </w:r>
            <w:r w:rsidRPr="00552764">
              <w:rPr>
                <w:rFonts w:eastAsia="Calibri"/>
                <w:lang w:eastAsia="en-US"/>
              </w:rPr>
              <w:lastRenderedPageBreak/>
              <w:t>mērķu sasniegšanai. Uzskatām, ka Ministru kabineta noteikumu projektā nav tiesības paplašināt likumā dotā regulējuma ietvaru un paredzēt papildu personu datu iegūšanu un uzturēšanu. Turklāt, veicot datu salīdzināšanu attiecībā uz personu statusu, faktiski tiks noraidīta tādu datu par personu nodošana uz VEDLUDB, kas faktiski ir strādājuši būvlaukumā. Tādējādi tas nonāk pretrunā ar VEDLUDB izveidošanas mērķi – iegūt pilnus un aktuālus datus par visiem būvlaukumā nodarbinātajiem, tai skaitā par, iespējams, nelegāli nodarbinātajiem. Līdz ar to, sniedzot datus vienotajā elektroniskās darba laika uzskaites datubāzē, personas statuss (miris, aktīvs, pasīvs) nav salīdzināms.</w:t>
            </w:r>
          </w:p>
          <w:p w14:paraId="298133D2" w14:textId="77777777" w:rsidR="00793694" w:rsidRDefault="00793694" w:rsidP="00793694">
            <w:pPr>
              <w:ind w:right="57"/>
              <w:contextualSpacing/>
              <w:jc w:val="center"/>
              <w:rPr>
                <w:b/>
              </w:rPr>
            </w:pPr>
          </w:p>
          <w:p w14:paraId="5CADB59C" w14:textId="77777777" w:rsidR="00793694" w:rsidRDefault="00793694" w:rsidP="00793694">
            <w:pPr>
              <w:ind w:right="57"/>
              <w:contextualSpacing/>
              <w:jc w:val="center"/>
              <w:rPr>
                <w:b/>
              </w:rPr>
            </w:pPr>
          </w:p>
          <w:p w14:paraId="0F1D15F7" w14:textId="77777777" w:rsidR="00793694" w:rsidRDefault="00793694" w:rsidP="00793694">
            <w:pPr>
              <w:ind w:right="57"/>
              <w:contextualSpacing/>
              <w:jc w:val="center"/>
              <w:rPr>
                <w:b/>
              </w:rPr>
            </w:pPr>
          </w:p>
          <w:p w14:paraId="69E0549B" w14:textId="77777777" w:rsidR="00793694" w:rsidRDefault="00793694" w:rsidP="00793694">
            <w:pPr>
              <w:ind w:right="57"/>
              <w:contextualSpacing/>
              <w:jc w:val="center"/>
              <w:rPr>
                <w:b/>
              </w:rPr>
            </w:pPr>
          </w:p>
          <w:p w14:paraId="5E1AC122" w14:textId="77777777" w:rsidR="00793694" w:rsidRDefault="00793694" w:rsidP="00793694">
            <w:pPr>
              <w:ind w:right="57"/>
              <w:contextualSpacing/>
              <w:jc w:val="center"/>
              <w:rPr>
                <w:b/>
              </w:rPr>
            </w:pPr>
          </w:p>
          <w:p w14:paraId="437014BC" w14:textId="77777777" w:rsidR="00793694" w:rsidRDefault="00793694" w:rsidP="00793694">
            <w:pPr>
              <w:ind w:right="57"/>
              <w:contextualSpacing/>
              <w:jc w:val="center"/>
              <w:rPr>
                <w:b/>
              </w:rPr>
            </w:pPr>
          </w:p>
          <w:p w14:paraId="3DD852E7" w14:textId="77777777" w:rsidR="00793694" w:rsidRDefault="00793694" w:rsidP="00793694">
            <w:pPr>
              <w:ind w:right="57"/>
              <w:contextualSpacing/>
              <w:jc w:val="center"/>
              <w:rPr>
                <w:b/>
              </w:rPr>
            </w:pPr>
          </w:p>
          <w:p w14:paraId="2EF14342" w14:textId="77777777" w:rsidR="00793694" w:rsidRDefault="00793694" w:rsidP="00793694">
            <w:pPr>
              <w:ind w:right="57"/>
              <w:contextualSpacing/>
              <w:jc w:val="center"/>
              <w:rPr>
                <w:b/>
              </w:rPr>
            </w:pPr>
          </w:p>
          <w:p w14:paraId="78ADFE8F" w14:textId="77777777" w:rsidR="00793694" w:rsidRDefault="00793694" w:rsidP="00793694">
            <w:pPr>
              <w:ind w:right="57"/>
              <w:contextualSpacing/>
              <w:jc w:val="center"/>
              <w:rPr>
                <w:b/>
              </w:rPr>
            </w:pPr>
          </w:p>
          <w:p w14:paraId="460BAE02" w14:textId="77777777" w:rsidR="00793694" w:rsidRDefault="00793694" w:rsidP="00793694">
            <w:pPr>
              <w:ind w:right="57"/>
              <w:contextualSpacing/>
              <w:jc w:val="center"/>
              <w:rPr>
                <w:b/>
              </w:rPr>
            </w:pPr>
          </w:p>
          <w:p w14:paraId="491F5885" w14:textId="77777777" w:rsidR="00793694" w:rsidRDefault="00793694" w:rsidP="00793694">
            <w:pPr>
              <w:ind w:right="57"/>
              <w:contextualSpacing/>
              <w:jc w:val="center"/>
              <w:rPr>
                <w:b/>
              </w:rPr>
            </w:pPr>
          </w:p>
          <w:p w14:paraId="5293BF55" w14:textId="77777777" w:rsidR="00793694" w:rsidRDefault="00793694" w:rsidP="00793694">
            <w:pPr>
              <w:ind w:right="57"/>
              <w:contextualSpacing/>
              <w:jc w:val="center"/>
              <w:rPr>
                <w:b/>
              </w:rPr>
            </w:pPr>
          </w:p>
          <w:p w14:paraId="091FF1A1" w14:textId="77777777" w:rsidR="00793694" w:rsidRDefault="00793694" w:rsidP="00793694">
            <w:pPr>
              <w:ind w:right="57"/>
              <w:contextualSpacing/>
              <w:jc w:val="center"/>
              <w:rPr>
                <w:b/>
              </w:rPr>
            </w:pPr>
          </w:p>
          <w:p w14:paraId="2985677C" w14:textId="77777777" w:rsidR="00793694" w:rsidRDefault="00793694" w:rsidP="00793694">
            <w:pPr>
              <w:ind w:right="57"/>
              <w:contextualSpacing/>
              <w:jc w:val="center"/>
              <w:rPr>
                <w:b/>
              </w:rPr>
            </w:pPr>
          </w:p>
          <w:p w14:paraId="7DDFCA26" w14:textId="77777777" w:rsidR="00793694" w:rsidRDefault="00793694" w:rsidP="00793694">
            <w:pPr>
              <w:ind w:right="57"/>
              <w:contextualSpacing/>
              <w:jc w:val="center"/>
              <w:rPr>
                <w:b/>
              </w:rPr>
            </w:pPr>
          </w:p>
          <w:p w14:paraId="0D5B064C" w14:textId="77777777" w:rsidR="00793694" w:rsidRDefault="00793694" w:rsidP="00793694">
            <w:pPr>
              <w:ind w:right="57"/>
              <w:contextualSpacing/>
              <w:jc w:val="center"/>
              <w:rPr>
                <w:b/>
              </w:rPr>
            </w:pPr>
          </w:p>
          <w:p w14:paraId="780D5A10" w14:textId="77777777" w:rsidR="00793694" w:rsidRDefault="00793694" w:rsidP="00793694">
            <w:pPr>
              <w:ind w:right="57"/>
              <w:contextualSpacing/>
              <w:jc w:val="center"/>
              <w:rPr>
                <w:b/>
              </w:rPr>
            </w:pPr>
          </w:p>
          <w:p w14:paraId="33450A74" w14:textId="77777777" w:rsidR="00793694" w:rsidRDefault="00793694" w:rsidP="00793694">
            <w:pPr>
              <w:ind w:right="57"/>
              <w:contextualSpacing/>
              <w:jc w:val="center"/>
              <w:rPr>
                <w:b/>
              </w:rPr>
            </w:pPr>
          </w:p>
          <w:p w14:paraId="7AAEDAAE" w14:textId="77777777" w:rsidR="00793694" w:rsidRDefault="00793694" w:rsidP="00793694">
            <w:pPr>
              <w:ind w:right="57"/>
              <w:contextualSpacing/>
              <w:jc w:val="center"/>
              <w:rPr>
                <w:b/>
              </w:rPr>
            </w:pPr>
          </w:p>
          <w:p w14:paraId="21083D8C" w14:textId="77777777" w:rsidR="00793694" w:rsidRDefault="00793694" w:rsidP="00793694">
            <w:pPr>
              <w:ind w:right="57"/>
              <w:contextualSpacing/>
              <w:jc w:val="center"/>
              <w:rPr>
                <w:b/>
              </w:rPr>
            </w:pPr>
          </w:p>
          <w:p w14:paraId="542DF2E8" w14:textId="77777777" w:rsidR="00793694" w:rsidRDefault="00793694" w:rsidP="00793694">
            <w:pPr>
              <w:ind w:right="57"/>
              <w:contextualSpacing/>
              <w:jc w:val="center"/>
              <w:rPr>
                <w:b/>
              </w:rPr>
            </w:pPr>
          </w:p>
          <w:p w14:paraId="01CCA054" w14:textId="77777777" w:rsidR="00793694" w:rsidRDefault="00793694" w:rsidP="00793694">
            <w:pPr>
              <w:ind w:right="57"/>
              <w:contextualSpacing/>
              <w:jc w:val="center"/>
              <w:rPr>
                <w:b/>
              </w:rPr>
            </w:pPr>
          </w:p>
          <w:p w14:paraId="222F552A" w14:textId="77777777" w:rsidR="00793694" w:rsidRDefault="00793694" w:rsidP="00793694">
            <w:pPr>
              <w:ind w:right="57"/>
              <w:contextualSpacing/>
              <w:jc w:val="center"/>
              <w:rPr>
                <w:b/>
              </w:rPr>
            </w:pPr>
          </w:p>
          <w:p w14:paraId="0CE2EAE7" w14:textId="77777777" w:rsidR="00793694" w:rsidRDefault="00793694" w:rsidP="00793694">
            <w:pPr>
              <w:ind w:right="57"/>
              <w:contextualSpacing/>
              <w:jc w:val="center"/>
              <w:rPr>
                <w:b/>
              </w:rPr>
            </w:pPr>
          </w:p>
          <w:p w14:paraId="785A64B3" w14:textId="77777777" w:rsidR="00793694" w:rsidRDefault="00793694" w:rsidP="00793694">
            <w:pPr>
              <w:ind w:right="57"/>
              <w:contextualSpacing/>
              <w:jc w:val="center"/>
              <w:rPr>
                <w:b/>
              </w:rPr>
            </w:pPr>
          </w:p>
          <w:p w14:paraId="3ED61D7D" w14:textId="77777777" w:rsidR="00793694" w:rsidRDefault="00793694" w:rsidP="00793694">
            <w:pPr>
              <w:ind w:right="57"/>
              <w:contextualSpacing/>
              <w:jc w:val="center"/>
              <w:rPr>
                <w:b/>
              </w:rPr>
            </w:pPr>
          </w:p>
          <w:p w14:paraId="373624FE" w14:textId="77777777" w:rsidR="00793694" w:rsidRDefault="00793694" w:rsidP="00793694">
            <w:pPr>
              <w:ind w:right="57"/>
              <w:contextualSpacing/>
              <w:jc w:val="center"/>
              <w:rPr>
                <w:b/>
              </w:rPr>
            </w:pPr>
          </w:p>
          <w:p w14:paraId="33360349" w14:textId="77777777" w:rsidR="00793694" w:rsidRDefault="00793694" w:rsidP="00793694">
            <w:pPr>
              <w:ind w:right="57"/>
              <w:contextualSpacing/>
              <w:jc w:val="center"/>
              <w:rPr>
                <w:b/>
              </w:rPr>
            </w:pPr>
          </w:p>
          <w:p w14:paraId="3A28C749" w14:textId="77777777" w:rsidR="00793694" w:rsidRDefault="00793694" w:rsidP="00793694">
            <w:pPr>
              <w:ind w:right="57"/>
              <w:contextualSpacing/>
              <w:jc w:val="center"/>
              <w:rPr>
                <w:b/>
              </w:rPr>
            </w:pPr>
          </w:p>
          <w:p w14:paraId="49720519" w14:textId="77777777" w:rsidR="00793694" w:rsidRDefault="00793694" w:rsidP="00793694">
            <w:pPr>
              <w:ind w:right="57"/>
              <w:contextualSpacing/>
              <w:jc w:val="center"/>
              <w:rPr>
                <w:b/>
              </w:rPr>
            </w:pPr>
          </w:p>
          <w:p w14:paraId="363A7829" w14:textId="77777777" w:rsidR="00793694" w:rsidRDefault="00793694" w:rsidP="00793694">
            <w:pPr>
              <w:ind w:right="57"/>
              <w:contextualSpacing/>
              <w:jc w:val="center"/>
              <w:rPr>
                <w:b/>
              </w:rPr>
            </w:pPr>
          </w:p>
          <w:p w14:paraId="7C207BD5" w14:textId="77777777" w:rsidR="00793694" w:rsidRDefault="00793694" w:rsidP="00793694">
            <w:pPr>
              <w:ind w:right="57"/>
              <w:contextualSpacing/>
              <w:jc w:val="center"/>
              <w:rPr>
                <w:b/>
              </w:rPr>
            </w:pPr>
          </w:p>
          <w:p w14:paraId="053B8A67" w14:textId="77777777" w:rsidR="00793694" w:rsidRDefault="00793694" w:rsidP="00793694">
            <w:pPr>
              <w:ind w:right="57"/>
              <w:contextualSpacing/>
              <w:jc w:val="center"/>
              <w:rPr>
                <w:b/>
              </w:rPr>
            </w:pPr>
          </w:p>
          <w:p w14:paraId="583933CF" w14:textId="77777777" w:rsidR="00793694" w:rsidRDefault="00793694" w:rsidP="00793694">
            <w:pPr>
              <w:ind w:right="57"/>
              <w:contextualSpacing/>
              <w:jc w:val="center"/>
              <w:rPr>
                <w:b/>
              </w:rPr>
            </w:pPr>
          </w:p>
          <w:p w14:paraId="2585745A" w14:textId="77777777" w:rsidR="00793694" w:rsidRDefault="00793694" w:rsidP="00793694">
            <w:pPr>
              <w:ind w:right="57"/>
              <w:contextualSpacing/>
              <w:jc w:val="center"/>
              <w:rPr>
                <w:b/>
              </w:rPr>
            </w:pPr>
          </w:p>
          <w:p w14:paraId="0BCD669B" w14:textId="77777777" w:rsidR="00793694" w:rsidRDefault="00793694" w:rsidP="00793694">
            <w:pPr>
              <w:ind w:right="57"/>
              <w:contextualSpacing/>
              <w:jc w:val="center"/>
              <w:rPr>
                <w:b/>
              </w:rPr>
            </w:pPr>
          </w:p>
          <w:p w14:paraId="61E60DD7" w14:textId="77777777" w:rsidR="00793694" w:rsidRDefault="00793694" w:rsidP="00793694">
            <w:pPr>
              <w:ind w:right="57"/>
              <w:contextualSpacing/>
              <w:jc w:val="center"/>
              <w:rPr>
                <w:b/>
              </w:rPr>
            </w:pPr>
          </w:p>
          <w:p w14:paraId="51ADE086" w14:textId="77777777" w:rsidR="00793694" w:rsidRDefault="00793694" w:rsidP="00793694">
            <w:pPr>
              <w:ind w:right="57"/>
              <w:contextualSpacing/>
              <w:jc w:val="center"/>
              <w:rPr>
                <w:b/>
              </w:rPr>
            </w:pPr>
          </w:p>
          <w:p w14:paraId="168B5258" w14:textId="77777777" w:rsidR="00793694" w:rsidRDefault="00793694" w:rsidP="00793694">
            <w:pPr>
              <w:ind w:right="57"/>
              <w:contextualSpacing/>
              <w:jc w:val="center"/>
              <w:rPr>
                <w:b/>
              </w:rPr>
            </w:pPr>
          </w:p>
          <w:p w14:paraId="79E2AF64" w14:textId="77777777" w:rsidR="00793694" w:rsidRDefault="00793694" w:rsidP="00793694">
            <w:pPr>
              <w:ind w:right="57"/>
              <w:contextualSpacing/>
              <w:jc w:val="center"/>
              <w:rPr>
                <w:b/>
              </w:rPr>
            </w:pPr>
          </w:p>
          <w:p w14:paraId="086F7CBA" w14:textId="77777777" w:rsidR="00793694" w:rsidRDefault="00793694" w:rsidP="00793694">
            <w:pPr>
              <w:ind w:right="57"/>
              <w:contextualSpacing/>
              <w:jc w:val="center"/>
              <w:rPr>
                <w:b/>
              </w:rPr>
            </w:pPr>
          </w:p>
          <w:p w14:paraId="3810A68A" w14:textId="77777777" w:rsidR="00793694" w:rsidRDefault="00793694" w:rsidP="00793694">
            <w:pPr>
              <w:ind w:right="57"/>
              <w:contextualSpacing/>
              <w:jc w:val="center"/>
              <w:rPr>
                <w:b/>
              </w:rPr>
            </w:pPr>
          </w:p>
          <w:p w14:paraId="71D1D419" w14:textId="77777777" w:rsidR="00793694" w:rsidRDefault="00793694" w:rsidP="00793694">
            <w:pPr>
              <w:ind w:right="57"/>
              <w:contextualSpacing/>
              <w:jc w:val="center"/>
              <w:rPr>
                <w:b/>
              </w:rPr>
            </w:pPr>
          </w:p>
          <w:p w14:paraId="19C2A65D" w14:textId="77777777" w:rsidR="00793694" w:rsidRDefault="00793694" w:rsidP="00793694">
            <w:pPr>
              <w:ind w:right="57"/>
              <w:contextualSpacing/>
              <w:jc w:val="center"/>
              <w:rPr>
                <w:b/>
              </w:rPr>
            </w:pPr>
          </w:p>
          <w:p w14:paraId="5B750B2F" w14:textId="77777777" w:rsidR="00793694" w:rsidRDefault="00793694" w:rsidP="00793694">
            <w:pPr>
              <w:ind w:right="57"/>
              <w:contextualSpacing/>
              <w:jc w:val="center"/>
              <w:rPr>
                <w:b/>
              </w:rPr>
            </w:pPr>
          </w:p>
          <w:p w14:paraId="343AFC44" w14:textId="77777777" w:rsidR="00793694" w:rsidRDefault="00793694" w:rsidP="00793694">
            <w:pPr>
              <w:ind w:right="57"/>
              <w:contextualSpacing/>
              <w:jc w:val="center"/>
              <w:rPr>
                <w:b/>
              </w:rPr>
            </w:pPr>
          </w:p>
          <w:p w14:paraId="55EC8FA6" w14:textId="77777777" w:rsidR="00793694" w:rsidRDefault="00793694" w:rsidP="00793694">
            <w:pPr>
              <w:ind w:right="57"/>
              <w:contextualSpacing/>
              <w:jc w:val="center"/>
              <w:rPr>
                <w:b/>
              </w:rPr>
            </w:pPr>
          </w:p>
          <w:p w14:paraId="53C9B2F8" w14:textId="7BE3AF81" w:rsidR="00793694" w:rsidRDefault="00793694" w:rsidP="00793694">
            <w:pPr>
              <w:ind w:right="57"/>
              <w:contextualSpacing/>
              <w:jc w:val="center"/>
              <w:rPr>
                <w:b/>
              </w:rPr>
            </w:pPr>
          </w:p>
          <w:p w14:paraId="68D0D8C7" w14:textId="2F19404E" w:rsidR="00793694" w:rsidRDefault="00793694" w:rsidP="00793694">
            <w:pPr>
              <w:ind w:right="57"/>
              <w:contextualSpacing/>
              <w:jc w:val="center"/>
              <w:rPr>
                <w:b/>
              </w:rPr>
            </w:pPr>
          </w:p>
          <w:p w14:paraId="23875B91" w14:textId="77777777" w:rsidR="006D6DFF" w:rsidRDefault="006D6DFF" w:rsidP="00BD5D08">
            <w:pPr>
              <w:ind w:right="57"/>
              <w:contextualSpacing/>
              <w:rPr>
                <w:b/>
                <w:highlight w:val="red"/>
              </w:rPr>
            </w:pPr>
          </w:p>
          <w:p w14:paraId="50743841" w14:textId="77777777" w:rsidR="00DE6345" w:rsidRDefault="00DE6345" w:rsidP="00BD5D08">
            <w:pPr>
              <w:ind w:right="57"/>
              <w:contextualSpacing/>
              <w:rPr>
                <w:b/>
                <w:highlight w:val="red"/>
              </w:rPr>
            </w:pPr>
          </w:p>
          <w:p w14:paraId="0F351138" w14:textId="77777777" w:rsidR="00DE6345" w:rsidRDefault="00DE6345" w:rsidP="00BD5D08">
            <w:pPr>
              <w:ind w:right="57"/>
              <w:contextualSpacing/>
              <w:rPr>
                <w:b/>
                <w:highlight w:val="red"/>
              </w:rPr>
            </w:pPr>
          </w:p>
          <w:p w14:paraId="60BEDABA" w14:textId="77777777" w:rsidR="00DE6345" w:rsidRDefault="00DE6345" w:rsidP="00BD5D08">
            <w:pPr>
              <w:ind w:right="57"/>
              <w:contextualSpacing/>
              <w:rPr>
                <w:b/>
                <w:highlight w:val="red"/>
              </w:rPr>
            </w:pPr>
          </w:p>
          <w:p w14:paraId="08E68FC7" w14:textId="77777777" w:rsidR="00DE6345" w:rsidRDefault="00DE6345" w:rsidP="00BD5D08">
            <w:pPr>
              <w:ind w:right="57"/>
              <w:contextualSpacing/>
              <w:rPr>
                <w:b/>
                <w:highlight w:val="red"/>
              </w:rPr>
            </w:pPr>
          </w:p>
          <w:p w14:paraId="2F896884" w14:textId="77777777" w:rsidR="00DE6345" w:rsidRDefault="00DE6345" w:rsidP="00BD5D08">
            <w:pPr>
              <w:ind w:right="57"/>
              <w:contextualSpacing/>
              <w:rPr>
                <w:b/>
                <w:highlight w:val="red"/>
              </w:rPr>
            </w:pPr>
          </w:p>
          <w:p w14:paraId="2726C9FE" w14:textId="77777777" w:rsidR="00DE6345" w:rsidRDefault="00DE6345" w:rsidP="00BD5D08">
            <w:pPr>
              <w:ind w:right="57"/>
              <w:contextualSpacing/>
              <w:rPr>
                <w:b/>
                <w:highlight w:val="red"/>
              </w:rPr>
            </w:pPr>
          </w:p>
          <w:p w14:paraId="61560684" w14:textId="77777777" w:rsidR="00DE6345" w:rsidRDefault="00DE6345" w:rsidP="00BD5D08">
            <w:pPr>
              <w:ind w:right="57"/>
              <w:contextualSpacing/>
              <w:rPr>
                <w:b/>
                <w:highlight w:val="red"/>
              </w:rPr>
            </w:pPr>
          </w:p>
          <w:p w14:paraId="3B0C0091" w14:textId="77777777" w:rsidR="00DE6345" w:rsidRDefault="00DE6345" w:rsidP="00BD5D08">
            <w:pPr>
              <w:ind w:right="57"/>
              <w:contextualSpacing/>
              <w:rPr>
                <w:b/>
                <w:highlight w:val="red"/>
              </w:rPr>
            </w:pPr>
          </w:p>
          <w:p w14:paraId="5278CD96" w14:textId="77777777" w:rsidR="00DE6345" w:rsidRDefault="00DE6345" w:rsidP="00BD5D08">
            <w:pPr>
              <w:ind w:right="57"/>
              <w:contextualSpacing/>
              <w:rPr>
                <w:b/>
                <w:highlight w:val="red"/>
              </w:rPr>
            </w:pPr>
          </w:p>
          <w:p w14:paraId="1C701B53" w14:textId="77777777" w:rsidR="00DE6345" w:rsidRDefault="00DE6345" w:rsidP="00BD5D08">
            <w:pPr>
              <w:ind w:right="57"/>
              <w:contextualSpacing/>
              <w:rPr>
                <w:b/>
                <w:highlight w:val="red"/>
              </w:rPr>
            </w:pPr>
          </w:p>
          <w:p w14:paraId="6CDCCB9B" w14:textId="77777777" w:rsidR="00DE6345" w:rsidRDefault="00DE6345" w:rsidP="00BD5D08">
            <w:pPr>
              <w:ind w:right="57"/>
              <w:contextualSpacing/>
              <w:rPr>
                <w:b/>
                <w:highlight w:val="red"/>
              </w:rPr>
            </w:pPr>
          </w:p>
          <w:p w14:paraId="735F6447" w14:textId="73CE8875" w:rsidR="00DE6345" w:rsidRPr="000C772B" w:rsidRDefault="000C772B" w:rsidP="00BD5D08">
            <w:pPr>
              <w:ind w:right="57"/>
              <w:contextualSpacing/>
              <w:rPr>
                <w:b/>
              </w:rPr>
            </w:pPr>
            <w:r>
              <w:rPr>
                <w:b/>
              </w:rPr>
              <w:t>Daļēji</w:t>
            </w:r>
            <w:r w:rsidR="00DE6345" w:rsidRPr="000C772B">
              <w:rPr>
                <w:b/>
              </w:rPr>
              <w:t xml:space="preserve"> ņemts vērā. </w:t>
            </w:r>
          </w:p>
          <w:p w14:paraId="101FCC91" w14:textId="77777777" w:rsidR="00DE6345" w:rsidRDefault="00DE6345" w:rsidP="00BD5D08">
            <w:pPr>
              <w:ind w:right="57"/>
              <w:contextualSpacing/>
              <w:rPr>
                <w:bCs/>
              </w:rPr>
            </w:pPr>
          </w:p>
          <w:p w14:paraId="2A85443B" w14:textId="230E7E83" w:rsidR="00DE6345" w:rsidRPr="00B51B04" w:rsidRDefault="00DE6345" w:rsidP="00DE6345">
            <w:pPr>
              <w:ind w:right="57"/>
              <w:contextualSpacing/>
              <w:jc w:val="both"/>
            </w:pPr>
            <w:r>
              <w:rPr>
                <w:bCs/>
              </w:rPr>
              <w:t xml:space="preserve">Ministru kabineta noteikumu projekts </w:t>
            </w:r>
            <w:r>
              <w:t xml:space="preserve">“Grozījumi Ministru kabineta 2015. gada </w:t>
            </w:r>
            <w:r>
              <w:lastRenderedPageBreak/>
              <w:t>28.jūlija noteikumos Nr. 438 “</w:t>
            </w:r>
            <w:r w:rsidRPr="00BB0D8D">
              <w:t>Būvniecības informācijas sistēmas noteikumi</w:t>
            </w:r>
            <w:r>
              <w:t>”” (VSS-921) paredz formātu elektroniskās darba laika uzskaites sistēmas datu nodošanai, tai skaitā tiek paredzēts, ka personas kods tiek nodots atsevišķā datu laukumā un citi personu identificējošie dati (</w:t>
            </w:r>
            <w:r w:rsidRPr="00B51B04">
              <w:t>dzimšanas datums, mēnesis un gads (ja personai nav personas koda</w:t>
            </w:r>
            <w:r>
              <w:t xml:space="preserve">) un </w:t>
            </w:r>
            <w:r w:rsidRPr="00B51B04">
              <w:t>vīzas numurs (ja būvlaukumā nodarbinātai personai tā ir izsniegta)</w:t>
            </w:r>
            <w:r w:rsidR="000439D3">
              <w:t xml:space="preserve">. Attiecīgi ar Iedzīvotāju reģistru tiks salīdzināti tikai tādu personu dati, kam attiecīgajā datu laukā būs ievadīts personas kods. Ja personas kods netiks ievadīts, tad personas datu salīdzināšana netiks veikta un dati netiks uzskatīti par kļūdainiem. </w:t>
            </w:r>
          </w:p>
          <w:p w14:paraId="0B9F4445" w14:textId="5555F593" w:rsidR="00DE6345" w:rsidRDefault="00DE6345" w:rsidP="00DE6345">
            <w:pPr>
              <w:ind w:right="57"/>
              <w:contextualSpacing/>
              <w:jc w:val="both"/>
            </w:pPr>
          </w:p>
          <w:p w14:paraId="5DBAF905" w14:textId="68F00EE1" w:rsidR="000C772B" w:rsidRDefault="000C772B" w:rsidP="00DE6345">
            <w:pPr>
              <w:ind w:right="57"/>
              <w:contextualSpacing/>
              <w:jc w:val="both"/>
            </w:pPr>
          </w:p>
          <w:p w14:paraId="5C77B450" w14:textId="0984FB98" w:rsidR="000C772B" w:rsidRDefault="000C772B" w:rsidP="00DE6345">
            <w:pPr>
              <w:ind w:right="57"/>
              <w:contextualSpacing/>
              <w:jc w:val="both"/>
            </w:pPr>
          </w:p>
          <w:p w14:paraId="0F6F4904" w14:textId="30171AF5" w:rsidR="00DE6345" w:rsidRPr="00DE6345" w:rsidRDefault="00DE6345" w:rsidP="00BD5D08">
            <w:pPr>
              <w:ind w:right="57"/>
              <w:contextualSpacing/>
              <w:rPr>
                <w:bCs/>
                <w:highlight w:val="red"/>
              </w:rPr>
            </w:pPr>
          </w:p>
        </w:tc>
        <w:tc>
          <w:tcPr>
            <w:tcW w:w="2459" w:type="dxa"/>
            <w:tcBorders>
              <w:top w:val="single" w:sz="4" w:space="0" w:color="auto"/>
              <w:left w:val="single" w:sz="4" w:space="0" w:color="auto"/>
              <w:bottom w:val="single" w:sz="4" w:space="0" w:color="auto"/>
              <w:right w:val="single" w:sz="4" w:space="0" w:color="auto"/>
            </w:tcBorders>
          </w:tcPr>
          <w:p w14:paraId="190A983D" w14:textId="77777777" w:rsidR="00A52F3D" w:rsidRPr="00A52F3D" w:rsidRDefault="00A52F3D" w:rsidP="00A52F3D">
            <w:pPr>
              <w:jc w:val="both"/>
            </w:pPr>
            <w:proofErr w:type="spellStart"/>
            <w:r w:rsidRPr="00A52F3D">
              <w:lastRenderedPageBreak/>
              <w:t>Iekšlietu</w:t>
            </w:r>
            <w:proofErr w:type="spellEnd"/>
            <w:r w:rsidRPr="00A52F3D">
              <w:t xml:space="preserve"> ministrija ir izskatījusi Ekonomikas ministrijas (turpmāk – Ministrija) precizēto noteikumu projektu “Kārtība, kādā elektroniskās darba laika uzskaites sistēmas dati sniedzami iekļaušanai vienotajā elektroniskās darba laika uzskaites datubāzē, un prasības elektroniskās darba laika uzskaites sistēmas ārējai drošības pārbaudei un auditācijas </w:t>
            </w:r>
            <w:r w:rsidRPr="00A52F3D">
              <w:lastRenderedPageBreak/>
              <w:t xml:space="preserve">pierakstiem” (turpmāk – projekts), kā arī sākotnējās ietekmes novērtējuma apvienoto ziņojumu (anotāciju) (VSS - 920, VSS - 921) un uztur iepriekš izteikto iebildumu, kuru Ministrija nav ņēmusi vērā: </w:t>
            </w:r>
          </w:p>
          <w:p w14:paraId="179E02D1" w14:textId="77777777" w:rsidR="00A52F3D" w:rsidRPr="00A52F3D" w:rsidRDefault="00A52F3D" w:rsidP="00A52F3D">
            <w:pPr>
              <w:jc w:val="both"/>
            </w:pPr>
          </w:p>
          <w:p w14:paraId="23DEBB0F" w14:textId="77777777" w:rsidR="00A52F3D" w:rsidRPr="00A52F3D" w:rsidRDefault="00A52F3D" w:rsidP="00A52F3D">
            <w:pPr>
              <w:jc w:val="both"/>
            </w:pPr>
            <w:r w:rsidRPr="00A52F3D">
              <w:t>aizstāt projekta tekstā vārdus “Iedzīvotāju reģistra” ar vārdiem “būvniecības informācijas sistēmas”</w:t>
            </w:r>
          </w:p>
          <w:p w14:paraId="32BAEB98" w14:textId="77777777" w:rsidR="00A52F3D" w:rsidRPr="00A52F3D" w:rsidRDefault="00A52F3D" w:rsidP="00A52F3D">
            <w:pPr>
              <w:jc w:val="both"/>
            </w:pPr>
            <w:r w:rsidRPr="00A52F3D">
              <w:t xml:space="preserve">Likuma “Par nodokļiem un nodevām” 112. panta pirmajā daļā noteikts, ka vienotā elektroniskās darba laika uzskaites datubāze (turpmāk – VEDLUDB) ir Būvniecības informācijas sistēmas (turpmāk – BIS) sastāvdaļa. Iepriekš minēto paredz arī noteikumu projekta “Grozījumi Ministru </w:t>
            </w:r>
            <w:r w:rsidRPr="00A52F3D">
              <w:lastRenderedPageBreak/>
              <w:t>kabineta 2015. gada 28. jūlija noteikumos Nr. 438 „Būvniecības informācijas sistēmas noteikumi” (VSS-920) (turpmāk – projekts VSS - 920) 6. punktā noteiktais, ka BIS ietver VEDLUDB. Savukārt projekta VSS - 920 8. punkts paredz, ka VEDLUDB izmanto datus (personas vārdu, uzvārdu, personas kodu), kurus Pārvalde no Iedzīvotāju reģistra tiešsaistē sniedz BIS. No iepriekš minēta secināms, ka VEDLUDB nesaņems datus no Iedzīvotāju reģistra, bet gan izmantos BIS iekļautos datus.</w:t>
            </w:r>
          </w:p>
          <w:p w14:paraId="47ECE216" w14:textId="77777777" w:rsidR="00A52F3D" w:rsidRPr="00A52F3D" w:rsidRDefault="00A52F3D" w:rsidP="00A52F3D">
            <w:pPr>
              <w:jc w:val="both"/>
            </w:pPr>
            <w:r w:rsidRPr="00A52F3D">
              <w:t xml:space="preserve">Ministru kabineta 2015. gada 28. jūlija noteikumu Nr. 438 „Būvniecības informācijas sistēmas noteikumi” (turpmāk – Noteikumi) 15. punkts nosaka BIS ietvertos </w:t>
            </w:r>
            <w:r w:rsidRPr="00A52F3D">
              <w:lastRenderedPageBreak/>
              <w:t xml:space="preserve">reģistrus. Noteikumu 17. punkts nosaka datu apjomu, kuru izmanto BIS ietvertie reģistri un kuru Pārvalde no Iedzīvotāju reģistra tiešsaistē sniedz BIS. </w:t>
            </w:r>
          </w:p>
          <w:p w14:paraId="65AA44D9" w14:textId="77777777" w:rsidR="00A52F3D" w:rsidRPr="00A52F3D" w:rsidRDefault="00A52F3D" w:rsidP="00A52F3D">
            <w:pPr>
              <w:jc w:val="both"/>
            </w:pPr>
            <w:r w:rsidRPr="00A52F3D">
              <w:t>Noteikumu 28. punkta nodrošināšanai Pārvalde ar Būvniecības valsts kontroles biroju ir noslēgusi starpresoru vienošanos par Iedzīvotāju reģistrā iekļauto ziņu sniegšanu BIS tiešsaistes datu pārraides režīmā un monitoringa pakalpojuma nodrošināšanu.</w:t>
            </w:r>
          </w:p>
          <w:p w14:paraId="50203763" w14:textId="77777777" w:rsidR="00A52F3D" w:rsidRPr="00A52F3D" w:rsidRDefault="00A52F3D" w:rsidP="00A52F3D">
            <w:pPr>
              <w:jc w:val="both"/>
            </w:pPr>
            <w:r w:rsidRPr="00A52F3D">
              <w:t xml:space="preserve">Ja VEDLUDB iesniegto datu pieprasīšana būs identiska BIS ietverto reģistru datu pieprasīšanas procesam, projekta 8.1. apakšpunkta minētā datu lauku – vārds, uzvārds, personas kods </w:t>
            </w:r>
            <w:r w:rsidRPr="00A52F3D">
              <w:lastRenderedPageBreak/>
              <w:t>– atbilstības pārbaude notiks pret BIS.</w:t>
            </w:r>
          </w:p>
          <w:p w14:paraId="3B50D141" w14:textId="15508322" w:rsidR="00BD5D08" w:rsidRPr="00A52F3D" w:rsidRDefault="00A52F3D" w:rsidP="00A52F3D">
            <w:pPr>
              <w:jc w:val="both"/>
            </w:pPr>
            <w:r w:rsidRPr="00A52F3D">
              <w:t>Ja tomēr datu atbilstības pārbaude tiks veikta, neizmantojot BIS funkcionalitāti, bet pret Iedzīvotāju reģistru, nepieciešams precizēt sākotnējās ietekmes novērtējuma ziņojumu, paredzot, ka Iedzīvotāju reģistra datu saņemšanai tiks veidots starpsistēmu risinājums starp Pārvaldes uzturēto Iedzīvotāju reģistru un VEDLUDB. Vēršam uzmanību, ka atsevišķa risinājuma izstrādei un ieviešanai ir nepieciešami laika un cilvēkresursi.</w:t>
            </w:r>
          </w:p>
        </w:tc>
        <w:tc>
          <w:tcPr>
            <w:tcW w:w="1920" w:type="dxa"/>
            <w:tcBorders>
              <w:top w:val="single" w:sz="4" w:space="0" w:color="auto"/>
              <w:left w:val="single" w:sz="4" w:space="0" w:color="auto"/>
              <w:bottom w:val="single" w:sz="4" w:space="0" w:color="auto"/>
            </w:tcBorders>
          </w:tcPr>
          <w:p w14:paraId="1824541B" w14:textId="47F89409" w:rsidR="00391B97" w:rsidRDefault="00B51B04" w:rsidP="00391B97">
            <w:pPr>
              <w:shd w:val="clear" w:color="auto" w:fill="FFFFFF"/>
              <w:contextualSpacing/>
              <w:jc w:val="both"/>
            </w:pPr>
            <w:r>
              <w:lastRenderedPageBreak/>
              <w:t>9</w:t>
            </w:r>
            <w:r w:rsidR="00391B97">
              <w:t>. Trīs darbdienu laikā pēc elektroniskās darba laika uzskaites sistēmas datu saņemšanas vienotās elektroniskās darba laika uzskaites datubāze salīdzina:</w:t>
            </w:r>
          </w:p>
          <w:p w14:paraId="44BB596D" w14:textId="701DCA4F" w:rsidR="00391B97" w:rsidRDefault="00B51B04" w:rsidP="00391B97">
            <w:pPr>
              <w:shd w:val="clear" w:color="auto" w:fill="FFFFFF"/>
              <w:contextualSpacing/>
              <w:jc w:val="both"/>
            </w:pPr>
            <w:r>
              <w:t>9</w:t>
            </w:r>
            <w:r w:rsidR="00391B97">
              <w:t xml:space="preserve">.1. elektroniskās darba laika uzskaites sistēmā iekļautos būvlaukumā </w:t>
            </w:r>
            <w:r w:rsidR="00391B97">
              <w:lastRenderedPageBreak/>
              <w:t>nodarbināto personu</w:t>
            </w:r>
            <w:r w:rsidR="006F4AB1">
              <w:t>,</w:t>
            </w:r>
            <w:r w:rsidR="00391B97">
              <w:t xml:space="preserve"> </w:t>
            </w:r>
            <w:r w:rsidR="006F4AB1" w:rsidRPr="00EA1D5A">
              <w:t>izņemot ārvalstniekus</w:t>
            </w:r>
            <w:r w:rsidR="006F4AB1" w:rsidRPr="000D7CD2">
              <w:rPr>
                <w:b/>
                <w:u w:val="single"/>
              </w:rPr>
              <w:t>, kam nav</w:t>
            </w:r>
            <w:r w:rsidR="006F4AB1">
              <w:rPr>
                <w:b/>
                <w:u w:val="single"/>
              </w:rPr>
              <w:t xml:space="preserve"> Latvijas Republikā</w:t>
            </w:r>
            <w:r w:rsidR="006F4AB1" w:rsidRPr="000D7CD2">
              <w:rPr>
                <w:b/>
                <w:u w:val="single"/>
              </w:rPr>
              <w:t xml:space="preserve"> piešķirts personas kods</w:t>
            </w:r>
            <w:r w:rsidR="006F4AB1">
              <w:rPr>
                <w:b/>
                <w:u w:val="single"/>
              </w:rPr>
              <w:t>,</w:t>
            </w:r>
            <w:r w:rsidR="006F4AB1">
              <w:t xml:space="preserve"> </w:t>
            </w:r>
            <w:r w:rsidR="00391B97">
              <w:t>darba laika reģistrācijas un uzskaites datu laukus – vārds, uzvārds, personas kods – ar Iedzīvotāju reģistra datiem</w:t>
            </w:r>
            <w:r w:rsidR="006F4AB1">
              <w:t>;</w:t>
            </w:r>
          </w:p>
          <w:p w14:paraId="626282F9" w14:textId="2485877B" w:rsidR="00391B97" w:rsidRDefault="00B51B04" w:rsidP="00391B97">
            <w:pPr>
              <w:shd w:val="clear" w:color="auto" w:fill="FFFFFF"/>
              <w:contextualSpacing/>
              <w:jc w:val="both"/>
            </w:pPr>
            <w:r>
              <w:t>9</w:t>
            </w:r>
            <w:r w:rsidR="00391B97">
              <w:t>.2. elektroniskās darba laika uzskaites sistēmā iekļauto darba devēja datu lauku:</w:t>
            </w:r>
          </w:p>
          <w:p w14:paraId="784780D7" w14:textId="13937A28" w:rsidR="00391B97" w:rsidRDefault="00B51B04" w:rsidP="00391B97">
            <w:pPr>
              <w:shd w:val="clear" w:color="auto" w:fill="FFFFFF"/>
              <w:contextualSpacing/>
              <w:jc w:val="both"/>
            </w:pPr>
            <w:r>
              <w:t>9</w:t>
            </w:r>
            <w:r w:rsidR="00391B97">
              <w:t>.2.1. darba devēja vienotais reģistrācijas numurs – ar Uzņēmumu reģistra datiem, izņemot ārvalstī reģistrēto juridisko personu;</w:t>
            </w:r>
          </w:p>
          <w:p w14:paraId="6A26B801" w14:textId="00B58926" w:rsidR="00391B97" w:rsidRDefault="00B51B04" w:rsidP="00391B97">
            <w:pPr>
              <w:ind w:right="57"/>
              <w:contextualSpacing/>
              <w:jc w:val="both"/>
            </w:pPr>
            <w:r>
              <w:lastRenderedPageBreak/>
              <w:t>9</w:t>
            </w:r>
            <w:r w:rsidR="00391B97">
              <w:t>.2.2. darba devēja vārds un uzvārds, ja darba devējs ir fiziska persona – ar Iedzīvotāju reģistra datiem, izņemot ārvalstniekus.</w:t>
            </w:r>
          </w:p>
          <w:p w14:paraId="6A6E00F6" w14:textId="77777777" w:rsidR="00391B97" w:rsidRDefault="00391B97" w:rsidP="00391B97">
            <w:pPr>
              <w:ind w:right="57"/>
              <w:contextualSpacing/>
              <w:jc w:val="both"/>
            </w:pPr>
          </w:p>
          <w:p w14:paraId="1927CE36" w14:textId="77777777" w:rsidR="00391B97" w:rsidRDefault="00391B97" w:rsidP="00391B97">
            <w:pPr>
              <w:ind w:right="57"/>
              <w:contextualSpacing/>
              <w:jc w:val="both"/>
            </w:pPr>
          </w:p>
          <w:p w14:paraId="271EB639" w14:textId="77777777" w:rsidR="00391B97" w:rsidRDefault="00391B97" w:rsidP="00391B97">
            <w:pPr>
              <w:ind w:right="57"/>
              <w:contextualSpacing/>
              <w:jc w:val="both"/>
            </w:pPr>
          </w:p>
          <w:p w14:paraId="604182EB" w14:textId="77777777" w:rsidR="00391B97" w:rsidRDefault="00391B97" w:rsidP="00391B97">
            <w:pPr>
              <w:ind w:right="57"/>
              <w:contextualSpacing/>
              <w:jc w:val="both"/>
            </w:pPr>
          </w:p>
          <w:p w14:paraId="4C4865E2" w14:textId="77777777" w:rsidR="00391B97" w:rsidRDefault="00391B97" w:rsidP="00391B97">
            <w:pPr>
              <w:ind w:right="57"/>
              <w:contextualSpacing/>
              <w:jc w:val="both"/>
            </w:pPr>
          </w:p>
          <w:p w14:paraId="10797A41" w14:textId="77777777" w:rsidR="00391B97" w:rsidRDefault="00391B97" w:rsidP="00391B97">
            <w:pPr>
              <w:ind w:right="57"/>
              <w:contextualSpacing/>
              <w:jc w:val="both"/>
            </w:pPr>
          </w:p>
          <w:p w14:paraId="1F53B95A" w14:textId="77777777" w:rsidR="00391B97" w:rsidRDefault="00391B97" w:rsidP="00391B97">
            <w:pPr>
              <w:ind w:right="57"/>
              <w:contextualSpacing/>
              <w:jc w:val="both"/>
            </w:pPr>
          </w:p>
          <w:p w14:paraId="69FA6BD6" w14:textId="77777777" w:rsidR="00391B97" w:rsidRDefault="00391B97" w:rsidP="00391B97">
            <w:pPr>
              <w:ind w:right="57"/>
              <w:contextualSpacing/>
              <w:jc w:val="both"/>
            </w:pPr>
          </w:p>
          <w:p w14:paraId="4707EF25" w14:textId="77777777" w:rsidR="00391B97" w:rsidRDefault="00391B97" w:rsidP="00391B97">
            <w:pPr>
              <w:ind w:right="57"/>
              <w:contextualSpacing/>
              <w:jc w:val="both"/>
            </w:pPr>
          </w:p>
          <w:p w14:paraId="166E48B1" w14:textId="77777777" w:rsidR="00391B97" w:rsidRDefault="00391B97" w:rsidP="00391B97">
            <w:pPr>
              <w:ind w:right="57"/>
              <w:contextualSpacing/>
              <w:jc w:val="both"/>
            </w:pPr>
          </w:p>
          <w:p w14:paraId="1FE77782" w14:textId="77777777" w:rsidR="00391B97" w:rsidRDefault="00391B97" w:rsidP="00391B97">
            <w:pPr>
              <w:ind w:right="57"/>
              <w:contextualSpacing/>
              <w:jc w:val="both"/>
            </w:pPr>
          </w:p>
          <w:p w14:paraId="0DE07B77" w14:textId="77777777" w:rsidR="00391B97" w:rsidRDefault="00391B97" w:rsidP="00391B97">
            <w:pPr>
              <w:ind w:right="57"/>
              <w:contextualSpacing/>
              <w:jc w:val="both"/>
            </w:pPr>
          </w:p>
          <w:p w14:paraId="77ED3169" w14:textId="77777777" w:rsidR="00391B97" w:rsidRDefault="00391B97" w:rsidP="00391B97">
            <w:pPr>
              <w:ind w:right="57"/>
              <w:contextualSpacing/>
              <w:jc w:val="both"/>
            </w:pPr>
          </w:p>
          <w:p w14:paraId="618D774A" w14:textId="77777777" w:rsidR="00391B97" w:rsidRDefault="00391B97" w:rsidP="00391B97">
            <w:pPr>
              <w:ind w:right="57"/>
              <w:contextualSpacing/>
              <w:jc w:val="both"/>
            </w:pPr>
          </w:p>
          <w:p w14:paraId="0B262C53" w14:textId="77777777" w:rsidR="00391B97" w:rsidRDefault="00391B97" w:rsidP="00391B97">
            <w:pPr>
              <w:ind w:right="57"/>
              <w:contextualSpacing/>
              <w:jc w:val="both"/>
            </w:pPr>
          </w:p>
          <w:p w14:paraId="527F28D8" w14:textId="77777777" w:rsidR="00391B97" w:rsidRDefault="00391B97" w:rsidP="00391B97">
            <w:pPr>
              <w:ind w:right="57"/>
              <w:contextualSpacing/>
              <w:jc w:val="both"/>
            </w:pPr>
          </w:p>
          <w:p w14:paraId="734EC540" w14:textId="77777777" w:rsidR="00391B97" w:rsidRDefault="00391B97" w:rsidP="00391B97">
            <w:pPr>
              <w:ind w:right="57"/>
              <w:contextualSpacing/>
              <w:jc w:val="both"/>
            </w:pPr>
          </w:p>
          <w:p w14:paraId="2FF21FD6" w14:textId="77777777" w:rsidR="00391B97" w:rsidRDefault="00391B97" w:rsidP="00391B97">
            <w:pPr>
              <w:ind w:right="57"/>
              <w:contextualSpacing/>
              <w:jc w:val="both"/>
            </w:pPr>
          </w:p>
          <w:p w14:paraId="76BC2AAF" w14:textId="77777777" w:rsidR="00391B97" w:rsidRDefault="00391B97" w:rsidP="00391B97">
            <w:pPr>
              <w:ind w:right="57"/>
              <w:contextualSpacing/>
              <w:jc w:val="both"/>
            </w:pPr>
          </w:p>
          <w:p w14:paraId="2BBE6287" w14:textId="77777777" w:rsidR="00391B97" w:rsidRDefault="00391B97" w:rsidP="00391B97">
            <w:pPr>
              <w:ind w:right="57"/>
              <w:contextualSpacing/>
              <w:jc w:val="both"/>
            </w:pPr>
          </w:p>
          <w:p w14:paraId="41D69EB3" w14:textId="77777777" w:rsidR="00391B97" w:rsidRDefault="00391B97" w:rsidP="00391B97">
            <w:pPr>
              <w:ind w:right="57"/>
              <w:contextualSpacing/>
              <w:jc w:val="both"/>
            </w:pPr>
          </w:p>
          <w:p w14:paraId="619301B5" w14:textId="77777777" w:rsidR="00391B97" w:rsidRDefault="00391B97" w:rsidP="00391B97">
            <w:pPr>
              <w:ind w:right="57"/>
              <w:contextualSpacing/>
              <w:jc w:val="both"/>
            </w:pPr>
          </w:p>
          <w:p w14:paraId="5FB55DEF" w14:textId="77777777" w:rsidR="00391B97" w:rsidRDefault="00391B97" w:rsidP="00391B97">
            <w:pPr>
              <w:ind w:right="57"/>
              <w:contextualSpacing/>
              <w:jc w:val="both"/>
            </w:pPr>
          </w:p>
          <w:p w14:paraId="4BE18A37" w14:textId="77777777" w:rsidR="00391B97" w:rsidRDefault="00391B97" w:rsidP="00391B97">
            <w:pPr>
              <w:ind w:right="57"/>
              <w:contextualSpacing/>
              <w:jc w:val="both"/>
            </w:pPr>
          </w:p>
          <w:p w14:paraId="26804B81" w14:textId="77777777" w:rsidR="00391B97" w:rsidRDefault="00391B97" w:rsidP="00391B97">
            <w:pPr>
              <w:ind w:right="57"/>
              <w:contextualSpacing/>
              <w:jc w:val="both"/>
            </w:pPr>
          </w:p>
          <w:p w14:paraId="22DD6071" w14:textId="77777777" w:rsidR="00391B97" w:rsidRDefault="00391B97" w:rsidP="00391B97">
            <w:pPr>
              <w:ind w:right="57"/>
              <w:contextualSpacing/>
              <w:jc w:val="both"/>
            </w:pPr>
          </w:p>
          <w:p w14:paraId="21C99AF5" w14:textId="77777777" w:rsidR="00391B97" w:rsidRDefault="00391B97" w:rsidP="00391B97">
            <w:pPr>
              <w:ind w:right="57"/>
              <w:contextualSpacing/>
              <w:jc w:val="both"/>
            </w:pPr>
          </w:p>
          <w:p w14:paraId="4E4A5C8E" w14:textId="77777777" w:rsidR="00391B97" w:rsidRDefault="00391B97" w:rsidP="00391B97">
            <w:pPr>
              <w:ind w:right="57"/>
              <w:contextualSpacing/>
              <w:jc w:val="both"/>
            </w:pPr>
          </w:p>
          <w:p w14:paraId="15CD8C3B" w14:textId="77777777" w:rsidR="00391B97" w:rsidRDefault="00391B97" w:rsidP="00391B97">
            <w:pPr>
              <w:ind w:right="57"/>
              <w:contextualSpacing/>
              <w:jc w:val="both"/>
            </w:pPr>
          </w:p>
          <w:p w14:paraId="09896258" w14:textId="77777777" w:rsidR="00391B97" w:rsidRDefault="00391B97" w:rsidP="00391B97">
            <w:pPr>
              <w:ind w:right="57"/>
              <w:contextualSpacing/>
              <w:jc w:val="both"/>
            </w:pPr>
          </w:p>
          <w:p w14:paraId="768E7234" w14:textId="77777777" w:rsidR="00391B97" w:rsidRDefault="00391B97" w:rsidP="00391B97">
            <w:pPr>
              <w:ind w:right="57"/>
              <w:contextualSpacing/>
              <w:jc w:val="both"/>
            </w:pPr>
          </w:p>
          <w:p w14:paraId="51C0237C" w14:textId="77777777" w:rsidR="00391B97" w:rsidRDefault="00391B97" w:rsidP="00391B97">
            <w:pPr>
              <w:ind w:right="57"/>
              <w:contextualSpacing/>
              <w:jc w:val="both"/>
            </w:pPr>
          </w:p>
          <w:p w14:paraId="531E29C8" w14:textId="77777777" w:rsidR="00391B97" w:rsidRDefault="00391B97" w:rsidP="00391B97">
            <w:pPr>
              <w:ind w:right="57"/>
              <w:contextualSpacing/>
              <w:jc w:val="both"/>
            </w:pPr>
          </w:p>
          <w:p w14:paraId="4735C069" w14:textId="77777777" w:rsidR="00391B97" w:rsidRDefault="00391B97" w:rsidP="00391B97">
            <w:pPr>
              <w:ind w:right="57"/>
              <w:contextualSpacing/>
              <w:jc w:val="both"/>
            </w:pPr>
          </w:p>
          <w:p w14:paraId="7423656A" w14:textId="77777777" w:rsidR="00391B97" w:rsidRDefault="00391B97" w:rsidP="00391B97">
            <w:pPr>
              <w:ind w:right="57"/>
              <w:contextualSpacing/>
              <w:jc w:val="both"/>
            </w:pPr>
          </w:p>
          <w:p w14:paraId="0CF69B95" w14:textId="77777777" w:rsidR="00391B97" w:rsidRDefault="00391B97" w:rsidP="00391B97">
            <w:pPr>
              <w:ind w:right="57"/>
              <w:contextualSpacing/>
              <w:jc w:val="both"/>
            </w:pPr>
          </w:p>
          <w:p w14:paraId="6BBB5135" w14:textId="77777777" w:rsidR="00391B97" w:rsidRDefault="00391B97" w:rsidP="00391B97">
            <w:pPr>
              <w:ind w:right="57"/>
              <w:contextualSpacing/>
              <w:jc w:val="both"/>
            </w:pPr>
          </w:p>
          <w:p w14:paraId="0C27534C" w14:textId="77777777" w:rsidR="00391B97" w:rsidRDefault="00391B97" w:rsidP="00391B97">
            <w:pPr>
              <w:ind w:right="57"/>
              <w:contextualSpacing/>
              <w:jc w:val="both"/>
            </w:pPr>
          </w:p>
          <w:p w14:paraId="5BB33398" w14:textId="77777777" w:rsidR="00391B97" w:rsidRDefault="00391B97" w:rsidP="00391B97">
            <w:pPr>
              <w:ind w:right="57"/>
              <w:contextualSpacing/>
              <w:jc w:val="both"/>
            </w:pPr>
          </w:p>
          <w:p w14:paraId="04CF35C6" w14:textId="77777777" w:rsidR="00391B97" w:rsidRDefault="00391B97" w:rsidP="00391B97">
            <w:pPr>
              <w:ind w:right="57"/>
              <w:contextualSpacing/>
              <w:jc w:val="both"/>
            </w:pPr>
          </w:p>
          <w:p w14:paraId="1C4EA175" w14:textId="77777777" w:rsidR="00391B97" w:rsidRDefault="00391B97" w:rsidP="00391B97">
            <w:pPr>
              <w:ind w:right="57"/>
              <w:contextualSpacing/>
              <w:jc w:val="both"/>
            </w:pPr>
          </w:p>
          <w:p w14:paraId="0F94C5A5" w14:textId="77777777" w:rsidR="00391B97" w:rsidRDefault="00391B97" w:rsidP="00391B97">
            <w:pPr>
              <w:ind w:right="57"/>
              <w:contextualSpacing/>
              <w:jc w:val="both"/>
            </w:pPr>
          </w:p>
          <w:p w14:paraId="596F1100" w14:textId="77777777" w:rsidR="00391B97" w:rsidRDefault="00391B97" w:rsidP="00391B97">
            <w:pPr>
              <w:ind w:right="57"/>
              <w:contextualSpacing/>
              <w:jc w:val="both"/>
            </w:pPr>
          </w:p>
          <w:p w14:paraId="14EC0079" w14:textId="77777777" w:rsidR="00391B97" w:rsidRDefault="00391B97" w:rsidP="00391B97">
            <w:pPr>
              <w:ind w:right="57"/>
              <w:contextualSpacing/>
              <w:jc w:val="both"/>
            </w:pPr>
          </w:p>
          <w:p w14:paraId="3CDAE2C5" w14:textId="77777777" w:rsidR="00391B97" w:rsidRDefault="00391B97" w:rsidP="00391B97">
            <w:pPr>
              <w:ind w:right="57"/>
              <w:contextualSpacing/>
              <w:jc w:val="both"/>
            </w:pPr>
          </w:p>
          <w:p w14:paraId="343A7DFA" w14:textId="77777777" w:rsidR="00391B97" w:rsidRDefault="00391B97" w:rsidP="00391B97">
            <w:pPr>
              <w:ind w:right="57"/>
              <w:contextualSpacing/>
              <w:jc w:val="both"/>
            </w:pPr>
          </w:p>
          <w:p w14:paraId="42FFB490" w14:textId="77777777" w:rsidR="00391B97" w:rsidRDefault="00391B97" w:rsidP="00391B97">
            <w:pPr>
              <w:ind w:right="57"/>
              <w:contextualSpacing/>
              <w:jc w:val="both"/>
            </w:pPr>
          </w:p>
          <w:p w14:paraId="66BEE2DC" w14:textId="77777777" w:rsidR="00391B97" w:rsidRDefault="00391B97" w:rsidP="00391B97">
            <w:pPr>
              <w:ind w:right="57"/>
              <w:contextualSpacing/>
              <w:jc w:val="both"/>
            </w:pPr>
          </w:p>
          <w:p w14:paraId="4411F700" w14:textId="77777777" w:rsidR="00391B97" w:rsidRDefault="00391B97" w:rsidP="00391B97">
            <w:pPr>
              <w:ind w:right="57"/>
              <w:contextualSpacing/>
              <w:jc w:val="both"/>
            </w:pPr>
          </w:p>
          <w:p w14:paraId="003D961E" w14:textId="77777777" w:rsidR="00391B97" w:rsidRDefault="00391B97" w:rsidP="00391B97">
            <w:pPr>
              <w:ind w:right="57"/>
              <w:contextualSpacing/>
              <w:jc w:val="both"/>
            </w:pPr>
          </w:p>
          <w:p w14:paraId="55B4AB94" w14:textId="77777777" w:rsidR="00391B97" w:rsidRDefault="00391B97" w:rsidP="00391B97">
            <w:pPr>
              <w:ind w:right="57"/>
              <w:contextualSpacing/>
              <w:jc w:val="both"/>
            </w:pPr>
          </w:p>
          <w:p w14:paraId="0F272CD4" w14:textId="77777777" w:rsidR="00391B97" w:rsidRDefault="00391B97" w:rsidP="00391B97">
            <w:pPr>
              <w:ind w:right="57"/>
              <w:contextualSpacing/>
              <w:jc w:val="both"/>
            </w:pPr>
          </w:p>
          <w:p w14:paraId="6CEF7DA1" w14:textId="77777777" w:rsidR="00391B97" w:rsidRDefault="00391B97" w:rsidP="00391B97">
            <w:pPr>
              <w:ind w:right="57"/>
              <w:contextualSpacing/>
              <w:jc w:val="both"/>
            </w:pPr>
          </w:p>
          <w:p w14:paraId="3AB387AB" w14:textId="77777777" w:rsidR="00391B97" w:rsidRDefault="00391B97" w:rsidP="00391B97">
            <w:pPr>
              <w:ind w:right="57"/>
              <w:contextualSpacing/>
              <w:jc w:val="both"/>
            </w:pPr>
          </w:p>
          <w:p w14:paraId="14688078" w14:textId="77777777" w:rsidR="00391B97" w:rsidRDefault="00391B97" w:rsidP="00391B97">
            <w:pPr>
              <w:ind w:right="57"/>
              <w:contextualSpacing/>
              <w:jc w:val="both"/>
            </w:pPr>
          </w:p>
          <w:p w14:paraId="08152ACD" w14:textId="77777777" w:rsidR="00391B97" w:rsidRDefault="00391B97" w:rsidP="00391B97">
            <w:pPr>
              <w:ind w:right="57"/>
              <w:contextualSpacing/>
              <w:jc w:val="both"/>
            </w:pPr>
          </w:p>
          <w:p w14:paraId="2F17BE95" w14:textId="77777777" w:rsidR="00391B97" w:rsidRDefault="00391B97" w:rsidP="00391B97">
            <w:pPr>
              <w:ind w:right="57"/>
              <w:contextualSpacing/>
              <w:jc w:val="both"/>
            </w:pPr>
          </w:p>
          <w:p w14:paraId="3CF7383D" w14:textId="77777777" w:rsidR="00391B97" w:rsidRDefault="00391B97" w:rsidP="00391B97">
            <w:pPr>
              <w:ind w:right="57"/>
              <w:contextualSpacing/>
              <w:jc w:val="both"/>
            </w:pPr>
          </w:p>
          <w:p w14:paraId="73355B64" w14:textId="77777777" w:rsidR="00391B97" w:rsidRDefault="00391B97" w:rsidP="00391B97">
            <w:pPr>
              <w:ind w:right="57"/>
              <w:contextualSpacing/>
              <w:jc w:val="both"/>
            </w:pPr>
          </w:p>
          <w:p w14:paraId="6100065C" w14:textId="77777777" w:rsidR="00391B97" w:rsidRDefault="00391B97" w:rsidP="00391B97">
            <w:pPr>
              <w:ind w:right="57"/>
              <w:contextualSpacing/>
              <w:jc w:val="both"/>
            </w:pPr>
          </w:p>
          <w:p w14:paraId="5900DB26" w14:textId="77777777" w:rsidR="00391B97" w:rsidRDefault="00391B97" w:rsidP="00391B97">
            <w:pPr>
              <w:ind w:right="57"/>
              <w:contextualSpacing/>
              <w:jc w:val="both"/>
            </w:pPr>
          </w:p>
          <w:p w14:paraId="10E437F2" w14:textId="77777777" w:rsidR="00391B97" w:rsidRDefault="00391B97" w:rsidP="00391B97">
            <w:pPr>
              <w:ind w:right="57"/>
              <w:contextualSpacing/>
              <w:jc w:val="both"/>
            </w:pPr>
          </w:p>
          <w:p w14:paraId="1E42EB0D" w14:textId="77777777" w:rsidR="00391B97" w:rsidRDefault="00391B97" w:rsidP="00391B97">
            <w:pPr>
              <w:ind w:right="57"/>
              <w:contextualSpacing/>
              <w:jc w:val="both"/>
            </w:pPr>
          </w:p>
          <w:p w14:paraId="084004AD" w14:textId="77777777" w:rsidR="00391B97" w:rsidRDefault="00391B97" w:rsidP="00391B97">
            <w:pPr>
              <w:ind w:right="57"/>
              <w:contextualSpacing/>
              <w:jc w:val="both"/>
            </w:pPr>
          </w:p>
          <w:p w14:paraId="1B00281B" w14:textId="77777777" w:rsidR="00391B97" w:rsidRDefault="00391B97" w:rsidP="00391B97">
            <w:pPr>
              <w:ind w:right="57"/>
              <w:contextualSpacing/>
              <w:jc w:val="both"/>
            </w:pPr>
          </w:p>
          <w:p w14:paraId="700F63AE" w14:textId="77777777" w:rsidR="00391B97" w:rsidRDefault="00391B97" w:rsidP="00391B97">
            <w:pPr>
              <w:ind w:right="57"/>
              <w:contextualSpacing/>
              <w:jc w:val="both"/>
            </w:pPr>
          </w:p>
          <w:p w14:paraId="196FFC2E" w14:textId="77777777" w:rsidR="00391B97" w:rsidRDefault="00391B97" w:rsidP="00391B97">
            <w:pPr>
              <w:ind w:right="57"/>
              <w:contextualSpacing/>
              <w:jc w:val="both"/>
            </w:pPr>
          </w:p>
          <w:p w14:paraId="26788A4C" w14:textId="59B93727" w:rsidR="006D6DFF" w:rsidRPr="00433448" w:rsidRDefault="006D6DFF" w:rsidP="00391B97">
            <w:pPr>
              <w:ind w:right="57"/>
              <w:contextualSpacing/>
              <w:jc w:val="both"/>
            </w:pPr>
          </w:p>
        </w:tc>
      </w:tr>
      <w:tr w:rsidR="006D6DFF" w14:paraId="3FCCEC62" w14:textId="77777777" w:rsidTr="00B77CEA">
        <w:tc>
          <w:tcPr>
            <w:tcW w:w="708" w:type="dxa"/>
            <w:tcBorders>
              <w:top w:val="single" w:sz="6" w:space="0" w:color="000000"/>
              <w:left w:val="single" w:sz="6" w:space="0" w:color="000000"/>
              <w:bottom w:val="single" w:sz="6" w:space="0" w:color="000000"/>
              <w:right w:val="single" w:sz="6" w:space="0" w:color="000000"/>
            </w:tcBorders>
          </w:tcPr>
          <w:p w14:paraId="18B318BD" w14:textId="6C9F14E7" w:rsidR="006D6DFF" w:rsidRPr="008A36C9" w:rsidRDefault="00825895" w:rsidP="00B77CEA">
            <w:pPr>
              <w:pStyle w:val="naisc"/>
              <w:spacing w:before="0" w:after="0"/>
              <w:rPr>
                <w:sz w:val="20"/>
                <w:szCs w:val="20"/>
              </w:rPr>
            </w:pPr>
            <w:bookmarkStart w:id="1" w:name="_Hlk23777632"/>
            <w:r>
              <w:rPr>
                <w:sz w:val="20"/>
                <w:szCs w:val="20"/>
              </w:rPr>
              <w:lastRenderedPageBreak/>
              <w:t>2.</w:t>
            </w:r>
          </w:p>
        </w:tc>
        <w:tc>
          <w:tcPr>
            <w:tcW w:w="3086" w:type="dxa"/>
            <w:tcBorders>
              <w:top w:val="single" w:sz="6" w:space="0" w:color="000000"/>
              <w:left w:val="single" w:sz="6" w:space="0" w:color="000000"/>
              <w:bottom w:val="single" w:sz="6" w:space="0" w:color="000000"/>
              <w:right w:val="single" w:sz="6" w:space="0" w:color="000000"/>
            </w:tcBorders>
          </w:tcPr>
          <w:p w14:paraId="29C8C15C" w14:textId="1EA20C61" w:rsidR="006D6DFF" w:rsidRPr="00A0343E" w:rsidRDefault="00A0343E" w:rsidP="00391B97">
            <w:pPr>
              <w:pStyle w:val="naisc"/>
              <w:spacing w:before="0" w:after="0"/>
              <w:ind w:firstLine="720"/>
              <w:jc w:val="both"/>
            </w:pPr>
            <w:r w:rsidRPr="00A0343E">
              <w:t>1</w:t>
            </w:r>
            <w:r w:rsidR="00C8251B">
              <w:t>6</w:t>
            </w:r>
            <w:r w:rsidRPr="00A0343E">
              <w:t>. Elektroniskās darba laika uzskaites sistēma nodrošina visu elektroniskās darba laika uzskaites sistēmas lietotāja veikto darbību saglabāšanu auditācijas pierakstos.</w:t>
            </w:r>
          </w:p>
        </w:tc>
        <w:tc>
          <w:tcPr>
            <w:tcW w:w="3118" w:type="dxa"/>
            <w:tcBorders>
              <w:top w:val="single" w:sz="6" w:space="0" w:color="000000"/>
              <w:left w:val="single" w:sz="6" w:space="0" w:color="000000"/>
              <w:bottom w:val="single" w:sz="6" w:space="0" w:color="000000"/>
              <w:right w:val="single" w:sz="6" w:space="0" w:color="000000"/>
            </w:tcBorders>
          </w:tcPr>
          <w:p w14:paraId="2798FBC9" w14:textId="77777777" w:rsidR="00391B97" w:rsidRDefault="00391B97" w:rsidP="00391B97">
            <w:pPr>
              <w:ind w:right="57"/>
              <w:contextualSpacing/>
              <w:jc w:val="both"/>
              <w:rPr>
                <w:b/>
                <w:u w:val="single"/>
              </w:rPr>
            </w:pPr>
            <w:r w:rsidRPr="00E957C0">
              <w:rPr>
                <w:b/>
                <w:u w:val="single"/>
              </w:rPr>
              <w:t>Latvijas Būvuzņēmēju partnerība</w:t>
            </w:r>
          </w:p>
          <w:p w14:paraId="330010C8" w14:textId="69EA9EED" w:rsidR="00391B97" w:rsidRPr="00F90B2F" w:rsidRDefault="00391B97" w:rsidP="00391B97">
            <w:pPr>
              <w:spacing w:after="160" w:line="259" w:lineRule="auto"/>
              <w:contextualSpacing/>
              <w:jc w:val="both"/>
              <w:rPr>
                <w:rFonts w:eastAsia="Calibri"/>
                <w:b/>
                <w:bCs/>
                <w:lang w:eastAsia="en-US"/>
              </w:rPr>
            </w:pPr>
            <w:r w:rsidRPr="00F90B2F">
              <w:rPr>
                <w:rFonts w:eastAsia="Calibri"/>
                <w:b/>
                <w:bCs/>
                <w:lang w:eastAsia="en-US"/>
              </w:rPr>
              <w:t>EDLUS auditācijas pierakstu veidošana, uzglabāšana un izsniegšana</w:t>
            </w:r>
          </w:p>
          <w:p w14:paraId="24909C6E" w14:textId="77777777" w:rsidR="00391B97" w:rsidRPr="00F90B2F" w:rsidRDefault="00391B97" w:rsidP="00391B97">
            <w:pPr>
              <w:spacing w:after="160"/>
              <w:ind w:left="567"/>
              <w:contextualSpacing/>
              <w:jc w:val="both"/>
              <w:rPr>
                <w:rFonts w:eastAsia="Calibri"/>
                <w:b/>
                <w:bCs/>
                <w:lang w:eastAsia="en-US"/>
              </w:rPr>
            </w:pPr>
          </w:p>
          <w:p w14:paraId="5ACDDE48" w14:textId="6A132BFA" w:rsidR="00391B97" w:rsidRPr="00F90B2F" w:rsidRDefault="00391B97" w:rsidP="00391B97">
            <w:pPr>
              <w:spacing w:after="160" w:line="259" w:lineRule="auto"/>
              <w:contextualSpacing/>
              <w:jc w:val="both"/>
              <w:rPr>
                <w:rFonts w:eastAsia="Calibri"/>
                <w:lang w:eastAsia="en-US"/>
              </w:rPr>
            </w:pPr>
            <w:r w:rsidRPr="00F90B2F">
              <w:rPr>
                <w:rFonts w:eastAsia="Calibri"/>
                <w:lang w:eastAsia="en-US"/>
              </w:rPr>
              <w:t xml:space="preserve">VEDLUDB noteikumu 16. punktā ir norādīts, ka EDLUS nodrošina visu EDLUS lietotāja veikto darbību saglabāšanu auditācijas pierakstos. Vēršam uzmanību uz to, ka sākotnēji, ieviešot EDLUS, Likumā tika noteiktas tikai minimālās prasības attiecībā uz EDLUS uzkrājamiem datiem, IT risinājumu un auditācijas pierakstu veidošanu. Divu gadu laikā kopš ir ieviests EDLUS, sistēmas izstrādātāji EDLUS ir uzlabojuši un iekļāvuši tajās arī papildus IT risinājumus, kas nav prasīti Likumā, bet kas funkcionāli ir ērti lietojami uzņēmumu vajadzībām. Ja VEDLUDB noteikumu 16. punkts stāsies spēkā piedāvātajā redakcijā, prasības uz auditācijas </w:t>
            </w:r>
            <w:r w:rsidRPr="00F90B2F">
              <w:rPr>
                <w:rFonts w:eastAsia="Calibri"/>
                <w:lang w:eastAsia="en-US"/>
              </w:rPr>
              <w:lastRenderedPageBreak/>
              <w:t xml:space="preserve">pierakstu veidošanu tiks attiecinātas uz visu EDLUS funkcionalitāti, tai skaitā arī uz to, kas nav prasīta Likumā un kas neietekmē EDLUS datu integritāti. </w:t>
            </w:r>
          </w:p>
          <w:p w14:paraId="26D56472" w14:textId="77777777" w:rsidR="00391B97" w:rsidRPr="00F90B2F" w:rsidRDefault="00391B97" w:rsidP="00391B97">
            <w:pPr>
              <w:ind w:left="426"/>
              <w:contextualSpacing/>
              <w:jc w:val="both"/>
              <w:rPr>
                <w:rFonts w:eastAsia="Calibri"/>
                <w:lang w:eastAsia="en-US"/>
              </w:rPr>
            </w:pPr>
          </w:p>
          <w:p w14:paraId="637B3FA8" w14:textId="77777777" w:rsidR="00391B97" w:rsidRPr="00F90B2F" w:rsidRDefault="00391B97" w:rsidP="00391B97">
            <w:pPr>
              <w:contextualSpacing/>
              <w:jc w:val="both"/>
              <w:rPr>
                <w:rFonts w:eastAsia="Calibri"/>
                <w:lang w:eastAsia="en-US"/>
              </w:rPr>
            </w:pPr>
            <w:r w:rsidRPr="00F90B2F">
              <w:rPr>
                <w:rFonts w:eastAsia="Calibri"/>
                <w:lang w:eastAsia="en-US"/>
              </w:rPr>
              <w:t xml:space="preserve">Papildus vēršam uzmanību uz to, ka 16. punktā ir minēts, ka auditācijas pieraksti ir jāveido par visām </w:t>
            </w:r>
            <w:r w:rsidRPr="00F90B2F">
              <w:rPr>
                <w:rFonts w:eastAsia="Calibri"/>
                <w:u w:val="single"/>
                <w:lang w:eastAsia="en-US"/>
              </w:rPr>
              <w:t>sistēmas lietotāja</w:t>
            </w:r>
            <w:r w:rsidRPr="00F90B2F">
              <w:rPr>
                <w:rFonts w:eastAsia="Calibri"/>
                <w:lang w:eastAsia="en-US"/>
              </w:rPr>
              <w:t xml:space="preserve"> darbībām, bet noteikumos nav definēts, kas noteikumu izpratnē tiek saprasts ar terminu – </w:t>
            </w:r>
            <w:r w:rsidRPr="00F90B2F">
              <w:rPr>
                <w:rFonts w:eastAsia="Calibri"/>
                <w:i/>
                <w:iCs/>
                <w:lang w:eastAsia="en-US"/>
              </w:rPr>
              <w:t>sistēmas lietotājs</w:t>
            </w:r>
            <w:r w:rsidRPr="00F90B2F">
              <w:rPr>
                <w:rFonts w:eastAsia="Calibri"/>
                <w:lang w:eastAsia="en-US"/>
              </w:rPr>
              <w:t>.</w:t>
            </w:r>
          </w:p>
          <w:p w14:paraId="0A45EC7F" w14:textId="77777777" w:rsidR="00391B97" w:rsidRPr="00F90B2F" w:rsidRDefault="00391B97" w:rsidP="00391B97">
            <w:pPr>
              <w:ind w:left="426"/>
              <w:contextualSpacing/>
              <w:jc w:val="both"/>
              <w:rPr>
                <w:rFonts w:eastAsia="Calibri"/>
                <w:lang w:eastAsia="en-US"/>
              </w:rPr>
            </w:pPr>
          </w:p>
          <w:p w14:paraId="15AEB0D4" w14:textId="378E7D28" w:rsidR="006D6DFF" w:rsidRDefault="00391B97" w:rsidP="00391B97">
            <w:pPr>
              <w:ind w:right="57"/>
              <w:contextualSpacing/>
              <w:jc w:val="both"/>
              <w:rPr>
                <w:b/>
                <w:u w:val="single"/>
              </w:rPr>
            </w:pPr>
            <w:r w:rsidRPr="00F90B2F">
              <w:rPr>
                <w:rFonts w:eastAsia="Calibri"/>
                <w:lang w:eastAsia="en-US"/>
              </w:rPr>
              <w:t>Ievērojot augstāk minēto, lūdzam precizēt VEDLUDB noteikumu 16. punktu un noteikt, ka auditācijas pierakstus jāveido tikai par darbībām EDLUS, kas ietekmē Likumā noteikto datu integritāti.</w:t>
            </w:r>
          </w:p>
        </w:tc>
        <w:tc>
          <w:tcPr>
            <w:tcW w:w="2977" w:type="dxa"/>
            <w:tcBorders>
              <w:top w:val="single" w:sz="6" w:space="0" w:color="000000"/>
              <w:left w:val="single" w:sz="6" w:space="0" w:color="000000"/>
              <w:bottom w:val="single" w:sz="6" w:space="0" w:color="000000"/>
              <w:right w:val="single" w:sz="6" w:space="0" w:color="000000"/>
            </w:tcBorders>
          </w:tcPr>
          <w:p w14:paraId="66FE9DFE" w14:textId="77777777" w:rsidR="006D6DFF" w:rsidRDefault="004C3CCC" w:rsidP="00A0343E">
            <w:pPr>
              <w:ind w:right="57"/>
              <w:contextualSpacing/>
              <w:jc w:val="center"/>
              <w:rPr>
                <w:b/>
              </w:rPr>
            </w:pPr>
            <w:r>
              <w:rPr>
                <w:b/>
              </w:rPr>
              <w:lastRenderedPageBreak/>
              <w:t xml:space="preserve">Daļēji </w:t>
            </w:r>
            <w:r w:rsidR="00391B97" w:rsidRPr="001E4D6A">
              <w:rPr>
                <w:b/>
              </w:rPr>
              <w:t>ņemts vērā</w:t>
            </w:r>
          </w:p>
          <w:p w14:paraId="0877362E" w14:textId="77777777" w:rsidR="006A6449" w:rsidRDefault="006A6449" w:rsidP="00A0343E">
            <w:pPr>
              <w:ind w:right="57"/>
              <w:contextualSpacing/>
              <w:jc w:val="center"/>
              <w:rPr>
                <w:b/>
              </w:rPr>
            </w:pPr>
          </w:p>
          <w:p w14:paraId="76413EB6" w14:textId="77777777" w:rsidR="006A6449" w:rsidRDefault="006A6449" w:rsidP="006A6449">
            <w:pPr>
              <w:ind w:right="57"/>
              <w:contextualSpacing/>
              <w:jc w:val="both"/>
            </w:pPr>
            <w:r>
              <w:t>Jo Likuma “Par nodokļiem un nodevām” 113.panta otrajā daļā noteikts, ka EDLUS izmanto programmatūru, ar kuru veic auditācijas pierakstus, reģistrējot datus par notikumiem sistēmā, t.sk., saskaņā ar Likuma “Par nodokļiem un nodevām” 113.panta ceturto daļu, arī notikumiem, kuros ietverta informācija par attiecīgajām korekcijām, tajā skaitā identificējoša informācija par korekcijas veicēju, korekcijas veikšanas datumu un laiku, veikto korekciju (dati dzēsti, laboti, mainīti vai papildināti) un koriģētajiem datiem (vērtība pirms un pēc labošanas vai mainīšanas).</w:t>
            </w:r>
          </w:p>
          <w:p w14:paraId="69C276A7" w14:textId="510002C6" w:rsidR="006A6449" w:rsidRPr="00844A51" w:rsidRDefault="006A6449" w:rsidP="00A0343E">
            <w:pPr>
              <w:ind w:right="57"/>
              <w:contextualSpacing/>
              <w:jc w:val="center"/>
              <w:rPr>
                <w:b/>
                <w:highlight w:val="red"/>
              </w:rPr>
            </w:pPr>
            <w:bookmarkStart w:id="2" w:name="_GoBack"/>
            <w:bookmarkEnd w:id="2"/>
          </w:p>
        </w:tc>
        <w:tc>
          <w:tcPr>
            <w:tcW w:w="2459" w:type="dxa"/>
            <w:tcBorders>
              <w:top w:val="single" w:sz="4" w:space="0" w:color="auto"/>
              <w:left w:val="single" w:sz="4" w:space="0" w:color="auto"/>
              <w:bottom w:val="single" w:sz="4" w:space="0" w:color="auto"/>
              <w:right w:val="single" w:sz="4" w:space="0" w:color="auto"/>
            </w:tcBorders>
          </w:tcPr>
          <w:p w14:paraId="599ACF4A" w14:textId="77777777" w:rsidR="007C5704" w:rsidRPr="007C5704" w:rsidRDefault="007C5704" w:rsidP="00DB3255">
            <w:pPr>
              <w:jc w:val="both"/>
              <w:rPr>
                <w:b/>
                <w:bCs/>
              </w:rPr>
            </w:pPr>
            <w:r w:rsidRPr="007C5704">
              <w:rPr>
                <w:b/>
                <w:bCs/>
              </w:rPr>
              <w:t xml:space="preserve">Elektroniskās saskaņošanas ietvaros iebildums tiek uzturēts. </w:t>
            </w:r>
          </w:p>
          <w:p w14:paraId="0A1DFA9E" w14:textId="4936E277" w:rsidR="00DB3255" w:rsidRPr="00DB3255" w:rsidRDefault="00DB3255" w:rsidP="00DB3255">
            <w:pPr>
              <w:jc w:val="both"/>
            </w:pPr>
            <w:r w:rsidRPr="00DB3255">
              <w:t xml:space="preserve">Partnerība turpina uzturēt iebildumu pret VEDLUDB noteikumu 18. punktā (sākotnēji 16. punkts) noteikto kārtību, ka EDLUS nodrošina visu EDLUS lietotāja veikto darbību saglabāšanu auditācijas pierakstos. Kā jau norādījām iepriekš, divu gadu laikā kopš ir ieviests EDLUS, sistēmas izstrādātāji EDLUS ir uzlabojuši un iekļāvuši tajās arī papildus IT risinājumus, kas nav prasīti Likumā, bet kas funkcionāli ir ērti lietojami uzņēmumu vajadzībām. Tāpat, lai uzlabotu EDLUS funkcionalitāti ārpus Likuma prasībām, EDLUS funkcionalitātes uzlabojumi ir paredzēti </w:t>
            </w:r>
            <w:r w:rsidRPr="00DB3255">
              <w:lastRenderedPageBreak/>
              <w:t>arī turpmāk. Līdz ar to, ņemot vērā piedāvāto VEDLUDB noteikumu redakciju, auditācijas pieraksti būtu jāveido arī par tādām darbībām, kam nav nekādas ietekmes uz Likumā</w:t>
            </w:r>
            <w:r w:rsidRPr="00DB3255">
              <w:rPr>
                <w:sz w:val="20"/>
                <w:szCs w:val="20"/>
              </w:rPr>
              <w:t xml:space="preserve"> </w:t>
            </w:r>
            <w:r w:rsidRPr="00DB3255">
              <w:t xml:space="preserve">noteikto EDLUS datu integritāti. Piemēram, tādas lietotāja darbības, kā būvlaukumā nodarbinātās personas fotogrāfijas ievietošana EDLUS, nodarbinātās personas izglītības un kvalifikācijas datu uzkrāšana, tādu datu ievadīšana EDLUS, kas nepieciešami, lai no sistēmas varētu veikt EDLUS reģistrācijas kartes </w:t>
            </w:r>
            <w:proofErr w:type="spellStart"/>
            <w:r w:rsidRPr="00DB3255">
              <w:t>apdruku</w:t>
            </w:r>
            <w:proofErr w:type="spellEnd"/>
            <w:r w:rsidRPr="00DB3255">
              <w:t xml:space="preserve"> un uz kartes būtu visa informācija, kas jānorāda uz būvnieku apliecībām, u.c. darbības.</w:t>
            </w:r>
          </w:p>
          <w:p w14:paraId="3B2441EF" w14:textId="77777777" w:rsidR="00DB3255" w:rsidRPr="00DB3255" w:rsidRDefault="00DB3255" w:rsidP="00DB3255">
            <w:pPr>
              <w:jc w:val="center"/>
            </w:pPr>
          </w:p>
          <w:p w14:paraId="7902530D" w14:textId="77777777" w:rsidR="00DB3255" w:rsidRPr="00DB3255" w:rsidRDefault="00DB3255" w:rsidP="00DB3255">
            <w:pPr>
              <w:jc w:val="both"/>
            </w:pPr>
            <w:r w:rsidRPr="00DB3255">
              <w:t xml:space="preserve">Ievērojot augstāk minēto, lūdzam </w:t>
            </w:r>
            <w:r w:rsidRPr="00DB3255">
              <w:lastRenderedPageBreak/>
              <w:t xml:space="preserve">precizēt VEDLUDB noteikumu 18. punktu un noteikt, ka auditācijas pierakstus jāveido tikai par darbībām EDLUS, kas ietekmē Likumā noteikto datu integritāti, tas ir, noteikt, ka EDLUS būtu jāauditē tādas darbības, kas ietekmē Likumā noteikto datu izveidošanu, grozīšanu un dzēšanu. Lai novērstu bažas par to, ka pastāvēs plašas interpretācijas iespējas attiecībā uz to, kādas EDLUS lietotāju darbības ir jāauditē, Likuma 110. pantā ir paredzēts veikt EDLUS ārējo drošības auditu, kura ietvaros pārbaudītāji sniegts atzinumu par EDLUS atbilstību normatīvo aktu prasībām, tai skaitā, vai EDLUS izpilda prasības par </w:t>
            </w:r>
            <w:r w:rsidRPr="00DB3255">
              <w:lastRenderedPageBreak/>
              <w:t xml:space="preserve">auditācijas pierakstu veikšanu. </w:t>
            </w:r>
          </w:p>
          <w:p w14:paraId="644EC300" w14:textId="77777777" w:rsidR="006D6DFF" w:rsidRPr="008A36C9" w:rsidRDefault="006D6DFF" w:rsidP="00B77CEA">
            <w:pPr>
              <w:jc w:val="center"/>
              <w:rPr>
                <w:sz w:val="20"/>
                <w:szCs w:val="20"/>
              </w:rPr>
            </w:pPr>
          </w:p>
        </w:tc>
        <w:tc>
          <w:tcPr>
            <w:tcW w:w="1920" w:type="dxa"/>
            <w:tcBorders>
              <w:top w:val="single" w:sz="4" w:space="0" w:color="auto"/>
              <w:left w:val="single" w:sz="4" w:space="0" w:color="auto"/>
              <w:bottom w:val="single" w:sz="4" w:space="0" w:color="auto"/>
            </w:tcBorders>
          </w:tcPr>
          <w:p w14:paraId="01D7D332" w14:textId="0656A1EC" w:rsidR="00F620A3" w:rsidRPr="00F620A3" w:rsidRDefault="00F620A3" w:rsidP="00A0343E">
            <w:pPr>
              <w:ind w:right="57"/>
              <w:contextualSpacing/>
              <w:jc w:val="both"/>
              <w:rPr>
                <w:bCs/>
                <w:color w:val="000000" w:themeColor="text1"/>
              </w:rPr>
            </w:pPr>
            <w:r w:rsidRPr="00F620A3">
              <w:rPr>
                <w:bCs/>
                <w:color w:val="000000" w:themeColor="text1"/>
              </w:rPr>
              <w:lastRenderedPageBreak/>
              <w:t>18.</w:t>
            </w:r>
            <w:r>
              <w:rPr>
                <w:bCs/>
                <w:color w:val="000000" w:themeColor="text1"/>
              </w:rPr>
              <w:t>E</w:t>
            </w:r>
            <w:r w:rsidRPr="00F620A3">
              <w:rPr>
                <w:bCs/>
                <w:color w:val="000000" w:themeColor="text1"/>
              </w:rPr>
              <w:t>lektroniskās darba laika uzskaites sistēma nodrošina visu elektroniskās darba laika uzskaites sistēmas lietotāja veikto darbību saglabāšanu auditācijas pierakstos.</w:t>
            </w:r>
          </w:p>
          <w:p w14:paraId="23E940B1" w14:textId="77777777" w:rsidR="00F620A3" w:rsidRPr="00F620A3" w:rsidRDefault="00F620A3" w:rsidP="00A0343E">
            <w:pPr>
              <w:ind w:right="57"/>
              <w:contextualSpacing/>
              <w:jc w:val="both"/>
              <w:rPr>
                <w:bCs/>
                <w:color w:val="000000" w:themeColor="text1"/>
              </w:rPr>
            </w:pPr>
          </w:p>
          <w:p w14:paraId="3C9BCB24" w14:textId="3F181983" w:rsidR="006D6DFF" w:rsidRPr="00433448" w:rsidRDefault="00391B97" w:rsidP="00A0343E">
            <w:pPr>
              <w:ind w:right="57"/>
              <w:contextualSpacing/>
              <w:jc w:val="both"/>
            </w:pPr>
            <w:r>
              <w:rPr>
                <w:b/>
                <w:color w:val="000000" w:themeColor="text1"/>
              </w:rPr>
              <w:t>N</w:t>
            </w:r>
            <w:r w:rsidRPr="004C4CAE">
              <w:rPr>
                <w:b/>
              </w:rPr>
              <w:t>oteikumu projektu sākotnējās ietekmes novērtējuma apvienotajā ziņojumā (anotācijā</w:t>
            </w:r>
            <w:r>
              <w:rPr>
                <w:b/>
              </w:rPr>
              <w:t>)</w:t>
            </w:r>
            <w:r>
              <w:rPr>
                <w:bCs/>
                <w:color w:val="000000" w:themeColor="text1"/>
              </w:rPr>
              <w:t xml:space="preserve"> papildināt 1</w:t>
            </w:r>
            <w:r w:rsidR="00E60476">
              <w:rPr>
                <w:bCs/>
                <w:color w:val="000000" w:themeColor="text1"/>
              </w:rPr>
              <w:t>2</w:t>
            </w:r>
            <w:r>
              <w:rPr>
                <w:bCs/>
                <w:color w:val="000000" w:themeColor="text1"/>
              </w:rPr>
              <w:t>.</w:t>
            </w:r>
            <w:r w:rsidRPr="00A80B4A">
              <w:rPr>
                <w:bCs/>
                <w:color w:val="000000" w:themeColor="text1"/>
              </w:rPr>
              <w:t>lpp</w:t>
            </w:r>
            <w:r>
              <w:rPr>
                <w:bCs/>
                <w:color w:val="000000" w:themeColor="text1"/>
              </w:rPr>
              <w:t>.</w:t>
            </w:r>
            <w:r w:rsidRPr="00A80B4A">
              <w:rPr>
                <w:bCs/>
                <w:color w:val="000000" w:themeColor="text1"/>
              </w:rPr>
              <w:t xml:space="preserve"> </w:t>
            </w:r>
            <w:r>
              <w:rPr>
                <w:bCs/>
                <w:color w:val="000000" w:themeColor="text1"/>
              </w:rPr>
              <w:t>4.</w:t>
            </w:r>
            <w:r w:rsidRPr="00A80B4A">
              <w:rPr>
                <w:bCs/>
                <w:color w:val="000000" w:themeColor="text1"/>
              </w:rPr>
              <w:t xml:space="preserve">rindkopā aiz vārdiem </w:t>
            </w:r>
            <w:r>
              <w:rPr>
                <w:bCs/>
                <w:color w:val="000000" w:themeColor="text1"/>
              </w:rPr>
              <w:t>“</w:t>
            </w:r>
            <w:r w:rsidRPr="00A80B4A">
              <w:rPr>
                <w:bCs/>
                <w:color w:val="000000" w:themeColor="text1"/>
              </w:rPr>
              <w:t>EDLUS lietotāja</w:t>
            </w:r>
            <w:r>
              <w:rPr>
                <w:bCs/>
                <w:color w:val="000000" w:themeColor="text1"/>
              </w:rPr>
              <w:t>” ar vārdiem</w:t>
            </w:r>
            <w:r w:rsidRPr="00A80B4A">
              <w:rPr>
                <w:b/>
                <w:bCs/>
                <w:color w:val="000000" w:themeColor="text1"/>
              </w:rPr>
              <w:t xml:space="preserve"> </w:t>
            </w:r>
            <w:r w:rsidRPr="006F06D7">
              <w:rPr>
                <w:bCs/>
                <w:color w:val="000000" w:themeColor="text1"/>
              </w:rPr>
              <w:t>“kuram pieš</w:t>
            </w:r>
            <w:r>
              <w:rPr>
                <w:bCs/>
                <w:color w:val="000000" w:themeColor="text1"/>
              </w:rPr>
              <w:t xml:space="preserve">ķirtas </w:t>
            </w:r>
            <w:r w:rsidRPr="006F06D7">
              <w:rPr>
                <w:bCs/>
                <w:color w:val="000000" w:themeColor="text1"/>
              </w:rPr>
              <w:t>ties</w:t>
            </w:r>
            <w:r>
              <w:rPr>
                <w:bCs/>
                <w:color w:val="000000" w:themeColor="text1"/>
              </w:rPr>
              <w:t>ības lietot EDLUS</w:t>
            </w:r>
            <w:r>
              <w:rPr>
                <w:b/>
                <w:bCs/>
                <w:color w:val="000000" w:themeColor="text1"/>
              </w:rPr>
              <w:t xml:space="preserve"> </w:t>
            </w:r>
            <w:r>
              <w:rPr>
                <w:bCs/>
                <w:color w:val="000000" w:themeColor="text1"/>
              </w:rPr>
              <w:t xml:space="preserve">(noteikumos - </w:t>
            </w:r>
            <w:r>
              <w:rPr>
                <w:bCs/>
                <w:color w:val="000000" w:themeColor="text1"/>
              </w:rPr>
              <w:lastRenderedPageBreak/>
              <w:t>s</w:t>
            </w:r>
            <w:r w:rsidRPr="00A80B4A">
              <w:rPr>
                <w:bCs/>
                <w:color w:val="000000" w:themeColor="text1"/>
              </w:rPr>
              <w:t>istēmas lietot</w:t>
            </w:r>
            <w:r>
              <w:rPr>
                <w:bCs/>
                <w:color w:val="000000" w:themeColor="text1"/>
              </w:rPr>
              <w:t>ājs)”.</w:t>
            </w:r>
          </w:p>
        </w:tc>
      </w:tr>
      <w:bookmarkEnd w:id="1"/>
      <w:tr w:rsidR="006D6DFF" w14:paraId="50D0994F" w14:textId="77777777" w:rsidTr="00B77CEA">
        <w:tc>
          <w:tcPr>
            <w:tcW w:w="708" w:type="dxa"/>
            <w:tcBorders>
              <w:top w:val="single" w:sz="6" w:space="0" w:color="000000"/>
              <w:left w:val="single" w:sz="6" w:space="0" w:color="000000"/>
              <w:bottom w:val="single" w:sz="6" w:space="0" w:color="000000"/>
              <w:right w:val="single" w:sz="6" w:space="0" w:color="000000"/>
            </w:tcBorders>
          </w:tcPr>
          <w:p w14:paraId="2E1E370A" w14:textId="50DFDC6D" w:rsidR="006D6DFF" w:rsidRPr="008A36C9" w:rsidRDefault="00825895" w:rsidP="00B77CEA">
            <w:pPr>
              <w:pStyle w:val="naisc"/>
              <w:spacing w:before="0" w:after="0"/>
              <w:rPr>
                <w:sz w:val="20"/>
                <w:szCs w:val="20"/>
              </w:rPr>
            </w:pPr>
            <w:r>
              <w:rPr>
                <w:sz w:val="20"/>
                <w:szCs w:val="20"/>
              </w:rPr>
              <w:lastRenderedPageBreak/>
              <w:t>3.</w:t>
            </w:r>
          </w:p>
        </w:tc>
        <w:tc>
          <w:tcPr>
            <w:tcW w:w="3086" w:type="dxa"/>
            <w:tcBorders>
              <w:top w:val="single" w:sz="6" w:space="0" w:color="000000"/>
              <w:left w:val="single" w:sz="6" w:space="0" w:color="000000"/>
              <w:bottom w:val="single" w:sz="6" w:space="0" w:color="000000"/>
              <w:right w:val="single" w:sz="6" w:space="0" w:color="000000"/>
            </w:tcBorders>
          </w:tcPr>
          <w:p w14:paraId="583256A5" w14:textId="40B1B7D9" w:rsidR="006D6DFF" w:rsidRPr="008A36C9" w:rsidRDefault="009322C6" w:rsidP="009322C6">
            <w:pPr>
              <w:pStyle w:val="naisc"/>
              <w:spacing w:before="0" w:after="0"/>
              <w:ind w:firstLine="720"/>
              <w:jc w:val="both"/>
              <w:rPr>
                <w:sz w:val="20"/>
                <w:szCs w:val="20"/>
              </w:rPr>
            </w:pPr>
            <w:r w:rsidRPr="005569E8">
              <w:rPr>
                <w:bCs/>
              </w:rPr>
              <w:t xml:space="preserve">20. Galvenais būvdarbu veicējs reizi saimnieciskā dienā no šo noteikumu 19. punktā norādītiem datiem aprēķina </w:t>
            </w:r>
            <w:proofErr w:type="spellStart"/>
            <w:r w:rsidRPr="005569E8">
              <w:rPr>
                <w:bCs/>
                <w:i/>
                <w:iCs/>
              </w:rPr>
              <w:t>Hash</w:t>
            </w:r>
            <w:proofErr w:type="spellEnd"/>
            <w:r w:rsidRPr="005569E8">
              <w:rPr>
                <w:bCs/>
              </w:rPr>
              <w:t xml:space="preserve"> kontrolsummu, kuru nodod vienotajā elektroniskās darba laika uzskaites datubāzē. Kontrolsummu aprēķina no auditācijas pierakstu informācijas kopuma, aprēķinā iekļaujot iepriekšējo aprēķināto </w:t>
            </w:r>
            <w:r w:rsidRPr="005569E8">
              <w:rPr>
                <w:bCs/>
                <w:i/>
                <w:iCs/>
              </w:rPr>
              <w:t>SHA</w:t>
            </w:r>
            <w:r w:rsidRPr="005569E8">
              <w:rPr>
                <w:bCs/>
              </w:rPr>
              <w:t xml:space="preserve"> kontrolsummu. </w:t>
            </w:r>
            <w:proofErr w:type="spellStart"/>
            <w:r w:rsidRPr="005569E8">
              <w:rPr>
                <w:bCs/>
                <w:i/>
                <w:iCs/>
              </w:rPr>
              <w:t>Hash</w:t>
            </w:r>
            <w:proofErr w:type="spellEnd"/>
            <w:r w:rsidRPr="005569E8">
              <w:rPr>
                <w:bCs/>
              </w:rPr>
              <w:t xml:space="preserve"> kontrolsummu aprēķina algoritms ir pārbaudāms un atkārtojams.</w:t>
            </w:r>
          </w:p>
        </w:tc>
        <w:tc>
          <w:tcPr>
            <w:tcW w:w="3118" w:type="dxa"/>
            <w:tcBorders>
              <w:top w:val="single" w:sz="6" w:space="0" w:color="000000"/>
              <w:left w:val="single" w:sz="6" w:space="0" w:color="000000"/>
              <w:bottom w:val="single" w:sz="6" w:space="0" w:color="000000"/>
              <w:right w:val="single" w:sz="6" w:space="0" w:color="000000"/>
            </w:tcBorders>
          </w:tcPr>
          <w:p w14:paraId="57DD75A5" w14:textId="77777777" w:rsidR="009322C6" w:rsidRDefault="009322C6" w:rsidP="009322C6">
            <w:pPr>
              <w:ind w:right="57"/>
              <w:contextualSpacing/>
              <w:jc w:val="both"/>
              <w:rPr>
                <w:b/>
                <w:u w:val="single"/>
              </w:rPr>
            </w:pPr>
            <w:r w:rsidRPr="00E957C0">
              <w:rPr>
                <w:b/>
                <w:u w:val="single"/>
              </w:rPr>
              <w:t>Latvijas Būvuzņēmēju partnerība</w:t>
            </w:r>
          </w:p>
          <w:p w14:paraId="65F71A06" w14:textId="018B5865" w:rsidR="009322C6" w:rsidRPr="00773EAE" w:rsidRDefault="009322C6" w:rsidP="009322C6">
            <w:pPr>
              <w:spacing w:after="160" w:line="259" w:lineRule="auto"/>
              <w:contextualSpacing/>
              <w:jc w:val="both"/>
              <w:rPr>
                <w:rFonts w:eastAsia="Calibri"/>
                <w:lang w:eastAsia="en-US"/>
              </w:rPr>
            </w:pPr>
            <w:r w:rsidRPr="00773EAE">
              <w:rPr>
                <w:rFonts w:eastAsia="Calibri"/>
                <w:lang w:eastAsia="en-US"/>
              </w:rPr>
              <w:t xml:space="preserve">VEDLUDB noteikumu 20. punktā noteikts, ka katru dienu jāaprēķina </w:t>
            </w:r>
            <w:proofErr w:type="spellStart"/>
            <w:r w:rsidRPr="00773EAE">
              <w:rPr>
                <w:rFonts w:eastAsia="Calibri"/>
                <w:lang w:eastAsia="en-US"/>
              </w:rPr>
              <w:t>Hash</w:t>
            </w:r>
            <w:proofErr w:type="spellEnd"/>
            <w:r w:rsidRPr="00773EAE">
              <w:rPr>
                <w:rFonts w:eastAsia="Calibri"/>
                <w:lang w:eastAsia="en-US"/>
              </w:rPr>
              <w:t xml:space="preserve"> kontrolsummu, kuru katru dienu jānodod VEDLUDB. Noteikums ir nesamērīgs pret sasniedzamo mērķi, radīs nepamatotas izmaksas, kā arī ir pretrunā Likuma 114. panta trešajā daļā noteiktajam, proti, ka EDLUS reģistrētos un uzkrātos datus, izņemot auditācijas pierakstus par iepriekšējo mēnesi, galvenais būvdarbu veicējs </w:t>
            </w:r>
            <w:r w:rsidRPr="00773EAE">
              <w:rPr>
                <w:rFonts w:eastAsia="Calibri"/>
                <w:u w:val="single"/>
                <w:lang w:eastAsia="en-US"/>
              </w:rPr>
              <w:t>līdz kārtējā mēneša 15. datumam nodod iekļaušanai VEDLUDB</w:t>
            </w:r>
            <w:r w:rsidRPr="00773EAE">
              <w:rPr>
                <w:rFonts w:eastAsia="Calibri"/>
                <w:lang w:eastAsia="en-US"/>
              </w:rPr>
              <w:t xml:space="preserve">. Lai gan Likumā nav noteikts, ka EDLUS ir jābūt nodrošinātam ar </w:t>
            </w:r>
            <w:r w:rsidRPr="00773EAE">
              <w:rPr>
                <w:rFonts w:eastAsia="Calibri"/>
                <w:u w:val="single"/>
                <w:lang w:eastAsia="en-US"/>
              </w:rPr>
              <w:t>patstāvīgu</w:t>
            </w:r>
            <w:r w:rsidRPr="00773EAE">
              <w:rPr>
                <w:rFonts w:eastAsia="Calibri"/>
                <w:lang w:eastAsia="en-US"/>
              </w:rPr>
              <w:t xml:space="preserve"> interneta savienojumu un tiek pieļautas EDLUS, kas lokāli katrā būvlaukumā uzkrāj datus un tos vienu reizi mēnesī nodod uz VEDLUDB, bet EDLUS </w:t>
            </w:r>
            <w:r w:rsidRPr="00773EAE">
              <w:rPr>
                <w:rFonts w:eastAsia="Calibri"/>
                <w:lang w:eastAsia="en-US"/>
              </w:rPr>
              <w:lastRenderedPageBreak/>
              <w:t xml:space="preserve">auditācijas pierakstus izsniedz VID pēc konkrēta pieprasījuma, faktiski ar VEDLUDB noteikumiem tiek paplašinātas prasības attiecībā uz EDLUS, lai gan Ministru kabinetam Likumā nav deleģētas šādas tiesības. </w:t>
            </w:r>
          </w:p>
          <w:p w14:paraId="53AE4546" w14:textId="77777777" w:rsidR="009322C6" w:rsidRPr="00773EAE" w:rsidRDefault="009322C6" w:rsidP="009322C6">
            <w:pPr>
              <w:ind w:left="720"/>
              <w:jc w:val="both"/>
              <w:rPr>
                <w:rFonts w:eastAsia="Calibri"/>
                <w:lang w:eastAsia="en-US"/>
              </w:rPr>
            </w:pPr>
          </w:p>
          <w:p w14:paraId="5FA47A40" w14:textId="77777777" w:rsidR="009322C6" w:rsidRDefault="009322C6" w:rsidP="009322C6">
            <w:pPr>
              <w:ind w:right="57"/>
              <w:contextualSpacing/>
              <w:jc w:val="both"/>
              <w:rPr>
                <w:b/>
                <w:u w:val="single"/>
              </w:rPr>
            </w:pPr>
            <w:r w:rsidRPr="00773EAE">
              <w:rPr>
                <w:rFonts w:eastAsia="Calibri"/>
                <w:lang w:eastAsia="en-US"/>
              </w:rPr>
              <w:t>Ievērojot augstāk minēto, lūdzam precizēt VEDLUDB noteikumu 20. punktu, lai tas nebūtu pretrunā ar Likumā noteikto deleģējumu Ministru kabinetam noteikt prasības auditācijas pierakstu veidošanai, uzglabāšanai un izsniegšanai, ievējojot, ka auditācijas pieraksti ir izņēmums un tie nav dati, kas ir jānodod VEDLUDB.</w:t>
            </w:r>
          </w:p>
          <w:p w14:paraId="43F2D1B3" w14:textId="77777777" w:rsidR="009322C6" w:rsidRDefault="009322C6" w:rsidP="009322C6">
            <w:pPr>
              <w:ind w:right="57"/>
              <w:contextualSpacing/>
              <w:jc w:val="both"/>
              <w:rPr>
                <w:b/>
                <w:u w:val="single"/>
              </w:rPr>
            </w:pPr>
          </w:p>
          <w:p w14:paraId="1E32D3E1" w14:textId="6C42A641" w:rsidR="006D6DFF" w:rsidRDefault="006D6DFF" w:rsidP="009322C6">
            <w:pPr>
              <w:ind w:right="57"/>
              <w:contextualSpacing/>
              <w:jc w:val="both"/>
              <w:rPr>
                <w:b/>
                <w:u w:val="single"/>
              </w:rPr>
            </w:pPr>
          </w:p>
        </w:tc>
        <w:tc>
          <w:tcPr>
            <w:tcW w:w="2977" w:type="dxa"/>
            <w:tcBorders>
              <w:top w:val="single" w:sz="6" w:space="0" w:color="000000"/>
              <w:left w:val="single" w:sz="6" w:space="0" w:color="000000"/>
              <w:bottom w:val="single" w:sz="6" w:space="0" w:color="000000"/>
              <w:right w:val="single" w:sz="6" w:space="0" w:color="000000"/>
            </w:tcBorders>
          </w:tcPr>
          <w:p w14:paraId="0C230F40" w14:textId="77777777" w:rsidR="009322C6" w:rsidRDefault="009322C6" w:rsidP="009322C6">
            <w:pPr>
              <w:ind w:right="57"/>
              <w:contextualSpacing/>
              <w:jc w:val="center"/>
              <w:rPr>
                <w:b/>
              </w:rPr>
            </w:pPr>
            <w:r w:rsidRPr="001E4D6A">
              <w:rPr>
                <w:b/>
              </w:rPr>
              <w:lastRenderedPageBreak/>
              <w:t>Nav ņemts vērā</w:t>
            </w:r>
          </w:p>
          <w:p w14:paraId="380CB21D" w14:textId="77777777" w:rsidR="009322C6" w:rsidRDefault="009322C6" w:rsidP="009322C6">
            <w:pPr>
              <w:ind w:right="57"/>
              <w:contextualSpacing/>
              <w:jc w:val="both"/>
              <w:rPr>
                <w:b/>
              </w:rPr>
            </w:pPr>
            <w:r w:rsidRPr="008B3885">
              <w:t>Likum</w:t>
            </w:r>
            <w:r>
              <w:t>a “Par nodokļiem un nodevām” 114.panta trešajā daļā  noteiktais termiņš attiecās tikai uz EDLUS reģistrēto un uzkrāto</w:t>
            </w:r>
            <w:r w:rsidRPr="00242451">
              <w:t xml:space="preserve"> datu</w:t>
            </w:r>
            <w:r>
              <w:t xml:space="preserve"> </w:t>
            </w:r>
            <w:r w:rsidRPr="00754CF1">
              <w:t>iekļaušan</w:t>
            </w:r>
            <w:r>
              <w:t>u</w:t>
            </w:r>
            <w:r w:rsidRPr="00754CF1">
              <w:t xml:space="preserve"> </w:t>
            </w:r>
            <w:r>
              <w:t xml:space="preserve">VEDLUD, savukārt saskaņā ar </w:t>
            </w:r>
            <w:r w:rsidRPr="00242451">
              <w:t xml:space="preserve">Likuma </w:t>
            </w:r>
            <w:r>
              <w:t>“P</w:t>
            </w:r>
            <w:r w:rsidRPr="00242451">
              <w:t xml:space="preserve">ar </w:t>
            </w:r>
            <w:r>
              <w:t>n</w:t>
            </w:r>
            <w:r w:rsidRPr="00242451">
              <w:t>odokļiem un nodevām”</w:t>
            </w:r>
            <w:r>
              <w:t xml:space="preserve"> 113.panta otro daļu Ministru kabinetam</w:t>
            </w:r>
            <w:r w:rsidRPr="00242451">
              <w:t xml:space="preserve"> </w:t>
            </w:r>
            <w:r>
              <w:t>jā</w:t>
            </w:r>
            <w:r w:rsidRPr="00242451">
              <w:t>nosaka prasības auditācijas pierakstu veidošanai, uzglabāšanai un izsniegšanai.</w:t>
            </w:r>
            <w:r>
              <w:t xml:space="preserve"> Līdz ar to Noteikumu projekta 20.punkts, kurā noteikts EDLUS </w:t>
            </w:r>
            <w:r w:rsidRPr="00242451">
              <w:t>notikumu auditācijas p</w:t>
            </w:r>
            <w:r>
              <w:t xml:space="preserve">ierakstu datu iesniegšana </w:t>
            </w:r>
            <w:r w:rsidRPr="00242451">
              <w:t>VEDLUD</w:t>
            </w:r>
            <w:r>
              <w:t xml:space="preserve"> nav pretrunā ar </w:t>
            </w:r>
            <w:r w:rsidRPr="00242451">
              <w:t>Likuma par “Nodokļiem un nodevām”</w:t>
            </w:r>
            <w:r>
              <w:t>.</w:t>
            </w:r>
          </w:p>
          <w:p w14:paraId="5A19CE49" w14:textId="77777777" w:rsidR="009322C6" w:rsidRDefault="009322C6" w:rsidP="009322C6">
            <w:pPr>
              <w:ind w:right="57"/>
              <w:contextualSpacing/>
              <w:jc w:val="center"/>
              <w:rPr>
                <w:b/>
              </w:rPr>
            </w:pPr>
          </w:p>
          <w:p w14:paraId="2B0BB8DD" w14:textId="77777777" w:rsidR="009322C6" w:rsidRDefault="009322C6" w:rsidP="009322C6">
            <w:pPr>
              <w:ind w:right="57"/>
              <w:contextualSpacing/>
              <w:jc w:val="center"/>
              <w:rPr>
                <w:b/>
              </w:rPr>
            </w:pPr>
          </w:p>
          <w:p w14:paraId="7BBFB0CD" w14:textId="77777777" w:rsidR="009322C6" w:rsidRDefault="009322C6" w:rsidP="009322C6">
            <w:pPr>
              <w:ind w:right="57"/>
              <w:contextualSpacing/>
              <w:jc w:val="center"/>
              <w:rPr>
                <w:b/>
              </w:rPr>
            </w:pPr>
          </w:p>
          <w:p w14:paraId="03EEA35C" w14:textId="77777777" w:rsidR="009322C6" w:rsidRDefault="009322C6" w:rsidP="009322C6">
            <w:pPr>
              <w:ind w:right="57"/>
              <w:contextualSpacing/>
              <w:jc w:val="center"/>
              <w:rPr>
                <w:b/>
              </w:rPr>
            </w:pPr>
          </w:p>
          <w:p w14:paraId="74FDAFB3" w14:textId="77777777" w:rsidR="009322C6" w:rsidRDefault="009322C6" w:rsidP="009322C6">
            <w:pPr>
              <w:ind w:right="57"/>
              <w:contextualSpacing/>
              <w:jc w:val="center"/>
              <w:rPr>
                <w:b/>
              </w:rPr>
            </w:pPr>
          </w:p>
          <w:p w14:paraId="434A5778" w14:textId="77777777" w:rsidR="009322C6" w:rsidRDefault="009322C6" w:rsidP="009322C6">
            <w:pPr>
              <w:ind w:right="57"/>
              <w:contextualSpacing/>
              <w:jc w:val="center"/>
              <w:rPr>
                <w:b/>
              </w:rPr>
            </w:pPr>
          </w:p>
          <w:p w14:paraId="160A70BC" w14:textId="77777777" w:rsidR="009322C6" w:rsidRDefault="009322C6" w:rsidP="009322C6">
            <w:pPr>
              <w:ind w:right="57"/>
              <w:contextualSpacing/>
              <w:jc w:val="center"/>
              <w:rPr>
                <w:b/>
              </w:rPr>
            </w:pPr>
          </w:p>
          <w:p w14:paraId="2993A37B" w14:textId="77777777" w:rsidR="009322C6" w:rsidRDefault="009322C6" w:rsidP="009322C6">
            <w:pPr>
              <w:ind w:right="57"/>
              <w:contextualSpacing/>
              <w:jc w:val="center"/>
              <w:rPr>
                <w:b/>
              </w:rPr>
            </w:pPr>
          </w:p>
          <w:p w14:paraId="1FF36E97" w14:textId="77777777" w:rsidR="009322C6" w:rsidRDefault="009322C6" w:rsidP="009322C6">
            <w:pPr>
              <w:ind w:right="57"/>
              <w:contextualSpacing/>
              <w:jc w:val="center"/>
              <w:rPr>
                <w:b/>
              </w:rPr>
            </w:pPr>
          </w:p>
          <w:p w14:paraId="58E66694" w14:textId="77777777" w:rsidR="009322C6" w:rsidRDefault="009322C6" w:rsidP="009322C6">
            <w:pPr>
              <w:ind w:right="57"/>
              <w:contextualSpacing/>
              <w:jc w:val="center"/>
              <w:rPr>
                <w:b/>
              </w:rPr>
            </w:pPr>
          </w:p>
          <w:p w14:paraId="19FA1FCC" w14:textId="77777777" w:rsidR="009322C6" w:rsidRDefault="009322C6" w:rsidP="009322C6">
            <w:pPr>
              <w:ind w:right="57"/>
              <w:contextualSpacing/>
              <w:jc w:val="center"/>
              <w:rPr>
                <w:b/>
              </w:rPr>
            </w:pPr>
          </w:p>
          <w:p w14:paraId="2BA29B65" w14:textId="77777777" w:rsidR="009322C6" w:rsidRDefault="009322C6" w:rsidP="009322C6">
            <w:pPr>
              <w:ind w:right="57"/>
              <w:contextualSpacing/>
              <w:jc w:val="center"/>
              <w:rPr>
                <w:b/>
              </w:rPr>
            </w:pPr>
          </w:p>
          <w:p w14:paraId="183033B5" w14:textId="77777777" w:rsidR="009322C6" w:rsidRDefault="009322C6" w:rsidP="009322C6">
            <w:pPr>
              <w:ind w:right="57"/>
              <w:contextualSpacing/>
              <w:jc w:val="center"/>
              <w:rPr>
                <w:b/>
              </w:rPr>
            </w:pPr>
          </w:p>
          <w:p w14:paraId="0C3C5B35" w14:textId="77777777" w:rsidR="009322C6" w:rsidRDefault="009322C6" w:rsidP="009322C6">
            <w:pPr>
              <w:ind w:right="57"/>
              <w:contextualSpacing/>
              <w:jc w:val="center"/>
              <w:rPr>
                <w:b/>
              </w:rPr>
            </w:pPr>
          </w:p>
          <w:p w14:paraId="0283B96E" w14:textId="77777777" w:rsidR="009322C6" w:rsidRDefault="009322C6" w:rsidP="009322C6">
            <w:pPr>
              <w:ind w:right="57"/>
              <w:contextualSpacing/>
              <w:jc w:val="center"/>
              <w:rPr>
                <w:b/>
              </w:rPr>
            </w:pPr>
          </w:p>
          <w:p w14:paraId="126D54C8" w14:textId="77777777" w:rsidR="009322C6" w:rsidRDefault="009322C6" w:rsidP="009322C6">
            <w:pPr>
              <w:ind w:right="57"/>
              <w:contextualSpacing/>
              <w:jc w:val="center"/>
              <w:rPr>
                <w:b/>
              </w:rPr>
            </w:pPr>
          </w:p>
          <w:p w14:paraId="075A2965" w14:textId="77777777" w:rsidR="009322C6" w:rsidRDefault="009322C6" w:rsidP="009322C6">
            <w:pPr>
              <w:ind w:right="57"/>
              <w:contextualSpacing/>
              <w:jc w:val="center"/>
              <w:rPr>
                <w:b/>
              </w:rPr>
            </w:pPr>
          </w:p>
          <w:p w14:paraId="28F2BCAB" w14:textId="77777777" w:rsidR="009322C6" w:rsidRDefault="009322C6" w:rsidP="009322C6">
            <w:pPr>
              <w:ind w:right="57"/>
              <w:contextualSpacing/>
              <w:rPr>
                <w:b/>
              </w:rPr>
            </w:pPr>
          </w:p>
          <w:p w14:paraId="033CAFB6" w14:textId="67D97DA4" w:rsidR="009322C6" w:rsidRDefault="009322C6" w:rsidP="009322C6">
            <w:pPr>
              <w:ind w:right="57"/>
              <w:contextualSpacing/>
              <w:jc w:val="center"/>
              <w:rPr>
                <w:b/>
              </w:rPr>
            </w:pPr>
          </w:p>
          <w:p w14:paraId="1DB5FCB5" w14:textId="69AC7675" w:rsidR="009322C6" w:rsidRDefault="009322C6" w:rsidP="009322C6">
            <w:pPr>
              <w:ind w:right="57"/>
              <w:contextualSpacing/>
              <w:jc w:val="center"/>
              <w:rPr>
                <w:b/>
              </w:rPr>
            </w:pPr>
          </w:p>
          <w:p w14:paraId="18494404" w14:textId="4DC31B4E" w:rsidR="009322C6" w:rsidRDefault="009322C6" w:rsidP="009322C6">
            <w:pPr>
              <w:ind w:right="57"/>
              <w:contextualSpacing/>
              <w:jc w:val="center"/>
              <w:rPr>
                <w:b/>
              </w:rPr>
            </w:pPr>
          </w:p>
          <w:p w14:paraId="50FB4E9C" w14:textId="54039741" w:rsidR="009322C6" w:rsidRDefault="009322C6" w:rsidP="009322C6">
            <w:pPr>
              <w:ind w:right="57"/>
              <w:contextualSpacing/>
              <w:jc w:val="center"/>
              <w:rPr>
                <w:b/>
              </w:rPr>
            </w:pPr>
          </w:p>
          <w:p w14:paraId="28CE77A0" w14:textId="13CFF4E4" w:rsidR="009322C6" w:rsidRDefault="009322C6" w:rsidP="009322C6">
            <w:pPr>
              <w:ind w:right="57"/>
              <w:contextualSpacing/>
              <w:jc w:val="center"/>
              <w:rPr>
                <w:b/>
              </w:rPr>
            </w:pPr>
          </w:p>
          <w:p w14:paraId="2BF29869" w14:textId="14CDB5DC" w:rsidR="009322C6" w:rsidRDefault="009322C6" w:rsidP="009322C6">
            <w:pPr>
              <w:ind w:right="57"/>
              <w:contextualSpacing/>
              <w:jc w:val="center"/>
              <w:rPr>
                <w:b/>
              </w:rPr>
            </w:pPr>
          </w:p>
          <w:p w14:paraId="32C677DD" w14:textId="02F122F2" w:rsidR="009322C6" w:rsidRDefault="009322C6" w:rsidP="009322C6">
            <w:pPr>
              <w:ind w:right="57"/>
              <w:contextualSpacing/>
              <w:jc w:val="center"/>
              <w:rPr>
                <w:b/>
              </w:rPr>
            </w:pPr>
          </w:p>
          <w:p w14:paraId="77D6403A" w14:textId="716AF89E" w:rsidR="009322C6" w:rsidRDefault="009322C6" w:rsidP="009322C6">
            <w:pPr>
              <w:ind w:right="57"/>
              <w:contextualSpacing/>
              <w:jc w:val="center"/>
              <w:rPr>
                <w:b/>
              </w:rPr>
            </w:pPr>
          </w:p>
          <w:p w14:paraId="2FD0A66F" w14:textId="77777777" w:rsidR="009322C6" w:rsidRDefault="009322C6" w:rsidP="009322C6">
            <w:pPr>
              <w:ind w:right="57"/>
              <w:contextualSpacing/>
              <w:jc w:val="center"/>
              <w:rPr>
                <w:b/>
              </w:rPr>
            </w:pPr>
          </w:p>
          <w:p w14:paraId="4A2D8673" w14:textId="77777777" w:rsidR="009322C6" w:rsidRDefault="009322C6" w:rsidP="009322C6">
            <w:pPr>
              <w:ind w:right="57"/>
              <w:contextualSpacing/>
              <w:jc w:val="center"/>
              <w:rPr>
                <w:b/>
              </w:rPr>
            </w:pPr>
          </w:p>
          <w:p w14:paraId="4F8BBF7F" w14:textId="77777777" w:rsidR="009322C6" w:rsidRDefault="009322C6" w:rsidP="009322C6">
            <w:pPr>
              <w:ind w:right="57"/>
              <w:contextualSpacing/>
              <w:jc w:val="center"/>
              <w:rPr>
                <w:b/>
              </w:rPr>
            </w:pPr>
          </w:p>
          <w:p w14:paraId="0B0712CB" w14:textId="77777777" w:rsidR="00903ED1" w:rsidRDefault="00903ED1" w:rsidP="009322C6">
            <w:pPr>
              <w:ind w:right="57"/>
              <w:contextualSpacing/>
              <w:jc w:val="center"/>
              <w:rPr>
                <w:b/>
              </w:rPr>
            </w:pPr>
          </w:p>
          <w:p w14:paraId="1EF733B6" w14:textId="53F0ECDF" w:rsidR="006D6DFF" w:rsidRPr="00844A51" w:rsidRDefault="006D6DFF" w:rsidP="009322C6">
            <w:pPr>
              <w:ind w:right="57"/>
              <w:contextualSpacing/>
              <w:jc w:val="center"/>
              <w:rPr>
                <w:b/>
                <w:highlight w:val="red"/>
              </w:rPr>
            </w:pPr>
          </w:p>
        </w:tc>
        <w:tc>
          <w:tcPr>
            <w:tcW w:w="2459" w:type="dxa"/>
            <w:tcBorders>
              <w:top w:val="single" w:sz="4" w:space="0" w:color="auto"/>
              <w:left w:val="single" w:sz="4" w:space="0" w:color="auto"/>
              <w:bottom w:val="single" w:sz="4" w:space="0" w:color="auto"/>
              <w:right w:val="single" w:sz="4" w:space="0" w:color="auto"/>
            </w:tcBorders>
          </w:tcPr>
          <w:p w14:paraId="72E64BC7" w14:textId="77777777" w:rsidR="00903ED1" w:rsidRPr="00903ED1" w:rsidRDefault="00903ED1" w:rsidP="00903ED1">
            <w:pPr>
              <w:jc w:val="both"/>
              <w:rPr>
                <w:b/>
                <w:bCs/>
              </w:rPr>
            </w:pPr>
            <w:r w:rsidRPr="00903ED1">
              <w:rPr>
                <w:b/>
                <w:bCs/>
              </w:rPr>
              <w:lastRenderedPageBreak/>
              <w:t>Elektroniskās saskaņošanas ietvaros iebildums tiek uzturēts (01.11.2019):</w:t>
            </w:r>
          </w:p>
          <w:p w14:paraId="28DDE755" w14:textId="5FF943C0" w:rsidR="00903ED1" w:rsidRPr="00903ED1" w:rsidRDefault="00903ED1" w:rsidP="00903ED1">
            <w:pPr>
              <w:jc w:val="both"/>
            </w:pPr>
            <w:r w:rsidRPr="00903ED1">
              <w:t xml:space="preserve">VEDLUDB noteikumu 22. punktā (sākotnēji 20. punkts) noteikts, ka katru dienu jāaprēķina </w:t>
            </w:r>
            <w:proofErr w:type="spellStart"/>
            <w:r w:rsidRPr="00903ED1">
              <w:t>Hash</w:t>
            </w:r>
            <w:proofErr w:type="spellEnd"/>
            <w:r w:rsidRPr="00903ED1">
              <w:t xml:space="preserve"> kontrolsummu, kuru katru dienu jānodod VEDLUDB. Partnerība turpina uzturēt iepriekš izteiktos iebildumus pret paredzēto kārtību, jo Partnerības ieskatā piedāvātā noteikumu redakcija ir pretrunā ar Likumā noteikto deleģējumu Ministru kabinets (turpmāk- Ministru kabinets). Šī gada pavasarī Saeimas Budžeta un finanšu (nodokļu) komisijā</w:t>
            </w:r>
            <w:r w:rsidRPr="00903ED1">
              <w:rPr>
                <w:sz w:val="20"/>
                <w:szCs w:val="20"/>
              </w:rPr>
              <w:t xml:space="preserve"> </w:t>
            </w:r>
            <w:r w:rsidRPr="00903ED1">
              <w:t xml:space="preserve">vairākkārtīgi tika skatīti grozījumi Likumā, tai skaitā, tika pārskatītas prasības </w:t>
            </w:r>
            <w:r w:rsidRPr="00903ED1">
              <w:lastRenderedPageBreak/>
              <w:t>attiecībā uz EDLUS. Pēc ilgām diskusijām tika pieņemti grozījumi Likumā, kas stājās spēkā šī gada 13. jūnijā. Līdz ar to šobrīd Likumā ir precizētas no likumdevēja puses izvirzītās EDLUS prasības, noteikts EDLUS ārējais drošības audits, kura ietvaros tiek pārbaudītas sistēmas atbilstība Likumā noteiktajām prasībām, precizēts datu apjoms, kādu no EDLUS ir jānodod uz VEDLUDB, kā arī noteikts datu nodošanas biežums. Pieņemot VEDLUDB noteikumus piedāvātajā redakcijā, Partnerības ieskatā MK nepamatoti grozīs visus augstāk minētos Likuma noteikumus:</w:t>
            </w:r>
          </w:p>
          <w:p w14:paraId="64008384" w14:textId="77777777" w:rsidR="00903ED1" w:rsidRPr="00903ED1" w:rsidRDefault="00903ED1" w:rsidP="00903ED1">
            <w:pPr>
              <w:jc w:val="both"/>
            </w:pPr>
          </w:p>
          <w:p w14:paraId="02C23E6A" w14:textId="77777777" w:rsidR="00903ED1" w:rsidRPr="00903ED1" w:rsidRDefault="00903ED1" w:rsidP="00903ED1">
            <w:pPr>
              <w:jc w:val="both"/>
            </w:pPr>
            <w:r w:rsidRPr="00903ED1">
              <w:t>2.4.1.</w:t>
            </w:r>
            <w:r w:rsidRPr="00903ED1">
              <w:tab/>
              <w:t xml:space="preserve">Likuma XIV nodaļā noteikts </w:t>
            </w:r>
            <w:r w:rsidRPr="00903ED1">
              <w:lastRenderedPageBreak/>
              <w:t xml:space="preserve">izsmeļošs prasību saraksts, kas tiek izvirzīts EDLUS un nevienā no Likuma normām nav noteikts, ka EDLUS būtu jālieto konkrēts IT risinājums. Tāpat MK nav sniegts deleģējums MK noteikumos noteikt papildus EDLUS izvirzāmās prasības. Neskatoties uz to, VEDLUDB noteikumu 22. punktā noteikts, ka visiem EDLUS ir jālieto konkrēts IT risinājums- </w:t>
            </w:r>
            <w:proofErr w:type="spellStart"/>
            <w:r w:rsidRPr="00903ED1">
              <w:t>Hash</w:t>
            </w:r>
            <w:proofErr w:type="spellEnd"/>
            <w:r w:rsidRPr="00903ED1">
              <w:t xml:space="preserve"> ķēdes.</w:t>
            </w:r>
          </w:p>
          <w:p w14:paraId="70E12BB7" w14:textId="77777777" w:rsidR="00903ED1" w:rsidRPr="00903ED1" w:rsidRDefault="00903ED1" w:rsidP="00903ED1">
            <w:pPr>
              <w:jc w:val="both"/>
            </w:pPr>
            <w:r w:rsidRPr="00903ED1">
              <w:t>2.4.2.</w:t>
            </w:r>
            <w:r w:rsidRPr="00903ED1">
              <w:tab/>
              <w:t xml:space="preserve">Likuma 114. pantā ir noteikts izsmeļošs datu apjoms, kas ir jāiesniedz VEDLUDB, bet 116. pantā ir noteikti galvenā būvdarbu veicēja pienākumi. Vēršam uzmanību uz to, ka Likumā vispār nav paredzētas </w:t>
            </w:r>
            <w:proofErr w:type="spellStart"/>
            <w:r w:rsidRPr="00903ED1">
              <w:t>Hash</w:t>
            </w:r>
            <w:proofErr w:type="spellEnd"/>
            <w:r w:rsidRPr="00903ED1">
              <w:t xml:space="preserve"> ķēdes, galvenajam būvdarbu veicējam nav </w:t>
            </w:r>
            <w:r w:rsidRPr="00903ED1">
              <w:lastRenderedPageBreak/>
              <w:t xml:space="preserve">uzlikts par pienākumu ne veidot, ne nodot VEDLUDB </w:t>
            </w:r>
            <w:proofErr w:type="spellStart"/>
            <w:r w:rsidRPr="00903ED1">
              <w:t>Hash</w:t>
            </w:r>
            <w:proofErr w:type="spellEnd"/>
            <w:r w:rsidRPr="00903ED1">
              <w:t xml:space="preserve"> kontrolsummas. Līdz ar to ar MK noteikumiem ir paredzēts paplašināt gan galvenā būvdarbu veicēja pienākumu apjomu, gan uz VEDLUDB nododamo datu apjomu, lai gan likumdevējs MK nav deleģējis tādas pilnvaras. Vēl vairāk, Likuma 114. panta trešajā daļā kā izņēmums ir noteikts, ka uz VEDLUDB nav jānodod EDLUS auditācijas pieraksti.</w:t>
            </w:r>
          </w:p>
          <w:p w14:paraId="5EB2A351" w14:textId="77777777" w:rsidR="00903ED1" w:rsidRDefault="00903ED1" w:rsidP="00903ED1">
            <w:pPr>
              <w:jc w:val="both"/>
            </w:pPr>
            <w:r w:rsidRPr="00903ED1">
              <w:t>2.4.3.</w:t>
            </w:r>
            <w:r w:rsidRPr="00903ED1">
              <w:tab/>
              <w:t xml:space="preserve">Likuma XIV nodaļā nav noteikts, ka EDLUS būtu jābūt nodrošinātam pastāvīgam interneta </w:t>
            </w:r>
            <w:proofErr w:type="spellStart"/>
            <w:r w:rsidRPr="00903ED1">
              <w:t>pieslēgumam</w:t>
            </w:r>
            <w:proofErr w:type="spellEnd"/>
            <w:r w:rsidRPr="00903ED1">
              <w:t xml:space="preserve"> katru dienu. Tieši pretēji, prasības attiecībā uz EDLUS datu izsniegšanu ir noteiktas Likuma 114. panta </w:t>
            </w:r>
            <w:r w:rsidRPr="00903ED1">
              <w:lastRenderedPageBreak/>
              <w:t>otrajā daļā, proti, galvenajam būvdarbu veicējam pēc Likumā norādīto iestāžu pieprasījuma jāuzrāda un jāizsniedz EDLUS dati par visām personām, kas datu pieprasījuma brīdī atrodas būvlaukumā, kā arī Likuma 114. panta trešajā daļā noteikts, ka EDLUS datus par iepriekšējo mēnesi galvenais būvdarbu veicējs līdz kārtējā mēneša 15. datumam nodod iekļaušanai VEDLUDB.</w:t>
            </w:r>
            <w:r>
              <w:t xml:space="preserve"> </w:t>
            </w:r>
            <w:r w:rsidRPr="00903ED1">
              <w:t>Turklāt, arī paši VEDLUDB noteikumi ir savstarpēji pretrunīgi.</w:t>
            </w:r>
            <w:r>
              <w:t xml:space="preserve"> </w:t>
            </w:r>
          </w:p>
          <w:p w14:paraId="64D4FC84" w14:textId="4088E47F" w:rsidR="00903ED1" w:rsidRDefault="00903ED1" w:rsidP="00903ED1">
            <w:pPr>
              <w:jc w:val="both"/>
            </w:pPr>
            <w:r>
              <w:t xml:space="preserve">Noteikumu 8. punktā ir uzskaitīti visi Likumā noteiktie dati un to formāts, kādā tie jānodod VEDLUDB, bet to skaitā nav noteikumu 21. un 22. punktā minētās </w:t>
            </w:r>
            <w:proofErr w:type="spellStart"/>
            <w:r>
              <w:t>Hash</w:t>
            </w:r>
            <w:proofErr w:type="spellEnd"/>
            <w:r>
              <w:t xml:space="preserve"> kontrolsummas. </w:t>
            </w:r>
          </w:p>
          <w:p w14:paraId="59E8464B" w14:textId="77777777" w:rsidR="00903ED1" w:rsidRDefault="00903ED1" w:rsidP="00903ED1">
            <w:pPr>
              <w:jc w:val="both"/>
            </w:pPr>
          </w:p>
          <w:p w14:paraId="0C877FD9" w14:textId="3EDD8C21" w:rsidR="006D6DFF" w:rsidRPr="008A36C9" w:rsidRDefault="00903ED1" w:rsidP="00903ED1">
            <w:pPr>
              <w:jc w:val="both"/>
              <w:rPr>
                <w:sz w:val="20"/>
                <w:szCs w:val="20"/>
              </w:rPr>
            </w:pPr>
            <w:r>
              <w:t>Ievērojot augstāk minēto, lūdzam grozīt VEDLUDB noteikumu projektu, lai tas nebūtu pretrunā ar Likumā noteikto deleģējumu MK attiecībā uz auditācijas pierakstu veidošanu un Likumā noteikto uz VEDLUDB nododamo EDLUS datu apjomu un  datu nodošanas kārtību.</w:t>
            </w:r>
          </w:p>
        </w:tc>
        <w:tc>
          <w:tcPr>
            <w:tcW w:w="1920" w:type="dxa"/>
            <w:tcBorders>
              <w:top w:val="single" w:sz="4" w:space="0" w:color="auto"/>
              <w:left w:val="single" w:sz="4" w:space="0" w:color="auto"/>
              <w:bottom w:val="single" w:sz="4" w:space="0" w:color="auto"/>
            </w:tcBorders>
          </w:tcPr>
          <w:p w14:paraId="7274E292" w14:textId="2EBA3EBF" w:rsidR="00130BCD" w:rsidRDefault="00E60476" w:rsidP="00130BCD">
            <w:pPr>
              <w:ind w:right="57"/>
              <w:contextualSpacing/>
              <w:jc w:val="both"/>
              <w:rPr>
                <w:bCs/>
                <w:color w:val="000000" w:themeColor="text1"/>
              </w:rPr>
            </w:pPr>
            <w:r w:rsidRPr="00E60476">
              <w:rPr>
                <w:bCs/>
                <w:color w:val="000000" w:themeColor="text1"/>
              </w:rPr>
              <w:lastRenderedPageBreak/>
              <w:t xml:space="preserve">22. Galvenais būvdarbu veicējs katras darbadienas beigās aprēķina elektroniskās darba laika uzskaites sistēmas auditācijas pierakstu kopas kontrolsummu un nodod to vienotajā elektroniskās darba laika uzskaites datubāzē. Pierakstu kopas kontrolsummu aprēķina no auditācijas pierakstu informācijas kopuma, izmantojot </w:t>
            </w:r>
            <w:proofErr w:type="spellStart"/>
            <w:r w:rsidRPr="00E60476">
              <w:rPr>
                <w:bCs/>
                <w:color w:val="000000" w:themeColor="text1"/>
              </w:rPr>
              <w:t>blokķēdes</w:t>
            </w:r>
            <w:proofErr w:type="spellEnd"/>
            <w:r w:rsidRPr="00E60476">
              <w:rPr>
                <w:bCs/>
                <w:color w:val="000000" w:themeColor="text1"/>
              </w:rPr>
              <w:t xml:space="preserve"> (</w:t>
            </w:r>
            <w:proofErr w:type="spellStart"/>
            <w:r w:rsidRPr="00E60476">
              <w:rPr>
                <w:bCs/>
                <w:color w:val="000000" w:themeColor="text1"/>
              </w:rPr>
              <w:t>Hash</w:t>
            </w:r>
            <w:proofErr w:type="spellEnd"/>
            <w:r w:rsidRPr="00E60476">
              <w:rPr>
                <w:bCs/>
                <w:color w:val="000000" w:themeColor="text1"/>
              </w:rPr>
              <w:t xml:space="preserve">) tehnoloģiju un </w:t>
            </w:r>
            <w:r w:rsidRPr="00E60476">
              <w:rPr>
                <w:bCs/>
                <w:color w:val="000000" w:themeColor="text1"/>
              </w:rPr>
              <w:lastRenderedPageBreak/>
              <w:t xml:space="preserve">iekļaujot iepriekšējās darbdienas aprēķināto SHA kontrolsummu. Pierakstu kopas kontrolsummu aprēķina algoritms ir pārbaudāms un atkārtojams. </w:t>
            </w:r>
          </w:p>
          <w:p w14:paraId="3A05EC0B" w14:textId="77777777" w:rsidR="00E60476" w:rsidRPr="005C2B5D" w:rsidRDefault="00E60476" w:rsidP="00130BCD">
            <w:pPr>
              <w:ind w:right="57"/>
              <w:contextualSpacing/>
              <w:jc w:val="both"/>
              <w:rPr>
                <w:bCs/>
                <w:color w:val="000000" w:themeColor="text1"/>
              </w:rPr>
            </w:pPr>
          </w:p>
          <w:p w14:paraId="45405A2F" w14:textId="226496B1" w:rsidR="006D6DFF" w:rsidRPr="00433448" w:rsidRDefault="00130BCD" w:rsidP="00130BCD">
            <w:pPr>
              <w:ind w:right="57"/>
              <w:contextualSpacing/>
              <w:jc w:val="both"/>
            </w:pPr>
            <w:r w:rsidRPr="002A50F9">
              <w:rPr>
                <w:b/>
              </w:rPr>
              <w:t>Noteikumu projektu sākotnējās ietekmes novērtējuma apvienotajā ziņojumā (anotācijas)</w:t>
            </w:r>
            <w:r w:rsidRPr="002A50F9">
              <w:rPr>
                <w:bCs/>
              </w:rPr>
              <w:t xml:space="preserve"> </w:t>
            </w:r>
            <w:r w:rsidRPr="00540B21">
              <w:rPr>
                <w:bCs/>
                <w:color w:val="000000" w:themeColor="text1"/>
              </w:rPr>
              <w:t>1</w:t>
            </w:r>
            <w:r w:rsidR="004E6603">
              <w:rPr>
                <w:bCs/>
                <w:color w:val="000000" w:themeColor="text1"/>
              </w:rPr>
              <w:t>4</w:t>
            </w:r>
            <w:r w:rsidRPr="00540B21">
              <w:rPr>
                <w:bCs/>
                <w:color w:val="000000" w:themeColor="text1"/>
              </w:rPr>
              <w:t>.lpp. izveidot jaunu rindkopu ar vārdiem</w:t>
            </w:r>
            <w:r w:rsidRPr="004242FF">
              <w:rPr>
                <w:bCs/>
                <w:color w:val="000000" w:themeColor="text1"/>
              </w:rPr>
              <w:t xml:space="preserve"> </w:t>
            </w:r>
            <w:r>
              <w:rPr>
                <w:bCs/>
                <w:color w:val="000000" w:themeColor="text1"/>
              </w:rPr>
              <w:t>“-</w:t>
            </w:r>
            <w:r w:rsidR="004E6603" w:rsidRPr="004E6603">
              <w:rPr>
                <w:bCs/>
                <w:color w:val="000000" w:themeColor="text1"/>
              </w:rPr>
              <w:t xml:space="preserve">EDLUS, informāciju par veiktajām darbībām EDLUS, glabā datnēs, katram pārskata periodam (darbadienai) </w:t>
            </w:r>
            <w:r w:rsidR="004E6603" w:rsidRPr="004E6603">
              <w:rPr>
                <w:bCs/>
                <w:color w:val="000000" w:themeColor="text1"/>
              </w:rPr>
              <w:lastRenderedPageBreak/>
              <w:t xml:space="preserve">veidojot savu datni, kuru slēdz ne vēlāk kā konkrētās dienas pulksten 00:00 . Darbadienas beigās šai datnei gan aprēķina kontrolsummu, izmantojot </w:t>
            </w:r>
            <w:proofErr w:type="spellStart"/>
            <w:r w:rsidR="004E6603" w:rsidRPr="004E6603">
              <w:rPr>
                <w:bCs/>
                <w:color w:val="000000" w:themeColor="text1"/>
              </w:rPr>
              <w:t>blokķēžu</w:t>
            </w:r>
            <w:proofErr w:type="spellEnd"/>
            <w:r w:rsidR="004E6603" w:rsidRPr="004E6603">
              <w:rPr>
                <w:bCs/>
                <w:color w:val="000000" w:themeColor="text1"/>
              </w:rPr>
              <w:t xml:space="preserve"> </w:t>
            </w:r>
            <w:r w:rsidR="004E6603" w:rsidRPr="004E6603">
              <w:rPr>
                <w:bCs/>
                <w:i/>
                <w:iCs/>
                <w:color w:val="000000" w:themeColor="text1"/>
              </w:rPr>
              <w:t>(</w:t>
            </w:r>
            <w:proofErr w:type="spellStart"/>
            <w:r w:rsidR="004E6603" w:rsidRPr="004E6603">
              <w:rPr>
                <w:bCs/>
                <w:i/>
                <w:iCs/>
                <w:color w:val="000000" w:themeColor="text1"/>
              </w:rPr>
              <w:t>Hash</w:t>
            </w:r>
            <w:proofErr w:type="spellEnd"/>
            <w:r w:rsidR="004E6603" w:rsidRPr="004E6603">
              <w:rPr>
                <w:bCs/>
                <w:i/>
                <w:iCs/>
                <w:color w:val="000000" w:themeColor="text1"/>
              </w:rPr>
              <w:t>)</w:t>
            </w:r>
            <w:r w:rsidR="004E6603" w:rsidRPr="004E6603">
              <w:rPr>
                <w:bCs/>
                <w:color w:val="000000" w:themeColor="text1"/>
              </w:rPr>
              <w:t xml:space="preserve"> tehnoloģiju, gan to nodod VEDLUDB;</w:t>
            </w:r>
            <w:r>
              <w:rPr>
                <w:bCs/>
                <w:color w:val="000000" w:themeColor="text1"/>
              </w:rPr>
              <w:t>;”</w:t>
            </w:r>
          </w:p>
        </w:tc>
      </w:tr>
    </w:tbl>
    <w:p w14:paraId="3A2A9729" w14:textId="77777777" w:rsidR="007207ED" w:rsidRDefault="007207ED" w:rsidP="007207ED"/>
    <w:p w14:paraId="69FDC329" w14:textId="3C19B59F" w:rsidR="00C042A5" w:rsidRDefault="00C042A5" w:rsidP="00C042A5">
      <w:r>
        <w:t>Informācija par elektronisko saskaņošanu</w:t>
      </w:r>
    </w:p>
    <w:p w14:paraId="4734F295" w14:textId="77777777" w:rsidR="00C042A5" w:rsidRDefault="00C042A5" w:rsidP="00C042A5"/>
    <w:p w14:paraId="554B0D2D" w14:textId="523F42A8" w:rsidR="00C042A5" w:rsidRDefault="00C042A5" w:rsidP="00C042A5">
      <w:r>
        <w:t>Datums</w:t>
      </w:r>
      <w:r>
        <w:tab/>
      </w:r>
      <w:r w:rsidR="0050123F">
        <w:t>01</w:t>
      </w:r>
      <w:r>
        <w:t>.1</w:t>
      </w:r>
      <w:r w:rsidR="0050123F">
        <w:t>1</w:t>
      </w:r>
      <w:r>
        <w:t>.2019.</w:t>
      </w:r>
    </w:p>
    <w:p w14:paraId="3B456964" w14:textId="77777777" w:rsidR="00C042A5" w:rsidRDefault="00C042A5" w:rsidP="00C042A5">
      <w:r>
        <w:tab/>
      </w:r>
    </w:p>
    <w:p w14:paraId="70E8E656" w14:textId="13A85026" w:rsidR="00C042A5" w:rsidRPr="00B53B32" w:rsidRDefault="00C042A5" w:rsidP="00C042A5">
      <w:pPr>
        <w:jc w:val="both"/>
        <w:rPr>
          <w:color w:val="000000" w:themeColor="text1"/>
        </w:rPr>
      </w:pPr>
      <w:r>
        <w:t>Saskaņošanas dalībnieki:</w:t>
      </w:r>
      <w:r>
        <w:tab/>
      </w:r>
      <w:r w:rsidRPr="00A06815">
        <w:rPr>
          <w:color w:val="000000" w:themeColor="text1"/>
        </w:rPr>
        <w:t xml:space="preserve">Finanšu ministrija, </w:t>
      </w:r>
      <w:proofErr w:type="spellStart"/>
      <w:r w:rsidRPr="00A06815">
        <w:rPr>
          <w:color w:val="000000" w:themeColor="text1"/>
        </w:rPr>
        <w:t>Iekšlietu</w:t>
      </w:r>
      <w:proofErr w:type="spellEnd"/>
      <w:r w:rsidRPr="00A06815">
        <w:rPr>
          <w:color w:val="000000" w:themeColor="text1"/>
        </w:rPr>
        <w:t xml:space="preserve"> ministrija, Labklājības ministrija, Latvijas Pašvaldību savienība, Valsts kanceleja, Satiksmes ministrija, Tieslietu ministrija, Vides aizsardzības un reģionālās attīstības ministrija,</w:t>
      </w:r>
      <w:r w:rsidRPr="00A06815">
        <w:t xml:space="preserve"> </w:t>
      </w:r>
      <w:r w:rsidRPr="00A06815">
        <w:rPr>
          <w:color w:val="000000" w:themeColor="text1"/>
        </w:rPr>
        <w:t>Latvijas Būvuzņēmēju partnerība,</w:t>
      </w:r>
      <w:r w:rsidRPr="00A06815">
        <w:t xml:space="preserve"> </w:t>
      </w:r>
      <w:r w:rsidRPr="00A06815">
        <w:rPr>
          <w:color w:val="000000" w:themeColor="text1"/>
        </w:rPr>
        <w:t xml:space="preserve">Latvijas </w:t>
      </w:r>
      <w:r w:rsidR="0050123F">
        <w:rPr>
          <w:color w:val="000000" w:themeColor="text1"/>
        </w:rPr>
        <w:t>Brīvo arodbiedrību savienība</w:t>
      </w:r>
      <w:r>
        <w:rPr>
          <w:color w:val="000000" w:themeColor="text1"/>
        </w:rPr>
        <w:t xml:space="preserve"> </w:t>
      </w:r>
    </w:p>
    <w:tbl>
      <w:tblPr>
        <w:tblW w:w="15559" w:type="dxa"/>
        <w:tblLook w:val="00A0" w:firstRow="1" w:lastRow="0" w:firstColumn="1" w:lastColumn="0" w:noHBand="0" w:noVBand="0"/>
      </w:tblPr>
      <w:tblGrid>
        <w:gridCol w:w="3936"/>
        <w:gridCol w:w="2772"/>
        <w:gridCol w:w="7859"/>
        <w:gridCol w:w="992"/>
      </w:tblGrid>
      <w:tr w:rsidR="00C042A5" w14:paraId="0285A313" w14:textId="77777777" w:rsidTr="00D30A17">
        <w:trPr>
          <w:gridAfter w:val="1"/>
          <w:wAfter w:w="992" w:type="dxa"/>
          <w:trHeight w:val="135"/>
        </w:trPr>
        <w:tc>
          <w:tcPr>
            <w:tcW w:w="3936" w:type="dxa"/>
          </w:tcPr>
          <w:p w14:paraId="31D9563F" w14:textId="77777777" w:rsidR="00C042A5" w:rsidRPr="00EE5D8C" w:rsidRDefault="00C042A5" w:rsidP="00D30A17">
            <w:pPr>
              <w:rPr>
                <w:sz w:val="22"/>
                <w:szCs w:val="22"/>
              </w:rPr>
            </w:pPr>
          </w:p>
        </w:tc>
        <w:tc>
          <w:tcPr>
            <w:tcW w:w="10631" w:type="dxa"/>
            <w:gridSpan w:val="2"/>
          </w:tcPr>
          <w:p w14:paraId="79CE8307" w14:textId="77777777" w:rsidR="00C042A5" w:rsidRPr="00EE5D8C" w:rsidRDefault="00C042A5" w:rsidP="00D30A17">
            <w:pPr>
              <w:contextualSpacing/>
              <w:rPr>
                <w:sz w:val="22"/>
                <w:szCs w:val="22"/>
              </w:rPr>
            </w:pPr>
          </w:p>
        </w:tc>
      </w:tr>
      <w:tr w:rsidR="00C042A5" w14:paraId="7401BF4A" w14:textId="77777777" w:rsidTr="00D30A17">
        <w:trPr>
          <w:gridAfter w:val="1"/>
          <w:wAfter w:w="992" w:type="dxa"/>
          <w:trHeight w:val="135"/>
        </w:trPr>
        <w:tc>
          <w:tcPr>
            <w:tcW w:w="3936" w:type="dxa"/>
          </w:tcPr>
          <w:p w14:paraId="5BCDC95F" w14:textId="77777777" w:rsidR="00C042A5" w:rsidRPr="00B12B87" w:rsidRDefault="00C042A5" w:rsidP="00D30A17">
            <w:pPr>
              <w:contextualSpacing/>
              <w:jc w:val="both"/>
              <w:rPr>
                <w:sz w:val="22"/>
                <w:szCs w:val="22"/>
              </w:rPr>
            </w:pPr>
          </w:p>
        </w:tc>
        <w:tc>
          <w:tcPr>
            <w:tcW w:w="10631" w:type="dxa"/>
            <w:gridSpan w:val="2"/>
          </w:tcPr>
          <w:p w14:paraId="00B32792" w14:textId="77777777" w:rsidR="00C042A5" w:rsidRPr="00B12B87" w:rsidRDefault="00C042A5" w:rsidP="00D30A17">
            <w:pPr>
              <w:contextualSpacing/>
              <w:rPr>
                <w:sz w:val="22"/>
                <w:szCs w:val="22"/>
              </w:rPr>
            </w:pPr>
          </w:p>
        </w:tc>
      </w:tr>
      <w:tr w:rsidR="00C042A5" w14:paraId="6BC8DE0A" w14:textId="77777777" w:rsidTr="00D30A17">
        <w:trPr>
          <w:gridAfter w:val="1"/>
          <w:wAfter w:w="992" w:type="dxa"/>
        </w:trPr>
        <w:tc>
          <w:tcPr>
            <w:tcW w:w="3936" w:type="dxa"/>
          </w:tcPr>
          <w:p w14:paraId="4D0F7369" w14:textId="77777777" w:rsidR="00C042A5" w:rsidRPr="00B12B87" w:rsidRDefault="00C042A5" w:rsidP="00D30A17">
            <w:pPr>
              <w:contextualSpacing/>
              <w:rPr>
                <w:sz w:val="22"/>
                <w:szCs w:val="22"/>
              </w:rPr>
            </w:pPr>
          </w:p>
        </w:tc>
        <w:tc>
          <w:tcPr>
            <w:tcW w:w="10631" w:type="dxa"/>
            <w:gridSpan w:val="2"/>
          </w:tcPr>
          <w:p w14:paraId="64CB715D" w14:textId="77777777" w:rsidR="00C042A5" w:rsidRPr="00B12B87" w:rsidRDefault="00C042A5" w:rsidP="00D30A17">
            <w:pPr>
              <w:ind w:left="33"/>
              <w:contextualSpacing/>
              <w:rPr>
                <w:sz w:val="22"/>
                <w:szCs w:val="22"/>
              </w:rPr>
            </w:pPr>
          </w:p>
        </w:tc>
      </w:tr>
      <w:tr w:rsidR="00C042A5" w14:paraId="27805712" w14:textId="77777777" w:rsidTr="00D30A17">
        <w:trPr>
          <w:gridAfter w:val="1"/>
          <w:wAfter w:w="992" w:type="dxa"/>
          <w:trHeight w:val="285"/>
        </w:trPr>
        <w:tc>
          <w:tcPr>
            <w:tcW w:w="6708" w:type="dxa"/>
            <w:gridSpan w:val="2"/>
          </w:tcPr>
          <w:p w14:paraId="13FB1CFF" w14:textId="77777777" w:rsidR="00C042A5" w:rsidRDefault="00C042A5" w:rsidP="00D30A17">
            <w:pPr>
              <w:contextualSpacing/>
              <w:rPr>
                <w:sz w:val="22"/>
                <w:szCs w:val="22"/>
              </w:rPr>
            </w:pPr>
            <w:r w:rsidRPr="00B12B87">
              <w:rPr>
                <w:sz w:val="22"/>
                <w:szCs w:val="22"/>
              </w:rPr>
              <w:t>Saskaņošanas dalībnieki izskatīja šādu ministriju (citu institūciju) iebildumus</w:t>
            </w:r>
          </w:p>
          <w:p w14:paraId="239423C0" w14:textId="77777777" w:rsidR="00C042A5" w:rsidRDefault="00C042A5" w:rsidP="00D30A17">
            <w:pPr>
              <w:contextualSpacing/>
              <w:rPr>
                <w:sz w:val="22"/>
                <w:szCs w:val="22"/>
              </w:rPr>
            </w:pPr>
          </w:p>
          <w:p w14:paraId="052C50AC" w14:textId="77777777" w:rsidR="00C042A5" w:rsidRPr="00B12B87" w:rsidRDefault="00C042A5" w:rsidP="00D30A17">
            <w:pPr>
              <w:contextualSpacing/>
              <w:rPr>
                <w:sz w:val="22"/>
                <w:szCs w:val="22"/>
              </w:rPr>
            </w:pPr>
          </w:p>
        </w:tc>
        <w:tc>
          <w:tcPr>
            <w:tcW w:w="7859" w:type="dxa"/>
          </w:tcPr>
          <w:p w14:paraId="101F9ABF" w14:textId="589E9480" w:rsidR="00C042A5" w:rsidRPr="00EE5D8C" w:rsidRDefault="00C042A5" w:rsidP="00D30A17">
            <w:pPr>
              <w:rPr>
                <w:sz w:val="22"/>
                <w:szCs w:val="22"/>
              </w:rPr>
            </w:pPr>
            <w:r w:rsidRPr="00A06815">
              <w:rPr>
                <w:sz w:val="22"/>
                <w:szCs w:val="22"/>
              </w:rPr>
              <w:t xml:space="preserve">Finanšu ministrija, </w:t>
            </w:r>
            <w:proofErr w:type="spellStart"/>
            <w:r w:rsidR="00366CFC">
              <w:rPr>
                <w:sz w:val="22"/>
                <w:szCs w:val="22"/>
              </w:rPr>
              <w:t>Iekšlietu</w:t>
            </w:r>
            <w:proofErr w:type="spellEnd"/>
            <w:r w:rsidR="00366CFC">
              <w:rPr>
                <w:sz w:val="22"/>
                <w:szCs w:val="22"/>
              </w:rPr>
              <w:t xml:space="preserve"> ministrija, </w:t>
            </w:r>
            <w:r w:rsidRPr="00A06815">
              <w:rPr>
                <w:sz w:val="22"/>
                <w:szCs w:val="22"/>
              </w:rPr>
              <w:t>Valsts kanceleja, Tieslietu ministrija, Vides aizsardzības un reģionālās attīstības ministrija</w:t>
            </w:r>
            <w:r w:rsidR="0050123F">
              <w:rPr>
                <w:sz w:val="22"/>
                <w:szCs w:val="22"/>
              </w:rPr>
              <w:t>, Latvijas Būvuzņēmēju partnerība, Latvijas Informācijas un komunikācijas tehnoloģiju asociācija</w:t>
            </w:r>
          </w:p>
        </w:tc>
      </w:tr>
      <w:tr w:rsidR="00C042A5" w14:paraId="11125D31" w14:textId="77777777" w:rsidTr="00D30A17">
        <w:trPr>
          <w:trHeight w:val="95"/>
        </w:trPr>
        <w:tc>
          <w:tcPr>
            <w:tcW w:w="6708" w:type="dxa"/>
            <w:gridSpan w:val="2"/>
          </w:tcPr>
          <w:p w14:paraId="4BCA246B" w14:textId="77777777" w:rsidR="00C042A5" w:rsidRDefault="00C042A5" w:rsidP="00D30A17">
            <w:pPr>
              <w:contextualSpacing/>
              <w:rPr>
                <w:sz w:val="22"/>
                <w:szCs w:val="22"/>
              </w:rPr>
            </w:pPr>
            <w:r w:rsidRPr="00B12B87">
              <w:rPr>
                <w:sz w:val="22"/>
                <w:szCs w:val="22"/>
              </w:rPr>
              <w:t>Ministrijas (citas institūcijas), kuras nav ieradušās uz sanāksmi vai kuras nav atbildējušas uz uzaicinājumu piedalīties elektroniskajā saskaņošanā</w:t>
            </w:r>
          </w:p>
          <w:p w14:paraId="01992489" w14:textId="05593EC8" w:rsidR="00366CFC" w:rsidRPr="00B12B87" w:rsidRDefault="00366CFC" w:rsidP="00D30A17">
            <w:pPr>
              <w:contextualSpacing/>
              <w:rPr>
                <w:sz w:val="22"/>
                <w:szCs w:val="22"/>
              </w:rPr>
            </w:pPr>
          </w:p>
        </w:tc>
        <w:tc>
          <w:tcPr>
            <w:tcW w:w="8851" w:type="dxa"/>
            <w:gridSpan w:val="2"/>
          </w:tcPr>
          <w:p w14:paraId="4CB374A8" w14:textId="77777777" w:rsidR="0050123F" w:rsidRDefault="0050123F" w:rsidP="00D30A17">
            <w:pPr>
              <w:ind w:left="33" w:right="-108"/>
              <w:contextualSpacing/>
              <w:rPr>
                <w:sz w:val="22"/>
                <w:szCs w:val="22"/>
                <w:highlight w:val="yellow"/>
              </w:rPr>
            </w:pPr>
          </w:p>
          <w:p w14:paraId="5E94BCDF" w14:textId="77777777" w:rsidR="0050123F" w:rsidRDefault="0050123F" w:rsidP="00D30A17">
            <w:pPr>
              <w:ind w:left="33" w:right="-108"/>
              <w:contextualSpacing/>
              <w:rPr>
                <w:sz w:val="22"/>
                <w:szCs w:val="22"/>
                <w:highlight w:val="yellow"/>
              </w:rPr>
            </w:pPr>
          </w:p>
          <w:p w14:paraId="6B1B4AD2" w14:textId="1B8F2BEC" w:rsidR="0050123F" w:rsidRPr="008D6517" w:rsidRDefault="0050123F" w:rsidP="0050123F">
            <w:pPr>
              <w:ind w:right="-108"/>
              <w:contextualSpacing/>
              <w:rPr>
                <w:sz w:val="22"/>
                <w:szCs w:val="22"/>
                <w:highlight w:val="yellow"/>
              </w:rPr>
            </w:pPr>
          </w:p>
        </w:tc>
      </w:tr>
    </w:tbl>
    <w:p w14:paraId="63751128" w14:textId="77777777" w:rsidR="007207ED" w:rsidRDefault="00E1789C" w:rsidP="007207ED">
      <w:pPr>
        <w:ind w:left="1080" w:right="57" w:firstLine="360"/>
        <w:contextualSpacing/>
        <w:jc w:val="center"/>
        <w:rPr>
          <w:b/>
          <w:sz w:val="22"/>
          <w:szCs w:val="22"/>
        </w:rPr>
      </w:pPr>
      <w:r>
        <w:rPr>
          <w:b/>
          <w:sz w:val="22"/>
          <w:szCs w:val="22"/>
        </w:rPr>
        <w:lastRenderedPageBreak/>
        <w:t xml:space="preserve">II </w:t>
      </w:r>
      <w:r w:rsidRPr="00B12B87">
        <w:rPr>
          <w:b/>
          <w:sz w:val="22"/>
          <w:szCs w:val="22"/>
        </w:rPr>
        <w:t>Jautājumi, par kuriem saskaņošanā vienošanās ir panākta</w:t>
      </w:r>
    </w:p>
    <w:p w14:paraId="1D201C9A" w14:textId="77777777" w:rsidR="007207ED" w:rsidRDefault="007207ED" w:rsidP="007207ED">
      <w:pPr>
        <w:ind w:left="1080" w:right="57" w:firstLine="360"/>
        <w:contextualSpacing/>
        <w:jc w:val="center"/>
        <w:rPr>
          <w:b/>
          <w:sz w:val="22"/>
          <w:szCs w:val="22"/>
        </w:rPr>
      </w:pPr>
    </w:p>
    <w:p w14:paraId="73F5F717" w14:textId="77777777" w:rsidR="007207ED" w:rsidRDefault="007207ED" w:rsidP="007207ED">
      <w:pPr>
        <w:ind w:left="1080" w:right="57" w:firstLine="360"/>
        <w:contextualSpacing/>
        <w:jc w:val="center"/>
        <w:rPr>
          <w:b/>
          <w:sz w:val="22"/>
          <w:szCs w:val="22"/>
        </w:rPr>
      </w:pPr>
    </w:p>
    <w:tbl>
      <w:tblPr>
        <w:tblStyle w:val="TableGrid"/>
        <w:tblW w:w="15027" w:type="dxa"/>
        <w:tblInd w:w="-431" w:type="dxa"/>
        <w:tblLook w:val="04A0" w:firstRow="1" w:lastRow="0" w:firstColumn="1" w:lastColumn="0" w:noHBand="0" w:noVBand="1"/>
      </w:tblPr>
      <w:tblGrid>
        <w:gridCol w:w="604"/>
        <w:gridCol w:w="3112"/>
        <w:gridCol w:w="4241"/>
        <w:gridCol w:w="3394"/>
        <w:gridCol w:w="3676"/>
      </w:tblGrid>
      <w:tr w:rsidR="005C663F" w14:paraId="71552CBA" w14:textId="77777777" w:rsidTr="00AE1D83">
        <w:tc>
          <w:tcPr>
            <w:tcW w:w="604" w:type="dxa"/>
          </w:tcPr>
          <w:p w14:paraId="3E152192" w14:textId="77777777" w:rsidR="007207ED" w:rsidRPr="001E4AD9" w:rsidRDefault="00E1789C" w:rsidP="007207ED">
            <w:pPr>
              <w:ind w:right="57"/>
              <w:contextualSpacing/>
              <w:jc w:val="center"/>
              <w:rPr>
                <w:sz w:val="22"/>
                <w:szCs w:val="22"/>
              </w:rPr>
            </w:pPr>
            <w:proofErr w:type="spellStart"/>
            <w:r w:rsidRPr="001E4AD9">
              <w:rPr>
                <w:sz w:val="22"/>
                <w:szCs w:val="22"/>
              </w:rPr>
              <w:t>Nr</w:t>
            </w:r>
            <w:proofErr w:type="spellEnd"/>
            <w:r w:rsidRPr="001E4AD9">
              <w:rPr>
                <w:sz w:val="22"/>
                <w:szCs w:val="22"/>
              </w:rPr>
              <w:t xml:space="preserve"> p.k.</w:t>
            </w:r>
          </w:p>
        </w:tc>
        <w:tc>
          <w:tcPr>
            <w:tcW w:w="3112" w:type="dxa"/>
          </w:tcPr>
          <w:p w14:paraId="4BB5AD63" w14:textId="77777777" w:rsidR="007207ED" w:rsidRPr="007207ED" w:rsidRDefault="00E1789C" w:rsidP="007207ED">
            <w:pPr>
              <w:ind w:right="57"/>
              <w:contextualSpacing/>
              <w:jc w:val="center"/>
              <w:rPr>
                <w:sz w:val="22"/>
                <w:szCs w:val="22"/>
              </w:rPr>
            </w:pPr>
            <w:r w:rsidRPr="007207ED">
              <w:rPr>
                <w:sz w:val="22"/>
                <w:szCs w:val="22"/>
              </w:rPr>
              <w:t>Saskaņošanai nosūtītā projekta redakcija (konkrēta punkta (panta) redakcija)</w:t>
            </w:r>
          </w:p>
        </w:tc>
        <w:tc>
          <w:tcPr>
            <w:tcW w:w="4241" w:type="dxa"/>
          </w:tcPr>
          <w:p w14:paraId="13C99685" w14:textId="77777777" w:rsidR="007207ED" w:rsidRPr="007207ED" w:rsidRDefault="00E1789C" w:rsidP="007207ED">
            <w:pPr>
              <w:ind w:right="57"/>
              <w:contextualSpacing/>
              <w:jc w:val="center"/>
              <w:rPr>
                <w:sz w:val="22"/>
                <w:szCs w:val="22"/>
              </w:rPr>
            </w:pPr>
            <w:r w:rsidRPr="007207ED">
              <w:rPr>
                <w:sz w:val="22"/>
                <w:szCs w:val="22"/>
              </w:rPr>
              <w:t>Atzinumā norādītais ministrijas (citas institūcijas) iebildums, kā arī saskaņošanā papildus izteiktais iebildums par projekta konkrēto punktu (pantu)</w:t>
            </w:r>
          </w:p>
        </w:tc>
        <w:tc>
          <w:tcPr>
            <w:tcW w:w="3394" w:type="dxa"/>
          </w:tcPr>
          <w:p w14:paraId="37A020D8" w14:textId="77777777" w:rsidR="007207ED" w:rsidRPr="007207ED" w:rsidRDefault="00E1789C" w:rsidP="007207ED">
            <w:pPr>
              <w:ind w:right="57"/>
              <w:contextualSpacing/>
              <w:jc w:val="center"/>
              <w:rPr>
                <w:sz w:val="22"/>
                <w:szCs w:val="22"/>
              </w:rPr>
            </w:pPr>
            <w:r w:rsidRPr="007207ED">
              <w:rPr>
                <w:sz w:val="22"/>
                <w:szCs w:val="22"/>
              </w:rPr>
              <w:t>Atbildīgās ministrijas norāde par to, ka iebildums ir ņemts vērā, vai informācija par saskaņošanā panākto alternatīvo risinājumu</w:t>
            </w:r>
          </w:p>
        </w:tc>
        <w:tc>
          <w:tcPr>
            <w:tcW w:w="3676" w:type="dxa"/>
          </w:tcPr>
          <w:p w14:paraId="1518BE9C" w14:textId="77777777" w:rsidR="007207ED" w:rsidRPr="007207ED" w:rsidRDefault="00E1789C" w:rsidP="007207ED">
            <w:pPr>
              <w:ind w:right="57"/>
              <w:contextualSpacing/>
              <w:jc w:val="center"/>
              <w:rPr>
                <w:sz w:val="22"/>
                <w:szCs w:val="22"/>
              </w:rPr>
            </w:pPr>
            <w:r w:rsidRPr="007207ED">
              <w:rPr>
                <w:sz w:val="22"/>
                <w:szCs w:val="22"/>
              </w:rPr>
              <w:t>Projekta attiecīgā punkta (panta) galīgā redakcija</w:t>
            </w:r>
          </w:p>
        </w:tc>
      </w:tr>
      <w:tr w:rsidR="005C663F" w14:paraId="0CC79B35" w14:textId="77777777" w:rsidTr="00AE1D83">
        <w:tc>
          <w:tcPr>
            <w:tcW w:w="604" w:type="dxa"/>
          </w:tcPr>
          <w:p w14:paraId="6BA1D567" w14:textId="77777777" w:rsidR="007207ED" w:rsidRPr="001E4AD9" w:rsidRDefault="00E1789C" w:rsidP="007207ED">
            <w:pPr>
              <w:ind w:right="57"/>
              <w:contextualSpacing/>
              <w:jc w:val="center"/>
              <w:rPr>
                <w:sz w:val="22"/>
                <w:szCs w:val="22"/>
              </w:rPr>
            </w:pPr>
            <w:r w:rsidRPr="001E4AD9">
              <w:rPr>
                <w:sz w:val="22"/>
                <w:szCs w:val="22"/>
              </w:rPr>
              <w:t>1</w:t>
            </w:r>
          </w:p>
        </w:tc>
        <w:tc>
          <w:tcPr>
            <w:tcW w:w="3112" w:type="dxa"/>
          </w:tcPr>
          <w:p w14:paraId="3A84B7BF" w14:textId="77777777" w:rsidR="007207ED" w:rsidRPr="007207ED" w:rsidRDefault="00E1789C" w:rsidP="007207ED">
            <w:pPr>
              <w:ind w:right="57"/>
              <w:contextualSpacing/>
              <w:jc w:val="center"/>
              <w:rPr>
                <w:sz w:val="22"/>
                <w:szCs w:val="22"/>
              </w:rPr>
            </w:pPr>
            <w:r w:rsidRPr="007207ED">
              <w:rPr>
                <w:sz w:val="22"/>
                <w:szCs w:val="22"/>
              </w:rPr>
              <w:t>2</w:t>
            </w:r>
          </w:p>
        </w:tc>
        <w:tc>
          <w:tcPr>
            <w:tcW w:w="4241" w:type="dxa"/>
          </w:tcPr>
          <w:p w14:paraId="1089E073" w14:textId="77777777" w:rsidR="007207ED" w:rsidRPr="007207ED" w:rsidRDefault="00E1789C" w:rsidP="007207ED">
            <w:pPr>
              <w:ind w:right="57"/>
              <w:contextualSpacing/>
              <w:jc w:val="center"/>
              <w:rPr>
                <w:sz w:val="22"/>
                <w:szCs w:val="22"/>
              </w:rPr>
            </w:pPr>
            <w:r w:rsidRPr="007207ED">
              <w:rPr>
                <w:sz w:val="22"/>
                <w:szCs w:val="22"/>
              </w:rPr>
              <w:t>3</w:t>
            </w:r>
          </w:p>
        </w:tc>
        <w:tc>
          <w:tcPr>
            <w:tcW w:w="3394" w:type="dxa"/>
          </w:tcPr>
          <w:p w14:paraId="147448E3" w14:textId="77777777" w:rsidR="007207ED" w:rsidRPr="007207ED" w:rsidRDefault="00E1789C" w:rsidP="007207ED">
            <w:pPr>
              <w:ind w:right="57"/>
              <w:contextualSpacing/>
              <w:jc w:val="center"/>
              <w:rPr>
                <w:sz w:val="22"/>
                <w:szCs w:val="22"/>
              </w:rPr>
            </w:pPr>
            <w:r w:rsidRPr="007207ED">
              <w:rPr>
                <w:sz w:val="22"/>
                <w:szCs w:val="22"/>
              </w:rPr>
              <w:t>4</w:t>
            </w:r>
          </w:p>
        </w:tc>
        <w:tc>
          <w:tcPr>
            <w:tcW w:w="3676" w:type="dxa"/>
          </w:tcPr>
          <w:p w14:paraId="4C1CED47" w14:textId="77777777" w:rsidR="007207ED" w:rsidRPr="007207ED" w:rsidRDefault="00E1789C" w:rsidP="007207ED">
            <w:pPr>
              <w:ind w:right="57"/>
              <w:contextualSpacing/>
              <w:jc w:val="center"/>
              <w:rPr>
                <w:sz w:val="22"/>
                <w:szCs w:val="22"/>
              </w:rPr>
            </w:pPr>
            <w:r w:rsidRPr="007207ED">
              <w:rPr>
                <w:sz w:val="22"/>
                <w:szCs w:val="22"/>
              </w:rPr>
              <w:t>5</w:t>
            </w:r>
          </w:p>
        </w:tc>
      </w:tr>
      <w:tr w:rsidR="00D261FA" w14:paraId="40529B34" w14:textId="77777777" w:rsidTr="00AE1D83">
        <w:tc>
          <w:tcPr>
            <w:tcW w:w="604" w:type="dxa"/>
          </w:tcPr>
          <w:p w14:paraId="45D8628A" w14:textId="219C1D84" w:rsidR="00D261FA" w:rsidRPr="001E4AD9" w:rsidRDefault="00D261FA" w:rsidP="00D261FA">
            <w:pPr>
              <w:ind w:right="57"/>
              <w:contextualSpacing/>
              <w:jc w:val="center"/>
            </w:pPr>
            <w:r>
              <w:t>1.</w:t>
            </w:r>
          </w:p>
        </w:tc>
        <w:tc>
          <w:tcPr>
            <w:tcW w:w="3112" w:type="dxa"/>
            <w:tcBorders>
              <w:top w:val="single" w:sz="4" w:space="0" w:color="auto"/>
              <w:left w:val="single" w:sz="4" w:space="0" w:color="auto"/>
              <w:bottom w:val="single" w:sz="4" w:space="0" w:color="auto"/>
              <w:right w:val="single" w:sz="4" w:space="0" w:color="auto"/>
            </w:tcBorders>
          </w:tcPr>
          <w:p w14:paraId="19491C21" w14:textId="77777777" w:rsidR="00D261FA" w:rsidRPr="0010762C" w:rsidRDefault="00D261FA" w:rsidP="00D261FA">
            <w:pPr>
              <w:shd w:val="clear" w:color="auto" w:fill="FFFFFF"/>
              <w:contextualSpacing/>
              <w:jc w:val="both"/>
            </w:pPr>
          </w:p>
        </w:tc>
        <w:tc>
          <w:tcPr>
            <w:tcW w:w="4241" w:type="dxa"/>
          </w:tcPr>
          <w:p w14:paraId="570CD0D1" w14:textId="77777777" w:rsidR="00D261FA" w:rsidRPr="007C5704" w:rsidRDefault="00D261FA" w:rsidP="00D261FA">
            <w:pPr>
              <w:ind w:right="57"/>
              <w:contextualSpacing/>
              <w:jc w:val="both"/>
              <w:rPr>
                <w:b/>
              </w:rPr>
            </w:pPr>
            <w:r w:rsidRPr="007C5704">
              <w:rPr>
                <w:b/>
              </w:rPr>
              <w:t>Latvijas Būvuzņēmēju partnerība</w:t>
            </w:r>
          </w:p>
          <w:p w14:paraId="21B3D505" w14:textId="77777777" w:rsidR="00D261FA" w:rsidRPr="007C5704" w:rsidRDefault="00D261FA" w:rsidP="00D261FA">
            <w:pPr>
              <w:ind w:right="57"/>
              <w:contextualSpacing/>
              <w:jc w:val="both"/>
              <w:rPr>
                <w:bCs/>
              </w:rPr>
            </w:pPr>
            <w:r w:rsidRPr="007C5704">
              <w:rPr>
                <w:bCs/>
              </w:rPr>
              <w:t xml:space="preserve">Tā kā par pārkāpumiem saistībā ar  EDLUS ir paredzēti milzīgi administratīvie sodi galvenajam būvdarbu veicējam (nevis EDLUS izstrādātājam), ir jābūt arī skaidram mehānismam, kas dod galvenajam būvdarbu veicējam iespēju saņemt apstiprinājumu, ka izmantotais EDLUS, tai skaitā izvēlētais IT risinājums datu integritātes nodrošināšanai, ir atbilstošs normatīvo aktu prasībām. Šobrīd, pieņemot VEDLUDB noteikumus piedāvātajā redakcijā, tiek radīts tiesisks mehānisms (ārējs drošības audits), kas EDLUS izstrādātajam un galvenajam būvdarbu veicējam ļauj gūt pārliecību, ka EDLUS atbilst Likuma prasībām, bet nav mehānisma, kādā veidā pārliecināties vai EDLUS, kas pēc būtības atbilst visām ar datu integritāti saistītajām prasībām, bet kurā netiek izmantotas, piemēram, </w:t>
            </w:r>
            <w:proofErr w:type="spellStart"/>
            <w:r w:rsidRPr="0050123F">
              <w:rPr>
                <w:bCs/>
                <w:i/>
                <w:iCs/>
              </w:rPr>
              <w:t>Hash</w:t>
            </w:r>
            <w:proofErr w:type="spellEnd"/>
            <w:r w:rsidRPr="007C5704">
              <w:rPr>
                <w:bCs/>
              </w:rPr>
              <w:t xml:space="preserve"> ķēdes, atbilst VEDLUDB noteikumos noteiktajām prasībām attiecībā uz auditācijas pierakstu veidošanu. </w:t>
            </w:r>
          </w:p>
          <w:p w14:paraId="0AFFD44C" w14:textId="77777777" w:rsidR="00D261FA" w:rsidRPr="007C5704" w:rsidRDefault="00D261FA" w:rsidP="00D261FA">
            <w:pPr>
              <w:ind w:right="57"/>
              <w:contextualSpacing/>
              <w:jc w:val="both"/>
              <w:rPr>
                <w:bCs/>
              </w:rPr>
            </w:pPr>
          </w:p>
          <w:p w14:paraId="24C8E938" w14:textId="138012EC" w:rsidR="00D261FA" w:rsidRPr="0034430B" w:rsidRDefault="00D261FA" w:rsidP="00D261FA">
            <w:pPr>
              <w:ind w:right="57"/>
              <w:contextualSpacing/>
              <w:jc w:val="both"/>
              <w:rPr>
                <w:bCs/>
              </w:rPr>
            </w:pPr>
            <w:r w:rsidRPr="007C5704">
              <w:rPr>
                <w:bCs/>
              </w:rPr>
              <w:t>Ievērojot augstāk minēto, lūdzam precizēt VEDLUDB noteikumus, nosakot, ka EDLUS drošības audita ietvaros veiktais atzinums kalpo par apliecinājumu tam, ka EDLUS atbilst normatīvo aktu prasībām, tai skaitā VEDLUDB noteikumos paredzētajām prasībām attiecībā uz auditācijas pierakstu veidošanu.</w:t>
            </w:r>
          </w:p>
        </w:tc>
        <w:tc>
          <w:tcPr>
            <w:tcW w:w="3394" w:type="dxa"/>
          </w:tcPr>
          <w:p w14:paraId="2774AEA6" w14:textId="3C178F0E" w:rsidR="00D261FA" w:rsidRPr="002B217B" w:rsidRDefault="00D261FA" w:rsidP="00D261FA">
            <w:pPr>
              <w:ind w:right="57"/>
              <w:contextualSpacing/>
              <w:jc w:val="center"/>
              <w:rPr>
                <w:b/>
              </w:rPr>
            </w:pPr>
            <w:r>
              <w:rPr>
                <w:b/>
              </w:rPr>
              <w:lastRenderedPageBreak/>
              <w:t>Panākta vienošanās elektroniskās saskaņošanas ietvaros</w:t>
            </w:r>
          </w:p>
          <w:p w14:paraId="425CEAF9" w14:textId="77777777" w:rsidR="00D261FA" w:rsidRPr="002B217B" w:rsidRDefault="00D261FA" w:rsidP="00D261FA">
            <w:pPr>
              <w:shd w:val="clear" w:color="auto" w:fill="FFFFFF"/>
              <w:spacing w:line="293" w:lineRule="atLeast"/>
              <w:jc w:val="both"/>
            </w:pPr>
            <w:r w:rsidRPr="002B217B">
              <w:rPr>
                <w:rFonts w:eastAsia="Calibri"/>
                <w:lang w:eastAsia="en-US"/>
              </w:rPr>
              <w:t>Ievērojot, likuma “Par nodokļiem un nodevām” 110.panta pirmo daļu, el</w:t>
            </w:r>
            <w:r w:rsidRPr="002B217B">
              <w:t xml:space="preserve">ektroniskās darba laika uzskaites sistēma ir auditēta (tai nodrošināta sākotnējā un ne retāk kā vienu reizi divos gados ārējā drošības pārbaude, kas iekļauj arī ielaušanās testu un atbilstības šā likuma XIV nodaļā noteiktajām prasībām pārbaudes veikšanu) elektroniska sistēma. Savukārt minētā likuma 113.panta otrā daļa nosaka, ka elektroniskās darba laika uzskaites sistēma attiecībā uz sistēmas informācijas resursiem [programmatūru, datnēm (arī tām, kas satur sistēmā glabājamo, apstrādājamo un sistēmas lietotājiem pieejamo </w:t>
            </w:r>
            <w:r w:rsidRPr="002B217B">
              <w:lastRenderedPageBreak/>
              <w:t>informāciju) un sistēmas dokumentāciju] izmanto programmatūru, ar kuru veic auditācijas pierakstus, reģistrējot datus par notikumiem sistēmā, lai nodrošinātu iespēju novērtēt to ietekmi uz sistēmas drošību. Ministru kabinets nosaka prasības auditācijas pierakstu veidošanai, uzglabāšanai un izsniegšanai.</w:t>
            </w:r>
          </w:p>
          <w:p w14:paraId="4AA7CAE8" w14:textId="01AF360A" w:rsidR="00D261FA" w:rsidRDefault="00D261FA" w:rsidP="00C66B57">
            <w:pPr>
              <w:ind w:right="57"/>
              <w:contextualSpacing/>
              <w:jc w:val="both"/>
              <w:rPr>
                <w:b/>
              </w:rPr>
            </w:pPr>
            <w:r w:rsidRPr="002B217B">
              <w:t>Tādējādi ārējā drošības pārbaudes atzinums sniedz informāciju par to, vai elektroniskās darba laika uzskaites sistēma atbilst likuma “Par nodokļiem un nodevām” XIV nodaļā noteiktajām prasībām, t.sk., prasībām attiecībā uz auditācijas pierakstiem.</w:t>
            </w:r>
          </w:p>
        </w:tc>
        <w:tc>
          <w:tcPr>
            <w:tcW w:w="3676" w:type="dxa"/>
          </w:tcPr>
          <w:p w14:paraId="221FFDA6" w14:textId="77777777" w:rsidR="00D261FA" w:rsidRPr="0010762C" w:rsidRDefault="00D261FA" w:rsidP="00D261FA">
            <w:pPr>
              <w:ind w:right="57"/>
              <w:contextualSpacing/>
              <w:jc w:val="both"/>
            </w:pPr>
          </w:p>
        </w:tc>
      </w:tr>
      <w:tr w:rsidR="00D261FA" w14:paraId="23E80EA9" w14:textId="77777777" w:rsidTr="00AE1D83">
        <w:tc>
          <w:tcPr>
            <w:tcW w:w="604" w:type="dxa"/>
          </w:tcPr>
          <w:p w14:paraId="0C76D923" w14:textId="37E0BE80" w:rsidR="00D261FA" w:rsidRPr="001E4AD9" w:rsidRDefault="00825895" w:rsidP="00D261FA">
            <w:pPr>
              <w:ind w:right="57"/>
              <w:contextualSpacing/>
              <w:jc w:val="center"/>
            </w:pPr>
            <w:r>
              <w:t>2.</w:t>
            </w:r>
          </w:p>
        </w:tc>
        <w:tc>
          <w:tcPr>
            <w:tcW w:w="3112" w:type="dxa"/>
            <w:tcBorders>
              <w:top w:val="single" w:sz="4" w:space="0" w:color="auto"/>
              <w:left w:val="single" w:sz="4" w:space="0" w:color="auto"/>
              <w:bottom w:val="single" w:sz="4" w:space="0" w:color="auto"/>
              <w:right w:val="single" w:sz="4" w:space="0" w:color="auto"/>
            </w:tcBorders>
          </w:tcPr>
          <w:p w14:paraId="4674C877" w14:textId="11A5EA2E" w:rsidR="00D261FA" w:rsidRPr="007207ED" w:rsidRDefault="00D261FA" w:rsidP="00D261FA">
            <w:pPr>
              <w:shd w:val="clear" w:color="auto" w:fill="FFFFFF"/>
              <w:contextualSpacing/>
              <w:jc w:val="both"/>
            </w:pPr>
            <w:r w:rsidRPr="0010762C">
              <w:t>5. Galvenais būvdarbu veicējs un apakšuzņēmējs datus vienotajā elektroniskās darba laika uzskaites datubāzē iesniedz, izmantojot būvniecības informācijas sistēmā šim mērķim izveidotu elektronisko pakalpojumu.</w:t>
            </w:r>
          </w:p>
        </w:tc>
        <w:tc>
          <w:tcPr>
            <w:tcW w:w="4241" w:type="dxa"/>
          </w:tcPr>
          <w:p w14:paraId="093B5247" w14:textId="5F398D7E" w:rsidR="00D261FA" w:rsidRPr="007207ED" w:rsidRDefault="00D261FA" w:rsidP="00D261FA">
            <w:pPr>
              <w:ind w:right="57"/>
              <w:contextualSpacing/>
              <w:jc w:val="both"/>
              <w:rPr>
                <w:b/>
                <w:u w:val="single"/>
              </w:rPr>
            </w:pPr>
            <w:r>
              <w:rPr>
                <w:b/>
                <w:u w:val="single"/>
              </w:rPr>
              <w:t>Finanšu</w:t>
            </w:r>
            <w:r w:rsidRPr="007207ED">
              <w:rPr>
                <w:b/>
                <w:u w:val="single"/>
              </w:rPr>
              <w:t xml:space="preserve"> ministrija</w:t>
            </w:r>
          </w:p>
          <w:p w14:paraId="2387BB02" w14:textId="671073DE" w:rsidR="00D261FA" w:rsidRPr="007207ED" w:rsidRDefault="00D261FA" w:rsidP="00D261FA">
            <w:pPr>
              <w:ind w:right="57"/>
              <w:contextualSpacing/>
              <w:jc w:val="both"/>
            </w:pPr>
            <w:r w:rsidRPr="0010762C">
              <w:t xml:space="preserve">1. VEDLUDB noteikumu projekta 5.punkts nosaka, ka galvenais būvdarbu veicējs un apakšuzņēmējs datus vienotajā elektroniskās darba laika uzskaites datubāzē (turpmāk – VEDLUDB) iesniedz, izmantojot būvniecības informācijas sistēmā šim mērķim izveidotu elektronisko pakalpojumu. Likuma “Par nodokļiem un nodevām” 117.panta 4.punkts nosaka, ka </w:t>
            </w:r>
            <w:r w:rsidRPr="0010762C">
              <w:lastRenderedPageBreak/>
              <w:t xml:space="preserve">apakšuzņēmējam ir pienākums katru mēnesi līdz 15. datumam, autorizējoties vienotajā elektroniskās darba laika uzskaites datubāzē, iesniegt informāciju par visiem ar saviem apakšuzņēmējiem iepriekšējā mēnesī noslēgtajiem būvdarbu līgumiem, kuru līguma summa ir 15 000 </w:t>
            </w:r>
            <w:proofErr w:type="spellStart"/>
            <w:r w:rsidRPr="0010762C">
              <w:t>euro</w:t>
            </w:r>
            <w:proofErr w:type="spellEnd"/>
            <w:r w:rsidRPr="0010762C">
              <w:t xml:space="preserve"> vai vairāk, un, ja mainās līguma summa, šā līguma grozījumiem. Ņemot vērā minēto, VEDLUDB noteikumu projekta 5.punkts precizējams, nosakot, ka apakšuzņēmējs iesniedz informāciju, nevis datus. </w:t>
            </w:r>
          </w:p>
        </w:tc>
        <w:tc>
          <w:tcPr>
            <w:tcW w:w="3394" w:type="dxa"/>
          </w:tcPr>
          <w:p w14:paraId="018B5C2E" w14:textId="77777777" w:rsidR="00D261FA" w:rsidRDefault="00D261FA" w:rsidP="00D261FA">
            <w:pPr>
              <w:ind w:right="57"/>
              <w:contextualSpacing/>
              <w:jc w:val="center"/>
              <w:rPr>
                <w:b/>
              </w:rPr>
            </w:pPr>
            <w:r>
              <w:rPr>
                <w:b/>
              </w:rPr>
              <w:lastRenderedPageBreak/>
              <w:t>Ņemts vērā</w:t>
            </w:r>
          </w:p>
          <w:p w14:paraId="194CDDC4" w14:textId="77777777" w:rsidR="00D261FA" w:rsidRDefault="00D261FA" w:rsidP="00D261FA">
            <w:pPr>
              <w:ind w:right="57"/>
              <w:contextualSpacing/>
              <w:jc w:val="center"/>
              <w:rPr>
                <w:b/>
              </w:rPr>
            </w:pPr>
          </w:p>
          <w:p w14:paraId="38F4047E" w14:textId="77777777" w:rsidR="00D261FA" w:rsidRDefault="00D261FA" w:rsidP="00D261FA">
            <w:pPr>
              <w:ind w:right="57"/>
              <w:contextualSpacing/>
              <w:jc w:val="center"/>
              <w:rPr>
                <w:b/>
              </w:rPr>
            </w:pPr>
          </w:p>
          <w:p w14:paraId="07263E22" w14:textId="77777777" w:rsidR="00D261FA" w:rsidRDefault="00D261FA" w:rsidP="00D261FA">
            <w:pPr>
              <w:ind w:right="57"/>
              <w:contextualSpacing/>
              <w:jc w:val="center"/>
              <w:rPr>
                <w:b/>
              </w:rPr>
            </w:pPr>
          </w:p>
          <w:p w14:paraId="2DE5B6F5" w14:textId="77777777" w:rsidR="00D261FA" w:rsidRDefault="00D261FA" w:rsidP="00D261FA">
            <w:pPr>
              <w:ind w:right="57"/>
              <w:contextualSpacing/>
              <w:jc w:val="center"/>
              <w:rPr>
                <w:b/>
              </w:rPr>
            </w:pPr>
          </w:p>
          <w:p w14:paraId="423FC687" w14:textId="77777777" w:rsidR="00D261FA" w:rsidRDefault="00D261FA" w:rsidP="00D261FA">
            <w:pPr>
              <w:ind w:right="57"/>
              <w:contextualSpacing/>
              <w:jc w:val="center"/>
              <w:rPr>
                <w:b/>
              </w:rPr>
            </w:pPr>
          </w:p>
          <w:p w14:paraId="34347536" w14:textId="77777777" w:rsidR="00D261FA" w:rsidRDefault="00D261FA" w:rsidP="00D261FA">
            <w:pPr>
              <w:ind w:right="57"/>
              <w:contextualSpacing/>
              <w:jc w:val="center"/>
              <w:rPr>
                <w:b/>
              </w:rPr>
            </w:pPr>
          </w:p>
          <w:p w14:paraId="0F89AA42" w14:textId="77777777" w:rsidR="00D261FA" w:rsidRDefault="00D261FA" w:rsidP="00D261FA">
            <w:pPr>
              <w:ind w:right="57"/>
              <w:contextualSpacing/>
              <w:jc w:val="center"/>
              <w:rPr>
                <w:b/>
              </w:rPr>
            </w:pPr>
          </w:p>
          <w:p w14:paraId="788C265A" w14:textId="77777777" w:rsidR="00D261FA" w:rsidRDefault="00D261FA" w:rsidP="00D261FA">
            <w:pPr>
              <w:ind w:right="57"/>
              <w:contextualSpacing/>
              <w:jc w:val="center"/>
              <w:rPr>
                <w:b/>
              </w:rPr>
            </w:pPr>
          </w:p>
          <w:p w14:paraId="5A008EB8" w14:textId="77777777" w:rsidR="00D261FA" w:rsidRDefault="00D261FA" w:rsidP="00D261FA">
            <w:pPr>
              <w:ind w:right="57"/>
              <w:contextualSpacing/>
              <w:jc w:val="center"/>
              <w:rPr>
                <w:b/>
              </w:rPr>
            </w:pPr>
          </w:p>
          <w:p w14:paraId="7D7FEC9D" w14:textId="77777777" w:rsidR="00D261FA" w:rsidRDefault="00D261FA" w:rsidP="00D261FA">
            <w:pPr>
              <w:ind w:right="57"/>
              <w:contextualSpacing/>
              <w:jc w:val="center"/>
              <w:rPr>
                <w:b/>
              </w:rPr>
            </w:pPr>
          </w:p>
          <w:p w14:paraId="72B52575" w14:textId="77777777" w:rsidR="00D261FA" w:rsidRDefault="00D261FA" w:rsidP="00D261FA">
            <w:pPr>
              <w:ind w:right="57"/>
              <w:contextualSpacing/>
              <w:jc w:val="center"/>
              <w:rPr>
                <w:b/>
              </w:rPr>
            </w:pPr>
          </w:p>
          <w:p w14:paraId="64340F7F" w14:textId="77777777" w:rsidR="00D261FA" w:rsidRDefault="00D261FA" w:rsidP="00D261FA">
            <w:pPr>
              <w:ind w:right="57"/>
              <w:contextualSpacing/>
              <w:jc w:val="center"/>
              <w:rPr>
                <w:b/>
              </w:rPr>
            </w:pPr>
          </w:p>
          <w:p w14:paraId="0283B9EE" w14:textId="77777777" w:rsidR="00D261FA" w:rsidRDefault="00D261FA" w:rsidP="00D261FA">
            <w:pPr>
              <w:ind w:right="57"/>
              <w:contextualSpacing/>
              <w:jc w:val="center"/>
              <w:rPr>
                <w:b/>
              </w:rPr>
            </w:pPr>
          </w:p>
          <w:p w14:paraId="697DB3C4" w14:textId="77777777" w:rsidR="00D261FA" w:rsidRDefault="00D261FA" w:rsidP="00D261FA">
            <w:pPr>
              <w:ind w:right="57"/>
              <w:contextualSpacing/>
              <w:jc w:val="center"/>
              <w:rPr>
                <w:b/>
              </w:rPr>
            </w:pPr>
          </w:p>
          <w:p w14:paraId="6DA7E12A" w14:textId="77777777" w:rsidR="00D261FA" w:rsidRDefault="00D261FA" w:rsidP="00D261FA">
            <w:pPr>
              <w:ind w:right="57"/>
              <w:contextualSpacing/>
              <w:jc w:val="center"/>
              <w:rPr>
                <w:b/>
              </w:rPr>
            </w:pPr>
          </w:p>
          <w:p w14:paraId="3324972C" w14:textId="77777777" w:rsidR="00D261FA" w:rsidRDefault="00D261FA" w:rsidP="00D261FA">
            <w:pPr>
              <w:ind w:right="57"/>
              <w:contextualSpacing/>
              <w:jc w:val="center"/>
              <w:rPr>
                <w:b/>
              </w:rPr>
            </w:pPr>
          </w:p>
          <w:p w14:paraId="274F36CD" w14:textId="77777777" w:rsidR="00D261FA" w:rsidRDefault="00D261FA" w:rsidP="00D261FA">
            <w:pPr>
              <w:ind w:right="57"/>
              <w:contextualSpacing/>
              <w:jc w:val="center"/>
              <w:rPr>
                <w:b/>
              </w:rPr>
            </w:pPr>
          </w:p>
          <w:p w14:paraId="11DF334D" w14:textId="77777777" w:rsidR="00D261FA" w:rsidRDefault="00D261FA" w:rsidP="00D261FA">
            <w:pPr>
              <w:ind w:right="57"/>
              <w:contextualSpacing/>
              <w:jc w:val="center"/>
              <w:rPr>
                <w:b/>
              </w:rPr>
            </w:pPr>
          </w:p>
          <w:p w14:paraId="6A44DCEC" w14:textId="77777777" w:rsidR="00D261FA" w:rsidRDefault="00D261FA" w:rsidP="00D261FA">
            <w:pPr>
              <w:ind w:right="57"/>
              <w:contextualSpacing/>
              <w:jc w:val="center"/>
              <w:rPr>
                <w:b/>
              </w:rPr>
            </w:pPr>
          </w:p>
          <w:p w14:paraId="0F9DE0F2" w14:textId="77777777" w:rsidR="00D261FA" w:rsidRDefault="00D261FA" w:rsidP="00D261FA">
            <w:pPr>
              <w:ind w:right="57"/>
              <w:contextualSpacing/>
              <w:jc w:val="center"/>
              <w:rPr>
                <w:b/>
              </w:rPr>
            </w:pPr>
          </w:p>
          <w:p w14:paraId="34514D11" w14:textId="77777777" w:rsidR="00D261FA" w:rsidRDefault="00D261FA" w:rsidP="00D261FA">
            <w:pPr>
              <w:ind w:right="57"/>
              <w:contextualSpacing/>
              <w:jc w:val="center"/>
              <w:rPr>
                <w:b/>
              </w:rPr>
            </w:pPr>
          </w:p>
          <w:p w14:paraId="62FD1D0D" w14:textId="77777777" w:rsidR="00D261FA" w:rsidRPr="00844A51" w:rsidRDefault="00D261FA" w:rsidP="00D261FA">
            <w:pPr>
              <w:ind w:right="57"/>
              <w:contextualSpacing/>
              <w:jc w:val="both"/>
              <w:rPr>
                <w:b/>
                <w:sz w:val="28"/>
                <w:szCs w:val="28"/>
              </w:rPr>
            </w:pPr>
          </w:p>
          <w:p w14:paraId="291DF1FA" w14:textId="48307464" w:rsidR="00D261FA" w:rsidRPr="000F0C4C" w:rsidRDefault="00D261FA" w:rsidP="00D261FA">
            <w:pPr>
              <w:ind w:right="57"/>
              <w:contextualSpacing/>
              <w:jc w:val="center"/>
              <w:rPr>
                <w:b/>
              </w:rPr>
            </w:pPr>
          </w:p>
        </w:tc>
        <w:tc>
          <w:tcPr>
            <w:tcW w:w="3676" w:type="dxa"/>
          </w:tcPr>
          <w:p w14:paraId="084B8728" w14:textId="77777777" w:rsidR="00D261FA" w:rsidRDefault="00D261FA" w:rsidP="00D261FA">
            <w:pPr>
              <w:ind w:right="57"/>
              <w:contextualSpacing/>
              <w:jc w:val="both"/>
            </w:pPr>
            <w:r w:rsidRPr="0010762C">
              <w:lastRenderedPageBreak/>
              <w:t xml:space="preserve">5. Galvenais būvdarbu veicējs </w:t>
            </w:r>
            <w:r w:rsidRPr="00E71B2C">
              <w:rPr>
                <w:b/>
                <w:u w:val="single"/>
              </w:rPr>
              <w:t>datus, bet apakšuzņēmējs informāciju</w:t>
            </w:r>
            <w:r>
              <w:t xml:space="preserve"> </w:t>
            </w:r>
            <w:r w:rsidRPr="0010762C">
              <w:t>vienotajā elektroniskās darba laika uzskaites datubāzē iesniedz, izmantojot būvniecības informācijas sistēmā šim mērķim izveidotu elektronisko pakalpojumu.</w:t>
            </w:r>
          </w:p>
          <w:p w14:paraId="3413E03B" w14:textId="77777777" w:rsidR="00D261FA" w:rsidRDefault="00D261FA" w:rsidP="00D261FA">
            <w:pPr>
              <w:ind w:right="57"/>
              <w:contextualSpacing/>
              <w:jc w:val="both"/>
            </w:pPr>
          </w:p>
          <w:p w14:paraId="580055B5" w14:textId="77777777" w:rsidR="00D261FA" w:rsidRDefault="00D261FA" w:rsidP="00D261FA">
            <w:pPr>
              <w:ind w:right="57"/>
              <w:contextualSpacing/>
              <w:jc w:val="both"/>
            </w:pPr>
          </w:p>
          <w:p w14:paraId="2B1E39D2" w14:textId="77777777" w:rsidR="00D261FA" w:rsidRDefault="00D261FA" w:rsidP="00D261FA">
            <w:pPr>
              <w:ind w:right="57"/>
              <w:contextualSpacing/>
              <w:jc w:val="both"/>
            </w:pPr>
          </w:p>
          <w:p w14:paraId="3F0D9B56" w14:textId="77777777" w:rsidR="00D261FA" w:rsidRDefault="00D261FA" w:rsidP="00D261FA">
            <w:pPr>
              <w:ind w:right="57"/>
              <w:contextualSpacing/>
              <w:jc w:val="both"/>
            </w:pPr>
          </w:p>
          <w:p w14:paraId="74CC735F" w14:textId="77777777" w:rsidR="00D261FA" w:rsidRDefault="00D261FA" w:rsidP="00D261FA">
            <w:pPr>
              <w:ind w:right="57"/>
              <w:contextualSpacing/>
              <w:jc w:val="both"/>
            </w:pPr>
          </w:p>
          <w:p w14:paraId="6F402DCC" w14:textId="77777777" w:rsidR="00D261FA" w:rsidRDefault="00D261FA" w:rsidP="00D261FA">
            <w:pPr>
              <w:ind w:right="57"/>
              <w:contextualSpacing/>
              <w:jc w:val="both"/>
            </w:pPr>
          </w:p>
          <w:p w14:paraId="3CCB298A" w14:textId="77777777" w:rsidR="00D261FA" w:rsidRDefault="00D261FA" w:rsidP="00D261FA">
            <w:pPr>
              <w:ind w:right="57"/>
              <w:contextualSpacing/>
              <w:jc w:val="both"/>
            </w:pPr>
          </w:p>
          <w:p w14:paraId="40ADF891" w14:textId="77777777" w:rsidR="00D261FA" w:rsidRDefault="00D261FA" w:rsidP="00D261FA">
            <w:pPr>
              <w:ind w:right="57"/>
              <w:contextualSpacing/>
              <w:jc w:val="both"/>
            </w:pPr>
          </w:p>
          <w:p w14:paraId="5B775D2E" w14:textId="77777777" w:rsidR="00D261FA" w:rsidRDefault="00D261FA" w:rsidP="00D261FA">
            <w:pPr>
              <w:ind w:right="57"/>
              <w:contextualSpacing/>
              <w:jc w:val="both"/>
            </w:pPr>
          </w:p>
          <w:p w14:paraId="36D6D05F" w14:textId="77777777" w:rsidR="00D261FA" w:rsidRDefault="00D261FA" w:rsidP="00D261FA">
            <w:pPr>
              <w:ind w:right="57"/>
              <w:contextualSpacing/>
              <w:jc w:val="both"/>
            </w:pPr>
          </w:p>
          <w:p w14:paraId="507150BA" w14:textId="77777777" w:rsidR="00D261FA" w:rsidRDefault="00D261FA" w:rsidP="00D261FA">
            <w:pPr>
              <w:ind w:right="57"/>
              <w:contextualSpacing/>
              <w:jc w:val="both"/>
            </w:pPr>
          </w:p>
          <w:p w14:paraId="073CFD9C" w14:textId="77777777" w:rsidR="00D261FA" w:rsidRDefault="00D261FA" w:rsidP="00D261FA">
            <w:pPr>
              <w:ind w:right="57"/>
              <w:contextualSpacing/>
              <w:jc w:val="both"/>
            </w:pPr>
          </w:p>
          <w:p w14:paraId="4CF393E7" w14:textId="77777777" w:rsidR="00D261FA" w:rsidRDefault="00D261FA" w:rsidP="00D261FA">
            <w:pPr>
              <w:ind w:right="57"/>
              <w:contextualSpacing/>
              <w:jc w:val="both"/>
            </w:pPr>
          </w:p>
          <w:p w14:paraId="762A63DD" w14:textId="77777777" w:rsidR="00D261FA" w:rsidRDefault="00D261FA" w:rsidP="00D261FA">
            <w:pPr>
              <w:ind w:right="57"/>
              <w:contextualSpacing/>
              <w:jc w:val="both"/>
            </w:pPr>
          </w:p>
          <w:p w14:paraId="2673610F" w14:textId="77777777" w:rsidR="00D261FA" w:rsidRDefault="00D261FA" w:rsidP="00D261FA">
            <w:pPr>
              <w:ind w:right="57"/>
              <w:contextualSpacing/>
              <w:jc w:val="both"/>
            </w:pPr>
          </w:p>
          <w:p w14:paraId="7CD8CAC6" w14:textId="6B6F433D" w:rsidR="00D261FA" w:rsidRPr="00DB5DAF" w:rsidRDefault="00D261FA" w:rsidP="00D261FA">
            <w:pPr>
              <w:ind w:right="57"/>
              <w:contextualSpacing/>
              <w:jc w:val="both"/>
            </w:pPr>
          </w:p>
        </w:tc>
      </w:tr>
      <w:tr w:rsidR="00D261FA" w14:paraId="407D923A" w14:textId="77777777" w:rsidTr="00AE1D83">
        <w:tc>
          <w:tcPr>
            <w:tcW w:w="604" w:type="dxa"/>
          </w:tcPr>
          <w:p w14:paraId="5669BDED" w14:textId="0DBEBE93" w:rsidR="00D261FA" w:rsidRPr="001E4AD9" w:rsidRDefault="00825895" w:rsidP="00D261FA">
            <w:pPr>
              <w:ind w:right="57"/>
              <w:contextualSpacing/>
              <w:jc w:val="center"/>
            </w:pPr>
            <w:r>
              <w:lastRenderedPageBreak/>
              <w:t>3.</w:t>
            </w:r>
          </w:p>
        </w:tc>
        <w:tc>
          <w:tcPr>
            <w:tcW w:w="3112" w:type="dxa"/>
          </w:tcPr>
          <w:p w14:paraId="31A81CE4" w14:textId="7BD4C769" w:rsidR="00D261FA" w:rsidRPr="007207ED" w:rsidRDefault="00D261FA" w:rsidP="00D261FA">
            <w:pPr>
              <w:shd w:val="clear" w:color="auto" w:fill="FFFFFF"/>
              <w:contextualSpacing/>
              <w:jc w:val="both"/>
            </w:pPr>
            <w:r w:rsidRPr="00B32778">
              <w:t>6.1. būvatļaujas, apliecinājuma kartes vai paskaidrojuma raksta numurs;</w:t>
            </w:r>
          </w:p>
        </w:tc>
        <w:tc>
          <w:tcPr>
            <w:tcW w:w="4241" w:type="dxa"/>
          </w:tcPr>
          <w:p w14:paraId="196930F8" w14:textId="246C0C3E" w:rsidR="00D261FA" w:rsidRDefault="00D261FA" w:rsidP="00D261FA">
            <w:pPr>
              <w:ind w:right="57"/>
              <w:contextualSpacing/>
              <w:jc w:val="both"/>
              <w:rPr>
                <w:b/>
                <w:u w:val="single"/>
              </w:rPr>
            </w:pPr>
            <w:r w:rsidRPr="005A7ECB">
              <w:rPr>
                <w:b/>
                <w:u w:val="single"/>
              </w:rPr>
              <w:t>Latvijas Būvuzņēmēju partnerība</w:t>
            </w:r>
          </w:p>
          <w:p w14:paraId="73886146" w14:textId="582C2F96" w:rsidR="00D261FA" w:rsidRPr="00F90B2F" w:rsidRDefault="00D261FA" w:rsidP="00D261FA">
            <w:pPr>
              <w:spacing w:after="160" w:line="259" w:lineRule="auto"/>
              <w:contextualSpacing/>
              <w:jc w:val="both"/>
              <w:rPr>
                <w:rFonts w:eastAsia="Calibri"/>
                <w:b/>
                <w:bCs/>
                <w:lang w:eastAsia="en-US"/>
              </w:rPr>
            </w:pPr>
            <w:r>
              <w:rPr>
                <w:rFonts w:eastAsia="Calibri"/>
                <w:b/>
                <w:bCs/>
                <w:lang w:eastAsia="en-US"/>
              </w:rPr>
              <w:t xml:space="preserve">2. </w:t>
            </w:r>
            <w:r w:rsidRPr="00F90B2F">
              <w:rPr>
                <w:rFonts w:eastAsia="Calibri"/>
                <w:b/>
                <w:bCs/>
                <w:lang w:eastAsia="en-US"/>
              </w:rPr>
              <w:t xml:space="preserve">EDLUS datu sniegšana iekļaušanai VEDLUDB </w:t>
            </w:r>
          </w:p>
          <w:p w14:paraId="5208A9B3" w14:textId="77777777" w:rsidR="00D261FA" w:rsidRDefault="00D261FA" w:rsidP="00D261FA">
            <w:pPr>
              <w:ind w:right="57"/>
              <w:contextualSpacing/>
              <w:jc w:val="both"/>
              <w:rPr>
                <w:b/>
                <w:u w:val="single"/>
              </w:rPr>
            </w:pPr>
          </w:p>
          <w:p w14:paraId="316307D4" w14:textId="02118D54" w:rsidR="00D261FA" w:rsidRPr="00F90B2F" w:rsidRDefault="00D261FA" w:rsidP="00D261FA">
            <w:pPr>
              <w:spacing w:after="160" w:line="259" w:lineRule="auto"/>
              <w:contextualSpacing/>
              <w:jc w:val="both"/>
              <w:rPr>
                <w:rFonts w:eastAsia="Calibri"/>
                <w:lang w:eastAsia="en-US"/>
              </w:rPr>
            </w:pPr>
            <w:r>
              <w:rPr>
                <w:rFonts w:eastAsia="Calibri"/>
                <w:lang w:eastAsia="en-US"/>
              </w:rPr>
              <w:t xml:space="preserve">2.1. </w:t>
            </w:r>
            <w:r w:rsidRPr="00F90B2F">
              <w:rPr>
                <w:rFonts w:eastAsia="Calibri"/>
                <w:lang w:eastAsia="en-US"/>
              </w:rPr>
              <w:t>VEDLUDB noteikumu sestajā punktā norādīta informācija, kas galvenajam būvdarbu veicējam jāievada būvniecības informācijas sistēmā (turpmāk- BIS), pirmreizēji reģistrējot katru būvlaukumu. Ņemot vērā, ka Likumā un VEDLUDB noteikumos atšķiras iesniedzamais datu apjoms, lūdzam precizēt noteikumus un izteikt 6.1. punktu sekojošā redakcijā:</w:t>
            </w:r>
          </w:p>
          <w:p w14:paraId="3F3014A6" w14:textId="77777777" w:rsidR="00D261FA" w:rsidRDefault="00D261FA" w:rsidP="00D261FA">
            <w:pPr>
              <w:ind w:right="57"/>
              <w:contextualSpacing/>
              <w:jc w:val="both"/>
              <w:rPr>
                <w:b/>
                <w:u w:val="single"/>
              </w:rPr>
            </w:pPr>
            <w:r w:rsidRPr="00F90B2F">
              <w:rPr>
                <w:rFonts w:eastAsia="Calibri"/>
                <w:i/>
                <w:iCs/>
                <w:lang w:eastAsia="en-US"/>
              </w:rPr>
              <w:t xml:space="preserve">“6.1. būvatļaujas, apliecinājuma kartes, paskaidrojuma raksta numurs </w:t>
            </w:r>
            <w:r w:rsidRPr="00F90B2F">
              <w:rPr>
                <w:rFonts w:eastAsia="Calibri"/>
                <w:i/>
                <w:iCs/>
                <w:u w:val="single"/>
                <w:lang w:eastAsia="en-US"/>
              </w:rPr>
              <w:t>vai nekustamā īpašuma objekta kadastra apzīmējums</w:t>
            </w:r>
            <w:r w:rsidRPr="00F90B2F">
              <w:rPr>
                <w:rFonts w:eastAsia="Calibri"/>
                <w:i/>
                <w:iCs/>
                <w:lang w:eastAsia="en-US"/>
              </w:rPr>
              <w:t>.”</w:t>
            </w:r>
          </w:p>
        </w:tc>
        <w:tc>
          <w:tcPr>
            <w:tcW w:w="3394" w:type="dxa"/>
          </w:tcPr>
          <w:p w14:paraId="1B1A09C5" w14:textId="6C093D3E" w:rsidR="00D261FA" w:rsidRDefault="00D261FA" w:rsidP="00D261FA">
            <w:pPr>
              <w:ind w:right="57"/>
              <w:contextualSpacing/>
              <w:jc w:val="center"/>
              <w:rPr>
                <w:b/>
              </w:rPr>
            </w:pPr>
            <w:r>
              <w:rPr>
                <w:b/>
              </w:rPr>
              <w:t>Ņemts vērā</w:t>
            </w:r>
          </w:p>
          <w:p w14:paraId="397F6E68" w14:textId="63CF3AB7" w:rsidR="00D261FA" w:rsidRPr="00317287" w:rsidRDefault="00D261FA" w:rsidP="00D261FA">
            <w:pPr>
              <w:ind w:right="57"/>
              <w:contextualSpacing/>
              <w:jc w:val="center"/>
            </w:pPr>
            <w:r w:rsidRPr="00317287">
              <w:t>Precizēts 6.1.punkts.</w:t>
            </w:r>
          </w:p>
          <w:p w14:paraId="50F57B7E" w14:textId="77777777" w:rsidR="00D261FA" w:rsidRDefault="00D261FA" w:rsidP="00D261FA">
            <w:pPr>
              <w:ind w:right="57"/>
              <w:contextualSpacing/>
              <w:jc w:val="center"/>
              <w:rPr>
                <w:b/>
              </w:rPr>
            </w:pPr>
          </w:p>
        </w:tc>
        <w:tc>
          <w:tcPr>
            <w:tcW w:w="3676" w:type="dxa"/>
          </w:tcPr>
          <w:p w14:paraId="748F8210" w14:textId="2B003624" w:rsidR="00D261FA" w:rsidRPr="009E6E96" w:rsidRDefault="00D261FA" w:rsidP="00D261FA">
            <w:pPr>
              <w:ind w:right="57"/>
              <w:contextualSpacing/>
              <w:jc w:val="both"/>
              <w:rPr>
                <w:color w:val="000000" w:themeColor="text1"/>
              </w:rPr>
            </w:pPr>
            <w:r w:rsidRPr="00B32778">
              <w:t>6.1. būvatļaujas, apliecinājuma kartes</w:t>
            </w:r>
            <w:r>
              <w:t xml:space="preserve">, </w:t>
            </w:r>
            <w:r w:rsidRPr="00B32778">
              <w:t>paskaidrojuma raksta numurs</w:t>
            </w:r>
            <w:r>
              <w:t xml:space="preserve"> </w:t>
            </w:r>
            <w:r w:rsidRPr="005C660C">
              <w:rPr>
                <w:b/>
                <w:u w:val="single"/>
              </w:rPr>
              <w:t>vai nekustamā īpašuma objekta kadastra apzīmējums (ja būvatļauja, apliecinājuma karte vai paskaidrojuma raksts nav izsniegts)</w:t>
            </w:r>
            <w:r>
              <w:t>;</w:t>
            </w:r>
          </w:p>
        </w:tc>
      </w:tr>
      <w:tr w:rsidR="00D261FA" w14:paraId="3A3B2D85" w14:textId="77777777" w:rsidTr="00AE1D83">
        <w:tc>
          <w:tcPr>
            <w:tcW w:w="604" w:type="dxa"/>
          </w:tcPr>
          <w:p w14:paraId="2A92E36D" w14:textId="29A54B70" w:rsidR="00D261FA" w:rsidRDefault="00825895" w:rsidP="00D261FA">
            <w:pPr>
              <w:ind w:right="57"/>
              <w:contextualSpacing/>
              <w:jc w:val="center"/>
            </w:pPr>
            <w:r>
              <w:lastRenderedPageBreak/>
              <w:t>4.</w:t>
            </w:r>
            <w:r w:rsidR="00D261FA">
              <w:t xml:space="preserve"> </w:t>
            </w:r>
          </w:p>
        </w:tc>
        <w:tc>
          <w:tcPr>
            <w:tcW w:w="3112" w:type="dxa"/>
          </w:tcPr>
          <w:p w14:paraId="34B91F47" w14:textId="77777777" w:rsidR="00B75711" w:rsidRDefault="00B75711" w:rsidP="00D261FA">
            <w:pPr>
              <w:shd w:val="clear" w:color="auto" w:fill="FFFFFF"/>
              <w:contextualSpacing/>
              <w:jc w:val="both"/>
            </w:pPr>
          </w:p>
          <w:p w14:paraId="218ED77E" w14:textId="77777777" w:rsidR="00B75711" w:rsidRDefault="00B75711" w:rsidP="00D261FA">
            <w:pPr>
              <w:shd w:val="clear" w:color="auto" w:fill="FFFFFF"/>
              <w:contextualSpacing/>
              <w:jc w:val="both"/>
            </w:pPr>
          </w:p>
          <w:p w14:paraId="5D4D1063" w14:textId="77777777" w:rsidR="00B75711" w:rsidRDefault="00B75711" w:rsidP="00D261FA">
            <w:pPr>
              <w:shd w:val="clear" w:color="auto" w:fill="FFFFFF"/>
              <w:contextualSpacing/>
              <w:jc w:val="both"/>
            </w:pPr>
          </w:p>
          <w:p w14:paraId="25F05A3C" w14:textId="77777777" w:rsidR="00B75711" w:rsidRDefault="00B75711" w:rsidP="00D261FA">
            <w:pPr>
              <w:shd w:val="clear" w:color="auto" w:fill="FFFFFF"/>
              <w:contextualSpacing/>
              <w:jc w:val="both"/>
            </w:pPr>
          </w:p>
          <w:p w14:paraId="0FBA1FD3" w14:textId="77777777" w:rsidR="00B75711" w:rsidRDefault="00B75711" w:rsidP="00D261FA">
            <w:pPr>
              <w:shd w:val="clear" w:color="auto" w:fill="FFFFFF"/>
              <w:contextualSpacing/>
              <w:jc w:val="both"/>
            </w:pPr>
          </w:p>
          <w:p w14:paraId="727697FC" w14:textId="77777777" w:rsidR="00B75711" w:rsidRDefault="00B75711" w:rsidP="00D261FA">
            <w:pPr>
              <w:shd w:val="clear" w:color="auto" w:fill="FFFFFF"/>
              <w:contextualSpacing/>
              <w:jc w:val="both"/>
            </w:pPr>
          </w:p>
          <w:p w14:paraId="180AA132" w14:textId="77777777" w:rsidR="00B75711" w:rsidRDefault="00B75711" w:rsidP="00D261FA">
            <w:pPr>
              <w:shd w:val="clear" w:color="auto" w:fill="FFFFFF"/>
              <w:contextualSpacing/>
              <w:jc w:val="both"/>
            </w:pPr>
          </w:p>
          <w:p w14:paraId="47EB4747" w14:textId="77777777" w:rsidR="00B75711" w:rsidRDefault="00B75711" w:rsidP="00D261FA">
            <w:pPr>
              <w:shd w:val="clear" w:color="auto" w:fill="FFFFFF"/>
              <w:contextualSpacing/>
              <w:jc w:val="both"/>
            </w:pPr>
          </w:p>
          <w:p w14:paraId="134481D2" w14:textId="77777777" w:rsidR="00B75711" w:rsidRDefault="00B75711" w:rsidP="00D261FA">
            <w:pPr>
              <w:shd w:val="clear" w:color="auto" w:fill="FFFFFF"/>
              <w:contextualSpacing/>
              <w:jc w:val="both"/>
            </w:pPr>
          </w:p>
          <w:p w14:paraId="7BFA14BC" w14:textId="77777777" w:rsidR="00B75711" w:rsidRDefault="00B75711" w:rsidP="00D261FA">
            <w:pPr>
              <w:shd w:val="clear" w:color="auto" w:fill="FFFFFF"/>
              <w:contextualSpacing/>
              <w:jc w:val="both"/>
            </w:pPr>
          </w:p>
          <w:p w14:paraId="77258DFD" w14:textId="77777777" w:rsidR="00B75711" w:rsidRDefault="00B75711" w:rsidP="00D261FA">
            <w:pPr>
              <w:shd w:val="clear" w:color="auto" w:fill="FFFFFF"/>
              <w:contextualSpacing/>
              <w:jc w:val="both"/>
            </w:pPr>
          </w:p>
          <w:p w14:paraId="032BC95C" w14:textId="77777777" w:rsidR="00B75711" w:rsidRDefault="00B75711" w:rsidP="00D261FA">
            <w:pPr>
              <w:shd w:val="clear" w:color="auto" w:fill="FFFFFF"/>
              <w:contextualSpacing/>
              <w:jc w:val="both"/>
            </w:pPr>
          </w:p>
          <w:p w14:paraId="2897B644" w14:textId="77777777" w:rsidR="00B75711" w:rsidRDefault="00B75711" w:rsidP="00D261FA">
            <w:pPr>
              <w:shd w:val="clear" w:color="auto" w:fill="FFFFFF"/>
              <w:contextualSpacing/>
              <w:jc w:val="both"/>
            </w:pPr>
          </w:p>
          <w:p w14:paraId="07F11440" w14:textId="77777777" w:rsidR="00B75711" w:rsidRDefault="00B75711" w:rsidP="00D261FA">
            <w:pPr>
              <w:shd w:val="clear" w:color="auto" w:fill="FFFFFF"/>
              <w:contextualSpacing/>
              <w:jc w:val="both"/>
            </w:pPr>
          </w:p>
          <w:p w14:paraId="6580E4C8" w14:textId="77777777" w:rsidR="00B75711" w:rsidRDefault="00B75711" w:rsidP="00D261FA">
            <w:pPr>
              <w:shd w:val="clear" w:color="auto" w:fill="FFFFFF"/>
              <w:contextualSpacing/>
              <w:jc w:val="both"/>
            </w:pPr>
          </w:p>
          <w:p w14:paraId="50D34916" w14:textId="77777777" w:rsidR="00B75711" w:rsidRDefault="00B75711" w:rsidP="00D261FA">
            <w:pPr>
              <w:shd w:val="clear" w:color="auto" w:fill="FFFFFF"/>
              <w:contextualSpacing/>
              <w:jc w:val="both"/>
            </w:pPr>
          </w:p>
          <w:p w14:paraId="3EADA66C" w14:textId="77777777" w:rsidR="00B75711" w:rsidRDefault="00B75711" w:rsidP="00D261FA">
            <w:pPr>
              <w:shd w:val="clear" w:color="auto" w:fill="FFFFFF"/>
              <w:contextualSpacing/>
              <w:jc w:val="both"/>
            </w:pPr>
          </w:p>
          <w:p w14:paraId="087B1E35" w14:textId="77777777" w:rsidR="00B75711" w:rsidRDefault="00B75711" w:rsidP="00D261FA">
            <w:pPr>
              <w:shd w:val="clear" w:color="auto" w:fill="FFFFFF"/>
              <w:contextualSpacing/>
              <w:jc w:val="both"/>
            </w:pPr>
          </w:p>
          <w:p w14:paraId="710AA287" w14:textId="77777777" w:rsidR="00B75711" w:rsidRDefault="00B75711" w:rsidP="00D261FA">
            <w:pPr>
              <w:shd w:val="clear" w:color="auto" w:fill="FFFFFF"/>
              <w:contextualSpacing/>
              <w:jc w:val="both"/>
            </w:pPr>
          </w:p>
          <w:p w14:paraId="5A6E4B35" w14:textId="77777777" w:rsidR="00B75711" w:rsidRDefault="00B75711" w:rsidP="00D261FA">
            <w:pPr>
              <w:shd w:val="clear" w:color="auto" w:fill="FFFFFF"/>
              <w:contextualSpacing/>
              <w:jc w:val="both"/>
            </w:pPr>
          </w:p>
          <w:p w14:paraId="6AF469AC" w14:textId="77777777" w:rsidR="00B75711" w:rsidRDefault="00B75711" w:rsidP="00D261FA">
            <w:pPr>
              <w:shd w:val="clear" w:color="auto" w:fill="FFFFFF"/>
              <w:contextualSpacing/>
              <w:jc w:val="both"/>
            </w:pPr>
          </w:p>
          <w:p w14:paraId="72F367B8" w14:textId="54480BAA" w:rsidR="00CF1B61" w:rsidRDefault="00BF7E92" w:rsidP="00D261FA">
            <w:pPr>
              <w:shd w:val="clear" w:color="auto" w:fill="FFFFFF"/>
              <w:contextualSpacing/>
              <w:jc w:val="both"/>
            </w:pPr>
            <w:r>
              <w:t>Precizētā r</w:t>
            </w:r>
            <w:r w:rsidR="00CF1B61">
              <w:t>edakcija uz 25.10.2019</w:t>
            </w:r>
            <w:r>
              <w:t xml:space="preserve"> (uz elektronisko saskaņošanu)</w:t>
            </w:r>
            <w:r w:rsidR="00CF1B61">
              <w:t xml:space="preserve">. </w:t>
            </w:r>
          </w:p>
          <w:p w14:paraId="602B93A1" w14:textId="1ACE2F25" w:rsidR="00D261FA" w:rsidRPr="00B32778" w:rsidRDefault="00D261FA" w:rsidP="00D261FA">
            <w:pPr>
              <w:shd w:val="clear" w:color="auto" w:fill="FFFFFF"/>
              <w:contextualSpacing/>
              <w:jc w:val="both"/>
            </w:pPr>
            <w:r w:rsidRPr="0034430B">
              <w:t xml:space="preserve">16. Galvenais būvdarbu veicējs precizētos datus, bet apakšuzņēmējs precizēto informāciju vienotajā elektroniskās darba laika uzskaites datubāzē iesniedz, ievērojot likumā “Par nodokļiem un nodevām” </w:t>
            </w:r>
            <w:r w:rsidRPr="0034430B">
              <w:lastRenderedPageBreak/>
              <w:t>noteikto datu glabāšanas termiņu. Galvenā būvdarbu veicēja precizēto elektroniskās darba laika uzskaites sistēmas datu iesniegšanu, salīdzināšanu un paziņojumu nosūtīšanu veic šo noteikumu 5., 7., 9., 10., 11., 12., 13. un 14. punktā noteiktajā kārtībā.</w:t>
            </w:r>
          </w:p>
        </w:tc>
        <w:tc>
          <w:tcPr>
            <w:tcW w:w="4241" w:type="dxa"/>
          </w:tcPr>
          <w:p w14:paraId="106FC2A6" w14:textId="77777777" w:rsidR="00D261FA" w:rsidRPr="0034430B" w:rsidRDefault="00D261FA" w:rsidP="00D261FA">
            <w:pPr>
              <w:ind w:right="57"/>
              <w:contextualSpacing/>
              <w:jc w:val="both"/>
              <w:rPr>
                <w:b/>
                <w:u w:val="single"/>
              </w:rPr>
            </w:pPr>
            <w:r w:rsidRPr="0034430B">
              <w:rPr>
                <w:b/>
                <w:u w:val="single"/>
              </w:rPr>
              <w:lastRenderedPageBreak/>
              <w:t>Finanšu ministrija</w:t>
            </w:r>
          </w:p>
          <w:p w14:paraId="75BCFBCF" w14:textId="77777777" w:rsidR="00D261FA" w:rsidRDefault="00D261FA" w:rsidP="00D261FA">
            <w:pPr>
              <w:ind w:right="57"/>
              <w:contextualSpacing/>
              <w:jc w:val="both"/>
              <w:rPr>
                <w:bCs/>
              </w:rPr>
            </w:pPr>
            <w:r w:rsidRPr="0034430B">
              <w:rPr>
                <w:bCs/>
              </w:rPr>
              <w:t>VEDLUDB noteikumu projektā nav iekļauts regulējums par to, kāda veida informācijas kvalitātes pārbaude tiks veikta apakšuzņēmēja sniegtajai informācijai par tā noslēgtajiem būvdarbu līgumiem un kāda būs rīcība, ja apakšuzņēmēja sniegtā informācija saturēs kļūdainus datus, piemēram, kļūdainu Latvijas Republikas Uzņēmumu reģistra vienoto reģistrācijas numuru vai personas kodu. Ņemot vērā minēto, VEDLUDB noteikumu projekts papildināms ar regulējumu, kas nosaka, kāda veida informācijas kvalitātes pārbaude tiks veikta apakšuzņēmēja sniegtajai informācijai par tā noslēgtajiem būvdarbu līgumiem un kāda būs rīcība, ja apakšuzņēmēja sniegtā informācija saturēs kļūdainus datus.</w:t>
            </w:r>
          </w:p>
          <w:p w14:paraId="3B6BE910" w14:textId="77777777" w:rsidR="00D261FA" w:rsidRDefault="00D261FA" w:rsidP="00D261FA">
            <w:pPr>
              <w:ind w:right="57"/>
              <w:contextualSpacing/>
              <w:jc w:val="both"/>
              <w:rPr>
                <w:bCs/>
              </w:rPr>
            </w:pPr>
          </w:p>
          <w:p w14:paraId="730A4F4D" w14:textId="4888DEA1" w:rsidR="00D261FA" w:rsidRDefault="007B06E3" w:rsidP="00D261FA">
            <w:pPr>
              <w:ind w:right="57"/>
              <w:contextualSpacing/>
              <w:jc w:val="both"/>
              <w:rPr>
                <w:bCs/>
              </w:rPr>
            </w:pPr>
            <w:r>
              <w:rPr>
                <w:bCs/>
              </w:rPr>
              <w:t>Finanšu ministrijas e</w:t>
            </w:r>
            <w:r w:rsidR="00D261FA">
              <w:rPr>
                <w:bCs/>
              </w:rPr>
              <w:t>lektroniskais saskaņojums (01.01.2019.):</w:t>
            </w:r>
          </w:p>
          <w:p w14:paraId="51871401" w14:textId="77777777" w:rsidR="00D261FA" w:rsidRDefault="00D261FA" w:rsidP="00D261FA">
            <w:pPr>
              <w:ind w:right="57"/>
              <w:contextualSpacing/>
              <w:jc w:val="both"/>
              <w:rPr>
                <w:bCs/>
              </w:rPr>
            </w:pPr>
          </w:p>
          <w:p w14:paraId="25EDE152" w14:textId="707B9EC6" w:rsidR="00D261FA" w:rsidRPr="00D20F3B" w:rsidRDefault="00D261FA" w:rsidP="00D261FA">
            <w:pPr>
              <w:ind w:right="57"/>
              <w:contextualSpacing/>
              <w:jc w:val="both"/>
              <w:rPr>
                <w:bCs/>
              </w:rPr>
            </w:pPr>
            <w:r w:rsidRPr="00D20F3B">
              <w:rPr>
                <w:bCs/>
              </w:rPr>
              <w:t xml:space="preserve">Izziņas par atzinumos sniegtajiem iebildumiem par VEDLUDB noteikumiem norādīts - “apakšuzņēmēja informācija par noslēgtajiem līgumiem ievadīšanas brīdī tiks salīdzināta pret Iedzīvotāju reģistra un Uzņēmumu reģistra datiem. Sistēmas funkcionalitāte neļaus apakšuzņēmējam iesniegt </w:t>
            </w:r>
            <w:r w:rsidRPr="00D20F3B">
              <w:rPr>
                <w:bCs/>
              </w:rPr>
              <w:lastRenderedPageBreak/>
              <w:t xml:space="preserve">informāciju ar kļūdainiem datiem. Šādi tiks nodrošināta datu pareizības pārbaude, nodrošinot datu kvalitāti”. Savukārt VEDLUDB noteikumu 16.puntkā norādīts, ka galvenais būvdarbu veicējs precizētos datus, bet apakšuzņēmējs precizēto informāciju vienotajā elektroniskās darba laika uzskaites datubāzē iesniedz, ievērojot likumā “Par nodokļiem un nodevām” noteikto datu glabāšanas termiņu. No minētā nav saprotams, kādu precizēto informāciju un kādos gadījumos sniegs apakšuzņēmējs. </w:t>
            </w:r>
          </w:p>
          <w:p w14:paraId="02CB68D3" w14:textId="31E9C6C7" w:rsidR="00D261FA" w:rsidRPr="0034430B" w:rsidRDefault="00D261FA" w:rsidP="00D261FA">
            <w:pPr>
              <w:ind w:right="57"/>
              <w:contextualSpacing/>
              <w:jc w:val="both"/>
              <w:rPr>
                <w:bCs/>
              </w:rPr>
            </w:pPr>
            <w:r w:rsidRPr="00D20F3B">
              <w:rPr>
                <w:bCs/>
              </w:rPr>
              <w:t>Vienlaikus lūdzam VEDLUDB noteikumu 16.puntkā vārdus “ievērojot likumā “Par nodokļiem un nodevām” noteikto datu glabāšanas termiņu” aizstāt ar vārdiem “ievērojot likumā “Par nodokļiem un nodevām” noteikto elektroniskās darba laika uzskaites sistēmas datu glabāšanas termiņu”.</w:t>
            </w:r>
          </w:p>
        </w:tc>
        <w:tc>
          <w:tcPr>
            <w:tcW w:w="3394" w:type="dxa"/>
          </w:tcPr>
          <w:p w14:paraId="02B41998" w14:textId="77777777" w:rsidR="00D261FA" w:rsidRDefault="00D261FA" w:rsidP="00D261FA">
            <w:pPr>
              <w:ind w:right="57"/>
              <w:contextualSpacing/>
              <w:jc w:val="center"/>
              <w:rPr>
                <w:b/>
              </w:rPr>
            </w:pPr>
            <w:r>
              <w:rPr>
                <w:b/>
              </w:rPr>
              <w:lastRenderedPageBreak/>
              <w:t>Panākta vienošanās elektroniskās saskaņošanas ietvaros</w:t>
            </w:r>
          </w:p>
          <w:p w14:paraId="774E597C" w14:textId="77777777" w:rsidR="00D261FA" w:rsidRDefault="00D261FA" w:rsidP="00D261FA">
            <w:pPr>
              <w:ind w:right="57"/>
              <w:contextualSpacing/>
              <w:jc w:val="both"/>
              <w:rPr>
                <w:bCs/>
              </w:rPr>
            </w:pPr>
          </w:p>
          <w:p w14:paraId="4DAD9D68" w14:textId="77777777" w:rsidR="00D261FA" w:rsidRDefault="00D261FA" w:rsidP="00D261FA">
            <w:pPr>
              <w:ind w:right="57"/>
              <w:contextualSpacing/>
              <w:jc w:val="both"/>
              <w:rPr>
                <w:bCs/>
              </w:rPr>
            </w:pPr>
            <w:r>
              <w:rPr>
                <w:bCs/>
              </w:rPr>
              <w:t>Papildināta noteikumu projekta anotācija ar informāciju, kādā veidā tiks veikta apakšuzņēmēju ievadītās informācijas par noslēgtajiem līgumiem kvalitātes pārbaude, proti, anotācijā ir norādīts, ka a</w:t>
            </w:r>
            <w:r w:rsidRPr="00640DF0">
              <w:rPr>
                <w:bCs/>
              </w:rPr>
              <w:t xml:space="preserve">pakšuzņēmēja informācija par noslēgtajiem līgumiem ievadīšanas brīdī tiks salīdzināta ar Iedzīvotāju reģistra un Uzņēmumu reģistra datiem. Sistēmas funkcionalitāte neļaus apakšuzņēmējam iesniegt informāciju ar kļūdainiem datiem. Šādi tiks nodrošināta datu pareizības pārbaude, nodrošinot datu kvalitāti. </w:t>
            </w:r>
            <w:r>
              <w:rPr>
                <w:bCs/>
              </w:rPr>
              <w:t xml:space="preserve"> </w:t>
            </w:r>
          </w:p>
          <w:p w14:paraId="7DBB746F" w14:textId="77777777" w:rsidR="00D261FA" w:rsidRDefault="00D261FA" w:rsidP="00D261FA">
            <w:pPr>
              <w:ind w:right="57"/>
              <w:contextualSpacing/>
              <w:jc w:val="both"/>
              <w:rPr>
                <w:bCs/>
              </w:rPr>
            </w:pPr>
          </w:p>
          <w:p w14:paraId="07833AD7" w14:textId="77777777" w:rsidR="00D261FA" w:rsidRDefault="00D261FA" w:rsidP="00D261FA">
            <w:pPr>
              <w:ind w:right="57"/>
              <w:contextualSpacing/>
              <w:jc w:val="both"/>
              <w:rPr>
                <w:bCs/>
              </w:rPr>
            </w:pPr>
            <w:r>
              <w:rPr>
                <w:bCs/>
              </w:rPr>
              <w:t xml:space="preserve">Attiecīgi tika precizēts noteikumu projekta 16.punkts, izsvītrojot regulējumu attiecībā uz apakšuzņēmēja sniegto datu precizēšanu, jo informācijā par noslēgtajiem līgumiem norādītie dati līgumslēdzējpusēm tiks pārbaudīti datu ievadīšanas brīdī. </w:t>
            </w:r>
          </w:p>
          <w:p w14:paraId="50811841" w14:textId="33DC6C81" w:rsidR="00D261FA" w:rsidRPr="00640DF0" w:rsidRDefault="00D261FA" w:rsidP="00D261FA">
            <w:pPr>
              <w:ind w:right="57"/>
              <w:contextualSpacing/>
              <w:jc w:val="both"/>
              <w:rPr>
                <w:bCs/>
              </w:rPr>
            </w:pPr>
            <w:r>
              <w:rPr>
                <w:bCs/>
              </w:rPr>
              <w:lastRenderedPageBreak/>
              <w:t xml:space="preserve">Tāpat noteikumu projekta 16.punkts precizēts atbilstoši FM priekšlikumam. </w:t>
            </w:r>
          </w:p>
        </w:tc>
        <w:tc>
          <w:tcPr>
            <w:tcW w:w="3676" w:type="dxa"/>
          </w:tcPr>
          <w:p w14:paraId="038C58E6" w14:textId="2AC3811B" w:rsidR="00D261FA" w:rsidRPr="00B32778" w:rsidRDefault="007B06E3" w:rsidP="00D261FA">
            <w:pPr>
              <w:ind w:right="57"/>
              <w:contextualSpacing/>
              <w:jc w:val="both"/>
            </w:pPr>
            <w:r w:rsidRPr="007B06E3">
              <w:lastRenderedPageBreak/>
              <w:t xml:space="preserve">16. Galvenais būvdarbu veicējs precizētos datus vienotajā elektroniskās darba laika uzskaites datubāzē iesniedz, ievērojot likumā “Par nodokļiem un nodevām” </w:t>
            </w:r>
            <w:r w:rsidRPr="007B06E3">
              <w:rPr>
                <w:u w:val="single"/>
              </w:rPr>
              <w:t>noteikto elektroniskās darba laika uzskaites sistēmas datu glabāšanas termiņu.</w:t>
            </w:r>
            <w:r w:rsidRPr="007B06E3">
              <w:t xml:space="preserve"> Galvenā būvdarbu veicēja precizēto elektroniskās darba laika uzskaites sistēmas datu iesniegšanu, salīdzināšanu un paziņojumu nosūtīšanu veic šo noteikumu 5., 7., 9., 10., 11., 12., 13. un 14. punktā noteiktajā kārtībā.</w:t>
            </w:r>
          </w:p>
        </w:tc>
      </w:tr>
      <w:tr w:rsidR="00D261FA" w14:paraId="4A8B07DC" w14:textId="77777777" w:rsidTr="00AE1D83">
        <w:tc>
          <w:tcPr>
            <w:tcW w:w="604" w:type="dxa"/>
          </w:tcPr>
          <w:p w14:paraId="16FEC537" w14:textId="087CE7B9" w:rsidR="00D261FA" w:rsidRDefault="00825895" w:rsidP="00D261FA">
            <w:pPr>
              <w:ind w:right="57"/>
              <w:contextualSpacing/>
              <w:jc w:val="center"/>
            </w:pPr>
            <w:r>
              <w:t>5.</w:t>
            </w:r>
          </w:p>
        </w:tc>
        <w:tc>
          <w:tcPr>
            <w:tcW w:w="3112" w:type="dxa"/>
          </w:tcPr>
          <w:p w14:paraId="46E083CE" w14:textId="77777777" w:rsidR="00D261FA" w:rsidRPr="0034430B" w:rsidRDefault="00D261FA" w:rsidP="00D261FA">
            <w:pPr>
              <w:shd w:val="clear" w:color="auto" w:fill="FFFFFF"/>
              <w:contextualSpacing/>
              <w:jc w:val="both"/>
            </w:pPr>
          </w:p>
        </w:tc>
        <w:tc>
          <w:tcPr>
            <w:tcW w:w="4241" w:type="dxa"/>
          </w:tcPr>
          <w:p w14:paraId="4A0856E8" w14:textId="77777777" w:rsidR="00D261FA" w:rsidRPr="00034B28" w:rsidRDefault="00D261FA" w:rsidP="00D261FA">
            <w:pPr>
              <w:ind w:right="57"/>
              <w:contextualSpacing/>
              <w:jc w:val="both"/>
              <w:rPr>
                <w:b/>
                <w:u w:val="single"/>
              </w:rPr>
            </w:pPr>
            <w:proofErr w:type="spellStart"/>
            <w:r w:rsidRPr="00034B28">
              <w:rPr>
                <w:b/>
                <w:u w:val="single"/>
              </w:rPr>
              <w:t>Iekšlietu</w:t>
            </w:r>
            <w:proofErr w:type="spellEnd"/>
            <w:r w:rsidRPr="00034B28">
              <w:rPr>
                <w:b/>
                <w:u w:val="single"/>
              </w:rPr>
              <w:t xml:space="preserve"> ministrija</w:t>
            </w:r>
          </w:p>
          <w:p w14:paraId="3CFAEF87" w14:textId="77777777" w:rsidR="00D261FA" w:rsidRPr="00034B28" w:rsidRDefault="00D261FA" w:rsidP="00D261FA">
            <w:pPr>
              <w:ind w:right="57"/>
              <w:contextualSpacing/>
              <w:jc w:val="both"/>
              <w:rPr>
                <w:bCs/>
              </w:rPr>
            </w:pPr>
            <w:r w:rsidRPr="00034B28">
              <w:rPr>
                <w:bCs/>
              </w:rPr>
              <w:t>Precizēt projektā vārdus “izņemot ārvalstniekus”.</w:t>
            </w:r>
          </w:p>
          <w:p w14:paraId="1570D9C6" w14:textId="77777777" w:rsidR="00D261FA" w:rsidRDefault="00D261FA" w:rsidP="00D261FA">
            <w:pPr>
              <w:ind w:right="57"/>
              <w:contextualSpacing/>
              <w:jc w:val="both"/>
              <w:rPr>
                <w:bCs/>
              </w:rPr>
            </w:pPr>
            <w:r w:rsidRPr="00034B28">
              <w:rPr>
                <w:bCs/>
              </w:rPr>
              <w:t xml:space="preserve">Norādām, ka Imigrācijas likuma 22.panta pirmajā daļā noteikts, ka ārzemniekam var izsniegt </w:t>
            </w:r>
            <w:proofErr w:type="spellStart"/>
            <w:r w:rsidRPr="00034B28">
              <w:rPr>
                <w:bCs/>
              </w:rPr>
              <w:t>termiņuzturēšanās</w:t>
            </w:r>
            <w:proofErr w:type="spellEnd"/>
            <w:r w:rsidRPr="00034B28">
              <w:rPr>
                <w:bCs/>
              </w:rPr>
              <w:t xml:space="preserve"> atļauju, pastāvīgās uzturēšanās atļauju. Iedzīvotāju reģistra likuma 3. panta 2. punktā noteikts, ka Iedzīvotāju reģistrā iekļauj un aktualizē ziņas par personām, </w:t>
            </w:r>
            <w:r w:rsidRPr="00034B28">
              <w:rPr>
                <w:bCs/>
              </w:rPr>
              <w:lastRenderedPageBreak/>
              <w:t xml:space="preserve">kuras Latvijā saņēmušas uzturēšanās atļauju, reģistrācijas apliecību vai pastāvīgās uzturēšanās apliecību. Tādējādi, ārzemnieks, saņemot uzturēšanās atļauju Latvijas Republikā, tiek reģistrēts Iedzīvotāju reģistrā, un tam tiek piešķirts personas kods atbilstoši Iedzīvotāju reģistra likuma 5. panta pirmajai daļai. Gadījumos, kad ārzemnieks tiks reģistrēts Iedzīvotāju reģistrā, vienotā elektroniskās darba laika uzskaites datubāze saņems datus no Būvniecības informācijas sistēmas par ārzemnieku. Līdz ar to projektā nav korekti norādīt “izņemot ārvalstniekus”. Informējam, ka Iedzīvotāju reģistrā netiek uzkrāti dati par personām, kuras saņēmušas vīzu vai uzturas Latvijas Republikā </w:t>
            </w:r>
            <w:proofErr w:type="spellStart"/>
            <w:r w:rsidRPr="00034B28">
              <w:rPr>
                <w:bCs/>
              </w:rPr>
              <w:t>bezvīzu</w:t>
            </w:r>
            <w:proofErr w:type="spellEnd"/>
            <w:r w:rsidRPr="00034B28">
              <w:rPr>
                <w:bCs/>
              </w:rPr>
              <w:t xml:space="preserve"> režīma ietvaros. Līdz ar to, ir nepieciešamība precizēt jēdziena “ārvalstnieks” nozīmi noteikumu projektā.</w:t>
            </w:r>
          </w:p>
          <w:p w14:paraId="546C7D48" w14:textId="77777777" w:rsidR="000C772B" w:rsidRDefault="000C772B" w:rsidP="00D261FA">
            <w:pPr>
              <w:ind w:right="57"/>
              <w:contextualSpacing/>
              <w:jc w:val="both"/>
              <w:rPr>
                <w:bCs/>
              </w:rPr>
            </w:pPr>
          </w:p>
          <w:p w14:paraId="1D1E5A05" w14:textId="32CD6D48" w:rsidR="000C772B" w:rsidRDefault="000C772B" w:rsidP="00D261FA">
            <w:pPr>
              <w:ind w:right="57"/>
              <w:contextualSpacing/>
              <w:jc w:val="both"/>
              <w:rPr>
                <w:b/>
                <w:u w:val="single"/>
              </w:rPr>
            </w:pPr>
            <w:r>
              <w:rPr>
                <w:b/>
                <w:u w:val="single"/>
              </w:rPr>
              <w:t>Latvijas Būvuzņēmēju partnerība</w:t>
            </w:r>
          </w:p>
          <w:p w14:paraId="0DE62193" w14:textId="60F1E3DC" w:rsidR="000C772B" w:rsidRDefault="000C772B" w:rsidP="00D261FA">
            <w:pPr>
              <w:ind w:right="57"/>
              <w:contextualSpacing/>
              <w:jc w:val="both"/>
              <w:rPr>
                <w:bCs/>
              </w:rPr>
            </w:pPr>
            <w:r>
              <w:rPr>
                <w:bCs/>
              </w:rPr>
              <w:t>Iebildums izteikts elektroniskās saskaņošanas ietvaros (01.11.2019.)</w:t>
            </w:r>
          </w:p>
          <w:p w14:paraId="3ABF59D8" w14:textId="77777777" w:rsidR="000C772B" w:rsidRPr="000C772B" w:rsidRDefault="000C772B" w:rsidP="00D261FA">
            <w:pPr>
              <w:ind w:right="57"/>
              <w:contextualSpacing/>
              <w:jc w:val="both"/>
              <w:rPr>
                <w:bCs/>
              </w:rPr>
            </w:pPr>
          </w:p>
          <w:p w14:paraId="30704656" w14:textId="77777777" w:rsidR="000C772B" w:rsidRPr="00DE6345" w:rsidRDefault="000C772B" w:rsidP="000C772B">
            <w:pPr>
              <w:jc w:val="both"/>
              <w:rPr>
                <w:rFonts w:eastAsia="Calibri"/>
                <w:lang w:eastAsia="en-US"/>
              </w:rPr>
            </w:pPr>
            <w:r w:rsidRPr="00DE6345">
              <w:rPr>
                <w:rFonts w:eastAsia="Calibri"/>
                <w:lang w:eastAsia="en-US"/>
              </w:rPr>
              <w:t xml:space="preserve">Noteikumu 9.1. punktā ir noteikts, ka VEDLUDB salīdzinās EDLUS iekļautos būvlaukumā nodarbināto personu darba laika reģistrācijas un uzskaites datu laukus – vārds, uzvārds, personas kods – ar </w:t>
            </w:r>
            <w:r w:rsidRPr="00DE6345">
              <w:rPr>
                <w:rFonts w:eastAsia="Calibri"/>
                <w:lang w:eastAsia="en-US"/>
              </w:rPr>
              <w:lastRenderedPageBreak/>
              <w:t>Iedzīvotāju reģistra datiem, izņemot ārvalstniekus, kam nav piešķirts personas kods. Lūdzam precizēt noteikumus un noteikt, ka ar Iedzīvotāju reģistra datiem salīdzināti netiks tikai tie ārvalstnieku personas dati, kam nav piešķirts Latvijas personas kods.</w:t>
            </w:r>
          </w:p>
          <w:p w14:paraId="2E2D51D9" w14:textId="610F257F" w:rsidR="000C772B" w:rsidRPr="00034B28" w:rsidRDefault="000C772B" w:rsidP="00D261FA">
            <w:pPr>
              <w:ind w:right="57"/>
              <w:contextualSpacing/>
              <w:jc w:val="both"/>
              <w:rPr>
                <w:bCs/>
              </w:rPr>
            </w:pPr>
          </w:p>
        </w:tc>
        <w:tc>
          <w:tcPr>
            <w:tcW w:w="3394" w:type="dxa"/>
          </w:tcPr>
          <w:p w14:paraId="0C3155C6" w14:textId="77777777" w:rsidR="00D261FA" w:rsidRPr="00D1135B" w:rsidRDefault="00D261FA" w:rsidP="00D261FA">
            <w:pPr>
              <w:ind w:right="57"/>
              <w:contextualSpacing/>
              <w:jc w:val="center"/>
              <w:rPr>
                <w:b/>
              </w:rPr>
            </w:pPr>
            <w:r w:rsidRPr="00D1135B">
              <w:rPr>
                <w:b/>
              </w:rPr>
              <w:lastRenderedPageBreak/>
              <w:t>Ņemts vērā</w:t>
            </w:r>
          </w:p>
          <w:p w14:paraId="7DEFF40C" w14:textId="77777777" w:rsidR="00D261FA" w:rsidRDefault="00D261FA" w:rsidP="00D261FA">
            <w:pPr>
              <w:ind w:right="57"/>
              <w:contextualSpacing/>
              <w:jc w:val="center"/>
              <w:rPr>
                <w:bCs/>
              </w:rPr>
            </w:pPr>
            <w:r w:rsidRPr="00D1135B">
              <w:rPr>
                <w:bCs/>
              </w:rPr>
              <w:t>Precizēts 9.1.apakšpunkts un papildināta anotācija ar IEM informāciju.</w:t>
            </w:r>
          </w:p>
          <w:p w14:paraId="35E4FB07" w14:textId="77777777" w:rsidR="000C772B" w:rsidRDefault="000C772B" w:rsidP="00D261FA">
            <w:pPr>
              <w:ind w:right="57"/>
              <w:contextualSpacing/>
              <w:jc w:val="center"/>
              <w:rPr>
                <w:bCs/>
              </w:rPr>
            </w:pPr>
          </w:p>
          <w:p w14:paraId="236C9661" w14:textId="77777777" w:rsidR="000C772B" w:rsidRDefault="000C772B" w:rsidP="00D261FA">
            <w:pPr>
              <w:ind w:right="57"/>
              <w:contextualSpacing/>
              <w:jc w:val="center"/>
              <w:rPr>
                <w:bCs/>
              </w:rPr>
            </w:pPr>
          </w:p>
          <w:p w14:paraId="6490092B" w14:textId="77777777" w:rsidR="000C772B" w:rsidRDefault="000C772B" w:rsidP="00D261FA">
            <w:pPr>
              <w:ind w:right="57"/>
              <w:contextualSpacing/>
              <w:jc w:val="center"/>
              <w:rPr>
                <w:bCs/>
              </w:rPr>
            </w:pPr>
          </w:p>
          <w:p w14:paraId="5212C41F" w14:textId="77777777" w:rsidR="000C772B" w:rsidRDefault="000C772B" w:rsidP="00D261FA">
            <w:pPr>
              <w:ind w:right="57"/>
              <w:contextualSpacing/>
              <w:jc w:val="center"/>
              <w:rPr>
                <w:bCs/>
              </w:rPr>
            </w:pPr>
          </w:p>
          <w:p w14:paraId="14985160" w14:textId="77777777" w:rsidR="000C772B" w:rsidRDefault="000C772B" w:rsidP="00D261FA">
            <w:pPr>
              <w:ind w:right="57"/>
              <w:contextualSpacing/>
              <w:jc w:val="center"/>
              <w:rPr>
                <w:bCs/>
              </w:rPr>
            </w:pPr>
          </w:p>
          <w:p w14:paraId="06917145" w14:textId="77777777" w:rsidR="000C772B" w:rsidRDefault="000C772B" w:rsidP="00D261FA">
            <w:pPr>
              <w:ind w:right="57"/>
              <w:contextualSpacing/>
              <w:jc w:val="center"/>
              <w:rPr>
                <w:bCs/>
              </w:rPr>
            </w:pPr>
          </w:p>
          <w:p w14:paraId="34DD49B4" w14:textId="77777777" w:rsidR="000C772B" w:rsidRDefault="000C772B" w:rsidP="00D261FA">
            <w:pPr>
              <w:ind w:right="57"/>
              <w:contextualSpacing/>
              <w:jc w:val="center"/>
              <w:rPr>
                <w:bCs/>
              </w:rPr>
            </w:pPr>
          </w:p>
          <w:p w14:paraId="39F59BEF" w14:textId="77777777" w:rsidR="000C772B" w:rsidRDefault="000C772B" w:rsidP="00D261FA">
            <w:pPr>
              <w:ind w:right="57"/>
              <w:contextualSpacing/>
              <w:jc w:val="center"/>
              <w:rPr>
                <w:bCs/>
              </w:rPr>
            </w:pPr>
          </w:p>
          <w:p w14:paraId="2D8F94DD" w14:textId="77777777" w:rsidR="000C772B" w:rsidRDefault="000C772B" w:rsidP="00D261FA">
            <w:pPr>
              <w:ind w:right="57"/>
              <w:contextualSpacing/>
              <w:jc w:val="center"/>
              <w:rPr>
                <w:bCs/>
              </w:rPr>
            </w:pPr>
          </w:p>
          <w:p w14:paraId="7F5A6BE1" w14:textId="77777777" w:rsidR="000C772B" w:rsidRDefault="000C772B" w:rsidP="00D261FA">
            <w:pPr>
              <w:ind w:right="57"/>
              <w:contextualSpacing/>
              <w:jc w:val="center"/>
              <w:rPr>
                <w:bCs/>
              </w:rPr>
            </w:pPr>
          </w:p>
          <w:p w14:paraId="7F1F63FC" w14:textId="77777777" w:rsidR="000C772B" w:rsidRDefault="000C772B" w:rsidP="00D261FA">
            <w:pPr>
              <w:ind w:right="57"/>
              <w:contextualSpacing/>
              <w:jc w:val="center"/>
              <w:rPr>
                <w:bCs/>
              </w:rPr>
            </w:pPr>
          </w:p>
          <w:p w14:paraId="5B096EF2" w14:textId="77777777" w:rsidR="000C772B" w:rsidRDefault="000C772B" w:rsidP="00D261FA">
            <w:pPr>
              <w:ind w:right="57"/>
              <w:contextualSpacing/>
              <w:jc w:val="center"/>
              <w:rPr>
                <w:bCs/>
              </w:rPr>
            </w:pPr>
          </w:p>
          <w:p w14:paraId="4B370A67" w14:textId="77777777" w:rsidR="000C772B" w:rsidRDefault="000C772B" w:rsidP="00D261FA">
            <w:pPr>
              <w:ind w:right="57"/>
              <w:contextualSpacing/>
              <w:jc w:val="center"/>
              <w:rPr>
                <w:bCs/>
              </w:rPr>
            </w:pPr>
          </w:p>
          <w:p w14:paraId="4E394FBC" w14:textId="77777777" w:rsidR="000C772B" w:rsidRDefault="000C772B" w:rsidP="00D261FA">
            <w:pPr>
              <w:ind w:right="57"/>
              <w:contextualSpacing/>
              <w:jc w:val="center"/>
              <w:rPr>
                <w:bCs/>
              </w:rPr>
            </w:pPr>
          </w:p>
          <w:p w14:paraId="3AA54B98" w14:textId="77777777" w:rsidR="000C772B" w:rsidRDefault="000C772B" w:rsidP="00D261FA">
            <w:pPr>
              <w:ind w:right="57"/>
              <w:contextualSpacing/>
              <w:jc w:val="center"/>
              <w:rPr>
                <w:bCs/>
              </w:rPr>
            </w:pPr>
          </w:p>
          <w:p w14:paraId="4AE2278D" w14:textId="77777777" w:rsidR="000C772B" w:rsidRDefault="000C772B" w:rsidP="00D261FA">
            <w:pPr>
              <w:ind w:right="57"/>
              <w:contextualSpacing/>
              <w:jc w:val="center"/>
              <w:rPr>
                <w:bCs/>
              </w:rPr>
            </w:pPr>
          </w:p>
          <w:p w14:paraId="5D3E82E5" w14:textId="77777777" w:rsidR="000C772B" w:rsidRDefault="000C772B" w:rsidP="00D261FA">
            <w:pPr>
              <w:ind w:right="57"/>
              <w:contextualSpacing/>
              <w:jc w:val="center"/>
              <w:rPr>
                <w:bCs/>
              </w:rPr>
            </w:pPr>
          </w:p>
          <w:p w14:paraId="5A74BDF7" w14:textId="77777777" w:rsidR="000C772B" w:rsidRDefault="000C772B" w:rsidP="00D261FA">
            <w:pPr>
              <w:ind w:right="57"/>
              <w:contextualSpacing/>
              <w:jc w:val="center"/>
              <w:rPr>
                <w:bCs/>
              </w:rPr>
            </w:pPr>
          </w:p>
          <w:p w14:paraId="1FD42BF3" w14:textId="77777777" w:rsidR="000C772B" w:rsidRDefault="000C772B" w:rsidP="00D261FA">
            <w:pPr>
              <w:ind w:right="57"/>
              <w:contextualSpacing/>
              <w:jc w:val="center"/>
              <w:rPr>
                <w:bCs/>
              </w:rPr>
            </w:pPr>
          </w:p>
          <w:p w14:paraId="7D8FBF2D" w14:textId="77777777" w:rsidR="000C772B" w:rsidRDefault="000C772B" w:rsidP="00D261FA">
            <w:pPr>
              <w:ind w:right="57"/>
              <w:contextualSpacing/>
              <w:jc w:val="center"/>
              <w:rPr>
                <w:bCs/>
              </w:rPr>
            </w:pPr>
          </w:p>
          <w:p w14:paraId="176A6413" w14:textId="77777777" w:rsidR="000C772B" w:rsidRDefault="000C772B" w:rsidP="00D261FA">
            <w:pPr>
              <w:ind w:right="57"/>
              <w:contextualSpacing/>
              <w:jc w:val="center"/>
              <w:rPr>
                <w:bCs/>
              </w:rPr>
            </w:pPr>
          </w:p>
          <w:p w14:paraId="4A8C47E6" w14:textId="77777777" w:rsidR="000C772B" w:rsidRDefault="000C772B" w:rsidP="00D261FA">
            <w:pPr>
              <w:ind w:right="57"/>
              <w:contextualSpacing/>
              <w:jc w:val="center"/>
              <w:rPr>
                <w:bCs/>
              </w:rPr>
            </w:pPr>
          </w:p>
          <w:p w14:paraId="1403734E" w14:textId="77777777" w:rsidR="000C772B" w:rsidRDefault="000C772B" w:rsidP="00D261FA">
            <w:pPr>
              <w:ind w:right="57"/>
              <w:contextualSpacing/>
              <w:jc w:val="center"/>
              <w:rPr>
                <w:bCs/>
              </w:rPr>
            </w:pPr>
          </w:p>
          <w:p w14:paraId="22226D0F" w14:textId="77777777" w:rsidR="000C772B" w:rsidRDefault="000C772B" w:rsidP="00D261FA">
            <w:pPr>
              <w:ind w:right="57"/>
              <w:contextualSpacing/>
              <w:jc w:val="center"/>
              <w:rPr>
                <w:bCs/>
              </w:rPr>
            </w:pPr>
          </w:p>
          <w:p w14:paraId="32C2CC7E" w14:textId="77777777" w:rsidR="000C772B" w:rsidRDefault="000C772B" w:rsidP="00D261FA">
            <w:pPr>
              <w:ind w:right="57"/>
              <w:contextualSpacing/>
              <w:jc w:val="center"/>
              <w:rPr>
                <w:bCs/>
              </w:rPr>
            </w:pPr>
          </w:p>
          <w:p w14:paraId="0BA22C36" w14:textId="77777777" w:rsidR="000C772B" w:rsidRDefault="000C772B" w:rsidP="00D261FA">
            <w:pPr>
              <w:ind w:right="57"/>
              <w:contextualSpacing/>
              <w:jc w:val="center"/>
              <w:rPr>
                <w:bCs/>
              </w:rPr>
            </w:pPr>
          </w:p>
          <w:p w14:paraId="372C456E" w14:textId="77777777" w:rsidR="000C772B" w:rsidRDefault="000C772B" w:rsidP="00D261FA">
            <w:pPr>
              <w:ind w:right="57"/>
              <w:contextualSpacing/>
              <w:jc w:val="center"/>
              <w:rPr>
                <w:bCs/>
              </w:rPr>
            </w:pPr>
          </w:p>
          <w:p w14:paraId="472B05ED" w14:textId="77777777" w:rsidR="000C772B" w:rsidRDefault="000C772B" w:rsidP="00D261FA">
            <w:pPr>
              <w:ind w:right="57"/>
              <w:contextualSpacing/>
              <w:jc w:val="center"/>
              <w:rPr>
                <w:bCs/>
              </w:rPr>
            </w:pPr>
          </w:p>
          <w:p w14:paraId="081F7DD4" w14:textId="77777777" w:rsidR="000C772B" w:rsidRDefault="000C772B" w:rsidP="00D261FA">
            <w:pPr>
              <w:ind w:right="57"/>
              <w:contextualSpacing/>
              <w:jc w:val="center"/>
              <w:rPr>
                <w:bCs/>
              </w:rPr>
            </w:pPr>
          </w:p>
          <w:p w14:paraId="1BA9CDC6" w14:textId="5EB7CA7E" w:rsidR="000C772B" w:rsidRPr="00D1135B" w:rsidRDefault="000C772B" w:rsidP="000C772B">
            <w:pPr>
              <w:ind w:right="57"/>
              <w:contextualSpacing/>
              <w:rPr>
                <w:bCs/>
              </w:rPr>
            </w:pPr>
            <w:r>
              <w:rPr>
                <w:bCs/>
              </w:rPr>
              <w:t>Ņemts vērā</w:t>
            </w:r>
          </w:p>
        </w:tc>
        <w:tc>
          <w:tcPr>
            <w:tcW w:w="3676" w:type="dxa"/>
          </w:tcPr>
          <w:p w14:paraId="0736BE9A" w14:textId="77777777" w:rsidR="00D261FA" w:rsidRDefault="00D261FA" w:rsidP="00D261FA">
            <w:pPr>
              <w:shd w:val="clear" w:color="auto" w:fill="FFFFFF"/>
              <w:contextualSpacing/>
              <w:jc w:val="both"/>
            </w:pPr>
            <w:r>
              <w:lastRenderedPageBreak/>
              <w:t>9. Trīs darbdienu laikā pēc elektroniskās darba laika uzskaites sistēmas datu saņemšanas vienotās elektroniskās darba laika uzskaites datubāze salīdzina:</w:t>
            </w:r>
          </w:p>
          <w:p w14:paraId="27355D8B" w14:textId="77777777" w:rsidR="008B7284" w:rsidRDefault="008B7284" w:rsidP="00D261FA">
            <w:pPr>
              <w:shd w:val="clear" w:color="auto" w:fill="FFFFFF"/>
              <w:contextualSpacing/>
              <w:jc w:val="both"/>
            </w:pPr>
            <w:r w:rsidRPr="008B7284">
              <w:t xml:space="preserve">9.1. elektroniskās darba laika uzskaites sistēmā iekļautos būvlaukumā nodarbināto personu, </w:t>
            </w:r>
            <w:r w:rsidRPr="008B7284">
              <w:rPr>
                <w:u w:val="single"/>
              </w:rPr>
              <w:t xml:space="preserve">izņemot ārvalstniekus, kam nav Latvijas Republikā piešķirts </w:t>
            </w:r>
            <w:r w:rsidRPr="008B7284">
              <w:rPr>
                <w:u w:val="single"/>
              </w:rPr>
              <w:lastRenderedPageBreak/>
              <w:t>personas kods</w:t>
            </w:r>
            <w:r w:rsidRPr="008B7284">
              <w:t>, darba laika reģistrācijas un uzskaites datu laukus – vārds, uzvārds, personas kods – ar Iedzīvotāju reģistra datiem;</w:t>
            </w:r>
          </w:p>
          <w:p w14:paraId="1EB64516" w14:textId="2E5FAB24" w:rsidR="00D261FA" w:rsidRDefault="00D261FA" w:rsidP="00D261FA">
            <w:pPr>
              <w:shd w:val="clear" w:color="auto" w:fill="FFFFFF"/>
              <w:contextualSpacing/>
              <w:jc w:val="both"/>
            </w:pPr>
            <w:r>
              <w:t>9.2. elektroniskās darba laika uzskaites sistēmā iekļauto darba devēja datu lauku:</w:t>
            </w:r>
          </w:p>
          <w:p w14:paraId="51852B11" w14:textId="77777777" w:rsidR="00D261FA" w:rsidRDefault="00D261FA" w:rsidP="00D261FA">
            <w:pPr>
              <w:shd w:val="clear" w:color="auto" w:fill="FFFFFF"/>
              <w:contextualSpacing/>
              <w:jc w:val="both"/>
            </w:pPr>
            <w:r>
              <w:t>9.2.1. darba devēja vienotais reģistrācijas numurs – ar Uzņēmumu reģistra datiem, izņemot ārvalstī reģistrēto juridisko personu;</w:t>
            </w:r>
          </w:p>
          <w:p w14:paraId="125B65F9" w14:textId="4AB11761" w:rsidR="00D261FA" w:rsidRDefault="00D261FA" w:rsidP="00D261FA">
            <w:pPr>
              <w:ind w:right="57"/>
              <w:contextualSpacing/>
              <w:jc w:val="both"/>
            </w:pPr>
            <w:r>
              <w:t>9.2.2. darba devēja vārds un uzvārds, ja darba devējs ir fiziska persona – ar Iedzīvotāju reģistra datiem, izņemot ārvalstniekus.</w:t>
            </w:r>
          </w:p>
          <w:p w14:paraId="0706B7F0" w14:textId="77777777" w:rsidR="008B7284" w:rsidRDefault="008B7284" w:rsidP="00D261FA">
            <w:pPr>
              <w:ind w:right="57"/>
              <w:contextualSpacing/>
              <w:jc w:val="both"/>
            </w:pPr>
          </w:p>
          <w:p w14:paraId="5763C6EA" w14:textId="455272B1" w:rsidR="00D261FA" w:rsidRDefault="00D261FA" w:rsidP="00D261FA">
            <w:pPr>
              <w:ind w:right="57"/>
              <w:contextualSpacing/>
              <w:jc w:val="both"/>
            </w:pPr>
            <w:r>
              <w:t>Anotācija papildināta:</w:t>
            </w:r>
          </w:p>
          <w:p w14:paraId="29D2E776" w14:textId="70D3AB4A" w:rsidR="00D261FA" w:rsidRDefault="00D261FA" w:rsidP="00D261FA">
            <w:pPr>
              <w:ind w:right="57"/>
              <w:contextualSpacing/>
              <w:jc w:val="both"/>
              <w:rPr>
                <w:u w:val="single"/>
              </w:rPr>
            </w:pPr>
            <w:r w:rsidRPr="0072185B">
              <w:rPr>
                <w:u w:val="single"/>
              </w:rPr>
              <w:t xml:space="preserve">VEDLUDB salīdzinās EDLUS iekļautos būvlaukumā nodarbināto personu darba laika reģistrācijas un uzskaites datu laukus – vārds, uzvārds, personas kods – ar Iedzīvotāju reģistra datiem, izņemot ārvalstniekus, kam nav </w:t>
            </w:r>
            <w:r w:rsidR="007044B6">
              <w:rPr>
                <w:u w:val="single"/>
              </w:rPr>
              <w:t xml:space="preserve">Latvijas Republikā </w:t>
            </w:r>
            <w:r w:rsidRPr="0072185B">
              <w:rPr>
                <w:u w:val="single"/>
              </w:rPr>
              <w:t>piešķirts personas kods.</w:t>
            </w:r>
          </w:p>
          <w:p w14:paraId="1B06554A" w14:textId="77777777" w:rsidR="00D261FA" w:rsidRPr="0072185B" w:rsidRDefault="00D261FA" w:rsidP="00D261FA">
            <w:pPr>
              <w:ind w:right="57"/>
              <w:contextualSpacing/>
              <w:jc w:val="both"/>
              <w:rPr>
                <w:u w:val="single"/>
              </w:rPr>
            </w:pPr>
            <w:r>
              <w:rPr>
                <w:u w:val="single"/>
              </w:rPr>
              <w:t>Ā</w:t>
            </w:r>
            <w:r w:rsidRPr="0072185B">
              <w:rPr>
                <w:u w:val="single"/>
              </w:rPr>
              <w:t xml:space="preserve">rzemniekam var izsniegt </w:t>
            </w:r>
            <w:proofErr w:type="spellStart"/>
            <w:r w:rsidRPr="0072185B">
              <w:rPr>
                <w:u w:val="single"/>
              </w:rPr>
              <w:t>termiņuzturēšanās</w:t>
            </w:r>
            <w:proofErr w:type="spellEnd"/>
            <w:r w:rsidRPr="0072185B">
              <w:rPr>
                <w:u w:val="single"/>
              </w:rPr>
              <w:t xml:space="preserve"> atļauju, pastāvīgās uzturēšanās atļauju. Iedzīvotāju reģistra likuma 3. panta </w:t>
            </w:r>
            <w:r w:rsidRPr="0072185B">
              <w:rPr>
                <w:u w:val="single"/>
              </w:rPr>
              <w:lastRenderedPageBreak/>
              <w:t>2. punktā noteikts, ka Iedzīvotāju reģistrā iekļauj un aktualizē ziņas par personām, kuras Latvijā saņēmušas uzturēšanās atļauju, reģistrācijas apliecību vai pastāvīgās uzturēšanās apliecību</w:t>
            </w:r>
          </w:p>
          <w:p w14:paraId="5C47D389" w14:textId="5D02ACEE" w:rsidR="00D261FA" w:rsidRDefault="00D261FA" w:rsidP="00D261FA">
            <w:pPr>
              <w:ind w:right="57"/>
              <w:contextualSpacing/>
              <w:jc w:val="both"/>
            </w:pPr>
            <w:r w:rsidRPr="00A76F8D">
              <w:rPr>
                <w:rFonts w:eastAsia="Calibri"/>
                <w:u w:val="single"/>
                <w:lang w:eastAsia="en-US"/>
              </w:rPr>
              <w:t>Ārzemnieks, saņemot uzturēšanās atļauju Latvijas Republikā, tiek reģistrēts Iedzīvotāju reģistrā, un tam tiek piešķirts personas kods atbilstoši Iedzīvotāju reģistra likuma 5. panta pirmajai daļai.</w:t>
            </w:r>
          </w:p>
        </w:tc>
      </w:tr>
      <w:tr w:rsidR="00D261FA" w14:paraId="0ADB5ACC" w14:textId="77777777" w:rsidTr="00AE1D83">
        <w:tc>
          <w:tcPr>
            <w:tcW w:w="604" w:type="dxa"/>
          </w:tcPr>
          <w:p w14:paraId="0C8D2475" w14:textId="55A1914E" w:rsidR="00D261FA" w:rsidRPr="001E4AD9" w:rsidRDefault="00825895" w:rsidP="00D261FA">
            <w:pPr>
              <w:ind w:right="57"/>
              <w:contextualSpacing/>
              <w:jc w:val="center"/>
            </w:pPr>
            <w:r>
              <w:lastRenderedPageBreak/>
              <w:t>6.</w:t>
            </w:r>
          </w:p>
        </w:tc>
        <w:tc>
          <w:tcPr>
            <w:tcW w:w="3112" w:type="dxa"/>
            <w:tcBorders>
              <w:top w:val="single" w:sz="4" w:space="0" w:color="auto"/>
              <w:left w:val="single" w:sz="4" w:space="0" w:color="auto"/>
              <w:bottom w:val="single" w:sz="4" w:space="0" w:color="auto"/>
              <w:right w:val="single" w:sz="4" w:space="0" w:color="auto"/>
            </w:tcBorders>
          </w:tcPr>
          <w:p w14:paraId="6CD6C4C0" w14:textId="77777777" w:rsidR="00D261FA" w:rsidRDefault="00D261FA" w:rsidP="00D261FA">
            <w:pPr>
              <w:shd w:val="clear" w:color="auto" w:fill="FFFFFF"/>
              <w:contextualSpacing/>
              <w:jc w:val="both"/>
            </w:pPr>
            <w:r>
              <w:t>14. Galvenais būvdarbu veicējs šo noteikumu 5. punktā noteiktajā kārtībā:</w:t>
            </w:r>
          </w:p>
          <w:p w14:paraId="0646E460" w14:textId="77777777" w:rsidR="00D261FA" w:rsidRDefault="00D261FA" w:rsidP="00D261FA">
            <w:pPr>
              <w:shd w:val="clear" w:color="auto" w:fill="FFFFFF"/>
              <w:contextualSpacing/>
              <w:jc w:val="both"/>
            </w:pPr>
            <w:r>
              <w:t>14.1. iesniedz datus par būvdarbu pabeigšanu ne vēlāk kā piecu darbdienu laikā pēc būvdarbu pabeigšanas;</w:t>
            </w:r>
          </w:p>
          <w:p w14:paraId="68B3FCA2" w14:textId="77777777" w:rsidR="00D261FA" w:rsidRDefault="00D261FA" w:rsidP="00D261FA">
            <w:pPr>
              <w:shd w:val="clear" w:color="auto" w:fill="FFFFFF"/>
              <w:contextualSpacing/>
              <w:jc w:val="both"/>
            </w:pPr>
            <w:r>
              <w:t>14.2. iesniedz datus par elektroniskās darba laika uzskaites sistēmas vai elektroniskās darba laika uzskaites sistēmas nosaukuma vai elektroniskās darba laika uzskaites sistēmas pārziņa maiņu ne vēlāk kā piecu darbdienu laikā pēc izmaiņām;</w:t>
            </w:r>
          </w:p>
          <w:p w14:paraId="5BEFB0CF" w14:textId="77777777" w:rsidR="00D261FA" w:rsidRDefault="00D261FA" w:rsidP="00D261FA">
            <w:pPr>
              <w:shd w:val="clear" w:color="auto" w:fill="FFFFFF"/>
              <w:contextualSpacing/>
              <w:jc w:val="both"/>
            </w:pPr>
            <w:r>
              <w:t xml:space="preserve">14.3. ja mainās būvdarbu līguma ar būvniecības ierosinātāju summa, iesniedz </w:t>
            </w:r>
            <w:r>
              <w:lastRenderedPageBreak/>
              <w:t>datus par līguma jauno summu ne vēlāk kā piecu darbdienu laikā pēc līguma grozījumu stāšanās spēkā;</w:t>
            </w:r>
          </w:p>
          <w:p w14:paraId="1DBC5274" w14:textId="155EECDD" w:rsidR="00D261FA" w:rsidRPr="007207ED" w:rsidRDefault="00D261FA" w:rsidP="00D261FA">
            <w:pPr>
              <w:shd w:val="clear" w:color="auto" w:fill="FFFFFF"/>
              <w:contextualSpacing/>
              <w:jc w:val="both"/>
            </w:pPr>
            <w:r>
              <w:t>14.4. iesniedz datus par visiem ar saviem apakšuzņēmējiem iepriekšējā mēnesī noslēgtajiem būvdarbu līgumiem un, ja mainās līguma summa, par jauno līguma summu.</w:t>
            </w:r>
          </w:p>
        </w:tc>
        <w:tc>
          <w:tcPr>
            <w:tcW w:w="4241" w:type="dxa"/>
          </w:tcPr>
          <w:p w14:paraId="655E03B3" w14:textId="4D105330" w:rsidR="00D261FA" w:rsidRDefault="00D261FA" w:rsidP="00D261FA">
            <w:pPr>
              <w:ind w:right="57"/>
              <w:contextualSpacing/>
              <w:jc w:val="both"/>
              <w:rPr>
                <w:b/>
                <w:u w:val="single"/>
              </w:rPr>
            </w:pPr>
            <w:r w:rsidRPr="00E957C0">
              <w:rPr>
                <w:b/>
                <w:u w:val="single"/>
              </w:rPr>
              <w:lastRenderedPageBreak/>
              <w:t>Latvijas Būvuzņēmēju partnerība</w:t>
            </w:r>
          </w:p>
          <w:p w14:paraId="62C0DF97" w14:textId="487C2A23" w:rsidR="00D261FA" w:rsidRPr="00F90B2F" w:rsidRDefault="00D261FA" w:rsidP="00D261FA">
            <w:pPr>
              <w:spacing w:after="160" w:line="259" w:lineRule="auto"/>
              <w:contextualSpacing/>
              <w:jc w:val="both"/>
              <w:rPr>
                <w:rFonts w:eastAsia="Calibri"/>
                <w:lang w:eastAsia="en-US"/>
              </w:rPr>
            </w:pPr>
            <w:r>
              <w:rPr>
                <w:rFonts w:eastAsia="Calibri"/>
                <w:lang w:eastAsia="en-US"/>
              </w:rPr>
              <w:t xml:space="preserve">2.2. </w:t>
            </w:r>
            <w:r w:rsidRPr="00F90B2F">
              <w:rPr>
                <w:rFonts w:eastAsia="Calibri"/>
                <w:lang w:eastAsia="en-US"/>
              </w:rPr>
              <w:t>Lūdzam precizēt sekojošus VEDLUDB noteikumu 14. punkta noteikumus:</w:t>
            </w:r>
          </w:p>
          <w:p w14:paraId="1C4E7D79" w14:textId="77777777" w:rsidR="00D261FA" w:rsidRPr="00F90B2F" w:rsidRDefault="00D261FA" w:rsidP="00D261FA">
            <w:pPr>
              <w:spacing w:after="160"/>
              <w:ind w:left="426"/>
              <w:contextualSpacing/>
              <w:jc w:val="both"/>
              <w:rPr>
                <w:rFonts w:eastAsia="Calibri"/>
                <w:lang w:eastAsia="en-US"/>
              </w:rPr>
            </w:pPr>
          </w:p>
          <w:p w14:paraId="0A3047BA" w14:textId="5919D3AA" w:rsidR="00D261FA" w:rsidRPr="00F90B2F" w:rsidRDefault="00D261FA" w:rsidP="00D261FA">
            <w:pPr>
              <w:spacing w:after="160" w:line="259" w:lineRule="auto"/>
              <w:contextualSpacing/>
              <w:jc w:val="both"/>
              <w:rPr>
                <w:rFonts w:eastAsia="Calibri"/>
                <w:lang w:eastAsia="en-US"/>
              </w:rPr>
            </w:pPr>
            <w:r>
              <w:rPr>
                <w:rFonts w:eastAsia="Calibri"/>
                <w:lang w:eastAsia="en-US"/>
              </w:rPr>
              <w:t xml:space="preserve">2.2.1. </w:t>
            </w:r>
            <w:r w:rsidRPr="00F90B2F">
              <w:rPr>
                <w:rFonts w:eastAsia="Calibri"/>
                <w:lang w:eastAsia="en-US"/>
              </w:rPr>
              <w:t xml:space="preserve">VEDLUDB noteikumu 14. punktā norādīta atsauce, ka minētajā punktā norādītos datus galvenais būvdarbu veicējs VEDLUDB iesniedz VEDLUDB noteikumu 5. punktā noteiktajā kārtībā. Ņemot vērā, ka šo noteikumu 5. punktā datu iesniegšanas kārtība ir norādīta ļoti vispārīgi un nesatur vairākus svarīgus nosacījumus, lūdzam papildināt 14. punktu un noteikt, ka 14. punktā norādītos datus galvenais būvdarbu veicējs iesniedz šo noteikumu 5. un </w:t>
            </w:r>
            <w:r w:rsidRPr="00F90B2F">
              <w:rPr>
                <w:rFonts w:eastAsia="Calibri"/>
                <w:u w:val="single"/>
                <w:lang w:eastAsia="en-US"/>
              </w:rPr>
              <w:t>7.</w:t>
            </w:r>
            <w:r w:rsidRPr="00F90B2F">
              <w:rPr>
                <w:rFonts w:eastAsia="Calibri"/>
                <w:lang w:eastAsia="en-US"/>
              </w:rPr>
              <w:t xml:space="preserve"> punktā noteiktajā kārtībā.</w:t>
            </w:r>
          </w:p>
          <w:p w14:paraId="1B40912D" w14:textId="2652FF53" w:rsidR="00D261FA" w:rsidRDefault="00D261FA" w:rsidP="00D261FA">
            <w:pPr>
              <w:ind w:right="57"/>
              <w:contextualSpacing/>
              <w:jc w:val="both"/>
              <w:rPr>
                <w:b/>
                <w:u w:val="single"/>
              </w:rPr>
            </w:pPr>
            <w:r>
              <w:rPr>
                <w:rFonts w:eastAsia="Calibri"/>
                <w:lang w:eastAsia="en-US"/>
              </w:rPr>
              <w:lastRenderedPageBreak/>
              <w:t xml:space="preserve">2.2.2. </w:t>
            </w:r>
            <w:r w:rsidRPr="00F90B2F">
              <w:rPr>
                <w:rFonts w:eastAsia="Calibri"/>
                <w:lang w:eastAsia="en-US"/>
              </w:rPr>
              <w:t xml:space="preserve">VEDLUDB noteikumu 14.4. punktā ir noteikts, ka galvenajam būvdarbu veicējam jāiesniedz datus </w:t>
            </w:r>
            <w:r w:rsidRPr="00F90B2F">
              <w:rPr>
                <w:rFonts w:eastAsia="Calibri"/>
                <w:u w:val="single"/>
                <w:lang w:eastAsia="en-US"/>
              </w:rPr>
              <w:t>par visiem</w:t>
            </w:r>
            <w:r w:rsidRPr="00F90B2F">
              <w:rPr>
                <w:rFonts w:eastAsia="Calibri"/>
                <w:lang w:eastAsia="en-US"/>
              </w:rPr>
              <w:t xml:space="preserve"> ar saviem apakšuzņēmējiem iepriekšējā mēnesī noslēgtajiem būvdarbu līgumiem. Lūdzam precizēt noteikumu redakciju, jo Likuma 116. panta pirmās daļas devītajā punktā noteikts, ka galvenajam būvdarbu veicējam VEDLUDB ir jāiesniedz  informācija </w:t>
            </w:r>
            <w:r w:rsidRPr="00F90B2F">
              <w:rPr>
                <w:rFonts w:eastAsia="Calibri"/>
                <w:i/>
                <w:iCs/>
                <w:u w:val="single"/>
                <w:lang w:eastAsia="en-US"/>
              </w:rPr>
              <w:t>par visiem</w:t>
            </w:r>
            <w:r w:rsidRPr="00F90B2F">
              <w:rPr>
                <w:rFonts w:eastAsia="Calibri"/>
                <w:i/>
                <w:iCs/>
                <w:lang w:eastAsia="en-US"/>
              </w:rPr>
              <w:t xml:space="preserve"> ar saviem apakšuzņēmējiem iepriekšējā mēnesī noslēgtajiem būvdarbu līgumiem, </w:t>
            </w:r>
            <w:r w:rsidRPr="00F90B2F">
              <w:rPr>
                <w:rFonts w:eastAsia="Calibri"/>
                <w:i/>
                <w:iCs/>
                <w:u w:val="single"/>
                <w:lang w:eastAsia="en-US"/>
              </w:rPr>
              <w:t>kuru līguma summa ir 15 000 </w:t>
            </w:r>
            <w:proofErr w:type="spellStart"/>
            <w:r w:rsidRPr="00F90B2F">
              <w:rPr>
                <w:rFonts w:eastAsia="Calibri"/>
                <w:i/>
                <w:iCs/>
                <w:u w:val="single"/>
                <w:lang w:eastAsia="en-US"/>
              </w:rPr>
              <w:t>euro</w:t>
            </w:r>
            <w:proofErr w:type="spellEnd"/>
            <w:r w:rsidRPr="00F90B2F">
              <w:rPr>
                <w:rFonts w:eastAsia="Calibri"/>
                <w:i/>
                <w:iCs/>
                <w:u w:val="single"/>
                <w:lang w:eastAsia="en-US"/>
              </w:rPr>
              <w:t> vai vairāk</w:t>
            </w:r>
            <w:r w:rsidRPr="00F90B2F">
              <w:rPr>
                <w:rFonts w:eastAsia="Calibri"/>
                <w:i/>
                <w:iCs/>
                <w:lang w:eastAsia="en-US"/>
              </w:rPr>
              <w:t xml:space="preserve"> (..).</w:t>
            </w:r>
          </w:p>
          <w:p w14:paraId="13319CCB" w14:textId="77777777" w:rsidR="00D261FA" w:rsidRDefault="00D261FA" w:rsidP="00D261FA">
            <w:pPr>
              <w:ind w:right="57"/>
              <w:contextualSpacing/>
              <w:jc w:val="both"/>
              <w:rPr>
                <w:b/>
                <w:u w:val="single"/>
              </w:rPr>
            </w:pPr>
          </w:p>
          <w:p w14:paraId="16977A5B" w14:textId="170E1B14" w:rsidR="00D261FA" w:rsidRPr="007207ED" w:rsidRDefault="00D261FA" w:rsidP="00D261FA">
            <w:pPr>
              <w:ind w:right="57"/>
              <w:contextualSpacing/>
              <w:jc w:val="both"/>
              <w:rPr>
                <w:b/>
                <w:u w:val="single"/>
              </w:rPr>
            </w:pPr>
            <w:r>
              <w:rPr>
                <w:b/>
                <w:u w:val="single"/>
              </w:rPr>
              <w:t>Finanšu</w:t>
            </w:r>
            <w:r w:rsidRPr="007207ED">
              <w:rPr>
                <w:b/>
                <w:u w:val="single"/>
              </w:rPr>
              <w:t xml:space="preserve"> ministrija</w:t>
            </w:r>
          </w:p>
          <w:p w14:paraId="5CB3FD96" w14:textId="10ADFF21" w:rsidR="00D261FA" w:rsidRDefault="00D261FA" w:rsidP="00D261FA">
            <w:pPr>
              <w:ind w:right="57"/>
              <w:contextualSpacing/>
              <w:jc w:val="both"/>
              <w:rPr>
                <w:b/>
                <w:u w:val="single"/>
              </w:rPr>
            </w:pPr>
            <w:r w:rsidRPr="00A05B87">
              <w:t xml:space="preserve">2. VEDLUDB noteikumu projekta 14.2.apakšpunkts nosaka, ka galvenais būvdarbu veicējs šo noteikumu 5. punktā noteiktajā kārtībā iesniedz datus par elektroniskās darba laika uzskaites sistēmas vai elektroniskās darba laika uzskaites sistēmas nosaukuma vai elektroniskās darba laika uzskaites sistēmas pārziņa maiņu ne vēlāk kā piecu darbdienu laikā pēc izmaiņām. No minētās normas nav viennozīmīgi saprotams, kurā brīdī sākas piecu darbdienu termiņš minētā pienākuma izpildei, piemēram, jaunas elektroniskās darba laika uzskaites sistēmas lietošanas </w:t>
            </w:r>
            <w:r w:rsidRPr="00A05B87">
              <w:lastRenderedPageBreak/>
              <w:t>uzsākšana datu reģistrācijai būvlaukumā, vai līguma noslēgšana par jaunas sistēmas izmantošanas uzsākšanu nākotnē vai līguma spēkā stāšanās datums. Ņemot vērā minēto, lai novērstu atšķirīgu VEDLUDB noteikumu projekta 14.2.apakšpunktā ietvertā regulējuma interpretāciju, tas būtu precizējams, nosakot precīzu brīdi, kurā sākas piecu darbdienu termiņš pienākuma izpildei.</w:t>
            </w:r>
          </w:p>
        </w:tc>
        <w:tc>
          <w:tcPr>
            <w:tcW w:w="3394" w:type="dxa"/>
          </w:tcPr>
          <w:p w14:paraId="39E6AE62" w14:textId="77777777" w:rsidR="00D261FA" w:rsidRDefault="00D261FA" w:rsidP="00D261FA">
            <w:pPr>
              <w:ind w:right="57"/>
              <w:contextualSpacing/>
              <w:jc w:val="center"/>
              <w:rPr>
                <w:b/>
              </w:rPr>
            </w:pPr>
            <w:r>
              <w:rPr>
                <w:b/>
              </w:rPr>
              <w:lastRenderedPageBreak/>
              <w:t>Ņemts vērā</w:t>
            </w:r>
          </w:p>
          <w:p w14:paraId="21F7B8FE" w14:textId="1E6F8F95" w:rsidR="00D261FA" w:rsidRPr="00C13682" w:rsidRDefault="00D261FA" w:rsidP="00D261FA">
            <w:pPr>
              <w:ind w:right="57"/>
              <w:contextualSpacing/>
              <w:jc w:val="both"/>
            </w:pPr>
            <w:r w:rsidRPr="00C13682">
              <w:t>Precizēts 1</w:t>
            </w:r>
            <w:r>
              <w:t>5</w:t>
            </w:r>
            <w:r w:rsidRPr="00C13682">
              <w:t>.punkts un 1</w:t>
            </w:r>
            <w:r>
              <w:t>5</w:t>
            </w:r>
            <w:r w:rsidRPr="00C13682">
              <w:t>.4.apakšpunkts.</w:t>
            </w:r>
            <w:r>
              <w:t xml:space="preserve"> Mainīta numerācija.</w:t>
            </w:r>
          </w:p>
          <w:p w14:paraId="5C4E41A3" w14:textId="77777777" w:rsidR="00D261FA" w:rsidRDefault="00D261FA" w:rsidP="00D261FA">
            <w:pPr>
              <w:ind w:right="57"/>
              <w:contextualSpacing/>
              <w:jc w:val="center"/>
              <w:rPr>
                <w:b/>
              </w:rPr>
            </w:pPr>
          </w:p>
          <w:p w14:paraId="3EA5DDDA" w14:textId="77777777" w:rsidR="00D261FA" w:rsidRDefault="00D261FA" w:rsidP="00D261FA">
            <w:pPr>
              <w:ind w:right="57"/>
              <w:contextualSpacing/>
              <w:jc w:val="center"/>
              <w:rPr>
                <w:b/>
              </w:rPr>
            </w:pPr>
          </w:p>
          <w:p w14:paraId="4514D14B" w14:textId="77777777" w:rsidR="00D261FA" w:rsidRDefault="00D261FA" w:rsidP="00D261FA">
            <w:pPr>
              <w:ind w:right="57"/>
              <w:contextualSpacing/>
              <w:jc w:val="center"/>
              <w:rPr>
                <w:b/>
              </w:rPr>
            </w:pPr>
          </w:p>
          <w:p w14:paraId="10D4122F" w14:textId="77777777" w:rsidR="00D261FA" w:rsidRDefault="00D261FA" w:rsidP="00D261FA">
            <w:pPr>
              <w:ind w:right="57"/>
              <w:contextualSpacing/>
              <w:jc w:val="center"/>
              <w:rPr>
                <w:b/>
              </w:rPr>
            </w:pPr>
          </w:p>
          <w:p w14:paraId="17B53F39" w14:textId="77777777" w:rsidR="00D261FA" w:rsidRDefault="00D261FA" w:rsidP="00D261FA">
            <w:pPr>
              <w:ind w:right="57"/>
              <w:contextualSpacing/>
              <w:jc w:val="center"/>
              <w:rPr>
                <w:b/>
              </w:rPr>
            </w:pPr>
          </w:p>
          <w:p w14:paraId="06D0D9C0" w14:textId="77777777" w:rsidR="00D261FA" w:rsidRDefault="00D261FA" w:rsidP="00D261FA">
            <w:pPr>
              <w:ind w:right="57"/>
              <w:contextualSpacing/>
              <w:jc w:val="center"/>
              <w:rPr>
                <w:b/>
              </w:rPr>
            </w:pPr>
          </w:p>
          <w:p w14:paraId="123A9985" w14:textId="77777777" w:rsidR="00D261FA" w:rsidRDefault="00D261FA" w:rsidP="00D261FA">
            <w:pPr>
              <w:ind w:right="57"/>
              <w:contextualSpacing/>
              <w:jc w:val="center"/>
              <w:rPr>
                <w:b/>
              </w:rPr>
            </w:pPr>
          </w:p>
          <w:p w14:paraId="0B863185" w14:textId="77777777" w:rsidR="00D261FA" w:rsidRDefault="00D261FA" w:rsidP="00D261FA">
            <w:pPr>
              <w:ind w:right="57"/>
              <w:contextualSpacing/>
              <w:jc w:val="center"/>
              <w:rPr>
                <w:b/>
              </w:rPr>
            </w:pPr>
          </w:p>
          <w:p w14:paraId="7C892700" w14:textId="77777777" w:rsidR="00D261FA" w:rsidRDefault="00D261FA" w:rsidP="00D261FA">
            <w:pPr>
              <w:ind w:right="57"/>
              <w:contextualSpacing/>
              <w:jc w:val="center"/>
              <w:rPr>
                <w:b/>
              </w:rPr>
            </w:pPr>
          </w:p>
          <w:p w14:paraId="7D6B111A" w14:textId="77777777" w:rsidR="00D261FA" w:rsidRDefault="00D261FA" w:rsidP="00D261FA">
            <w:pPr>
              <w:ind w:right="57"/>
              <w:contextualSpacing/>
              <w:jc w:val="center"/>
              <w:rPr>
                <w:b/>
              </w:rPr>
            </w:pPr>
          </w:p>
          <w:p w14:paraId="25E71BD9" w14:textId="77777777" w:rsidR="00D261FA" w:rsidRDefault="00D261FA" w:rsidP="00D261FA">
            <w:pPr>
              <w:ind w:right="57"/>
              <w:contextualSpacing/>
              <w:jc w:val="center"/>
              <w:rPr>
                <w:b/>
              </w:rPr>
            </w:pPr>
          </w:p>
          <w:p w14:paraId="3C49990C" w14:textId="77777777" w:rsidR="00D261FA" w:rsidRDefault="00D261FA" w:rsidP="00D261FA">
            <w:pPr>
              <w:ind w:right="57"/>
              <w:contextualSpacing/>
              <w:jc w:val="center"/>
              <w:rPr>
                <w:b/>
              </w:rPr>
            </w:pPr>
          </w:p>
          <w:p w14:paraId="6C256397" w14:textId="77777777" w:rsidR="00D261FA" w:rsidRDefault="00D261FA" w:rsidP="00D261FA">
            <w:pPr>
              <w:ind w:right="57"/>
              <w:contextualSpacing/>
              <w:jc w:val="center"/>
              <w:rPr>
                <w:b/>
              </w:rPr>
            </w:pPr>
          </w:p>
          <w:p w14:paraId="1CF17BE5" w14:textId="77777777" w:rsidR="00D261FA" w:rsidRDefault="00D261FA" w:rsidP="00D261FA">
            <w:pPr>
              <w:ind w:right="57"/>
              <w:contextualSpacing/>
              <w:jc w:val="center"/>
              <w:rPr>
                <w:b/>
              </w:rPr>
            </w:pPr>
          </w:p>
          <w:p w14:paraId="3DD9662C" w14:textId="77777777" w:rsidR="00D261FA" w:rsidRDefault="00D261FA" w:rsidP="00D261FA">
            <w:pPr>
              <w:ind w:right="57"/>
              <w:contextualSpacing/>
              <w:jc w:val="center"/>
              <w:rPr>
                <w:b/>
              </w:rPr>
            </w:pPr>
          </w:p>
          <w:p w14:paraId="7B4432E0" w14:textId="77777777" w:rsidR="00D261FA" w:rsidRDefault="00D261FA" w:rsidP="00D261FA">
            <w:pPr>
              <w:ind w:right="57"/>
              <w:contextualSpacing/>
              <w:jc w:val="center"/>
              <w:rPr>
                <w:b/>
              </w:rPr>
            </w:pPr>
          </w:p>
          <w:p w14:paraId="552E2152" w14:textId="77777777" w:rsidR="00D261FA" w:rsidRDefault="00D261FA" w:rsidP="00D261FA">
            <w:pPr>
              <w:ind w:right="57"/>
              <w:contextualSpacing/>
              <w:jc w:val="center"/>
              <w:rPr>
                <w:b/>
              </w:rPr>
            </w:pPr>
          </w:p>
          <w:p w14:paraId="3E46FB11" w14:textId="77777777" w:rsidR="00D261FA" w:rsidRDefault="00D261FA" w:rsidP="00D261FA">
            <w:pPr>
              <w:ind w:right="57"/>
              <w:contextualSpacing/>
              <w:jc w:val="center"/>
              <w:rPr>
                <w:b/>
              </w:rPr>
            </w:pPr>
          </w:p>
          <w:p w14:paraId="4B12C948" w14:textId="77777777" w:rsidR="00D261FA" w:rsidRDefault="00D261FA" w:rsidP="00D261FA">
            <w:pPr>
              <w:ind w:right="57"/>
              <w:contextualSpacing/>
              <w:jc w:val="center"/>
              <w:rPr>
                <w:b/>
              </w:rPr>
            </w:pPr>
          </w:p>
          <w:p w14:paraId="39F82924" w14:textId="77777777" w:rsidR="00D261FA" w:rsidRDefault="00D261FA" w:rsidP="00D261FA">
            <w:pPr>
              <w:ind w:right="57"/>
              <w:contextualSpacing/>
              <w:jc w:val="center"/>
              <w:rPr>
                <w:b/>
              </w:rPr>
            </w:pPr>
          </w:p>
          <w:p w14:paraId="74E899A6" w14:textId="77777777" w:rsidR="00D261FA" w:rsidRDefault="00D261FA" w:rsidP="00D261FA">
            <w:pPr>
              <w:ind w:right="57"/>
              <w:contextualSpacing/>
              <w:jc w:val="center"/>
              <w:rPr>
                <w:b/>
              </w:rPr>
            </w:pPr>
          </w:p>
          <w:p w14:paraId="3D738D81" w14:textId="77777777" w:rsidR="00D261FA" w:rsidRDefault="00D261FA" w:rsidP="00D261FA">
            <w:pPr>
              <w:ind w:right="57"/>
              <w:contextualSpacing/>
              <w:jc w:val="center"/>
              <w:rPr>
                <w:b/>
              </w:rPr>
            </w:pPr>
          </w:p>
          <w:p w14:paraId="7DB8DEFC" w14:textId="77777777" w:rsidR="00D261FA" w:rsidRDefault="00D261FA" w:rsidP="00D261FA">
            <w:pPr>
              <w:ind w:right="57"/>
              <w:contextualSpacing/>
              <w:jc w:val="center"/>
              <w:rPr>
                <w:b/>
              </w:rPr>
            </w:pPr>
          </w:p>
          <w:p w14:paraId="56264420" w14:textId="77777777" w:rsidR="00D261FA" w:rsidRDefault="00D261FA" w:rsidP="00D261FA">
            <w:pPr>
              <w:ind w:right="57"/>
              <w:contextualSpacing/>
              <w:jc w:val="center"/>
              <w:rPr>
                <w:b/>
              </w:rPr>
            </w:pPr>
          </w:p>
          <w:p w14:paraId="2F141E1A" w14:textId="77777777" w:rsidR="00D261FA" w:rsidRDefault="00D261FA" w:rsidP="00D261FA">
            <w:pPr>
              <w:ind w:right="57"/>
              <w:contextualSpacing/>
              <w:jc w:val="center"/>
              <w:rPr>
                <w:b/>
              </w:rPr>
            </w:pPr>
          </w:p>
          <w:p w14:paraId="1E679F7B" w14:textId="77777777" w:rsidR="00D261FA" w:rsidRDefault="00D261FA" w:rsidP="00D261FA">
            <w:pPr>
              <w:ind w:right="57"/>
              <w:contextualSpacing/>
              <w:jc w:val="center"/>
              <w:rPr>
                <w:b/>
              </w:rPr>
            </w:pPr>
          </w:p>
          <w:p w14:paraId="1649BAC4" w14:textId="77777777" w:rsidR="00D261FA" w:rsidRDefault="00D261FA" w:rsidP="00D261FA">
            <w:pPr>
              <w:ind w:right="57"/>
              <w:contextualSpacing/>
              <w:jc w:val="center"/>
              <w:rPr>
                <w:b/>
              </w:rPr>
            </w:pPr>
          </w:p>
          <w:p w14:paraId="6E58C179" w14:textId="77777777" w:rsidR="00D261FA" w:rsidRDefault="00D261FA" w:rsidP="00D261FA">
            <w:pPr>
              <w:ind w:right="57"/>
              <w:contextualSpacing/>
              <w:jc w:val="center"/>
              <w:rPr>
                <w:b/>
              </w:rPr>
            </w:pPr>
          </w:p>
          <w:p w14:paraId="3AFD17DA" w14:textId="77777777" w:rsidR="00D261FA" w:rsidRDefault="00D261FA" w:rsidP="00D261FA">
            <w:pPr>
              <w:ind w:right="57"/>
              <w:contextualSpacing/>
              <w:jc w:val="center"/>
              <w:rPr>
                <w:b/>
              </w:rPr>
            </w:pPr>
          </w:p>
          <w:p w14:paraId="0C7853F1" w14:textId="77777777" w:rsidR="00D261FA" w:rsidRDefault="00D261FA" w:rsidP="00D261FA">
            <w:pPr>
              <w:ind w:right="57"/>
              <w:contextualSpacing/>
              <w:jc w:val="center"/>
              <w:rPr>
                <w:b/>
              </w:rPr>
            </w:pPr>
          </w:p>
          <w:p w14:paraId="71562145" w14:textId="77777777" w:rsidR="00D261FA" w:rsidRDefault="00D261FA" w:rsidP="00D261FA">
            <w:pPr>
              <w:ind w:right="57"/>
              <w:contextualSpacing/>
              <w:rPr>
                <w:b/>
              </w:rPr>
            </w:pPr>
          </w:p>
          <w:p w14:paraId="171B385A" w14:textId="77777777" w:rsidR="00D261FA" w:rsidRDefault="00D261FA" w:rsidP="00D261FA">
            <w:pPr>
              <w:ind w:right="57"/>
              <w:contextualSpacing/>
              <w:jc w:val="center"/>
              <w:rPr>
                <w:b/>
              </w:rPr>
            </w:pPr>
            <w:r>
              <w:rPr>
                <w:b/>
              </w:rPr>
              <w:t>Ņemts vērā</w:t>
            </w:r>
          </w:p>
          <w:p w14:paraId="00144E58" w14:textId="16590AF2" w:rsidR="00D261FA" w:rsidRPr="00985D8A" w:rsidRDefault="00D261FA" w:rsidP="00D261FA">
            <w:pPr>
              <w:ind w:right="57"/>
              <w:contextualSpacing/>
              <w:jc w:val="center"/>
            </w:pPr>
            <w:r w:rsidRPr="00985D8A">
              <w:t>Precizēts 1</w:t>
            </w:r>
            <w:r>
              <w:t>5</w:t>
            </w:r>
            <w:r w:rsidRPr="00985D8A">
              <w:t>.2.apakšpunkts.</w:t>
            </w:r>
          </w:p>
        </w:tc>
        <w:tc>
          <w:tcPr>
            <w:tcW w:w="3676" w:type="dxa"/>
          </w:tcPr>
          <w:p w14:paraId="2D67359F" w14:textId="7C149BCF" w:rsidR="00D261FA" w:rsidRPr="004B6959" w:rsidRDefault="00D261FA" w:rsidP="00D261FA">
            <w:pPr>
              <w:ind w:right="142"/>
              <w:contextualSpacing/>
              <w:jc w:val="both"/>
            </w:pPr>
            <w:r w:rsidRPr="004B6959">
              <w:lastRenderedPageBreak/>
              <w:t>1</w:t>
            </w:r>
            <w:r>
              <w:t>5</w:t>
            </w:r>
            <w:r w:rsidRPr="004B6959">
              <w:t>. Galvenais būvdarbu veicējs šo noteikumu 5. </w:t>
            </w:r>
            <w:r>
              <w:t xml:space="preserve">un </w:t>
            </w:r>
            <w:r w:rsidRPr="00C60168">
              <w:rPr>
                <w:b/>
                <w:u w:val="single"/>
              </w:rPr>
              <w:t>7.</w:t>
            </w:r>
            <w:r w:rsidRPr="004B6959">
              <w:t>punktā noteiktajā kārtībā:</w:t>
            </w:r>
          </w:p>
          <w:p w14:paraId="6B80D845" w14:textId="4924745F" w:rsidR="00D261FA" w:rsidRPr="004B6959" w:rsidRDefault="00D261FA" w:rsidP="00D261FA">
            <w:pPr>
              <w:ind w:right="142" w:firstLine="709"/>
              <w:contextualSpacing/>
              <w:jc w:val="both"/>
            </w:pPr>
            <w:r w:rsidRPr="004B6959">
              <w:t>1</w:t>
            </w:r>
            <w:r>
              <w:t>5</w:t>
            </w:r>
            <w:r w:rsidRPr="004B6959">
              <w:t>.1. iesniedz datus par būvdarbu pabeigšanu ne vēlāk kā piecu darbdienu laikā pēc būvdarbu pabeigšanas;</w:t>
            </w:r>
          </w:p>
          <w:p w14:paraId="48F5C228" w14:textId="5C0285AB" w:rsidR="00D261FA" w:rsidRPr="004B6959" w:rsidRDefault="00D261FA" w:rsidP="00D261FA">
            <w:pPr>
              <w:shd w:val="clear" w:color="auto" w:fill="FFFFFF"/>
              <w:contextualSpacing/>
              <w:jc w:val="both"/>
            </w:pPr>
            <w:r>
              <w:t xml:space="preserve">           15.2. iesniedz datus par elektroniskās darba laika uzskaites sistēmas vai elektroniskās darba laika uzskaites sistēmas nosaukuma vai elektroniskās darba laika uzskaites sistēmas pārziņa maiņu ne vēlāk kā piecu darbdienu laikā pēc </w:t>
            </w:r>
            <w:r w:rsidRPr="005C139B">
              <w:rPr>
                <w:b/>
                <w:u w:val="single"/>
              </w:rPr>
              <w:t>jaunas elektroniskās darba laika uzskaites sistēmas lietošanas uzsākšana</w:t>
            </w:r>
            <w:r>
              <w:rPr>
                <w:b/>
                <w:u w:val="single"/>
              </w:rPr>
              <w:t>s</w:t>
            </w:r>
            <w:r w:rsidRPr="005C139B">
              <w:rPr>
                <w:b/>
                <w:u w:val="single"/>
              </w:rPr>
              <w:t xml:space="preserve"> datu reģistrācijai būvlaukumā vai elektroniskās darba laika uzskaites sistēmas nosaukuma vai elektroniskās </w:t>
            </w:r>
            <w:r w:rsidRPr="005C139B">
              <w:rPr>
                <w:b/>
                <w:u w:val="single"/>
              </w:rPr>
              <w:lastRenderedPageBreak/>
              <w:t>darba laika uzskaites sistēmas pārziņa maiņ</w:t>
            </w:r>
            <w:r>
              <w:rPr>
                <w:b/>
                <w:u w:val="single"/>
              </w:rPr>
              <w:t>as</w:t>
            </w:r>
            <w:r w:rsidRPr="005C139B">
              <w:rPr>
                <w:b/>
                <w:u w:val="single"/>
              </w:rPr>
              <w:t>;</w:t>
            </w:r>
          </w:p>
          <w:p w14:paraId="17265260" w14:textId="058ED70C" w:rsidR="00D261FA" w:rsidRPr="004B6959" w:rsidRDefault="00D261FA" w:rsidP="00D261FA">
            <w:pPr>
              <w:ind w:right="142" w:firstLine="709"/>
              <w:contextualSpacing/>
              <w:jc w:val="both"/>
            </w:pPr>
            <w:r w:rsidRPr="004B6959">
              <w:t>1</w:t>
            </w:r>
            <w:r>
              <w:t>5</w:t>
            </w:r>
            <w:r w:rsidRPr="004B6959">
              <w:t>.3. ja mainās būvdarbu līguma ar būvniecības ierosinātāju summa, iesniedz datus par līguma jauno summu ne vēlāk kā piecu darbdienu laikā pēc līguma grozījumu stāšanās spēkā;</w:t>
            </w:r>
          </w:p>
          <w:p w14:paraId="67CBE8B8" w14:textId="53745B29" w:rsidR="00D261FA" w:rsidRDefault="00D261FA" w:rsidP="00D261FA">
            <w:pPr>
              <w:shd w:val="clear" w:color="auto" w:fill="FFFFFF"/>
              <w:contextualSpacing/>
              <w:jc w:val="both"/>
            </w:pPr>
            <w:r>
              <w:t xml:space="preserve">       </w:t>
            </w:r>
            <w:r w:rsidRPr="004B6959">
              <w:t>1</w:t>
            </w:r>
            <w:r>
              <w:t>5</w:t>
            </w:r>
            <w:r w:rsidRPr="004B6959">
              <w:t xml:space="preserve">.4. iesniedz datus par visiem ar saviem apakšuzņēmējiem iepriekšējā mēnesī noslēgtajiem būvdarbu </w:t>
            </w:r>
            <w:r w:rsidRPr="00D61D76">
              <w:t>līgumiem</w:t>
            </w:r>
            <w:r>
              <w:t>,</w:t>
            </w:r>
            <w:r w:rsidRPr="00DE312C">
              <w:rPr>
                <w:rFonts w:eastAsia="Calibri"/>
                <w:b/>
                <w:iCs/>
                <w:u w:val="single"/>
                <w:lang w:eastAsia="en-US"/>
              </w:rPr>
              <w:t xml:space="preserve"> kuru līguma summa ir 15 000 </w:t>
            </w:r>
            <w:proofErr w:type="spellStart"/>
            <w:r w:rsidRPr="00DE312C">
              <w:rPr>
                <w:rFonts w:eastAsia="Calibri"/>
                <w:b/>
                <w:iCs/>
                <w:u w:val="single"/>
                <w:lang w:eastAsia="en-US"/>
              </w:rPr>
              <w:t>euro</w:t>
            </w:r>
            <w:proofErr w:type="spellEnd"/>
            <w:r w:rsidRPr="00DE312C">
              <w:rPr>
                <w:rFonts w:eastAsia="Calibri"/>
                <w:b/>
                <w:iCs/>
                <w:u w:val="single"/>
                <w:lang w:eastAsia="en-US"/>
              </w:rPr>
              <w:t> vai vairāk</w:t>
            </w:r>
            <w:r>
              <w:rPr>
                <w:rFonts w:eastAsia="Calibri"/>
                <w:i/>
                <w:iCs/>
                <w:u w:val="single"/>
                <w:lang w:eastAsia="en-US"/>
              </w:rPr>
              <w:t>,</w:t>
            </w:r>
            <w:r w:rsidRPr="004B6959">
              <w:t xml:space="preserve"> un, ja mainās līguma summa, par jauno līguma summu.</w:t>
            </w:r>
          </w:p>
          <w:p w14:paraId="1E869DFA" w14:textId="77777777" w:rsidR="00D261FA" w:rsidRDefault="00D261FA" w:rsidP="00D261FA">
            <w:pPr>
              <w:shd w:val="clear" w:color="auto" w:fill="FFFFFF"/>
              <w:contextualSpacing/>
              <w:jc w:val="both"/>
            </w:pPr>
          </w:p>
          <w:p w14:paraId="260E3A32" w14:textId="77777777" w:rsidR="00D261FA" w:rsidRPr="009E6E96" w:rsidRDefault="00D261FA" w:rsidP="00D261FA">
            <w:pPr>
              <w:shd w:val="clear" w:color="auto" w:fill="FFFFFF"/>
              <w:contextualSpacing/>
              <w:jc w:val="both"/>
              <w:rPr>
                <w:color w:val="000000" w:themeColor="text1"/>
              </w:rPr>
            </w:pPr>
          </w:p>
        </w:tc>
      </w:tr>
      <w:tr w:rsidR="00D261FA" w14:paraId="51936623" w14:textId="77777777" w:rsidTr="00AE1D83">
        <w:tc>
          <w:tcPr>
            <w:tcW w:w="604" w:type="dxa"/>
          </w:tcPr>
          <w:p w14:paraId="767BE10B" w14:textId="500DA052" w:rsidR="00D261FA" w:rsidRPr="001E4AD9" w:rsidRDefault="00825895" w:rsidP="00D261FA">
            <w:pPr>
              <w:ind w:right="57"/>
              <w:contextualSpacing/>
              <w:jc w:val="center"/>
            </w:pPr>
            <w:r>
              <w:lastRenderedPageBreak/>
              <w:t>7.</w:t>
            </w:r>
          </w:p>
        </w:tc>
        <w:tc>
          <w:tcPr>
            <w:tcW w:w="3112" w:type="dxa"/>
            <w:tcBorders>
              <w:top w:val="single" w:sz="4" w:space="0" w:color="auto"/>
              <w:left w:val="single" w:sz="4" w:space="0" w:color="auto"/>
              <w:bottom w:val="single" w:sz="4" w:space="0" w:color="auto"/>
              <w:right w:val="single" w:sz="4" w:space="0" w:color="auto"/>
            </w:tcBorders>
          </w:tcPr>
          <w:p w14:paraId="09755EB5" w14:textId="65C75171" w:rsidR="00D261FA" w:rsidRPr="007207ED" w:rsidRDefault="00D261FA" w:rsidP="00D261FA">
            <w:pPr>
              <w:shd w:val="clear" w:color="auto" w:fill="FFFFFF"/>
              <w:contextualSpacing/>
              <w:jc w:val="both"/>
            </w:pPr>
            <w:r w:rsidRPr="00DC7DA9">
              <w:t>15. Trīs gadu laikā pēc šo noteikumu 7. punktā norādītā paziņojuma nosūtīšanas galvenā būvdarbu veicēja precizēto elektroniskās darba laika uzskaites sistēmas datu iesniegšanu, salīdzināšanu un paziņojumu nosūtīšanu veic šo noteikumu 5., 7., 8., 9., 10., 11., 12. un 13. punktā noteiktajā kārtībā.</w:t>
            </w:r>
          </w:p>
        </w:tc>
        <w:tc>
          <w:tcPr>
            <w:tcW w:w="4241" w:type="dxa"/>
          </w:tcPr>
          <w:p w14:paraId="18BAEE40" w14:textId="77777777" w:rsidR="00D261FA" w:rsidRPr="007207ED" w:rsidRDefault="00D261FA" w:rsidP="00D261FA">
            <w:pPr>
              <w:ind w:right="57"/>
              <w:contextualSpacing/>
              <w:jc w:val="both"/>
              <w:rPr>
                <w:b/>
                <w:u w:val="single"/>
              </w:rPr>
            </w:pPr>
            <w:r>
              <w:rPr>
                <w:b/>
                <w:u w:val="single"/>
              </w:rPr>
              <w:t>Finanšu</w:t>
            </w:r>
            <w:r w:rsidRPr="007207ED">
              <w:rPr>
                <w:b/>
                <w:u w:val="single"/>
              </w:rPr>
              <w:t xml:space="preserve"> ministrija</w:t>
            </w:r>
          </w:p>
          <w:p w14:paraId="6E6CE02F" w14:textId="018E1006" w:rsidR="00D261FA" w:rsidRDefault="00D261FA" w:rsidP="00D261FA">
            <w:pPr>
              <w:ind w:right="57"/>
              <w:contextualSpacing/>
              <w:jc w:val="both"/>
            </w:pPr>
            <w:r w:rsidRPr="00DC7DA9">
              <w:t xml:space="preserve">3. Ievērojot likuma “Par nodokļiem un nodevām” 114. panta pirmās daļas 1. un 2.punktu, galvenais būvdarbu veicējs nodrošina elektroniskās darba laika uzskaites sistēmā reģistrēto un uzkrāto datu glabāšanu Latvijas teritorijā izvietotajos energoneatkarīgajos datu nesējos, tajā skaitā datu centru serveros, trīs gadus no brīža, kad dati reģistrēti elektroniskās darba laika uzskaites sistēmā, kā arī nodrošina datu dzēšanu pēc šīs daļas 1.punktā noteiktā termiņa beigām. Tādējādi elektroniskās darba laika uzskaites sistēmā reģistrētie un uzkrātie dati sistēmā glabājami trīs gadus no brīža, kad dati reģistrēti elektroniskās darba laika uzskaites sistēmā. Ņemot vērā minēto, nepieciešams izvērtēt, vai VEDLUDB noteikumu projekta 15.punktā ir norādāms termiņš attiecībā uz precizēto datu sniegšanu VEDLUDB. </w:t>
            </w:r>
            <w:r w:rsidRPr="00DC7DA9">
              <w:lastRenderedPageBreak/>
              <w:t>Savukārt, ja termiņš ir norādāms, tad tas ir precizējams, ņemot vērā likumā “Par nodokļiem un nodevām” noteikto attiecībā uz elektroniskās darba laika uzskaites sistēmā reģistrēto un uzkrāto datu glabāšanu. Norādām, ka precizēto elektroniskās darba laika uzskaites sistēmas datu iesniegšana VEDLUDB nevar pārsniegt trīs gadus no brīža, kad dati reģistrēti elektroniskās darba laika uzskaites sistēmā.</w:t>
            </w:r>
          </w:p>
          <w:p w14:paraId="42096B4E" w14:textId="77777777" w:rsidR="00D261FA" w:rsidRDefault="00D261FA" w:rsidP="00D261FA">
            <w:pPr>
              <w:ind w:right="57"/>
              <w:contextualSpacing/>
              <w:jc w:val="both"/>
            </w:pPr>
          </w:p>
          <w:p w14:paraId="212BE73D" w14:textId="3B1686D8" w:rsidR="00D261FA" w:rsidRPr="00B02E3A" w:rsidRDefault="00D261FA" w:rsidP="00D261FA">
            <w:pPr>
              <w:ind w:right="57"/>
              <w:contextualSpacing/>
              <w:jc w:val="both"/>
              <w:rPr>
                <w:b/>
                <w:u w:val="single"/>
              </w:rPr>
            </w:pPr>
            <w:r w:rsidRPr="00B02E3A">
              <w:rPr>
                <w:b/>
                <w:u w:val="single"/>
              </w:rPr>
              <w:t>Latvijas Būvuzņēmēju partnerība</w:t>
            </w:r>
          </w:p>
          <w:p w14:paraId="2C52DA51" w14:textId="1E6EEB9F" w:rsidR="00D261FA" w:rsidRPr="00F90B2F" w:rsidRDefault="00D261FA" w:rsidP="00D261FA">
            <w:pPr>
              <w:spacing w:after="160" w:line="259" w:lineRule="auto"/>
              <w:contextualSpacing/>
              <w:jc w:val="both"/>
              <w:rPr>
                <w:rFonts w:eastAsia="Calibri"/>
                <w:lang w:eastAsia="en-US"/>
              </w:rPr>
            </w:pPr>
            <w:r w:rsidRPr="00B02E3A">
              <w:rPr>
                <w:rFonts w:eastAsia="Calibri"/>
                <w:lang w:eastAsia="en-US"/>
              </w:rPr>
              <w:t>2.3. VEDLUDB noteikumu 15. punktā norādīta kārtība kādā galvenais būvdarbu veicējs var precizēt galvenā būvdarbu veicēja VEDLUDB iesniegtos datus. Ņemot vērā, ka VEDLUDB datus iesniedz gan galvenais būvdarbu veicējs, gan apakšuzņēmējs, kā arī  ne visi VEDLUDB iesniegtie dati tiek iesniegti no EDLUS, lūdzam papildināt un precizēt minēto punktu, paredzot, ka gan galvenajam būvdarbu veicējam, gan apakšuzņēmējam ir tiesības precizēt savus VEDLUDB iesniegtos datus trīs gadu laikā pēc datu iesniegšanas VEDLUDB.</w:t>
            </w:r>
          </w:p>
          <w:p w14:paraId="76BEF508" w14:textId="61E15FA9" w:rsidR="00D261FA" w:rsidRDefault="00D261FA" w:rsidP="00D261FA">
            <w:pPr>
              <w:ind w:right="57"/>
              <w:contextualSpacing/>
              <w:jc w:val="both"/>
              <w:rPr>
                <w:b/>
                <w:u w:val="single"/>
              </w:rPr>
            </w:pPr>
          </w:p>
        </w:tc>
        <w:tc>
          <w:tcPr>
            <w:tcW w:w="3394" w:type="dxa"/>
          </w:tcPr>
          <w:p w14:paraId="2B781038" w14:textId="77777777" w:rsidR="00D261FA" w:rsidRDefault="00D261FA" w:rsidP="00D261FA">
            <w:pPr>
              <w:ind w:right="57"/>
              <w:contextualSpacing/>
              <w:jc w:val="center"/>
              <w:rPr>
                <w:b/>
              </w:rPr>
            </w:pPr>
            <w:r>
              <w:rPr>
                <w:b/>
              </w:rPr>
              <w:lastRenderedPageBreak/>
              <w:t>Ņemts vērā</w:t>
            </w:r>
          </w:p>
          <w:p w14:paraId="621CBC06" w14:textId="5D08FE74" w:rsidR="00D261FA" w:rsidRDefault="00D261FA" w:rsidP="00D261FA">
            <w:pPr>
              <w:ind w:right="57"/>
              <w:contextualSpacing/>
              <w:jc w:val="both"/>
            </w:pPr>
            <w:r>
              <w:t xml:space="preserve">Ņemot vērā, ka datu glabāšanas termiņš noteikts </w:t>
            </w:r>
            <w:r w:rsidRPr="00576688">
              <w:t>likuma “Par nodokļiem un nodevām” 114. pant</w:t>
            </w:r>
            <w:r>
              <w:t xml:space="preserve">ā, </w:t>
            </w:r>
            <w:r w:rsidRPr="00576688">
              <w:t xml:space="preserve"> </w:t>
            </w:r>
            <w:r>
              <w:t>15.punktā datu sniegšanas t</w:t>
            </w:r>
            <w:r w:rsidRPr="00A84586">
              <w:t>ermiņš svītrots</w:t>
            </w:r>
            <w:r>
              <w:t>.</w:t>
            </w:r>
          </w:p>
          <w:p w14:paraId="7E54FD0F" w14:textId="77777777" w:rsidR="00D261FA" w:rsidRDefault="00D261FA" w:rsidP="00D261FA">
            <w:pPr>
              <w:ind w:right="57"/>
              <w:contextualSpacing/>
              <w:jc w:val="center"/>
            </w:pPr>
          </w:p>
          <w:p w14:paraId="678A2972" w14:textId="77777777" w:rsidR="00D261FA" w:rsidRDefault="00D261FA" w:rsidP="00D261FA">
            <w:pPr>
              <w:ind w:right="57"/>
              <w:contextualSpacing/>
              <w:jc w:val="center"/>
            </w:pPr>
          </w:p>
          <w:p w14:paraId="4EC9F2C0" w14:textId="77777777" w:rsidR="00D261FA" w:rsidRDefault="00D261FA" w:rsidP="00D261FA">
            <w:pPr>
              <w:ind w:right="57"/>
              <w:contextualSpacing/>
              <w:jc w:val="center"/>
            </w:pPr>
          </w:p>
          <w:p w14:paraId="2B4B7E0D" w14:textId="77777777" w:rsidR="00D261FA" w:rsidRDefault="00D261FA" w:rsidP="00D261FA">
            <w:pPr>
              <w:ind w:right="57"/>
              <w:contextualSpacing/>
              <w:jc w:val="center"/>
            </w:pPr>
          </w:p>
          <w:p w14:paraId="5D169B7E" w14:textId="77777777" w:rsidR="00D261FA" w:rsidRDefault="00D261FA" w:rsidP="00D261FA">
            <w:pPr>
              <w:ind w:right="57"/>
              <w:contextualSpacing/>
              <w:jc w:val="center"/>
            </w:pPr>
          </w:p>
          <w:p w14:paraId="1AC3B65E" w14:textId="77777777" w:rsidR="00D261FA" w:rsidRDefault="00D261FA" w:rsidP="00D261FA">
            <w:pPr>
              <w:ind w:right="57"/>
              <w:contextualSpacing/>
              <w:jc w:val="center"/>
            </w:pPr>
          </w:p>
          <w:p w14:paraId="3D5B21A5" w14:textId="77777777" w:rsidR="00D261FA" w:rsidRDefault="00D261FA" w:rsidP="00D261FA">
            <w:pPr>
              <w:ind w:right="57"/>
              <w:contextualSpacing/>
              <w:jc w:val="center"/>
            </w:pPr>
          </w:p>
          <w:p w14:paraId="1D9E8511" w14:textId="77777777" w:rsidR="00D261FA" w:rsidRDefault="00D261FA" w:rsidP="00D261FA">
            <w:pPr>
              <w:ind w:right="57"/>
              <w:contextualSpacing/>
              <w:jc w:val="center"/>
            </w:pPr>
          </w:p>
          <w:p w14:paraId="37272E8C" w14:textId="77777777" w:rsidR="00D261FA" w:rsidRDefault="00D261FA" w:rsidP="00D261FA">
            <w:pPr>
              <w:ind w:right="57"/>
              <w:contextualSpacing/>
              <w:jc w:val="center"/>
            </w:pPr>
          </w:p>
          <w:p w14:paraId="09777D22" w14:textId="77777777" w:rsidR="00D261FA" w:rsidRDefault="00D261FA" w:rsidP="00D261FA">
            <w:pPr>
              <w:ind w:right="57"/>
              <w:contextualSpacing/>
              <w:jc w:val="center"/>
            </w:pPr>
          </w:p>
          <w:p w14:paraId="7E18F819" w14:textId="77777777" w:rsidR="00D261FA" w:rsidRDefault="00D261FA" w:rsidP="00D261FA">
            <w:pPr>
              <w:ind w:right="57"/>
              <w:contextualSpacing/>
              <w:jc w:val="center"/>
            </w:pPr>
          </w:p>
          <w:p w14:paraId="644E27DE" w14:textId="77777777" w:rsidR="00D261FA" w:rsidRDefault="00D261FA" w:rsidP="00D261FA">
            <w:pPr>
              <w:ind w:right="57"/>
              <w:contextualSpacing/>
              <w:jc w:val="center"/>
            </w:pPr>
          </w:p>
          <w:p w14:paraId="661C314A" w14:textId="77777777" w:rsidR="00D261FA" w:rsidRDefault="00D261FA" w:rsidP="00D261FA">
            <w:pPr>
              <w:ind w:right="57"/>
              <w:contextualSpacing/>
              <w:jc w:val="center"/>
            </w:pPr>
          </w:p>
          <w:p w14:paraId="0CC448A2" w14:textId="77777777" w:rsidR="00D261FA" w:rsidRDefault="00D261FA" w:rsidP="00D261FA">
            <w:pPr>
              <w:ind w:right="57"/>
              <w:contextualSpacing/>
              <w:jc w:val="center"/>
            </w:pPr>
          </w:p>
          <w:p w14:paraId="19DAB9DB" w14:textId="77777777" w:rsidR="00D261FA" w:rsidRDefault="00D261FA" w:rsidP="00D261FA">
            <w:pPr>
              <w:ind w:right="57"/>
              <w:contextualSpacing/>
              <w:jc w:val="center"/>
            </w:pPr>
          </w:p>
          <w:p w14:paraId="0E5D3223" w14:textId="77777777" w:rsidR="00D261FA" w:rsidRDefault="00D261FA" w:rsidP="00D261FA">
            <w:pPr>
              <w:ind w:right="57"/>
              <w:contextualSpacing/>
              <w:jc w:val="center"/>
            </w:pPr>
          </w:p>
          <w:p w14:paraId="001978C4" w14:textId="77777777" w:rsidR="00D261FA" w:rsidRDefault="00D261FA" w:rsidP="00D261FA">
            <w:pPr>
              <w:ind w:right="57"/>
              <w:contextualSpacing/>
              <w:jc w:val="center"/>
            </w:pPr>
          </w:p>
          <w:p w14:paraId="22819D93" w14:textId="77777777" w:rsidR="00D261FA" w:rsidRDefault="00D261FA" w:rsidP="00D261FA">
            <w:pPr>
              <w:ind w:right="57"/>
              <w:contextualSpacing/>
              <w:jc w:val="center"/>
            </w:pPr>
          </w:p>
          <w:p w14:paraId="0D9BF7CE" w14:textId="77777777" w:rsidR="00D261FA" w:rsidRDefault="00D261FA" w:rsidP="00D261FA">
            <w:pPr>
              <w:ind w:right="57"/>
              <w:contextualSpacing/>
              <w:jc w:val="center"/>
            </w:pPr>
          </w:p>
          <w:p w14:paraId="10E436AB" w14:textId="77777777" w:rsidR="00D261FA" w:rsidRDefault="00D261FA" w:rsidP="00D261FA">
            <w:pPr>
              <w:ind w:right="57"/>
              <w:contextualSpacing/>
              <w:jc w:val="center"/>
            </w:pPr>
          </w:p>
          <w:p w14:paraId="305498EE" w14:textId="77777777" w:rsidR="00D261FA" w:rsidRDefault="00D261FA" w:rsidP="00D261FA">
            <w:pPr>
              <w:ind w:right="57"/>
              <w:contextualSpacing/>
              <w:jc w:val="center"/>
            </w:pPr>
          </w:p>
          <w:p w14:paraId="7B2AC7B7" w14:textId="77777777" w:rsidR="00D261FA" w:rsidRDefault="00D261FA" w:rsidP="00D261FA">
            <w:pPr>
              <w:ind w:right="57"/>
              <w:contextualSpacing/>
              <w:jc w:val="center"/>
            </w:pPr>
          </w:p>
          <w:p w14:paraId="393D5EE5" w14:textId="77777777" w:rsidR="00D261FA" w:rsidRDefault="00D261FA" w:rsidP="00D261FA">
            <w:pPr>
              <w:ind w:right="57"/>
              <w:contextualSpacing/>
              <w:jc w:val="center"/>
            </w:pPr>
          </w:p>
          <w:p w14:paraId="5ABD6D62" w14:textId="77777777" w:rsidR="00D261FA" w:rsidRDefault="00D261FA" w:rsidP="00D261FA">
            <w:pPr>
              <w:ind w:right="57"/>
              <w:contextualSpacing/>
              <w:jc w:val="center"/>
            </w:pPr>
          </w:p>
          <w:p w14:paraId="7623CC29" w14:textId="77777777" w:rsidR="00D261FA" w:rsidRDefault="00D261FA" w:rsidP="00D261FA">
            <w:pPr>
              <w:ind w:right="57"/>
              <w:contextualSpacing/>
              <w:jc w:val="center"/>
            </w:pPr>
          </w:p>
          <w:p w14:paraId="2CFDA509" w14:textId="77777777" w:rsidR="00D261FA" w:rsidRDefault="00D261FA" w:rsidP="00D261FA">
            <w:pPr>
              <w:ind w:right="57"/>
              <w:contextualSpacing/>
              <w:jc w:val="center"/>
            </w:pPr>
          </w:p>
          <w:p w14:paraId="3AFCC0C5" w14:textId="77777777" w:rsidR="00D261FA" w:rsidRDefault="00D261FA" w:rsidP="00D261FA">
            <w:pPr>
              <w:ind w:right="57"/>
              <w:contextualSpacing/>
              <w:jc w:val="center"/>
            </w:pPr>
          </w:p>
          <w:p w14:paraId="6A5B3227" w14:textId="77777777" w:rsidR="00D261FA" w:rsidRDefault="00D261FA" w:rsidP="00D261FA">
            <w:pPr>
              <w:ind w:right="57"/>
              <w:contextualSpacing/>
              <w:jc w:val="center"/>
            </w:pPr>
          </w:p>
          <w:p w14:paraId="6056EA61" w14:textId="3FA8F893" w:rsidR="00D261FA" w:rsidRDefault="00D261FA" w:rsidP="00D261FA">
            <w:pPr>
              <w:ind w:right="57"/>
              <w:contextualSpacing/>
              <w:jc w:val="center"/>
              <w:rPr>
                <w:b/>
              </w:rPr>
            </w:pPr>
            <w:r w:rsidRPr="009523F6">
              <w:rPr>
                <w:b/>
              </w:rPr>
              <w:t>Ņemts vērā</w:t>
            </w:r>
          </w:p>
          <w:p w14:paraId="6E632C02" w14:textId="77777777" w:rsidR="00D261FA" w:rsidRDefault="00D261FA" w:rsidP="00D261FA">
            <w:pPr>
              <w:ind w:right="57"/>
              <w:contextualSpacing/>
              <w:jc w:val="center"/>
            </w:pPr>
          </w:p>
          <w:p w14:paraId="1B038516" w14:textId="77777777" w:rsidR="00D261FA" w:rsidRDefault="00D261FA" w:rsidP="00D261FA">
            <w:pPr>
              <w:ind w:right="57"/>
              <w:contextualSpacing/>
              <w:jc w:val="center"/>
            </w:pPr>
          </w:p>
          <w:p w14:paraId="5B9FC78A" w14:textId="77777777" w:rsidR="00D261FA" w:rsidRDefault="00D261FA" w:rsidP="00D261FA">
            <w:pPr>
              <w:ind w:right="57"/>
              <w:contextualSpacing/>
              <w:jc w:val="center"/>
            </w:pPr>
          </w:p>
          <w:p w14:paraId="16CB255A" w14:textId="2F0B8A84" w:rsidR="00D261FA" w:rsidRPr="0083230D" w:rsidRDefault="00D261FA" w:rsidP="00D261FA">
            <w:pPr>
              <w:ind w:right="57"/>
              <w:contextualSpacing/>
              <w:jc w:val="center"/>
              <w:rPr>
                <w:b/>
                <w:sz w:val="36"/>
                <w:szCs w:val="36"/>
                <w:u w:val="single"/>
              </w:rPr>
            </w:pPr>
          </w:p>
        </w:tc>
        <w:tc>
          <w:tcPr>
            <w:tcW w:w="3676" w:type="dxa"/>
          </w:tcPr>
          <w:p w14:paraId="63EE956D" w14:textId="7756D9E4" w:rsidR="00D261FA" w:rsidRDefault="00D261FA" w:rsidP="00D261FA">
            <w:pPr>
              <w:ind w:right="57"/>
              <w:contextualSpacing/>
              <w:jc w:val="both"/>
            </w:pPr>
            <w:r w:rsidRPr="00DC7DA9">
              <w:lastRenderedPageBreak/>
              <w:t>1</w:t>
            </w:r>
            <w:r>
              <w:t>6</w:t>
            </w:r>
            <w:r w:rsidRPr="00DC7DA9">
              <w:t xml:space="preserve">. </w:t>
            </w:r>
            <w:r w:rsidRPr="009523F6">
              <w:rPr>
                <w:b/>
                <w:u w:val="single"/>
              </w:rPr>
              <w:t>Galvenais būvdarbu veicējs precizētos datus, bet apakšuzņēmējs precizēto informāciju vienotajā elektroniskās darba laika uzskaites datubāzē iesniedz, ievērojot likumā “Par nodokļiem un nodevām” noteikto datu glabāšanas termiņu</w:t>
            </w:r>
            <w:r w:rsidRPr="009523F6">
              <w:t xml:space="preserve">. </w:t>
            </w:r>
            <w:r>
              <w:t>G</w:t>
            </w:r>
            <w:r w:rsidRPr="00DC7DA9">
              <w:t>alvenā būvdarbu veicēja precizēto elektroniskās darba laika uzskaites sistēmas datu iesniegšanu, salīdzināšanu un paziņojumu nosūtīšanu veic šo noteikumu 5., 7., 9., 10., 11., 12.</w:t>
            </w:r>
            <w:r>
              <w:t>, 13.</w:t>
            </w:r>
            <w:r w:rsidRPr="00DC7DA9">
              <w:t xml:space="preserve"> un 1</w:t>
            </w:r>
            <w:r>
              <w:t>4</w:t>
            </w:r>
            <w:r w:rsidRPr="00DC7DA9">
              <w:t>. punktā noteiktajā kārtībā.</w:t>
            </w:r>
          </w:p>
          <w:p w14:paraId="127B0288" w14:textId="77777777" w:rsidR="00D261FA" w:rsidRDefault="00D261FA" w:rsidP="00D261FA">
            <w:pPr>
              <w:ind w:right="57"/>
              <w:contextualSpacing/>
              <w:jc w:val="both"/>
              <w:rPr>
                <w:color w:val="000000" w:themeColor="text1"/>
              </w:rPr>
            </w:pPr>
          </w:p>
          <w:p w14:paraId="0A64A179" w14:textId="0A86696A" w:rsidR="00D261FA" w:rsidRPr="009E6E96" w:rsidRDefault="00D261FA" w:rsidP="00D261FA">
            <w:pPr>
              <w:ind w:right="57"/>
              <w:contextualSpacing/>
              <w:jc w:val="both"/>
              <w:rPr>
                <w:color w:val="000000" w:themeColor="text1"/>
              </w:rPr>
            </w:pPr>
          </w:p>
        </w:tc>
      </w:tr>
      <w:tr w:rsidR="00D261FA" w14:paraId="52271932" w14:textId="77777777" w:rsidTr="00AE1D83">
        <w:tc>
          <w:tcPr>
            <w:tcW w:w="604" w:type="dxa"/>
          </w:tcPr>
          <w:p w14:paraId="0799F41F" w14:textId="77EF4D4C" w:rsidR="00D261FA" w:rsidRDefault="00825895" w:rsidP="00D261FA">
            <w:pPr>
              <w:ind w:right="57"/>
              <w:contextualSpacing/>
              <w:jc w:val="center"/>
            </w:pPr>
            <w:r>
              <w:t>8.</w:t>
            </w:r>
          </w:p>
        </w:tc>
        <w:tc>
          <w:tcPr>
            <w:tcW w:w="3112" w:type="dxa"/>
          </w:tcPr>
          <w:p w14:paraId="3836F40C" w14:textId="335EE85E" w:rsidR="00D261FA" w:rsidRPr="007207ED" w:rsidRDefault="00D261FA" w:rsidP="00D261FA">
            <w:pPr>
              <w:shd w:val="clear" w:color="auto" w:fill="FFFFFF"/>
              <w:contextualSpacing/>
              <w:jc w:val="both"/>
            </w:pPr>
            <w:r w:rsidRPr="007817AF">
              <w:t>1</w:t>
            </w:r>
            <w:r>
              <w:t>8</w:t>
            </w:r>
            <w:r w:rsidRPr="007817AF">
              <w:t xml:space="preserve">. Elektroniskās darba laika uzskaites sistēma nodrošina visu elektroniskās darba laika </w:t>
            </w:r>
            <w:r w:rsidRPr="007817AF">
              <w:lastRenderedPageBreak/>
              <w:t>uzskaites sistēmas lietotāja veikto darbību saglabāšanu auditācijas pierakstos.</w:t>
            </w:r>
          </w:p>
        </w:tc>
        <w:tc>
          <w:tcPr>
            <w:tcW w:w="4241" w:type="dxa"/>
          </w:tcPr>
          <w:p w14:paraId="27882166" w14:textId="77777777" w:rsidR="00D261FA" w:rsidRPr="007817AF" w:rsidRDefault="00D261FA" w:rsidP="00D261FA">
            <w:pPr>
              <w:ind w:right="57"/>
              <w:contextualSpacing/>
              <w:jc w:val="both"/>
              <w:rPr>
                <w:b/>
                <w:u w:val="single"/>
              </w:rPr>
            </w:pPr>
            <w:r w:rsidRPr="007817AF">
              <w:rPr>
                <w:b/>
                <w:u w:val="single"/>
              </w:rPr>
              <w:lastRenderedPageBreak/>
              <w:t>Latvijas Informācijas un komunikācijas tehnoloģijas asociācija</w:t>
            </w:r>
          </w:p>
          <w:p w14:paraId="2C761807" w14:textId="77777777" w:rsidR="00D261FA" w:rsidRPr="007817AF" w:rsidRDefault="00D261FA" w:rsidP="00D261FA">
            <w:pPr>
              <w:ind w:right="57"/>
              <w:contextualSpacing/>
              <w:jc w:val="both"/>
              <w:rPr>
                <w:bCs/>
              </w:rPr>
            </w:pPr>
            <w:r w:rsidRPr="007817AF">
              <w:rPr>
                <w:bCs/>
              </w:rPr>
              <w:lastRenderedPageBreak/>
              <w:t xml:space="preserve">1. Iebilstam pret Noteikumu projekta 16.punktu esošajā redakcijā. </w:t>
            </w:r>
          </w:p>
          <w:p w14:paraId="49849371" w14:textId="77777777" w:rsidR="00D261FA" w:rsidRPr="007817AF" w:rsidRDefault="00D261FA" w:rsidP="00D261FA">
            <w:pPr>
              <w:ind w:right="57"/>
              <w:contextualSpacing/>
              <w:jc w:val="both"/>
              <w:rPr>
                <w:bCs/>
              </w:rPr>
            </w:pPr>
            <w:r w:rsidRPr="007817AF">
              <w:rPr>
                <w:bCs/>
              </w:rPr>
              <w:t xml:space="preserve">Pamatojums: Noteikumu projektā noteikts, ka elektroniskās darba laika uzskaites sistēma nodrošina visu elektroniskās darba laika uzskaites sistēmas lietotāja veikto darbību saglabāšanu auditācijas pierakstos. Ņemot vērā, ka “visas visu elektroniskās darba laika uzskaites sistēmas lietotāja veiktās darbības” nozīmē arī, piemēram, tādu darbību veikšanu kā valodas nomaiņa elektroniskās darba laika uzskaites sistēmā, attēlu </w:t>
            </w:r>
            <w:proofErr w:type="spellStart"/>
            <w:r w:rsidRPr="007817AF">
              <w:rPr>
                <w:bCs/>
              </w:rPr>
              <w:t>augšuplādēšana</w:t>
            </w:r>
            <w:proofErr w:type="spellEnd"/>
            <w:r w:rsidRPr="007817AF">
              <w:rPr>
                <w:bCs/>
              </w:rPr>
              <w:t xml:space="preserve">, elektroniskās darba laika uzskaites sistēmas iestatījumu maiņa u.c. ar Likuma mērķu sasniegšanu nesaistītu darbību veikšana, ir jāprecizē Noteikumu projekta 16. punkts. Pašreizējā Noteikumu projekta 16. punkta redakcija nozīmē, ka auditācijas pierakstos jāsaglabā  liels apjoms datu, kas nav saistīti ar Likuma 113. panta pirmajā daļā minētajiem reģistrējamajiem datiem, kas ir pretrunā datu </w:t>
            </w:r>
            <w:proofErr w:type="spellStart"/>
            <w:r w:rsidRPr="007817AF">
              <w:rPr>
                <w:bCs/>
              </w:rPr>
              <w:t>minimizācijas</w:t>
            </w:r>
            <w:proofErr w:type="spellEnd"/>
            <w:r w:rsidRPr="007817AF">
              <w:rPr>
                <w:bCs/>
              </w:rPr>
              <w:t xml:space="preserve"> principam. </w:t>
            </w:r>
          </w:p>
          <w:p w14:paraId="7E193A27" w14:textId="77777777" w:rsidR="00D261FA" w:rsidRPr="007817AF" w:rsidRDefault="00D261FA" w:rsidP="00D261FA">
            <w:pPr>
              <w:ind w:right="57"/>
              <w:contextualSpacing/>
              <w:jc w:val="both"/>
              <w:rPr>
                <w:bCs/>
              </w:rPr>
            </w:pPr>
            <w:r w:rsidRPr="007817AF">
              <w:rPr>
                <w:bCs/>
              </w:rPr>
              <w:t xml:space="preserve">Lai nodrošinātu vienotu izpratni, nepieciešams precizēt šajā punktā ietvertā termina “lietotāja veiktās darbības”  saturu. Nosakot, kādas tieši darbību (piemēram, datu skatīšanās, rediģēšana (labošana), dzēšana) saglabāšana auditācijas pierakstos ir nepieciešama. </w:t>
            </w:r>
          </w:p>
          <w:p w14:paraId="2F3D3F56" w14:textId="28D8DDC9" w:rsidR="00D261FA" w:rsidRPr="00E957C0" w:rsidRDefault="00D261FA" w:rsidP="00D261FA">
            <w:pPr>
              <w:ind w:right="57"/>
              <w:contextualSpacing/>
              <w:jc w:val="both"/>
              <w:rPr>
                <w:b/>
                <w:u w:val="single"/>
              </w:rPr>
            </w:pPr>
            <w:r w:rsidRPr="007817AF">
              <w:rPr>
                <w:bCs/>
              </w:rPr>
              <w:lastRenderedPageBreak/>
              <w:t>Priekšlikums: precizēt un attiecināt Noteikumu projekta 16. punkta noteikumus par auditācijas pierakstu saglabāšanu uz elektroniskās darba laika uzskaites sistēmas lietotāja darbībām, kas veiktas ar likumā "Par nodokļiem un nodevām" 113. panta pirmajā daļā noteiktajiem reģistrētajiem un uzkrātajiem datiem, kā arī precizēt, kādas tieši darbības, kas veiktas ar minētajiem datiem, ir jāsaglabā auditācijas pierakstos.</w:t>
            </w:r>
          </w:p>
        </w:tc>
        <w:tc>
          <w:tcPr>
            <w:tcW w:w="3394" w:type="dxa"/>
          </w:tcPr>
          <w:p w14:paraId="47C0D496" w14:textId="77777777" w:rsidR="00D261FA" w:rsidRDefault="00D261FA" w:rsidP="00D261FA">
            <w:pPr>
              <w:ind w:right="57"/>
              <w:contextualSpacing/>
              <w:jc w:val="center"/>
              <w:rPr>
                <w:b/>
              </w:rPr>
            </w:pPr>
            <w:r>
              <w:rPr>
                <w:b/>
              </w:rPr>
              <w:lastRenderedPageBreak/>
              <w:t>Panākta vienošanās elektroniskās saskaņošanas ietvaros</w:t>
            </w:r>
          </w:p>
          <w:p w14:paraId="151D9D5F" w14:textId="77777777" w:rsidR="00D261FA" w:rsidRDefault="00D261FA" w:rsidP="00D261FA">
            <w:pPr>
              <w:ind w:right="57"/>
              <w:contextualSpacing/>
              <w:jc w:val="center"/>
              <w:rPr>
                <w:b/>
              </w:rPr>
            </w:pPr>
          </w:p>
          <w:p w14:paraId="5BB38AF3" w14:textId="73E57706" w:rsidR="00D261FA" w:rsidRPr="007817AF" w:rsidRDefault="00D261FA" w:rsidP="00D261FA">
            <w:pPr>
              <w:ind w:right="57"/>
              <w:contextualSpacing/>
              <w:jc w:val="both"/>
              <w:rPr>
                <w:bCs/>
              </w:rPr>
            </w:pPr>
            <w:r w:rsidRPr="007817AF">
              <w:rPr>
                <w:bCs/>
              </w:rPr>
              <w:t>Likuma “Par nodokļiem un nodevām” 113.panta otrajā daļā noteikts, ka EDLUS izmanto programmatūru, ar kuru veic auditācijas pierakstus, reģistrējot datus par notikumiem sistēmā, t.sk., saskaņā ar Likuma “Par nodokļiem un nodevām” 113.panta ceturto daļu, arī notikumiem, kuros ietverta informācija par attiecīgajām korekcijām, tajā skaitā identificējoša informācija par korekcijas veicēju, korekcijas veikšanas datumu un laiku, veikto korekciju (dati dzēsti, laboti, mainīti vai papildināti) un koriģētajiem datiem (vērtība pirms un pēc labošanas vai mainīšanas).</w:t>
            </w:r>
          </w:p>
        </w:tc>
        <w:tc>
          <w:tcPr>
            <w:tcW w:w="3676" w:type="dxa"/>
          </w:tcPr>
          <w:p w14:paraId="11E67BC6" w14:textId="5A182BDE" w:rsidR="00D261FA" w:rsidRPr="00042D13" w:rsidRDefault="00D261FA" w:rsidP="00D261FA">
            <w:pPr>
              <w:ind w:right="57"/>
              <w:contextualSpacing/>
              <w:jc w:val="both"/>
              <w:rPr>
                <w:rFonts w:eastAsia="Calibri"/>
                <w:b/>
                <w:u w:val="single"/>
                <w:lang w:eastAsia="en-US"/>
              </w:rPr>
            </w:pPr>
            <w:r w:rsidRPr="00DC0597">
              <w:rPr>
                <w:rFonts w:eastAsia="Calibri"/>
                <w:bCs/>
                <w:lang w:eastAsia="en-US"/>
              </w:rPr>
              <w:lastRenderedPageBreak/>
              <w:t>18.</w:t>
            </w:r>
            <w:r w:rsidRPr="00DC0597">
              <w:rPr>
                <w:rFonts w:eastAsia="Calibri"/>
                <w:b/>
                <w:lang w:eastAsia="en-US"/>
              </w:rPr>
              <w:t xml:space="preserve"> </w:t>
            </w:r>
            <w:r w:rsidRPr="00DC0597">
              <w:rPr>
                <w:rFonts w:eastAsia="Calibri"/>
                <w:bCs/>
                <w:lang w:eastAsia="en-US"/>
              </w:rPr>
              <w:t xml:space="preserve">Elektroniskās darba laika uzskaites sistēma nodrošina visu elektroniskās darba laika uzskaites </w:t>
            </w:r>
            <w:r w:rsidRPr="00DC0597">
              <w:rPr>
                <w:rFonts w:eastAsia="Calibri"/>
                <w:bCs/>
                <w:lang w:eastAsia="en-US"/>
              </w:rPr>
              <w:lastRenderedPageBreak/>
              <w:t>sistēmas lietotāja veikto darbību saglabāšanu auditācijas pierakstos.</w:t>
            </w:r>
          </w:p>
        </w:tc>
      </w:tr>
      <w:tr w:rsidR="00D261FA" w14:paraId="4FC5369B" w14:textId="77777777" w:rsidTr="00AE1D83">
        <w:tc>
          <w:tcPr>
            <w:tcW w:w="604" w:type="dxa"/>
          </w:tcPr>
          <w:p w14:paraId="4213A717" w14:textId="43D54034" w:rsidR="00D261FA" w:rsidRPr="001E4AD9" w:rsidRDefault="00825895" w:rsidP="00D261FA">
            <w:pPr>
              <w:ind w:right="57"/>
              <w:contextualSpacing/>
              <w:jc w:val="center"/>
            </w:pPr>
            <w:r>
              <w:lastRenderedPageBreak/>
              <w:t>9.</w:t>
            </w:r>
          </w:p>
        </w:tc>
        <w:tc>
          <w:tcPr>
            <w:tcW w:w="3112" w:type="dxa"/>
          </w:tcPr>
          <w:p w14:paraId="06FDFFE4" w14:textId="77777777" w:rsidR="00D261FA" w:rsidRPr="007207ED" w:rsidRDefault="00D261FA" w:rsidP="00D261FA">
            <w:pPr>
              <w:shd w:val="clear" w:color="auto" w:fill="FFFFFF"/>
              <w:contextualSpacing/>
              <w:jc w:val="both"/>
            </w:pPr>
          </w:p>
        </w:tc>
        <w:tc>
          <w:tcPr>
            <w:tcW w:w="4241" w:type="dxa"/>
          </w:tcPr>
          <w:p w14:paraId="594E7BD5" w14:textId="2EA15642" w:rsidR="00D261FA" w:rsidRDefault="00D261FA" w:rsidP="00D261FA">
            <w:pPr>
              <w:ind w:right="57"/>
              <w:contextualSpacing/>
              <w:jc w:val="both"/>
              <w:rPr>
                <w:b/>
                <w:u w:val="single"/>
              </w:rPr>
            </w:pPr>
            <w:r w:rsidRPr="00E957C0">
              <w:rPr>
                <w:b/>
                <w:u w:val="single"/>
              </w:rPr>
              <w:t>Latvijas Būvuzņēmēju partnerība</w:t>
            </w:r>
          </w:p>
          <w:p w14:paraId="32F18873" w14:textId="7EDCC045" w:rsidR="00D261FA" w:rsidRPr="00F90B2F" w:rsidRDefault="00D261FA" w:rsidP="00D261FA">
            <w:pPr>
              <w:spacing w:after="160" w:line="259" w:lineRule="auto"/>
              <w:contextualSpacing/>
              <w:jc w:val="both"/>
              <w:rPr>
                <w:rFonts w:eastAsia="Calibri"/>
                <w:lang w:eastAsia="en-US"/>
              </w:rPr>
            </w:pPr>
            <w:r w:rsidRPr="00F90B2F">
              <w:rPr>
                <w:rFonts w:eastAsia="Calibri"/>
                <w:lang w:eastAsia="en-US"/>
              </w:rPr>
              <w:t>Likuma “</w:t>
            </w:r>
            <w:r w:rsidRPr="00F90B2F">
              <w:rPr>
                <w:rFonts w:eastAsia="Calibri"/>
                <w:i/>
                <w:iCs/>
                <w:lang w:eastAsia="en-US"/>
              </w:rPr>
              <w:t>Par nodokļiem un nodevām</w:t>
            </w:r>
            <w:r w:rsidRPr="00F90B2F">
              <w:rPr>
                <w:rFonts w:eastAsia="Calibri"/>
                <w:lang w:eastAsia="en-US"/>
              </w:rPr>
              <w:t xml:space="preserve">” (turpmāk- Likums) 113. panta pirmās daļas g) un h) apakšpunktos noteikts, ka EDLUS jāuzkrāj dati par laiku, kad persona ieradusies būvlaukumā un atstājusi to, kā arī summārais laiks, kuru persona pavadījusi būvlaukumā. Ņemot vērā, ka Likumā nav noteikta precizitāte ar kādu EDLUS ir jāfiksē minētie laiki, Partnerības ieskatā tas būtu jānosaka VEDLUDB noteikumos, lai visiem EDLUS izstrādātājiem ir zināmas prasības par laika formātiem. </w:t>
            </w:r>
          </w:p>
          <w:p w14:paraId="770C7718" w14:textId="77777777" w:rsidR="00D261FA" w:rsidRPr="00F90B2F" w:rsidRDefault="00D261FA" w:rsidP="00D261FA">
            <w:pPr>
              <w:spacing w:after="160" w:line="259" w:lineRule="auto"/>
              <w:ind w:left="426"/>
              <w:contextualSpacing/>
              <w:jc w:val="both"/>
              <w:rPr>
                <w:rFonts w:eastAsia="Calibri"/>
                <w:lang w:eastAsia="en-US"/>
              </w:rPr>
            </w:pPr>
          </w:p>
          <w:p w14:paraId="3441D353" w14:textId="77777777" w:rsidR="00D261FA" w:rsidRPr="00F90B2F" w:rsidRDefault="00D261FA" w:rsidP="00D261FA">
            <w:pPr>
              <w:spacing w:after="160" w:line="259" w:lineRule="auto"/>
              <w:contextualSpacing/>
              <w:jc w:val="both"/>
              <w:rPr>
                <w:rFonts w:eastAsia="Calibri"/>
                <w:lang w:eastAsia="en-US"/>
              </w:rPr>
            </w:pPr>
            <w:r w:rsidRPr="00F90B2F">
              <w:rPr>
                <w:rFonts w:eastAsia="Calibri"/>
                <w:lang w:eastAsia="en-US"/>
              </w:rPr>
              <w:t xml:space="preserve">Saskaņā ar Darba likumā noteikto, darba laiks tiek uzskaitīts stundās. Tomēr, ņemot vērā, ka šobrīd esošajos EDLUS laiks tiek fiksēts ar precizitāti līdz minūtei vai </w:t>
            </w:r>
            <w:r w:rsidRPr="00F90B2F">
              <w:rPr>
                <w:rFonts w:eastAsia="Calibri"/>
                <w:lang w:eastAsia="en-US"/>
              </w:rPr>
              <w:lastRenderedPageBreak/>
              <w:t>sekundei (atkarīgs no konkrētā EDLUS), VEDLUDB noteikumos būtu jānosaka, ka EDLUS reģistrētos laikus, kad persona ieradusies būvlaukumā un atstājusi to, kā arī summāro laiku jāreģistrē ar precizitāti, kas nav mazāka par stundām un minūtēm. Tas ļaus iegūt datus ar pietiekoši lielu precizitāti, kā arī ļautu izvairīties no tehniskām problēmām, kas var rasties ar sekunžu noapaļošanu tajos EDLUS, kur laika uzskaite ir ar precizitāti līdz minūtēm. Vienlaicīgi VEDLUDB noteikumos jāparedz arī iespēja iesniegt atskaites, kurās laiks tiek norādīts ar precizitāti līdz sekundei, lai nebūtu jāveic izmaiņas EDLUS, kur laika uzskaite ir ar precizitāti līdz sekundei.</w:t>
            </w:r>
          </w:p>
          <w:p w14:paraId="5C54D784" w14:textId="77777777" w:rsidR="00D261FA" w:rsidRDefault="00D261FA" w:rsidP="00D261FA">
            <w:pPr>
              <w:ind w:right="57"/>
              <w:contextualSpacing/>
              <w:jc w:val="both"/>
              <w:rPr>
                <w:b/>
                <w:u w:val="single"/>
              </w:rPr>
            </w:pPr>
          </w:p>
        </w:tc>
        <w:tc>
          <w:tcPr>
            <w:tcW w:w="3394" w:type="dxa"/>
          </w:tcPr>
          <w:p w14:paraId="3DDCBDEB" w14:textId="77777777" w:rsidR="00D261FA" w:rsidRDefault="00D261FA" w:rsidP="00D261FA">
            <w:pPr>
              <w:ind w:right="57"/>
              <w:contextualSpacing/>
              <w:jc w:val="center"/>
              <w:rPr>
                <w:b/>
              </w:rPr>
            </w:pPr>
            <w:r>
              <w:rPr>
                <w:b/>
              </w:rPr>
              <w:lastRenderedPageBreak/>
              <w:t>Ņemts vērā</w:t>
            </w:r>
          </w:p>
          <w:p w14:paraId="57BC94A4" w14:textId="1A3BEFD2" w:rsidR="00D261FA" w:rsidRPr="00042D13" w:rsidRDefault="00D261FA" w:rsidP="00D261FA">
            <w:pPr>
              <w:ind w:right="57"/>
              <w:contextualSpacing/>
              <w:jc w:val="both"/>
              <w:rPr>
                <w:rFonts w:eastAsia="Calibri"/>
                <w:lang w:eastAsia="en-US"/>
              </w:rPr>
            </w:pPr>
            <w:r w:rsidRPr="00042D13">
              <w:rPr>
                <w:rFonts w:eastAsia="Calibri"/>
                <w:lang w:eastAsia="en-US"/>
              </w:rPr>
              <w:t>Noteikumi papildināti ar 1</w:t>
            </w:r>
            <w:r>
              <w:rPr>
                <w:rFonts w:eastAsia="Calibri"/>
                <w:lang w:eastAsia="en-US"/>
              </w:rPr>
              <w:t>7</w:t>
            </w:r>
            <w:r w:rsidRPr="00042D13">
              <w:rPr>
                <w:rFonts w:eastAsia="Calibri"/>
                <w:lang w:eastAsia="en-US"/>
              </w:rPr>
              <w:t>.punktu, kā arī papildināta anotācija.</w:t>
            </w:r>
          </w:p>
          <w:p w14:paraId="586EA77A" w14:textId="0EE08E37" w:rsidR="00D261FA" w:rsidRDefault="00D261FA" w:rsidP="00D261FA">
            <w:pPr>
              <w:ind w:right="57"/>
              <w:contextualSpacing/>
              <w:jc w:val="center"/>
              <w:rPr>
                <w:b/>
              </w:rPr>
            </w:pPr>
          </w:p>
        </w:tc>
        <w:tc>
          <w:tcPr>
            <w:tcW w:w="3676" w:type="dxa"/>
          </w:tcPr>
          <w:p w14:paraId="0CF089AA" w14:textId="012A7DD3" w:rsidR="00D261FA" w:rsidRPr="00042D13" w:rsidRDefault="00D261FA" w:rsidP="00D261FA">
            <w:pPr>
              <w:ind w:right="57"/>
              <w:contextualSpacing/>
              <w:jc w:val="both"/>
              <w:rPr>
                <w:rFonts w:eastAsia="Calibri"/>
                <w:b/>
                <w:u w:val="single"/>
                <w:lang w:eastAsia="en-US"/>
              </w:rPr>
            </w:pPr>
            <w:r w:rsidRPr="00042D13">
              <w:rPr>
                <w:rFonts w:eastAsia="Calibri"/>
                <w:b/>
                <w:u w:val="single"/>
                <w:lang w:eastAsia="en-US"/>
              </w:rPr>
              <w:t>1</w:t>
            </w:r>
            <w:r>
              <w:rPr>
                <w:rFonts w:eastAsia="Calibri"/>
                <w:b/>
                <w:u w:val="single"/>
                <w:lang w:eastAsia="en-US"/>
              </w:rPr>
              <w:t>7</w:t>
            </w:r>
            <w:r w:rsidRPr="00042D13">
              <w:rPr>
                <w:rFonts w:eastAsia="Calibri"/>
                <w:b/>
                <w:u w:val="single"/>
                <w:lang w:eastAsia="en-US"/>
              </w:rPr>
              <w:t xml:space="preserve">. Elektroniskās darba laika uzskaites sistēmā reģistrētos laikus, kad persona ieradusies būvlaukumā un atstājusi to, kā arī summāro laiku reģistrē ar precizitāti, kas nav mazāka par stundām un minūtēm. </w:t>
            </w:r>
          </w:p>
          <w:p w14:paraId="4B75E908" w14:textId="77777777" w:rsidR="00D261FA" w:rsidRPr="00042D13" w:rsidRDefault="00D261FA" w:rsidP="00D261FA">
            <w:pPr>
              <w:ind w:right="57"/>
              <w:contextualSpacing/>
              <w:jc w:val="both"/>
              <w:rPr>
                <w:rFonts w:eastAsia="Calibri"/>
                <w:b/>
                <w:u w:val="single"/>
                <w:lang w:eastAsia="en-US"/>
              </w:rPr>
            </w:pPr>
          </w:p>
          <w:p w14:paraId="191588CA" w14:textId="44EA9C7E" w:rsidR="00D261FA" w:rsidRPr="004B3AFA" w:rsidRDefault="00D261FA" w:rsidP="00D261FA">
            <w:pPr>
              <w:ind w:right="57"/>
              <w:contextualSpacing/>
              <w:jc w:val="both"/>
              <w:rPr>
                <w:rFonts w:eastAsia="Calibri"/>
                <w:u w:val="single"/>
                <w:lang w:eastAsia="en-US"/>
              </w:rPr>
            </w:pPr>
            <w:r w:rsidRPr="004B3AFA">
              <w:rPr>
                <w:rFonts w:eastAsia="Calibri"/>
                <w:u w:val="single"/>
                <w:lang w:eastAsia="en-US"/>
              </w:rPr>
              <w:t>Anotācija papildināta:</w:t>
            </w:r>
          </w:p>
          <w:p w14:paraId="281BDB9F" w14:textId="4A67402D" w:rsidR="00D261FA" w:rsidRPr="00C64160" w:rsidRDefault="00D261FA" w:rsidP="00D261FA">
            <w:pPr>
              <w:ind w:right="57"/>
              <w:contextualSpacing/>
              <w:jc w:val="both"/>
              <w:rPr>
                <w:b/>
                <w:color w:val="000000" w:themeColor="text1"/>
                <w:u w:val="single"/>
              </w:rPr>
            </w:pPr>
            <w:r w:rsidRPr="004B3AFA">
              <w:rPr>
                <w:rFonts w:eastAsia="Calibri"/>
                <w:u w:val="single"/>
                <w:lang w:eastAsia="en-US"/>
              </w:rPr>
              <w:t>Galvenais būvdarbu veicējs var iesniegt VEDLUDB atskaites, kurās laiks tiek norādīts ar precizitāti līdz sekundei.</w:t>
            </w:r>
            <w:r>
              <w:rPr>
                <w:rFonts w:eastAsia="Calibri"/>
                <w:u w:val="single"/>
                <w:lang w:eastAsia="en-US"/>
              </w:rPr>
              <w:t xml:space="preserve"> Šajā gadījumā sistēma laiku noapaļos.</w:t>
            </w:r>
          </w:p>
        </w:tc>
      </w:tr>
      <w:tr w:rsidR="00D261FA" w14:paraId="03377552" w14:textId="77777777" w:rsidTr="00AE1D83">
        <w:tc>
          <w:tcPr>
            <w:tcW w:w="604" w:type="dxa"/>
          </w:tcPr>
          <w:p w14:paraId="1E1795C7" w14:textId="5B53AE21" w:rsidR="00D261FA" w:rsidRPr="001E4AD9" w:rsidRDefault="00825895" w:rsidP="00D261FA">
            <w:pPr>
              <w:ind w:right="57"/>
              <w:contextualSpacing/>
              <w:jc w:val="center"/>
            </w:pPr>
            <w:r>
              <w:t>10.</w:t>
            </w:r>
          </w:p>
        </w:tc>
        <w:tc>
          <w:tcPr>
            <w:tcW w:w="3112" w:type="dxa"/>
          </w:tcPr>
          <w:p w14:paraId="038ACB5D" w14:textId="77777777" w:rsidR="00D261FA" w:rsidRPr="00845AFF" w:rsidRDefault="00D261FA" w:rsidP="00D261FA">
            <w:pPr>
              <w:tabs>
                <w:tab w:val="left" w:pos="2127"/>
                <w:tab w:val="left" w:pos="6096"/>
              </w:tabs>
              <w:ind w:firstLine="720"/>
              <w:jc w:val="both"/>
              <w:rPr>
                <w:bCs/>
              </w:rPr>
            </w:pPr>
            <w:r w:rsidRPr="00845AFF">
              <w:rPr>
                <w:bCs/>
              </w:rPr>
              <w:t xml:space="preserve">19. Elektroniskās darba laika uzskaites sistēmas auditācijas pierakstu datu bāzes tabulas vai no datu bāzes izdalītas datnes papildina katru reizi, kad </w:t>
            </w:r>
            <w:proofErr w:type="spellStart"/>
            <w:r w:rsidRPr="00845AFF">
              <w:rPr>
                <w:bCs/>
              </w:rPr>
              <w:t>eElektroniskās</w:t>
            </w:r>
            <w:proofErr w:type="spellEnd"/>
            <w:r w:rsidRPr="00845AFF">
              <w:rPr>
                <w:bCs/>
              </w:rPr>
              <w:t xml:space="preserve"> darba laika uzskaites sistēmā tiek izveidots jauns ieraksts. Lai nodrošinātu datu integritāti, katram jaunam ierakstam tiek aprēķināta kontrolsumma (</w:t>
            </w:r>
            <w:proofErr w:type="spellStart"/>
            <w:r w:rsidRPr="00845AFF">
              <w:rPr>
                <w:bCs/>
                <w:i/>
              </w:rPr>
              <w:t>Hash</w:t>
            </w:r>
            <w:proofErr w:type="spellEnd"/>
            <w:r w:rsidRPr="00845AFF">
              <w:rPr>
                <w:bCs/>
                <w:i/>
              </w:rPr>
              <w:t>)</w:t>
            </w:r>
            <w:r w:rsidRPr="00845AFF">
              <w:rPr>
                <w:bCs/>
              </w:rPr>
              <w:t xml:space="preserve">, izmantojot drošu datu </w:t>
            </w:r>
            <w:r w:rsidRPr="00845AFF">
              <w:rPr>
                <w:bCs/>
              </w:rPr>
              <w:lastRenderedPageBreak/>
              <w:t xml:space="preserve">jaukšanas algoritmu (SHA) vai citu tehnisko risinājumu, kas nodrošina aizsardzības risinājumu auditācijas pierakstu datu integritātei, nodrošinot aizsardzības risinājumu pret neatļautu tīšu vai netīšu datu maiņu, grozīšanu, bojāšanu, iznīcināšanu, pasliktināšanu, aizklāšanu vai nepatiesas informācijas ievadīšanu. Ja izmanto kontrolsummu </w:t>
            </w:r>
            <w:proofErr w:type="spellStart"/>
            <w:r w:rsidRPr="00845AFF">
              <w:rPr>
                <w:bCs/>
                <w:i/>
              </w:rPr>
              <w:t>Hash</w:t>
            </w:r>
            <w:proofErr w:type="spellEnd"/>
            <w:r w:rsidRPr="00845AFF">
              <w:rPr>
                <w:bCs/>
              </w:rPr>
              <w:t xml:space="preserve">, tās aprēķinu veic no visiem attiecīgā ieraksta piederīgajiem laukiem, aprēķinā iekļaujot iepriekšējā ieraksta norādīto </w:t>
            </w:r>
            <w:r w:rsidRPr="00845AFF">
              <w:rPr>
                <w:bCs/>
                <w:i/>
              </w:rPr>
              <w:t>SHA-256</w:t>
            </w:r>
            <w:r w:rsidRPr="00845AFF">
              <w:rPr>
                <w:bCs/>
              </w:rPr>
              <w:t xml:space="preserve"> kontrolsummu. </w:t>
            </w:r>
            <w:r w:rsidRPr="00845AFF">
              <w:rPr>
                <w:bCs/>
                <w:i/>
              </w:rPr>
              <w:t xml:space="preserve">SHA-256 vai SHA-384 vai SHA-512 </w:t>
            </w:r>
            <w:r w:rsidRPr="00845AFF">
              <w:rPr>
                <w:bCs/>
              </w:rPr>
              <w:t xml:space="preserve">kontrolsummas aprēķinus veic atbilstoši </w:t>
            </w:r>
            <w:r w:rsidRPr="00845AFF">
              <w:rPr>
                <w:bCs/>
                <w:i/>
              </w:rPr>
              <w:t>“</w:t>
            </w:r>
            <w:proofErr w:type="spellStart"/>
            <w:r w:rsidRPr="00845AFF">
              <w:rPr>
                <w:bCs/>
                <w:i/>
              </w:rPr>
              <w:t>Secure</w:t>
            </w:r>
            <w:proofErr w:type="spellEnd"/>
            <w:r w:rsidRPr="00845AFF">
              <w:rPr>
                <w:bCs/>
                <w:i/>
              </w:rPr>
              <w:t xml:space="preserve"> </w:t>
            </w:r>
            <w:proofErr w:type="spellStart"/>
            <w:r w:rsidRPr="00845AFF">
              <w:rPr>
                <w:bCs/>
                <w:i/>
              </w:rPr>
              <w:t>Hash</w:t>
            </w:r>
            <w:proofErr w:type="spellEnd"/>
            <w:r w:rsidRPr="00845AFF">
              <w:rPr>
                <w:bCs/>
                <w:i/>
              </w:rPr>
              <w:t xml:space="preserve"> Standard (SHS) (</w:t>
            </w:r>
            <w:r w:rsidRPr="00845AFF">
              <w:rPr>
                <w:i/>
              </w:rPr>
              <w:t>FIPS PUB 180-4)”</w:t>
            </w:r>
            <w:r w:rsidRPr="00845AFF">
              <w:t xml:space="preserve"> standartam</w:t>
            </w:r>
            <w:r w:rsidRPr="00845AFF">
              <w:rPr>
                <w:bCs/>
              </w:rPr>
              <w:t xml:space="preserve">. Visās elektroniskās darba laika uzskaites sistēmas datnēs visu ierakstu </w:t>
            </w:r>
            <w:proofErr w:type="spellStart"/>
            <w:r w:rsidRPr="00845AFF">
              <w:rPr>
                <w:bCs/>
                <w:i/>
              </w:rPr>
              <w:t>Hash</w:t>
            </w:r>
            <w:proofErr w:type="spellEnd"/>
            <w:r w:rsidRPr="00845AFF">
              <w:rPr>
                <w:bCs/>
              </w:rPr>
              <w:t xml:space="preserve"> veido nepārtrauktu </w:t>
            </w:r>
            <w:proofErr w:type="spellStart"/>
            <w:r w:rsidRPr="00845AFF">
              <w:rPr>
                <w:bCs/>
                <w:i/>
              </w:rPr>
              <w:t>Hash</w:t>
            </w:r>
            <w:proofErr w:type="spellEnd"/>
            <w:r w:rsidRPr="00845AFF">
              <w:rPr>
                <w:bCs/>
              </w:rPr>
              <w:t xml:space="preserve"> ķēdi, kura nedrīkst tikt pārtraukta.</w:t>
            </w:r>
          </w:p>
          <w:p w14:paraId="09D9A3C6" w14:textId="77777777" w:rsidR="00D261FA" w:rsidRPr="007207ED" w:rsidRDefault="00D261FA" w:rsidP="00D261FA">
            <w:pPr>
              <w:shd w:val="clear" w:color="auto" w:fill="FFFFFF"/>
              <w:contextualSpacing/>
              <w:jc w:val="both"/>
            </w:pPr>
          </w:p>
        </w:tc>
        <w:tc>
          <w:tcPr>
            <w:tcW w:w="4241" w:type="dxa"/>
          </w:tcPr>
          <w:p w14:paraId="7D6CAA68" w14:textId="7FCD651C" w:rsidR="00D261FA" w:rsidRDefault="00D261FA" w:rsidP="00D261FA">
            <w:pPr>
              <w:ind w:right="57"/>
              <w:contextualSpacing/>
              <w:jc w:val="both"/>
              <w:rPr>
                <w:b/>
                <w:u w:val="single"/>
              </w:rPr>
            </w:pPr>
            <w:r w:rsidRPr="00E957C0">
              <w:rPr>
                <w:b/>
                <w:u w:val="single"/>
              </w:rPr>
              <w:lastRenderedPageBreak/>
              <w:t>Latvijas Būvuzņēmēju partnerība</w:t>
            </w:r>
          </w:p>
          <w:p w14:paraId="4CD262EC" w14:textId="235159F3" w:rsidR="00D261FA" w:rsidRPr="00F90B2F" w:rsidRDefault="00D261FA" w:rsidP="00D261FA">
            <w:pPr>
              <w:spacing w:after="160" w:line="259" w:lineRule="auto"/>
              <w:contextualSpacing/>
              <w:jc w:val="both"/>
              <w:rPr>
                <w:rFonts w:eastAsia="Calibri"/>
                <w:lang w:eastAsia="en-US"/>
              </w:rPr>
            </w:pPr>
            <w:r w:rsidRPr="00F90B2F">
              <w:rPr>
                <w:rFonts w:eastAsia="Calibri"/>
                <w:lang w:eastAsia="en-US"/>
              </w:rPr>
              <w:t xml:space="preserve">Partnerība jau iepriekš ir norādījusi, ka VEDLUDB noteikumu IV daļā nepamatoti ir iekļautas prasības EDLUS auditācijas pierakstu veidošanai izmantot konkrētu IT risinājumu. Tā vietā VEDLUDB noteikumos būtu jādefinē tikai EDLUS datu integritātes prasības, nevis konkrēts tehnoloģisks risinājums, kas radīs nesamērīgas izmaksas un ierobežo EDLUS izstrādātāju tiesības piedāvāt IT risinājumus, kas spēj izpildīt </w:t>
            </w:r>
            <w:r w:rsidRPr="00F90B2F">
              <w:rPr>
                <w:rFonts w:eastAsia="Calibri"/>
                <w:lang w:eastAsia="en-US"/>
              </w:rPr>
              <w:lastRenderedPageBreak/>
              <w:t xml:space="preserve">prasības attiecībā uz EDLUS datu integritāti. Ņemot vērā Partnerības iebildumus, noteikumu saskaņošanas sanāksmē, kurā piedalījās Finanšu ministrijas, Ekonomikas ministrijas, Valsts ieņēmumu dienesta un EDLUS izstrādātāju pārstāvji, tika panākta vienošanās, ka auditācijas pierakstu veidošanā varēs izmantot arī citus tehnoloģiskos risinājumus ne tikai VEDLUDB noteikumos norādītās </w:t>
            </w:r>
            <w:proofErr w:type="spellStart"/>
            <w:r w:rsidRPr="00F90B2F">
              <w:rPr>
                <w:rFonts w:eastAsia="Calibri"/>
                <w:lang w:eastAsia="en-US"/>
              </w:rPr>
              <w:t>Hash</w:t>
            </w:r>
            <w:proofErr w:type="spellEnd"/>
            <w:r w:rsidRPr="00F90B2F">
              <w:rPr>
                <w:rFonts w:eastAsia="Calibri"/>
                <w:lang w:eastAsia="en-US"/>
              </w:rPr>
              <w:t xml:space="preserve"> ķēdes.</w:t>
            </w:r>
          </w:p>
          <w:p w14:paraId="3E29DD6A" w14:textId="77777777" w:rsidR="00D261FA" w:rsidRPr="00F90B2F" w:rsidRDefault="00D261FA" w:rsidP="00D261FA">
            <w:pPr>
              <w:jc w:val="both"/>
              <w:rPr>
                <w:rFonts w:eastAsia="Calibri"/>
                <w:lang w:eastAsia="en-US"/>
              </w:rPr>
            </w:pPr>
          </w:p>
          <w:p w14:paraId="671FF1A3" w14:textId="77777777" w:rsidR="00D261FA" w:rsidRPr="00F90B2F" w:rsidRDefault="00D261FA" w:rsidP="00D261FA">
            <w:pPr>
              <w:jc w:val="both"/>
              <w:rPr>
                <w:rFonts w:eastAsia="Calibri"/>
                <w:lang w:eastAsia="en-US"/>
              </w:rPr>
            </w:pPr>
            <w:r w:rsidRPr="00F90B2F">
              <w:rPr>
                <w:rFonts w:eastAsia="Calibri"/>
                <w:lang w:eastAsia="en-US"/>
              </w:rPr>
              <w:t xml:space="preserve">Atbilstoši sanāksmē panāktajai vienošanai, VEDLUDB noteikumu 19. punktā ir norādīts, ka auditācijas pierakstu veidošanai var izmantot </w:t>
            </w:r>
            <w:r w:rsidRPr="00F90B2F">
              <w:rPr>
                <w:rFonts w:eastAsia="Calibri"/>
                <w:i/>
                <w:iCs/>
                <w:lang w:eastAsia="en-US"/>
              </w:rPr>
              <w:t xml:space="preserve">citu tehnisko risinājumu, kas nodrošina aizsardzības risinājumu auditācijas pierakstu datu integritātei (..). </w:t>
            </w:r>
            <w:r w:rsidRPr="00F90B2F">
              <w:rPr>
                <w:rFonts w:eastAsia="Calibri"/>
                <w:lang w:eastAsia="en-US"/>
              </w:rPr>
              <w:t xml:space="preserve">Partnerības ieskatā tomēr piedāvātā 19. punkta formulējums ir interpretējams un nav viennozīmīgi skaidrs vai ar vārdiem </w:t>
            </w:r>
            <w:r w:rsidRPr="00F90B2F">
              <w:rPr>
                <w:rFonts w:eastAsia="Calibri"/>
                <w:i/>
                <w:iCs/>
                <w:lang w:eastAsia="en-US"/>
              </w:rPr>
              <w:t xml:space="preserve">citu tehnisko risinājumu </w:t>
            </w:r>
            <w:r w:rsidRPr="00F90B2F">
              <w:rPr>
                <w:rFonts w:eastAsia="Calibri"/>
                <w:lang w:eastAsia="en-US"/>
              </w:rPr>
              <w:t>ir domāts</w:t>
            </w:r>
            <w:r w:rsidRPr="00F90B2F">
              <w:rPr>
                <w:rFonts w:eastAsia="Calibri"/>
                <w:i/>
                <w:iCs/>
                <w:lang w:eastAsia="en-US"/>
              </w:rPr>
              <w:t xml:space="preserve"> </w:t>
            </w:r>
            <w:r w:rsidRPr="00F90B2F">
              <w:rPr>
                <w:rFonts w:eastAsia="Calibri"/>
                <w:lang w:eastAsia="en-US"/>
              </w:rPr>
              <w:t xml:space="preserve">risinājums, kas attiecas tikai uz specifisko </w:t>
            </w:r>
            <w:r w:rsidRPr="00F90B2F">
              <w:rPr>
                <w:rFonts w:eastAsia="Calibri"/>
                <w:i/>
                <w:iCs/>
                <w:lang w:eastAsia="en-US"/>
              </w:rPr>
              <w:t xml:space="preserve">drošu datu jaukšanas algoritmu (SHA) </w:t>
            </w:r>
            <w:r w:rsidRPr="00F90B2F">
              <w:rPr>
                <w:rFonts w:eastAsia="Calibri"/>
                <w:lang w:eastAsia="en-US"/>
              </w:rPr>
              <w:t>izmantošanu</w:t>
            </w:r>
            <w:r w:rsidRPr="00F90B2F">
              <w:rPr>
                <w:rFonts w:eastAsia="Calibri"/>
                <w:i/>
                <w:iCs/>
                <w:lang w:eastAsia="en-US"/>
              </w:rPr>
              <w:t xml:space="preserve"> </w:t>
            </w:r>
            <w:r w:rsidRPr="00F90B2F">
              <w:rPr>
                <w:rFonts w:eastAsia="Calibri"/>
                <w:lang w:eastAsia="en-US"/>
              </w:rPr>
              <w:t>vai ar to tiek saprasts, ka cits tehniskais risinājums ir pieļaujams attiecībā uz auditācijas pierakstu veidošanu kopumā.</w:t>
            </w:r>
          </w:p>
          <w:p w14:paraId="4F85FB04" w14:textId="77777777" w:rsidR="00D261FA" w:rsidRPr="00F90B2F" w:rsidRDefault="00D261FA" w:rsidP="00D261FA">
            <w:pPr>
              <w:ind w:left="426"/>
              <w:jc w:val="both"/>
              <w:rPr>
                <w:rFonts w:eastAsia="Calibri"/>
                <w:lang w:eastAsia="en-US"/>
              </w:rPr>
            </w:pPr>
          </w:p>
          <w:p w14:paraId="61FBAB82" w14:textId="28BF05FB" w:rsidR="00D261FA" w:rsidRDefault="00D261FA" w:rsidP="00D261FA">
            <w:pPr>
              <w:jc w:val="both"/>
              <w:rPr>
                <w:rFonts w:eastAsia="Calibri"/>
                <w:lang w:eastAsia="en-US"/>
              </w:rPr>
            </w:pPr>
            <w:r w:rsidRPr="00F90B2F">
              <w:rPr>
                <w:rFonts w:eastAsia="Calibri"/>
                <w:lang w:eastAsia="en-US"/>
              </w:rPr>
              <w:lastRenderedPageBreak/>
              <w:t xml:space="preserve">Ievērojot augstāk minēto, lūdzam precizēt VEDLUDB noteikumus, nosakot tikai datu integritātes prasības un </w:t>
            </w:r>
            <w:proofErr w:type="spellStart"/>
            <w:r w:rsidRPr="00F90B2F">
              <w:rPr>
                <w:rFonts w:eastAsia="Calibri"/>
                <w:lang w:eastAsia="en-US"/>
              </w:rPr>
              <w:t>Hash</w:t>
            </w:r>
            <w:proofErr w:type="spellEnd"/>
            <w:r w:rsidRPr="00F90B2F">
              <w:rPr>
                <w:rFonts w:eastAsia="Calibri"/>
                <w:lang w:eastAsia="en-US"/>
              </w:rPr>
              <w:t xml:space="preserve"> ķēdes norādot kā vienu no iespējamiem tehnoloģiskajiem risinājumiem.  </w:t>
            </w:r>
          </w:p>
          <w:p w14:paraId="43553DAF" w14:textId="382C31B3" w:rsidR="00A940D2" w:rsidRDefault="00A940D2" w:rsidP="00D261FA">
            <w:pPr>
              <w:jc w:val="both"/>
              <w:rPr>
                <w:rFonts w:eastAsia="Calibri"/>
                <w:lang w:eastAsia="en-US"/>
              </w:rPr>
            </w:pPr>
          </w:p>
          <w:p w14:paraId="127B72AD" w14:textId="4B105470" w:rsidR="00A940D2" w:rsidRPr="00A940D2" w:rsidRDefault="00A940D2" w:rsidP="00D261FA">
            <w:pPr>
              <w:jc w:val="both"/>
              <w:rPr>
                <w:rFonts w:eastAsia="Calibri"/>
                <w:b/>
                <w:bCs/>
                <w:lang w:eastAsia="en-US"/>
              </w:rPr>
            </w:pPr>
            <w:r w:rsidRPr="00A940D2">
              <w:rPr>
                <w:rFonts w:eastAsia="Calibri"/>
                <w:b/>
                <w:bCs/>
                <w:lang w:eastAsia="en-US"/>
              </w:rPr>
              <w:t>Elektroniskās saskaņošanas ietvaros iebildums tika uzturēts</w:t>
            </w:r>
          </w:p>
          <w:p w14:paraId="653D4D13" w14:textId="6355A722" w:rsidR="007051D5" w:rsidRPr="007051D5" w:rsidRDefault="007051D5" w:rsidP="007051D5">
            <w:pPr>
              <w:ind w:right="57"/>
              <w:contextualSpacing/>
              <w:jc w:val="both"/>
              <w:rPr>
                <w:bCs/>
              </w:rPr>
            </w:pPr>
            <w:r w:rsidRPr="007051D5">
              <w:rPr>
                <w:bCs/>
              </w:rPr>
              <w:t xml:space="preserve">Iepazīstoties ar precizēto VEDLUDB noteikumu projektu, vēršam uzmanību, ka vēl joprojām interpretējama ir noteikumu 21. punkta (sākotnēji 19. punkta) redakcija attiecībā uz  IT risinājumu, kas jālieto EDLUS auditācijas pierakstu veidošanai. VEDLUDB noteikumu Anotācija ir precizēta un norādīts, ka viens no iespējamiem risinājumiem, lai nodrošinātu aizsardzības risinājumu auditācijas pierakstu datu integritātei - katram ierakstam aprēķināt </w:t>
            </w:r>
            <w:proofErr w:type="spellStart"/>
            <w:r w:rsidRPr="007051D5">
              <w:rPr>
                <w:bCs/>
              </w:rPr>
              <w:t>kontrollsummu</w:t>
            </w:r>
            <w:proofErr w:type="spellEnd"/>
            <w:r w:rsidRPr="007051D5">
              <w:rPr>
                <w:bCs/>
              </w:rPr>
              <w:t xml:space="preserve"> (</w:t>
            </w:r>
            <w:proofErr w:type="spellStart"/>
            <w:r w:rsidRPr="007051D5">
              <w:rPr>
                <w:bCs/>
              </w:rPr>
              <w:t>Hash</w:t>
            </w:r>
            <w:proofErr w:type="spellEnd"/>
            <w:r w:rsidRPr="007051D5">
              <w:rPr>
                <w:bCs/>
              </w:rPr>
              <w:t xml:space="preserve">). EDLUS lietotājs var izvēlēties arī citu tehnisko risinājumu EDLUS veikto darbību ierakstu aizsardzības nodrošināšanai, savukārt VEDLUDB noteikumu redakcija nav precizēta. </w:t>
            </w:r>
          </w:p>
          <w:p w14:paraId="7BC2B45B" w14:textId="77777777" w:rsidR="007051D5" w:rsidRPr="007051D5" w:rsidRDefault="007051D5" w:rsidP="007051D5">
            <w:pPr>
              <w:ind w:right="57"/>
              <w:contextualSpacing/>
              <w:jc w:val="both"/>
              <w:rPr>
                <w:bCs/>
              </w:rPr>
            </w:pPr>
          </w:p>
          <w:p w14:paraId="773BA9D2" w14:textId="77777777" w:rsidR="00D261FA" w:rsidRDefault="007051D5" w:rsidP="007051D5">
            <w:pPr>
              <w:ind w:right="57"/>
              <w:contextualSpacing/>
              <w:jc w:val="both"/>
              <w:rPr>
                <w:bCs/>
              </w:rPr>
            </w:pPr>
            <w:r w:rsidRPr="007051D5">
              <w:rPr>
                <w:bCs/>
              </w:rPr>
              <w:t xml:space="preserve">Ievērojot augstāk minēto, lūdzam precizēt VEDLUDB noteikumus un, līdzīgi kā Anotācijā, skaidri nosakot, ka </w:t>
            </w:r>
            <w:proofErr w:type="spellStart"/>
            <w:r w:rsidRPr="007051D5">
              <w:rPr>
                <w:bCs/>
              </w:rPr>
              <w:t>Hash</w:t>
            </w:r>
            <w:proofErr w:type="spellEnd"/>
            <w:r w:rsidRPr="007051D5">
              <w:rPr>
                <w:bCs/>
              </w:rPr>
              <w:t xml:space="preserve"> ķēdes ir tikai viens no iespējamiem </w:t>
            </w:r>
            <w:r w:rsidRPr="007051D5">
              <w:rPr>
                <w:bCs/>
              </w:rPr>
              <w:lastRenderedPageBreak/>
              <w:t xml:space="preserve">IT risinājumiem EDLUS datu integritātes nodrošināšanai.  </w:t>
            </w:r>
          </w:p>
          <w:p w14:paraId="514FE393" w14:textId="77777777" w:rsidR="0060010D" w:rsidRDefault="0060010D" w:rsidP="007051D5">
            <w:pPr>
              <w:ind w:right="57"/>
              <w:contextualSpacing/>
              <w:jc w:val="both"/>
              <w:rPr>
                <w:b/>
                <w:bCs/>
                <w:u w:val="single"/>
              </w:rPr>
            </w:pPr>
          </w:p>
          <w:p w14:paraId="23F0D36E" w14:textId="4FC11C66" w:rsidR="0060010D" w:rsidRPr="0060010D" w:rsidRDefault="0060010D" w:rsidP="0060010D">
            <w:pPr>
              <w:ind w:right="57"/>
              <w:contextualSpacing/>
              <w:jc w:val="both"/>
              <w:rPr>
                <w:bCs/>
              </w:rPr>
            </w:pPr>
            <w:r w:rsidRPr="0060010D">
              <w:rPr>
                <w:bCs/>
              </w:rPr>
              <w:t xml:space="preserve">To, ka arī precizētā VEDLUDB noteikumu 21. punkta redakcija ir interpretējama, apliecina arī noteikumu 22. punkts. Lai gan noteikumu izstrādātāji Anotācijā un savstarpējās sarunās norāda, ka </w:t>
            </w:r>
            <w:proofErr w:type="spellStart"/>
            <w:r w:rsidRPr="0060010D">
              <w:rPr>
                <w:bCs/>
              </w:rPr>
              <w:t>Hash</w:t>
            </w:r>
            <w:proofErr w:type="spellEnd"/>
            <w:r w:rsidRPr="0060010D">
              <w:rPr>
                <w:bCs/>
              </w:rPr>
              <w:t xml:space="preserve"> ķēdes ir tikai viens no iespējamiem IT risinājumiem, 22. punktā noteikts, ka darbadienas beigās no šo noteikumu 20.punktā norādītiem datiem aprēķina </w:t>
            </w:r>
            <w:proofErr w:type="spellStart"/>
            <w:r w:rsidRPr="0060010D">
              <w:rPr>
                <w:bCs/>
              </w:rPr>
              <w:t>Hash</w:t>
            </w:r>
            <w:proofErr w:type="spellEnd"/>
            <w:r w:rsidRPr="0060010D">
              <w:rPr>
                <w:bCs/>
              </w:rPr>
              <w:t xml:space="preserve"> kontrolsummu, un nodod VEDLUDB. Tādā veidā noteikumu 21. punktā pieļautais alternatīvais IT risinājums kļūst bezjēdzīgs, jo tik un tā beigās tiek prasīta </w:t>
            </w:r>
            <w:proofErr w:type="spellStart"/>
            <w:r w:rsidRPr="0060010D">
              <w:rPr>
                <w:bCs/>
              </w:rPr>
              <w:t>Hash</w:t>
            </w:r>
            <w:proofErr w:type="spellEnd"/>
            <w:r w:rsidRPr="0060010D">
              <w:rPr>
                <w:bCs/>
              </w:rPr>
              <w:t xml:space="preserve"> kontrolsumma.</w:t>
            </w:r>
          </w:p>
          <w:p w14:paraId="68EBE785" w14:textId="77777777" w:rsidR="0060010D" w:rsidRPr="0060010D" w:rsidRDefault="0060010D" w:rsidP="0060010D">
            <w:pPr>
              <w:ind w:right="57"/>
              <w:contextualSpacing/>
              <w:jc w:val="both"/>
              <w:rPr>
                <w:bCs/>
              </w:rPr>
            </w:pPr>
          </w:p>
          <w:p w14:paraId="0EEF7904" w14:textId="3D1DBAE0" w:rsidR="0060010D" w:rsidRDefault="0060010D" w:rsidP="0060010D">
            <w:pPr>
              <w:ind w:right="57"/>
              <w:contextualSpacing/>
              <w:jc w:val="both"/>
              <w:rPr>
                <w:b/>
                <w:u w:val="single"/>
              </w:rPr>
            </w:pPr>
            <w:r w:rsidRPr="0060010D">
              <w:rPr>
                <w:bCs/>
              </w:rPr>
              <w:t xml:space="preserve">Ievērojot augstāk minēto, lūdzam papildināt 21. punkta noteikumus un noteikt, ka </w:t>
            </w:r>
            <w:proofErr w:type="spellStart"/>
            <w:r w:rsidRPr="0060010D">
              <w:rPr>
                <w:bCs/>
              </w:rPr>
              <w:t>Hash</w:t>
            </w:r>
            <w:proofErr w:type="spellEnd"/>
            <w:r w:rsidRPr="0060010D">
              <w:rPr>
                <w:bCs/>
              </w:rPr>
              <w:t xml:space="preserve"> kontrolsumma darbadienas beigās ir jāveido tikai gadījumos, ja EDLUS auditācijas pierakstu veidošanai tiek izmantotas </w:t>
            </w:r>
            <w:proofErr w:type="spellStart"/>
            <w:r w:rsidRPr="0060010D">
              <w:rPr>
                <w:bCs/>
              </w:rPr>
              <w:t>Hash</w:t>
            </w:r>
            <w:proofErr w:type="spellEnd"/>
            <w:r w:rsidRPr="0060010D">
              <w:rPr>
                <w:bCs/>
              </w:rPr>
              <w:t xml:space="preserve"> ķēdes.</w:t>
            </w:r>
          </w:p>
        </w:tc>
        <w:tc>
          <w:tcPr>
            <w:tcW w:w="3394" w:type="dxa"/>
          </w:tcPr>
          <w:p w14:paraId="12041833" w14:textId="70A554BA" w:rsidR="00D261FA" w:rsidRDefault="00D261FA" w:rsidP="00D261FA">
            <w:pPr>
              <w:ind w:right="57"/>
              <w:contextualSpacing/>
              <w:jc w:val="center"/>
              <w:rPr>
                <w:b/>
              </w:rPr>
            </w:pPr>
            <w:r>
              <w:rPr>
                <w:b/>
              </w:rPr>
              <w:lastRenderedPageBreak/>
              <w:t>Ņemts vērā</w:t>
            </w:r>
            <w:r w:rsidR="007051D5">
              <w:rPr>
                <w:b/>
              </w:rPr>
              <w:t xml:space="preserve"> </w:t>
            </w:r>
          </w:p>
          <w:p w14:paraId="14023951" w14:textId="12019CA7" w:rsidR="00D261FA" w:rsidRDefault="00D261FA" w:rsidP="00D261FA">
            <w:pPr>
              <w:ind w:right="57"/>
              <w:contextualSpacing/>
              <w:jc w:val="both"/>
              <w:rPr>
                <w:b/>
              </w:rPr>
            </w:pPr>
            <w:r>
              <w:t>Precizēts noteikumu projekta 21. un 22.punkts</w:t>
            </w:r>
            <w:r w:rsidR="00596530">
              <w:t xml:space="preserve"> (jaunā redakcija pēc elektroniskās sask</w:t>
            </w:r>
            <w:r w:rsidR="00EC18F2">
              <w:t>aņ</w:t>
            </w:r>
            <w:r w:rsidR="00596530">
              <w:t>ošanas).</w:t>
            </w:r>
          </w:p>
        </w:tc>
        <w:tc>
          <w:tcPr>
            <w:tcW w:w="3676" w:type="dxa"/>
          </w:tcPr>
          <w:p w14:paraId="2FDF4454" w14:textId="67F9AE6C" w:rsidR="00D261FA" w:rsidRDefault="00D261FA" w:rsidP="00D261FA">
            <w:pPr>
              <w:ind w:right="57"/>
              <w:contextualSpacing/>
              <w:jc w:val="both"/>
              <w:rPr>
                <w:bCs/>
              </w:rPr>
            </w:pPr>
          </w:p>
          <w:p w14:paraId="0C39144C" w14:textId="77777777" w:rsidR="00D261FA" w:rsidRPr="00D45C01" w:rsidRDefault="00D261FA" w:rsidP="00D261FA">
            <w:pPr>
              <w:ind w:firstLine="18"/>
              <w:jc w:val="both"/>
            </w:pPr>
            <w:r w:rsidRPr="00D45C01">
              <w:t xml:space="preserve">21. Elektroniskās darba laika uzskaites sistēmas auditācijas pierakstu datu bāzes tabulas vai no datu bāzes izdalītas datnes papildina katru reizi, kad elektroniskās darba laika uzskaites sistēmā tiek izveidots jauns ieraksts. Lai nodrošinātu datu integritāti, katram jaunam ierakstam tiek aprēķināta ieraksta kontrolsumma, izmantojot </w:t>
            </w:r>
            <w:proofErr w:type="spellStart"/>
            <w:r w:rsidRPr="00D45C01">
              <w:t>blokķēdes</w:t>
            </w:r>
            <w:proofErr w:type="spellEnd"/>
            <w:r w:rsidRPr="00D45C01">
              <w:t xml:space="preserve"> (</w:t>
            </w:r>
            <w:proofErr w:type="spellStart"/>
            <w:r w:rsidRPr="00D45C01">
              <w:rPr>
                <w:i/>
                <w:iCs/>
              </w:rPr>
              <w:t>Hash</w:t>
            </w:r>
            <w:proofErr w:type="spellEnd"/>
            <w:r w:rsidRPr="00D45C01">
              <w:rPr>
                <w:i/>
                <w:iCs/>
              </w:rPr>
              <w:t xml:space="preserve">) </w:t>
            </w:r>
            <w:r w:rsidRPr="00D45C01">
              <w:t xml:space="preserve">tehnoloģiju </w:t>
            </w:r>
            <w:r w:rsidRPr="00D45C01">
              <w:rPr>
                <w:i/>
                <w:iCs/>
              </w:rPr>
              <w:t xml:space="preserve">vai </w:t>
            </w:r>
            <w:r w:rsidRPr="00D45C01">
              <w:t xml:space="preserve">drošu datu jaukšanas algoritmu vai </w:t>
            </w:r>
            <w:r w:rsidRPr="00D45C01">
              <w:lastRenderedPageBreak/>
              <w:t xml:space="preserve">citu tehnisko risinājumu, kas nodrošina aizsardzības risinājumu auditācijas pierakstu datu integritātei, nodrošinot aizsardzības risinājumu pret neatļautu tīšu vai netīšu datu maiņu, grozīšanu, bojāšanu, iznīcināšanu, pasliktināšanu, aizklāšanu vai nepatiesas informācijas ievadīšanu. Ieraksta kontrolsummas aprēķina algoritms ir pārbaudāms un atkārtojams. Ja ieraksta kontrolsummas aprēķināšanai izmanto </w:t>
            </w:r>
            <w:proofErr w:type="spellStart"/>
            <w:r w:rsidRPr="00D45C01">
              <w:t>blokķēdes</w:t>
            </w:r>
            <w:proofErr w:type="spellEnd"/>
            <w:r w:rsidRPr="00D45C01">
              <w:t xml:space="preserve"> (</w:t>
            </w:r>
            <w:proofErr w:type="spellStart"/>
            <w:r w:rsidRPr="00D45C01">
              <w:rPr>
                <w:i/>
                <w:iCs/>
              </w:rPr>
              <w:t>Hash</w:t>
            </w:r>
            <w:proofErr w:type="spellEnd"/>
            <w:r w:rsidRPr="00D45C01">
              <w:rPr>
                <w:i/>
                <w:iCs/>
              </w:rPr>
              <w:t>)</w:t>
            </w:r>
            <w:r w:rsidRPr="00D45C01">
              <w:t>  tehnoloģiju:</w:t>
            </w:r>
          </w:p>
          <w:p w14:paraId="04CC60B5" w14:textId="77777777" w:rsidR="00D261FA" w:rsidRPr="00D45C01" w:rsidRDefault="00D261FA" w:rsidP="00D261FA">
            <w:pPr>
              <w:ind w:firstLine="18"/>
              <w:jc w:val="both"/>
            </w:pPr>
            <w:r w:rsidRPr="00D45C01">
              <w:t xml:space="preserve">21.1. ieraksta kontrolsummas aprēķinu veic no visiem attiecīgā ieraksta piederīgajiem laukiem, iekļaujot iepriekšējā ieraksta norādīto </w:t>
            </w:r>
            <w:r w:rsidRPr="00D45C01">
              <w:rPr>
                <w:i/>
                <w:iCs/>
              </w:rPr>
              <w:t xml:space="preserve">SHA-256 </w:t>
            </w:r>
            <w:r w:rsidRPr="00D45C01">
              <w:rPr>
                <w:bCs/>
                <w:i/>
                <w:iCs/>
              </w:rPr>
              <w:t>vai SHA-384 vai SHA-512</w:t>
            </w:r>
            <w:r w:rsidRPr="00D45C01">
              <w:t xml:space="preserve"> kontrolsummu. </w:t>
            </w:r>
            <w:r w:rsidRPr="00D45C01">
              <w:rPr>
                <w:i/>
                <w:iCs/>
              </w:rPr>
              <w:t xml:space="preserve">SHA-256 vai SHA-384 vai SHA-512 </w:t>
            </w:r>
            <w:r w:rsidRPr="00D45C01">
              <w:t xml:space="preserve">kontrolsummas aprēķinus veic atbilstoši </w:t>
            </w:r>
            <w:r w:rsidRPr="00D45C01">
              <w:rPr>
                <w:i/>
                <w:iCs/>
              </w:rPr>
              <w:t>“</w:t>
            </w:r>
            <w:proofErr w:type="spellStart"/>
            <w:r w:rsidRPr="00D45C01">
              <w:rPr>
                <w:i/>
                <w:iCs/>
              </w:rPr>
              <w:t>Secure</w:t>
            </w:r>
            <w:proofErr w:type="spellEnd"/>
            <w:r w:rsidRPr="00D45C01">
              <w:rPr>
                <w:i/>
                <w:iCs/>
              </w:rPr>
              <w:t xml:space="preserve"> </w:t>
            </w:r>
            <w:proofErr w:type="spellStart"/>
            <w:r w:rsidRPr="00D45C01">
              <w:rPr>
                <w:i/>
                <w:iCs/>
              </w:rPr>
              <w:t>Hash</w:t>
            </w:r>
            <w:proofErr w:type="spellEnd"/>
            <w:r w:rsidRPr="00D45C01">
              <w:rPr>
                <w:i/>
                <w:iCs/>
              </w:rPr>
              <w:t xml:space="preserve"> Standard (SHS) (FIPS PUB 180-4)”</w:t>
            </w:r>
            <w:r w:rsidRPr="00D45C01">
              <w:t xml:space="preserve"> standartam;</w:t>
            </w:r>
          </w:p>
          <w:p w14:paraId="2FA6C2F7" w14:textId="77777777" w:rsidR="00D261FA" w:rsidRPr="00D45C01" w:rsidRDefault="00D261FA" w:rsidP="00D261FA">
            <w:pPr>
              <w:ind w:firstLine="720"/>
              <w:jc w:val="both"/>
            </w:pPr>
            <w:r w:rsidRPr="00D45C01">
              <w:t>21.2. visu ierakstu kontrolsummas aprēķini veido nepārtrauktu kontrolsummu (</w:t>
            </w:r>
            <w:proofErr w:type="spellStart"/>
            <w:r w:rsidRPr="00D45C01">
              <w:rPr>
                <w:i/>
                <w:iCs/>
              </w:rPr>
              <w:t>Hash</w:t>
            </w:r>
            <w:proofErr w:type="spellEnd"/>
            <w:r w:rsidRPr="00D45C01">
              <w:rPr>
                <w:i/>
                <w:iCs/>
              </w:rPr>
              <w:t>)</w:t>
            </w:r>
            <w:r w:rsidRPr="00D45C01">
              <w:t xml:space="preserve"> ķēdi.</w:t>
            </w:r>
          </w:p>
          <w:p w14:paraId="2B9254F3" w14:textId="77777777" w:rsidR="00D261FA" w:rsidRDefault="00D261FA" w:rsidP="00D261FA">
            <w:pPr>
              <w:ind w:firstLine="18"/>
              <w:jc w:val="both"/>
              <w:rPr>
                <w:sz w:val="28"/>
                <w:szCs w:val="28"/>
              </w:rPr>
            </w:pPr>
          </w:p>
          <w:p w14:paraId="27D1B23D" w14:textId="77777777" w:rsidR="00D261FA" w:rsidRPr="00D45C01" w:rsidRDefault="00D261FA" w:rsidP="00D261FA">
            <w:pPr>
              <w:ind w:firstLine="18"/>
              <w:jc w:val="both"/>
            </w:pPr>
            <w:r w:rsidRPr="00D45C01">
              <w:lastRenderedPageBreak/>
              <w:t xml:space="preserve">22. Galvenais būvdarbu veicējs katras </w:t>
            </w:r>
            <w:r w:rsidRPr="00D45C01">
              <w:rPr>
                <w:bCs/>
              </w:rPr>
              <w:t>darbadienas beigās</w:t>
            </w:r>
            <w:r w:rsidRPr="00D45C01">
              <w:t xml:space="preserve"> aprēķina elektroniskās darba laika uzskaites sistēmas auditācijas pierakstu kopas kontrolsummu un nodod to vienotajā elektroniskās darba laika uzskaites datubāzē. Pierakstu kopas kontrolsummu aprēķina no auditācijas pierakstu informācijas kopuma, izmantojot </w:t>
            </w:r>
            <w:proofErr w:type="spellStart"/>
            <w:r w:rsidRPr="00D45C01">
              <w:t>blokķēdes</w:t>
            </w:r>
            <w:proofErr w:type="spellEnd"/>
            <w:r w:rsidRPr="00D45C01">
              <w:t xml:space="preserve"> (</w:t>
            </w:r>
            <w:proofErr w:type="spellStart"/>
            <w:r w:rsidRPr="00D45C01">
              <w:rPr>
                <w:i/>
                <w:iCs/>
              </w:rPr>
              <w:t>Hash</w:t>
            </w:r>
            <w:proofErr w:type="spellEnd"/>
            <w:r w:rsidRPr="00D45C01">
              <w:rPr>
                <w:i/>
                <w:iCs/>
              </w:rPr>
              <w:t xml:space="preserve">) </w:t>
            </w:r>
            <w:r w:rsidRPr="00D45C01">
              <w:t xml:space="preserve">tehnoloģiju un iekļaujot iepriekšējās darbadienas aprēķināto </w:t>
            </w:r>
            <w:r w:rsidRPr="00D45C01">
              <w:rPr>
                <w:i/>
                <w:iCs/>
              </w:rPr>
              <w:t>SHA</w:t>
            </w:r>
            <w:r w:rsidRPr="00D45C01">
              <w:t xml:space="preserve"> kontrolsummu. Pierakstu kopas kontrolsummu aprēķina algoritms ir pārbaudāms un atkārtojams.”</w:t>
            </w:r>
          </w:p>
          <w:p w14:paraId="5D50F894" w14:textId="77777777" w:rsidR="00D261FA" w:rsidRDefault="00D261FA" w:rsidP="00D261FA">
            <w:pPr>
              <w:ind w:right="57"/>
              <w:contextualSpacing/>
              <w:jc w:val="both"/>
              <w:rPr>
                <w:bCs/>
              </w:rPr>
            </w:pPr>
          </w:p>
          <w:p w14:paraId="345D8802" w14:textId="48CC9F35" w:rsidR="00D261FA" w:rsidRPr="009E6E96" w:rsidRDefault="00D261FA" w:rsidP="00D261FA">
            <w:pPr>
              <w:ind w:right="57"/>
              <w:contextualSpacing/>
              <w:jc w:val="both"/>
              <w:rPr>
                <w:color w:val="000000" w:themeColor="text1"/>
              </w:rPr>
            </w:pPr>
            <w:r w:rsidRPr="000C21EC">
              <w:rPr>
                <w:b/>
                <w:color w:val="000000" w:themeColor="text1"/>
              </w:rPr>
              <w:t>Papildināt</w:t>
            </w:r>
            <w:r>
              <w:rPr>
                <w:b/>
                <w:color w:val="000000" w:themeColor="text1"/>
              </w:rPr>
              <w:t>a</w:t>
            </w:r>
            <w:r w:rsidRPr="000C21EC">
              <w:rPr>
                <w:b/>
                <w:color w:val="000000" w:themeColor="text1"/>
              </w:rPr>
              <w:t xml:space="preserve"> anotācij</w:t>
            </w:r>
            <w:r>
              <w:rPr>
                <w:b/>
                <w:color w:val="000000" w:themeColor="text1"/>
              </w:rPr>
              <w:t xml:space="preserve">a, </w:t>
            </w:r>
            <w:r w:rsidRPr="004242FF">
              <w:rPr>
                <w:color w:val="000000" w:themeColor="text1"/>
              </w:rPr>
              <w:t xml:space="preserve">aizstājot </w:t>
            </w:r>
            <w:r>
              <w:rPr>
                <w:color w:val="000000" w:themeColor="text1"/>
              </w:rPr>
              <w:t>1</w:t>
            </w:r>
            <w:r w:rsidR="00EC18F2">
              <w:rPr>
                <w:color w:val="000000" w:themeColor="text1"/>
              </w:rPr>
              <w:t>4</w:t>
            </w:r>
            <w:r>
              <w:rPr>
                <w:color w:val="000000" w:themeColor="text1"/>
              </w:rPr>
              <w:t>.</w:t>
            </w:r>
            <w:r w:rsidRPr="004242FF">
              <w:rPr>
                <w:color w:val="000000" w:themeColor="text1"/>
              </w:rPr>
              <w:t>lpp.</w:t>
            </w:r>
            <w:r w:rsidR="004C3885">
              <w:rPr>
                <w:color w:val="000000" w:themeColor="text1"/>
              </w:rPr>
              <w:t xml:space="preserve"> rindkopu </w:t>
            </w:r>
            <w:r w:rsidRPr="004242FF">
              <w:rPr>
                <w:color w:val="000000" w:themeColor="text1"/>
              </w:rPr>
              <w:t xml:space="preserve">“- </w:t>
            </w:r>
            <w:r w:rsidRPr="004242FF">
              <w:rPr>
                <w:bCs/>
                <w:color w:val="000000" w:themeColor="text1"/>
              </w:rPr>
              <w:t>lai nodrošinātu datu integritāti, tiks nodrošināts, ka katram jaunam ierakstam tiek aprēķināta kontrolsumma (</w:t>
            </w:r>
            <w:proofErr w:type="spellStart"/>
            <w:r w:rsidRPr="004242FF">
              <w:rPr>
                <w:bCs/>
                <w:i/>
                <w:color w:val="000000" w:themeColor="text1"/>
              </w:rPr>
              <w:t>Hash</w:t>
            </w:r>
            <w:proofErr w:type="spellEnd"/>
            <w:r w:rsidRPr="004242FF">
              <w:rPr>
                <w:bCs/>
                <w:i/>
                <w:color w:val="000000" w:themeColor="text1"/>
              </w:rPr>
              <w:t>)</w:t>
            </w:r>
            <w:r w:rsidRPr="004242FF">
              <w:rPr>
                <w:bCs/>
                <w:color w:val="000000" w:themeColor="text1"/>
              </w:rPr>
              <w:t>, izmantojot drošu datu jaukšanas algoritmu vai citu tehnisko risinājumu, kas nodrošina līdzvērtīgu drošības līmeni</w:t>
            </w:r>
            <w:r>
              <w:rPr>
                <w:bCs/>
                <w:color w:val="000000" w:themeColor="text1"/>
              </w:rPr>
              <w:t>;</w:t>
            </w:r>
            <w:r w:rsidRPr="004242FF">
              <w:rPr>
                <w:bCs/>
                <w:color w:val="000000" w:themeColor="text1"/>
              </w:rPr>
              <w:t>” ar</w:t>
            </w:r>
            <w:r w:rsidRPr="004242FF">
              <w:rPr>
                <w:color w:val="000000" w:themeColor="text1"/>
              </w:rPr>
              <w:t xml:space="preserve"> </w:t>
            </w:r>
            <w:r>
              <w:rPr>
                <w:color w:val="000000" w:themeColor="text1"/>
              </w:rPr>
              <w:t>“</w:t>
            </w:r>
            <w:r w:rsidRPr="004242FF">
              <w:rPr>
                <w:color w:val="000000" w:themeColor="text1"/>
              </w:rPr>
              <w:t>-</w:t>
            </w:r>
            <w:r>
              <w:rPr>
                <w:color w:val="000000" w:themeColor="text1"/>
              </w:rPr>
              <w:t xml:space="preserve"> k</w:t>
            </w:r>
            <w:r w:rsidRPr="000C21EC">
              <w:rPr>
                <w:color w:val="000000" w:themeColor="text1"/>
              </w:rPr>
              <w:t xml:space="preserve">atram jaunam EDLUS veiktās darbības ierakstam, kurš tiek saglabāts auditācijas datos jānodrošina aizsardzības risinājums pret neatļautu tīšu vai netīšu datu maiņu, grozīšanu, bojāšanu, </w:t>
            </w:r>
            <w:r w:rsidRPr="000C21EC">
              <w:rPr>
                <w:color w:val="000000" w:themeColor="text1"/>
              </w:rPr>
              <w:lastRenderedPageBreak/>
              <w:t xml:space="preserve">iznīcināšanu, pasliktināšanu, aizklāšanu vai nepatiesa informācijas ievadīšanu. Viens no iespējamiem risinājumiem, lai nodrošinātu aizsardzības risinājumu auditācijas pierakstu datu integritātei - katram ierakstam aprēķināt </w:t>
            </w:r>
            <w:proofErr w:type="spellStart"/>
            <w:r w:rsidRPr="000C21EC">
              <w:rPr>
                <w:color w:val="000000" w:themeColor="text1"/>
              </w:rPr>
              <w:t>kontrollsummu</w:t>
            </w:r>
            <w:proofErr w:type="spellEnd"/>
            <w:r w:rsidRPr="000C21EC">
              <w:rPr>
                <w:color w:val="000000" w:themeColor="text1"/>
              </w:rPr>
              <w:t xml:space="preserve"> </w:t>
            </w:r>
            <w:r w:rsidRPr="000C21EC">
              <w:rPr>
                <w:i/>
                <w:color w:val="000000" w:themeColor="text1"/>
              </w:rPr>
              <w:t>(</w:t>
            </w:r>
            <w:proofErr w:type="spellStart"/>
            <w:r w:rsidRPr="000C21EC">
              <w:rPr>
                <w:i/>
                <w:color w:val="000000" w:themeColor="text1"/>
              </w:rPr>
              <w:t>Hash</w:t>
            </w:r>
            <w:proofErr w:type="spellEnd"/>
            <w:r w:rsidRPr="000C21EC">
              <w:rPr>
                <w:color w:val="000000" w:themeColor="text1"/>
              </w:rPr>
              <w:t>). EDLUS lietotājs var izvēlēties arī citu tehnisko risinājumu EDLUS veikto darbību ierakstu aizsardzības nodrošināšan</w:t>
            </w:r>
            <w:r>
              <w:rPr>
                <w:color w:val="000000" w:themeColor="text1"/>
              </w:rPr>
              <w:t>ai;</w:t>
            </w:r>
            <w:r w:rsidRPr="000C21EC">
              <w:rPr>
                <w:color w:val="000000" w:themeColor="text1"/>
              </w:rPr>
              <w:t>”</w:t>
            </w:r>
          </w:p>
        </w:tc>
      </w:tr>
      <w:tr w:rsidR="00D261FA" w14:paraId="3FD20437" w14:textId="77777777" w:rsidTr="00AE1D83">
        <w:tc>
          <w:tcPr>
            <w:tcW w:w="604" w:type="dxa"/>
          </w:tcPr>
          <w:p w14:paraId="5F14DF06" w14:textId="7191032E" w:rsidR="00D261FA" w:rsidRDefault="00825895" w:rsidP="00D261FA">
            <w:pPr>
              <w:ind w:right="57"/>
              <w:contextualSpacing/>
              <w:jc w:val="center"/>
            </w:pPr>
            <w:r>
              <w:lastRenderedPageBreak/>
              <w:t>11.</w:t>
            </w:r>
          </w:p>
        </w:tc>
        <w:tc>
          <w:tcPr>
            <w:tcW w:w="3112" w:type="dxa"/>
            <w:tcBorders>
              <w:top w:val="single" w:sz="4" w:space="0" w:color="auto"/>
              <w:left w:val="single" w:sz="4" w:space="0" w:color="auto"/>
              <w:bottom w:val="single" w:sz="4" w:space="0" w:color="auto"/>
              <w:right w:val="single" w:sz="4" w:space="0" w:color="auto"/>
            </w:tcBorders>
          </w:tcPr>
          <w:p w14:paraId="3EBCD1C8" w14:textId="77777777" w:rsidR="00D261FA" w:rsidRDefault="00D261FA" w:rsidP="00D261FA">
            <w:pPr>
              <w:shd w:val="clear" w:color="auto" w:fill="FFFFFF"/>
              <w:contextualSpacing/>
              <w:jc w:val="both"/>
            </w:pPr>
          </w:p>
        </w:tc>
        <w:tc>
          <w:tcPr>
            <w:tcW w:w="4241" w:type="dxa"/>
          </w:tcPr>
          <w:p w14:paraId="174961A7" w14:textId="77777777" w:rsidR="00D261FA" w:rsidRPr="0099714B" w:rsidRDefault="00D261FA" w:rsidP="00D261FA">
            <w:pPr>
              <w:ind w:right="57"/>
              <w:contextualSpacing/>
              <w:jc w:val="both"/>
              <w:rPr>
                <w:b/>
                <w:u w:val="single"/>
              </w:rPr>
            </w:pPr>
            <w:r w:rsidRPr="0099714B">
              <w:rPr>
                <w:b/>
                <w:u w:val="single"/>
              </w:rPr>
              <w:t>Latvijas Informācijas un komunikācijas tehnoloģijas asociācija</w:t>
            </w:r>
          </w:p>
          <w:p w14:paraId="57837995" w14:textId="77777777" w:rsidR="00D261FA" w:rsidRDefault="00D261FA" w:rsidP="00D261FA">
            <w:pPr>
              <w:ind w:right="57"/>
              <w:contextualSpacing/>
              <w:jc w:val="both"/>
              <w:rPr>
                <w:b/>
                <w:u w:val="single"/>
              </w:rPr>
            </w:pPr>
          </w:p>
          <w:p w14:paraId="75340740" w14:textId="40CEC5B5" w:rsidR="00D261FA" w:rsidRPr="0099714B" w:rsidRDefault="00D261FA" w:rsidP="00D261FA">
            <w:pPr>
              <w:ind w:right="57"/>
              <w:contextualSpacing/>
              <w:jc w:val="both"/>
              <w:rPr>
                <w:bCs/>
              </w:rPr>
            </w:pPr>
            <w:r w:rsidRPr="0099714B">
              <w:rPr>
                <w:bCs/>
              </w:rPr>
              <w:t xml:space="preserve">Iebilstam pret Noteikumu projekta 20. punktu esošajā redakcijā. </w:t>
            </w:r>
          </w:p>
          <w:p w14:paraId="68071C4E" w14:textId="77777777" w:rsidR="00D261FA" w:rsidRPr="0099714B" w:rsidRDefault="00D261FA" w:rsidP="00D261FA">
            <w:pPr>
              <w:ind w:right="57"/>
              <w:contextualSpacing/>
              <w:jc w:val="both"/>
              <w:rPr>
                <w:bCs/>
              </w:rPr>
            </w:pPr>
            <w:r w:rsidRPr="0099714B">
              <w:rPr>
                <w:bCs/>
              </w:rPr>
              <w:t xml:space="preserve">Pamatojums: </w:t>
            </w:r>
          </w:p>
          <w:p w14:paraId="73D5D87D" w14:textId="77777777" w:rsidR="00D261FA" w:rsidRPr="0099714B" w:rsidRDefault="00D261FA" w:rsidP="00D261FA">
            <w:pPr>
              <w:ind w:right="57"/>
              <w:contextualSpacing/>
              <w:jc w:val="both"/>
              <w:rPr>
                <w:bCs/>
              </w:rPr>
            </w:pPr>
            <w:r w:rsidRPr="0099714B">
              <w:rPr>
                <w:bCs/>
              </w:rPr>
              <w:lastRenderedPageBreak/>
              <w:t xml:space="preserve">2.1.        Noteikumu projektā lietots termins “saimnieciskā diena”. Termina skaidrojums Noteikuma projekta ietvaros, kā piemēram likumdevējs to ir darījis likumā “Par grāmatvedību”, nav sniegts. </w:t>
            </w:r>
          </w:p>
          <w:p w14:paraId="6CC8AF02" w14:textId="6DDF32C9" w:rsidR="00D261FA" w:rsidRPr="00E35872" w:rsidRDefault="00D261FA" w:rsidP="00D261FA">
            <w:pPr>
              <w:ind w:right="57"/>
              <w:contextualSpacing/>
              <w:jc w:val="both"/>
              <w:rPr>
                <w:b/>
                <w:u w:val="single"/>
              </w:rPr>
            </w:pPr>
            <w:r w:rsidRPr="0099714B">
              <w:rPr>
                <w:bCs/>
              </w:rPr>
              <w:t xml:space="preserve">2.2.         Noteikumu projekta 20. punkta pašreizējā redakcijā nav saprotams, vai aprēķinātā </w:t>
            </w:r>
            <w:proofErr w:type="spellStart"/>
            <w:r w:rsidRPr="0099714B">
              <w:rPr>
                <w:bCs/>
              </w:rPr>
              <w:t>Hash</w:t>
            </w:r>
            <w:proofErr w:type="spellEnd"/>
            <w:r w:rsidRPr="0099714B">
              <w:rPr>
                <w:bCs/>
              </w:rPr>
              <w:t xml:space="preserve"> kontrolsumma ir jānodod reizi dienā vai vienu reizi mēnesī, ievērojot likuma ”Par nodokļiem un nodevām” 114. panta trešajā daļā noteikto. Tas rada iespēju, atsaucoties uz šo Noteikumu projekta punktu, negodprātīgiem uzņēmējiem manipulēt ar vienotajā elektroniskajā darba laika uzskaites datu bāzē nododamajiem datiem.</w:t>
            </w:r>
            <w:r w:rsidRPr="0099714B">
              <w:rPr>
                <w:b/>
                <w:u w:val="single"/>
              </w:rPr>
              <w:t xml:space="preserve">   </w:t>
            </w:r>
          </w:p>
        </w:tc>
        <w:tc>
          <w:tcPr>
            <w:tcW w:w="3394" w:type="dxa"/>
          </w:tcPr>
          <w:p w14:paraId="69EED942" w14:textId="547E5627" w:rsidR="00D261FA" w:rsidRDefault="00D261FA" w:rsidP="00D261FA">
            <w:pPr>
              <w:ind w:right="57"/>
              <w:contextualSpacing/>
              <w:jc w:val="center"/>
              <w:rPr>
                <w:b/>
              </w:rPr>
            </w:pPr>
            <w:r>
              <w:rPr>
                <w:b/>
              </w:rPr>
              <w:lastRenderedPageBreak/>
              <w:t>Ņemts vērā</w:t>
            </w:r>
          </w:p>
        </w:tc>
        <w:tc>
          <w:tcPr>
            <w:tcW w:w="3676" w:type="dxa"/>
          </w:tcPr>
          <w:p w14:paraId="5ED02EB8" w14:textId="67830761" w:rsidR="00D261FA" w:rsidRDefault="00D261FA" w:rsidP="00D261FA">
            <w:pPr>
              <w:ind w:right="57"/>
              <w:contextualSpacing/>
              <w:jc w:val="both"/>
              <w:rPr>
                <w:bCs/>
              </w:rPr>
            </w:pPr>
            <w:r w:rsidRPr="0099714B">
              <w:rPr>
                <w:bCs/>
              </w:rPr>
              <w:t xml:space="preserve">22. Galvenais būvdarbu veicējs katras darbadienas beigās aprēķina elektroniskās darba laika uzskaites sistēmas auditācijas pierakstu kopas kontrolsummu un nodod to vienotajā elektroniskās darba laika </w:t>
            </w:r>
            <w:r w:rsidRPr="0099714B">
              <w:rPr>
                <w:bCs/>
              </w:rPr>
              <w:lastRenderedPageBreak/>
              <w:t xml:space="preserve">uzskaites datubāzē. Pierakstu kopas kontrolsummu aprēķina no auditācijas pierakstu informācijas kopuma, izmantojot </w:t>
            </w:r>
            <w:proofErr w:type="spellStart"/>
            <w:r w:rsidRPr="0099714B">
              <w:rPr>
                <w:bCs/>
              </w:rPr>
              <w:t>blokķēdes</w:t>
            </w:r>
            <w:proofErr w:type="spellEnd"/>
            <w:r w:rsidRPr="0099714B">
              <w:rPr>
                <w:bCs/>
              </w:rPr>
              <w:t xml:space="preserve"> </w:t>
            </w:r>
            <w:r w:rsidRPr="00A940D2">
              <w:rPr>
                <w:bCs/>
                <w:i/>
                <w:iCs/>
              </w:rPr>
              <w:t>(</w:t>
            </w:r>
            <w:proofErr w:type="spellStart"/>
            <w:r w:rsidRPr="00A940D2">
              <w:rPr>
                <w:bCs/>
                <w:i/>
                <w:iCs/>
              </w:rPr>
              <w:t>Hash</w:t>
            </w:r>
            <w:proofErr w:type="spellEnd"/>
            <w:r w:rsidRPr="00A940D2">
              <w:rPr>
                <w:bCs/>
                <w:i/>
                <w:iCs/>
              </w:rPr>
              <w:t>)</w:t>
            </w:r>
            <w:r w:rsidR="00A940D2">
              <w:rPr>
                <w:bCs/>
              </w:rPr>
              <w:t xml:space="preserve"> </w:t>
            </w:r>
            <w:r w:rsidRPr="0099714B">
              <w:rPr>
                <w:bCs/>
              </w:rPr>
              <w:t xml:space="preserve">tehnoloģiju un iekļaujot iepriekšējās darbdienas aprēķināto </w:t>
            </w:r>
            <w:r w:rsidRPr="00A940D2">
              <w:rPr>
                <w:bCs/>
                <w:i/>
                <w:iCs/>
              </w:rPr>
              <w:t>SHA</w:t>
            </w:r>
            <w:r w:rsidRPr="0099714B">
              <w:rPr>
                <w:bCs/>
              </w:rPr>
              <w:t xml:space="preserve"> kontrolsummu. Pierakstu kopas kontrolsummu aprēķina algoritms ir pārbaudāms un atkārtojams.</w:t>
            </w:r>
          </w:p>
          <w:p w14:paraId="71871FDE" w14:textId="77777777" w:rsidR="00D261FA" w:rsidRDefault="00D261FA" w:rsidP="00D261FA">
            <w:pPr>
              <w:ind w:right="57"/>
              <w:contextualSpacing/>
              <w:jc w:val="both"/>
              <w:rPr>
                <w:bCs/>
              </w:rPr>
            </w:pPr>
          </w:p>
          <w:p w14:paraId="0B11AACC" w14:textId="67B22AB6" w:rsidR="00D261FA" w:rsidRPr="0099714B" w:rsidRDefault="00D261FA" w:rsidP="00D261FA">
            <w:pPr>
              <w:ind w:right="57"/>
              <w:contextualSpacing/>
              <w:jc w:val="both"/>
              <w:rPr>
                <w:bCs/>
              </w:rPr>
            </w:pPr>
            <w:r w:rsidRPr="00A940D2">
              <w:rPr>
                <w:b/>
              </w:rPr>
              <w:t>Noteikumu projektu sākotnējās ietekmes novērtējuma apvienotajā ziņojumā (anotācijas)</w:t>
            </w:r>
            <w:r w:rsidRPr="008B5B2B">
              <w:rPr>
                <w:bCs/>
              </w:rPr>
              <w:t xml:space="preserve"> 1</w:t>
            </w:r>
            <w:r w:rsidR="00214F57">
              <w:rPr>
                <w:bCs/>
              </w:rPr>
              <w:t>4</w:t>
            </w:r>
            <w:r w:rsidRPr="008B5B2B">
              <w:rPr>
                <w:bCs/>
              </w:rPr>
              <w:t>.lpp.</w:t>
            </w:r>
            <w:r w:rsidR="00214F57">
              <w:rPr>
                <w:bCs/>
              </w:rPr>
              <w:t xml:space="preserve"> </w:t>
            </w:r>
            <w:r w:rsidRPr="008B5B2B">
              <w:rPr>
                <w:bCs/>
              </w:rPr>
              <w:t xml:space="preserve">izveidot jaunu rindkopu ar vārdiem “- EDLUS, informāciju par veiktajām darbībām EDLUS, glabā datnēs, katram pārskata periodam (darbadienai) veidojot savu datni, kuru slēdz ne vēlāk kā konkrētās dienas pulksten 00:00. Darbadienas beigās šai datnei gan aprēķina </w:t>
            </w:r>
            <w:proofErr w:type="spellStart"/>
            <w:r w:rsidRPr="008B5B2B">
              <w:rPr>
                <w:bCs/>
              </w:rPr>
              <w:t>Hash</w:t>
            </w:r>
            <w:proofErr w:type="spellEnd"/>
            <w:r w:rsidRPr="008B5B2B">
              <w:rPr>
                <w:bCs/>
              </w:rPr>
              <w:t xml:space="preserve"> kontrolsummu, gan to nodod VEDLUDB;”</w:t>
            </w:r>
          </w:p>
        </w:tc>
      </w:tr>
      <w:tr w:rsidR="00345320" w14:paraId="4F8B5CBC" w14:textId="77777777" w:rsidTr="00612997">
        <w:tc>
          <w:tcPr>
            <w:tcW w:w="604" w:type="dxa"/>
          </w:tcPr>
          <w:p w14:paraId="0FDB9DC6" w14:textId="7C0EABE8" w:rsidR="00345320" w:rsidRDefault="00825895" w:rsidP="00612997">
            <w:pPr>
              <w:ind w:right="57"/>
              <w:contextualSpacing/>
              <w:jc w:val="center"/>
            </w:pPr>
            <w:r>
              <w:lastRenderedPageBreak/>
              <w:t xml:space="preserve">12. </w:t>
            </w:r>
          </w:p>
        </w:tc>
        <w:tc>
          <w:tcPr>
            <w:tcW w:w="3112" w:type="dxa"/>
          </w:tcPr>
          <w:p w14:paraId="77406A93" w14:textId="77777777" w:rsidR="00345320" w:rsidRPr="00531C05" w:rsidRDefault="00345320" w:rsidP="00612997">
            <w:pPr>
              <w:ind w:firstLine="279"/>
              <w:jc w:val="both"/>
              <w:rPr>
                <w:sz w:val="22"/>
                <w:szCs w:val="22"/>
              </w:rPr>
            </w:pPr>
            <w:r w:rsidRPr="00531C05">
              <w:rPr>
                <w:sz w:val="22"/>
                <w:szCs w:val="22"/>
              </w:rPr>
              <w:t>Papildināt noteikumus ar 22.</w:t>
            </w:r>
            <w:r w:rsidRPr="00531C05">
              <w:rPr>
                <w:sz w:val="22"/>
                <w:szCs w:val="22"/>
                <w:vertAlign w:val="superscript"/>
              </w:rPr>
              <w:t xml:space="preserve">1 </w:t>
            </w:r>
            <w:r w:rsidRPr="00531C05">
              <w:rPr>
                <w:sz w:val="22"/>
                <w:szCs w:val="22"/>
              </w:rPr>
              <w:t>punktu šādā redakcijā:</w:t>
            </w:r>
          </w:p>
          <w:p w14:paraId="7D458BB3" w14:textId="77777777" w:rsidR="00345320" w:rsidRPr="00531C05" w:rsidRDefault="00345320" w:rsidP="00612997">
            <w:pPr>
              <w:ind w:firstLine="279"/>
              <w:jc w:val="both"/>
              <w:rPr>
                <w:sz w:val="22"/>
                <w:szCs w:val="22"/>
              </w:rPr>
            </w:pPr>
          </w:p>
          <w:p w14:paraId="700D4D6E"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w:t>
            </w:r>
            <w:r w:rsidRPr="00531C05">
              <w:rPr>
                <w:sz w:val="22"/>
                <w:szCs w:val="22"/>
              </w:rPr>
              <w:t xml:space="preserve"> Vienotajā elektroniskās darba laika uzskaites datubāzē atbilstoši likumam “Par nodokļiem un nodevām” tiek uzkrāti šādi dati:</w:t>
            </w:r>
          </w:p>
          <w:p w14:paraId="49607B75" w14:textId="77777777" w:rsidR="00345320" w:rsidRPr="00531C05" w:rsidRDefault="00345320" w:rsidP="00612997">
            <w:pPr>
              <w:ind w:firstLine="279"/>
              <w:jc w:val="both"/>
              <w:rPr>
                <w:sz w:val="22"/>
                <w:szCs w:val="22"/>
              </w:rPr>
            </w:pPr>
            <w:r w:rsidRPr="00531C05">
              <w:rPr>
                <w:sz w:val="22"/>
                <w:szCs w:val="22"/>
              </w:rPr>
              <w:lastRenderedPageBreak/>
              <w:t>22.</w:t>
            </w:r>
            <w:r w:rsidRPr="00531C05">
              <w:rPr>
                <w:sz w:val="22"/>
                <w:szCs w:val="22"/>
                <w:vertAlign w:val="superscript"/>
              </w:rPr>
              <w:t>1 </w:t>
            </w:r>
            <w:r w:rsidRPr="00531C05">
              <w:rPr>
                <w:sz w:val="22"/>
                <w:szCs w:val="22"/>
              </w:rPr>
              <w:t>1. par būvlaukumā nodarbinātu personu:</w:t>
            </w:r>
          </w:p>
          <w:p w14:paraId="156D1325"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 vārds;</w:t>
            </w:r>
          </w:p>
          <w:p w14:paraId="14842B8A"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 uzvārds;</w:t>
            </w:r>
          </w:p>
          <w:p w14:paraId="2D871058"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1.3. personas kods;</w:t>
            </w:r>
          </w:p>
          <w:p w14:paraId="318AD730"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1.4. dzimšanas datums, mēnesis un gads (ja personai nav personas koda);</w:t>
            </w:r>
          </w:p>
          <w:p w14:paraId="366E1066"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1.5. vīzas numurs (ja būvlaukumā nodarbinātā persona ir ārvalstnieks);</w:t>
            </w:r>
          </w:p>
          <w:p w14:paraId="3777E93B"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1.6. uzturēšanās atļaujas numurs (ja būvlaukumā nodarbinātā persona ir ārvalstnieks);</w:t>
            </w:r>
          </w:p>
          <w:p w14:paraId="0E3B3D8D"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1.7. amats;</w:t>
            </w:r>
          </w:p>
          <w:p w14:paraId="11B4F7C8"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1.8. darba devēja nosaukums;</w:t>
            </w:r>
          </w:p>
          <w:p w14:paraId="669277EA"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1.9. darba devēja vienotais reģistrācijas numurs;</w:t>
            </w:r>
          </w:p>
          <w:p w14:paraId="1C0F380F"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1.10. darba devēja vārds (ja darba devējs ir fiziskā persona);</w:t>
            </w:r>
          </w:p>
          <w:p w14:paraId="0EE64815"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1.11. darba devēja uzvārds (ja darba devējs ir fiziskā persona);</w:t>
            </w:r>
          </w:p>
          <w:p w14:paraId="3367FCAF"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1.12. darba devēja personas kods (ja darba devējs ir fiziskā persona);</w:t>
            </w:r>
          </w:p>
          <w:p w14:paraId="3755A21D"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1.13. darba devēja identifikācijas numurs (ja darba devējs ir ārvalstī reģistrēta juridiskā persona);</w:t>
            </w:r>
          </w:p>
          <w:p w14:paraId="6B38F286"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1.14. būvatļaujas numurs;</w:t>
            </w:r>
          </w:p>
          <w:p w14:paraId="02BCDD2B" w14:textId="77777777" w:rsidR="00345320" w:rsidRPr="00531C05" w:rsidRDefault="00345320" w:rsidP="00612997">
            <w:pPr>
              <w:ind w:firstLine="279"/>
              <w:jc w:val="both"/>
              <w:rPr>
                <w:sz w:val="22"/>
                <w:szCs w:val="22"/>
              </w:rPr>
            </w:pPr>
            <w:r w:rsidRPr="00531C05">
              <w:rPr>
                <w:sz w:val="22"/>
                <w:szCs w:val="22"/>
              </w:rPr>
              <w:lastRenderedPageBreak/>
              <w:t>22.</w:t>
            </w:r>
            <w:r w:rsidRPr="00531C05">
              <w:rPr>
                <w:sz w:val="22"/>
                <w:szCs w:val="22"/>
                <w:vertAlign w:val="superscript"/>
              </w:rPr>
              <w:t>1 </w:t>
            </w:r>
            <w:r w:rsidRPr="00531C05">
              <w:rPr>
                <w:sz w:val="22"/>
                <w:szCs w:val="22"/>
              </w:rPr>
              <w:t>1.15. apliecinājuma kartes numurs;</w:t>
            </w:r>
          </w:p>
          <w:p w14:paraId="227D700C"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1.16. paskaidrojuma raksta numurs;</w:t>
            </w:r>
          </w:p>
          <w:p w14:paraId="41404365"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1.17. nekustamā īpašuma objekta kadastra apzīmējums (ja būvatļauja, apliecinājuma karte vai paskaidrojuma raksts nav izsniegts);</w:t>
            </w:r>
          </w:p>
          <w:p w14:paraId="59664BA9"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1.18. laiks, kad persona ieradusies būvlaukumā;</w:t>
            </w:r>
          </w:p>
          <w:p w14:paraId="447187A8"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1.19. laiks, kad persona atstājusi būvlaukumu;</w:t>
            </w:r>
          </w:p>
          <w:p w14:paraId="526E1C22"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1.20. summārais laiks;</w:t>
            </w:r>
          </w:p>
          <w:p w14:paraId="653A37F7"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1.21. laiks, kad persona ieradusies būvlaukumā (pēc papildus sniegtās informācijas);</w:t>
            </w:r>
          </w:p>
          <w:p w14:paraId="0581E2FD"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1.22. laiks, kad persona atstājusi būvlaukumu (pēc papildus sniegtās informācijas);</w:t>
            </w:r>
          </w:p>
          <w:p w14:paraId="62EDB8BC" w14:textId="77777777" w:rsidR="00345320" w:rsidRPr="00531C05"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1.23. summārais laiks (pēc papildus sniegtās informācijas);</w:t>
            </w:r>
          </w:p>
          <w:p w14:paraId="54D4E04F" w14:textId="77777777" w:rsidR="00345320" w:rsidRDefault="00345320" w:rsidP="00612997">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1.24. pazīme par datu manuālu ierakstu;</w:t>
            </w:r>
          </w:p>
          <w:p w14:paraId="05AE12A4" w14:textId="77777777" w:rsidR="00345320" w:rsidRPr="00531C05" w:rsidRDefault="00345320" w:rsidP="00612997">
            <w:pPr>
              <w:ind w:firstLine="279"/>
              <w:jc w:val="both"/>
              <w:rPr>
                <w:sz w:val="22"/>
                <w:szCs w:val="22"/>
              </w:rPr>
            </w:pPr>
          </w:p>
          <w:p w14:paraId="020DCC30"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 par galvenā būvdarbu veicēja noslēgto būvdarbu līgumu ar būvniecības ierosinātāju:</w:t>
            </w:r>
          </w:p>
          <w:p w14:paraId="665F0029"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 būvatļaujas numurs;</w:t>
            </w:r>
          </w:p>
          <w:p w14:paraId="659623F9"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2.2. apliecinājuma kartes numurs;</w:t>
            </w:r>
          </w:p>
          <w:p w14:paraId="4BEEFAB2"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2.3. paskaidrojuma raksta numurs;</w:t>
            </w:r>
          </w:p>
          <w:p w14:paraId="2A146671" w14:textId="77777777" w:rsidR="00345320" w:rsidRPr="006D459D" w:rsidRDefault="00345320" w:rsidP="00612997">
            <w:pPr>
              <w:ind w:firstLine="279"/>
              <w:jc w:val="both"/>
              <w:rPr>
                <w:sz w:val="22"/>
                <w:szCs w:val="22"/>
              </w:rPr>
            </w:pPr>
            <w:r w:rsidRPr="006D459D">
              <w:rPr>
                <w:sz w:val="22"/>
                <w:szCs w:val="22"/>
              </w:rPr>
              <w:lastRenderedPageBreak/>
              <w:t>22.</w:t>
            </w:r>
            <w:r w:rsidRPr="006D459D">
              <w:rPr>
                <w:sz w:val="22"/>
                <w:szCs w:val="22"/>
                <w:vertAlign w:val="superscript"/>
              </w:rPr>
              <w:t>1 </w:t>
            </w:r>
            <w:r w:rsidRPr="006D459D">
              <w:rPr>
                <w:sz w:val="22"/>
                <w:szCs w:val="22"/>
              </w:rPr>
              <w:t>2.4. nekustamā īpašuma objekta kadastra apzīmējums (ja būvatļauja, apliecinājuma karte vai paskaidrojuma raksts nav izsniegts);</w:t>
            </w:r>
          </w:p>
          <w:p w14:paraId="6BAAC67A"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2.5. būvniecības ierosinātāja nosaukums;</w:t>
            </w:r>
          </w:p>
          <w:p w14:paraId="118D36D3"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 xml:space="preserve">2.6. </w:t>
            </w:r>
            <w:bookmarkStart w:id="3" w:name="_Hlk16160502"/>
            <w:r w:rsidRPr="006D459D">
              <w:rPr>
                <w:sz w:val="22"/>
                <w:szCs w:val="22"/>
              </w:rPr>
              <w:t>būvniecības ierosinātāja</w:t>
            </w:r>
            <w:bookmarkEnd w:id="3"/>
            <w:r w:rsidRPr="006D459D">
              <w:rPr>
                <w:sz w:val="22"/>
                <w:szCs w:val="22"/>
              </w:rPr>
              <w:t xml:space="preserve"> vienotais reģistrācijas numurs;</w:t>
            </w:r>
          </w:p>
          <w:p w14:paraId="717D03E8"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2.7. būvniecības ierosinātāja vārds (ja būvniecības ierosinātājs ir fiziskā persona);</w:t>
            </w:r>
          </w:p>
          <w:p w14:paraId="640BD184"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2.8. būvniecības ierosinātāja uzvārds (ja būvniecības ierosinātājs ir fiziskā persona);</w:t>
            </w:r>
          </w:p>
          <w:p w14:paraId="3471A712"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2.9. būvniecības ierosinātāja personas kods (ja būvniecības ierosinātājs ir fiziskā persona);</w:t>
            </w:r>
          </w:p>
          <w:p w14:paraId="07232985"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2.10. būvniecības ierosinātāja identifikācijas numurs (ja būvniecības ierosinātājs ir ārvalstī reģistrēta juridiskā persona);</w:t>
            </w:r>
          </w:p>
          <w:p w14:paraId="6AFC8DD5"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2.11. līguma datums;</w:t>
            </w:r>
          </w:p>
          <w:p w14:paraId="75DA1F42"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2.12. līguma summa;</w:t>
            </w:r>
          </w:p>
          <w:p w14:paraId="4BEE22FC"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2.13. jaunā līguma summa (ja ar grozījumiem tiek mainīta līguma summa);</w:t>
            </w:r>
          </w:p>
          <w:p w14:paraId="09C0E8B4" w14:textId="77777777" w:rsidR="00345320" w:rsidRPr="006D459D" w:rsidRDefault="00345320" w:rsidP="00612997">
            <w:pPr>
              <w:ind w:firstLine="279"/>
              <w:jc w:val="both"/>
              <w:rPr>
                <w:sz w:val="22"/>
                <w:szCs w:val="22"/>
              </w:rPr>
            </w:pPr>
          </w:p>
          <w:p w14:paraId="48ABFBFC"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 xml:space="preserve">3. par galvenā būvdarbu veicēja ar apakšuzņēmējiem </w:t>
            </w:r>
            <w:r w:rsidRPr="006D459D">
              <w:rPr>
                <w:sz w:val="22"/>
                <w:szCs w:val="22"/>
              </w:rPr>
              <w:lastRenderedPageBreak/>
              <w:t>noslēgtajiem būvdarbu līgumiem:</w:t>
            </w:r>
          </w:p>
          <w:p w14:paraId="08EECE0A"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 būvatļaujas numurs;</w:t>
            </w:r>
          </w:p>
          <w:p w14:paraId="4C6300CB"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3.2. apliecinājuma kartes numurs;</w:t>
            </w:r>
          </w:p>
          <w:p w14:paraId="0D223734"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3.3. paskaidrojuma raksta numurs;</w:t>
            </w:r>
          </w:p>
          <w:p w14:paraId="74AC75FE"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3.4. nekustamā īpašuma objekta kadastra apzīmējums (ja būvatļauja, apliecinājuma karte vai paskaidrojuma raksts nav izsniegts);</w:t>
            </w:r>
          </w:p>
          <w:p w14:paraId="173782A5"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3.5. apakšuzņēmēja nosaukums;</w:t>
            </w:r>
          </w:p>
          <w:p w14:paraId="479BA0AC"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3.6. apakšuzņēmēja vienotais reģistrācijas numurs;</w:t>
            </w:r>
          </w:p>
          <w:p w14:paraId="386FD12F"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3.7. apakšuzņēmēja vārds (ja apakšuzņēmējs ir fiziskā persona);</w:t>
            </w:r>
          </w:p>
          <w:p w14:paraId="34B8C4BA"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3.8. apakšuzņēmēja uzvārds (ja apakšuzņēmējs ir fiziskā persona);</w:t>
            </w:r>
          </w:p>
          <w:p w14:paraId="2F5FE671"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3.9. apakšuzņēmēja personas kods (ja apakšuzņēmējs ir fiziskā persona);</w:t>
            </w:r>
          </w:p>
          <w:p w14:paraId="0D1852D9"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3.10. apakšuzņēmēja identifikācijas numurs (ja apakšuzņēmējs ir ārvalstī reģistrēta juridiskā persona);</w:t>
            </w:r>
          </w:p>
          <w:p w14:paraId="792F017B"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3.11. līguma datums;</w:t>
            </w:r>
          </w:p>
          <w:p w14:paraId="1B58C3CC"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3.12. līguma summa;</w:t>
            </w:r>
          </w:p>
          <w:p w14:paraId="375C232E"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3.13. jaunā līguma summa (ja ar grozījumiem tiek mainīta līguma summa);</w:t>
            </w:r>
          </w:p>
          <w:p w14:paraId="64BE6CC8" w14:textId="77777777" w:rsidR="00345320" w:rsidRPr="006D459D" w:rsidRDefault="00345320" w:rsidP="00612997">
            <w:pPr>
              <w:ind w:firstLine="279"/>
              <w:jc w:val="both"/>
              <w:rPr>
                <w:sz w:val="22"/>
                <w:szCs w:val="22"/>
              </w:rPr>
            </w:pPr>
          </w:p>
          <w:p w14:paraId="78602306" w14:textId="77777777" w:rsidR="00345320" w:rsidRPr="006D459D" w:rsidRDefault="00345320" w:rsidP="00612997">
            <w:pPr>
              <w:ind w:firstLine="279"/>
              <w:jc w:val="both"/>
              <w:rPr>
                <w:sz w:val="22"/>
                <w:szCs w:val="22"/>
              </w:rPr>
            </w:pPr>
            <w:r w:rsidRPr="006D459D">
              <w:rPr>
                <w:sz w:val="22"/>
                <w:szCs w:val="22"/>
              </w:rPr>
              <w:lastRenderedPageBreak/>
              <w:t>22.</w:t>
            </w:r>
            <w:r w:rsidRPr="006D459D">
              <w:rPr>
                <w:sz w:val="22"/>
                <w:szCs w:val="22"/>
                <w:vertAlign w:val="superscript"/>
              </w:rPr>
              <w:t>1 </w:t>
            </w:r>
            <w:r w:rsidRPr="006D459D">
              <w:rPr>
                <w:sz w:val="22"/>
                <w:szCs w:val="22"/>
              </w:rPr>
              <w:t>4. par apakšuzņēmēja ar saviem apakšuzņēmējiem noslēgtajiem būvdarbu līgumiem:</w:t>
            </w:r>
          </w:p>
          <w:p w14:paraId="1B2C8C60"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4.1. būvatļaujas numurs;</w:t>
            </w:r>
          </w:p>
          <w:p w14:paraId="171207A2"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4.2. apliecinājuma kartes numurs;</w:t>
            </w:r>
          </w:p>
          <w:p w14:paraId="29BB93A4"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4.3. paskaidrojuma raksta numurs;</w:t>
            </w:r>
          </w:p>
          <w:p w14:paraId="1C1BC07D"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4.4. nekustamā īpašuma objekta kadastra apzīmējums (ja būvatļauja, apliecinājuma karte vai paskaidrojuma raksts nav izsniegts);</w:t>
            </w:r>
          </w:p>
          <w:p w14:paraId="6FB440F1"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4.5. apakšuzņēmēja nosaukums;</w:t>
            </w:r>
          </w:p>
          <w:p w14:paraId="712C4CF7"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4.6. apakšuzņēmēja Uzņēmuma reģistra vienotais reģistrācijas numurs;</w:t>
            </w:r>
          </w:p>
          <w:p w14:paraId="4B91A3D4"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4.7. apakšuzņēmēja vārds (ja apakšuzņēmējs ir fiziskā persona);</w:t>
            </w:r>
          </w:p>
          <w:p w14:paraId="2D46DED9"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4.8. apakšuzņēmēja uzvārds (ja apakšuzņēmējs ir fiziskā persona);</w:t>
            </w:r>
          </w:p>
          <w:p w14:paraId="12DFF4B7"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4.9. apakšuzņēmēja personas kods (ja apakšuzņēmējs ir fiziskā persona);</w:t>
            </w:r>
          </w:p>
          <w:p w14:paraId="34BBC7B4"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4.10. apakšuzņēmēja identifikācijas numurs (ja apakšuzņēmējs ir ārvalstī reģistrēta juridiskā persona);</w:t>
            </w:r>
          </w:p>
          <w:p w14:paraId="22E91936"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4.11. līguma datums;</w:t>
            </w:r>
          </w:p>
          <w:p w14:paraId="6378F7C5"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4.12. līguma summa;</w:t>
            </w:r>
          </w:p>
          <w:p w14:paraId="32C62186" w14:textId="77777777" w:rsidR="00345320" w:rsidRPr="006D459D" w:rsidRDefault="00345320" w:rsidP="00612997">
            <w:pPr>
              <w:ind w:firstLine="279"/>
              <w:jc w:val="both"/>
              <w:rPr>
                <w:sz w:val="22"/>
                <w:szCs w:val="22"/>
              </w:rPr>
            </w:pPr>
            <w:r w:rsidRPr="006D459D">
              <w:rPr>
                <w:sz w:val="22"/>
                <w:szCs w:val="22"/>
              </w:rPr>
              <w:lastRenderedPageBreak/>
              <w:t>22.</w:t>
            </w:r>
            <w:r w:rsidRPr="006D459D">
              <w:rPr>
                <w:sz w:val="22"/>
                <w:szCs w:val="22"/>
                <w:vertAlign w:val="superscript"/>
              </w:rPr>
              <w:t>1 </w:t>
            </w:r>
            <w:r w:rsidRPr="006D459D">
              <w:rPr>
                <w:sz w:val="22"/>
                <w:szCs w:val="22"/>
              </w:rPr>
              <w:t>4.13. jaunā līguma summa (ja ar grozījumiem tiek mainīta līguma summa);</w:t>
            </w:r>
          </w:p>
          <w:p w14:paraId="7600ED2A" w14:textId="77777777" w:rsidR="00345320" w:rsidRPr="006D459D" w:rsidRDefault="00345320" w:rsidP="00612997">
            <w:pPr>
              <w:ind w:firstLine="279"/>
              <w:jc w:val="both"/>
              <w:rPr>
                <w:sz w:val="22"/>
                <w:szCs w:val="22"/>
              </w:rPr>
            </w:pPr>
          </w:p>
          <w:p w14:paraId="1C975C25"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5. par būvdarbu uzsākšanas datumu;</w:t>
            </w:r>
          </w:p>
          <w:p w14:paraId="75B6C2E4"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6. par būvdarbu pabeigšanas datumu;</w:t>
            </w:r>
          </w:p>
          <w:p w14:paraId="7F5FA1A8"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7. par būvlaukumā izmantoto elektroniskās darba laika uzskaites sistēmu:</w:t>
            </w:r>
          </w:p>
          <w:p w14:paraId="12C99B8D" w14:textId="77777777" w:rsidR="00345320" w:rsidRPr="006D459D" w:rsidRDefault="00345320" w:rsidP="00612997">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7.1. elektroniskās darba laika uzskaites sistēmas nosaukums;</w:t>
            </w:r>
          </w:p>
          <w:p w14:paraId="5B612AE4" w14:textId="77777777" w:rsidR="00345320" w:rsidRPr="00B32778" w:rsidRDefault="00345320" w:rsidP="00612997">
            <w:pPr>
              <w:ind w:firstLine="279"/>
              <w:jc w:val="both"/>
            </w:pPr>
            <w:r w:rsidRPr="006D459D">
              <w:rPr>
                <w:sz w:val="22"/>
                <w:szCs w:val="22"/>
              </w:rPr>
              <w:t>22.</w:t>
            </w:r>
            <w:r w:rsidRPr="006D459D">
              <w:rPr>
                <w:sz w:val="22"/>
                <w:szCs w:val="22"/>
                <w:vertAlign w:val="superscript"/>
              </w:rPr>
              <w:t>1 </w:t>
            </w:r>
            <w:r w:rsidRPr="006D459D">
              <w:rPr>
                <w:sz w:val="22"/>
                <w:szCs w:val="22"/>
              </w:rPr>
              <w:t>7.2. elektroniskās darba laika uzskaites sistēmas pārzinis.”</w:t>
            </w:r>
          </w:p>
        </w:tc>
        <w:tc>
          <w:tcPr>
            <w:tcW w:w="4241" w:type="dxa"/>
          </w:tcPr>
          <w:p w14:paraId="39B74F49" w14:textId="77777777" w:rsidR="00345320" w:rsidRDefault="00345320" w:rsidP="00612997">
            <w:pPr>
              <w:ind w:right="57"/>
              <w:contextualSpacing/>
              <w:jc w:val="both"/>
              <w:rPr>
                <w:b/>
                <w:u w:val="single"/>
              </w:rPr>
            </w:pPr>
            <w:r>
              <w:rPr>
                <w:b/>
                <w:u w:val="single"/>
              </w:rPr>
              <w:lastRenderedPageBreak/>
              <w:t>Tieslietu ministrija</w:t>
            </w:r>
          </w:p>
          <w:p w14:paraId="486970EC" w14:textId="77777777" w:rsidR="00345320" w:rsidRPr="005A7ECB" w:rsidRDefault="00345320" w:rsidP="00612997">
            <w:pPr>
              <w:ind w:right="57"/>
              <w:contextualSpacing/>
              <w:jc w:val="both"/>
              <w:rPr>
                <w:b/>
                <w:u w:val="single"/>
              </w:rPr>
            </w:pPr>
            <w:r w:rsidRPr="00165D49">
              <w:t xml:space="preserve">2. Projekts paredz detalizētu uzkrājamās informācijas regulējumu. Vēršam uzmanību uz to, ka vienotajā elektroniskās darba laika uzskaites sistēmā uzkrājamo informāciju jau regulē likuma "Par nodokļiem un nodevām" </w:t>
            </w:r>
            <w:r w:rsidRPr="00165D49">
              <w:lastRenderedPageBreak/>
              <w:t>113. pants. Tas nozīmē, ka likumdevējs ir izvēlējies pats noregulēt šo jautājumu, un deleģētās likumdošanas ietvaros šā jautājumu regulēšana vairs nav pieļaujama, ja vien nav konstatējams nepārprotams likumdevēja pilnvarojums. Projekts ir izstrādāts, pamatojoties uz likuma "Par nodokļiem un nodevām" 114. panta piekto daļu, kas paredz: "Ministru kabinets nosaka vienotās elektroniskās darba laika uzskaites datubāzes turētāja pienākumus, tiesības un atbildību." Nedz no šīs normas, nedz arī no citām likuma normām neizriet Ministru kabineta tiesības regulēt jautājumu par datubāzē iekļaujamo informāciju. Vēršam uzmanību uz to, ka tiesību normas spēkā esības priekšnoteikums ir tās pieņemšanas leģitimitāte. Ja Ministru kabinets kādu jautājumu noteikumos noregulē bez likumdevēja pilnvarojuma, šāds regulējums ir spēkā neesošs. Ievērojot minēto, lūdzam svītrot projekta 9. punktu.</w:t>
            </w:r>
          </w:p>
        </w:tc>
        <w:tc>
          <w:tcPr>
            <w:tcW w:w="3394" w:type="dxa"/>
          </w:tcPr>
          <w:p w14:paraId="101DD991" w14:textId="77777777" w:rsidR="00345320" w:rsidRPr="00B51B04" w:rsidRDefault="00345320" w:rsidP="00612997">
            <w:pPr>
              <w:ind w:right="57"/>
              <w:contextualSpacing/>
              <w:jc w:val="center"/>
              <w:rPr>
                <w:b/>
              </w:rPr>
            </w:pPr>
            <w:r w:rsidRPr="00B51B04">
              <w:rPr>
                <w:b/>
              </w:rPr>
              <w:lastRenderedPageBreak/>
              <w:t>Ņemts vērā</w:t>
            </w:r>
          </w:p>
          <w:p w14:paraId="64303C42" w14:textId="77777777" w:rsidR="00345320" w:rsidRDefault="00345320" w:rsidP="00612997">
            <w:pPr>
              <w:ind w:right="57"/>
              <w:contextualSpacing/>
              <w:jc w:val="both"/>
              <w:rPr>
                <w:bCs/>
              </w:rPr>
            </w:pPr>
            <w:r>
              <w:rPr>
                <w:bCs/>
              </w:rPr>
              <w:t>Noteikumu projektā pārcelts regulējums no Ministru kabineta noteikumu projekta “</w:t>
            </w:r>
            <w:r w:rsidRPr="00B01666">
              <w:rPr>
                <w:bCs/>
              </w:rPr>
              <w:t xml:space="preserve">Grozījumi Ministru kabineta 2015. gada 28. jūlija noteikumos Nr. 438 „Būvniecības informācijas </w:t>
            </w:r>
            <w:r w:rsidRPr="00B01666">
              <w:rPr>
                <w:bCs/>
              </w:rPr>
              <w:lastRenderedPageBreak/>
              <w:t>sistēmas noteikumi”</w:t>
            </w:r>
            <w:r>
              <w:rPr>
                <w:bCs/>
              </w:rPr>
              <w:t xml:space="preserve"> (</w:t>
            </w:r>
            <w:r w:rsidRPr="00B01666">
              <w:rPr>
                <w:bCs/>
              </w:rPr>
              <w:t>VSS-920, 2019.gada 19.septembra protokols Nr.35, 3. §</w:t>
            </w:r>
            <w:r>
              <w:rPr>
                <w:bCs/>
              </w:rPr>
              <w:t xml:space="preserve">), kas tiek virzīts vienotajā paketē ar noteikumu projektu. </w:t>
            </w:r>
          </w:p>
          <w:p w14:paraId="29848CBD" w14:textId="77777777" w:rsidR="00345320" w:rsidRPr="00B51B04" w:rsidRDefault="00345320" w:rsidP="00612997">
            <w:pPr>
              <w:ind w:right="57"/>
              <w:contextualSpacing/>
              <w:jc w:val="both"/>
              <w:rPr>
                <w:bCs/>
              </w:rPr>
            </w:pPr>
            <w:r w:rsidRPr="00386960">
              <w:rPr>
                <w:bCs/>
              </w:rPr>
              <w:t>Likuma “Par nodokļiem un nodevām” 112.panta ceturtā daļa nosaka deleģējumu Ministru kabinetam nosaka kārtību, kādā elektroniskās darba laika uzskaites sistēmas dati sniedzami iekļaušanai vienotajā elektroniskās darba laika uzskaites datubāzē. Uz šā deleģējuma pamata ir sagatavots noteikumu projekt</w:t>
            </w:r>
            <w:r>
              <w:rPr>
                <w:bCs/>
              </w:rPr>
              <w:t>s. R</w:t>
            </w:r>
            <w:r w:rsidRPr="00386960">
              <w:rPr>
                <w:bCs/>
              </w:rPr>
              <w:t xml:space="preserve">egulējums paredz formu, kādā dati no elektroniskās darba laika uzskaites sistēmas tiek nodoti uz vienotu elektroniskās darba laika uzskaites datu bāzi, līdz ar to, regulējums atbilst 112.panta ceturtās daļas tvērumam un attiecīgi tiek pārcelt uz </w:t>
            </w:r>
            <w:r>
              <w:rPr>
                <w:bCs/>
              </w:rPr>
              <w:t xml:space="preserve">šo </w:t>
            </w:r>
            <w:r w:rsidRPr="00386960">
              <w:rPr>
                <w:bCs/>
              </w:rPr>
              <w:t>noteikumu projektu</w:t>
            </w:r>
            <w:r>
              <w:rPr>
                <w:bCs/>
              </w:rPr>
              <w:t>.</w:t>
            </w:r>
            <w:r w:rsidRPr="00386960">
              <w:rPr>
                <w:bCs/>
              </w:rPr>
              <w:t xml:space="preserve"> Vienlaicīgi ir precizēta punkta ievaddaļa, uzsverot, ka regulējums nosaka datu nodošanas formu (veidu), nevis nosaka jaunu pienākumu sniegt papildu datus. </w:t>
            </w:r>
          </w:p>
        </w:tc>
        <w:tc>
          <w:tcPr>
            <w:tcW w:w="3676" w:type="dxa"/>
          </w:tcPr>
          <w:p w14:paraId="61B685ED" w14:textId="77777777" w:rsidR="00BB0D8D" w:rsidRDefault="00BB0D8D" w:rsidP="00612997">
            <w:pPr>
              <w:ind w:right="57"/>
              <w:contextualSpacing/>
              <w:jc w:val="both"/>
            </w:pPr>
            <w:r>
              <w:lastRenderedPageBreak/>
              <w:t>Ministru kabineta noteikumu projekts “Grozījumi Ministru kabineta 2015. gada 28.jūlija noteikumos Nr. 438 “</w:t>
            </w:r>
            <w:r w:rsidRPr="00BB0D8D">
              <w:t>Būvniecības informācijas sistēmas noteikumi</w:t>
            </w:r>
            <w:r>
              <w:t>”” (VSS-921)</w:t>
            </w:r>
          </w:p>
          <w:p w14:paraId="5D18038D" w14:textId="323CBC80" w:rsidR="00345320" w:rsidRPr="00B51B04" w:rsidRDefault="00345320" w:rsidP="00612997">
            <w:pPr>
              <w:ind w:right="57"/>
              <w:contextualSpacing/>
              <w:jc w:val="both"/>
            </w:pPr>
            <w:r w:rsidRPr="00B51B04">
              <w:lastRenderedPageBreak/>
              <w:t>8. Vienotajā elektroniskās darba laika uzskaites datubāzē datus nodod atbilstoši šādai datu formai:</w:t>
            </w:r>
          </w:p>
          <w:p w14:paraId="7D4D30B4" w14:textId="77777777" w:rsidR="00345320" w:rsidRPr="00B51B04" w:rsidRDefault="00345320" w:rsidP="00612997">
            <w:pPr>
              <w:ind w:right="57"/>
              <w:contextualSpacing/>
              <w:jc w:val="both"/>
            </w:pPr>
            <w:r w:rsidRPr="00B51B04">
              <w:t>8.1. par būvlaukumā nodarbinātu personu:</w:t>
            </w:r>
          </w:p>
          <w:p w14:paraId="15526C98" w14:textId="77777777" w:rsidR="00345320" w:rsidRPr="00B51B04" w:rsidRDefault="00345320" w:rsidP="00612997">
            <w:pPr>
              <w:ind w:right="57"/>
              <w:contextualSpacing/>
              <w:jc w:val="both"/>
            </w:pPr>
            <w:r w:rsidRPr="00B51B04">
              <w:t>8.1.1. vārds;</w:t>
            </w:r>
          </w:p>
          <w:p w14:paraId="161CB8CC" w14:textId="77777777" w:rsidR="00345320" w:rsidRPr="00B51B04" w:rsidRDefault="00345320" w:rsidP="00612997">
            <w:pPr>
              <w:ind w:right="57"/>
              <w:contextualSpacing/>
              <w:jc w:val="both"/>
            </w:pPr>
            <w:r w:rsidRPr="00B51B04">
              <w:t>8.1.2. uzvārds;</w:t>
            </w:r>
          </w:p>
          <w:p w14:paraId="66EA18B6" w14:textId="77777777" w:rsidR="00345320" w:rsidRPr="00B51B04" w:rsidRDefault="00345320" w:rsidP="00612997">
            <w:pPr>
              <w:ind w:right="57"/>
              <w:contextualSpacing/>
              <w:jc w:val="both"/>
            </w:pPr>
            <w:r w:rsidRPr="00B51B04">
              <w:t>8.1.3. personas kods;</w:t>
            </w:r>
          </w:p>
          <w:p w14:paraId="3DC2FD92" w14:textId="77777777" w:rsidR="00345320" w:rsidRPr="00B51B04" w:rsidRDefault="00345320" w:rsidP="00612997">
            <w:pPr>
              <w:ind w:right="57"/>
              <w:contextualSpacing/>
              <w:jc w:val="both"/>
            </w:pPr>
            <w:r w:rsidRPr="00B51B04">
              <w:t>8.1.4. dzimšanas datums, mēnesis un gads (ja personai nav personas koda);</w:t>
            </w:r>
          </w:p>
          <w:p w14:paraId="7C86A2C0" w14:textId="77777777" w:rsidR="00345320" w:rsidRPr="00B51B04" w:rsidRDefault="00345320" w:rsidP="00612997">
            <w:pPr>
              <w:ind w:right="57"/>
              <w:contextualSpacing/>
              <w:jc w:val="both"/>
            </w:pPr>
            <w:r w:rsidRPr="00B51B04">
              <w:t>8.1.5. vīzas numurs (ja būvlaukumā nodarbinātai personai tā ir izsniegta);</w:t>
            </w:r>
          </w:p>
          <w:p w14:paraId="541EA259" w14:textId="77777777" w:rsidR="00345320" w:rsidRPr="00B51B04" w:rsidRDefault="00345320" w:rsidP="00612997">
            <w:pPr>
              <w:ind w:right="57"/>
              <w:contextualSpacing/>
              <w:jc w:val="both"/>
            </w:pPr>
            <w:r w:rsidRPr="00B51B04">
              <w:t>8.1.6. uzturēšanās atļaujas numurs (ja būvlaukumā nodarbinātai personai tā ir izsniegta);</w:t>
            </w:r>
          </w:p>
          <w:p w14:paraId="36472140" w14:textId="77777777" w:rsidR="00345320" w:rsidRPr="00B51B04" w:rsidRDefault="00345320" w:rsidP="00612997">
            <w:pPr>
              <w:ind w:right="57"/>
              <w:contextualSpacing/>
              <w:jc w:val="both"/>
            </w:pPr>
            <w:r w:rsidRPr="00B51B04">
              <w:t>8.1.7. amats;</w:t>
            </w:r>
          </w:p>
          <w:p w14:paraId="61D363D2" w14:textId="77777777" w:rsidR="00345320" w:rsidRPr="00B51B04" w:rsidRDefault="00345320" w:rsidP="00612997">
            <w:pPr>
              <w:ind w:right="57"/>
              <w:contextualSpacing/>
              <w:jc w:val="both"/>
            </w:pPr>
            <w:r w:rsidRPr="00B51B04">
              <w:t>8.1.8. darba devēja nosaukums;</w:t>
            </w:r>
          </w:p>
          <w:p w14:paraId="05A96BC0" w14:textId="77777777" w:rsidR="00345320" w:rsidRPr="00B51B04" w:rsidRDefault="00345320" w:rsidP="00612997">
            <w:pPr>
              <w:ind w:right="57"/>
              <w:contextualSpacing/>
              <w:jc w:val="both"/>
            </w:pPr>
            <w:r w:rsidRPr="00B51B04">
              <w:t>8.1.9. darba devēja vienotais reģistrācijas numurs;</w:t>
            </w:r>
          </w:p>
          <w:p w14:paraId="4F974CE9" w14:textId="77777777" w:rsidR="00345320" w:rsidRPr="00B51B04" w:rsidRDefault="00345320" w:rsidP="00612997">
            <w:pPr>
              <w:ind w:right="57"/>
              <w:contextualSpacing/>
              <w:jc w:val="both"/>
            </w:pPr>
            <w:r w:rsidRPr="00B51B04">
              <w:t>8.1.10. darba devēja vārds (ja darba devējs ir fiziskā persona);</w:t>
            </w:r>
          </w:p>
          <w:p w14:paraId="7A6E6E44" w14:textId="77777777" w:rsidR="00345320" w:rsidRPr="00B51B04" w:rsidRDefault="00345320" w:rsidP="00612997">
            <w:pPr>
              <w:ind w:right="57"/>
              <w:contextualSpacing/>
              <w:jc w:val="both"/>
            </w:pPr>
            <w:r w:rsidRPr="00B51B04">
              <w:t>8.1.11. darba devēja uzvārds (ja darba devējs ir fiziskā persona);</w:t>
            </w:r>
          </w:p>
          <w:p w14:paraId="79892EEB" w14:textId="77777777" w:rsidR="00345320" w:rsidRPr="00B51B04" w:rsidRDefault="00345320" w:rsidP="00612997">
            <w:pPr>
              <w:ind w:right="57"/>
              <w:contextualSpacing/>
              <w:jc w:val="both"/>
            </w:pPr>
            <w:r w:rsidRPr="00B51B04">
              <w:t>8.1.12. darba devēja personas kods (ja darba devējs ir fiziskā persona);</w:t>
            </w:r>
          </w:p>
          <w:p w14:paraId="1ED9F644" w14:textId="77777777" w:rsidR="00345320" w:rsidRPr="00B51B04" w:rsidRDefault="00345320" w:rsidP="00612997">
            <w:pPr>
              <w:ind w:right="57"/>
              <w:contextualSpacing/>
              <w:jc w:val="both"/>
            </w:pPr>
            <w:r w:rsidRPr="00B51B04">
              <w:t>8.1.13. darba devēja identifikācijas numurs (ja darba devējs ir ārvalstī reģistrēta juridiskā persona);</w:t>
            </w:r>
          </w:p>
          <w:p w14:paraId="2AC96326" w14:textId="77777777" w:rsidR="00345320" w:rsidRPr="00B51B04" w:rsidRDefault="00345320" w:rsidP="00612997">
            <w:pPr>
              <w:ind w:right="57"/>
              <w:contextualSpacing/>
              <w:jc w:val="both"/>
            </w:pPr>
            <w:r w:rsidRPr="00B51B04">
              <w:t>8.1.14. būvatļaujas numurs;</w:t>
            </w:r>
          </w:p>
          <w:p w14:paraId="0AED777C" w14:textId="77777777" w:rsidR="00345320" w:rsidRPr="00B51B04" w:rsidRDefault="00345320" w:rsidP="00612997">
            <w:pPr>
              <w:ind w:right="57"/>
              <w:contextualSpacing/>
              <w:jc w:val="both"/>
            </w:pPr>
            <w:r w:rsidRPr="00B51B04">
              <w:lastRenderedPageBreak/>
              <w:t>8.1.15. apliecinājuma kartes numurs;</w:t>
            </w:r>
          </w:p>
          <w:p w14:paraId="530D78E2" w14:textId="77777777" w:rsidR="00345320" w:rsidRPr="00B51B04" w:rsidRDefault="00345320" w:rsidP="00612997">
            <w:pPr>
              <w:ind w:right="57"/>
              <w:contextualSpacing/>
              <w:jc w:val="both"/>
            </w:pPr>
            <w:r w:rsidRPr="00B51B04">
              <w:t>8.1.16. paskaidrojuma raksta numurs;</w:t>
            </w:r>
          </w:p>
          <w:p w14:paraId="46E34FB7" w14:textId="77777777" w:rsidR="00345320" w:rsidRPr="00B51B04" w:rsidRDefault="00345320" w:rsidP="00612997">
            <w:pPr>
              <w:ind w:right="57"/>
              <w:contextualSpacing/>
              <w:jc w:val="both"/>
            </w:pPr>
            <w:r w:rsidRPr="00B51B04">
              <w:t>8.1.17. nekustamā īpašuma objekta kadastra apzīmējums (ja būvatļauja, apliecinājuma karte vai paskaidrojuma raksts nav izsniegts);</w:t>
            </w:r>
          </w:p>
          <w:p w14:paraId="1976029D" w14:textId="77777777" w:rsidR="00345320" w:rsidRPr="00B51B04" w:rsidRDefault="00345320" w:rsidP="00612997">
            <w:pPr>
              <w:ind w:right="57"/>
              <w:contextualSpacing/>
              <w:jc w:val="both"/>
            </w:pPr>
            <w:r w:rsidRPr="00B51B04">
              <w:t>8.1.18. laiks, kad persona ieradusies būvlaukumā;</w:t>
            </w:r>
          </w:p>
          <w:p w14:paraId="5F4F006C" w14:textId="77777777" w:rsidR="00345320" w:rsidRPr="00B51B04" w:rsidRDefault="00345320" w:rsidP="00612997">
            <w:pPr>
              <w:ind w:right="57"/>
              <w:contextualSpacing/>
              <w:jc w:val="both"/>
            </w:pPr>
            <w:r w:rsidRPr="00B51B04">
              <w:t>8.1.19. laiks, kad persona atstājusi būvlaukumu;</w:t>
            </w:r>
          </w:p>
          <w:p w14:paraId="74D022B2" w14:textId="77777777" w:rsidR="00345320" w:rsidRPr="00B51B04" w:rsidRDefault="00345320" w:rsidP="00612997">
            <w:pPr>
              <w:ind w:right="57"/>
              <w:contextualSpacing/>
              <w:jc w:val="both"/>
            </w:pPr>
            <w:r w:rsidRPr="00B51B04">
              <w:t>8.1.20. summārais laiks;</w:t>
            </w:r>
          </w:p>
          <w:p w14:paraId="6FD00358" w14:textId="77777777" w:rsidR="00345320" w:rsidRPr="00B51B04" w:rsidRDefault="00345320" w:rsidP="00612997">
            <w:pPr>
              <w:ind w:right="57"/>
              <w:contextualSpacing/>
              <w:jc w:val="both"/>
            </w:pPr>
            <w:r w:rsidRPr="00B51B04">
              <w:t>8.1.21. laiks, kad persona ieradusies būvlaukumā (pēc papildus sniegtās informācijas);</w:t>
            </w:r>
          </w:p>
          <w:p w14:paraId="1A1D2A67" w14:textId="77777777" w:rsidR="00345320" w:rsidRPr="00B51B04" w:rsidRDefault="00345320" w:rsidP="00612997">
            <w:pPr>
              <w:ind w:right="57"/>
              <w:contextualSpacing/>
              <w:jc w:val="both"/>
            </w:pPr>
            <w:r w:rsidRPr="00B51B04">
              <w:t>8.1.22. laiks, kad persona atstājusi būvlaukumu (pēc papildus sniegtās informācijas);</w:t>
            </w:r>
          </w:p>
          <w:p w14:paraId="6BF06664" w14:textId="77777777" w:rsidR="00345320" w:rsidRPr="00B51B04" w:rsidRDefault="00345320" w:rsidP="00612997">
            <w:pPr>
              <w:ind w:right="57"/>
              <w:contextualSpacing/>
              <w:jc w:val="both"/>
            </w:pPr>
            <w:r w:rsidRPr="00B51B04">
              <w:t>8.1.23. summārais laiks (pēc papildus sniegtās informācijas);</w:t>
            </w:r>
          </w:p>
          <w:p w14:paraId="0094F448" w14:textId="77777777" w:rsidR="00345320" w:rsidRPr="00B51B04" w:rsidRDefault="00345320" w:rsidP="00612997">
            <w:pPr>
              <w:ind w:right="57"/>
              <w:contextualSpacing/>
              <w:jc w:val="both"/>
            </w:pPr>
            <w:r w:rsidRPr="00B51B04">
              <w:t>8.1.24. pazīme par datu manuālu ierakstu;</w:t>
            </w:r>
          </w:p>
          <w:p w14:paraId="6D6C1BA3" w14:textId="77777777" w:rsidR="00345320" w:rsidRPr="00B51B04" w:rsidRDefault="00345320" w:rsidP="00612997">
            <w:pPr>
              <w:ind w:right="57"/>
              <w:contextualSpacing/>
              <w:jc w:val="both"/>
            </w:pPr>
            <w:r w:rsidRPr="00B51B04">
              <w:t>8.1.25. pamatojums, kāpēc dati, kas reģistrēti elektroniskās darba laika uzskaites sistēmā, nesakrīt ar personas faktiski būvlaukumā pavadīto laiku;</w:t>
            </w:r>
          </w:p>
          <w:p w14:paraId="676D1FDE" w14:textId="77777777" w:rsidR="00345320" w:rsidRPr="00B51B04" w:rsidRDefault="00345320" w:rsidP="00612997">
            <w:pPr>
              <w:ind w:right="57"/>
              <w:contextualSpacing/>
              <w:jc w:val="both"/>
            </w:pPr>
          </w:p>
          <w:p w14:paraId="606C835A" w14:textId="77777777" w:rsidR="00345320" w:rsidRPr="00B51B04" w:rsidRDefault="00345320" w:rsidP="00612997">
            <w:pPr>
              <w:ind w:right="57"/>
              <w:contextualSpacing/>
              <w:jc w:val="both"/>
            </w:pPr>
            <w:r w:rsidRPr="00B51B04">
              <w:lastRenderedPageBreak/>
              <w:t>8.2. par galvenā būvdarbu veicēja noslēgto būvdarbu līgumu ar būvniecības ierosinātāju:</w:t>
            </w:r>
          </w:p>
          <w:p w14:paraId="3DF80FA1" w14:textId="77777777" w:rsidR="00345320" w:rsidRPr="00B51B04" w:rsidRDefault="00345320" w:rsidP="00612997">
            <w:pPr>
              <w:ind w:right="57"/>
              <w:contextualSpacing/>
              <w:jc w:val="both"/>
            </w:pPr>
            <w:r w:rsidRPr="00B51B04">
              <w:t>8.2.1. būvatļaujas numurs;</w:t>
            </w:r>
          </w:p>
          <w:p w14:paraId="707C5798" w14:textId="77777777" w:rsidR="00345320" w:rsidRPr="00B51B04" w:rsidRDefault="00345320" w:rsidP="00612997">
            <w:pPr>
              <w:ind w:right="57"/>
              <w:contextualSpacing/>
              <w:jc w:val="both"/>
            </w:pPr>
            <w:r w:rsidRPr="00B51B04">
              <w:t>8.2.2. apliecinājuma kartes numurs;</w:t>
            </w:r>
          </w:p>
          <w:p w14:paraId="6D3966B1" w14:textId="77777777" w:rsidR="00345320" w:rsidRPr="00B51B04" w:rsidRDefault="00345320" w:rsidP="00612997">
            <w:pPr>
              <w:ind w:right="57"/>
              <w:contextualSpacing/>
              <w:jc w:val="both"/>
            </w:pPr>
            <w:r w:rsidRPr="00B51B04">
              <w:t>8.2.3. paskaidrojuma raksta numurs;</w:t>
            </w:r>
          </w:p>
          <w:p w14:paraId="4E257389" w14:textId="77777777" w:rsidR="00345320" w:rsidRPr="00B51B04" w:rsidRDefault="00345320" w:rsidP="00612997">
            <w:pPr>
              <w:ind w:right="57"/>
              <w:contextualSpacing/>
              <w:jc w:val="both"/>
            </w:pPr>
            <w:r w:rsidRPr="00B51B04">
              <w:t>8.2.4. nekustamā īpašuma objekta kadastra apzīmējums (ja būvatļauja, apliecinājuma karte vai paskaidrojuma raksts nav izsniegts);</w:t>
            </w:r>
          </w:p>
          <w:p w14:paraId="0DCE2384" w14:textId="77777777" w:rsidR="00345320" w:rsidRPr="00B51B04" w:rsidRDefault="00345320" w:rsidP="00612997">
            <w:pPr>
              <w:ind w:right="57"/>
              <w:contextualSpacing/>
              <w:jc w:val="both"/>
            </w:pPr>
            <w:r w:rsidRPr="00B51B04">
              <w:t>8.2.5. būvniecības ierosinātāja nosaukums;</w:t>
            </w:r>
          </w:p>
          <w:p w14:paraId="38354324" w14:textId="77777777" w:rsidR="00345320" w:rsidRPr="00B51B04" w:rsidRDefault="00345320" w:rsidP="00612997">
            <w:pPr>
              <w:ind w:right="57"/>
              <w:contextualSpacing/>
              <w:jc w:val="both"/>
            </w:pPr>
            <w:r w:rsidRPr="00B51B04">
              <w:t>8.2.6. būvniecības ierosinātāja vienotais reģistrācijas numurs;</w:t>
            </w:r>
          </w:p>
          <w:p w14:paraId="6E5D7ACA" w14:textId="77777777" w:rsidR="00345320" w:rsidRPr="00B51B04" w:rsidRDefault="00345320" w:rsidP="00612997">
            <w:pPr>
              <w:ind w:right="57"/>
              <w:contextualSpacing/>
              <w:jc w:val="both"/>
            </w:pPr>
            <w:r w:rsidRPr="00B51B04">
              <w:t>8.2.7. būvniecības ierosinātāja vārds (ja būvniecības ierosinātājs ir fiziskā persona);</w:t>
            </w:r>
          </w:p>
          <w:p w14:paraId="133C98DD" w14:textId="77777777" w:rsidR="00345320" w:rsidRPr="00B51B04" w:rsidRDefault="00345320" w:rsidP="00612997">
            <w:pPr>
              <w:ind w:right="57"/>
              <w:contextualSpacing/>
              <w:jc w:val="both"/>
            </w:pPr>
            <w:r w:rsidRPr="00B51B04">
              <w:t>8.2.8. būvniecības ierosinātāja uzvārds (ja būvniecības ierosinātājs ir fiziskā persona);</w:t>
            </w:r>
          </w:p>
          <w:p w14:paraId="16C104F8" w14:textId="77777777" w:rsidR="00345320" w:rsidRPr="00B51B04" w:rsidRDefault="00345320" w:rsidP="00612997">
            <w:pPr>
              <w:ind w:right="57"/>
              <w:contextualSpacing/>
              <w:jc w:val="both"/>
            </w:pPr>
            <w:r w:rsidRPr="00B51B04">
              <w:t>8.2.9. būvniecības ierosinātāja personas kods (ja būvniecības ierosinātājs ir fiziskā persona);</w:t>
            </w:r>
          </w:p>
          <w:p w14:paraId="05E857CB" w14:textId="77777777" w:rsidR="00345320" w:rsidRPr="00B51B04" w:rsidRDefault="00345320" w:rsidP="00612997">
            <w:pPr>
              <w:ind w:right="57"/>
              <w:contextualSpacing/>
              <w:jc w:val="both"/>
            </w:pPr>
            <w:r w:rsidRPr="00B51B04">
              <w:t>8.2.10. būvniecības ierosinātāja identifikācijas numurs (ja būvniecības ierosinātājs ir ārvalstī reģistrēta juridiskā persona);</w:t>
            </w:r>
          </w:p>
          <w:p w14:paraId="3D7CB4FA" w14:textId="77777777" w:rsidR="00345320" w:rsidRPr="00B51B04" w:rsidRDefault="00345320" w:rsidP="00612997">
            <w:pPr>
              <w:ind w:right="57"/>
              <w:contextualSpacing/>
              <w:jc w:val="both"/>
            </w:pPr>
            <w:r w:rsidRPr="00B51B04">
              <w:t>8.2.11. līguma datums;</w:t>
            </w:r>
          </w:p>
          <w:p w14:paraId="7437B76E" w14:textId="77777777" w:rsidR="00345320" w:rsidRPr="00B51B04" w:rsidRDefault="00345320" w:rsidP="00612997">
            <w:pPr>
              <w:ind w:right="57"/>
              <w:contextualSpacing/>
              <w:jc w:val="both"/>
            </w:pPr>
            <w:r w:rsidRPr="00B51B04">
              <w:t>8.2.12. līguma summa;</w:t>
            </w:r>
          </w:p>
          <w:p w14:paraId="1884E449" w14:textId="77777777" w:rsidR="00345320" w:rsidRPr="00B51B04" w:rsidRDefault="00345320" w:rsidP="00612997">
            <w:pPr>
              <w:ind w:right="57"/>
              <w:contextualSpacing/>
              <w:jc w:val="both"/>
            </w:pPr>
            <w:r w:rsidRPr="00B51B04">
              <w:lastRenderedPageBreak/>
              <w:t>8.2.13. jaunā līguma summa (ja ar grozījumiem tiek mainīta līguma summa);</w:t>
            </w:r>
          </w:p>
          <w:p w14:paraId="3D367898" w14:textId="77777777" w:rsidR="00345320" w:rsidRPr="00B51B04" w:rsidRDefault="00345320" w:rsidP="00612997">
            <w:pPr>
              <w:ind w:right="57"/>
              <w:contextualSpacing/>
              <w:jc w:val="both"/>
            </w:pPr>
          </w:p>
          <w:p w14:paraId="6DBD4246" w14:textId="77777777" w:rsidR="00345320" w:rsidRPr="00B51B04" w:rsidRDefault="00345320" w:rsidP="00612997">
            <w:pPr>
              <w:ind w:right="57"/>
              <w:contextualSpacing/>
              <w:jc w:val="both"/>
            </w:pPr>
            <w:r w:rsidRPr="00B51B04">
              <w:t>8.3. par galvenā būvdarbu veicēja ar apakšuzņēmējiem noslēgtajiem būvdarbu līgumiem:</w:t>
            </w:r>
          </w:p>
          <w:p w14:paraId="10A45638" w14:textId="77777777" w:rsidR="00345320" w:rsidRPr="00B51B04" w:rsidRDefault="00345320" w:rsidP="00612997">
            <w:pPr>
              <w:ind w:right="57"/>
              <w:contextualSpacing/>
              <w:jc w:val="both"/>
            </w:pPr>
            <w:r w:rsidRPr="00B51B04">
              <w:t>8.3.1. būvatļaujas numurs;</w:t>
            </w:r>
          </w:p>
          <w:p w14:paraId="0B8C4D48" w14:textId="77777777" w:rsidR="00345320" w:rsidRPr="00B51B04" w:rsidRDefault="00345320" w:rsidP="00612997">
            <w:pPr>
              <w:ind w:right="57"/>
              <w:contextualSpacing/>
              <w:jc w:val="both"/>
            </w:pPr>
            <w:r w:rsidRPr="00B51B04">
              <w:t>8.3.2. apliecinājuma kartes numurs;</w:t>
            </w:r>
          </w:p>
          <w:p w14:paraId="207D79B5" w14:textId="77777777" w:rsidR="00345320" w:rsidRPr="00B51B04" w:rsidRDefault="00345320" w:rsidP="00612997">
            <w:pPr>
              <w:ind w:right="57"/>
              <w:contextualSpacing/>
              <w:jc w:val="both"/>
            </w:pPr>
            <w:r w:rsidRPr="00B51B04">
              <w:t>8.3.3. paskaidrojuma raksta numurs;</w:t>
            </w:r>
          </w:p>
          <w:p w14:paraId="08B2D13A" w14:textId="77777777" w:rsidR="00345320" w:rsidRPr="00B51B04" w:rsidRDefault="00345320" w:rsidP="00612997">
            <w:pPr>
              <w:ind w:right="57"/>
              <w:contextualSpacing/>
              <w:jc w:val="both"/>
            </w:pPr>
            <w:r w:rsidRPr="00B51B04">
              <w:t>8.3.4. nekustamā īpašuma objekta kadastra apzīmējums (ja būvatļauja, apliecinājuma karte vai paskaidrojuma raksts nav izsniegts);</w:t>
            </w:r>
          </w:p>
          <w:p w14:paraId="4F114196" w14:textId="77777777" w:rsidR="00345320" w:rsidRPr="00B51B04" w:rsidRDefault="00345320" w:rsidP="00612997">
            <w:pPr>
              <w:ind w:right="57"/>
              <w:contextualSpacing/>
              <w:jc w:val="both"/>
            </w:pPr>
            <w:r w:rsidRPr="00B51B04">
              <w:t>8.3.5. apakšuzņēmēja nosaukums;</w:t>
            </w:r>
          </w:p>
          <w:p w14:paraId="640DF513" w14:textId="77777777" w:rsidR="00345320" w:rsidRPr="00B51B04" w:rsidRDefault="00345320" w:rsidP="00612997">
            <w:pPr>
              <w:ind w:right="57"/>
              <w:contextualSpacing/>
              <w:jc w:val="both"/>
            </w:pPr>
            <w:r w:rsidRPr="00B51B04">
              <w:t>8.3.6. apakšuzņēmēja vienotais reģistrācijas numurs;</w:t>
            </w:r>
          </w:p>
          <w:p w14:paraId="067FD517" w14:textId="77777777" w:rsidR="00345320" w:rsidRPr="00B51B04" w:rsidRDefault="00345320" w:rsidP="00612997">
            <w:pPr>
              <w:ind w:right="57"/>
              <w:contextualSpacing/>
              <w:jc w:val="both"/>
            </w:pPr>
            <w:r w:rsidRPr="00B51B04">
              <w:t>8.3.7. apakšuzņēmēja vārds (ja apakšuzņēmējs ir fiziskā persona);</w:t>
            </w:r>
          </w:p>
          <w:p w14:paraId="711E7825" w14:textId="77777777" w:rsidR="00345320" w:rsidRPr="00B51B04" w:rsidRDefault="00345320" w:rsidP="00612997">
            <w:pPr>
              <w:ind w:right="57"/>
              <w:contextualSpacing/>
              <w:jc w:val="both"/>
            </w:pPr>
            <w:r w:rsidRPr="00B51B04">
              <w:t>8.3.8. apakšuzņēmēja uzvārds (ja apakšuzņēmējs ir fiziskā persona);</w:t>
            </w:r>
          </w:p>
          <w:p w14:paraId="38F40466" w14:textId="77777777" w:rsidR="00345320" w:rsidRPr="00B51B04" w:rsidRDefault="00345320" w:rsidP="00612997">
            <w:pPr>
              <w:ind w:right="57"/>
              <w:contextualSpacing/>
              <w:jc w:val="both"/>
            </w:pPr>
            <w:r w:rsidRPr="00B51B04">
              <w:t>8.3.9. apakšuzņēmēja personas kods (ja apakšuzņēmējs ir fiziskā persona);</w:t>
            </w:r>
          </w:p>
          <w:p w14:paraId="045998B2" w14:textId="77777777" w:rsidR="00345320" w:rsidRPr="00B51B04" w:rsidRDefault="00345320" w:rsidP="00612997">
            <w:pPr>
              <w:ind w:right="57"/>
              <w:contextualSpacing/>
              <w:jc w:val="both"/>
            </w:pPr>
            <w:r w:rsidRPr="00B51B04">
              <w:t>8.3.10. apakšuzņēmēja identifikācijas numurs (ja apakšuzņēmējs ir ārvalstī reģistrēta juridiskā persona);</w:t>
            </w:r>
          </w:p>
          <w:p w14:paraId="7C439DC2" w14:textId="77777777" w:rsidR="00345320" w:rsidRPr="00B51B04" w:rsidRDefault="00345320" w:rsidP="00612997">
            <w:pPr>
              <w:ind w:right="57"/>
              <w:contextualSpacing/>
              <w:jc w:val="both"/>
            </w:pPr>
            <w:r w:rsidRPr="00B51B04">
              <w:t>8.3.11. līguma datums;</w:t>
            </w:r>
          </w:p>
          <w:p w14:paraId="4908050D" w14:textId="77777777" w:rsidR="00345320" w:rsidRPr="00B51B04" w:rsidRDefault="00345320" w:rsidP="00612997">
            <w:pPr>
              <w:ind w:right="57"/>
              <w:contextualSpacing/>
              <w:jc w:val="both"/>
            </w:pPr>
            <w:r w:rsidRPr="00B51B04">
              <w:t>8.3.12. līguma summa;</w:t>
            </w:r>
          </w:p>
          <w:p w14:paraId="53B69B03" w14:textId="77777777" w:rsidR="00345320" w:rsidRPr="00B51B04" w:rsidRDefault="00345320" w:rsidP="00612997">
            <w:pPr>
              <w:ind w:right="57"/>
              <w:contextualSpacing/>
              <w:jc w:val="both"/>
            </w:pPr>
            <w:r w:rsidRPr="00B51B04">
              <w:lastRenderedPageBreak/>
              <w:t>8.3.13. jaunā līguma summa (ja ar grozījumiem tiek mainīta līguma summa);</w:t>
            </w:r>
          </w:p>
          <w:p w14:paraId="1F65B362" w14:textId="77777777" w:rsidR="00345320" w:rsidRPr="00B51B04" w:rsidRDefault="00345320" w:rsidP="00612997">
            <w:pPr>
              <w:ind w:right="57"/>
              <w:contextualSpacing/>
              <w:jc w:val="both"/>
            </w:pPr>
          </w:p>
          <w:p w14:paraId="1B9F82A8" w14:textId="77777777" w:rsidR="00345320" w:rsidRPr="00B51B04" w:rsidRDefault="00345320" w:rsidP="00612997">
            <w:pPr>
              <w:ind w:right="57"/>
              <w:contextualSpacing/>
              <w:jc w:val="both"/>
            </w:pPr>
            <w:r w:rsidRPr="00B51B04">
              <w:t>8.4. par apakšuzņēmēja ar saviem apakšuzņēmējiem noslēgtajiem būvdarbu līgumiem:</w:t>
            </w:r>
          </w:p>
          <w:p w14:paraId="51642885" w14:textId="77777777" w:rsidR="00345320" w:rsidRPr="00B51B04" w:rsidRDefault="00345320" w:rsidP="00612997">
            <w:pPr>
              <w:ind w:right="57"/>
              <w:contextualSpacing/>
              <w:jc w:val="both"/>
            </w:pPr>
            <w:r w:rsidRPr="00B51B04">
              <w:t>8.4.1. būvatļaujas numurs;</w:t>
            </w:r>
          </w:p>
          <w:p w14:paraId="0A7346B8" w14:textId="77777777" w:rsidR="00345320" w:rsidRPr="00B51B04" w:rsidRDefault="00345320" w:rsidP="00612997">
            <w:pPr>
              <w:ind w:right="57"/>
              <w:contextualSpacing/>
              <w:jc w:val="both"/>
            </w:pPr>
            <w:r w:rsidRPr="00B51B04">
              <w:t>8.4.2. apliecinājuma kartes numurs;</w:t>
            </w:r>
          </w:p>
          <w:p w14:paraId="036CB081" w14:textId="77777777" w:rsidR="00345320" w:rsidRPr="00B51B04" w:rsidRDefault="00345320" w:rsidP="00612997">
            <w:pPr>
              <w:ind w:right="57"/>
              <w:contextualSpacing/>
              <w:jc w:val="both"/>
            </w:pPr>
            <w:r w:rsidRPr="00B51B04">
              <w:t>8.4.3. paskaidrojuma raksta numurs;</w:t>
            </w:r>
          </w:p>
          <w:p w14:paraId="7BBBE60E" w14:textId="77777777" w:rsidR="00345320" w:rsidRPr="00B51B04" w:rsidRDefault="00345320" w:rsidP="00612997">
            <w:pPr>
              <w:ind w:right="57"/>
              <w:contextualSpacing/>
              <w:jc w:val="both"/>
            </w:pPr>
            <w:r w:rsidRPr="00B51B04">
              <w:t>8.4.4. nekustamā īpašuma objekta kadastra apzīmējums (ja būvatļauja, apliecinājuma karte vai paskaidrojuma raksts nav izsniegts);</w:t>
            </w:r>
          </w:p>
          <w:p w14:paraId="727592D5" w14:textId="77777777" w:rsidR="00345320" w:rsidRPr="00B51B04" w:rsidRDefault="00345320" w:rsidP="00612997">
            <w:pPr>
              <w:ind w:right="57"/>
              <w:contextualSpacing/>
              <w:jc w:val="both"/>
            </w:pPr>
            <w:r w:rsidRPr="00B51B04">
              <w:t>8.4.5. apakšuzņēmēja nosaukums;</w:t>
            </w:r>
          </w:p>
          <w:p w14:paraId="238ED703" w14:textId="77777777" w:rsidR="00345320" w:rsidRPr="00B51B04" w:rsidRDefault="00345320" w:rsidP="00612997">
            <w:pPr>
              <w:ind w:right="57"/>
              <w:contextualSpacing/>
              <w:jc w:val="both"/>
            </w:pPr>
            <w:r w:rsidRPr="00B51B04">
              <w:t>8.4.6. apakšuzņēmēja Uzņēmuma reģistra vienotais reģistrācijas numurs;</w:t>
            </w:r>
          </w:p>
          <w:p w14:paraId="39DB5BA4" w14:textId="77777777" w:rsidR="00345320" w:rsidRPr="00B51B04" w:rsidRDefault="00345320" w:rsidP="00612997">
            <w:pPr>
              <w:ind w:right="57"/>
              <w:contextualSpacing/>
              <w:jc w:val="both"/>
            </w:pPr>
            <w:r w:rsidRPr="00B51B04">
              <w:t>8.4.7. apakšuzņēmēja vārds (ja apakšuzņēmējs ir fiziskā persona);</w:t>
            </w:r>
          </w:p>
          <w:p w14:paraId="2F577C58" w14:textId="77777777" w:rsidR="00345320" w:rsidRPr="00B51B04" w:rsidRDefault="00345320" w:rsidP="00612997">
            <w:pPr>
              <w:ind w:right="57"/>
              <w:contextualSpacing/>
              <w:jc w:val="both"/>
            </w:pPr>
            <w:r w:rsidRPr="00B51B04">
              <w:t>8.4.8. apakšuzņēmēja uzvārds (ja apakšuzņēmējs ir fiziskā persona);</w:t>
            </w:r>
          </w:p>
          <w:p w14:paraId="4A4A06AC" w14:textId="77777777" w:rsidR="00345320" w:rsidRPr="00B51B04" w:rsidRDefault="00345320" w:rsidP="00612997">
            <w:pPr>
              <w:ind w:right="57"/>
              <w:contextualSpacing/>
              <w:jc w:val="both"/>
            </w:pPr>
            <w:r w:rsidRPr="00B51B04">
              <w:t>8.4.9. apakšuzņēmēja personas kods (ja apakšuzņēmējs ir fiziskā persona);</w:t>
            </w:r>
          </w:p>
          <w:p w14:paraId="14EED1FF" w14:textId="77777777" w:rsidR="00345320" w:rsidRPr="00B51B04" w:rsidRDefault="00345320" w:rsidP="00612997">
            <w:pPr>
              <w:ind w:right="57"/>
              <w:contextualSpacing/>
              <w:jc w:val="both"/>
            </w:pPr>
            <w:r w:rsidRPr="00B51B04">
              <w:t>8.4.10. apakšuzņēmēja identifikācijas numurs (ja apakšuzņēmējs ir ārvalstī reģistrēta juridiskā persona);</w:t>
            </w:r>
          </w:p>
          <w:p w14:paraId="28FAF17D" w14:textId="77777777" w:rsidR="00345320" w:rsidRPr="00B51B04" w:rsidRDefault="00345320" w:rsidP="00612997">
            <w:pPr>
              <w:ind w:right="57"/>
              <w:contextualSpacing/>
              <w:jc w:val="both"/>
            </w:pPr>
            <w:r w:rsidRPr="00B51B04">
              <w:t>8.4.11. līguma datums;</w:t>
            </w:r>
          </w:p>
          <w:p w14:paraId="3E0F17AF" w14:textId="77777777" w:rsidR="00345320" w:rsidRPr="00B51B04" w:rsidRDefault="00345320" w:rsidP="00612997">
            <w:pPr>
              <w:ind w:right="57"/>
              <w:contextualSpacing/>
              <w:jc w:val="both"/>
            </w:pPr>
            <w:r w:rsidRPr="00B51B04">
              <w:lastRenderedPageBreak/>
              <w:t>8.4.12. līguma summa;</w:t>
            </w:r>
          </w:p>
          <w:p w14:paraId="640C7528" w14:textId="77777777" w:rsidR="00345320" w:rsidRPr="00B51B04" w:rsidRDefault="00345320" w:rsidP="00612997">
            <w:pPr>
              <w:ind w:right="57"/>
              <w:contextualSpacing/>
              <w:jc w:val="both"/>
            </w:pPr>
            <w:r w:rsidRPr="00B51B04">
              <w:t>8.4.13. jaunā līguma summa (ja ar grozījumiem tiek mainīta līguma summa);</w:t>
            </w:r>
          </w:p>
          <w:p w14:paraId="4CF75E8A" w14:textId="77777777" w:rsidR="00345320" w:rsidRPr="00B51B04" w:rsidRDefault="00345320" w:rsidP="00612997">
            <w:pPr>
              <w:ind w:right="57"/>
              <w:contextualSpacing/>
              <w:jc w:val="both"/>
            </w:pPr>
          </w:p>
          <w:p w14:paraId="48F2BA43" w14:textId="77777777" w:rsidR="00345320" w:rsidRPr="00B51B04" w:rsidRDefault="00345320" w:rsidP="00612997">
            <w:pPr>
              <w:ind w:right="57"/>
              <w:contextualSpacing/>
              <w:jc w:val="both"/>
            </w:pPr>
            <w:r w:rsidRPr="00B51B04">
              <w:t>8.5. par būvdarbu uzsākšanas datumu;</w:t>
            </w:r>
          </w:p>
          <w:p w14:paraId="22E065EC" w14:textId="77777777" w:rsidR="00345320" w:rsidRPr="00B51B04" w:rsidRDefault="00345320" w:rsidP="00612997">
            <w:pPr>
              <w:ind w:right="57"/>
              <w:contextualSpacing/>
              <w:jc w:val="both"/>
            </w:pPr>
          </w:p>
          <w:p w14:paraId="15B2D073" w14:textId="77777777" w:rsidR="00345320" w:rsidRPr="00B51B04" w:rsidRDefault="00345320" w:rsidP="00612997">
            <w:pPr>
              <w:ind w:right="57"/>
              <w:contextualSpacing/>
              <w:jc w:val="both"/>
            </w:pPr>
            <w:r w:rsidRPr="00B51B04">
              <w:t>8.6. par būvdarbu pabeigšanas datumu;</w:t>
            </w:r>
          </w:p>
          <w:p w14:paraId="07F38AB9" w14:textId="77777777" w:rsidR="00345320" w:rsidRPr="00B51B04" w:rsidRDefault="00345320" w:rsidP="00612997">
            <w:pPr>
              <w:ind w:right="57"/>
              <w:contextualSpacing/>
              <w:jc w:val="both"/>
            </w:pPr>
          </w:p>
          <w:p w14:paraId="251D7E80" w14:textId="77777777" w:rsidR="00345320" w:rsidRPr="00B51B04" w:rsidRDefault="00345320" w:rsidP="00612997">
            <w:pPr>
              <w:ind w:right="57"/>
              <w:contextualSpacing/>
              <w:jc w:val="both"/>
            </w:pPr>
            <w:r w:rsidRPr="00B51B04">
              <w:t>8.7. par būvlaukumā izmantoto elektroniskās darba laika uzskaites sistēmu:</w:t>
            </w:r>
          </w:p>
          <w:p w14:paraId="778ABD2D" w14:textId="77777777" w:rsidR="00345320" w:rsidRPr="00B51B04" w:rsidRDefault="00345320" w:rsidP="00612997">
            <w:pPr>
              <w:ind w:right="57"/>
              <w:contextualSpacing/>
              <w:jc w:val="both"/>
            </w:pPr>
            <w:r w:rsidRPr="00B51B04">
              <w:t>8.7.1. elektroniskās darba laika uzskaites sistēmas nosaukums;</w:t>
            </w:r>
          </w:p>
          <w:p w14:paraId="20886EE5" w14:textId="77777777" w:rsidR="00345320" w:rsidRPr="00B51B04" w:rsidRDefault="00345320" w:rsidP="00612997">
            <w:pPr>
              <w:ind w:right="57"/>
              <w:contextualSpacing/>
              <w:jc w:val="both"/>
            </w:pPr>
            <w:r w:rsidRPr="00B51B04">
              <w:t>8.7.2. elektroniskās darba laika uzskaites sistēmas pārzinis.</w:t>
            </w:r>
          </w:p>
          <w:p w14:paraId="2D13114C" w14:textId="77777777" w:rsidR="00345320" w:rsidRPr="00B32778" w:rsidRDefault="00345320" w:rsidP="00612997">
            <w:pPr>
              <w:ind w:right="57"/>
              <w:contextualSpacing/>
              <w:jc w:val="both"/>
            </w:pPr>
          </w:p>
        </w:tc>
      </w:tr>
      <w:tr w:rsidR="00D261FA" w14:paraId="64B61074" w14:textId="77777777" w:rsidTr="00AE1D83">
        <w:tc>
          <w:tcPr>
            <w:tcW w:w="604" w:type="dxa"/>
          </w:tcPr>
          <w:p w14:paraId="01971270" w14:textId="4F1ED9FB" w:rsidR="00D261FA" w:rsidRPr="001E4AD9" w:rsidRDefault="00825895" w:rsidP="00D261FA">
            <w:pPr>
              <w:ind w:right="57"/>
              <w:contextualSpacing/>
              <w:jc w:val="center"/>
            </w:pPr>
            <w:r>
              <w:lastRenderedPageBreak/>
              <w:t>13.</w:t>
            </w:r>
          </w:p>
        </w:tc>
        <w:tc>
          <w:tcPr>
            <w:tcW w:w="3112" w:type="dxa"/>
            <w:tcBorders>
              <w:top w:val="single" w:sz="4" w:space="0" w:color="auto"/>
              <w:left w:val="single" w:sz="4" w:space="0" w:color="auto"/>
              <w:bottom w:val="single" w:sz="4" w:space="0" w:color="auto"/>
              <w:right w:val="single" w:sz="4" w:space="0" w:color="auto"/>
            </w:tcBorders>
          </w:tcPr>
          <w:p w14:paraId="1BAB0498" w14:textId="0F640C1B" w:rsidR="00D261FA" w:rsidRPr="007207ED" w:rsidRDefault="00D261FA" w:rsidP="00D261FA">
            <w:pPr>
              <w:shd w:val="clear" w:color="auto" w:fill="FFFFFF"/>
              <w:contextualSpacing/>
              <w:jc w:val="both"/>
            </w:pPr>
            <w:r>
              <w:t>Anotācija</w:t>
            </w:r>
          </w:p>
        </w:tc>
        <w:tc>
          <w:tcPr>
            <w:tcW w:w="4241" w:type="dxa"/>
          </w:tcPr>
          <w:p w14:paraId="09DDFD2D" w14:textId="77777777" w:rsidR="00D261FA" w:rsidRPr="007207ED" w:rsidRDefault="00D261FA" w:rsidP="00D261FA">
            <w:pPr>
              <w:ind w:right="57"/>
              <w:contextualSpacing/>
              <w:jc w:val="both"/>
              <w:rPr>
                <w:b/>
                <w:u w:val="single"/>
              </w:rPr>
            </w:pPr>
            <w:r w:rsidRPr="00E35872">
              <w:rPr>
                <w:b/>
                <w:u w:val="single"/>
              </w:rPr>
              <w:t>Latvijas Informācijas un komunikācijas tehnoloģijas asociācija</w:t>
            </w:r>
          </w:p>
          <w:p w14:paraId="51CADD47" w14:textId="50F381D9" w:rsidR="00D261FA" w:rsidRDefault="00D261FA" w:rsidP="00D261FA">
            <w:pPr>
              <w:ind w:right="57"/>
              <w:contextualSpacing/>
              <w:jc w:val="both"/>
            </w:pPr>
            <w:r>
              <w:t>Iebilstam Noteikumu projekta anotācijā (turpmāk – Anotācija) 2.punktā (7.lapa 3.rindkopa) noteiktajam par nepieciešamību nodrošināt katram no informācijas sistēmu auditu veikšanas ekspertu komandas dalībniekiem sertifikātu informācijas sistēmu drošības pārvaldībā.</w:t>
            </w:r>
          </w:p>
          <w:p w14:paraId="6E97DC0F" w14:textId="77777777" w:rsidR="00D261FA" w:rsidRDefault="00D261FA" w:rsidP="00D261FA">
            <w:pPr>
              <w:ind w:right="57"/>
              <w:contextualSpacing/>
              <w:jc w:val="both"/>
            </w:pPr>
            <w:r w:rsidRPr="00E17638">
              <w:rPr>
                <w:b/>
              </w:rPr>
              <w:t>Pamatojums:</w:t>
            </w:r>
            <w:r>
              <w:t xml:space="preserve"> Anotācijā ir dots piemērs, kurā norādīts, ka, ja informācijas sistēmu auditu veikšanas ekspertu komandā ir </w:t>
            </w:r>
            <w:r>
              <w:lastRenderedPageBreak/>
              <w:t xml:space="preserve">vairāki cilvēki, tad katram no ekspertiem ir nepieciešams sertifikāts informācijas sistēmu drošības pārvaldībā un informācijas sistēmu drošības auditora sertifikāts. Šādi definētas prasības var būt pārāk augstas prasības un būs pārāk ierobežots speciālistu loks, kas spēs nodrošināt šādu pakalpojumu. Objektīvi ir pieprasīt, lai katram no ekspertiem būtu informācijas sistēmu auditora sertifikāts vai informācijas sistēmu drošības auditora sertifikāts. Sertifikātam informācijas sistēmu drošības pārvaldībā nav jābūt obligātam visiem iesaistītajiem speciālistiem, bet gan informācijas sistēmu auditu veikšanas ekspertu komandas vadītājam, kurš dod norādījumus pārējiem komandas dalībniekiem attiecībā uz kopējo audita procesu. </w:t>
            </w:r>
          </w:p>
          <w:p w14:paraId="0ADBEDA6" w14:textId="52E22189" w:rsidR="00D261FA" w:rsidRDefault="00D261FA" w:rsidP="00D261FA">
            <w:pPr>
              <w:ind w:right="57"/>
              <w:contextualSpacing/>
              <w:jc w:val="both"/>
              <w:rPr>
                <w:b/>
                <w:u w:val="single"/>
              </w:rPr>
            </w:pPr>
            <w:r w:rsidRPr="00E17638">
              <w:rPr>
                <w:b/>
              </w:rPr>
              <w:t>Priekšlikums:</w:t>
            </w:r>
            <w:r>
              <w:t xml:space="preserve"> Izteikt Anotācijas 2. punktā 7. lapa 3. rindkopas otro teikumu šādā redakcijā: “Piemēram, ja pārbaudi veic trīs ekspertu komanda – visiem trim ekspertiem ir informācijas sistēmu drošības auditora sertifikāts, vienam - sertifikāts informācijas sistēmu drošības pārvaldībā.”.</w:t>
            </w:r>
          </w:p>
        </w:tc>
        <w:tc>
          <w:tcPr>
            <w:tcW w:w="3394" w:type="dxa"/>
          </w:tcPr>
          <w:p w14:paraId="095EB12A" w14:textId="47670B5A" w:rsidR="00D261FA" w:rsidRPr="00AD441E" w:rsidRDefault="00D261FA" w:rsidP="00D261FA">
            <w:pPr>
              <w:ind w:right="57"/>
              <w:contextualSpacing/>
              <w:jc w:val="center"/>
              <w:rPr>
                <w:b/>
              </w:rPr>
            </w:pPr>
            <w:r>
              <w:rPr>
                <w:b/>
              </w:rPr>
              <w:lastRenderedPageBreak/>
              <w:t>Ņ</w:t>
            </w:r>
            <w:r w:rsidRPr="00AD441E">
              <w:rPr>
                <w:b/>
              </w:rPr>
              <w:t>emts vērā</w:t>
            </w:r>
          </w:p>
          <w:p w14:paraId="3238C1A6" w14:textId="10BF4A03" w:rsidR="00D261FA" w:rsidRDefault="00D261FA" w:rsidP="00D261FA">
            <w:pPr>
              <w:ind w:right="57"/>
              <w:contextualSpacing/>
              <w:jc w:val="both"/>
              <w:rPr>
                <w:b/>
              </w:rPr>
            </w:pPr>
            <w:r w:rsidRPr="00AD441E">
              <w:t xml:space="preserve">Noteikumu projekta 3.punkts nosaka, ka juridiskā persona var veikt ārējo drošības pārbaudi, ja visi 2.3.apakšpunktā norādītie kvalifikācijas dokumenti ir kādam (vienam vai vairākiem) no pārbaudes veikšanā iesaistītajiem darbiniekiem. Savukārt noteikumu projektu sākotnējās ietekmes novērtējuma apvienotajā ziņojumā (anotācijā) sniegts </w:t>
            </w:r>
            <w:r w:rsidRPr="00AD441E">
              <w:lastRenderedPageBreak/>
              <w:t>skaidrojumus ar piemēriem par to, ka pārbaudes veikšanā iesaistītajam ekspertam (ja pārbaudi veic viens eksperts) vai ekspertu komandai (ja pārbaudi veic vairāku ekspertu komanda) kopā ir jānodrošina zināšanas visos 3.punktā minētajos jautājumos, proti, ka visi noteikumu projekta 3.punktā noteiktie sertifikāti var būt vienai personai (ja pārbaudi veic viens eksperts) vai ekspertu komandai (ja pārbaudi veic vairāku ekspertu komanda), kopā. Ne noteikumu projekts, ne noteikumu projektu sākotnējās ietekmes novērtējuma apvienotas ziņojums (anotācija) nenosaka, ka katram no ekspertiem ir nepieciešams sertifikāts informācijas sistēmu drošības pārvaldībā un informācijas sistēmu drošības auditora sertifikāts.</w:t>
            </w:r>
          </w:p>
        </w:tc>
        <w:tc>
          <w:tcPr>
            <w:tcW w:w="3676" w:type="dxa"/>
          </w:tcPr>
          <w:p w14:paraId="4669D250" w14:textId="09B5E5C4" w:rsidR="00D261FA" w:rsidRPr="009E6E96" w:rsidRDefault="00D261FA" w:rsidP="00D261FA">
            <w:pPr>
              <w:ind w:right="57"/>
              <w:contextualSpacing/>
              <w:jc w:val="both"/>
              <w:rPr>
                <w:color w:val="000000" w:themeColor="text1"/>
              </w:rPr>
            </w:pPr>
            <w:r w:rsidRPr="004C0CA7">
              <w:rPr>
                <w:b/>
              </w:rPr>
              <w:lastRenderedPageBreak/>
              <w:t xml:space="preserve">Noteikumu projektu sākotnējās ietekmes novērtējuma apvienotajā ziņojumā (anotācijas) </w:t>
            </w:r>
            <w:r w:rsidR="005D46A8">
              <w:rPr>
                <w:b/>
              </w:rPr>
              <w:t>8</w:t>
            </w:r>
            <w:r w:rsidRPr="004C0CA7">
              <w:rPr>
                <w:b/>
              </w:rPr>
              <w:t xml:space="preserve">.lpp </w:t>
            </w:r>
            <w:proofErr w:type="spellStart"/>
            <w:r w:rsidRPr="004C0CA7">
              <w:rPr>
                <w:b/>
              </w:rPr>
              <w:t>rinkopa</w:t>
            </w:r>
            <w:proofErr w:type="spellEnd"/>
            <w:r w:rsidRPr="004C0CA7">
              <w:rPr>
                <w:b/>
              </w:rPr>
              <w:t xml:space="preserve"> </w:t>
            </w:r>
            <w:r w:rsidRPr="004C0CA7">
              <w:t xml:space="preserve">Svarīgi, ka pārbaudes veikšanā iesaistītajai ekspertu komandai ir zināšanas visos 3.punktā minētajos jautājumos, ko apliecina starptautiski atzīti sertifikāti. </w:t>
            </w:r>
            <w:r w:rsidRPr="004C0CA7">
              <w:rPr>
                <w:iCs/>
              </w:rPr>
              <w:t xml:space="preserve">Piemēram, ja pārbaudi veic trīs ekspertu komanda – </w:t>
            </w:r>
            <w:r w:rsidRPr="004C0CA7">
              <w:rPr>
                <w:iCs/>
                <w:u w:val="single"/>
              </w:rPr>
              <w:t xml:space="preserve">vienam ekspertam ir drošības auditora sertifikāts, otram - sertifikāts </w:t>
            </w:r>
            <w:r w:rsidRPr="004C0CA7">
              <w:rPr>
                <w:iCs/>
                <w:u w:val="single"/>
              </w:rPr>
              <w:lastRenderedPageBreak/>
              <w:t xml:space="preserve">informācijas sistēmu drošības pārvaldībā, </w:t>
            </w:r>
            <w:r w:rsidRPr="004C0CA7">
              <w:rPr>
                <w:iCs/>
              </w:rPr>
              <w:t xml:space="preserve">trešajam ekspertam no trim ekspertu komandas ir ielaušanās un ievainojamības testēšanas profesionāļa sertifikāts. Tādējādi visai ekspertu komandai, kas veiks EDLUS drošības pārbaudi, </w:t>
            </w:r>
            <w:r w:rsidRPr="004C0CA7">
              <w:rPr>
                <w:iCs/>
                <w:u w:val="single"/>
              </w:rPr>
              <w:t>kopumā</w:t>
            </w:r>
            <w:r w:rsidRPr="004C0CA7">
              <w:rPr>
                <w:iCs/>
              </w:rPr>
              <w:t xml:space="preserve"> ir nodrošināts nepieciešamo zināšanu apjoms informācijas sistēmu pārbaudē, ko apliecina starptautiskie sertifikāti.</w:t>
            </w:r>
          </w:p>
        </w:tc>
      </w:tr>
      <w:tr w:rsidR="00D261FA" w14:paraId="7BDD0B72" w14:textId="77777777" w:rsidTr="00AE1D83">
        <w:tc>
          <w:tcPr>
            <w:tcW w:w="604" w:type="dxa"/>
          </w:tcPr>
          <w:p w14:paraId="37A21BF1" w14:textId="5F16D89A" w:rsidR="00D261FA" w:rsidRPr="001E4AD9" w:rsidRDefault="00825895" w:rsidP="00D261FA">
            <w:pPr>
              <w:ind w:right="57"/>
              <w:contextualSpacing/>
              <w:jc w:val="center"/>
            </w:pPr>
            <w:r>
              <w:lastRenderedPageBreak/>
              <w:t>14.</w:t>
            </w:r>
          </w:p>
        </w:tc>
        <w:tc>
          <w:tcPr>
            <w:tcW w:w="3112" w:type="dxa"/>
            <w:tcBorders>
              <w:top w:val="single" w:sz="4" w:space="0" w:color="auto"/>
              <w:left w:val="single" w:sz="4" w:space="0" w:color="auto"/>
              <w:bottom w:val="single" w:sz="4" w:space="0" w:color="auto"/>
              <w:right w:val="single" w:sz="4" w:space="0" w:color="auto"/>
            </w:tcBorders>
          </w:tcPr>
          <w:p w14:paraId="6116B24F" w14:textId="5F8BC7DD" w:rsidR="00D261FA" w:rsidRPr="007207ED" w:rsidRDefault="00D261FA" w:rsidP="00D261FA">
            <w:pPr>
              <w:shd w:val="clear" w:color="auto" w:fill="FFFFFF"/>
              <w:contextualSpacing/>
              <w:jc w:val="both"/>
            </w:pPr>
            <w:r>
              <w:t>Anotācija</w:t>
            </w:r>
          </w:p>
        </w:tc>
        <w:tc>
          <w:tcPr>
            <w:tcW w:w="4241" w:type="dxa"/>
          </w:tcPr>
          <w:p w14:paraId="017CD9AB" w14:textId="73965ABE" w:rsidR="00D261FA" w:rsidRPr="007207ED" w:rsidRDefault="00D261FA" w:rsidP="00D261FA">
            <w:pPr>
              <w:ind w:right="57"/>
              <w:contextualSpacing/>
              <w:jc w:val="both"/>
              <w:rPr>
                <w:b/>
                <w:u w:val="single"/>
              </w:rPr>
            </w:pPr>
            <w:r>
              <w:rPr>
                <w:b/>
                <w:u w:val="single"/>
              </w:rPr>
              <w:t>Valsts kanceleja</w:t>
            </w:r>
          </w:p>
          <w:p w14:paraId="3EC35EA9" w14:textId="779C758B" w:rsidR="00D261FA" w:rsidRDefault="00D261FA" w:rsidP="00D261FA">
            <w:pPr>
              <w:ind w:right="57"/>
              <w:contextualSpacing/>
              <w:jc w:val="both"/>
              <w:rPr>
                <w:b/>
                <w:u w:val="single"/>
              </w:rPr>
            </w:pPr>
            <w:r w:rsidRPr="009A5551">
              <w:t xml:space="preserve">Anotācijas II sadaļas “Tiesību akta projekta ietekme uz sabiedrību, tautsaimniecības attīstību un </w:t>
            </w:r>
            <w:r w:rsidRPr="009A5551">
              <w:lastRenderedPageBreak/>
              <w:t xml:space="preserve">administratīvo slogu” 1. punktā “Sabiedrības </w:t>
            </w:r>
            <w:proofErr w:type="spellStart"/>
            <w:r w:rsidRPr="009A5551">
              <w:t>mērķgrupas</w:t>
            </w:r>
            <w:proofErr w:type="spellEnd"/>
            <w:r w:rsidRPr="009A5551">
              <w:t xml:space="preserve">, kuras tiesiskais regulējums ietekmē, vai varētu ietekmēt” minēts, ka “Noteikumu projektā ietvertais tiesiskais regulējums attiecas uz galveno būvdarbu veicēju, apakšuzņēmēju un personām, kas nodarbinātas jaunas trešās grupas būves būvniecībā vai būvdarbos, kuru izmaksas veido 350 000 </w:t>
            </w:r>
            <w:proofErr w:type="spellStart"/>
            <w:r w:rsidRPr="009A5551">
              <w:t>euro</w:t>
            </w:r>
            <w:proofErr w:type="spellEnd"/>
            <w:r w:rsidRPr="009A5551">
              <w:t xml:space="preserve"> vai vairāk (atbilstoši likuma “Par Nodokļiem un nodevām” 107. pantam (spēkā no 2020. gada 1. janvāra).” Lūdzam ietvert datus par personu, uz kurām attiecas noteikumu projekts, skaitu, norādot informācijas avotu.</w:t>
            </w:r>
          </w:p>
        </w:tc>
        <w:tc>
          <w:tcPr>
            <w:tcW w:w="3394" w:type="dxa"/>
          </w:tcPr>
          <w:p w14:paraId="000D344F" w14:textId="77777777" w:rsidR="00D261FA" w:rsidRDefault="00D261FA" w:rsidP="00D261FA">
            <w:pPr>
              <w:ind w:right="57"/>
              <w:contextualSpacing/>
              <w:jc w:val="center"/>
              <w:rPr>
                <w:b/>
              </w:rPr>
            </w:pPr>
            <w:r>
              <w:rPr>
                <w:b/>
              </w:rPr>
              <w:lastRenderedPageBreak/>
              <w:t>Ņemts vērā</w:t>
            </w:r>
          </w:p>
          <w:p w14:paraId="68134AB1" w14:textId="635F48E6" w:rsidR="00D261FA" w:rsidRPr="001B6B1E" w:rsidRDefault="00D261FA" w:rsidP="00D261FA">
            <w:pPr>
              <w:ind w:right="57"/>
              <w:contextualSpacing/>
              <w:jc w:val="center"/>
            </w:pPr>
          </w:p>
        </w:tc>
        <w:tc>
          <w:tcPr>
            <w:tcW w:w="3676" w:type="dxa"/>
          </w:tcPr>
          <w:p w14:paraId="6A972D98" w14:textId="77777777" w:rsidR="00D261FA" w:rsidRPr="006866B7" w:rsidRDefault="00D261FA" w:rsidP="00D261FA">
            <w:pPr>
              <w:ind w:right="57"/>
              <w:contextualSpacing/>
              <w:jc w:val="both"/>
              <w:rPr>
                <w:color w:val="000000" w:themeColor="text1"/>
              </w:rPr>
            </w:pPr>
            <w:r w:rsidRPr="006866B7">
              <w:rPr>
                <w:color w:val="000000" w:themeColor="text1"/>
              </w:rPr>
              <w:t>Anotācija papildināta:</w:t>
            </w:r>
          </w:p>
          <w:p w14:paraId="47254536" w14:textId="5318FD67" w:rsidR="00D261FA" w:rsidRPr="00CF7FE6" w:rsidRDefault="00D261FA" w:rsidP="00D261FA">
            <w:pPr>
              <w:ind w:right="57"/>
              <w:contextualSpacing/>
              <w:jc w:val="both"/>
              <w:rPr>
                <w:color w:val="000000" w:themeColor="text1"/>
                <w:u w:val="single"/>
              </w:rPr>
            </w:pPr>
            <w:r w:rsidRPr="006866B7">
              <w:rPr>
                <w:color w:val="000000" w:themeColor="text1"/>
                <w:u w:val="single"/>
              </w:rPr>
              <w:t xml:space="preserve">Katrā konkrētā laika periodā objektu skaits, kas atbilst jaunas trešās grupas būvju vai būvdarbu, </w:t>
            </w:r>
            <w:r w:rsidRPr="006866B7">
              <w:rPr>
                <w:color w:val="000000" w:themeColor="text1"/>
                <w:u w:val="single"/>
              </w:rPr>
              <w:lastRenderedPageBreak/>
              <w:t xml:space="preserve">kuru izmaksas veido 350 000 </w:t>
            </w:r>
            <w:proofErr w:type="spellStart"/>
            <w:r w:rsidRPr="006866B7">
              <w:rPr>
                <w:color w:val="000000" w:themeColor="text1"/>
                <w:u w:val="single"/>
              </w:rPr>
              <w:t>euro</w:t>
            </w:r>
            <w:proofErr w:type="spellEnd"/>
            <w:r w:rsidRPr="006866B7">
              <w:rPr>
                <w:color w:val="000000" w:themeColor="text1"/>
                <w:u w:val="single"/>
              </w:rPr>
              <w:t xml:space="preserve"> vai vairāk, ir atšķirīgs. Atbilstoši faktiskajam objektu skaitam un to lielumam tiek piesaistīti būvdarbu veicēji, apakšuzņēmēji un būvlaukumā nodarbinātās personas. Šobrīd aktīvo būvkomersantu skaits ir 5996 (Būvkomersantu reģistra dati uz 01.10.2019.), savukārt būvniecībā nodarbināto personu skaits ir 69 450 (</w:t>
            </w:r>
            <w:proofErr w:type="spellStart"/>
            <w:r w:rsidRPr="006866B7">
              <w:rPr>
                <w:color w:val="000000" w:themeColor="text1"/>
                <w:u w:val="single"/>
              </w:rPr>
              <w:t>Eurostat</w:t>
            </w:r>
            <w:proofErr w:type="spellEnd"/>
            <w:r w:rsidRPr="006866B7">
              <w:rPr>
                <w:color w:val="000000" w:themeColor="text1"/>
                <w:u w:val="single"/>
              </w:rPr>
              <w:t xml:space="preserve"> dati).</w:t>
            </w:r>
          </w:p>
        </w:tc>
      </w:tr>
      <w:tr w:rsidR="00D261FA" w14:paraId="182EF6D1" w14:textId="77777777" w:rsidTr="00AE1D83">
        <w:tc>
          <w:tcPr>
            <w:tcW w:w="604" w:type="dxa"/>
          </w:tcPr>
          <w:p w14:paraId="6A0D04A8" w14:textId="1B01E77F" w:rsidR="00D261FA" w:rsidRPr="001E4AD9" w:rsidRDefault="00825895" w:rsidP="00D261FA">
            <w:pPr>
              <w:ind w:right="57"/>
              <w:contextualSpacing/>
              <w:jc w:val="center"/>
            </w:pPr>
            <w:r>
              <w:lastRenderedPageBreak/>
              <w:t>15.</w:t>
            </w:r>
          </w:p>
        </w:tc>
        <w:tc>
          <w:tcPr>
            <w:tcW w:w="3112" w:type="dxa"/>
            <w:tcBorders>
              <w:top w:val="single" w:sz="4" w:space="0" w:color="auto"/>
              <w:left w:val="single" w:sz="4" w:space="0" w:color="auto"/>
              <w:bottom w:val="single" w:sz="4" w:space="0" w:color="auto"/>
              <w:right w:val="single" w:sz="4" w:space="0" w:color="auto"/>
            </w:tcBorders>
          </w:tcPr>
          <w:p w14:paraId="10787EC5" w14:textId="11FE20B2" w:rsidR="00D261FA" w:rsidRPr="007207ED" w:rsidRDefault="00D261FA" w:rsidP="00D261FA">
            <w:pPr>
              <w:shd w:val="clear" w:color="auto" w:fill="FFFFFF"/>
              <w:contextualSpacing/>
              <w:jc w:val="both"/>
            </w:pPr>
            <w:r>
              <w:t>Anotācija</w:t>
            </w:r>
          </w:p>
        </w:tc>
        <w:tc>
          <w:tcPr>
            <w:tcW w:w="4241" w:type="dxa"/>
          </w:tcPr>
          <w:p w14:paraId="4D7E33CF" w14:textId="77777777" w:rsidR="00D261FA" w:rsidRPr="007207ED" w:rsidRDefault="00D261FA" w:rsidP="00D261FA">
            <w:pPr>
              <w:ind w:right="57"/>
              <w:contextualSpacing/>
              <w:jc w:val="both"/>
              <w:rPr>
                <w:b/>
                <w:u w:val="single"/>
              </w:rPr>
            </w:pPr>
            <w:r>
              <w:rPr>
                <w:b/>
                <w:u w:val="single"/>
              </w:rPr>
              <w:t>Valsts kanceleja</w:t>
            </w:r>
          </w:p>
          <w:p w14:paraId="79A407F5" w14:textId="58CC3D7C" w:rsidR="00D261FA" w:rsidRDefault="00D261FA" w:rsidP="00D261FA">
            <w:pPr>
              <w:ind w:right="57"/>
              <w:contextualSpacing/>
              <w:jc w:val="both"/>
              <w:rPr>
                <w:b/>
                <w:u w:val="single"/>
              </w:rPr>
            </w:pPr>
            <w:r w:rsidRPr="00BD20E1">
              <w:t xml:space="preserve">Anotācijas II sadaļas “Tiesību akta projekta ietekme uz sabiedrību, tautsaimniecības attīstību un administratīvo slogu” 2. punktā minēts, ka “Noteikumi radīs papildus administratīvo slogu galvenajiem būvdarbu veicējiem, nodrošinot EDLUS datu nodošanu un informācijas ievadīšanu VEDLUDB.” Lūdzam norādīt izdevumu apjomu, kas veidosies </w:t>
            </w:r>
            <w:proofErr w:type="spellStart"/>
            <w:r w:rsidRPr="00BD20E1">
              <w:t>mērķgrupas</w:t>
            </w:r>
            <w:proofErr w:type="spellEnd"/>
            <w:r w:rsidRPr="00BD20E1">
              <w:t xml:space="preserve"> vienai personai un </w:t>
            </w:r>
            <w:proofErr w:type="spellStart"/>
            <w:r w:rsidRPr="00BD20E1">
              <w:t>mērķgrupai</w:t>
            </w:r>
            <w:proofErr w:type="spellEnd"/>
            <w:r w:rsidRPr="00BD20E1">
              <w:t xml:space="preserve"> kopumā, nodrošinot noteikumu projektā norādītās prasības.</w:t>
            </w:r>
          </w:p>
        </w:tc>
        <w:tc>
          <w:tcPr>
            <w:tcW w:w="3394" w:type="dxa"/>
          </w:tcPr>
          <w:p w14:paraId="0C080382" w14:textId="77777777" w:rsidR="00D261FA" w:rsidRDefault="00D261FA" w:rsidP="00D261FA">
            <w:pPr>
              <w:ind w:right="57"/>
              <w:contextualSpacing/>
              <w:jc w:val="center"/>
              <w:rPr>
                <w:b/>
              </w:rPr>
            </w:pPr>
            <w:r>
              <w:rPr>
                <w:b/>
              </w:rPr>
              <w:t>Ņemts vērā</w:t>
            </w:r>
          </w:p>
          <w:p w14:paraId="24D22B48" w14:textId="2B94308A" w:rsidR="00D261FA" w:rsidRDefault="00D261FA" w:rsidP="00D261FA">
            <w:pPr>
              <w:ind w:right="57"/>
              <w:contextualSpacing/>
              <w:jc w:val="center"/>
              <w:rPr>
                <w:b/>
              </w:rPr>
            </w:pPr>
          </w:p>
        </w:tc>
        <w:tc>
          <w:tcPr>
            <w:tcW w:w="3676" w:type="dxa"/>
          </w:tcPr>
          <w:p w14:paraId="6302DF9C" w14:textId="77777777" w:rsidR="00D261FA" w:rsidRDefault="00D261FA" w:rsidP="00D261FA">
            <w:pPr>
              <w:ind w:right="57"/>
              <w:contextualSpacing/>
              <w:jc w:val="both"/>
              <w:rPr>
                <w:color w:val="000000" w:themeColor="text1"/>
              </w:rPr>
            </w:pPr>
            <w:r>
              <w:rPr>
                <w:color w:val="000000" w:themeColor="text1"/>
              </w:rPr>
              <w:t>Anotācija papildināta:</w:t>
            </w:r>
          </w:p>
          <w:p w14:paraId="2DD32493" w14:textId="4D62FA12" w:rsidR="00D261FA" w:rsidRPr="00CF7FE6" w:rsidRDefault="00D261FA" w:rsidP="00D261FA">
            <w:pPr>
              <w:ind w:right="57"/>
              <w:contextualSpacing/>
              <w:jc w:val="both"/>
              <w:rPr>
                <w:color w:val="000000" w:themeColor="text1"/>
                <w:u w:val="single"/>
              </w:rPr>
            </w:pPr>
            <w:r w:rsidRPr="00CF7FE6">
              <w:rPr>
                <w:color w:val="000000" w:themeColor="text1"/>
                <w:u w:val="single"/>
              </w:rPr>
              <w:t xml:space="preserve">Datu nodošanai no EDLUS uz VEDLUDB līdzekļi nav nepieciešami. Savukārt, lai EDLUS varētu nodrošināt noteikumu projekta IV nodaļā noteiktās prasības, programmētājiem EDLUS jāizveido vienreizēja programma, kura veic </w:t>
            </w:r>
            <w:proofErr w:type="spellStart"/>
            <w:r w:rsidRPr="00CF7FE6">
              <w:rPr>
                <w:i/>
                <w:color w:val="000000" w:themeColor="text1"/>
                <w:u w:val="single"/>
              </w:rPr>
              <w:t>Hash</w:t>
            </w:r>
            <w:proofErr w:type="spellEnd"/>
            <w:r w:rsidRPr="00CF7FE6">
              <w:rPr>
                <w:color w:val="000000" w:themeColor="text1"/>
                <w:u w:val="single"/>
              </w:rPr>
              <w:t xml:space="preserve"> </w:t>
            </w:r>
            <w:proofErr w:type="spellStart"/>
            <w:r w:rsidRPr="00CF7FE6">
              <w:rPr>
                <w:color w:val="000000" w:themeColor="text1"/>
                <w:u w:val="single"/>
              </w:rPr>
              <w:t>kontrollsumas</w:t>
            </w:r>
            <w:proofErr w:type="spellEnd"/>
            <w:r w:rsidRPr="00CF7FE6">
              <w:rPr>
                <w:color w:val="000000" w:themeColor="text1"/>
                <w:u w:val="single"/>
              </w:rPr>
              <w:t xml:space="preserve"> aprēķināšanu</w:t>
            </w:r>
            <w:r w:rsidRPr="00CF7FE6">
              <w:rPr>
                <w:bCs/>
                <w:sz w:val="28"/>
                <w:szCs w:val="28"/>
                <w:u w:val="single"/>
              </w:rPr>
              <w:t xml:space="preserve"> </w:t>
            </w:r>
            <w:r w:rsidRPr="00CF7FE6">
              <w:rPr>
                <w:bCs/>
                <w:color w:val="000000" w:themeColor="text1"/>
                <w:u w:val="single"/>
              </w:rPr>
              <w:t xml:space="preserve">atbilstoši </w:t>
            </w:r>
            <w:r w:rsidRPr="00CF7FE6">
              <w:rPr>
                <w:bCs/>
                <w:i/>
                <w:color w:val="000000" w:themeColor="text1"/>
                <w:u w:val="single"/>
              </w:rPr>
              <w:t>“</w:t>
            </w:r>
            <w:proofErr w:type="spellStart"/>
            <w:r w:rsidRPr="00CF7FE6">
              <w:rPr>
                <w:bCs/>
                <w:i/>
                <w:color w:val="000000" w:themeColor="text1"/>
                <w:u w:val="single"/>
              </w:rPr>
              <w:t>Secure</w:t>
            </w:r>
            <w:proofErr w:type="spellEnd"/>
            <w:r w:rsidRPr="00CF7FE6">
              <w:rPr>
                <w:bCs/>
                <w:i/>
                <w:color w:val="000000" w:themeColor="text1"/>
                <w:u w:val="single"/>
              </w:rPr>
              <w:t xml:space="preserve"> </w:t>
            </w:r>
            <w:proofErr w:type="spellStart"/>
            <w:r w:rsidRPr="00CF7FE6">
              <w:rPr>
                <w:bCs/>
                <w:i/>
                <w:color w:val="000000" w:themeColor="text1"/>
                <w:u w:val="single"/>
              </w:rPr>
              <w:t>Hash</w:t>
            </w:r>
            <w:proofErr w:type="spellEnd"/>
            <w:r w:rsidRPr="00CF7FE6">
              <w:rPr>
                <w:bCs/>
                <w:i/>
                <w:color w:val="000000" w:themeColor="text1"/>
                <w:u w:val="single"/>
              </w:rPr>
              <w:t xml:space="preserve"> Standard (SHS) (</w:t>
            </w:r>
            <w:r w:rsidRPr="00CF7FE6">
              <w:rPr>
                <w:i/>
                <w:color w:val="000000" w:themeColor="text1"/>
                <w:u w:val="single"/>
              </w:rPr>
              <w:t>FIPS PUB 180-4)”</w:t>
            </w:r>
            <w:r w:rsidRPr="00CF7FE6">
              <w:rPr>
                <w:color w:val="000000" w:themeColor="text1"/>
                <w:u w:val="single"/>
              </w:rPr>
              <w:t xml:space="preserve">. Aptuvenās izmaksas vienam EDLUS lietotājam ir 10 – 20 programmētāja darba dienas. Ņemot vērā, ka izmaksu intervāls ir diezgan plašs un atkarīgs arī no </w:t>
            </w:r>
            <w:r w:rsidRPr="00CF7FE6">
              <w:rPr>
                <w:color w:val="000000" w:themeColor="text1"/>
                <w:u w:val="single"/>
              </w:rPr>
              <w:lastRenderedPageBreak/>
              <w:t xml:space="preserve">konkrētā programmētāja darba kapacitātes un atalgojuma, izdevuma apjoms vienai personai un </w:t>
            </w:r>
            <w:proofErr w:type="spellStart"/>
            <w:r w:rsidRPr="00CF7FE6">
              <w:rPr>
                <w:color w:val="000000" w:themeColor="text1"/>
                <w:u w:val="single"/>
              </w:rPr>
              <w:t>mērķgrupai</w:t>
            </w:r>
            <w:proofErr w:type="spellEnd"/>
            <w:r w:rsidRPr="00CF7FE6">
              <w:rPr>
                <w:color w:val="000000" w:themeColor="text1"/>
                <w:u w:val="single"/>
              </w:rPr>
              <w:t xml:space="preserve"> kopumā precīzi nav nosakāms.”</w:t>
            </w:r>
          </w:p>
        </w:tc>
      </w:tr>
      <w:tr w:rsidR="00D261FA" w14:paraId="3F7DF5C0" w14:textId="77777777" w:rsidTr="00AE1D83">
        <w:tc>
          <w:tcPr>
            <w:tcW w:w="604" w:type="dxa"/>
          </w:tcPr>
          <w:p w14:paraId="10BF09CE" w14:textId="6A175CA5" w:rsidR="00D261FA" w:rsidRPr="001E4AD9" w:rsidRDefault="00825895" w:rsidP="00D261FA">
            <w:pPr>
              <w:ind w:right="57"/>
              <w:contextualSpacing/>
              <w:jc w:val="center"/>
            </w:pPr>
            <w:r>
              <w:lastRenderedPageBreak/>
              <w:t>16.</w:t>
            </w:r>
          </w:p>
        </w:tc>
        <w:tc>
          <w:tcPr>
            <w:tcW w:w="3112" w:type="dxa"/>
            <w:tcBorders>
              <w:top w:val="single" w:sz="4" w:space="0" w:color="auto"/>
              <w:left w:val="single" w:sz="4" w:space="0" w:color="auto"/>
              <w:bottom w:val="single" w:sz="4" w:space="0" w:color="auto"/>
              <w:right w:val="single" w:sz="4" w:space="0" w:color="auto"/>
            </w:tcBorders>
          </w:tcPr>
          <w:p w14:paraId="0BE7D777" w14:textId="65FFE27D" w:rsidR="00D261FA" w:rsidRPr="007207ED" w:rsidRDefault="00D261FA" w:rsidP="00D261FA">
            <w:pPr>
              <w:shd w:val="clear" w:color="auto" w:fill="FFFFFF"/>
              <w:contextualSpacing/>
              <w:jc w:val="both"/>
            </w:pPr>
            <w:r>
              <w:t>Anotācija</w:t>
            </w:r>
          </w:p>
        </w:tc>
        <w:tc>
          <w:tcPr>
            <w:tcW w:w="4241" w:type="dxa"/>
          </w:tcPr>
          <w:p w14:paraId="25C73DF1" w14:textId="20BACE63" w:rsidR="00D261FA" w:rsidRPr="007207ED" w:rsidRDefault="00D261FA" w:rsidP="00D261FA">
            <w:pPr>
              <w:ind w:right="57"/>
              <w:contextualSpacing/>
              <w:jc w:val="both"/>
              <w:rPr>
                <w:b/>
                <w:u w:val="single"/>
              </w:rPr>
            </w:pPr>
            <w:r w:rsidRPr="00CF729D">
              <w:rPr>
                <w:b/>
                <w:u w:val="single"/>
              </w:rPr>
              <w:t>Vides aizsardzības un reģionālās attīstības ministrija</w:t>
            </w:r>
          </w:p>
          <w:p w14:paraId="5841A979" w14:textId="2908E073" w:rsidR="00D261FA" w:rsidRDefault="00D261FA" w:rsidP="00D261FA">
            <w:pPr>
              <w:ind w:right="57"/>
              <w:contextualSpacing/>
              <w:jc w:val="both"/>
              <w:rPr>
                <w:b/>
                <w:u w:val="single"/>
              </w:rPr>
            </w:pPr>
            <w:r w:rsidRPr="00924812">
              <w:t xml:space="preserve">Noteikumu projekta "Kārtība, kādā elektroniskās darba laika uzskaites sistēmas dati sniedzami iekļaušanai vienotajā elektroniskās darba laika uzskaites datubāzē, un prasības elektroniskās darba laika uzskaites sistēmas ārējai drošības pārbaudei un auditācijas pierakstiem" (VSS-921) anotācijā noteikts, ka Datu precizitāte un aktualitāte tiks nodrošināta, VEDLUDB veidojot sasaisti ar Iedzīvotāju reģistra datiem un VID vai Komercreģistra datiem un pie datu nodošanas pārbaudot iesniegto datu atbilstību valsts informācijas sistēmās reģistrētajiem datiem. Lūdzu anotācijā sniegt informāciju vai datu apmaiņa notiks izmantojot Valsts reģionālās attīstības aģentūras pārziņā esošo Valsts informācijas sistēmu </w:t>
            </w:r>
            <w:proofErr w:type="spellStart"/>
            <w:r w:rsidRPr="00924812">
              <w:t>savietotāju</w:t>
            </w:r>
            <w:proofErr w:type="spellEnd"/>
            <w:r w:rsidRPr="00924812">
              <w:t>.</w:t>
            </w:r>
          </w:p>
        </w:tc>
        <w:tc>
          <w:tcPr>
            <w:tcW w:w="3394" w:type="dxa"/>
          </w:tcPr>
          <w:p w14:paraId="7C7A2E16" w14:textId="77777777" w:rsidR="00D261FA" w:rsidRPr="00941337" w:rsidRDefault="00D261FA" w:rsidP="00D261FA">
            <w:pPr>
              <w:ind w:right="57"/>
              <w:contextualSpacing/>
              <w:jc w:val="center"/>
              <w:rPr>
                <w:b/>
              </w:rPr>
            </w:pPr>
            <w:r w:rsidRPr="00941337">
              <w:rPr>
                <w:b/>
              </w:rPr>
              <w:t>Ņemts vērā</w:t>
            </w:r>
          </w:p>
          <w:p w14:paraId="6A0F7E77" w14:textId="2095219C" w:rsidR="00D261FA" w:rsidRDefault="00D261FA" w:rsidP="00D261FA">
            <w:pPr>
              <w:ind w:right="57"/>
              <w:contextualSpacing/>
              <w:jc w:val="center"/>
              <w:rPr>
                <w:b/>
              </w:rPr>
            </w:pPr>
          </w:p>
        </w:tc>
        <w:tc>
          <w:tcPr>
            <w:tcW w:w="3676" w:type="dxa"/>
          </w:tcPr>
          <w:p w14:paraId="19E0A46C" w14:textId="10B9FE06" w:rsidR="00D261FA" w:rsidRDefault="00D261FA" w:rsidP="00D261FA">
            <w:pPr>
              <w:ind w:right="57"/>
              <w:contextualSpacing/>
              <w:jc w:val="both"/>
              <w:rPr>
                <w:color w:val="000000" w:themeColor="text1"/>
              </w:rPr>
            </w:pPr>
            <w:r>
              <w:rPr>
                <w:color w:val="000000" w:themeColor="text1"/>
              </w:rPr>
              <w:t>Anotācija papildināta:</w:t>
            </w:r>
          </w:p>
          <w:p w14:paraId="6F739091" w14:textId="76E3C349" w:rsidR="00D261FA" w:rsidRPr="00D05F4B" w:rsidRDefault="00D261FA" w:rsidP="00D261FA">
            <w:pPr>
              <w:ind w:right="57"/>
              <w:contextualSpacing/>
              <w:jc w:val="both"/>
              <w:rPr>
                <w:color w:val="000000" w:themeColor="text1"/>
                <w:u w:val="single"/>
              </w:rPr>
            </w:pPr>
            <w:r w:rsidRPr="00D05F4B">
              <w:rPr>
                <w:color w:val="000000" w:themeColor="text1"/>
                <w:u w:val="single"/>
              </w:rPr>
              <w:t xml:space="preserve">Datu apmaiņa notiks, izmantojot esošās būvniecības informācijas sistēmas </w:t>
            </w:r>
            <w:proofErr w:type="spellStart"/>
            <w:r w:rsidRPr="00D05F4B">
              <w:rPr>
                <w:color w:val="000000" w:themeColor="text1"/>
                <w:u w:val="single"/>
              </w:rPr>
              <w:t>saskarnes</w:t>
            </w:r>
            <w:proofErr w:type="spellEnd"/>
            <w:r w:rsidRPr="00D05F4B">
              <w:rPr>
                <w:color w:val="000000" w:themeColor="text1"/>
                <w:u w:val="single"/>
              </w:rPr>
              <w:t xml:space="preserve">  – ar Iedzīvotāju reģistru – pa tiešo, ar Uzņēmumu reģistru, izmantojot Valsts informācijas sistēmu </w:t>
            </w:r>
            <w:proofErr w:type="spellStart"/>
            <w:r w:rsidRPr="00D05F4B">
              <w:rPr>
                <w:color w:val="000000" w:themeColor="text1"/>
                <w:u w:val="single"/>
              </w:rPr>
              <w:t>savietotāju</w:t>
            </w:r>
            <w:proofErr w:type="spellEnd"/>
            <w:r w:rsidRPr="00D05F4B">
              <w:rPr>
                <w:color w:val="000000" w:themeColor="text1"/>
                <w:u w:val="single"/>
              </w:rPr>
              <w:t xml:space="preserve">. </w:t>
            </w:r>
            <w:r w:rsidRPr="00A10D4D">
              <w:rPr>
                <w:color w:val="000000" w:themeColor="text1"/>
                <w:u w:val="single"/>
              </w:rPr>
              <w:t xml:space="preserve">Ar Valsts ieņēmumu dienestu  </w:t>
            </w:r>
            <w:proofErr w:type="spellStart"/>
            <w:r w:rsidRPr="00A10D4D">
              <w:rPr>
                <w:color w:val="000000" w:themeColor="text1"/>
                <w:u w:val="single"/>
              </w:rPr>
              <w:t>saskarni</w:t>
            </w:r>
            <w:proofErr w:type="spellEnd"/>
            <w:r w:rsidRPr="00A10D4D">
              <w:rPr>
                <w:color w:val="000000" w:themeColor="text1"/>
                <w:u w:val="single"/>
              </w:rPr>
              <w:t xml:space="preserve"> veidos pa tiešo.</w:t>
            </w:r>
          </w:p>
        </w:tc>
      </w:tr>
      <w:tr w:rsidR="00D261FA" w14:paraId="6E687F91" w14:textId="77777777" w:rsidTr="00AE1D83">
        <w:tc>
          <w:tcPr>
            <w:tcW w:w="604" w:type="dxa"/>
          </w:tcPr>
          <w:p w14:paraId="5E498FF4" w14:textId="4D6A86C3" w:rsidR="00D261FA" w:rsidRPr="001E4AD9" w:rsidRDefault="00825895" w:rsidP="00D261FA">
            <w:pPr>
              <w:ind w:right="57"/>
              <w:contextualSpacing/>
              <w:jc w:val="center"/>
            </w:pPr>
            <w:r>
              <w:t xml:space="preserve">17. </w:t>
            </w:r>
          </w:p>
        </w:tc>
        <w:tc>
          <w:tcPr>
            <w:tcW w:w="3112" w:type="dxa"/>
            <w:tcBorders>
              <w:top w:val="single" w:sz="4" w:space="0" w:color="auto"/>
              <w:left w:val="single" w:sz="4" w:space="0" w:color="auto"/>
              <w:bottom w:val="single" w:sz="4" w:space="0" w:color="auto"/>
              <w:right w:val="single" w:sz="4" w:space="0" w:color="auto"/>
            </w:tcBorders>
          </w:tcPr>
          <w:p w14:paraId="47246F3D" w14:textId="67CD5488" w:rsidR="00D261FA" w:rsidRPr="007207ED" w:rsidRDefault="00D261FA" w:rsidP="00D261FA">
            <w:pPr>
              <w:shd w:val="clear" w:color="auto" w:fill="FFFFFF"/>
              <w:contextualSpacing/>
              <w:jc w:val="both"/>
            </w:pPr>
            <w:r>
              <w:t>Anotācija</w:t>
            </w:r>
          </w:p>
        </w:tc>
        <w:tc>
          <w:tcPr>
            <w:tcW w:w="4241" w:type="dxa"/>
          </w:tcPr>
          <w:p w14:paraId="0C795AB6" w14:textId="77777777" w:rsidR="00D261FA" w:rsidRPr="007207ED" w:rsidRDefault="00D261FA" w:rsidP="00D261FA">
            <w:pPr>
              <w:ind w:right="57"/>
              <w:contextualSpacing/>
              <w:jc w:val="both"/>
              <w:rPr>
                <w:b/>
                <w:u w:val="single"/>
              </w:rPr>
            </w:pPr>
            <w:r w:rsidRPr="00CF729D">
              <w:rPr>
                <w:b/>
                <w:u w:val="single"/>
              </w:rPr>
              <w:t>Vides aizsardzības un reģionālās attīstības ministrija</w:t>
            </w:r>
          </w:p>
          <w:p w14:paraId="5BCC4AB4" w14:textId="1115D799" w:rsidR="00D261FA" w:rsidRDefault="00D261FA" w:rsidP="00D261FA">
            <w:pPr>
              <w:ind w:right="57"/>
              <w:contextualSpacing/>
              <w:jc w:val="both"/>
              <w:rPr>
                <w:b/>
                <w:u w:val="single"/>
              </w:rPr>
            </w:pPr>
            <w:r w:rsidRPr="00F710CC">
              <w:t xml:space="preserve">Noteikumu projektu anotācijās norādīts, ka papildus finansējums nebūs nepieciešams. Lūdzu papildināt </w:t>
            </w:r>
            <w:r w:rsidRPr="00F710CC">
              <w:lastRenderedPageBreak/>
              <w:t>anotācijas ar informāciju, ka, līdz ar grozījumu spēkā stāšanos, tehniskie pilnveidojumi informācijas sistēmām nebūs nepieciešami vai arī šādi pilnveidojumi jau ir veikti.</w:t>
            </w:r>
          </w:p>
        </w:tc>
        <w:tc>
          <w:tcPr>
            <w:tcW w:w="3394" w:type="dxa"/>
          </w:tcPr>
          <w:p w14:paraId="4C4C44E4" w14:textId="63A7FD48" w:rsidR="00D261FA" w:rsidRDefault="00D261FA" w:rsidP="00D261FA">
            <w:pPr>
              <w:ind w:right="57"/>
              <w:contextualSpacing/>
              <w:jc w:val="center"/>
              <w:rPr>
                <w:b/>
              </w:rPr>
            </w:pPr>
            <w:r>
              <w:rPr>
                <w:b/>
              </w:rPr>
              <w:lastRenderedPageBreak/>
              <w:t>Ņemts vērā</w:t>
            </w:r>
          </w:p>
          <w:p w14:paraId="3EAC9E01" w14:textId="0B7C67DD" w:rsidR="00D261FA" w:rsidRPr="00AC5A6D" w:rsidRDefault="00D261FA" w:rsidP="00D261FA">
            <w:pPr>
              <w:ind w:right="57"/>
              <w:contextualSpacing/>
              <w:jc w:val="center"/>
            </w:pPr>
          </w:p>
          <w:p w14:paraId="7C1E4CC8" w14:textId="77777777" w:rsidR="00D261FA" w:rsidRDefault="00D261FA" w:rsidP="00D261FA">
            <w:pPr>
              <w:ind w:right="57"/>
              <w:contextualSpacing/>
              <w:jc w:val="center"/>
              <w:rPr>
                <w:b/>
              </w:rPr>
            </w:pPr>
          </w:p>
          <w:p w14:paraId="24FBC63B" w14:textId="77777777" w:rsidR="00D261FA" w:rsidRDefault="00D261FA" w:rsidP="00D261FA">
            <w:pPr>
              <w:ind w:right="57"/>
              <w:contextualSpacing/>
              <w:jc w:val="center"/>
              <w:rPr>
                <w:b/>
                <w:bCs/>
                <w:color w:val="FF0000"/>
                <w:highlight w:val="yellow"/>
              </w:rPr>
            </w:pPr>
          </w:p>
          <w:p w14:paraId="475AC989" w14:textId="5B709EFE" w:rsidR="00D261FA" w:rsidRDefault="00D261FA" w:rsidP="00D261FA">
            <w:pPr>
              <w:ind w:right="57"/>
              <w:contextualSpacing/>
              <w:jc w:val="center"/>
              <w:rPr>
                <w:b/>
              </w:rPr>
            </w:pPr>
          </w:p>
        </w:tc>
        <w:tc>
          <w:tcPr>
            <w:tcW w:w="3676" w:type="dxa"/>
          </w:tcPr>
          <w:p w14:paraId="29598CD0" w14:textId="77777777" w:rsidR="00D261FA" w:rsidRPr="006866B7" w:rsidRDefault="00D261FA" w:rsidP="00D261FA">
            <w:pPr>
              <w:ind w:right="57"/>
              <w:contextualSpacing/>
              <w:jc w:val="both"/>
              <w:rPr>
                <w:color w:val="000000" w:themeColor="text1"/>
              </w:rPr>
            </w:pPr>
            <w:r w:rsidRPr="006866B7">
              <w:rPr>
                <w:color w:val="000000" w:themeColor="text1"/>
              </w:rPr>
              <w:t>Anotācija papildināta:</w:t>
            </w:r>
          </w:p>
          <w:p w14:paraId="00F26710" w14:textId="6FDA5103" w:rsidR="00D261FA" w:rsidRPr="00A53C87" w:rsidRDefault="00D261FA" w:rsidP="00D261FA">
            <w:pPr>
              <w:ind w:right="57"/>
              <w:contextualSpacing/>
              <w:jc w:val="both"/>
              <w:rPr>
                <w:color w:val="000000" w:themeColor="text1"/>
                <w:u w:val="single"/>
              </w:rPr>
            </w:pPr>
            <w:r w:rsidRPr="006866B7">
              <w:rPr>
                <w:color w:val="000000" w:themeColor="text1"/>
                <w:u w:val="single"/>
              </w:rPr>
              <w:t>Tehniskie pilnveidojumi informācijas sistēmām nav nepieciešami.</w:t>
            </w:r>
            <w:r w:rsidRPr="006866B7">
              <w:rPr>
                <w:u w:val="single"/>
              </w:rPr>
              <w:t xml:space="preserve"> </w:t>
            </w:r>
            <w:r w:rsidRPr="006866B7">
              <w:rPr>
                <w:color w:val="000000" w:themeColor="text1"/>
                <w:u w:val="single"/>
              </w:rPr>
              <w:t xml:space="preserve">Datu apmaiņa notiks, izmantojot esošās būvniecības </w:t>
            </w:r>
            <w:r w:rsidRPr="006866B7">
              <w:rPr>
                <w:color w:val="000000" w:themeColor="text1"/>
                <w:u w:val="single"/>
              </w:rPr>
              <w:lastRenderedPageBreak/>
              <w:t xml:space="preserve">informācijas sistēmas </w:t>
            </w:r>
            <w:proofErr w:type="spellStart"/>
            <w:r w:rsidRPr="006866B7">
              <w:rPr>
                <w:color w:val="000000" w:themeColor="text1"/>
                <w:u w:val="single"/>
              </w:rPr>
              <w:t>saskarnes</w:t>
            </w:r>
            <w:proofErr w:type="spellEnd"/>
            <w:r w:rsidRPr="006866B7">
              <w:rPr>
                <w:color w:val="000000" w:themeColor="text1"/>
                <w:u w:val="single"/>
              </w:rPr>
              <w:t>.  VID Datu noliktavas sistēmas izmaiņu izmaksas orientējoši var sastādīt 24662 EUR (ar PVN). Nepieciešamie finanšu līdzekļi izmaiņu veikšanai VID informācijas sistēmās tiks nodrošināti no piešķirtā finansējuma VID dotācijas budžetā.</w:t>
            </w:r>
          </w:p>
        </w:tc>
      </w:tr>
    </w:tbl>
    <w:tbl>
      <w:tblPr>
        <w:tblW w:w="14985" w:type="dxa"/>
        <w:tblLayout w:type="fixed"/>
        <w:tblLook w:val="00A0" w:firstRow="1" w:lastRow="0" w:firstColumn="1" w:lastColumn="0" w:noHBand="0" w:noVBand="0"/>
      </w:tblPr>
      <w:tblGrid>
        <w:gridCol w:w="5015"/>
        <w:gridCol w:w="9970"/>
      </w:tblGrid>
      <w:tr w:rsidR="005C663F" w14:paraId="195A76A3" w14:textId="77777777" w:rsidTr="00565B7A">
        <w:tc>
          <w:tcPr>
            <w:tcW w:w="5015" w:type="dxa"/>
          </w:tcPr>
          <w:p w14:paraId="63E28846" w14:textId="115341BE" w:rsidR="00565B7A" w:rsidRDefault="00565B7A">
            <w:pPr>
              <w:pStyle w:val="naiskr"/>
              <w:spacing w:before="0" w:after="0"/>
              <w:contextualSpacing/>
            </w:pPr>
          </w:p>
          <w:p w14:paraId="420DD4E3" w14:textId="77777777" w:rsidR="00087DE0" w:rsidRDefault="00087DE0">
            <w:pPr>
              <w:pStyle w:val="naiskr"/>
              <w:spacing w:before="0" w:after="0"/>
              <w:contextualSpacing/>
            </w:pPr>
          </w:p>
          <w:p w14:paraId="6619C330" w14:textId="1E84B362" w:rsidR="00B2777D" w:rsidRDefault="00E1789C">
            <w:pPr>
              <w:pStyle w:val="naiskr"/>
              <w:spacing w:before="0" w:after="0"/>
              <w:contextualSpacing/>
            </w:pPr>
            <w:r>
              <w:t>Atbildīgā amatpersona</w:t>
            </w:r>
          </w:p>
        </w:tc>
        <w:tc>
          <w:tcPr>
            <w:tcW w:w="9970" w:type="dxa"/>
            <w:hideMark/>
          </w:tcPr>
          <w:p w14:paraId="0561F0AB" w14:textId="77777777" w:rsidR="00B2777D" w:rsidRDefault="00E1789C">
            <w:pPr>
              <w:pStyle w:val="naiskr"/>
              <w:spacing w:before="0" w:after="0"/>
              <w:ind w:firstLine="720"/>
              <w:contextualSpacing/>
            </w:pPr>
            <w:r>
              <w:t>  </w:t>
            </w:r>
          </w:p>
        </w:tc>
      </w:tr>
      <w:tr w:rsidR="005C663F" w14:paraId="744A2282" w14:textId="77777777" w:rsidTr="00565B7A">
        <w:tc>
          <w:tcPr>
            <w:tcW w:w="5015" w:type="dxa"/>
          </w:tcPr>
          <w:p w14:paraId="3E860CA1" w14:textId="77777777" w:rsidR="00B2777D" w:rsidRDefault="00B2777D">
            <w:pPr>
              <w:pStyle w:val="naiskr"/>
              <w:spacing w:before="0" w:after="0"/>
              <w:ind w:firstLine="720"/>
              <w:contextualSpacing/>
            </w:pPr>
          </w:p>
        </w:tc>
        <w:tc>
          <w:tcPr>
            <w:tcW w:w="9970" w:type="dxa"/>
            <w:tcBorders>
              <w:top w:val="single" w:sz="6" w:space="0" w:color="000000"/>
              <w:left w:val="nil"/>
              <w:bottom w:val="nil"/>
              <w:right w:val="nil"/>
            </w:tcBorders>
            <w:hideMark/>
          </w:tcPr>
          <w:p w14:paraId="379F45EB" w14:textId="77777777" w:rsidR="00B2777D" w:rsidRDefault="00E1789C">
            <w:pPr>
              <w:pStyle w:val="naisc"/>
              <w:spacing w:before="0" w:after="0"/>
              <w:ind w:firstLine="720"/>
              <w:contextualSpacing/>
            </w:pPr>
            <w:r>
              <w:t>(paraksts)*</w:t>
            </w:r>
          </w:p>
        </w:tc>
      </w:tr>
    </w:tbl>
    <w:p w14:paraId="2CAEEEFC" w14:textId="71F71FF8" w:rsidR="00B2777D" w:rsidRDefault="0010783E" w:rsidP="00B2777D">
      <w:pPr>
        <w:pStyle w:val="naisf"/>
        <w:spacing w:before="0" w:after="0"/>
        <w:ind w:firstLine="0"/>
        <w:contextualSpacing/>
      </w:pPr>
      <w:r>
        <w:t>Andris Mālnieks</w:t>
      </w:r>
    </w:p>
    <w:tbl>
      <w:tblPr>
        <w:tblW w:w="0" w:type="auto"/>
        <w:tblLook w:val="00A0" w:firstRow="1" w:lastRow="0" w:firstColumn="1" w:lastColumn="0" w:noHBand="0" w:noVBand="0"/>
      </w:tblPr>
      <w:tblGrid>
        <w:gridCol w:w="8268"/>
      </w:tblGrid>
      <w:tr w:rsidR="005C663F" w14:paraId="4D6E280A" w14:textId="77777777" w:rsidTr="00B2777D">
        <w:tc>
          <w:tcPr>
            <w:tcW w:w="8268" w:type="dxa"/>
            <w:tcBorders>
              <w:top w:val="single" w:sz="4" w:space="0" w:color="000000"/>
              <w:left w:val="nil"/>
              <w:bottom w:val="nil"/>
              <w:right w:val="nil"/>
            </w:tcBorders>
            <w:hideMark/>
          </w:tcPr>
          <w:p w14:paraId="4E131735" w14:textId="77777777" w:rsidR="00B2777D" w:rsidRDefault="00E1789C">
            <w:pPr>
              <w:jc w:val="center"/>
            </w:pPr>
            <w:r>
              <w:t>(par projektu atbildīgās amatpersonas vārds un uzvārds)</w:t>
            </w:r>
          </w:p>
        </w:tc>
      </w:tr>
      <w:tr w:rsidR="005C663F" w14:paraId="0A7EEEE1" w14:textId="77777777" w:rsidTr="00B2777D">
        <w:tc>
          <w:tcPr>
            <w:tcW w:w="8268" w:type="dxa"/>
            <w:tcBorders>
              <w:top w:val="nil"/>
              <w:left w:val="nil"/>
              <w:bottom w:val="single" w:sz="4" w:space="0" w:color="000000"/>
              <w:right w:val="nil"/>
            </w:tcBorders>
            <w:hideMark/>
          </w:tcPr>
          <w:p w14:paraId="042B06D1" w14:textId="77777777" w:rsidR="00087DE0" w:rsidRDefault="00087DE0"/>
          <w:p w14:paraId="1602F508" w14:textId="1DDC3C60" w:rsidR="00B2777D" w:rsidRDefault="00E1789C">
            <w:r>
              <w:t>Būvniecības politikas departamenta vecāk</w:t>
            </w:r>
            <w:r w:rsidR="0010783E">
              <w:t>ais referents</w:t>
            </w:r>
          </w:p>
        </w:tc>
      </w:tr>
      <w:tr w:rsidR="005C663F" w14:paraId="63EAEFE2" w14:textId="77777777" w:rsidTr="00B2777D">
        <w:tc>
          <w:tcPr>
            <w:tcW w:w="8268" w:type="dxa"/>
            <w:tcBorders>
              <w:top w:val="single" w:sz="4" w:space="0" w:color="000000"/>
              <w:left w:val="nil"/>
              <w:bottom w:val="nil"/>
              <w:right w:val="nil"/>
            </w:tcBorders>
            <w:hideMark/>
          </w:tcPr>
          <w:p w14:paraId="429EDF57" w14:textId="77777777" w:rsidR="00B2777D" w:rsidRDefault="00E1789C">
            <w:pPr>
              <w:jc w:val="center"/>
            </w:pPr>
            <w:r>
              <w:t>(amats)</w:t>
            </w:r>
          </w:p>
        </w:tc>
      </w:tr>
      <w:tr w:rsidR="005C663F" w14:paraId="251BC49B" w14:textId="77777777" w:rsidTr="00B2777D">
        <w:tc>
          <w:tcPr>
            <w:tcW w:w="8268" w:type="dxa"/>
            <w:tcBorders>
              <w:top w:val="nil"/>
              <w:left w:val="nil"/>
              <w:bottom w:val="single" w:sz="4" w:space="0" w:color="000000"/>
              <w:right w:val="nil"/>
            </w:tcBorders>
            <w:hideMark/>
          </w:tcPr>
          <w:p w14:paraId="4701A4CA" w14:textId="1630B9E4" w:rsidR="00B2777D" w:rsidRDefault="00E1789C">
            <w:r>
              <w:t>67013</w:t>
            </w:r>
            <w:r w:rsidR="0010783E">
              <w:t>086</w:t>
            </w:r>
          </w:p>
        </w:tc>
      </w:tr>
      <w:tr w:rsidR="005C663F" w14:paraId="303C5043" w14:textId="77777777" w:rsidTr="00B2777D">
        <w:tc>
          <w:tcPr>
            <w:tcW w:w="8268" w:type="dxa"/>
            <w:tcBorders>
              <w:top w:val="single" w:sz="4" w:space="0" w:color="000000"/>
              <w:left w:val="nil"/>
              <w:bottom w:val="nil"/>
              <w:right w:val="nil"/>
            </w:tcBorders>
            <w:hideMark/>
          </w:tcPr>
          <w:p w14:paraId="35524560" w14:textId="77777777" w:rsidR="00B2777D" w:rsidRDefault="00E1789C">
            <w:pPr>
              <w:jc w:val="center"/>
            </w:pPr>
            <w:r>
              <w:t>(tālruņa un faksa numurs)</w:t>
            </w:r>
          </w:p>
        </w:tc>
      </w:tr>
      <w:tr w:rsidR="005C663F" w14:paraId="6E70BCD6" w14:textId="77777777" w:rsidTr="00B2777D">
        <w:tc>
          <w:tcPr>
            <w:tcW w:w="8268" w:type="dxa"/>
            <w:tcBorders>
              <w:top w:val="nil"/>
              <w:left w:val="nil"/>
              <w:bottom w:val="single" w:sz="4" w:space="0" w:color="000000"/>
              <w:right w:val="nil"/>
            </w:tcBorders>
            <w:hideMark/>
          </w:tcPr>
          <w:p w14:paraId="14DFF2C2" w14:textId="4151E98A" w:rsidR="00B2777D" w:rsidRDefault="0010783E">
            <w:r>
              <w:t>Andris</w:t>
            </w:r>
            <w:r w:rsidR="00E1789C">
              <w:t>.</w:t>
            </w:r>
            <w:r>
              <w:t>Malnieks</w:t>
            </w:r>
            <w:r w:rsidR="00E1789C">
              <w:t>@em.gov.lv</w:t>
            </w:r>
          </w:p>
        </w:tc>
      </w:tr>
      <w:tr w:rsidR="005C663F" w14:paraId="6090FCCB" w14:textId="77777777" w:rsidTr="00B2777D">
        <w:tc>
          <w:tcPr>
            <w:tcW w:w="8268" w:type="dxa"/>
            <w:tcBorders>
              <w:top w:val="single" w:sz="4" w:space="0" w:color="000000"/>
              <w:left w:val="nil"/>
              <w:bottom w:val="nil"/>
              <w:right w:val="nil"/>
            </w:tcBorders>
            <w:hideMark/>
          </w:tcPr>
          <w:p w14:paraId="76095F11" w14:textId="77777777" w:rsidR="00B2777D" w:rsidRDefault="00E1789C">
            <w:pPr>
              <w:jc w:val="center"/>
            </w:pPr>
            <w:r>
              <w:t>(e-pasta adrese)</w:t>
            </w:r>
          </w:p>
        </w:tc>
      </w:tr>
    </w:tbl>
    <w:p w14:paraId="5BCDF634" w14:textId="77777777" w:rsidR="00325BB1" w:rsidRDefault="00325BB1"/>
    <w:sectPr w:rsidR="00325BB1" w:rsidSect="005505C3">
      <w:headerReference w:type="default" r:id="rId9"/>
      <w:footerReference w:type="default" r:id="rId10"/>
      <w:pgSz w:w="16838" w:h="11906" w:orient="landscape" w:code="9"/>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235D" w14:textId="77777777" w:rsidR="0053333D" w:rsidRDefault="0053333D">
      <w:r>
        <w:separator/>
      </w:r>
    </w:p>
  </w:endnote>
  <w:endnote w:type="continuationSeparator" w:id="0">
    <w:p w14:paraId="45F52D00" w14:textId="77777777" w:rsidR="0053333D" w:rsidRDefault="0053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A545" w14:textId="543AF721" w:rsidR="0034430B" w:rsidRPr="00961821" w:rsidRDefault="0034430B">
    <w:pPr>
      <w:pStyle w:val="Footer"/>
      <w:rPr>
        <w:sz w:val="22"/>
        <w:szCs w:val="22"/>
      </w:rPr>
    </w:pPr>
    <w:r>
      <w:rPr>
        <w:sz w:val="22"/>
        <w:szCs w:val="22"/>
      </w:rPr>
      <w:t>EMizz_</w:t>
    </w:r>
    <w:r w:rsidR="0091211D">
      <w:rPr>
        <w:sz w:val="22"/>
        <w:szCs w:val="22"/>
      </w:rPr>
      <w:t>05</w:t>
    </w:r>
    <w:r>
      <w:rPr>
        <w:sz w:val="22"/>
        <w:szCs w:val="22"/>
      </w:rPr>
      <w:t>1</w:t>
    </w:r>
    <w:r w:rsidR="0091211D">
      <w:rPr>
        <w:sz w:val="22"/>
        <w:szCs w:val="22"/>
      </w:rPr>
      <w:t>1</w:t>
    </w:r>
    <w:r>
      <w:rPr>
        <w:sz w:val="22"/>
        <w:szCs w:val="22"/>
      </w:rPr>
      <w:t>19_VEDLUDB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64F2" w14:textId="77777777" w:rsidR="0053333D" w:rsidRDefault="0053333D">
      <w:r>
        <w:separator/>
      </w:r>
    </w:p>
  </w:footnote>
  <w:footnote w:type="continuationSeparator" w:id="0">
    <w:p w14:paraId="62E4E3CD" w14:textId="77777777" w:rsidR="0053333D" w:rsidRDefault="0053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01772"/>
      <w:docPartObj>
        <w:docPartGallery w:val="Page Numbers (Top of Page)"/>
        <w:docPartUnique/>
      </w:docPartObj>
    </w:sdtPr>
    <w:sdtEndPr>
      <w:rPr>
        <w:noProof/>
      </w:rPr>
    </w:sdtEndPr>
    <w:sdtContent>
      <w:p w14:paraId="1E7C9A2E" w14:textId="4205A40A" w:rsidR="0034430B" w:rsidRDefault="0034430B">
        <w:pPr>
          <w:pStyle w:val="Header"/>
          <w:jc w:val="center"/>
        </w:pPr>
        <w:r>
          <w:fldChar w:fldCharType="begin"/>
        </w:r>
        <w:r>
          <w:instrText xml:space="preserve"> PAGE   \* MERGEFORMAT </w:instrText>
        </w:r>
        <w:r>
          <w:fldChar w:fldCharType="separate"/>
        </w:r>
        <w:r>
          <w:rPr>
            <w:noProof/>
          </w:rPr>
          <w:t>30</w:t>
        </w:r>
        <w:r>
          <w:rPr>
            <w:noProof/>
          </w:rPr>
          <w:fldChar w:fldCharType="end"/>
        </w:r>
      </w:p>
    </w:sdtContent>
  </w:sdt>
  <w:p w14:paraId="2D33908F" w14:textId="77777777" w:rsidR="0034430B" w:rsidRDefault="0034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D584143"/>
    <w:multiLevelType w:val="hybridMultilevel"/>
    <w:tmpl w:val="257679AE"/>
    <w:lvl w:ilvl="0" w:tplc="8FA08042">
      <w:start w:val="1"/>
      <w:numFmt w:val="decimal"/>
      <w:lvlText w:val="%1."/>
      <w:lvlJc w:val="left"/>
      <w:pPr>
        <w:ind w:left="927" w:hanging="360"/>
      </w:pPr>
      <w:rPr>
        <w:rFonts w:hint="default"/>
      </w:rPr>
    </w:lvl>
    <w:lvl w:ilvl="1" w:tplc="F0A8F404" w:tentative="1">
      <w:start w:val="1"/>
      <w:numFmt w:val="lowerLetter"/>
      <w:lvlText w:val="%2."/>
      <w:lvlJc w:val="left"/>
      <w:pPr>
        <w:ind w:left="1647" w:hanging="360"/>
      </w:pPr>
    </w:lvl>
    <w:lvl w:ilvl="2" w:tplc="D972A700" w:tentative="1">
      <w:start w:val="1"/>
      <w:numFmt w:val="lowerRoman"/>
      <w:lvlText w:val="%3."/>
      <w:lvlJc w:val="right"/>
      <w:pPr>
        <w:ind w:left="2367" w:hanging="180"/>
      </w:pPr>
    </w:lvl>
    <w:lvl w:ilvl="3" w:tplc="39DAD638" w:tentative="1">
      <w:start w:val="1"/>
      <w:numFmt w:val="decimal"/>
      <w:lvlText w:val="%4."/>
      <w:lvlJc w:val="left"/>
      <w:pPr>
        <w:ind w:left="3087" w:hanging="360"/>
      </w:pPr>
    </w:lvl>
    <w:lvl w:ilvl="4" w:tplc="9B0A364C" w:tentative="1">
      <w:start w:val="1"/>
      <w:numFmt w:val="lowerLetter"/>
      <w:lvlText w:val="%5."/>
      <w:lvlJc w:val="left"/>
      <w:pPr>
        <w:ind w:left="3807" w:hanging="360"/>
      </w:pPr>
    </w:lvl>
    <w:lvl w:ilvl="5" w:tplc="7A00BA86" w:tentative="1">
      <w:start w:val="1"/>
      <w:numFmt w:val="lowerRoman"/>
      <w:lvlText w:val="%6."/>
      <w:lvlJc w:val="right"/>
      <w:pPr>
        <w:ind w:left="4527" w:hanging="180"/>
      </w:pPr>
    </w:lvl>
    <w:lvl w:ilvl="6" w:tplc="3F3A096C" w:tentative="1">
      <w:start w:val="1"/>
      <w:numFmt w:val="decimal"/>
      <w:lvlText w:val="%7."/>
      <w:lvlJc w:val="left"/>
      <w:pPr>
        <w:ind w:left="5247" w:hanging="360"/>
      </w:pPr>
    </w:lvl>
    <w:lvl w:ilvl="7" w:tplc="D45ED734" w:tentative="1">
      <w:start w:val="1"/>
      <w:numFmt w:val="lowerLetter"/>
      <w:lvlText w:val="%8."/>
      <w:lvlJc w:val="left"/>
      <w:pPr>
        <w:ind w:left="5967" w:hanging="360"/>
      </w:pPr>
    </w:lvl>
    <w:lvl w:ilvl="8" w:tplc="70284E38" w:tentative="1">
      <w:start w:val="1"/>
      <w:numFmt w:val="lowerRoman"/>
      <w:lvlText w:val="%9."/>
      <w:lvlJc w:val="right"/>
      <w:pPr>
        <w:ind w:left="6687" w:hanging="180"/>
      </w:pPr>
    </w:lvl>
  </w:abstractNum>
  <w:abstractNum w:abstractNumId="1" w15:restartNumberingAfterBreak="1">
    <w:nsid w:val="46795384"/>
    <w:multiLevelType w:val="multilevel"/>
    <w:tmpl w:val="78BEB6BC"/>
    <w:lvl w:ilvl="0">
      <w:start w:val="1"/>
      <w:numFmt w:val="decimal"/>
      <w:pStyle w:val="Punkts"/>
      <w:lvlText w:val="%1."/>
      <w:lvlJc w:val="left"/>
      <w:pPr>
        <w:ind w:left="502" w:hanging="360"/>
      </w:pPr>
      <w:rPr>
        <w:rFonts w:hint="default"/>
      </w:rPr>
    </w:lvl>
    <w:lvl w:ilvl="1">
      <w:start w:val="1"/>
      <w:numFmt w:val="decimal"/>
      <w:pStyle w:val="Apakshpunkts"/>
      <w:isLgl/>
      <w:lvlText w:val="%1.%2."/>
      <w:lvlJc w:val="left"/>
      <w:pPr>
        <w:ind w:left="1855"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2" w15:restartNumberingAfterBreak="0">
    <w:nsid w:val="55D05EEB"/>
    <w:multiLevelType w:val="multilevel"/>
    <w:tmpl w:val="228EFEB0"/>
    <w:lvl w:ilvl="0">
      <w:start w:val="1"/>
      <w:numFmt w:val="decimal"/>
      <w:lvlText w:val="%1."/>
      <w:lvlJc w:val="left"/>
      <w:pPr>
        <w:ind w:left="720" w:hanging="360"/>
      </w:pPr>
      <w:rPr>
        <w:rFonts w:hint="default"/>
        <w:b/>
        <w:bCs/>
      </w:rPr>
    </w:lvl>
    <w:lvl w:ilvl="1">
      <w:start w:val="1"/>
      <w:numFmt w:val="decimal"/>
      <w:lvlText w:val="%1.%2."/>
      <w:lvlJc w:val="left"/>
      <w:pPr>
        <w:ind w:left="720" w:hanging="360"/>
      </w:pPr>
      <w:rPr>
        <w:i w:val="0"/>
        <w:iCs w:val="0"/>
      </w:rPr>
    </w:lvl>
    <w:lvl w:ilvl="2">
      <w:start w:val="1"/>
      <w:numFmt w:val="decimal"/>
      <w:lvlText w:val="%1.%2.%3."/>
      <w:lvlJc w:val="left"/>
      <w:pPr>
        <w:ind w:left="1080" w:hanging="720"/>
      </w:pPr>
      <w:rPr>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ED"/>
    <w:rsid w:val="00000D1A"/>
    <w:rsid w:val="000030CE"/>
    <w:rsid w:val="000104F9"/>
    <w:rsid w:val="00011FE6"/>
    <w:rsid w:val="0001443B"/>
    <w:rsid w:val="00020688"/>
    <w:rsid w:val="0002234C"/>
    <w:rsid w:val="00025647"/>
    <w:rsid w:val="00034B28"/>
    <w:rsid w:val="000429E1"/>
    <w:rsid w:val="00042D13"/>
    <w:rsid w:val="000439D3"/>
    <w:rsid w:val="0004572A"/>
    <w:rsid w:val="00045B09"/>
    <w:rsid w:val="0005772D"/>
    <w:rsid w:val="00057F33"/>
    <w:rsid w:val="00063493"/>
    <w:rsid w:val="0006524C"/>
    <w:rsid w:val="00084B70"/>
    <w:rsid w:val="00087DE0"/>
    <w:rsid w:val="00090CD9"/>
    <w:rsid w:val="00095EF5"/>
    <w:rsid w:val="000A0E3F"/>
    <w:rsid w:val="000A37F7"/>
    <w:rsid w:val="000A5C89"/>
    <w:rsid w:val="000C2D70"/>
    <w:rsid w:val="000C6B4B"/>
    <w:rsid w:val="000C772B"/>
    <w:rsid w:val="000D5EFB"/>
    <w:rsid w:val="000D7CD2"/>
    <w:rsid w:val="000E2702"/>
    <w:rsid w:val="000E3D88"/>
    <w:rsid w:val="000E47B8"/>
    <w:rsid w:val="000E502D"/>
    <w:rsid w:val="000E77D4"/>
    <w:rsid w:val="000F0C4C"/>
    <w:rsid w:val="000F6953"/>
    <w:rsid w:val="0010762C"/>
    <w:rsid w:val="0010783E"/>
    <w:rsid w:val="001170FC"/>
    <w:rsid w:val="00124364"/>
    <w:rsid w:val="00125B00"/>
    <w:rsid w:val="0012760C"/>
    <w:rsid w:val="00130BCD"/>
    <w:rsid w:val="0013577B"/>
    <w:rsid w:val="00152126"/>
    <w:rsid w:val="0016231A"/>
    <w:rsid w:val="001649F2"/>
    <w:rsid w:val="00170061"/>
    <w:rsid w:val="001735AF"/>
    <w:rsid w:val="00182BA5"/>
    <w:rsid w:val="00194C1B"/>
    <w:rsid w:val="001964F7"/>
    <w:rsid w:val="001977A3"/>
    <w:rsid w:val="001A3102"/>
    <w:rsid w:val="001A315B"/>
    <w:rsid w:val="001A5A53"/>
    <w:rsid w:val="001B01C8"/>
    <w:rsid w:val="001B5D04"/>
    <w:rsid w:val="001B6B1E"/>
    <w:rsid w:val="001B763F"/>
    <w:rsid w:val="001D6D33"/>
    <w:rsid w:val="001E0C54"/>
    <w:rsid w:val="001E3615"/>
    <w:rsid w:val="001E44A8"/>
    <w:rsid w:val="001E4AD9"/>
    <w:rsid w:val="001E4D6A"/>
    <w:rsid w:val="001F0143"/>
    <w:rsid w:val="00214F57"/>
    <w:rsid w:val="00215251"/>
    <w:rsid w:val="00231D99"/>
    <w:rsid w:val="002405F4"/>
    <w:rsid w:val="00242ECC"/>
    <w:rsid w:val="00246A0D"/>
    <w:rsid w:val="00247968"/>
    <w:rsid w:val="00251D12"/>
    <w:rsid w:val="002628FE"/>
    <w:rsid w:val="00266ADF"/>
    <w:rsid w:val="002733B9"/>
    <w:rsid w:val="00274FEC"/>
    <w:rsid w:val="00277BC1"/>
    <w:rsid w:val="0028357C"/>
    <w:rsid w:val="00285020"/>
    <w:rsid w:val="00291C83"/>
    <w:rsid w:val="002967FF"/>
    <w:rsid w:val="002A50F9"/>
    <w:rsid w:val="002A63BC"/>
    <w:rsid w:val="002A761E"/>
    <w:rsid w:val="002B217B"/>
    <w:rsid w:val="002B363B"/>
    <w:rsid w:val="002C2815"/>
    <w:rsid w:val="002C6CDD"/>
    <w:rsid w:val="002C6E24"/>
    <w:rsid w:val="002D587D"/>
    <w:rsid w:val="002E6103"/>
    <w:rsid w:val="002E7FCE"/>
    <w:rsid w:val="003004C1"/>
    <w:rsid w:val="00300DDA"/>
    <w:rsid w:val="0030109A"/>
    <w:rsid w:val="00301842"/>
    <w:rsid w:val="00313E7E"/>
    <w:rsid w:val="00317287"/>
    <w:rsid w:val="00317B3E"/>
    <w:rsid w:val="00323ADE"/>
    <w:rsid w:val="00325BB1"/>
    <w:rsid w:val="00326B4C"/>
    <w:rsid w:val="00330747"/>
    <w:rsid w:val="0033605F"/>
    <w:rsid w:val="003367A7"/>
    <w:rsid w:val="0034430B"/>
    <w:rsid w:val="00345320"/>
    <w:rsid w:val="00345372"/>
    <w:rsid w:val="00347F20"/>
    <w:rsid w:val="00350F96"/>
    <w:rsid w:val="003558D1"/>
    <w:rsid w:val="003640B2"/>
    <w:rsid w:val="00366CFC"/>
    <w:rsid w:val="0037566C"/>
    <w:rsid w:val="00382387"/>
    <w:rsid w:val="00386960"/>
    <w:rsid w:val="00391B97"/>
    <w:rsid w:val="00396B08"/>
    <w:rsid w:val="003970B3"/>
    <w:rsid w:val="003A2E51"/>
    <w:rsid w:val="003C2A21"/>
    <w:rsid w:val="003D0593"/>
    <w:rsid w:val="003D3BA7"/>
    <w:rsid w:val="003E2536"/>
    <w:rsid w:val="003E4802"/>
    <w:rsid w:val="003F247E"/>
    <w:rsid w:val="003F28F2"/>
    <w:rsid w:val="004032E2"/>
    <w:rsid w:val="00406AA6"/>
    <w:rsid w:val="004140E2"/>
    <w:rsid w:val="00420198"/>
    <w:rsid w:val="00425388"/>
    <w:rsid w:val="00425E6E"/>
    <w:rsid w:val="00433448"/>
    <w:rsid w:val="00440DF4"/>
    <w:rsid w:val="004435F7"/>
    <w:rsid w:val="0045259D"/>
    <w:rsid w:val="00452F8B"/>
    <w:rsid w:val="004551E8"/>
    <w:rsid w:val="004618A7"/>
    <w:rsid w:val="00462CCA"/>
    <w:rsid w:val="00464709"/>
    <w:rsid w:val="0046723F"/>
    <w:rsid w:val="00472106"/>
    <w:rsid w:val="004737F8"/>
    <w:rsid w:val="00477A07"/>
    <w:rsid w:val="0049222B"/>
    <w:rsid w:val="00493BE1"/>
    <w:rsid w:val="00494A19"/>
    <w:rsid w:val="004A024B"/>
    <w:rsid w:val="004A7584"/>
    <w:rsid w:val="004B05BA"/>
    <w:rsid w:val="004B3AFA"/>
    <w:rsid w:val="004B6959"/>
    <w:rsid w:val="004C0CA7"/>
    <w:rsid w:val="004C3885"/>
    <w:rsid w:val="004C3CCC"/>
    <w:rsid w:val="004D2B2B"/>
    <w:rsid w:val="004D38A0"/>
    <w:rsid w:val="004E0DCD"/>
    <w:rsid w:val="004E59B1"/>
    <w:rsid w:val="004E6603"/>
    <w:rsid w:val="004F7A7C"/>
    <w:rsid w:val="00500D46"/>
    <w:rsid w:val="0050123F"/>
    <w:rsid w:val="00515C3C"/>
    <w:rsid w:val="00520A20"/>
    <w:rsid w:val="00527E1A"/>
    <w:rsid w:val="005326A3"/>
    <w:rsid w:val="0053333D"/>
    <w:rsid w:val="00544EDF"/>
    <w:rsid w:val="00545A61"/>
    <w:rsid w:val="00546DC1"/>
    <w:rsid w:val="005505C3"/>
    <w:rsid w:val="00552764"/>
    <w:rsid w:val="005569E8"/>
    <w:rsid w:val="00560885"/>
    <w:rsid w:val="00563E00"/>
    <w:rsid w:val="00565B7A"/>
    <w:rsid w:val="00570A77"/>
    <w:rsid w:val="00576688"/>
    <w:rsid w:val="00590364"/>
    <w:rsid w:val="00592142"/>
    <w:rsid w:val="00596530"/>
    <w:rsid w:val="005A0484"/>
    <w:rsid w:val="005A5F8F"/>
    <w:rsid w:val="005A7ECB"/>
    <w:rsid w:val="005C139B"/>
    <w:rsid w:val="005C463E"/>
    <w:rsid w:val="005C660C"/>
    <w:rsid w:val="005C663F"/>
    <w:rsid w:val="005C6B17"/>
    <w:rsid w:val="005D344C"/>
    <w:rsid w:val="005D46A8"/>
    <w:rsid w:val="005E2E1C"/>
    <w:rsid w:val="005F1BD1"/>
    <w:rsid w:val="005F7618"/>
    <w:rsid w:val="0060010D"/>
    <w:rsid w:val="00601040"/>
    <w:rsid w:val="00603913"/>
    <w:rsid w:val="00614E1E"/>
    <w:rsid w:val="006156E9"/>
    <w:rsid w:val="006212E6"/>
    <w:rsid w:val="0062416F"/>
    <w:rsid w:val="006351AE"/>
    <w:rsid w:val="00636404"/>
    <w:rsid w:val="00640DF0"/>
    <w:rsid w:val="00646349"/>
    <w:rsid w:val="006543B6"/>
    <w:rsid w:val="00657503"/>
    <w:rsid w:val="006765A7"/>
    <w:rsid w:val="00677E51"/>
    <w:rsid w:val="00682A18"/>
    <w:rsid w:val="006866B7"/>
    <w:rsid w:val="00692EB8"/>
    <w:rsid w:val="00697F21"/>
    <w:rsid w:val="006A0A5A"/>
    <w:rsid w:val="006A6449"/>
    <w:rsid w:val="006A6B0C"/>
    <w:rsid w:val="006A7637"/>
    <w:rsid w:val="006B404D"/>
    <w:rsid w:val="006B4347"/>
    <w:rsid w:val="006C01C0"/>
    <w:rsid w:val="006C4C41"/>
    <w:rsid w:val="006D45B4"/>
    <w:rsid w:val="006D6DFF"/>
    <w:rsid w:val="006E16AE"/>
    <w:rsid w:val="006E265C"/>
    <w:rsid w:val="006E322D"/>
    <w:rsid w:val="006E32B0"/>
    <w:rsid w:val="006E424B"/>
    <w:rsid w:val="006F4AB1"/>
    <w:rsid w:val="006F4C55"/>
    <w:rsid w:val="00700D9A"/>
    <w:rsid w:val="007044B6"/>
    <w:rsid w:val="007051D5"/>
    <w:rsid w:val="00712B66"/>
    <w:rsid w:val="00714B18"/>
    <w:rsid w:val="007207ED"/>
    <w:rsid w:val="0072185B"/>
    <w:rsid w:val="007235EE"/>
    <w:rsid w:val="0074110D"/>
    <w:rsid w:val="00745017"/>
    <w:rsid w:val="007574CB"/>
    <w:rsid w:val="00757E57"/>
    <w:rsid w:val="00760E4A"/>
    <w:rsid w:val="0076170C"/>
    <w:rsid w:val="007631F0"/>
    <w:rsid w:val="00766605"/>
    <w:rsid w:val="00773EAE"/>
    <w:rsid w:val="00780C9B"/>
    <w:rsid w:val="007817AF"/>
    <w:rsid w:val="00782718"/>
    <w:rsid w:val="00793694"/>
    <w:rsid w:val="007A07B4"/>
    <w:rsid w:val="007A18D4"/>
    <w:rsid w:val="007A1D59"/>
    <w:rsid w:val="007A3E4D"/>
    <w:rsid w:val="007B06E3"/>
    <w:rsid w:val="007B6D35"/>
    <w:rsid w:val="007B7422"/>
    <w:rsid w:val="007B7ACB"/>
    <w:rsid w:val="007C2417"/>
    <w:rsid w:val="007C5704"/>
    <w:rsid w:val="007D0DB9"/>
    <w:rsid w:val="007D4B88"/>
    <w:rsid w:val="007D7515"/>
    <w:rsid w:val="007E2022"/>
    <w:rsid w:val="007E2D7D"/>
    <w:rsid w:val="007E52A7"/>
    <w:rsid w:val="007F555C"/>
    <w:rsid w:val="008036CA"/>
    <w:rsid w:val="0080705D"/>
    <w:rsid w:val="00815D3A"/>
    <w:rsid w:val="00822B96"/>
    <w:rsid w:val="00823377"/>
    <w:rsid w:val="00825895"/>
    <w:rsid w:val="00826DD7"/>
    <w:rsid w:val="0083230D"/>
    <w:rsid w:val="0084092B"/>
    <w:rsid w:val="00842A86"/>
    <w:rsid w:val="008431B1"/>
    <w:rsid w:val="00844790"/>
    <w:rsid w:val="00844A51"/>
    <w:rsid w:val="00845AFF"/>
    <w:rsid w:val="00862515"/>
    <w:rsid w:val="00873764"/>
    <w:rsid w:val="008807F0"/>
    <w:rsid w:val="00881545"/>
    <w:rsid w:val="00882B08"/>
    <w:rsid w:val="00895999"/>
    <w:rsid w:val="008965F8"/>
    <w:rsid w:val="0089752C"/>
    <w:rsid w:val="008A0B1B"/>
    <w:rsid w:val="008A36C9"/>
    <w:rsid w:val="008B5666"/>
    <w:rsid w:val="008B5B2B"/>
    <w:rsid w:val="008B7284"/>
    <w:rsid w:val="008B77D0"/>
    <w:rsid w:val="008C150D"/>
    <w:rsid w:val="008C27BE"/>
    <w:rsid w:val="008C3F8E"/>
    <w:rsid w:val="008C6990"/>
    <w:rsid w:val="008D61F3"/>
    <w:rsid w:val="008E1B80"/>
    <w:rsid w:val="008F4ED6"/>
    <w:rsid w:val="008F7D71"/>
    <w:rsid w:val="00903ED1"/>
    <w:rsid w:val="00907DD6"/>
    <w:rsid w:val="0091211D"/>
    <w:rsid w:val="00915DF0"/>
    <w:rsid w:val="009174E1"/>
    <w:rsid w:val="00924812"/>
    <w:rsid w:val="009322C6"/>
    <w:rsid w:val="009523F6"/>
    <w:rsid w:val="00961821"/>
    <w:rsid w:val="009651B1"/>
    <w:rsid w:val="009672A0"/>
    <w:rsid w:val="00972305"/>
    <w:rsid w:val="00973917"/>
    <w:rsid w:val="00973952"/>
    <w:rsid w:val="009800DB"/>
    <w:rsid w:val="00985D8A"/>
    <w:rsid w:val="009864CE"/>
    <w:rsid w:val="00990B28"/>
    <w:rsid w:val="00995398"/>
    <w:rsid w:val="0099714B"/>
    <w:rsid w:val="009A3560"/>
    <w:rsid w:val="009A5551"/>
    <w:rsid w:val="009B3ED6"/>
    <w:rsid w:val="009C6BD3"/>
    <w:rsid w:val="009D00C3"/>
    <w:rsid w:val="009D3211"/>
    <w:rsid w:val="009E32C2"/>
    <w:rsid w:val="009E67E0"/>
    <w:rsid w:val="009E6E96"/>
    <w:rsid w:val="009E7A04"/>
    <w:rsid w:val="00A01ECB"/>
    <w:rsid w:val="00A02699"/>
    <w:rsid w:val="00A0343E"/>
    <w:rsid w:val="00A05B87"/>
    <w:rsid w:val="00A10D4D"/>
    <w:rsid w:val="00A16B30"/>
    <w:rsid w:val="00A20916"/>
    <w:rsid w:val="00A32351"/>
    <w:rsid w:val="00A33EC7"/>
    <w:rsid w:val="00A37B7D"/>
    <w:rsid w:val="00A436C2"/>
    <w:rsid w:val="00A47488"/>
    <w:rsid w:val="00A52F3D"/>
    <w:rsid w:val="00A53C87"/>
    <w:rsid w:val="00A625DB"/>
    <w:rsid w:val="00A6291C"/>
    <w:rsid w:val="00A65888"/>
    <w:rsid w:val="00A66312"/>
    <w:rsid w:val="00A6725D"/>
    <w:rsid w:val="00A6727B"/>
    <w:rsid w:val="00A700F5"/>
    <w:rsid w:val="00A71480"/>
    <w:rsid w:val="00A731BC"/>
    <w:rsid w:val="00A74985"/>
    <w:rsid w:val="00A76F8D"/>
    <w:rsid w:val="00A84586"/>
    <w:rsid w:val="00A91ABC"/>
    <w:rsid w:val="00A930C4"/>
    <w:rsid w:val="00A940D2"/>
    <w:rsid w:val="00A946F1"/>
    <w:rsid w:val="00AA0CA2"/>
    <w:rsid w:val="00AA2C91"/>
    <w:rsid w:val="00AB0748"/>
    <w:rsid w:val="00AB22B3"/>
    <w:rsid w:val="00AB5D5E"/>
    <w:rsid w:val="00AB63D0"/>
    <w:rsid w:val="00AC074D"/>
    <w:rsid w:val="00AC5A6D"/>
    <w:rsid w:val="00AC7D12"/>
    <w:rsid w:val="00AD3443"/>
    <w:rsid w:val="00AD441E"/>
    <w:rsid w:val="00AD4B22"/>
    <w:rsid w:val="00AE1D83"/>
    <w:rsid w:val="00B00611"/>
    <w:rsid w:val="00B01666"/>
    <w:rsid w:val="00B02E3A"/>
    <w:rsid w:val="00B1236C"/>
    <w:rsid w:val="00B12781"/>
    <w:rsid w:val="00B12B87"/>
    <w:rsid w:val="00B14E1C"/>
    <w:rsid w:val="00B1745F"/>
    <w:rsid w:val="00B245A3"/>
    <w:rsid w:val="00B2777D"/>
    <w:rsid w:val="00B32778"/>
    <w:rsid w:val="00B41092"/>
    <w:rsid w:val="00B47DBD"/>
    <w:rsid w:val="00B51B04"/>
    <w:rsid w:val="00B53B32"/>
    <w:rsid w:val="00B65339"/>
    <w:rsid w:val="00B7229A"/>
    <w:rsid w:val="00B72F25"/>
    <w:rsid w:val="00B75711"/>
    <w:rsid w:val="00B77554"/>
    <w:rsid w:val="00B776D2"/>
    <w:rsid w:val="00B77CEA"/>
    <w:rsid w:val="00B8111B"/>
    <w:rsid w:val="00B85503"/>
    <w:rsid w:val="00B9124A"/>
    <w:rsid w:val="00BA298D"/>
    <w:rsid w:val="00BB0D8D"/>
    <w:rsid w:val="00BB48BC"/>
    <w:rsid w:val="00BC1E32"/>
    <w:rsid w:val="00BC4B0C"/>
    <w:rsid w:val="00BC6FFC"/>
    <w:rsid w:val="00BD20E1"/>
    <w:rsid w:val="00BD5D08"/>
    <w:rsid w:val="00BE15CF"/>
    <w:rsid w:val="00BE62D6"/>
    <w:rsid w:val="00BF3743"/>
    <w:rsid w:val="00BF7E92"/>
    <w:rsid w:val="00C042A5"/>
    <w:rsid w:val="00C06546"/>
    <w:rsid w:val="00C11E79"/>
    <w:rsid w:val="00C13682"/>
    <w:rsid w:val="00C201F6"/>
    <w:rsid w:val="00C25099"/>
    <w:rsid w:val="00C30C3A"/>
    <w:rsid w:val="00C31591"/>
    <w:rsid w:val="00C34259"/>
    <w:rsid w:val="00C37868"/>
    <w:rsid w:val="00C42C71"/>
    <w:rsid w:val="00C440BB"/>
    <w:rsid w:val="00C54A0D"/>
    <w:rsid w:val="00C57194"/>
    <w:rsid w:val="00C60168"/>
    <w:rsid w:val="00C62145"/>
    <w:rsid w:val="00C64160"/>
    <w:rsid w:val="00C653F6"/>
    <w:rsid w:val="00C66B57"/>
    <w:rsid w:val="00C66EA7"/>
    <w:rsid w:val="00C66F21"/>
    <w:rsid w:val="00C80DE0"/>
    <w:rsid w:val="00C8251B"/>
    <w:rsid w:val="00C83A71"/>
    <w:rsid w:val="00C865C7"/>
    <w:rsid w:val="00CA2AA5"/>
    <w:rsid w:val="00CA3A78"/>
    <w:rsid w:val="00CA4DE3"/>
    <w:rsid w:val="00CA60F8"/>
    <w:rsid w:val="00CB2001"/>
    <w:rsid w:val="00CB6E44"/>
    <w:rsid w:val="00CC3CDF"/>
    <w:rsid w:val="00CC472B"/>
    <w:rsid w:val="00CF1B61"/>
    <w:rsid w:val="00CF5396"/>
    <w:rsid w:val="00CF729D"/>
    <w:rsid w:val="00CF7FE6"/>
    <w:rsid w:val="00D05F4B"/>
    <w:rsid w:val="00D06C50"/>
    <w:rsid w:val="00D10E5F"/>
    <w:rsid w:val="00D1135B"/>
    <w:rsid w:val="00D14216"/>
    <w:rsid w:val="00D14552"/>
    <w:rsid w:val="00D1604D"/>
    <w:rsid w:val="00D1607F"/>
    <w:rsid w:val="00D17B8C"/>
    <w:rsid w:val="00D20F3B"/>
    <w:rsid w:val="00D261FA"/>
    <w:rsid w:val="00D30A17"/>
    <w:rsid w:val="00D318DF"/>
    <w:rsid w:val="00D318F0"/>
    <w:rsid w:val="00D374FE"/>
    <w:rsid w:val="00D41D33"/>
    <w:rsid w:val="00D45C01"/>
    <w:rsid w:val="00D53893"/>
    <w:rsid w:val="00D579AA"/>
    <w:rsid w:val="00D61385"/>
    <w:rsid w:val="00D61D76"/>
    <w:rsid w:val="00D6531E"/>
    <w:rsid w:val="00D66C3D"/>
    <w:rsid w:val="00D74EE5"/>
    <w:rsid w:val="00D755D8"/>
    <w:rsid w:val="00D8660E"/>
    <w:rsid w:val="00D9745B"/>
    <w:rsid w:val="00DA2698"/>
    <w:rsid w:val="00DB1BDF"/>
    <w:rsid w:val="00DB3255"/>
    <w:rsid w:val="00DB5DAF"/>
    <w:rsid w:val="00DC0597"/>
    <w:rsid w:val="00DC0C6F"/>
    <w:rsid w:val="00DC7DA9"/>
    <w:rsid w:val="00DD2832"/>
    <w:rsid w:val="00DE312C"/>
    <w:rsid w:val="00DE6345"/>
    <w:rsid w:val="00DE75EB"/>
    <w:rsid w:val="00E01F75"/>
    <w:rsid w:val="00E02DA1"/>
    <w:rsid w:val="00E03D27"/>
    <w:rsid w:val="00E17638"/>
    <w:rsid w:val="00E1789C"/>
    <w:rsid w:val="00E3093D"/>
    <w:rsid w:val="00E31E92"/>
    <w:rsid w:val="00E35872"/>
    <w:rsid w:val="00E409D2"/>
    <w:rsid w:val="00E4403E"/>
    <w:rsid w:val="00E47325"/>
    <w:rsid w:val="00E60476"/>
    <w:rsid w:val="00E67282"/>
    <w:rsid w:val="00E71B2C"/>
    <w:rsid w:val="00E76D7B"/>
    <w:rsid w:val="00E80E46"/>
    <w:rsid w:val="00E87647"/>
    <w:rsid w:val="00EA1D5A"/>
    <w:rsid w:val="00EA5D74"/>
    <w:rsid w:val="00EB3704"/>
    <w:rsid w:val="00EC18F2"/>
    <w:rsid w:val="00ED6D53"/>
    <w:rsid w:val="00EE0681"/>
    <w:rsid w:val="00EE58BC"/>
    <w:rsid w:val="00EE5D8C"/>
    <w:rsid w:val="00F00BA1"/>
    <w:rsid w:val="00F01007"/>
    <w:rsid w:val="00F01077"/>
    <w:rsid w:val="00F03FC8"/>
    <w:rsid w:val="00F06C71"/>
    <w:rsid w:val="00F2632C"/>
    <w:rsid w:val="00F2683D"/>
    <w:rsid w:val="00F32E67"/>
    <w:rsid w:val="00F40325"/>
    <w:rsid w:val="00F620A3"/>
    <w:rsid w:val="00F710CC"/>
    <w:rsid w:val="00F71C59"/>
    <w:rsid w:val="00F72C9F"/>
    <w:rsid w:val="00F73E35"/>
    <w:rsid w:val="00F81542"/>
    <w:rsid w:val="00F82312"/>
    <w:rsid w:val="00F84263"/>
    <w:rsid w:val="00F85DF9"/>
    <w:rsid w:val="00F90AE5"/>
    <w:rsid w:val="00F90B2F"/>
    <w:rsid w:val="00F921F7"/>
    <w:rsid w:val="00F9755E"/>
    <w:rsid w:val="00FA34C7"/>
    <w:rsid w:val="00FA5D5F"/>
    <w:rsid w:val="00FA6869"/>
    <w:rsid w:val="00FB4405"/>
    <w:rsid w:val="00FB4BE6"/>
    <w:rsid w:val="00FC163C"/>
    <w:rsid w:val="00FC767E"/>
    <w:rsid w:val="00FE560C"/>
    <w:rsid w:val="00FF0B40"/>
    <w:rsid w:val="00FF293E"/>
    <w:rsid w:val="00FF337D"/>
    <w:rsid w:val="00FF3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F7C8"/>
  <w15:chartTrackingRefBased/>
  <w15:docId w15:val="{845BAEA4-4041-4FB3-AE04-8C19CE53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AA6"/>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207ED"/>
    <w:pPr>
      <w:spacing w:before="75" w:after="75"/>
      <w:ind w:firstLine="375"/>
      <w:jc w:val="both"/>
    </w:pPr>
  </w:style>
  <w:style w:type="paragraph" w:customStyle="1" w:styleId="naisnod">
    <w:name w:val="naisnod"/>
    <w:basedOn w:val="Normal"/>
    <w:uiPriority w:val="99"/>
    <w:rsid w:val="007207ED"/>
    <w:pPr>
      <w:spacing w:before="150" w:after="150"/>
      <w:jc w:val="center"/>
    </w:pPr>
    <w:rPr>
      <w:b/>
      <w:bCs/>
    </w:rPr>
  </w:style>
  <w:style w:type="paragraph" w:customStyle="1" w:styleId="naisc">
    <w:name w:val="naisc"/>
    <w:basedOn w:val="Normal"/>
    <w:rsid w:val="007207ED"/>
    <w:pPr>
      <w:spacing w:before="75" w:after="75"/>
      <w:jc w:val="center"/>
    </w:pPr>
  </w:style>
  <w:style w:type="paragraph" w:customStyle="1" w:styleId="naiskr">
    <w:name w:val="naiskr"/>
    <w:basedOn w:val="Normal"/>
    <w:rsid w:val="007207ED"/>
    <w:pPr>
      <w:spacing w:before="75" w:after="75"/>
    </w:pPr>
  </w:style>
  <w:style w:type="paragraph" w:styleId="Header">
    <w:name w:val="header"/>
    <w:basedOn w:val="Normal"/>
    <w:link w:val="HeaderChar"/>
    <w:uiPriority w:val="99"/>
    <w:unhideWhenUsed/>
    <w:rsid w:val="007207ED"/>
    <w:pPr>
      <w:tabs>
        <w:tab w:val="center" w:pos="4153"/>
        <w:tab w:val="right" w:pos="8306"/>
      </w:tabs>
    </w:pPr>
  </w:style>
  <w:style w:type="character" w:customStyle="1" w:styleId="HeaderChar">
    <w:name w:val="Header Char"/>
    <w:basedOn w:val="DefaultParagraphFont"/>
    <w:link w:val="Header"/>
    <w:uiPriority w:val="99"/>
    <w:rsid w:val="007207ED"/>
    <w:rPr>
      <w:rFonts w:eastAsia="Times New Roman" w:cs="Times New Roman"/>
      <w:sz w:val="24"/>
      <w:szCs w:val="24"/>
      <w:lang w:eastAsia="lv-LV"/>
    </w:rPr>
  </w:style>
  <w:style w:type="paragraph" w:styleId="Footer">
    <w:name w:val="footer"/>
    <w:basedOn w:val="Normal"/>
    <w:link w:val="FooterChar"/>
    <w:uiPriority w:val="99"/>
    <w:unhideWhenUsed/>
    <w:rsid w:val="007207ED"/>
    <w:pPr>
      <w:tabs>
        <w:tab w:val="center" w:pos="4153"/>
        <w:tab w:val="right" w:pos="8306"/>
      </w:tabs>
    </w:pPr>
  </w:style>
  <w:style w:type="character" w:customStyle="1" w:styleId="FooterChar">
    <w:name w:val="Footer Char"/>
    <w:basedOn w:val="DefaultParagraphFont"/>
    <w:link w:val="Footer"/>
    <w:uiPriority w:val="99"/>
    <w:rsid w:val="007207ED"/>
    <w:rPr>
      <w:rFonts w:eastAsia="Times New Roman" w:cs="Times New Roman"/>
      <w:sz w:val="24"/>
      <w:szCs w:val="24"/>
      <w:lang w:eastAsia="lv-LV"/>
    </w:rPr>
  </w:style>
  <w:style w:type="table" w:styleId="TableGrid">
    <w:name w:val="Table Grid"/>
    <w:basedOn w:val="TableNormal"/>
    <w:uiPriority w:val="39"/>
    <w:rsid w:val="0072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ListParagraph"/>
    <w:link w:val="PunktsChar"/>
    <w:qFormat/>
    <w:rsid w:val="00D374FE"/>
    <w:pPr>
      <w:numPr>
        <w:numId w:val="3"/>
      </w:numPr>
      <w:ind w:left="644" w:right="142"/>
      <w:jc w:val="both"/>
    </w:pPr>
    <w:rPr>
      <w:sz w:val="28"/>
      <w:szCs w:val="28"/>
    </w:rPr>
  </w:style>
  <w:style w:type="paragraph" w:customStyle="1" w:styleId="Apakshpunkts">
    <w:name w:val="Apakshpunkts"/>
    <w:basedOn w:val="ListParagraph"/>
    <w:qFormat/>
    <w:rsid w:val="00D374FE"/>
    <w:pPr>
      <w:numPr>
        <w:ilvl w:val="1"/>
        <w:numId w:val="3"/>
      </w:numPr>
      <w:tabs>
        <w:tab w:val="left" w:pos="1418"/>
      </w:tabs>
      <w:ind w:left="720" w:right="170" w:hanging="360"/>
      <w:jc w:val="both"/>
    </w:pPr>
    <w:rPr>
      <w:sz w:val="28"/>
      <w:szCs w:val="28"/>
    </w:rPr>
  </w:style>
  <w:style w:type="character" w:customStyle="1" w:styleId="PunktsChar">
    <w:name w:val="Punkts Char"/>
    <w:basedOn w:val="DefaultParagraphFont"/>
    <w:link w:val="Punkts"/>
    <w:rsid w:val="00D374FE"/>
    <w:rPr>
      <w:rFonts w:eastAsia="Times New Roman" w:cs="Times New Roman"/>
      <w:szCs w:val="28"/>
      <w:lang w:eastAsia="lv-LV"/>
    </w:rPr>
  </w:style>
  <w:style w:type="paragraph" w:styleId="ListParagraph">
    <w:name w:val="List Paragraph"/>
    <w:basedOn w:val="Normal"/>
    <w:uiPriority w:val="34"/>
    <w:qFormat/>
    <w:rsid w:val="00D374FE"/>
    <w:pPr>
      <w:ind w:left="720"/>
      <w:contextualSpacing/>
    </w:pPr>
  </w:style>
  <w:style w:type="paragraph" w:styleId="BalloonText">
    <w:name w:val="Balloon Text"/>
    <w:basedOn w:val="Normal"/>
    <w:link w:val="BalloonTextChar"/>
    <w:uiPriority w:val="99"/>
    <w:semiHidden/>
    <w:unhideWhenUsed/>
    <w:rsid w:val="00F9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E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25B00"/>
    <w:rPr>
      <w:sz w:val="16"/>
      <w:szCs w:val="16"/>
    </w:rPr>
  </w:style>
  <w:style w:type="paragraph" w:styleId="CommentText">
    <w:name w:val="annotation text"/>
    <w:basedOn w:val="Normal"/>
    <w:link w:val="CommentTextChar"/>
    <w:uiPriority w:val="99"/>
    <w:semiHidden/>
    <w:unhideWhenUsed/>
    <w:rsid w:val="00125B00"/>
    <w:rPr>
      <w:sz w:val="20"/>
      <w:szCs w:val="20"/>
    </w:rPr>
  </w:style>
  <w:style w:type="character" w:customStyle="1" w:styleId="CommentTextChar">
    <w:name w:val="Comment Text Char"/>
    <w:basedOn w:val="DefaultParagraphFont"/>
    <w:link w:val="CommentText"/>
    <w:uiPriority w:val="99"/>
    <w:semiHidden/>
    <w:rsid w:val="00125B0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C150D"/>
    <w:rPr>
      <w:b/>
      <w:bCs/>
    </w:rPr>
  </w:style>
  <w:style w:type="character" w:customStyle="1" w:styleId="CommentSubjectChar">
    <w:name w:val="Comment Subject Char"/>
    <w:basedOn w:val="CommentTextChar"/>
    <w:link w:val="CommentSubject"/>
    <w:uiPriority w:val="99"/>
    <w:semiHidden/>
    <w:rsid w:val="008C150D"/>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2195">
      <w:bodyDiv w:val="1"/>
      <w:marLeft w:val="0"/>
      <w:marRight w:val="0"/>
      <w:marTop w:val="0"/>
      <w:marBottom w:val="0"/>
      <w:divBdr>
        <w:top w:val="none" w:sz="0" w:space="0" w:color="auto"/>
        <w:left w:val="none" w:sz="0" w:space="0" w:color="auto"/>
        <w:bottom w:val="none" w:sz="0" w:space="0" w:color="auto"/>
        <w:right w:val="none" w:sz="0" w:space="0" w:color="auto"/>
      </w:divBdr>
    </w:div>
    <w:div w:id="237324935">
      <w:bodyDiv w:val="1"/>
      <w:marLeft w:val="0"/>
      <w:marRight w:val="0"/>
      <w:marTop w:val="0"/>
      <w:marBottom w:val="0"/>
      <w:divBdr>
        <w:top w:val="none" w:sz="0" w:space="0" w:color="auto"/>
        <w:left w:val="none" w:sz="0" w:space="0" w:color="auto"/>
        <w:bottom w:val="none" w:sz="0" w:space="0" w:color="auto"/>
        <w:right w:val="none" w:sz="0" w:space="0" w:color="auto"/>
      </w:divBdr>
    </w:div>
    <w:div w:id="682630695">
      <w:bodyDiv w:val="1"/>
      <w:marLeft w:val="0"/>
      <w:marRight w:val="0"/>
      <w:marTop w:val="0"/>
      <w:marBottom w:val="0"/>
      <w:divBdr>
        <w:top w:val="none" w:sz="0" w:space="0" w:color="auto"/>
        <w:left w:val="none" w:sz="0" w:space="0" w:color="auto"/>
        <w:bottom w:val="none" w:sz="0" w:space="0" w:color="auto"/>
        <w:right w:val="none" w:sz="0" w:space="0" w:color="auto"/>
      </w:divBdr>
    </w:div>
    <w:div w:id="908922554">
      <w:bodyDiv w:val="1"/>
      <w:marLeft w:val="0"/>
      <w:marRight w:val="0"/>
      <w:marTop w:val="0"/>
      <w:marBottom w:val="0"/>
      <w:divBdr>
        <w:top w:val="none" w:sz="0" w:space="0" w:color="auto"/>
        <w:left w:val="none" w:sz="0" w:space="0" w:color="auto"/>
        <w:bottom w:val="none" w:sz="0" w:space="0" w:color="auto"/>
        <w:right w:val="none" w:sz="0" w:space="0" w:color="auto"/>
      </w:divBdr>
    </w:div>
    <w:div w:id="1185023844">
      <w:bodyDiv w:val="1"/>
      <w:marLeft w:val="0"/>
      <w:marRight w:val="0"/>
      <w:marTop w:val="0"/>
      <w:marBottom w:val="0"/>
      <w:divBdr>
        <w:top w:val="none" w:sz="0" w:space="0" w:color="auto"/>
        <w:left w:val="none" w:sz="0" w:space="0" w:color="auto"/>
        <w:bottom w:val="none" w:sz="0" w:space="0" w:color="auto"/>
        <w:right w:val="none" w:sz="0" w:space="0" w:color="auto"/>
      </w:divBdr>
    </w:div>
    <w:div w:id="1334380300">
      <w:bodyDiv w:val="1"/>
      <w:marLeft w:val="0"/>
      <w:marRight w:val="0"/>
      <w:marTop w:val="0"/>
      <w:marBottom w:val="0"/>
      <w:divBdr>
        <w:top w:val="none" w:sz="0" w:space="0" w:color="auto"/>
        <w:left w:val="none" w:sz="0" w:space="0" w:color="auto"/>
        <w:bottom w:val="none" w:sz="0" w:space="0" w:color="auto"/>
        <w:right w:val="none" w:sz="0" w:space="0" w:color="auto"/>
      </w:divBdr>
    </w:div>
    <w:div w:id="1360157772">
      <w:bodyDiv w:val="1"/>
      <w:marLeft w:val="0"/>
      <w:marRight w:val="0"/>
      <w:marTop w:val="0"/>
      <w:marBottom w:val="0"/>
      <w:divBdr>
        <w:top w:val="none" w:sz="0" w:space="0" w:color="auto"/>
        <w:left w:val="none" w:sz="0" w:space="0" w:color="auto"/>
        <w:bottom w:val="none" w:sz="0" w:space="0" w:color="auto"/>
        <w:right w:val="none" w:sz="0" w:space="0" w:color="auto"/>
      </w:divBdr>
    </w:div>
    <w:div w:id="14076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8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A68C-CC3C-462E-966D-00D2F26C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47571</Words>
  <Characters>27116</Characters>
  <Application>Microsoft Office Word</Application>
  <DocSecurity>0</DocSecurity>
  <Lines>225</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Andris.Malnieks@em.gov.lv</dc:creator>
  <cp:lastModifiedBy>Olga Feldmane</cp:lastModifiedBy>
  <cp:revision>5</cp:revision>
  <cp:lastPrinted>2019-11-05T15:15:00Z</cp:lastPrinted>
  <dcterms:created xsi:type="dcterms:W3CDTF">2019-11-05T16:42:00Z</dcterms:created>
  <dcterms:modified xsi:type="dcterms:W3CDTF">2019-11-06T09:30:00Z</dcterms:modified>
</cp:coreProperties>
</file>