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34CE" w14:textId="77777777" w:rsidR="00E41FCE" w:rsidRDefault="00614474" w:rsidP="00614474">
      <w:pPr>
        <w:jc w:val="center"/>
        <w:rPr>
          <w:rFonts w:eastAsia="Times New Roman" w:cs="Times New Roman"/>
          <w:b/>
          <w:bCs/>
          <w:color w:val="000000"/>
          <w:sz w:val="28"/>
          <w:szCs w:val="28"/>
          <w:lang w:eastAsia="lv-LV"/>
        </w:rPr>
      </w:pPr>
      <w:bookmarkStart w:id="0" w:name="_Hlk511289679"/>
      <w:bookmarkStart w:id="1" w:name="_GoBack"/>
      <w:bookmarkEnd w:id="1"/>
      <w:r w:rsidRPr="00E91CC3">
        <w:rPr>
          <w:rFonts w:cs="Times New Roman"/>
          <w:b/>
          <w:sz w:val="28"/>
          <w:szCs w:val="28"/>
        </w:rPr>
        <w:t>Ministru kabineta noteikumu projekta</w:t>
      </w:r>
      <w:r w:rsidRPr="00E91CC3">
        <w:rPr>
          <w:rFonts w:eastAsia="Times New Roman" w:cs="Times New Roman"/>
          <w:b/>
          <w:bCs/>
          <w:color w:val="000000"/>
          <w:sz w:val="28"/>
          <w:szCs w:val="28"/>
          <w:lang w:eastAsia="lv-LV"/>
        </w:rPr>
        <w:t xml:space="preserve"> “Grozījumi Ministru kabineta 2017.</w:t>
      </w:r>
      <w:r>
        <w:rPr>
          <w:rFonts w:eastAsia="Times New Roman" w:cs="Times New Roman"/>
          <w:b/>
          <w:bCs/>
          <w:color w:val="000000"/>
          <w:sz w:val="28"/>
          <w:szCs w:val="28"/>
          <w:lang w:eastAsia="lv-LV"/>
        </w:rPr>
        <w:t> </w:t>
      </w:r>
      <w:r w:rsidRPr="00E91CC3">
        <w:rPr>
          <w:rFonts w:eastAsia="Times New Roman" w:cs="Times New Roman"/>
          <w:b/>
          <w:bCs/>
          <w:color w:val="000000"/>
          <w:sz w:val="28"/>
          <w:szCs w:val="28"/>
          <w:lang w:eastAsia="lv-LV"/>
        </w:rPr>
        <w:t>gada 21.</w:t>
      </w:r>
      <w:r>
        <w:rPr>
          <w:rFonts w:eastAsia="Times New Roman" w:cs="Times New Roman"/>
          <w:b/>
          <w:bCs/>
          <w:color w:val="000000"/>
          <w:sz w:val="28"/>
          <w:szCs w:val="28"/>
          <w:lang w:eastAsia="lv-LV"/>
        </w:rPr>
        <w:t> </w:t>
      </w:r>
      <w:r w:rsidRPr="00E91CC3">
        <w:rPr>
          <w:rFonts w:eastAsia="Times New Roman" w:cs="Times New Roman"/>
          <w:b/>
          <w:bCs/>
          <w:color w:val="000000"/>
          <w:sz w:val="28"/>
          <w:szCs w:val="28"/>
          <w:lang w:eastAsia="lv-LV"/>
        </w:rPr>
        <w:t>marta noteikumos Nr.</w:t>
      </w:r>
      <w:r>
        <w:rPr>
          <w:rFonts w:eastAsia="Times New Roman" w:cs="Times New Roman"/>
          <w:b/>
          <w:bCs/>
          <w:color w:val="000000"/>
          <w:sz w:val="28"/>
          <w:szCs w:val="28"/>
          <w:lang w:eastAsia="lv-LV"/>
        </w:rPr>
        <w:t> </w:t>
      </w:r>
      <w:r w:rsidRPr="00E91CC3">
        <w:rPr>
          <w:rFonts w:eastAsia="Times New Roman" w:cs="Times New Roman"/>
          <w:b/>
          <w:bCs/>
          <w:color w:val="000000"/>
          <w:sz w:val="28"/>
          <w:szCs w:val="28"/>
          <w:lang w:eastAsia="lv-LV"/>
        </w:rPr>
        <w:t xml:space="preserve">167 “Kārtība, kādā veic datu apmaiņu attiecībā uz elektroniski nosūtāmiem rīkojumiem </w:t>
      </w:r>
    </w:p>
    <w:p w14:paraId="2A1C99C1" w14:textId="77777777" w:rsidR="00E41FCE" w:rsidRDefault="00614474" w:rsidP="00614474">
      <w:pPr>
        <w:jc w:val="center"/>
        <w:rPr>
          <w:rFonts w:eastAsia="Times New Roman" w:cs="Times New Roman"/>
          <w:b/>
          <w:bCs/>
          <w:sz w:val="28"/>
          <w:szCs w:val="28"/>
          <w:lang w:eastAsia="lv-LV"/>
        </w:rPr>
      </w:pPr>
      <w:r w:rsidRPr="00E91CC3">
        <w:rPr>
          <w:rFonts w:eastAsia="Times New Roman" w:cs="Times New Roman"/>
          <w:b/>
          <w:bCs/>
          <w:color w:val="000000"/>
          <w:sz w:val="28"/>
          <w:szCs w:val="28"/>
          <w:lang w:eastAsia="lv-LV"/>
        </w:rPr>
        <w:t>un paziņojumiem par to izpildi””</w:t>
      </w:r>
      <w:r w:rsidRPr="00E91CC3">
        <w:rPr>
          <w:rFonts w:eastAsia="Times New Roman" w:cs="Times New Roman"/>
          <w:b/>
          <w:bCs/>
          <w:sz w:val="28"/>
          <w:szCs w:val="28"/>
          <w:lang w:eastAsia="lv-LV"/>
        </w:rPr>
        <w:t xml:space="preserve"> sākotnējās ietekmes </w:t>
      </w:r>
    </w:p>
    <w:p w14:paraId="26434F91" w14:textId="77777777" w:rsidR="00614474" w:rsidRPr="00E91CC3" w:rsidRDefault="00614474" w:rsidP="00614474">
      <w:pPr>
        <w:jc w:val="center"/>
        <w:rPr>
          <w:rFonts w:cs="Times New Roman"/>
          <w:b/>
          <w:bCs/>
          <w:sz w:val="28"/>
          <w:szCs w:val="28"/>
        </w:rPr>
      </w:pPr>
      <w:r w:rsidRPr="00E91CC3">
        <w:rPr>
          <w:rFonts w:eastAsia="Times New Roman" w:cs="Times New Roman"/>
          <w:b/>
          <w:bCs/>
          <w:sz w:val="28"/>
          <w:szCs w:val="28"/>
          <w:lang w:eastAsia="lv-LV"/>
        </w:rPr>
        <w:t>novērtējuma ziņojums (anotācija)</w:t>
      </w:r>
      <w:bookmarkEnd w:id="0"/>
    </w:p>
    <w:p w14:paraId="7F5027F7" w14:textId="77777777" w:rsidR="00E5323B" w:rsidRPr="00750114" w:rsidRDefault="00E5323B" w:rsidP="00894C55">
      <w:pPr>
        <w:shd w:val="clear" w:color="auto" w:fill="FFFFFF"/>
        <w:jc w:val="center"/>
        <w:rPr>
          <w:rFonts w:eastAsia="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E33AC" w:rsidRPr="00750114" w14:paraId="2659039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1A3B12"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Tiesību akta projekta anotācijas kopsavilkums</w:t>
            </w:r>
          </w:p>
        </w:tc>
      </w:tr>
      <w:tr w:rsidR="00CE33AC" w:rsidRPr="00750114" w14:paraId="49DA1AA1" w14:textId="77777777" w:rsidTr="001F7321">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3FECBBAF"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77E90901" w14:textId="77777777" w:rsidR="00A57674" w:rsidRPr="00A57674" w:rsidRDefault="00A57674" w:rsidP="00A57674">
            <w:pPr>
              <w:ind w:firstLine="284"/>
              <w:jc w:val="both"/>
              <w:rPr>
                <w:rFonts w:cs="Times New Roman"/>
                <w:szCs w:val="24"/>
              </w:rPr>
            </w:pPr>
            <w:r w:rsidRPr="00A57674">
              <w:rPr>
                <w:rFonts w:cs="Times New Roman"/>
                <w:szCs w:val="24"/>
              </w:rPr>
              <w:t>Ministru kabineta noteikumu projekts “</w:t>
            </w:r>
            <w:r w:rsidRPr="00A57674">
              <w:rPr>
                <w:rFonts w:cs="Times New Roman"/>
                <w:bCs/>
                <w:szCs w:val="24"/>
              </w:rPr>
              <w:t xml:space="preserve">Grozījumi Ministru kabineta 2017. gada 21. marta noteikumos Nr. 167 “Kārtība, kādā veic datu apmaiņu attiecībā uz elektroniski nosūtāmiem rīkojumiem un paziņojumiem par to izpildi”” </w:t>
            </w:r>
            <w:r w:rsidRPr="00A57674">
              <w:rPr>
                <w:rFonts w:cs="Times New Roman"/>
                <w:szCs w:val="24"/>
              </w:rPr>
              <w:t xml:space="preserve">(turpmāk – noteikumu projekts) izstrādāts ar mērķi pilnveidot </w:t>
            </w:r>
            <w:r w:rsidRPr="00A57674">
              <w:rPr>
                <w:rFonts w:eastAsia="Times New Roman" w:cs="Times New Roman"/>
                <w:bCs/>
                <w:color w:val="000000"/>
                <w:szCs w:val="24"/>
                <w:lang w:eastAsia="lv-LV"/>
              </w:rPr>
              <w:t>datu apmaiņu attiecībā uz elektroniski nosūtāmiem rīkojumiem un paziņojumiem par to izpildi</w:t>
            </w:r>
            <w:r w:rsidRPr="00A57674">
              <w:rPr>
                <w:rFonts w:cs="Times New Roman"/>
                <w:szCs w:val="24"/>
              </w:rPr>
              <w:t xml:space="preserve">. </w:t>
            </w:r>
          </w:p>
          <w:p w14:paraId="420B62CD" w14:textId="08265CEA" w:rsidR="00E5323B" w:rsidRPr="00A57674" w:rsidRDefault="00DF3E15" w:rsidP="00C85A3F">
            <w:pPr>
              <w:ind w:firstLine="284"/>
              <w:jc w:val="both"/>
              <w:rPr>
                <w:rFonts w:cs="Times New Roman"/>
                <w:szCs w:val="24"/>
              </w:rPr>
            </w:pPr>
            <w:r>
              <w:rPr>
                <w:rFonts w:cs="Times New Roman"/>
                <w:szCs w:val="24"/>
              </w:rPr>
              <w:t>Grozījumi n</w:t>
            </w:r>
            <w:r w:rsidR="00A57674">
              <w:rPr>
                <w:rFonts w:cs="Times New Roman"/>
                <w:szCs w:val="24"/>
              </w:rPr>
              <w:t>oteikum</w:t>
            </w:r>
            <w:r>
              <w:rPr>
                <w:rFonts w:cs="Times New Roman"/>
                <w:szCs w:val="24"/>
              </w:rPr>
              <w:t>os stāsies spēkā pēc to</w:t>
            </w:r>
            <w:r w:rsidR="00A57674">
              <w:rPr>
                <w:rFonts w:cs="Times New Roman"/>
                <w:szCs w:val="24"/>
              </w:rPr>
              <w:t xml:space="preserve"> pieņemšanas Ministru kabinetā vispārīgā kārtībā, izņemot grozījumus noteikumu 16.</w:t>
            </w:r>
            <w:r w:rsidR="008613B5">
              <w:rPr>
                <w:rFonts w:cs="Times New Roman"/>
                <w:szCs w:val="24"/>
              </w:rPr>
              <w:t>punktā</w:t>
            </w:r>
            <w:r w:rsidR="00A57674">
              <w:rPr>
                <w:rFonts w:cs="Times New Roman"/>
                <w:szCs w:val="24"/>
              </w:rPr>
              <w:t>, kas stāsies spēkā 2020. </w:t>
            </w:r>
            <w:r w:rsidR="00A57674" w:rsidRPr="00863C06">
              <w:rPr>
                <w:rFonts w:cs="Times New Roman"/>
                <w:szCs w:val="24"/>
              </w:rPr>
              <w:t>gada 1. </w:t>
            </w:r>
            <w:r w:rsidR="00C85A3F" w:rsidRPr="00863C06">
              <w:rPr>
                <w:rFonts w:cs="Times New Roman"/>
                <w:szCs w:val="24"/>
              </w:rPr>
              <w:t>jūlijā</w:t>
            </w:r>
            <w:r w:rsidR="00A57674">
              <w:rPr>
                <w:rFonts w:cs="Times New Roman"/>
                <w:szCs w:val="24"/>
              </w:rPr>
              <w:t>.</w:t>
            </w:r>
          </w:p>
        </w:tc>
      </w:tr>
    </w:tbl>
    <w:p w14:paraId="4F3C6941"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676"/>
        <w:gridCol w:w="5802"/>
      </w:tblGrid>
      <w:tr w:rsidR="00CE33AC" w:rsidRPr="00750114" w14:paraId="75A4A9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EC97D"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 Tiesību akta projekta izstrādes nepieciešamība</w:t>
            </w:r>
          </w:p>
        </w:tc>
      </w:tr>
      <w:tr w:rsidR="00A25FB4" w:rsidRPr="00517D9A" w14:paraId="70558001"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tcPr>
          <w:p w14:paraId="490020ED" w14:textId="77777777" w:rsidR="00A25FB4" w:rsidRPr="00750114" w:rsidRDefault="00A25FB4"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461" w:type="pct"/>
            <w:tcBorders>
              <w:top w:val="outset" w:sz="6" w:space="0" w:color="auto"/>
              <w:left w:val="outset" w:sz="6" w:space="0" w:color="auto"/>
              <w:bottom w:val="outset" w:sz="6" w:space="0" w:color="auto"/>
              <w:right w:val="outset" w:sz="6" w:space="0" w:color="auto"/>
            </w:tcBorders>
          </w:tcPr>
          <w:p w14:paraId="24FC0D39" w14:textId="77777777" w:rsidR="00A25FB4" w:rsidRPr="00750114" w:rsidRDefault="00A25FB4" w:rsidP="00E5323B">
            <w:pPr>
              <w:rPr>
                <w:rFonts w:eastAsia="Times New Roman" w:cs="Times New Roman"/>
                <w:iCs/>
                <w:szCs w:val="24"/>
                <w:lang w:eastAsia="lv-LV"/>
              </w:rPr>
            </w:pPr>
            <w:r w:rsidRPr="00750114">
              <w:rPr>
                <w:rFonts w:eastAsia="Times New Roman" w:cs="Times New Roman"/>
                <w:iCs/>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tcPr>
          <w:p w14:paraId="74941779" w14:textId="77777777" w:rsidR="00A25FB4" w:rsidRPr="00B81CB8" w:rsidRDefault="000942C2" w:rsidP="00A25FB4">
            <w:pPr>
              <w:ind w:firstLine="284"/>
              <w:jc w:val="both"/>
              <w:rPr>
                <w:rFonts w:eastAsia="Times New Roman" w:cs="Times New Roman"/>
                <w:b/>
                <w:i/>
                <w:iCs/>
                <w:szCs w:val="24"/>
                <w:lang w:eastAsia="lv-LV"/>
              </w:rPr>
            </w:pPr>
            <w:r>
              <w:rPr>
                <w:rFonts w:cs="Times New Roman"/>
                <w:szCs w:val="24"/>
              </w:rPr>
              <w:t>Noteikumu projekts</w:t>
            </w:r>
            <w:r w:rsidR="00614474" w:rsidRPr="00171326">
              <w:rPr>
                <w:rFonts w:cs="Times New Roman"/>
                <w:szCs w:val="24"/>
              </w:rPr>
              <w:t xml:space="preserve"> </w:t>
            </w:r>
            <w:r w:rsidR="00614474" w:rsidRPr="00F55C68">
              <w:rPr>
                <w:rFonts w:cs="Times New Roman"/>
                <w:szCs w:val="24"/>
              </w:rPr>
              <w:t>izstrādāts</w:t>
            </w:r>
            <w:r w:rsidR="00614474">
              <w:rPr>
                <w:rFonts w:cs="Times New Roman"/>
                <w:szCs w:val="24"/>
              </w:rPr>
              <w:t xml:space="preserve"> pēc Finanšu ministrijas iniciatīvas</w:t>
            </w:r>
            <w:r w:rsidR="00614474" w:rsidRPr="00F6688F">
              <w:rPr>
                <w:rFonts w:cs="Times New Roman"/>
                <w:szCs w:val="24"/>
              </w:rPr>
              <w:t>.</w:t>
            </w:r>
          </w:p>
        </w:tc>
      </w:tr>
      <w:tr w:rsidR="00CE33AC" w:rsidRPr="00517D9A" w14:paraId="5B55ABA3"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B1C9ABB" w14:textId="77777777" w:rsidR="00655F2C" w:rsidRPr="00A57674" w:rsidRDefault="00E5323B" w:rsidP="005C0A16">
            <w:pPr>
              <w:rPr>
                <w:rFonts w:eastAsia="Times New Roman" w:cs="Times New Roman"/>
                <w:szCs w:val="24"/>
                <w:lang w:eastAsia="lv-LV"/>
              </w:rPr>
            </w:pPr>
            <w:r w:rsidRPr="00750114">
              <w:rPr>
                <w:rFonts w:eastAsia="Times New Roman" w:cs="Times New Roman"/>
                <w:iCs/>
                <w:szCs w:val="24"/>
                <w:lang w:eastAsia="lv-LV"/>
              </w:rPr>
              <w:t>2.</w:t>
            </w:r>
          </w:p>
        </w:tc>
        <w:tc>
          <w:tcPr>
            <w:tcW w:w="1461" w:type="pct"/>
            <w:tcBorders>
              <w:top w:val="outset" w:sz="6" w:space="0" w:color="auto"/>
              <w:left w:val="outset" w:sz="6" w:space="0" w:color="auto"/>
              <w:bottom w:val="outset" w:sz="6" w:space="0" w:color="auto"/>
              <w:right w:val="outset" w:sz="6" w:space="0" w:color="auto"/>
            </w:tcBorders>
            <w:hideMark/>
          </w:tcPr>
          <w:p w14:paraId="3368AEDB" w14:textId="77777777" w:rsidR="00E5323B" w:rsidRPr="00086DBA" w:rsidRDefault="00E5323B" w:rsidP="00086DBA">
            <w:pPr>
              <w:rPr>
                <w:rFonts w:eastAsia="Times New Roman" w:cs="Times New Roman"/>
                <w:szCs w:val="24"/>
                <w:lang w:eastAsia="lv-LV"/>
              </w:rPr>
            </w:pPr>
            <w:r w:rsidRPr="00750114">
              <w:rPr>
                <w:rFonts w:eastAsia="Times New Roman" w:cs="Times New Roman"/>
                <w:iCs/>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5208E6DE" w14:textId="77777777" w:rsidR="00F51B82" w:rsidRDefault="00614474" w:rsidP="00614474">
            <w:pPr>
              <w:ind w:firstLine="284"/>
              <w:jc w:val="both"/>
              <w:rPr>
                <w:rFonts w:cs="Times New Roman"/>
                <w:szCs w:val="24"/>
              </w:rPr>
            </w:pPr>
            <w:r w:rsidRPr="00F26CB5">
              <w:rPr>
                <w:rFonts w:cs="Times New Roman"/>
                <w:szCs w:val="24"/>
              </w:rPr>
              <w:t>Likuma “Par nodokļiem un nodevām” 18.</w:t>
            </w:r>
            <w:r w:rsidRPr="00F26CB5">
              <w:rPr>
                <w:rFonts w:cs="Times New Roman"/>
                <w:szCs w:val="24"/>
                <w:vertAlign w:val="superscript"/>
              </w:rPr>
              <w:t>2</w:t>
            </w:r>
            <w:r>
              <w:rPr>
                <w:rFonts w:cs="Times New Roman"/>
                <w:szCs w:val="24"/>
                <w:vertAlign w:val="superscript"/>
              </w:rPr>
              <w:t> </w:t>
            </w:r>
            <w:r w:rsidRPr="00F26CB5">
              <w:rPr>
                <w:rFonts w:cs="Times New Roman"/>
                <w:szCs w:val="24"/>
              </w:rPr>
              <w:t>pant</w:t>
            </w:r>
            <w:r w:rsidR="00BA3DBD">
              <w:rPr>
                <w:rFonts w:cs="Times New Roman"/>
                <w:szCs w:val="24"/>
              </w:rPr>
              <w:t>a sestās daļas 1.punktā</w:t>
            </w:r>
            <w:r w:rsidR="00BA3DBD">
              <w:t xml:space="preserve"> un p</w:t>
            </w:r>
            <w:r w:rsidR="00BA3DBD" w:rsidRPr="00BA3DBD">
              <w:rPr>
                <w:rFonts w:cs="Times New Roman"/>
                <w:szCs w:val="24"/>
              </w:rPr>
              <w:t xml:space="preserve">ārejas noteikumu 185. </w:t>
            </w:r>
            <w:r w:rsidR="00BA3DBD">
              <w:rPr>
                <w:rFonts w:cs="Times New Roman"/>
                <w:szCs w:val="24"/>
              </w:rPr>
              <w:t>un 186.</w:t>
            </w:r>
            <w:r w:rsidR="00BA3DBD" w:rsidRPr="00BA3DBD">
              <w:rPr>
                <w:rFonts w:cs="Times New Roman"/>
                <w:szCs w:val="24"/>
              </w:rPr>
              <w:t>punkt</w:t>
            </w:r>
            <w:r w:rsidR="004E1226">
              <w:rPr>
                <w:rFonts w:cs="Times New Roman"/>
                <w:szCs w:val="24"/>
              </w:rPr>
              <w:t>ā</w:t>
            </w:r>
            <w:r w:rsidRPr="00F26CB5">
              <w:rPr>
                <w:rFonts w:cs="Times New Roman"/>
                <w:szCs w:val="24"/>
              </w:rPr>
              <w:t>,</w:t>
            </w:r>
            <w:r w:rsidR="008C50EC">
              <w:rPr>
                <w:rFonts w:cs="Times New Roman"/>
                <w:szCs w:val="24"/>
              </w:rPr>
              <w:t xml:space="preserve"> Civilprocesa likuma 599.</w:t>
            </w:r>
            <w:r w:rsidR="008C50EC" w:rsidRPr="00B45899">
              <w:rPr>
                <w:rFonts w:cs="Times New Roman"/>
                <w:szCs w:val="24"/>
                <w:vertAlign w:val="superscript"/>
              </w:rPr>
              <w:t>1</w:t>
            </w:r>
            <w:r w:rsidR="008C50EC">
              <w:rPr>
                <w:rFonts w:cs="Times New Roman"/>
                <w:szCs w:val="24"/>
              </w:rPr>
              <w:t>pant</w:t>
            </w:r>
            <w:r w:rsidR="0062092A">
              <w:rPr>
                <w:rFonts w:cs="Times New Roman"/>
                <w:szCs w:val="24"/>
              </w:rPr>
              <w:t>ā</w:t>
            </w:r>
            <w:r w:rsidR="008C50EC">
              <w:rPr>
                <w:rFonts w:cs="Times New Roman"/>
                <w:szCs w:val="24"/>
              </w:rPr>
              <w:t xml:space="preserve"> un pārejas noteikumu</w:t>
            </w:r>
            <w:r w:rsidR="0062092A">
              <w:rPr>
                <w:rFonts w:cs="Times New Roman"/>
                <w:szCs w:val="24"/>
              </w:rPr>
              <w:t xml:space="preserve"> 118.punkts,</w:t>
            </w:r>
            <w:r w:rsidRPr="00F26CB5">
              <w:rPr>
                <w:rFonts w:cs="Times New Roman"/>
                <w:szCs w:val="24"/>
              </w:rPr>
              <w:t xml:space="preserve"> Kredītiestāžu likuma 66.</w:t>
            </w:r>
            <w:r w:rsidRPr="00F26CB5">
              <w:rPr>
                <w:rFonts w:cs="Times New Roman"/>
                <w:szCs w:val="24"/>
                <w:vertAlign w:val="superscript"/>
              </w:rPr>
              <w:t>2</w:t>
            </w:r>
            <w:r>
              <w:rPr>
                <w:rFonts w:cs="Times New Roman"/>
                <w:szCs w:val="24"/>
                <w:vertAlign w:val="superscript"/>
              </w:rPr>
              <w:t> </w:t>
            </w:r>
            <w:r w:rsidRPr="00F26CB5">
              <w:rPr>
                <w:rFonts w:cs="Times New Roman"/>
                <w:szCs w:val="24"/>
              </w:rPr>
              <w:t>pant</w:t>
            </w:r>
            <w:r w:rsidR="004E1226">
              <w:rPr>
                <w:rFonts w:cs="Times New Roman"/>
                <w:szCs w:val="24"/>
              </w:rPr>
              <w:t>a otrās daļas 1.punktā</w:t>
            </w:r>
            <w:r w:rsidR="004E1226">
              <w:t xml:space="preserve"> un p</w:t>
            </w:r>
            <w:r w:rsidR="004E1226" w:rsidRPr="00BA3DBD">
              <w:rPr>
                <w:rFonts w:cs="Times New Roman"/>
                <w:szCs w:val="24"/>
              </w:rPr>
              <w:t xml:space="preserve">ārejas noteikumu </w:t>
            </w:r>
            <w:r w:rsidR="004E1226">
              <w:rPr>
                <w:rFonts w:cs="Times New Roman"/>
                <w:szCs w:val="24"/>
              </w:rPr>
              <w:t>70.</w:t>
            </w:r>
            <w:r w:rsidR="004E1226" w:rsidRPr="00BA3DBD">
              <w:rPr>
                <w:rFonts w:cs="Times New Roman"/>
                <w:szCs w:val="24"/>
              </w:rPr>
              <w:t>punkt</w:t>
            </w:r>
            <w:r>
              <w:rPr>
                <w:rFonts w:cs="Times New Roman"/>
                <w:szCs w:val="24"/>
              </w:rPr>
              <w:t>ā</w:t>
            </w:r>
            <w:r w:rsidRPr="00F26CB5">
              <w:rPr>
                <w:rFonts w:cs="Times New Roman"/>
                <w:szCs w:val="24"/>
              </w:rPr>
              <w:t xml:space="preserve"> un Maksājumu pakalpojumu un elektroniskās naudas likuma 44.</w:t>
            </w:r>
            <w:r w:rsidRPr="00F26CB5">
              <w:rPr>
                <w:rFonts w:cs="Times New Roman"/>
                <w:szCs w:val="24"/>
                <w:vertAlign w:val="superscript"/>
              </w:rPr>
              <w:t>3</w:t>
            </w:r>
            <w:r>
              <w:rPr>
                <w:rFonts w:cs="Times New Roman"/>
                <w:szCs w:val="24"/>
                <w:vertAlign w:val="superscript"/>
              </w:rPr>
              <w:t> </w:t>
            </w:r>
            <w:r w:rsidRPr="00F26CB5">
              <w:rPr>
                <w:rFonts w:cs="Times New Roman"/>
                <w:szCs w:val="24"/>
              </w:rPr>
              <w:t>pant</w:t>
            </w:r>
            <w:r w:rsidR="004E1226">
              <w:rPr>
                <w:rFonts w:cs="Times New Roman"/>
                <w:szCs w:val="24"/>
              </w:rPr>
              <w:t xml:space="preserve">a trešās daļas 1.punktā </w:t>
            </w:r>
            <w:r w:rsidR="004E1226">
              <w:t>un p</w:t>
            </w:r>
            <w:r w:rsidR="004E1226" w:rsidRPr="00BA3DBD">
              <w:rPr>
                <w:rFonts w:cs="Times New Roman"/>
                <w:szCs w:val="24"/>
              </w:rPr>
              <w:t xml:space="preserve">ārejas noteikumu </w:t>
            </w:r>
            <w:r w:rsidR="004E1226">
              <w:rPr>
                <w:rFonts w:cs="Times New Roman"/>
                <w:szCs w:val="24"/>
              </w:rPr>
              <w:t>20.</w:t>
            </w:r>
            <w:r w:rsidR="004E1226" w:rsidRPr="00BA3DBD">
              <w:rPr>
                <w:rFonts w:cs="Times New Roman"/>
                <w:szCs w:val="24"/>
              </w:rPr>
              <w:t>punkt</w:t>
            </w:r>
            <w:r w:rsidR="004E1226">
              <w:rPr>
                <w:rFonts w:cs="Times New Roman"/>
                <w:szCs w:val="24"/>
              </w:rPr>
              <w:t>ā</w:t>
            </w:r>
            <w:r w:rsidRPr="00F26CB5">
              <w:rPr>
                <w:rFonts w:cs="Times New Roman"/>
                <w:szCs w:val="24"/>
              </w:rPr>
              <w:t xml:space="preserve"> noteiktā datu apmaiņa elektroniskā veidā – izmantojot Valsts reģionālās attīstības aģentūras (turpmāk – VRAA) pārziņā esošo Valsts informācijas sistēmu </w:t>
            </w:r>
            <w:proofErr w:type="spellStart"/>
            <w:r w:rsidRPr="00F26CB5">
              <w:rPr>
                <w:rFonts w:cs="Times New Roman"/>
                <w:szCs w:val="24"/>
              </w:rPr>
              <w:t>savietotāja</w:t>
            </w:r>
            <w:proofErr w:type="spellEnd"/>
            <w:r w:rsidRPr="00F26CB5">
              <w:rPr>
                <w:rFonts w:cs="Times New Roman"/>
                <w:szCs w:val="24"/>
              </w:rPr>
              <w:t xml:space="preserve"> koplietošanas daļu “Datu izplatīšanas tīkls” (turpmāk – DIT) ti</w:t>
            </w:r>
            <w:r>
              <w:rPr>
                <w:rFonts w:cs="Times New Roman"/>
                <w:szCs w:val="24"/>
              </w:rPr>
              <w:t>e</w:t>
            </w:r>
            <w:r w:rsidRPr="00F26CB5">
              <w:rPr>
                <w:rFonts w:cs="Times New Roman"/>
                <w:szCs w:val="24"/>
              </w:rPr>
              <w:t>k uzsākta</w:t>
            </w:r>
            <w:r>
              <w:rPr>
                <w:rFonts w:cs="Times New Roman"/>
                <w:szCs w:val="24"/>
              </w:rPr>
              <w:t>,</w:t>
            </w:r>
            <w:r w:rsidRPr="00F26CB5">
              <w:rPr>
                <w:rFonts w:cs="Times New Roman"/>
                <w:szCs w:val="24"/>
              </w:rPr>
              <w:t xml:space="preserve"> sākot ar 2019.</w:t>
            </w:r>
            <w:r>
              <w:rPr>
                <w:rFonts w:cs="Times New Roman"/>
                <w:szCs w:val="24"/>
              </w:rPr>
              <w:t> </w:t>
            </w:r>
            <w:r w:rsidRPr="00F26CB5">
              <w:rPr>
                <w:rFonts w:cs="Times New Roman"/>
                <w:szCs w:val="24"/>
              </w:rPr>
              <w:t>gada 1.</w:t>
            </w:r>
            <w:r>
              <w:rPr>
                <w:rFonts w:cs="Times New Roman"/>
                <w:szCs w:val="24"/>
              </w:rPr>
              <w:t> </w:t>
            </w:r>
            <w:r w:rsidRPr="00F26CB5">
              <w:rPr>
                <w:rFonts w:cs="Times New Roman"/>
                <w:szCs w:val="24"/>
              </w:rPr>
              <w:t xml:space="preserve">jūliju. </w:t>
            </w:r>
          </w:p>
          <w:p w14:paraId="3A8DAE49" w14:textId="77777777" w:rsidR="00614474" w:rsidRDefault="00614474" w:rsidP="00614474">
            <w:pPr>
              <w:ind w:firstLine="284"/>
              <w:jc w:val="both"/>
              <w:rPr>
                <w:rFonts w:cs="Times New Roman"/>
                <w:szCs w:val="24"/>
              </w:rPr>
            </w:pPr>
            <w:r w:rsidRPr="00F26CB5">
              <w:rPr>
                <w:rFonts w:cs="Times New Roman"/>
                <w:szCs w:val="24"/>
              </w:rPr>
              <w:t>Lai nodrošinātu elektronisko datu apmaiņ</w:t>
            </w:r>
            <w:r>
              <w:rPr>
                <w:rFonts w:cs="Times New Roman"/>
                <w:szCs w:val="24"/>
              </w:rPr>
              <w:t>as</w:t>
            </w:r>
            <w:r w:rsidRPr="00F26CB5">
              <w:rPr>
                <w:rFonts w:cs="Times New Roman"/>
                <w:szCs w:val="24"/>
              </w:rPr>
              <w:t xml:space="preserve"> ieviešanu noteiktajā termiņā</w:t>
            </w:r>
            <w:r>
              <w:rPr>
                <w:rFonts w:cs="Times New Roman"/>
                <w:szCs w:val="24"/>
              </w:rPr>
              <w:t>,</w:t>
            </w:r>
            <w:r w:rsidRPr="00F26CB5">
              <w:rPr>
                <w:rFonts w:cs="Times New Roman"/>
                <w:szCs w:val="24"/>
              </w:rPr>
              <w:t xml:space="preserve"> notika vairākas sanāksmes starp Finanšu nozares</w:t>
            </w:r>
            <w:r>
              <w:rPr>
                <w:rFonts w:cs="Times New Roman"/>
                <w:szCs w:val="24"/>
              </w:rPr>
              <w:t xml:space="preserve"> asociācijas </w:t>
            </w:r>
            <w:r w:rsidRPr="00F26CB5">
              <w:rPr>
                <w:rFonts w:cs="Times New Roman"/>
                <w:szCs w:val="24"/>
              </w:rPr>
              <w:t xml:space="preserve">(turpmāk – </w:t>
            </w:r>
            <w:r>
              <w:rPr>
                <w:rFonts w:cs="Times New Roman"/>
                <w:szCs w:val="24"/>
              </w:rPr>
              <w:t>FNA</w:t>
            </w:r>
            <w:r w:rsidRPr="00F26CB5">
              <w:rPr>
                <w:rFonts w:cs="Times New Roman"/>
                <w:szCs w:val="24"/>
              </w:rPr>
              <w:t>), Valsts ieņēmumu dienesta</w:t>
            </w:r>
            <w:r>
              <w:rPr>
                <w:rFonts w:cs="Times New Roman"/>
                <w:szCs w:val="24"/>
              </w:rPr>
              <w:t xml:space="preserve"> </w:t>
            </w:r>
            <w:r w:rsidRPr="00F26CB5">
              <w:rPr>
                <w:rFonts w:cs="Times New Roman"/>
                <w:szCs w:val="24"/>
              </w:rPr>
              <w:t xml:space="preserve">(turpmāk – </w:t>
            </w:r>
            <w:r>
              <w:rPr>
                <w:rFonts w:cs="Times New Roman"/>
                <w:szCs w:val="24"/>
              </w:rPr>
              <w:t>VID</w:t>
            </w:r>
            <w:r w:rsidRPr="00F26CB5">
              <w:rPr>
                <w:rFonts w:cs="Times New Roman"/>
                <w:szCs w:val="24"/>
              </w:rPr>
              <w:t xml:space="preserve">) un Tiesu administrācijas IT speciālistiem, piesaistot </w:t>
            </w:r>
            <w:r>
              <w:rPr>
                <w:rFonts w:cs="Times New Roman"/>
                <w:szCs w:val="24"/>
              </w:rPr>
              <w:t>Latvijas Z</w:t>
            </w:r>
            <w:r w:rsidRPr="00F26CB5">
              <w:rPr>
                <w:rFonts w:cs="Times New Roman"/>
                <w:szCs w:val="24"/>
              </w:rPr>
              <w:t>vērināto tiesu izpildītāju (turpmāk – ZTI) padomes, Finanšu ministrijas un Ti</w:t>
            </w:r>
            <w:r>
              <w:rPr>
                <w:rFonts w:cs="Times New Roman"/>
                <w:szCs w:val="24"/>
              </w:rPr>
              <w:t>eslietu ministrijas pārstāvjus.</w:t>
            </w:r>
          </w:p>
          <w:p w14:paraId="686405FA" w14:textId="77777777" w:rsidR="00614474" w:rsidRDefault="00614474" w:rsidP="00614474">
            <w:pPr>
              <w:ind w:firstLine="284"/>
              <w:jc w:val="both"/>
              <w:rPr>
                <w:rFonts w:cs="Times New Roman"/>
                <w:szCs w:val="24"/>
              </w:rPr>
            </w:pPr>
            <w:r w:rsidRPr="00F26CB5">
              <w:rPr>
                <w:rFonts w:cs="Times New Roman"/>
                <w:szCs w:val="24"/>
              </w:rPr>
              <w:t xml:space="preserve">Strādājot pie tehniskajiem risinājumiem, </w:t>
            </w:r>
            <w:r>
              <w:rPr>
                <w:rFonts w:cs="Times New Roman"/>
                <w:szCs w:val="24"/>
              </w:rPr>
              <w:t xml:space="preserve">tika </w:t>
            </w:r>
            <w:r w:rsidRPr="00F26CB5">
              <w:rPr>
                <w:rFonts w:cs="Times New Roman"/>
                <w:szCs w:val="24"/>
              </w:rPr>
              <w:t xml:space="preserve">secināts, ka datu apmaiņu (atsevišķos datu apmaiņas posmos) ir iespējams nodrošināt </w:t>
            </w:r>
            <w:r>
              <w:rPr>
                <w:rFonts w:cs="Times New Roman"/>
                <w:szCs w:val="24"/>
              </w:rPr>
              <w:t xml:space="preserve">vēl </w:t>
            </w:r>
            <w:r w:rsidRPr="00F26CB5">
              <w:rPr>
                <w:rFonts w:cs="Times New Roman"/>
                <w:szCs w:val="24"/>
              </w:rPr>
              <w:t xml:space="preserve">efektīvāk </w:t>
            </w:r>
            <w:r>
              <w:rPr>
                <w:rFonts w:cs="Times New Roman"/>
                <w:szCs w:val="24"/>
              </w:rPr>
              <w:t>nekā bija plānots līdz šim</w:t>
            </w:r>
            <w:r w:rsidRPr="00F26CB5">
              <w:rPr>
                <w:rFonts w:cs="Times New Roman"/>
                <w:szCs w:val="24"/>
              </w:rPr>
              <w:t>,</w:t>
            </w:r>
            <w:r>
              <w:rPr>
                <w:rFonts w:cs="Times New Roman"/>
                <w:szCs w:val="24"/>
              </w:rPr>
              <w:t xml:space="preserve"> jo pastāv iespēja </w:t>
            </w:r>
            <w:r w:rsidR="0062092A">
              <w:rPr>
                <w:rFonts w:cs="Times New Roman"/>
                <w:szCs w:val="24"/>
              </w:rPr>
              <w:t xml:space="preserve">uzlabot </w:t>
            </w:r>
            <w:r>
              <w:rPr>
                <w:rFonts w:cs="Times New Roman"/>
                <w:szCs w:val="24"/>
              </w:rPr>
              <w:t>vēl dažus datu apmaiņas posmus</w:t>
            </w:r>
            <w:r w:rsidR="004302A0">
              <w:rPr>
                <w:rFonts w:cs="Times New Roman"/>
                <w:szCs w:val="24"/>
              </w:rPr>
              <w:t>,</w:t>
            </w:r>
            <w:r>
              <w:rPr>
                <w:rFonts w:cs="Times New Roman"/>
                <w:szCs w:val="24"/>
              </w:rPr>
              <w:t xml:space="preserve"> </w:t>
            </w:r>
            <w:r w:rsidR="004302A0">
              <w:rPr>
                <w:rFonts w:cs="Times New Roman"/>
                <w:szCs w:val="24"/>
              </w:rPr>
              <w:t>k</w:t>
            </w:r>
            <w:r w:rsidR="00530A55">
              <w:rPr>
                <w:rFonts w:cs="Times New Roman"/>
                <w:szCs w:val="24"/>
              </w:rPr>
              <w:t xml:space="preserve">ā arī veicināt VRAA </w:t>
            </w:r>
            <w:r w:rsidR="00530A55" w:rsidRPr="00317E1B">
              <w:t xml:space="preserve">pieprasījumu apstrādes </w:t>
            </w:r>
            <w:proofErr w:type="spellStart"/>
            <w:r w:rsidR="00530A55">
              <w:rPr>
                <w:rFonts w:cs="Times New Roman"/>
                <w:szCs w:val="24"/>
              </w:rPr>
              <w:t>digitalizāciju</w:t>
            </w:r>
            <w:proofErr w:type="spellEnd"/>
            <w:r w:rsidR="004302A0">
              <w:rPr>
                <w:rFonts w:cs="Times New Roman"/>
                <w:szCs w:val="24"/>
              </w:rPr>
              <w:t>, proti, pieprasījumu par DIT vides lietotāja tiesību piešķiršanu iesniegšana turpmāk notiks tikai elektroniskā veidā</w:t>
            </w:r>
            <w:r w:rsidR="005C49F6">
              <w:rPr>
                <w:rFonts w:cs="Times New Roman"/>
                <w:szCs w:val="24"/>
              </w:rPr>
              <w:t xml:space="preserve"> – uz </w:t>
            </w:r>
            <w:r w:rsidR="004302A0">
              <w:rPr>
                <w:rFonts w:cs="Times New Roman"/>
                <w:szCs w:val="24"/>
              </w:rPr>
              <w:t>VRAA oficiālo elektronisko adresi.</w:t>
            </w:r>
          </w:p>
          <w:p w14:paraId="7FE1C6E8" w14:textId="6BE8453D" w:rsidR="00153A37" w:rsidRPr="00863C06" w:rsidRDefault="00614474" w:rsidP="00766792">
            <w:pPr>
              <w:ind w:firstLine="284"/>
              <w:jc w:val="both"/>
              <w:rPr>
                <w:szCs w:val="24"/>
              </w:rPr>
            </w:pPr>
            <w:r>
              <w:rPr>
                <w:rFonts w:cs="Times New Roman"/>
                <w:szCs w:val="24"/>
              </w:rPr>
              <w:lastRenderedPageBreak/>
              <w:t>Ņemot vērā minēto,</w:t>
            </w:r>
            <w:r w:rsidRPr="00F26CB5">
              <w:rPr>
                <w:rFonts w:cs="Times New Roman"/>
                <w:szCs w:val="24"/>
              </w:rPr>
              <w:t xml:space="preserve"> </w:t>
            </w:r>
            <w:r w:rsidR="00D63AFF">
              <w:rPr>
                <w:rFonts w:cs="Times New Roman"/>
                <w:szCs w:val="24"/>
              </w:rPr>
              <w:t>lai</w:t>
            </w:r>
            <w:r w:rsidR="00D63AFF" w:rsidRPr="00F26CB5">
              <w:rPr>
                <w:rFonts w:cs="Times New Roman"/>
                <w:szCs w:val="24"/>
              </w:rPr>
              <w:t xml:space="preserve"> </w:t>
            </w:r>
            <w:r w:rsidR="00D63AFF" w:rsidRPr="00863C06">
              <w:rPr>
                <w:szCs w:val="24"/>
              </w:rPr>
              <w:t>pa</w:t>
            </w:r>
            <w:r w:rsidR="00D63AFF">
              <w:rPr>
                <w:szCs w:val="24"/>
              </w:rPr>
              <w:t>ātrinātu datu apmaiņu atsevišķos posmos,</w:t>
            </w:r>
            <w:r w:rsidR="00D63AFF" w:rsidRPr="00F26CB5">
              <w:rPr>
                <w:rFonts w:cs="Times New Roman"/>
                <w:szCs w:val="24"/>
              </w:rPr>
              <w:t xml:space="preserve"> </w:t>
            </w:r>
            <w:r w:rsidRPr="00F26CB5">
              <w:rPr>
                <w:rFonts w:cs="Times New Roman"/>
                <w:szCs w:val="24"/>
              </w:rPr>
              <w:t xml:space="preserve">ir nepieciešams </w:t>
            </w:r>
            <w:r w:rsidR="00775B3B">
              <w:rPr>
                <w:rFonts w:cs="Times New Roman"/>
                <w:szCs w:val="24"/>
              </w:rPr>
              <w:t>veikt grozījumus</w:t>
            </w:r>
            <w:r w:rsidRPr="00F26CB5">
              <w:rPr>
                <w:rFonts w:cs="Times New Roman"/>
                <w:szCs w:val="24"/>
              </w:rPr>
              <w:t xml:space="preserve"> Ministru kabineta 2017.</w:t>
            </w:r>
            <w:r>
              <w:rPr>
                <w:rFonts w:cs="Times New Roman"/>
                <w:szCs w:val="24"/>
              </w:rPr>
              <w:t> </w:t>
            </w:r>
            <w:r w:rsidRPr="00F26CB5">
              <w:rPr>
                <w:rFonts w:cs="Times New Roman"/>
                <w:szCs w:val="24"/>
              </w:rPr>
              <w:t>gada 21.</w:t>
            </w:r>
            <w:r>
              <w:rPr>
                <w:rFonts w:cs="Times New Roman"/>
                <w:szCs w:val="24"/>
              </w:rPr>
              <w:t> </w:t>
            </w:r>
            <w:r w:rsidRPr="00F26CB5">
              <w:rPr>
                <w:rFonts w:cs="Times New Roman"/>
                <w:szCs w:val="24"/>
              </w:rPr>
              <w:t>marta noteikum</w:t>
            </w:r>
            <w:r w:rsidR="00775B3B">
              <w:rPr>
                <w:rFonts w:cs="Times New Roman"/>
                <w:szCs w:val="24"/>
              </w:rPr>
              <w:t>o</w:t>
            </w:r>
            <w:r w:rsidRPr="00F26CB5">
              <w:rPr>
                <w:rFonts w:cs="Times New Roman"/>
                <w:szCs w:val="24"/>
              </w:rPr>
              <w:t>s Nr.</w:t>
            </w:r>
            <w:r>
              <w:rPr>
                <w:rFonts w:cs="Times New Roman"/>
                <w:szCs w:val="24"/>
              </w:rPr>
              <w:t> </w:t>
            </w:r>
            <w:r w:rsidRPr="00F26CB5">
              <w:rPr>
                <w:rFonts w:cs="Times New Roman"/>
                <w:szCs w:val="24"/>
              </w:rPr>
              <w:t>167 “Kārtība, kādā veic datu apmaiņu attiecībā uz elektroniski nosūtāmiem rīkojumiem un paziņojumiem par to izpildi” (turpmāk – MK noteikumi)</w:t>
            </w:r>
            <w:r w:rsidR="00766792">
              <w:rPr>
                <w:rFonts w:cs="Times New Roman"/>
                <w:szCs w:val="24"/>
              </w:rPr>
              <w:t xml:space="preserve">, </w:t>
            </w:r>
            <w:r w:rsidR="00D63AFF">
              <w:rPr>
                <w:szCs w:val="24"/>
              </w:rPr>
              <w:t>nosakot, ka</w:t>
            </w:r>
            <w:r w:rsidR="00D52268">
              <w:rPr>
                <w:szCs w:val="24"/>
              </w:rPr>
              <w:t xml:space="preserve"> paziņojumi par satura neatbilstībām</w:t>
            </w:r>
            <w:r w:rsidR="0044634C">
              <w:rPr>
                <w:szCs w:val="24"/>
              </w:rPr>
              <w:t xml:space="preserve">, </w:t>
            </w:r>
            <w:r w:rsidR="0044634C" w:rsidRPr="00153A37">
              <w:rPr>
                <w:szCs w:val="24"/>
              </w:rPr>
              <w:t>kas tika konstatēt</w:t>
            </w:r>
            <w:r w:rsidR="00A16298" w:rsidRPr="00272306">
              <w:rPr>
                <w:szCs w:val="24"/>
              </w:rPr>
              <w:t>a</w:t>
            </w:r>
            <w:r w:rsidR="0044634C" w:rsidRPr="00153A37">
              <w:rPr>
                <w:szCs w:val="24"/>
              </w:rPr>
              <w:t>s VID un ZTI rīkojumos,</w:t>
            </w:r>
            <w:r w:rsidR="00D52268">
              <w:rPr>
                <w:szCs w:val="24"/>
              </w:rPr>
              <w:t xml:space="preserve"> turpmāk </w:t>
            </w:r>
            <w:r w:rsidRPr="00F26CB5">
              <w:rPr>
                <w:szCs w:val="24"/>
              </w:rPr>
              <w:t xml:space="preserve">netiks nosūtīti uz elektroniskā pasta adresi, bet ievietoti DIT, </w:t>
            </w:r>
            <w:r w:rsidR="00F70103">
              <w:rPr>
                <w:szCs w:val="24"/>
              </w:rPr>
              <w:t>ievērojot</w:t>
            </w:r>
            <w:r w:rsidR="00F70103" w:rsidRPr="00F26CB5">
              <w:rPr>
                <w:szCs w:val="24"/>
              </w:rPr>
              <w:t xml:space="preserve"> </w:t>
            </w:r>
            <w:r w:rsidRPr="00F26CB5">
              <w:rPr>
                <w:szCs w:val="24"/>
              </w:rPr>
              <w:t>XML (</w:t>
            </w:r>
            <w:proofErr w:type="spellStart"/>
            <w:r w:rsidRPr="00F26CB5">
              <w:rPr>
                <w:szCs w:val="24"/>
              </w:rPr>
              <w:t>Ext</w:t>
            </w:r>
            <w:r w:rsidR="00F51B82">
              <w:rPr>
                <w:szCs w:val="24"/>
              </w:rPr>
              <w:t>ensible</w:t>
            </w:r>
            <w:proofErr w:type="spellEnd"/>
            <w:r w:rsidR="00F51B82">
              <w:rPr>
                <w:szCs w:val="24"/>
              </w:rPr>
              <w:t xml:space="preserve"> </w:t>
            </w:r>
            <w:proofErr w:type="spellStart"/>
            <w:r w:rsidR="00F51B82">
              <w:rPr>
                <w:szCs w:val="24"/>
              </w:rPr>
              <w:t>Markup</w:t>
            </w:r>
            <w:proofErr w:type="spellEnd"/>
            <w:r w:rsidR="00F51B82">
              <w:rPr>
                <w:szCs w:val="24"/>
              </w:rPr>
              <w:t xml:space="preserve"> </w:t>
            </w:r>
            <w:proofErr w:type="spellStart"/>
            <w:r w:rsidR="00F51B82">
              <w:rPr>
                <w:szCs w:val="24"/>
              </w:rPr>
              <w:t>Language</w:t>
            </w:r>
            <w:proofErr w:type="spellEnd"/>
            <w:r w:rsidR="00F51B82">
              <w:rPr>
                <w:szCs w:val="24"/>
              </w:rPr>
              <w:t>) formāta</w:t>
            </w:r>
            <w:r w:rsidRPr="00F26CB5">
              <w:rPr>
                <w:szCs w:val="24"/>
              </w:rPr>
              <w:t xml:space="preserve"> shēmu, kas publicēta VRAA pārziņā esošajā Valsts informācijas sistēmu </w:t>
            </w:r>
            <w:proofErr w:type="spellStart"/>
            <w:r w:rsidRPr="00F26CB5">
              <w:rPr>
                <w:szCs w:val="24"/>
              </w:rPr>
              <w:t>savietotāja</w:t>
            </w:r>
            <w:proofErr w:type="spellEnd"/>
            <w:r w:rsidRPr="00F26CB5">
              <w:rPr>
                <w:szCs w:val="24"/>
              </w:rPr>
              <w:t xml:space="preserve"> XML katalogā. </w:t>
            </w:r>
            <w:r>
              <w:rPr>
                <w:szCs w:val="24"/>
              </w:rPr>
              <w:t>Ņemot vērā, ka jaunu elektronisko paziņojumu</w:t>
            </w:r>
            <w:r w:rsidR="00D82BD9">
              <w:t xml:space="preserve"> – kļūd</w:t>
            </w:r>
            <w:r w:rsidR="00272306">
              <w:t>as</w:t>
            </w:r>
            <w:r w:rsidR="00D82BD9">
              <w:t xml:space="preserve"> kods </w:t>
            </w:r>
            <w:r w:rsidR="00D82BD9">
              <w:rPr>
                <w:szCs w:val="24"/>
              </w:rPr>
              <w:t xml:space="preserve">– </w:t>
            </w:r>
            <w:r>
              <w:rPr>
                <w:szCs w:val="24"/>
              </w:rPr>
              <w:t>ieviešana</w:t>
            </w:r>
            <w:r w:rsidR="00D82BD9">
              <w:rPr>
                <w:szCs w:val="24"/>
              </w:rPr>
              <w:t xml:space="preserve"> </w:t>
            </w:r>
            <w:r>
              <w:rPr>
                <w:szCs w:val="24"/>
              </w:rPr>
              <w:t xml:space="preserve"> skars vairākas IT sistēmas, pašlaik nav stingri noteiktas prasības attiecībā uz paziņojumos iekļaujamo informāciju.</w:t>
            </w:r>
            <w:r w:rsidR="00D82BD9">
              <w:t xml:space="preserve"> </w:t>
            </w:r>
            <w:r w:rsidR="007932FE" w:rsidRPr="00863C06">
              <w:t>Paziņojuma “k</w:t>
            </w:r>
            <w:r w:rsidR="00D82BD9" w:rsidRPr="00863C06">
              <w:t>ļūd</w:t>
            </w:r>
            <w:r w:rsidR="00272306">
              <w:t>as</w:t>
            </w:r>
            <w:r w:rsidR="00D82BD9" w:rsidRPr="00863C06">
              <w:t xml:space="preserve"> kod</w:t>
            </w:r>
            <w:r w:rsidR="0044634C" w:rsidRPr="00863C06">
              <w:t>s</w:t>
            </w:r>
            <w:r w:rsidR="007932FE" w:rsidRPr="00863C06">
              <w:t>”</w:t>
            </w:r>
            <w:r w:rsidR="0044634C" w:rsidRPr="007E438D">
              <w:t xml:space="preserve"> </w:t>
            </w:r>
            <w:r w:rsidR="0064150A" w:rsidRPr="00925213">
              <w:t>saņemšana nozīmē, ka paziņotajā rīkojum</w:t>
            </w:r>
            <w:r w:rsidR="00A16298" w:rsidRPr="00925213">
              <w:t>ā</w:t>
            </w:r>
            <w:r w:rsidR="0064150A" w:rsidRPr="00C94FDA">
              <w:t xml:space="preserve"> ir konstatēta satura neatbilstība, kuras rezult</w:t>
            </w:r>
            <w:r w:rsidR="0064150A" w:rsidRPr="00863C06">
              <w:t>ātā</w:t>
            </w:r>
            <w:r w:rsidR="00D82BD9" w:rsidRPr="00863C06">
              <w:t xml:space="preserve"> </w:t>
            </w:r>
            <w:r w:rsidR="00D82BD9" w:rsidRPr="00863C06">
              <w:rPr>
                <w:szCs w:val="24"/>
              </w:rPr>
              <w:t>rīkojums nav pieņemts izpildei un nav saistošs kredītiestādei</w:t>
            </w:r>
            <w:r w:rsidR="0064150A" w:rsidRPr="00863C06">
              <w:rPr>
                <w:szCs w:val="24"/>
              </w:rPr>
              <w:t>.</w:t>
            </w:r>
            <w:r w:rsidRPr="00863C06">
              <w:rPr>
                <w:szCs w:val="24"/>
              </w:rPr>
              <w:t xml:space="preserve"> </w:t>
            </w:r>
          </w:p>
          <w:p w14:paraId="13989C9C" w14:textId="579C490B" w:rsidR="00614474" w:rsidRPr="00D63AFF" w:rsidRDefault="00614474" w:rsidP="00D63AFF">
            <w:pPr>
              <w:ind w:firstLine="229"/>
              <w:jc w:val="both"/>
              <w:rPr>
                <w:szCs w:val="24"/>
              </w:rPr>
            </w:pPr>
            <w:r w:rsidRPr="00D63AFF">
              <w:rPr>
                <w:szCs w:val="24"/>
              </w:rPr>
              <w:t>Lai risinājuma izstrādē iesaistītās puses varētu vienoties par jaunas XML shēmas saturu, ir nepieciešams paredzēt pārejas periodu risinājuma izstrādei, kas vidēji varētu būt 6 līdz 8 mēneši. Līdz ar to plānots, ka VID publicēs jaunu XML shēmu (struktūru un prasības) 2020. gada 1. </w:t>
            </w:r>
            <w:r w:rsidR="0044634C" w:rsidRPr="00D63AFF">
              <w:rPr>
                <w:szCs w:val="24"/>
              </w:rPr>
              <w:t xml:space="preserve">aprīlim </w:t>
            </w:r>
            <w:r w:rsidRPr="00D63AFF">
              <w:rPr>
                <w:szCs w:val="24"/>
              </w:rPr>
              <w:t>un to varēs piemērot, sākot ar 2020. gada 1. </w:t>
            </w:r>
            <w:r w:rsidR="0044634C" w:rsidRPr="00D63AFF">
              <w:rPr>
                <w:szCs w:val="24"/>
              </w:rPr>
              <w:t xml:space="preserve">jūliju </w:t>
            </w:r>
            <w:r w:rsidRPr="00D63AFF">
              <w:rPr>
                <w:szCs w:val="24"/>
              </w:rPr>
              <w:t xml:space="preserve">(atbilstoši MK noteikumu 14. punktam </w:t>
            </w:r>
            <w:r w:rsidR="0044634C" w:rsidRPr="00D63AFF">
              <w:rPr>
                <w:szCs w:val="24"/>
              </w:rPr>
              <w:t xml:space="preserve">vismaz </w:t>
            </w:r>
            <w:r w:rsidRPr="00D63AFF">
              <w:rPr>
                <w:szCs w:val="24"/>
              </w:rPr>
              <w:t xml:space="preserve">divi mēneši pēc publicēšanas). Minētais grozījums veicinās nosūtāmo un saņemto datu apstrādes automatizāciju. Uz šo brīdi VID, FNA un Tiesu administrācija ir konstatējusi </w:t>
            </w:r>
            <w:r w:rsidR="006E7938" w:rsidRPr="00D63AFF">
              <w:rPr>
                <w:szCs w:val="24"/>
              </w:rPr>
              <w:t xml:space="preserve">šādas </w:t>
            </w:r>
            <w:r w:rsidRPr="00D63AFF">
              <w:rPr>
                <w:szCs w:val="24"/>
              </w:rPr>
              <w:t xml:space="preserve">satura neatbilstības, par kurām </w:t>
            </w:r>
            <w:r w:rsidR="0062092A" w:rsidRPr="00D63AFF">
              <w:rPr>
                <w:szCs w:val="24"/>
              </w:rPr>
              <w:t>paziņojum</w:t>
            </w:r>
            <w:r w:rsidR="00491289" w:rsidRPr="00D63AFF">
              <w:rPr>
                <w:szCs w:val="24"/>
              </w:rPr>
              <w:t>i</w:t>
            </w:r>
            <w:r w:rsidR="00CF0D8E" w:rsidRPr="00D63AFF">
              <w:rPr>
                <w:szCs w:val="24"/>
              </w:rPr>
              <w:t xml:space="preserve"> </w:t>
            </w:r>
            <w:r w:rsidR="006E7938" w:rsidRPr="00D63AFF">
              <w:rPr>
                <w:szCs w:val="24"/>
              </w:rPr>
              <w:t>tiks</w:t>
            </w:r>
            <w:r w:rsidR="0062092A" w:rsidRPr="00D63AFF">
              <w:rPr>
                <w:szCs w:val="24"/>
              </w:rPr>
              <w:t xml:space="preserve"> nosūtīt</w:t>
            </w:r>
            <w:r w:rsidR="006E7938" w:rsidRPr="00D63AFF">
              <w:rPr>
                <w:szCs w:val="24"/>
              </w:rPr>
              <w:t>i</w:t>
            </w:r>
            <w:r w:rsidR="0002294E" w:rsidRPr="00D63AFF">
              <w:rPr>
                <w:szCs w:val="24"/>
              </w:rPr>
              <w:t xml:space="preserve"> DIT</w:t>
            </w:r>
            <w:r w:rsidRPr="00D63AFF">
              <w:rPr>
                <w:szCs w:val="24"/>
              </w:rPr>
              <w:t xml:space="preserve">, izmantojot </w:t>
            </w:r>
            <w:r w:rsidR="0002294E" w:rsidRPr="00D63AFF">
              <w:rPr>
                <w:szCs w:val="24"/>
              </w:rPr>
              <w:t>speciāli paredzētus kļūd</w:t>
            </w:r>
            <w:r w:rsidR="00272306" w:rsidRPr="00D63AFF">
              <w:rPr>
                <w:szCs w:val="24"/>
              </w:rPr>
              <w:t>as</w:t>
            </w:r>
            <w:r w:rsidR="0002294E" w:rsidRPr="00D63AFF">
              <w:rPr>
                <w:szCs w:val="24"/>
              </w:rPr>
              <w:t xml:space="preserve"> kodus </w:t>
            </w:r>
            <w:r w:rsidRPr="00D63AFF">
              <w:rPr>
                <w:szCs w:val="24"/>
              </w:rPr>
              <w:t>(šobrīd saziņa par neatbilstībām notiek, izmantojot elektroniskā pasta adresi):</w:t>
            </w:r>
          </w:p>
          <w:p w14:paraId="60BCB68E" w14:textId="77777777" w:rsidR="00EF6F55" w:rsidRDefault="00EF6F55" w:rsidP="00614474">
            <w:pPr>
              <w:pStyle w:val="ListParagraph"/>
              <w:ind w:left="0" w:firstLine="284"/>
              <w:jc w:val="both"/>
              <w:rPr>
                <w:szCs w:val="24"/>
              </w:rPr>
            </w:pPr>
            <w:r>
              <w:rPr>
                <w:szCs w:val="24"/>
              </w:rPr>
              <w:t>- persona nav klients;</w:t>
            </w:r>
          </w:p>
          <w:p w14:paraId="42B45408" w14:textId="77777777" w:rsidR="00614474" w:rsidRDefault="00DF3E15" w:rsidP="00614474">
            <w:pPr>
              <w:pStyle w:val="ListParagraph"/>
              <w:ind w:left="0" w:firstLine="284"/>
              <w:jc w:val="both"/>
              <w:rPr>
                <w:szCs w:val="24"/>
              </w:rPr>
            </w:pPr>
            <w:r>
              <w:rPr>
                <w:szCs w:val="24"/>
              </w:rPr>
              <w:t>-</w:t>
            </w:r>
            <w:r w:rsidR="004F5315">
              <w:rPr>
                <w:szCs w:val="24"/>
              </w:rPr>
              <w:t>  </w:t>
            </w:r>
            <w:r w:rsidR="00614474" w:rsidRPr="00E8184F">
              <w:rPr>
                <w:szCs w:val="24"/>
              </w:rPr>
              <w:t xml:space="preserve">personai </w:t>
            </w:r>
            <w:r w:rsidR="00744E8A">
              <w:rPr>
                <w:szCs w:val="24"/>
              </w:rPr>
              <w:t>nav piedziņai pakļautu kontu vai konti ir slēgti</w:t>
            </w:r>
            <w:r w:rsidR="00614474" w:rsidRPr="00E8184F">
              <w:rPr>
                <w:szCs w:val="24"/>
              </w:rPr>
              <w:t>;</w:t>
            </w:r>
          </w:p>
          <w:p w14:paraId="1B0886B5" w14:textId="77777777" w:rsidR="00614474" w:rsidRDefault="00DF3E15" w:rsidP="00614474">
            <w:pPr>
              <w:pStyle w:val="ListParagraph"/>
              <w:ind w:left="0" w:firstLine="284"/>
              <w:jc w:val="both"/>
              <w:rPr>
                <w:szCs w:val="24"/>
              </w:rPr>
            </w:pPr>
            <w:r>
              <w:rPr>
                <w:szCs w:val="24"/>
              </w:rPr>
              <w:t>-</w:t>
            </w:r>
            <w:r w:rsidR="004F5315">
              <w:rPr>
                <w:szCs w:val="24"/>
              </w:rPr>
              <w:t>  </w:t>
            </w:r>
            <w:r w:rsidR="00614474" w:rsidRPr="00614474">
              <w:rPr>
                <w:szCs w:val="24"/>
              </w:rPr>
              <w:t>rīkojumā par naudas līdzekļu pārskaitīšanu norādītais pirmtiesības numurs nesakrīt ar iepriekš paziņotaj</w:t>
            </w:r>
            <w:r w:rsidR="00EF6F55">
              <w:rPr>
                <w:szCs w:val="24"/>
              </w:rPr>
              <w:t>am</w:t>
            </w:r>
            <w:r w:rsidR="00614474" w:rsidRPr="00614474">
              <w:rPr>
                <w:szCs w:val="24"/>
              </w:rPr>
              <w:t xml:space="preserve"> </w:t>
            </w:r>
            <w:r w:rsidR="00EF6F55">
              <w:rPr>
                <w:szCs w:val="24"/>
              </w:rPr>
              <w:t>sākotnējam (aizstājamam)</w:t>
            </w:r>
            <w:r w:rsidR="00EF6F55" w:rsidRPr="00614474">
              <w:rPr>
                <w:szCs w:val="24"/>
              </w:rPr>
              <w:t xml:space="preserve"> </w:t>
            </w:r>
            <w:r w:rsidR="00614474" w:rsidRPr="00614474">
              <w:rPr>
                <w:szCs w:val="24"/>
              </w:rPr>
              <w:t>rīkojum</w:t>
            </w:r>
            <w:r w:rsidR="00EF6F55">
              <w:rPr>
                <w:szCs w:val="24"/>
              </w:rPr>
              <w:t>am</w:t>
            </w:r>
            <w:r w:rsidR="00614474" w:rsidRPr="00614474">
              <w:rPr>
                <w:szCs w:val="24"/>
              </w:rPr>
              <w:t xml:space="preserve"> </w:t>
            </w:r>
            <w:r w:rsidR="00EF6F55">
              <w:rPr>
                <w:szCs w:val="24"/>
              </w:rPr>
              <w:t>noteikto</w:t>
            </w:r>
            <w:r w:rsidR="00EF6F55" w:rsidRPr="00614474">
              <w:rPr>
                <w:szCs w:val="24"/>
              </w:rPr>
              <w:t xml:space="preserve"> pirmtiesības numur</w:t>
            </w:r>
            <w:r w:rsidR="00EF6F55">
              <w:rPr>
                <w:szCs w:val="24"/>
              </w:rPr>
              <w:t>u</w:t>
            </w:r>
            <w:r w:rsidR="00614474" w:rsidRPr="00614474">
              <w:rPr>
                <w:szCs w:val="24"/>
              </w:rPr>
              <w:t>;</w:t>
            </w:r>
          </w:p>
          <w:p w14:paraId="31249264" w14:textId="77777777" w:rsidR="0090521B" w:rsidRDefault="00DF3E15" w:rsidP="004F5315">
            <w:pPr>
              <w:pStyle w:val="ListParagraph"/>
              <w:tabs>
                <w:tab w:val="left" w:pos="790"/>
              </w:tabs>
              <w:ind w:left="0" w:firstLine="284"/>
              <w:jc w:val="both"/>
              <w:rPr>
                <w:szCs w:val="24"/>
              </w:rPr>
            </w:pPr>
            <w:r>
              <w:rPr>
                <w:szCs w:val="24"/>
              </w:rPr>
              <w:t>-</w:t>
            </w:r>
            <w:r w:rsidR="0090521B">
              <w:rPr>
                <w:szCs w:val="24"/>
              </w:rPr>
              <w:t xml:space="preserve">  summa pārsniedz </w:t>
            </w:r>
            <w:r w:rsidR="006E7938" w:rsidRPr="00614474">
              <w:rPr>
                <w:szCs w:val="24"/>
              </w:rPr>
              <w:t>iepriekš paziņotaj</w:t>
            </w:r>
            <w:r w:rsidR="006E7938">
              <w:rPr>
                <w:szCs w:val="24"/>
              </w:rPr>
              <w:t>ā</w:t>
            </w:r>
            <w:r w:rsidR="006E7938" w:rsidRPr="00614474">
              <w:rPr>
                <w:szCs w:val="24"/>
              </w:rPr>
              <w:t xml:space="preserve"> </w:t>
            </w:r>
            <w:r w:rsidR="006E7938">
              <w:rPr>
                <w:szCs w:val="24"/>
              </w:rPr>
              <w:t xml:space="preserve">sākotnējā (aizstājamā) </w:t>
            </w:r>
            <w:r w:rsidR="0090521B">
              <w:rPr>
                <w:szCs w:val="24"/>
              </w:rPr>
              <w:t>rīkojumā norādīto summu</w:t>
            </w:r>
            <w:r w:rsidR="006E7938">
              <w:rPr>
                <w:szCs w:val="24"/>
              </w:rPr>
              <w:t xml:space="preserve"> (izņemot uzturlīdzekļu piedziņas lietas)</w:t>
            </w:r>
            <w:r w:rsidR="0090521B">
              <w:rPr>
                <w:szCs w:val="24"/>
              </w:rPr>
              <w:t>;</w:t>
            </w:r>
          </w:p>
          <w:p w14:paraId="6310C87D" w14:textId="77777777" w:rsidR="006E7938" w:rsidRDefault="00DF3E15" w:rsidP="001842EC">
            <w:pPr>
              <w:pStyle w:val="ListParagraph"/>
              <w:tabs>
                <w:tab w:val="left" w:pos="790"/>
              </w:tabs>
              <w:ind w:left="0" w:firstLine="284"/>
              <w:jc w:val="both"/>
              <w:rPr>
                <w:szCs w:val="24"/>
              </w:rPr>
            </w:pPr>
            <w:r>
              <w:rPr>
                <w:szCs w:val="24"/>
              </w:rPr>
              <w:t>-</w:t>
            </w:r>
            <w:r w:rsidR="001842EC">
              <w:rPr>
                <w:szCs w:val="24"/>
              </w:rPr>
              <w:t>  rīkojums ir atcelts/izpildīts/</w:t>
            </w:r>
            <w:r w:rsidR="0090521B" w:rsidRPr="001842EC">
              <w:rPr>
                <w:szCs w:val="24"/>
              </w:rPr>
              <w:t>slēgts</w:t>
            </w:r>
            <w:r w:rsidR="006E7938">
              <w:rPr>
                <w:szCs w:val="24"/>
              </w:rPr>
              <w:t>;</w:t>
            </w:r>
          </w:p>
          <w:p w14:paraId="15E84C2A" w14:textId="77777777" w:rsidR="00491289" w:rsidRDefault="006E7938" w:rsidP="001842EC">
            <w:pPr>
              <w:pStyle w:val="ListParagraph"/>
              <w:tabs>
                <w:tab w:val="left" w:pos="790"/>
              </w:tabs>
              <w:ind w:left="0" w:firstLine="284"/>
              <w:jc w:val="both"/>
              <w:rPr>
                <w:szCs w:val="24"/>
              </w:rPr>
            </w:pPr>
            <w:r>
              <w:rPr>
                <w:szCs w:val="24"/>
              </w:rPr>
              <w:t xml:space="preserve">- pārskaitīšana nav </w:t>
            </w:r>
            <w:r w:rsidR="009169E0">
              <w:rPr>
                <w:szCs w:val="24"/>
              </w:rPr>
              <w:t>iespējama, jo rīkojuma par naudas līdzekļu apķīlāšanu izpilde ir izbeigta, jo notecējis apķīlāšanas darbībām noteiktais termiņš (5 darbdienas pēc</w:t>
            </w:r>
            <w:r w:rsidR="00491289">
              <w:rPr>
                <w:szCs w:val="24"/>
              </w:rPr>
              <w:t xml:space="preserve"> tam, kad</w:t>
            </w:r>
            <w:r w:rsidR="009169E0">
              <w:rPr>
                <w:szCs w:val="24"/>
              </w:rPr>
              <w:t xml:space="preserve"> </w:t>
            </w:r>
            <w:r w:rsidR="00491289">
              <w:rPr>
                <w:szCs w:val="24"/>
              </w:rPr>
              <w:t>kredītiestādes paziņojums par rīkojuma izpildi ir paziņots);</w:t>
            </w:r>
          </w:p>
          <w:p w14:paraId="0BBE9831" w14:textId="21AAFE78" w:rsidR="0090521B" w:rsidRDefault="008B411B" w:rsidP="001842EC">
            <w:pPr>
              <w:pStyle w:val="ListParagraph"/>
              <w:tabs>
                <w:tab w:val="left" w:pos="790"/>
              </w:tabs>
              <w:ind w:left="0" w:firstLine="284"/>
              <w:jc w:val="both"/>
              <w:rPr>
                <w:szCs w:val="24"/>
              </w:rPr>
            </w:pPr>
            <w:r>
              <w:rPr>
                <w:szCs w:val="24"/>
              </w:rPr>
              <w:t>-</w:t>
            </w:r>
            <w:r w:rsidR="00491289">
              <w:rPr>
                <w:szCs w:val="24"/>
              </w:rPr>
              <w:t>“Cits” – izņēmumu gadījumā, ja situācijai neatbilst neviens no iepriekš minētajiem kļūd</w:t>
            </w:r>
            <w:r w:rsidR="00272306">
              <w:rPr>
                <w:szCs w:val="24"/>
              </w:rPr>
              <w:t>as</w:t>
            </w:r>
            <w:r w:rsidR="00491289">
              <w:rPr>
                <w:szCs w:val="24"/>
              </w:rPr>
              <w:t xml:space="preserve"> kodiem</w:t>
            </w:r>
            <w:r w:rsidR="0090521B" w:rsidRPr="001842EC">
              <w:rPr>
                <w:szCs w:val="24"/>
              </w:rPr>
              <w:t>.</w:t>
            </w:r>
          </w:p>
          <w:p w14:paraId="29E1345E" w14:textId="37F10268" w:rsidR="00925676" w:rsidRPr="001842EC" w:rsidRDefault="0064150A" w:rsidP="001842EC">
            <w:pPr>
              <w:pStyle w:val="ListParagraph"/>
              <w:tabs>
                <w:tab w:val="left" w:pos="790"/>
              </w:tabs>
              <w:ind w:left="0" w:firstLine="284"/>
              <w:jc w:val="both"/>
              <w:rPr>
                <w:szCs w:val="24"/>
              </w:rPr>
            </w:pPr>
            <w:r>
              <w:rPr>
                <w:szCs w:val="24"/>
              </w:rPr>
              <w:lastRenderedPageBreak/>
              <w:t>S</w:t>
            </w:r>
            <w:r w:rsidR="003027E3" w:rsidRPr="003027E3">
              <w:rPr>
                <w:szCs w:val="24"/>
              </w:rPr>
              <w:t xml:space="preserve">aņemot </w:t>
            </w:r>
            <w:r w:rsidR="00613B05">
              <w:rPr>
                <w:szCs w:val="24"/>
              </w:rPr>
              <w:t>paziņojumu “kļūd</w:t>
            </w:r>
            <w:r w:rsidR="00272306">
              <w:rPr>
                <w:szCs w:val="24"/>
              </w:rPr>
              <w:t>as</w:t>
            </w:r>
            <w:r w:rsidR="00613B05">
              <w:rPr>
                <w:szCs w:val="24"/>
              </w:rPr>
              <w:t xml:space="preserve"> kods”</w:t>
            </w:r>
            <w:r w:rsidR="008403DD">
              <w:rPr>
                <w:szCs w:val="24"/>
              </w:rPr>
              <w:t>,</w:t>
            </w:r>
            <w:r w:rsidR="003027E3" w:rsidRPr="003027E3">
              <w:rPr>
                <w:szCs w:val="24"/>
              </w:rPr>
              <w:t xml:space="preserve"> </w:t>
            </w:r>
            <w:r w:rsidR="00303C5A">
              <w:rPr>
                <w:szCs w:val="24"/>
              </w:rPr>
              <w:t>rīkojuma devējam</w:t>
            </w:r>
            <w:r w:rsidR="003027E3" w:rsidRPr="003027E3">
              <w:rPr>
                <w:szCs w:val="24"/>
              </w:rPr>
              <w:t xml:space="preserve">, ievērojot normatīvajos aktos noteikto termiņu </w:t>
            </w:r>
            <w:r w:rsidR="00303C5A">
              <w:rPr>
                <w:szCs w:val="24"/>
              </w:rPr>
              <w:t>rīkojuma paziņošanai</w:t>
            </w:r>
            <w:r w:rsidR="003027E3" w:rsidRPr="003027E3">
              <w:rPr>
                <w:szCs w:val="24"/>
              </w:rPr>
              <w:t xml:space="preserve">, </w:t>
            </w:r>
            <w:r w:rsidR="008403DD">
              <w:rPr>
                <w:szCs w:val="24"/>
              </w:rPr>
              <w:t xml:space="preserve">jāpārbauda informācija un </w:t>
            </w:r>
            <w:r w:rsidR="003027E3" w:rsidRPr="003027E3">
              <w:rPr>
                <w:szCs w:val="24"/>
              </w:rPr>
              <w:t>jānovērš attiecīga neatbilstība. Gadījumā, ja rīkojuma devējs nenovērš satura neatbilstību rīkojuma par naudas līdzekļu pārskaitīšanu paziņošanai noteiktajā termiņā</w:t>
            </w:r>
            <w:r w:rsidR="007C3DA2">
              <w:rPr>
                <w:szCs w:val="24"/>
              </w:rPr>
              <w:t>,</w:t>
            </w:r>
            <w:r w:rsidR="003027E3" w:rsidRPr="003027E3">
              <w:rPr>
                <w:szCs w:val="24"/>
              </w:rPr>
              <w:t xml:space="preserve"> tam jārēķinās ar sekām</w:t>
            </w:r>
            <w:r w:rsidR="00C85F75">
              <w:rPr>
                <w:szCs w:val="24"/>
              </w:rPr>
              <w:t>, ka</w:t>
            </w:r>
            <w:r w:rsidR="003027E3" w:rsidRPr="003027E3">
              <w:rPr>
                <w:szCs w:val="24"/>
              </w:rPr>
              <w:t xml:space="preserve"> </w:t>
            </w:r>
            <w:r w:rsidR="00C85F75" w:rsidRPr="003027E3">
              <w:rPr>
                <w:szCs w:val="24"/>
              </w:rPr>
              <w:t>rīkojums par naudas līdzekļu pārskaitīšanu nav pieņemts izpildei un nav saistošs kredītiestādei</w:t>
            </w:r>
            <w:r w:rsidR="008100AE">
              <w:rPr>
                <w:szCs w:val="24"/>
              </w:rPr>
              <w:t>.</w:t>
            </w:r>
            <w:r w:rsidR="00C85F75">
              <w:rPr>
                <w:szCs w:val="24"/>
              </w:rPr>
              <w:t xml:space="preserve"> </w:t>
            </w:r>
            <w:r w:rsidR="008100AE">
              <w:rPr>
                <w:szCs w:val="24"/>
              </w:rPr>
              <w:t xml:space="preserve">It īpaši jāpievērš uzmanība </w:t>
            </w:r>
            <w:r w:rsidR="008100AE" w:rsidRPr="003027E3">
              <w:rPr>
                <w:szCs w:val="24"/>
              </w:rPr>
              <w:t>rīkojuma par naudas līdzekļu pārskaitīšanu paziņošanai</w:t>
            </w:r>
            <w:r w:rsidR="008100AE">
              <w:rPr>
                <w:szCs w:val="24"/>
              </w:rPr>
              <w:t>, jo tā nepaziņošana</w:t>
            </w:r>
            <w:r w:rsidR="00D01C27">
              <w:rPr>
                <w:szCs w:val="24"/>
              </w:rPr>
              <w:t>s</w:t>
            </w:r>
            <w:r w:rsidR="008100AE">
              <w:rPr>
                <w:szCs w:val="24"/>
              </w:rPr>
              <w:t xml:space="preserve"> noteiktajā termiņā (</w:t>
            </w:r>
            <w:r w:rsidR="008100AE" w:rsidRPr="00D20502">
              <w:rPr>
                <w:szCs w:val="24"/>
              </w:rPr>
              <w:t>Kredītiestāžu likuma 66.</w:t>
            </w:r>
            <w:r w:rsidR="008100AE" w:rsidRPr="009F0889">
              <w:rPr>
                <w:szCs w:val="24"/>
                <w:vertAlign w:val="superscript"/>
              </w:rPr>
              <w:t>2</w:t>
            </w:r>
            <w:r w:rsidR="008100AE" w:rsidRPr="00D20502">
              <w:rPr>
                <w:szCs w:val="24"/>
              </w:rPr>
              <w:t xml:space="preserve"> panta </w:t>
            </w:r>
            <w:r w:rsidR="008100AE">
              <w:rPr>
                <w:szCs w:val="24"/>
              </w:rPr>
              <w:t>4.</w:t>
            </w:r>
            <w:r w:rsidR="008100AE" w:rsidRPr="009F0889">
              <w:rPr>
                <w:szCs w:val="24"/>
                <w:vertAlign w:val="superscript"/>
              </w:rPr>
              <w:t>1</w:t>
            </w:r>
            <w:r w:rsidR="008100AE">
              <w:rPr>
                <w:szCs w:val="24"/>
              </w:rPr>
              <w:t>daļa - 5 darbdienas pēc tam, kad kredītiestādes paziņojums par rīkojuma izpildi ir paziņots)</w:t>
            </w:r>
            <w:r w:rsidR="00D01C27">
              <w:rPr>
                <w:szCs w:val="24"/>
              </w:rPr>
              <w:t xml:space="preserve"> gadījumā kontā apķīlātie naudas līdzekļi tiek atbrīvoti</w:t>
            </w:r>
            <w:r w:rsidR="003027E3" w:rsidRPr="003027E3">
              <w:rPr>
                <w:szCs w:val="24"/>
              </w:rPr>
              <w:t xml:space="preserve"> no apķīlāšanas. Gadījumā, ja rīkojuma devējs nenovērš satura neatbilstību, kas konstatēta precizējošā rīkojumā, tam jārēķinās ar sekām, ka precizējošais rīkojums nav pieņemts izpildei un </w:t>
            </w:r>
            <w:r w:rsidR="00733C16">
              <w:rPr>
                <w:szCs w:val="24"/>
              </w:rPr>
              <w:t>tajā paredzētās darbības netiek pildītas</w:t>
            </w:r>
            <w:r w:rsidR="003027E3" w:rsidRPr="003027E3">
              <w:rPr>
                <w:szCs w:val="24"/>
              </w:rPr>
              <w:t>.</w:t>
            </w:r>
            <w:r w:rsidR="008403DD">
              <w:rPr>
                <w:szCs w:val="24"/>
              </w:rPr>
              <w:t xml:space="preserve"> Līdz ar to rīkojuma devējam nav jāparedz</w:t>
            </w:r>
            <w:r w:rsidR="00733C16">
              <w:rPr>
                <w:szCs w:val="24"/>
              </w:rPr>
              <w:t xml:space="preserve"> papildu</w:t>
            </w:r>
            <w:r w:rsidR="008403DD">
              <w:rPr>
                <w:szCs w:val="24"/>
              </w:rPr>
              <w:t xml:space="preserve"> termiņš neatbilstību novēršanai un </w:t>
            </w:r>
            <w:r w:rsidR="00D20502" w:rsidRPr="00733C16">
              <w:rPr>
                <w:szCs w:val="24"/>
              </w:rPr>
              <w:t>process</w:t>
            </w:r>
            <w:r w:rsidR="00D20502">
              <w:rPr>
                <w:szCs w:val="24"/>
              </w:rPr>
              <w:t xml:space="preserve"> </w:t>
            </w:r>
            <w:r w:rsidR="008403DD">
              <w:rPr>
                <w:szCs w:val="24"/>
              </w:rPr>
              <w:t xml:space="preserve">atkārtotai saziņai ar </w:t>
            </w:r>
            <w:r w:rsidR="00613B05">
              <w:rPr>
                <w:szCs w:val="24"/>
              </w:rPr>
              <w:t>kredītiestādi</w:t>
            </w:r>
            <w:r w:rsidR="00613B05" w:rsidRPr="00613B05">
              <w:rPr>
                <w:szCs w:val="24"/>
              </w:rPr>
              <w:t xml:space="preserve"> vai maksājumu pakalpojumu sniedzēj</w:t>
            </w:r>
            <w:r w:rsidR="00613B05">
              <w:rPr>
                <w:szCs w:val="24"/>
              </w:rPr>
              <w:t>u</w:t>
            </w:r>
            <w:r w:rsidR="00613B05" w:rsidRPr="00613B05">
              <w:rPr>
                <w:szCs w:val="24"/>
              </w:rPr>
              <w:t xml:space="preserve"> (turpmāk abi kopā – Subjekts)</w:t>
            </w:r>
            <w:r w:rsidR="005F4565">
              <w:rPr>
                <w:szCs w:val="24"/>
              </w:rPr>
              <w:t>, kā arī</w:t>
            </w:r>
            <w:r w:rsidR="00925676">
              <w:rPr>
                <w:szCs w:val="24"/>
              </w:rPr>
              <w:t xml:space="preserve"> </w:t>
            </w:r>
            <w:r w:rsidR="004C5F45">
              <w:rPr>
                <w:szCs w:val="24"/>
              </w:rPr>
              <w:t>nav nepieciešams regulējumā saglabāt</w:t>
            </w:r>
            <w:r w:rsidR="00925676">
              <w:rPr>
                <w:szCs w:val="24"/>
              </w:rPr>
              <w:t xml:space="preserve"> pienākum</w:t>
            </w:r>
            <w:r w:rsidR="004C5F45">
              <w:rPr>
                <w:szCs w:val="24"/>
              </w:rPr>
              <w:t>u</w:t>
            </w:r>
            <w:r w:rsidR="00925676">
              <w:rPr>
                <w:szCs w:val="24"/>
              </w:rPr>
              <w:t xml:space="preserve"> rīkojumu devējiem vienas darbdienas laikā novērst konstatēto neatbildību un ievietot DIT paziņojumu par rīkojuma korektumu.</w:t>
            </w:r>
            <w:r w:rsidR="004F07F1">
              <w:rPr>
                <w:szCs w:val="24"/>
              </w:rPr>
              <w:t xml:space="preserve"> </w:t>
            </w:r>
            <w:r w:rsidR="004F07F1" w:rsidRPr="005F4565">
              <w:rPr>
                <w:szCs w:val="24"/>
              </w:rPr>
              <w:t>Savukārt attiecībā uz satura neatbilstīb</w:t>
            </w:r>
            <w:r w:rsidR="000B1D67" w:rsidRPr="00D01C27">
              <w:rPr>
                <w:szCs w:val="24"/>
              </w:rPr>
              <w:t>u, kas konstatēt</w:t>
            </w:r>
            <w:r w:rsidR="00A16298" w:rsidRPr="00D01C27">
              <w:rPr>
                <w:szCs w:val="24"/>
              </w:rPr>
              <w:t>a</w:t>
            </w:r>
            <w:r w:rsidR="004F07F1" w:rsidRPr="005F4565">
              <w:rPr>
                <w:szCs w:val="24"/>
              </w:rPr>
              <w:t xml:space="preserve"> Subjektu paziņojumos par rīkojumu izpildi</w:t>
            </w:r>
            <w:r w:rsidR="000B1D67" w:rsidRPr="00D01C27">
              <w:rPr>
                <w:szCs w:val="24"/>
              </w:rPr>
              <w:t>, paziņošanu</w:t>
            </w:r>
            <w:r w:rsidR="004F07F1" w:rsidRPr="005F4565">
              <w:rPr>
                <w:szCs w:val="24"/>
              </w:rPr>
              <w:t xml:space="preserve"> pašlaik ir saglabājam</w:t>
            </w:r>
            <w:r w:rsidR="000B1D67" w:rsidRPr="00D01C27">
              <w:rPr>
                <w:szCs w:val="24"/>
              </w:rPr>
              <w:t>a</w:t>
            </w:r>
            <w:r w:rsidR="004F07F1" w:rsidRPr="005F4565">
              <w:rPr>
                <w:szCs w:val="24"/>
              </w:rPr>
              <w:t xml:space="preserve"> spēkā esoš</w:t>
            </w:r>
            <w:r w:rsidR="00A16298" w:rsidRPr="00D01C27">
              <w:rPr>
                <w:szCs w:val="24"/>
              </w:rPr>
              <w:t>ā</w:t>
            </w:r>
            <w:r w:rsidR="004F07F1" w:rsidRPr="005F4565">
              <w:rPr>
                <w:szCs w:val="24"/>
              </w:rPr>
              <w:t xml:space="preserve"> kārtība. </w:t>
            </w:r>
            <w:r w:rsidR="00D01C27">
              <w:rPr>
                <w:szCs w:val="24"/>
              </w:rPr>
              <w:t>Savukārt</w:t>
            </w:r>
            <w:r w:rsidR="004F07F1" w:rsidRPr="005F4565">
              <w:rPr>
                <w:szCs w:val="24"/>
              </w:rPr>
              <w:t xml:space="preserve">, ņemot vērā, ka VRAA paziņotā Subjekta elektroniskā pasta adrese (MK noteikumu 7.2.apakšpunkts) tiks izmantota </w:t>
            </w:r>
            <w:r w:rsidR="000B1D67" w:rsidRPr="00D01C27">
              <w:rPr>
                <w:szCs w:val="24"/>
              </w:rPr>
              <w:t xml:space="preserve">tikai </w:t>
            </w:r>
            <w:r w:rsidR="004F07F1" w:rsidRPr="005F4565">
              <w:rPr>
                <w:szCs w:val="24"/>
              </w:rPr>
              <w:t xml:space="preserve">tehniskai saziņai, </w:t>
            </w:r>
            <w:r w:rsidR="00BE2812">
              <w:rPr>
                <w:szCs w:val="24"/>
              </w:rPr>
              <w:t xml:space="preserve">kā arī, ņemot vērā Oficiālās elektroniskās adreses likuma 5.panta pirmajā daļā un 12.pantā noteikto attiecībā uz saziņas nodrošināšanu, proti, valsts iestāde un reģistros </w:t>
            </w:r>
            <w:r w:rsidR="00BE2812" w:rsidRPr="00BE2812">
              <w:rPr>
                <w:szCs w:val="24"/>
              </w:rPr>
              <w:t>reģistrēt</w:t>
            </w:r>
            <w:r w:rsidR="00BE2812">
              <w:rPr>
                <w:szCs w:val="24"/>
              </w:rPr>
              <w:t>ie</w:t>
            </w:r>
            <w:r w:rsidR="00BE2812" w:rsidRPr="00BE2812">
              <w:rPr>
                <w:szCs w:val="24"/>
              </w:rPr>
              <w:t xml:space="preserve"> tiesību subjekt</w:t>
            </w:r>
            <w:r w:rsidR="00BE2812">
              <w:rPr>
                <w:szCs w:val="24"/>
              </w:rPr>
              <w:t xml:space="preserve">i saziņai izmanto oficiālo elektronisko adresi, </w:t>
            </w:r>
            <w:r w:rsidR="004F07F1" w:rsidRPr="005F4565">
              <w:rPr>
                <w:szCs w:val="24"/>
              </w:rPr>
              <w:t xml:space="preserve">ir nepieciešams paredzēt, ka informācija par paziņojumā konstatētajām satura neatbilstībām tiks nosūtīta </w:t>
            </w:r>
            <w:r w:rsidR="00BE2812">
              <w:rPr>
                <w:szCs w:val="24"/>
              </w:rPr>
              <w:t xml:space="preserve">elektroniski - </w:t>
            </w:r>
            <w:r w:rsidR="004F07F1" w:rsidRPr="005F4565">
              <w:rPr>
                <w:szCs w:val="24"/>
              </w:rPr>
              <w:t>uz Subjekta oficiālo elektroniskā pasta adresi.</w:t>
            </w:r>
          </w:p>
          <w:p w14:paraId="3FA2C633" w14:textId="77777777" w:rsidR="00862B42" w:rsidRDefault="00614474" w:rsidP="001842EC">
            <w:pPr>
              <w:pStyle w:val="ListParagraph"/>
              <w:ind w:left="0" w:firstLine="284"/>
              <w:contextualSpacing w:val="0"/>
              <w:jc w:val="both"/>
              <w:rPr>
                <w:rFonts w:cs="Times New Roman"/>
                <w:szCs w:val="24"/>
              </w:rPr>
            </w:pPr>
            <w:r w:rsidRPr="00614474">
              <w:rPr>
                <w:rFonts w:eastAsia="Times New Roman" w:cs="Times New Roman"/>
                <w:szCs w:val="24"/>
                <w:lang w:eastAsia="lv-LV"/>
              </w:rPr>
              <w:t xml:space="preserve">Ar 2019. gada 28. februāra likumu “Grozījumi Kredītiestāžu likumā” </w:t>
            </w:r>
            <w:r w:rsidRPr="00614474">
              <w:rPr>
                <w:rFonts w:cs="Times New Roman"/>
                <w:szCs w:val="24"/>
              </w:rPr>
              <w:t>ir veikti grozījumi (66.</w:t>
            </w:r>
            <w:r w:rsidRPr="00614474">
              <w:rPr>
                <w:rFonts w:cs="Times New Roman"/>
                <w:szCs w:val="24"/>
                <w:vertAlign w:val="superscript"/>
              </w:rPr>
              <w:t>2 </w:t>
            </w:r>
            <w:r w:rsidRPr="00614474">
              <w:rPr>
                <w:rFonts w:cs="Times New Roman"/>
                <w:szCs w:val="24"/>
              </w:rPr>
              <w:t>panta septītā daļā), ar kuriem tika precizēta piedzenamās summas palielinājuma noformēšanas u</w:t>
            </w:r>
            <w:r w:rsidR="00F51B82">
              <w:rPr>
                <w:rFonts w:cs="Times New Roman"/>
                <w:szCs w:val="24"/>
              </w:rPr>
              <w:t xml:space="preserve">n pieņemšanas izpildei kārtība </w:t>
            </w:r>
            <w:r w:rsidR="00F51B82">
              <w:rPr>
                <w:szCs w:val="24"/>
              </w:rPr>
              <w:t>–</w:t>
            </w:r>
            <w:r w:rsidRPr="00614474">
              <w:rPr>
                <w:rFonts w:cs="Times New Roman"/>
                <w:szCs w:val="24"/>
              </w:rPr>
              <w:t xml:space="preserve"> ja rīkojums par naudas līdzekļu apmēra precizēšanu palielina sākotnējā (aizstājamā) rīkojumā norādītās naudas summas apmēru, palielinājums noformējams un pieņemams izpildei kā jauns rīkojums par naudas līdzekļu pārskaitīšanu, papildus nosakot, ka minētā kārtība neattiecas uz gadījumiem, kad rīkojums dots izpildu lietā par uzturlīdzekļu piedziņu bērnam vai vecākam, vai Uzturlīdzekļu garantijas fondam. </w:t>
            </w:r>
            <w:r w:rsidRPr="00614474">
              <w:rPr>
                <w:rFonts w:eastAsia="Times New Roman" w:cs="Times New Roman"/>
                <w:szCs w:val="24"/>
                <w:lang w:eastAsia="lv-LV"/>
              </w:rPr>
              <w:t xml:space="preserve">Turklāt ar iepriekšminēto likumu ir mainīta pieeja nodokļu maksātāja norēķinu operāciju apturēšanas procesā, proti, turpmāk šajā procesā </w:t>
            </w:r>
            <w:r w:rsidRPr="00614474">
              <w:rPr>
                <w:rFonts w:eastAsia="Times New Roman" w:cs="Times New Roman"/>
                <w:szCs w:val="24"/>
                <w:lang w:eastAsia="lv-LV"/>
              </w:rPr>
              <w:lastRenderedPageBreak/>
              <w:t>tiks apturētās visas veicamās norēķinu operācijas, izņemot</w:t>
            </w:r>
            <w:r>
              <w:t xml:space="preserve"> </w:t>
            </w:r>
            <w:r w:rsidRPr="00614474">
              <w:rPr>
                <w:rFonts w:eastAsia="Times New Roman" w:cs="Times New Roman"/>
                <w:szCs w:val="24"/>
                <w:lang w:eastAsia="lv-LV"/>
              </w:rPr>
              <w:t xml:space="preserve">naudas līdzekļu summu, kura saglabājama fiziskajām personām atbilstoši Civilprocesa likuma 1. pielikuma 3. punktam attiecībā uz parādnieku vienu reizi mēnesī. Līdz ar to tika precizēts rīkojuma nosaukums – rīkojums par nodokļu maksātāja norēķinu operāciju apturēšanu. </w:t>
            </w:r>
            <w:r w:rsidRPr="00614474">
              <w:rPr>
                <w:rFonts w:cs="Times New Roman"/>
                <w:szCs w:val="24"/>
              </w:rPr>
              <w:t>Tādējādi nepieciešams veikt attiecīgus grozījumus MK noteikumos.</w:t>
            </w:r>
          </w:p>
          <w:p w14:paraId="629A7A60" w14:textId="77777777" w:rsidR="00C23827" w:rsidRPr="001842EC" w:rsidRDefault="00C23827" w:rsidP="00E46DB4">
            <w:pPr>
              <w:pStyle w:val="ListParagraph"/>
              <w:ind w:left="0" w:firstLine="284"/>
              <w:contextualSpacing w:val="0"/>
              <w:jc w:val="both"/>
              <w:rPr>
                <w:rFonts w:eastAsia="Times New Roman"/>
                <w:szCs w:val="24"/>
                <w:lang w:eastAsia="lv-LV"/>
              </w:rPr>
            </w:pPr>
            <w:r>
              <w:rPr>
                <w:rFonts w:cs="Times New Roman"/>
                <w:szCs w:val="24"/>
              </w:rPr>
              <w:t>Kredītiestāžu likuma 66.</w:t>
            </w:r>
            <w:r w:rsidRPr="00803462">
              <w:rPr>
                <w:rFonts w:cs="Times New Roman"/>
                <w:szCs w:val="24"/>
                <w:vertAlign w:val="superscript"/>
              </w:rPr>
              <w:t>2</w:t>
            </w:r>
            <w:r>
              <w:rPr>
                <w:rFonts w:cs="Times New Roman"/>
                <w:szCs w:val="24"/>
              </w:rPr>
              <w:t xml:space="preserve">pantā ir noteikta rīkojumu pieņemšanas un izpildes kārtība, t.sk. ir noteikti termiņi attiecīgo darbību veikšanai, līdz ar to un ņemot vērā, ka </w:t>
            </w:r>
            <w:r w:rsidR="007C3DA2">
              <w:rPr>
                <w:rFonts w:cs="Times New Roman"/>
                <w:szCs w:val="24"/>
              </w:rPr>
              <w:t xml:space="preserve">noteikumos noteiktā </w:t>
            </w:r>
            <w:r>
              <w:rPr>
                <w:rFonts w:cs="Times New Roman"/>
                <w:szCs w:val="24"/>
              </w:rPr>
              <w:t xml:space="preserve">obligātā prasība – izveidot datu apstrādes sistēmu ar darbību </w:t>
            </w:r>
            <w:r w:rsidR="00E46DB4">
              <w:rPr>
                <w:rFonts w:cs="Times New Roman"/>
                <w:szCs w:val="24"/>
              </w:rPr>
              <w:t>nepārtrauktā (</w:t>
            </w:r>
            <w:r>
              <w:rPr>
                <w:rFonts w:cs="Times New Roman"/>
                <w:szCs w:val="24"/>
              </w:rPr>
              <w:t>24</w:t>
            </w:r>
            <w:r w:rsidR="00E46DB4">
              <w:rPr>
                <w:rFonts w:cs="Times New Roman"/>
                <w:szCs w:val="24"/>
              </w:rPr>
              <w:t xml:space="preserve"> stundas diennaktī)</w:t>
            </w:r>
            <w:r>
              <w:rPr>
                <w:rFonts w:cs="Times New Roman"/>
                <w:szCs w:val="24"/>
              </w:rPr>
              <w:t xml:space="preserve"> režīmā – uzliek pārāk lielu slogu Subjektam</w:t>
            </w:r>
            <w:r w:rsidR="00E46DB4">
              <w:rPr>
                <w:rFonts w:cs="Times New Roman"/>
                <w:szCs w:val="24"/>
              </w:rPr>
              <w:t>,</w:t>
            </w:r>
            <w:r>
              <w:rPr>
                <w:rFonts w:cs="Times New Roman"/>
                <w:szCs w:val="24"/>
              </w:rPr>
              <w:t xml:space="preserve"> ir nepieciešams </w:t>
            </w:r>
            <w:r w:rsidR="00E46DB4">
              <w:rPr>
                <w:rFonts w:cs="Times New Roman"/>
                <w:szCs w:val="24"/>
              </w:rPr>
              <w:t>šo</w:t>
            </w:r>
            <w:r>
              <w:rPr>
                <w:rFonts w:cs="Times New Roman"/>
                <w:szCs w:val="24"/>
              </w:rPr>
              <w:t xml:space="preserve"> prasību</w:t>
            </w:r>
            <w:r w:rsidR="00E46DB4">
              <w:rPr>
                <w:rFonts w:cs="Times New Roman"/>
                <w:szCs w:val="24"/>
              </w:rPr>
              <w:t xml:space="preserve"> aizstāt</w:t>
            </w:r>
            <w:r>
              <w:rPr>
                <w:rFonts w:cs="Times New Roman"/>
                <w:szCs w:val="24"/>
              </w:rPr>
              <w:t xml:space="preserve"> ar iespēju Subjektam pašam pieņemt lēmumu par sistēmas </w:t>
            </w:r>
            <w:r w:rsidR="009E7BD0">
              <w:rPr>
                <w:rFonts w:cs="Times New Roman"/>
                <w:szCs w:val="24"/>
              </w:rPr>
              <w:t>darbības režīmu</w:t>
            </w:r>
            <w:r>
              <w:rPr>
                <w:rFonts w:cs="Times New Roman"/>
                <w:szCs w:val="24"/>
              </w:rPr>
              <w:t>.</w:t>
            </w:r>
          </w:p>
        </w:tc>
      </w:tr>
      <w:tr w:rsidR="00CE33AC" w:rsidRPr="00750114" w14:paraId="767E3B08"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0A6623D"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3.</w:t>
            </w:r>
          </w:p>
        </w:tc>
        <w:tc>
          <w:tcPr>
            <w:tcW w:w="1461" w:type="pct"/>
            <w:tcBorders>
              <w:top w:val="outset" w:sz="6" w:space="0" w:color="auto"/>
              <w:left w:val="outset" w:sz="6" w:space="0" w:color="auto"/>
              <w:bottom w:val="outset" w:sz="6" w:space="0" w:color="auto"/>
              <w:right w:val="outset" w:sz="6" w:space="0" w:color="auto"/>
            </w:tcBorders>
            <w:hideMark/>
          </w:tcPr>
          <w:p w14:paraId="0A135F5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243DEB72" w14:textId="77777777" w:rsidR="00E5323B" w:rsidRPr="00750114" w:rsidRDefault="00C85DCD" w:rsidP="00F51B82">
            <w:pPr>
              <w:ind w:firstLine="284"/>
              <w:jc w:val="both"/>
              <w:rPr>
                <w:rFonts w:eastAsia="Times New Roman" w:cs="Times New Roman"/>
                <w:iCs/>
                <w:szCs w:val="24"/>
                <w:lang w:eastAsia="lv-LV"/>
              </w:rPr>
            </w:pPr>
            <w:r w:rsidRPr="00D24EF7">
              <w:rPr>
                <w:rFonts w:eastAsia="Times New Roman" w:cs="Times New Roman"/>
                <w:szCs w:val="24"/>
                <w:lang w:eastAsia="lv-LV"/>
              </w:rPr>
              <w:t>Finanšu ministrija, Tieslietu ministrija, VID,</w:t>
            </w:r>
            <w:r>
              <w:rPr>
                <w:rFonts w:eastAsia="Times New Roman" w:cs="Times New Roman"/>
                <w:szCs w:val="24"/>
                <w:lang w:eastAsia="lv-LV"/>
              </w:rPr>
              <w:t xml:space="preserve"> </w:t>
            </w:r>
            <w:r w:rsidRPr="00D24EF7">
              <w:rPr>
                <w:rFonts w:eastAsia="Times New Roman" w:cs="Times New Roman"/>
                <w:szCs w:val="24"/>
                <w:lang w:eastAsia="lv-LV"/>
              </w:rPr>
              <w:t>Tiesu administrācija.</w:t>
            </w:r>
          </w:p>
        </w:tc>
      </w:tr>
      <w:tr w:rsidR="00CE33AC" w:rsidRPr="00750114" w14:paraId="4289C390"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3AB9675"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461" w:type="pct"/>
            <w:tcBorders>
              <w:top w:val="outset" w:sz="6" w:space="0" w:color="auto"/>
              <w:left w:val="outset" w:sz="6" w:space="0" w:color="auto"/>
              <w:bottom w:val="outset" w:sz="6" w:space="0" w:color="auto"/>
              <w:right w:val="outset" w:sz="6" w:space="0" w:color="auto"/>
            </w:tcBorders>
            <w:hideMark/>
          </w:tcPr>
          <w:p w14:paraId="48B7E1FE"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51659ECB" w14:textId="77777777" w:rsidR="001E7565" w:rsidRPr="00750114" w:rsidRDefault="00C85DCD" w:rsidP="00A376C2">
            <w:pPr>
              <w:ind w:firstLine="284"/>
              <w:jc w:val="both"/>
              <w:rPr>
                <w:rFonts w:eastAsia="Times New Roman" w:cs="Times New Roman"/>
                <w:iCs/>
                <w:szCs w:val="24"/>
                <w:lang w:eastAsia="lv-LV"/>
              </w:rPr>
            </w:pPr>
            <w:r>
              <w:rPr>
                <w:rFonts w:eastAsia="Times New Roman" w:cs="Times New Roman"/>
                <w:iCs/>
                <w:szCs w:val="24"/>
                <w:lang w:eastAsia="lv-LV"/>
              </w:rPr>
              <w:t>Nav.</w:t>
            </w:r>
            <w:r w:rsidR="001E7565" w:rsidRPr="00750114">
              <w:t xml:space="preserve"> </w:t>
            </w:r>
          </w:p>
        </w:tc>
      </w:tr>
    </w:tbl>
    <w:p w14:paraId="3A2041C8"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CE33AC" w:rsidRPr="00750114" w14:paraId="44F106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860AA"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II. Tiesību akta projekta ietekme uz sabiedrību, tautsaimniecības attīstību un administratīvo slogu</w:t>
            </w:r>
          </w:p>
        </w:tc>
      </w:tr>
      <w:tr w:rsidR="00CE33AC" w:rsidRPr="00750114" w14:paraId="17761535"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8FF43D"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4699AFF0"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 xml:space="preserve">Sabiedrības </w:t>
            </w:r>
            <w:proofErr w:type="spellStart"/>
            <w:r w:rsidRPr="00750114">
              <w:rPr>
                <w:rFonts w:eastAsia="Times New Roman" w:cs="Times New Roman"/>
                <w:iCs/>
                <w:szCs w:val="24"/>
                <w:lang w:eastAsia="lv-LV"/>
              </w:rPr>
              <w:t>mērķgrupas</w:t>
            </w:r>
            <w:proofErr w:type="spellEnd"/>
            <w:r w:rsidRPr="00750114">
              <w:rPr>
                <w:rFonts w:eastAsia="Times New Roman" w:cs="Times New Roman"/>
                <w:iCs/>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10FF53B2" w14:textId="77777777" w:rsidR="00E5323B" w:rsidRDefault="00C85DCD" w:rsidP="004726BD">
            <w:pPr>
              <w:ind w:firstLine="284"/>
              <w:jc w:val="both"/>
              <w:rPr>
                <w:iCs/>
              </w:rPr>
            </w:pPr>
            <w:r w:rsidRPr="007B64F5">
              <w:rPr>
                <w:iCs/>
              </w:rPr>
              <w:t xml:space="preserve">Subjekti, kas izpilda VID un ZTI rīkojumus. </w:t>
            </w:r>
            <w:r>
              <w:rPr>
                <w:iCs/>
              </w:rPr>
              <w:t xml:space="preserve">Uz 2019. gada 1. jūliju ir reģistrēts 31 DIT lietotājs. </w:t>
            </w:r>
            <w:r w:rsidRPr="007B64F5">
              <w:rPr>
                <w:iCs/>
              </w:rPr>
              <w:t>Juridiskas un fiziskas personas, uz kuru noguldījumiem (piemēram, kontos esošie naudas līdzekļi, terminēti/beztermiņa ieguldījumi vai uzkrājumi) būs vērsta piedziņa, tiks veikta noguldījumu apķīlāšana vai kur</w:t>
            </w:r>
            <w:r>
              <w:rPr>
                <w:iCs/>
              </w:rPr>
              <w:t>iem</w:t>
            </w:r>
            <w:r w:rsidRPr="007B64F5">
              <w:rPr>
                <w:iCs/>
              </w:rPr>
              <w:t xml:space="preserve"> VID veiks norēķinu operāciju apturēšan</w:t>
            </w:r>
            <w:r>
              <w:rPr>
                <w:iCs/>
              </w:rPr>
              <w:t>u</w:t>
            </w:r>
            <w:r w:rsidRPr="007B64F5">
              <w:rPr>
                <w:iCs/>
              </w:rPr>
              <w:t>.</w:t>
            </w:r>
          </w:p>
          <w:p w14:paraId="2E3A8E69" w14:textId="77777777" w:rsidR="005A360F" w:rsidRPr="00750114" w:rsidRDefault="005A360F" w:rsidP="0043295F">
            <w:pPr>
              <w:ind w:firstLine="284"/>
              <w:jc w:val="both"/>
              <w:rPr>
                <w:rFonts w:eastAsia="Times New Roman" w:cs="Times New Roman"/>
                <w:iCs/>
                <w:szCs w:val="24"/>
                <w:lang w:eastAsia="lv-LV"/>
              </w:rPr>
            </w:pPr>
            <w:r>
              <w:rPr>
                <w:iCs/>
              </w:rPr>
              <w:t xml:space="preserve">Ņemot vērā, ka datu apmaiņa ar DIT starpniecību </w:t>
            </w:r>
            <w:r w:rsidR="00B820A9">
              <w:rPr>
                <w:iCs/>
              </w:rPr>
              <w:t xml:space="preserve">(kā obligāta prasība) </w:t>
            </w:r>
            <w:r>
              <w:rPr>
                <w:iCs/>
              </w:rPr>
              <w:t xml:space="preserve">ir </w:t>
            </w:r>
            <w:r w:rsidR="00B820A9">
              <w:rPr>
                <w:iCs/>
              </w:rPr>
              <w:t>ieviesta</w:t>
            </w:r>
            <w:r>
              <w:rPr>
                <w:iCs/>
              </w:rPr>
              <w:t xml:space="preserve"> ar 2019.gada 1.jūliju</w:t>
            </w:r>
            <w:r w:rsidR="00B820A9">
              <w:rPr>
                <w:iCs/>
              </w:rPr>
              <w:t>,</w:t>
            </w:r>
            <w:r>
              <w:rPr>
                <w:iCs/>
              </w:rPr>
              <w:t xml:space="preserve"> personas, uz kur</w:t>
            </w:r>
            <w:r w:rsidR="0043295F">
              <w:rPr>
                <w:iCs/>
              </w:rPr>
              <w:t>ā</w:t>
            </w:r>
            <w:r>
              <w:rPr>
                <w:iCs/>
              </w:rPr>
              <w:t>m ir attiecināms rīkojumu izpildes pienākums</w:t>
            </w:r>
            <w:r w:rsidR="00B820A9">
              <w:rPr>
                <w:iCs/>
              </w:rPr>
              <w:t>,</w:t>
            </w:r>
            <w:r>
              <w:rPr>
                <w:iCs/>
              </w:rPr>
              <w:t xml:space="preserve"> ir reģistrēju</w:t>
            </w:r>
            <w:r w:rsidR="00B820A9">
              <w:rPr>
                <w:iCs/>
              </w:rPr>
              <w:t>šā</w:t>
            </w:r>
            <w:r>
              <w:rPr>
                <w:iCs/>
              </w:rPr>
              <w:t xml:space="preserve">s </w:t>
            </w:r>
            <w:r w:rsidR="00B820A9">
              <w:rPr>
                <w:iCs/>
              </w:rPr>
              <w:t>DIT lietotāju tiesību saņemšanai. Līdz ar to prasība par pieprasījuma iesniegšanu VRAA elektroniskā veidā tiks attiecināta uz jaunajiem subjektiem, kas varētu ienākt tirgu. Pašlaik to skaitu nav iespējams noteikt.</w:t>
            </w:r>
          </w:p>
        </w:tc>
      </w:tr>
      <w:tr w:rsidR="00CE33AC" w:rsidRPr="00750114" w14:paraId="1200DB43"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185B89"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97C62F9"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43EDB9E2" w14:textId="77777777" w:rsidR="00AD5908" w:rsidRPr="00750114" w:rsidRDefault="00C85DCD" w:rsidP="00343BDA">
            <w:pPr>
              <w:pStyle w:val="NoSpacing"/>
              <w:ind w:firstLine="284"/>
              <w:jc w:val="both"/>
              <w:rPr>
                <w:rFonts w:ascii="Times New Roman" w:hAnsi="Times New Roman" w:cs="Times New Roman"/>
                <w:sz w:val="24"/>
                <w:szCs w:val="24"/>
              </w:rPr>
            </w:pPr>
            <w:r w:rsidRPr="004A6D50">
              <w:rPr>
                <w:rFonts w:ascii="Times New Roman" w:eastAsia="Times New Roman" w:hAnsi="Times New Roman" w:cs="Times New Roman"/>
                <w:iCs/>
                <w:sz w:val="24"/>
                <w:szCs w:val="24"/>
                <w:lang w:eastAsia="lv-LV"/>
              </w:rPr>
              <w:t xml:space="preserve">Noteikumu projekts </w:t>
            </w:r>
            <w:r w:rsidR="000B1D67" w:rsidRPr="000C7233">
              <w:rPr>
                <w:rFonts w:ascii="Times New Roman" w:eastAsia="Times New Roman" w:hAnsi="Times New Roman" w:cs="Times New Roman"/>
                <w:iCs/>
                <w:sz w:val="24"/>
                <w:szCs w:val="24"/>
                <w:lang w:eastAsia="lv-LV"/>
              </w:rPr>
              <w:t>kopumā</w:t>
            </w:r>
            <w:r w:rsidR="000B1D67">
              <w:rPr>
                <w:rFonts w:ascii="Times New Roman" w:eastAsia="Times New Roman" w:hAnsi="Times New Roman" w:cs="Times New Roman"/>
                <w:iCs/>
                <w:sz w:val="24"/>
                <w:szCs w:val="24"/>
                <w:lang w:eastAsia="lv-LV"/>
              </w:rPr>
              <w:t xml:space="preserve"> </w:t>
            </w:r>
            <w:r w:rsidRPr="004A6D50">
              <w:rPr>
                <w:rFonts w:ascii="Times New Roman" w:eastAsia="Times New Roman" w:hAnsi="Times New Roman" w:cs="Times New Roman"/>
                <w:iCs/>
                <w:sz w:val="24"/>
                <w:szCs w:val="24"/>
                <w:lang w:eastAsia="lv-LV"/>
              </w:rPr>
              <w:t xml:space="preserve">nemaina </w:t>
            </w:r>
            <w:r w:rsidRPr="001842EC">
              <w:rPr>
                <w:rFonts w:ascii="Times New Roman" w:eastAsia="Times New Roman" w:hAnsi="Times New Roman" w:cs="Times New Roman"/>
                <w:iCs/>
                <w:sz w:val="24"/>
                <w:szCs w:val="24"/>
                <w:lang w:eastAsia="lv-LV"/>
              </w:rPr>
              <w:t xml:space="preserve">minēto sabiedrības </w:t>
            </w:r>
            <w:proofErr w:type="spellStart"/>
            <w:r w:rsidRPr="001842EC">
              <w:rPr>
                <w:rFonts w:ascii="Times New Roman" w:eastAsia="Times New Roman" w:hAnsi="Times New Roman" w:cs="Times New Roman"/>
                <w:iCs/>
                <w:sz w:val="24"/>
                <w:szCs w:val="24"/>
                <w:lang w:eastAsia="lv-LV"/>
              </w:rPr>
              <w:t>mērķgrupu</w:t>
            </w:r>
            <w:proofErr w:type="spellEnd"/>
            <w:r w:rsidRPr="004A6D50">
              <w:rPr>
                <w:rFonts w:ascii="Times New Roman" w:eastAsia="Times New Roman" w:hAnsi="Times New Roman" w:cs="Times New Roman"/>
                <w:iCs/>
                <w:sz w:val="24"/>
                <w:szCs w:val="24"/>
                <w:lang w:eastAsia="lv-LV"/>
              </w:rPr>
              <w:t xml:space="preserve"> tiesības</w:t>
            </w:r>
            <w:r>
              <w:rPr>
                <w:rFonts w:ascii="Times New Roman" w:eastAsia="Times New Roman" w:hAnsi="Times New Roman" w:cs="Times New Roman"/>
                <w:iCs/>
                <w:sz w:val="24"/>
                <w:szCs w:val="24"/>
                <w:lang w:eastAsia="lv-LV"/>
              </w:rPr>
              <w:t xml:space="preserve"> un</w:t>
            </w:r>
            <w:r w:rsidRPr="004A6D50">
              <w:rPr>
                <w:rFonts w:ascii="Times New Roman" w:eastAsia="Times New Roman" w:hAnsi="Times New Roman" w:cs="Times New Roman"/>
                <w:iCs/>
                <w:sz w:val="24"/>
                <w:szCs w:val="24"/>
                <w:lang w:eastAsia="lv-LV"/>
              </w:rPr>
              <w:t xml:space="preserve"> pienākumus</w:t>
            </w:r>
            <w:r w:rsidR="00A12755">
              <w:rPr>
                <w:rFonts w:ascii="Times New Roman" w:eastAsia="Times New Roman" w:hAnsi="Times New Roman" w:cs="Times New Roman"/>
                <w:iCs/>
                <w:sz w:val="24"/>
                <w:szCs w:val="24"/>
                <w:lang w:eastAsia="lv-LV"/>
              </w:rPr>
              <w:t xml:space="preserve">, izņemot </w:t>
            </w:r>
            <w:r w:rsidR="001E3ECA">
              <w:rPr>
                <w:rFonts w:ascii="Times New Roman" w:eastAsia="Times New Roman" w:hAnsi="Times New Roman" w:cs="Times New Roman"/>
                <w:iCs/>
                <w:sz w:val="24"/>
                <w:szCs w:val="24"/>
                <w:lang w:eastAsia="lv-LV"/>
              </w:rPr>
              <w:t xml:space="preserve">to, ka </w:t>
            </w:r>
            <w:r w:rsidR="001E3ECA" w:rsidRPr="00A12755">
              <w:rPr>
                <w:rFonts w:ascii="Times New Roman" w:eastAsia="Times New Roman" w:hAnsi="Times New Roman" w:cs="Times New Roman"/>
                <w:iCs/>
                <w:sz w:val="24"/>
                <w:szCs w:val="24"/>
                <w:lang w:eastAsia="lv-LV"/>
              </w:rPr>
              <w:t>pieprasījum</w:t>
            </w:r>
            <w:r w:rsidR="001E3ECA">
              <w:rPr>
                <w:rFonts w:ascii="Times New Roman" w:eastAsia="Times New Roman" w:hAnsi="Times New Roman" w:cs="Times New Roman"/>
                <w:iCs/>
                <w:sz w:val="24"/>
                <w:szCs w:val="24"/>
                <w:lang w:eastAsia="lv-LV"/>
              </w:rPr>
              <w:t>u</w:t>
            </w:r>
            <w:r w:rsidR="001E3ECA" w:rsidRPr="00A12755">
              <w:rPr>
                <w:rFonts w:ascii="Times New Roman" w:eastAsia="Times New Roman" w:hAnsi="Times New Roman" w:cs="Times New Roman"/>
                <w:iCs/>
                <w:sz w:val="24"/>
                <w:szCs w:val="24"/>
                <w:lang w:eastAsia="lv-LV"/>
              </w:rPr>
              <w:t xml:space="preserve"> </w:t>
            </w:r>
            <w:r w:rsidR="001E3ECA">
              <w:rPr>
                <w:rFonts w:ascii="Times New Roman" w:eastAsia="Times New Roman" w:hAnsi="Times New Roman" w:cs="Times New Roman"/>
                <w:iCs/>
                <w:sz w:val="24"/>
                <w:szCs w:val="24"/>
                <w:lang w:eastAsia="lv-LV"/>
              </w:rPr>
              <w:t xml:space="preserve">DIT vides lietotāja tiesību piešķiršanai turpmāk varēs </w:t>
            </w:r>
            <w:r w:rsidR="001E3ECA" w:rsidRPr="00A12755">
              <w:rPr>
                <w:rFonts w:ascii="Times New Roman" w:eastAsia="Times New Roman" w:hAnsi="Times New Roman" w:cs="Times New Roman"/>
                <w:iCs/>
                <w:sz w:val="24"/>
                <w:szCs w:val="24"/>
                <w:lang w:eastAsia="lv-LV"/>
              </w:rPr>
              <w:t>iesnieg</w:t>
            </w:r>
            <w:r w:rsidR="001E3ECA">
              <w:rPr>
                <w:rFonts w:ascii="Times New Roman" w:eastAsia="Times New Roman" w:hAnsi="Times New Roman" w:cs="Times New Roman"/>
                <w:iCs/>
                <w:sz w:val="24"/>
                <w:szCs w:val="24"/>
                <w:lang w:eastAsia="lv-LV"/>
              </w:rPr>
              <w:t>t</w:t>
            </w:r>
            <w:r w:rsidR="001E3ECA" w:rsidRPr="00A12755">
              <w:rPr>
                <w:rFonts w:ascii="Times New Roman" w:eastAsia="Times New Roman" w:hAnsi="Times New Roman" w:cs="Times New Roman"/>
                <w:iCs/>
                <w:sz w:val="24"/>
                <w:szCs w:val="24"/>
                <w:lang w:eastAsia="lv-LV"/>
              </w:rPr>
              <w:t xml:space="preserve"> </w:t>
            </w:r>
            <w:r w:rsidR="00A12755">
              <w:rPr>
                <w:rFonts w:ascii="Times New Roman" w:eastAsia="Times New Roman" w:hAnsi="Times New Roman" w:cs="Times New Roman"/>
                <w:iCs/>
                <w:sz w:val="24"/>
                <w:szCs w:val="24"/>
                <w:lang w:eastAsia="lv-LV"/>
              </w:rPr>
              <w:t>tikai elektroniskā veidā</w:t>
            </w:r>
            <w:r w:rsidR="0043295F">
              <w:rPr>
                <w:rFonts w:ascii="Times New Roman" w:eastAsia="Times New Roman" w:hAnsi="Times New Roman" w:cs="Times New Roman"/>
                <w:iCs/>
                <w:sz w:val="24"/>
                <w:szCs w:val="24"/>
                <w:lang w:eastAsia="lv-LV"/>
              </w:rPr>
              <w:t>. Attiecībā uz subjektiem</w:t>
            </w:r>
            <w:r w:rsidR="00E44A17">
              <w:rPr>
                <w:rFonts w:ascii="Times New Roman" w:eastAsia="Times New Roman" w:hAnsi="Times New Roman" w:cs="Times New Roman"/>
                <w:iCs/>
                <w:sz w:val="24"/>
                <w:szCs w:val="24"/>
                <w:lang w:eastAsia="lv-LV"/>
              </w:rPr>
              <w:t xml:space="preserve"> </w:t>
            </w:r>
            <w:r w:rsidR="0043295F">
              <w:rPr>
                <w:rFonts w:ascii="Times New Roman" w:eastAsia="Times New Roman" w:hAnsi="Times New Roman" w:cs="Times New Roman"/>
                <w:iCs/>
                <w:sz w:val="24"/>
                <w:szCs w:val="24"/>
                <w:lang w:eastAsia="lv-LV"/>
              </w:rPr>
              <w:t>ir noteikta izvēles tiesība nodrošināt sistēmu, kas varēs veikt</w:t>
            </w:r>
            <w:r w:rsidR="00E44A17">
              <w:rPr>
                <w:rFonts w:ascii="Times New Roman" w:eastAsia="Times New Roman" w:hAnsi="Times New Roman" w:cs="Times New Roman"/>
                <w:iCs/>
                <w:sz w:val="24"/>
                <w:szCs w:val="24"/>
                <w:lang w:eastAsia="lv-LV"/>
              </w:rPr>
              <w:t xml:space="preserve"> datu apstrādi </w:t>
            </w:r>
            <w:r w:rsidR="001E3ECA">
              <w:rPr>
                <w:rFonts w:ascii="Times New Roman" w:eastAsia="Times New Roman" w:hAnsi="Times New Roman" w:cs="Times New Roman"/>
                <w:iCs/>
                <w:sz w:val="24"/>
                <w:szCs w:val="24"/>
                <w:lang w:eastAsia="lv-LV"/>
              </w:rPr>
              <w:t>nepārtrauktā režīmā (</w:t>
            </w:r>
            <w:r w:rsidR="00E44A17">
              <w:rPr>
                <w:rFonts w:ascii="Times New Roman" w:eastAsia="Times New Roman" w:hAnsi="Times New Roman" w:cs="Times New Roman"/>
                <w:iCs/>
                <w:sz w:val="24"/>
                <w:szCs w:val="24"/>
                <w:lang w:eastAsia="lv-LV"/>
              </w:rPr>
              <w:t>24 stundas dien</w:t>
            </w:r>
            <w:r w:rsidR="0043295F">
              <w:rPr>
                <w:rFonts w:ascii="Times New Roman" w:eastAsia="Times New Roman" w:hAnsi="Times New Roman" w:cs="Times New Roman"/>
                <w:iCs/>
                <w:sz w:val="24"/>
                <w:szCs w:val="24"/>
                <w:lang w:eastAsia="lv-LV"/>
              </w:rPr>
              <w:t>n</w:t>
            </w:r>
            <w:r w:rsidR="001E3ECA">
              <w:rPr>
                <w:rFonts w:ascii="Times New Roman" w:eastAsia="Times New Roman" w:hAnsi="Times New Roman" w:cs="Times New Roman"/>
                <w:iCs/>
                <w:sz w:val="24"/>
                <w:szCs w:val="24"/>
                <w:lang w:eastAsia="lv-LV"/>
              </w:rPr>
              <w:t>aktī)</w:t>
            </w:r>
            <w:r>
              <w:rPr>
                <w:rFonts w:ascii="Times New Roman" w:eastAsia="Times New Roman" w:hAnsi="Times New Roman" w:cs="Times New Roman"/>
                <w:iCs/>
                <w:sz w:val="24"/>
                <w:szCs w:val="24"/>
                <w:lang w:eastAsia="lv-LV"/>
              </w:rPr>
              <w:t xml:space="preserve">. </w:t>
            </w:r>
            <w:r w:rsidR="00E44A17">
              <w:rPr>
                <w:rFonts w:ascii="Times New Roman" w:eastAsia="Times New Roman" w:hAnsi="Times New Roman" w:cs="Times New Roman"/>
                <w:iCs/>
                <w:sz w:val="24"/>
                <w:szCs w:val="24"/>
                <w:lang w:eastAsia="lv-LV"/>
              </w:rPr>
              <w:t xml:space="preserve">Turklāt </w:t>
            </w:r>
            <w:r>
              <w:rPr>
                <w:rFonts w:ascii="Times New Roman" w:eastAsia="Times New Roman" w:hAnsi="Times New Roman" w:cs="Times New Roman"/>
                <w:iCs/>
                <w:sz w:val="24"/>
                <w:szCs w:val="24"/>
                <w:lang w:eastAsia="lv-LV"/>
              </w:rPr>
              <w:t>Subjektiem</w:t>
            </w:r>
            <w:r w:rsidR="00E44A17">
              <w:rPr>
                <w:rFonts w:ascii="Times New Roman" w:eastAsia="Times New Roman" w:hAnsi="Times New Roman" w:cs="Times New Roman"/>
                <w:iCs/>
                <w:sz w:val="24"/>
                <w:szCs w:val="24"/>
                <w:lang w:eastAsia="lv-LV"/>
              </w:rPr>
              <w:t xml:space="preserve"> un rīkojuma devējiem</w:t>
            </w:r>
            <w:r>
              <w:rPr>
                <w:rFonts w:ascii="Times New Roman" w:eastAsia="Times New Roman" w:hAnsi="Times New Roman" w:cs="Times New Roman"/>
                <w:iCs/>
                <w:sz w:val="24"/>
                <w:szCs w:val="24"/>
                <w:lang w:eastAsia="lv-LV"/>
              </w:rPr>
              <w:t xml:space="preserve"> mainās </w:t>
            </w:r>
            <w:r w:rsidRPr="004A6D50">
              <w:rPr>
                <w:rFonts w:ascii="Times New Roman" w:eastAsia="Times New Roman" w:hAnsi="Times New Roman" w:cs="Times New Roman"/>
                <w:iCs/>
                <w:sz w:val="24"/>
                <w:szCs w:val="24"/>
                <w:lang w:eastAsia="lv-LV"/>
              </w:rPr>
              <w:t>veicam</w:t>
            </w:r>
            <w:r>
              <w:rPr>
                <w:rFonts w:ascii="Times New Roman" w:eastAsia="Times New Roman" w:hAnsi="Times New Roman" w:cs="Times New Roman"/>
                <w:iCs/>
                <w:sz w:val="24"/>
                <w:szCs w:val="24"/>
                <w:lang w:eastAsia="lv-LV"/>
              </w:rPr>
              <w:t>o</w:t>
            </w:r>
            <w:r w:rsidRPr="004A6D50">
              <w:rPr>
                <w:rFonts w:ascii="Times New Roman" w:eastAsia="Times New Roman" w:hAnsi="Times New Roman" w:cs="Times New Roman"/>
                <w:iCs/>
                <w:sz w:val="24"/>
                <w:szCs w:val="24"/>
                <w:lang w:eastAsia="lv-LV"/>
              </w:rPr>
              <w:t xml:space="preserve"> darbīb</w:t>
            </w:r>
            <w:r>
              <w:rPr>
                <w:rFonts w:ascii="Times New Roman" w:eastAsia="Times New Roman" w:hAnsi="Times New Roman" w:cs="Times New Roman"/>
                <w:iCs/>
                <w:sz w:val="24"/>
                <w:szCs w:val="24"/>
                <w:lang w:eastAsia="lv-LV"/>
              </w:rPr>
              <w:t>u tehniskais izpildījums, proti, informācija par konstatētajām rīkojum</w:t>
            </w:r>
            <w:r w:rsidR="00343BDA">
              <w:rPr>
                <w:rFonts w:ascii="Times New Roman" w:eastAsia="Times New Roman" w:hAnsi="Times New Roman" w:cs="Times New Roman"/>
                <w:iCs/>
                <w:sz w:val="24"/>
                <w:szCs w:val="24"/>
                <w:lang w:eastAsia="lv-LV"/>
              </w:rPr>
              <w:t>os</w:t>
            </w:r>
            <w:r>
              <w:rPr>
                <w:rFonts w:ascii="Times New Roman" w:eastAsia="Times New Roman" w:hAnsi="Times New Roman" w:cs="Times New Roman"/>
                <w:iCs/>
                <w:sz w:val="24"/>
                <w:szCs w:val="24"/>
                <w:lang w:eastAsia="lv-LV"/>
              </w:rPr>
              <w:t xml:space="preserve"> satura nepilnībām vairs nebūs nosūtāma uz elektroniskā pasta adresi, bet būs ievietojama DIT kā paziņojums, kas </w:t>
            </w:r>
            <w:r>
              <w:rPr>
                <w:rFonts w:ascii="Times New Roman" w:eastAsia="Times New Roman" w:hAnsi="Times New Roman" w:cs="Times New Roman"/>
                <w:iCs/>
                <w:sz w:val="24"/>
                <w:szCs w:val="24"/>
                <w:lang w:eastAsia="lv-LV"/>
              </w:rPr>
              <w:lastRenderedPageBreak/>
              <w:t xml:space="preserve">sagatavots XML </w:t>
            </w:r>
            <w:r w:rsidRPr="00606385">
              <w:rPr>
                <w:rFonts w:ascii="Times New Roman" w:eastAsia="Times New Roman" w:hAnsi="Times New Roman" w:cs="Times New Roman"/>
                <w:iCs/>
                <w:sz w:val="24"/>
                <w:szCs w:val="24"/>
                <w:lang w:eastAsia="lv-LV"/>
              </w:rPr>
              <w:t>formātā</w:t>
            </w:r>
            <w:r>
              <w:rPr>
                <w:rFonts w:ascii="Times New Roman" w:eastAsia="Times New Roman" w:hAnsi="Times New Roman" w:cs="Times New Roman"/>
                <w:iCs/>
                <w:sz w:val="24"/>
                <w:szCs w:val="24"/>
                <w:lang w:eastAsia="lv-LV"/>
              </w:rPr>
              <w:t xml:space="preserve">, </w:t>
            </w:r>
            <w:r w:rsidRPr="00606385">
              <w:rPr>
                <w:rFonts w:ascii="Times New Roman" w:eastAsia="Times New Roman" w:hAnsi="Times New Roman" w:cs="Times New Roman"/>
                <w:iCs/>
                <w:sz w:val="24"/>
                <w:szCs w:val="24"/>
                <w:lang w:eastAsia="lv-LV"/>
              </w:rPr>
              <w:t xml:space="preserve">ievērojot VRAA pārziņā esošajā Valsts informācijas sistēmu </w:t>
            </w:r>
            <w:proofErr w:type="spellStart"/>
            <w:r w:rsidRPr="00606385">
              <w:rPr>
                <w:rFonts w:ascii="Times New Roman" w:eastAsia="Times New Roman" w:hAnsi="Times New Roman" w:cs="Times New Roman"/>
                <w:iCs/>
                <w:sz w:val="24"/>
                <w:szCs w:val="24"/>
                <w:lang w:eastAsia="lv-LV"/>
              </w:rPr>
              <w:t>savietotāja</w:t>
            </w:r>
            <w:proofErr w:type="spellEnd"/>
            <w:r w:rsidRPr="00606385">
              <w:rPr>
                <w:rFonts w:ascii="Times New Roman" w:eastAsia="Times New Roman" w:hAnsi="Times New Roman" w:cs="Times New Roman"/>
                <w:iCs/>
                <w:sz w:val="24"/>
                <w:szCs w:val="24"/>
                <w:lang w:eastAsia="lv-LV"/>
              </w:rPr>
              <w:t xml:space="preserve"> XML katalogā iepriekš publicēto XML shēmu struktūru un prasības.</w:t>
            </w:r>
            <w:r w:rsidR="000C7233">
              <w:rPr>
                <w:rFonts w:ascii="Times New Roman" w:eastAsia="Times New Roman" w:hAnsi="Times New Roman" w:cs="Times New Roman"/>
                <w:iCs/>
                <w:sz w:val="24"/>
                <w:szCs w:val="24"/>
                <w:lang w:eastAsia="lv-LV"/>
              </w:rPr>
              <w:t xml:space="preserve"> Tādējādi samazinot manuālo datu apstrādi.</w:t>
            </w:r>
          </w:p>
        </w:tc>
      </w:tr>
      <w:tr w:rsidR="00CE33AC" w:rsidRPr="00750114" w14:paraId="44C42B5E"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E849BE" w14:textId="77777777" w:rsidR="00655F2C"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7B61E4E6" w14:textId="77777777" w:rsidR="00E5323B"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75973474" w14:textId="77777777" w:rsidR="00F63B67" w:rsidRPr="00AD1073" w:rsidRDefault="00C85DCD" w:rsidP="00AD1073">
            <w:pPr>
              <w:ind w:firstLine="284"/>
              <w:jc w:val="both"/>
              <w:rPr>
                <w:rFonts w:cs="Times New Roman"/>
                <w:szCs w:val="24"/>
              </w:rPr>
            </w:pPr>
            <w:r w:rsidRPr="003E2B34">
              <w:rPr>
                <w:rFonts w:eastAsia="Times New Roman" w:cs="Times New Roman"/>
                <w:szCs w:val="24"/>
                <w:lang w:eastAsia="lv-LV"/>
              </w:rPr>
              <w:t>Administratīvo izmaksu monetāru aprēķinu nav iespējams veikt. Katra Subjekta darba apjoms, apstrādājot VID un ZTI rīkojumus, ir atšķirīgs un atkarīgs gan no Subjekta klientu skaita un attiecīgi no saņemto VID un ZTI rīkojumu skaita, gan katra Subjekta individuālas darba organizācijas. Tāpat šobrīd nav iespējams sniegt datus par izmaksām, kādas Subjektiem varētu rasties saistībā ar nepieciešamību veikt izmaiņas informācijas sistēmās, j</w:t>
            </w:r>
            <w:r>
              <w:rPr>
                <w:rFonts w:eastAsia="Times New Roman" w:cs="Times New Roman"/>
                <w:szCs w:val="24"/>
                <w:lang w:eastAsia="lv-LV"/>
              </w:rPr>
              <w:t>o</w:t>
            </w:r>
            <w:r w:rsidRPr="003E2B34">
              <w:rPr>
                <w:rFonts w:eastAsia="Times New Roman" w:cs="Times New Roman"/>
                <w:szCs w:val="24"/>
                <w:lang w:eastAsia="lv-LV"/>
              </w:rPr>
              <w:t xml:space="preserve"> </w:t>
            </w:r>
            <w:r>
              <w:rPr>
                <w:rFonts w:eastAsia="Times New Roman" w:cs="Times New Roman"/>
                <w:szCs w:val="24"/>
                <w:lang w:eastAsia="lv-LV"/>
              </w:rPr>
              <w:t>nav zināms, kādā izstrādes stadijā ir</w:t>
            </w:r>
            <w:r w:rsidRPr="003E2B34">
              <w:rPr>
                <w:rFonts w:eastAsia="Times New Roman" w:cs="Times New Roman"/>
                <w:szCs w:val="24"/>
                <w:lang w:eastAsia="lv-LV"/>
              </w:rPr>
              <w:t xml:space="preserve"> informācijas saņemšanas proces</w:t>
            </w:r>
            <w:r>
              <w:rPr>
                <w:rFonts w:eastAsia="Times New Roman" w:cs="Times New Roman"/>
                <w:szCs w:val="24"/>
                <w:lang w:eastAsia="lv-LV"/>
              </w:rPr>
              <w:t xml:space="preserve">a </w:t>
            </w:r>
            <w:r w:rsidRPr="003E2B34">
              <w:rPr>
                <w:rFonts w:eastAsia="Times New Roman" w:cs="Times New Roman"/>
                <w:szCs w:val="24"/>
                <w:lang w:eastAsia="lv-LV"/>
              </w:rPr>
              <w:t>automatiz</w:t>
            </w:r>
            <w:r>
              <w:rPr>
                <w:rFonts w:eastAsia="Times New Roman" w:cs="Times New Roman"/>
                <w:szCs w:val="24"/>
                <w:lang w:eastAsia="lv-LV"/>
              </w:rPr>
              <w:t>ācija,</w:t>
            </w:r>
            <w:r w:rsidRPr="003E2B34">
              <w:rPr>
                <w:rFonts w:eastAsia="Times New Roman" w:cs="Times New Roman"/>
                <w:szCs w:val="24"/>
                <w:lang w:eastAsia="lv-LV"/>
              </w:rPr>
              <w:t xml:space="preserve"> savienojot rīcībā esošo sistēmu ar DIT.</w:t>
            </w:r>
          </w:p>
        </w:tc>
      </w:tr>
      <w:tr w:rsidR="00CE33AC" w:rsidRPr="00750114" w14:paraId="24FC97E8"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C09E46"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5C84B733"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6A74FC36" w14:textId="77777777" w:rsidR="00A21E85" w:rsidRPr="00750114" w:rsidRDefault="00C85DCD" w:rsidP="00A21E85">
            <w:pPr>
              <w:ind w:left="-11" w:firstLine="284"/>
              <w:jc w:val="both"/>
              <w:rPr>
                <w:rFonts w:eastAsia="Times New Roman" w:cs="Times New Roman"/>
                <w:iCs/>
                <w:szCs w:val="24"/>
                <w:lang w:eastAsia="lv-LV"/>
              </w:rPr>
            </w:pPr>
            <w:r>
              <w:rPr>
                <w:rFonts w:eastAsia="Times New Roman" w:cs="Times New Roman"/>
                <w:szCs w:val="24"/>
                <w:lang w:eastAsia="lv-LV"/>
              </w:rPr>
              <w:t>Noteikumu projekts šo jomu neskar.</w:t>
            </w:r>
          </w:p>
        </w:tc>
      </w:tr>
      <w:tr w:rsidR="00CE33AC" w:rsidRPr="00750114" w14:paraId="6DD9C778"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5C7587"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3B157224"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0C8AE76" w14:textId="77777777" w:rsidR="00E5323B" w:rsidRPr="00750114" w:rsidRDefault="00C85DCD">
            <w:pPr>
              <w:ind w:left="-11" w:firstLine="284"/>
              <w:jc w:val="both"/>
              <w:rPr>
                <w:rFonts w:eastAsia="Times New Roman" w:cs="Times New Roman"/>
                <w:iCs/>
                <w:szCs w:val="24"/>
                <w:lang w:eastAsia="lv-LV"/>
              </w:rPr>
            </w:pPr>
            <w:r>
              <w:rPr>
                <w:rFonts w:cs="Times New Roman"/>
                <w:szCs w:val="24"/>
              </w:rPr>
              <w:t>Nav.</w:t>
            </w:r>
          </w:p>
        </w:tc>
      </w:tr>
    </w:tbl>
    <w:p w14:paraId="56C6484B" w14:textId="77777777" w:rsidR="00CF1B95" w:rsidRPr="00750114" w:rsidRDefault="00CF1B95"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192"/>
        <w:gridCol w:w="1433"/>
      </w:tblGrid>
      <w:tr w:rsidR="00F9061C" w:rsidRPr="0022005E" w14:paraId="457DE4BB" w14:textId="77777777" w:rsidTr="00CA0EA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FD04F46" w14:textId="77777777" w:rsidR="00F9061C" w:rsidRPr="0022005E" w:rsidRDefault="00F9061C" w:rsidP="00CA0EA6">
            <w:pPr>
              <w:rPr>
                <w:rFonts w:eastAsia="Times New Roman" w:cs="Times New Roman"/>
                <w:b/>
                <w:bCs/>
                <w:iCs/>
                <w:szCs w:val="24"/>
                <w:lang w:eastAsia="lv-LV"/>
              </w:rPr>
            </w:pPr>
            <w:r w:rsidRPr="0022005E">
              <w:rPr>
                <w:rFonts w:eastAsia="Times New Roman" w:cs="Times New Roman"/>
                <w:b/>
                <w:bCs/>
                <w:iCs/>
                <w:szCs w:val="24"/>
                <w:lang w:eastAsia="lv-LV"/>
              </w:rPr>
              <w:t>III. Tiesību akta projekta ietekme uz valsts budžetu un pašvaldību budžetiem</w:t>
            </w:r>
          </w:p>
        </w:tc>
      </w:tr>
      <w:tr w:rsidR="00F9061C" w:rsidRPr="0022005E" w14:paraId="7CB6F829" w14:textId="77777777" w:rsidTr="00CA0EA6">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09BCAB89"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60D52D4"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2019</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682F615C"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Turpmākie trīs gadi (</w:t>
            </w:r>
            <w:r w:rsidRPr="0022005E">
              <w:rPr>
                <w:rFonts w:eastAsia="Times New Roman" w:cs="Times New Roman"/>
                <w:i/>
                <w:iCs/>
                <w:szCs w:val="24"/>
                <w:lang w:eastAsia="lv-LV"/>
              </w:rPr>
              <w:t>euro</w:t>
            </w:r>
            <w:r w:rsidRPr="0022005E">
              <w:rPr>
                <w:rFonts w:eastAsia="Times New Roman" w:cs="Times New Roman"/>
                <w:iCs/>
                <w:szCs w:val="24"/>
                <w:lang w:eastAsia="lv-LV"/>
              </w:rPr>
              <w:t>)</w:t>
            </w:r>
          </w:p>
        </w:tc>
      </w:tr>
      <w:tr w:rsidR="00F9061C" w:rsidRPr="0022005E" w14:paraId="3C30A76E" w14:textId="77777777" w:rsidTr="00F906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5B32C3" w14:textId="77777777" w:rsidR="00F9061C" w:rsidRPr="0022005E" w:rsidRDefault="00F9061C" w:rsidP="00CA0EA6">
            <w:pPr>
              <w:rPr>
                <w:rFonts w:eastAsia="Times New Roman" w:cs="Times New Roman"/>
                <w:iCs/>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FB70BAD" w14:textId="77777777" w:rsidR="00F9061C" w:rsidRPr="0022005E" w:rsidRDefault="00F9061C" w:rsidP="00CA0EA6">
            <w:pPr>
              <w:rPr>
                <w:rFonts w:eastAsia="Times New Roman" w:cs="Times New Roman"/>
                <w:iCs/>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C47C576"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2020</w:t>
            </w:r>
          </w:p>
        </w:tc>
        <w:tc>
          <w:tcPr>
            <w:tcW w:w="1142" w:type="pct"/>
            <w:gridSpan w:val="2"/>
            <w:tcBorders>
              <w:top w:val="outset" w:sz="6" w:space="0" w:color="auto"/>
              <w:left w:val="outset" w:sz="6" w:space="0" w:color="auto"/>
              <w:bottom w:val="outset" w:sz="6" w:space="0" w:color="auto"/>
              <w:right w:val="outset" w:sz="6" w:space="0" w:color="auto"/>
            </w:tcBorders>
            <w:vAlign w:val="center"/>
            <w:hideMark/>
          </w:tcPr>
          <w:p w14:paraId="286F2300"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2021</w:t>
            </w:r>
          </w:p>
        </w:tc>
        <w:tc>
          <w:tcPr>
            <w:tcW w:w="744" w:type="pct"/>
            <w:tcBorders>
              <w:top w:val="outset" w:sz="6" w:space="0" w:color="auto"/>
              <w:left w:val="outset" w:sz="6" w:space="0" w:color="auto"/>
              <w:bottom w:val="outset" w:sz="6" w:space="0" w:color="auto"/>
              <w:right w:val="outset" w:sz="6" w:space="0" w:color="auto"/>
            </w:tcBorders>
            <w:vAlign w:val="center"/>
            <w:hideMark/>
          </w:tcPr>
          <w:p w14:paraId="4A9E7664"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2022</w:t>
            </w:r>
          </w:p>
        </w:tc>
      </w:tr>
      <w:tr w:rsidR="00F9061C" w:rsidRPr="0022005E" w14:paraId="1E030CEE" w14:textId="77777777" w:rsidTr="00F906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93FD48" w14:textId="77777777" w:rsidR="00F9061C" w:rsidRPr="0022005E" w:rsidRDefault="00F9061C" w:rsidP="00CA0EA6">
            <w:pPr>
              <w:rPr>
                <w:rFonts w:eastAsia="Times New Roman" w:cs="Times New Roman"/>
                <w:iCs/>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1568703A"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A615F8"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A5AE14"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13E6B8"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izmaiņas, salīdzinot ar vidēja termiņa budžeta ietvaru 2020.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186F630"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saskaņā ar vidēja termiņa budžeta ietvaru</w:t>
            </w:r>
          </w:p>
        </w:tc>
        <w:tc>
          <w:tcPr>
            <w:tcW w:w="664" w:type="pct"/>
            <w:tcBorders>
              <w:top w:val="outset" w:sz="6" w:space="0" w:color="auto"/>
              <w:left w:val="outset" w:sz="6" w:space="0" w:color="auto"/>
              <w:bottom w:val="outset" w:sz="6" w:space="0" w:color="auto"/>
              <w:right w:val="outset" w:sz="6" w:space="0" w:color="auto"/>
            </w:tcBorders>
            <w:vAlign w:val="center"/>
            <w:hideMark/>
          </w:tcPr>
          <w:p w14:paraId="719F6501"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izmaiņas, salīdzinot ar vidēja termiņa budžeta ietvaru 2021. gadam</w:t>
            </w:r>
          </w:p>
        </w:tc>
        <w:tc>
          <w:tcPr>
            <w:tcW w:w="744" w:type="pct"/>
            <w:tcBorders>
              <w:top w:val="outset" w:sz="6" w:space="0" w:color="auto"/>
              <w:left w:val="outset" w:sz="6" w:space="0" w:color="auto"/>
              <w:bottom w:val="outset" w:sz="6" w:space="0" w:color="auto"/>
              <w:right w:val="outset" w:sz="6" w:space="0" w:color="auto"/>
            </w:tcBorders>
            <w:vAlign w:val="center"/>
            <w:hideMark/>
          </w:tcPr>
          <w:p w14:paraId="0AF2C1D7"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izmaiņas, salīdzinot ar vidēja termiņa budžeta ietvaru 2021. gadam</w:t>
            </w:r>
          </w:p>
        </w:tc>
      </w:tr>
      <w:tr w:rsidR="00F9061C" w:rsidRPr="0022005E" w14:paraId="01205425"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7613C64C"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FAB4885"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09FA59"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ED5EEB1"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32C548"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6C731D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6</w:t>
            </w:r>
          </w:p>
        </w:tc>
        <w:tc>
          <w:tcPr>
            <w:tcW w:w="664" w:type="pct"/>
            <w:tcBorders>
              <w:top w:val="outset" w:sz="6" w:space="0" w:color="auto"/>
              <w:left w:val="outset" w:sz="6" w:space="0" w:color="auto"/>
              <w:bottom w:val="outset" w:sz="6" w:space="0" w:color="auto"/>
              <w:right w:val="outset" w:sz="6" w:space="0" w:color="auto"/>
            </w:tcBorders>
            <w:vAlign w:val="center"/>
            <w:hideMark/>
          </w:tcPr>
          <w:p w14:paraId="72D031BD"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7</w:t>
            </w:r>
          </w:p>
        </w:tc>
        <w:tc>
          <w:tcPr>
            <w:tcW w:w="744" w:type="pct"/>
            <w:tcBorders>
              <w:top w:val="outset" w:sz="6" w:space="0" w:color="auto"/>
              <w:left w:val="outset" w:sz="6" w:space="0" w:color="auto"/>
              <w:bottom w:val="outset" w:sz="6" w:space="0" w:color="auto"/>
              <w:right w:val="outset" w:sz="6" w:space="0" w:color="auto"/>
            </w:tcBorders>
            <w:vAlign w:val="center"/>
            <w:hideMark/>
          </w:tcPr>
          <w:p w14:paraId="38110CAE"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8</w:t>
            </w:r>
          </w:p>
        </w:tc>
      </w:tr>
      <w:tr w:rsidR="00F9061C" w:rsidRPr="0022005E" w14:paraId="030CA5E4"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048B641"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084B8E7"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B63A54"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E87C23"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EF1977"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B0C065"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5ED1DE8C"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34538471"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6196298B"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744D035" w14:textId="77777777" w:rsidR="00F9061C" w:rsidRPr="0022005E" w:rsidRDefault="00F9061C" w:rsidP="00F9061C">
            <w:pPr>
              <w:rPr>
                <w:rFonts w:eastAsia="Times New Roman" w:cs="Times New Roman"/>
                <w:iCs/>
                <w:szCs w:val="24"/>
                <w:lang w:eastAsia="lv-LV"/>
              </w:rPr>
            </w:pPr>
            <w:r w:rsidRPr="0022005E">
              <w:rPr>
                <w:rFonts w:eastAsia="Times New Roman" w:cs="Times New Roman"/>
                <w:iCs/>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45F43375"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66F4CF"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CA72DB"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A5043D"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A07957"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6D5BEEFF"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7AEC9828"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394B0099"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8C4B2CE"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0C659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A2737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34E172"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B988E3"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C54854"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10748C85"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623F812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1EA43961"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D62CD58" w14:textId="77777777" w:rsidR="00F9061C" w:rsidRPr="0022005E" w:rsidRDefault="00F9061C" w:rsidP="00F9061C">
            <w:pPr>
              <w:rPr>
                <w:rFonts w:eastAsia="Times New Roman" w:cs="Times New Roman"/>
                <w:iCs/>
                <w:szCs w:val="24"/>
                <w:lang w:eastAsia="lv-LV"/>
              </w:rPr>
            </w:pPr>
            <w:r w:rsidRPr="0022005E">
              <w:rPr>
                <w:rFonts w:eastAsia="Times New Roman" w:cs="Times New Roman"/>
                <w:iCs/>
                <w:szCs w:val="24"/>
                <w:lang w:eastAsia="lv-LV"/>
              </w:rPr>
              <w:lastRenderedPageBreak/>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6C61B1"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EC8A09"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7840BB"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580806"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38899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63038DFE"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A6B3A31"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3029FD5D"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D39EDF8"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26B119E"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8FC206"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134209"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D935CD" w14:textId="40F956D5" w:rsidR="00F9061C" w:rsidRPr="0022005E" w:rsidRDefault="00DD699F" w:rsidP="00E462BB">
            <w:pPr>
              <w:jc w:val="center"/>
              <w:rPr>
                <w:rFonts w:eastAsia="Times New Roman" w:cs="Times New Roman"/>
                <w:iCs/>
                <w:szCs w:val="24"/>
                <w:lang w:eastAsia="lv-LV"/>
              </w:rPr>
            </w:pPr>
            <w:r>
              <w:rPr>
                <w:rFonts w:eastAsia="Times New Roman" w:cs="Times New Roman"/>
                <w:iCs/>
                <w:szCs w:val="24"/>
                <w:lang w:eastAsia="lv-LV"/>
              </w:rPr>
              <w:t>15</w:t>
            </w:r>
            <w:r w:rsidR="00330FE2">
              <w:rPr>
                <w:rFonts w:eastAsia="Times New Roman" w:cs="Times New Roman"/>
                <w:iCs/>
                <w:szCs w:val="24"/>
                <w:lang w:eastAsia="lv-LV"/>
              </w:rPr>
              <w:t xml:space="preserve"> </w:t>
            </w:r>
            <w:r>
              <w:rPr>
                <w:rFonts w:eastAsia="Times New Roman" w:cs="Times New Roman"/>
                <w:iCs/>
                <w:szCs w:val="24"/>
                <w:lang w:eastAsia="lv-LV"/>
              </w:rPr>
              <w:t>142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16F1CDD8"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55729F2D"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95154AB"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3135A265"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5E99913"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DA241E5"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C6DFC8"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83E394"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BEA27F" w14:textId="0B45A6BB" w:rsidR="00F9061C" w:rsidRPr="0022005E" w:rsidRDefault="00DD699F" w:rsidP="00E462BB">
            <w:pPr>
              <w:jc w:val="center"/>
              <w:rPr>
                <w:rFonts w:eastAsia="Times New Roman" w:cs="Times New Roman"/>
                <w:iCs/>
                <w:szCs w:val="24"/>
                <w:lang w:eastAsia="lv-LV"/>
              </w:rPr>
            </w:pPr>
            <w:r>
              <w:rPr>
                <w:rFonts w:eastAsia="Times New Roman" w:cs="Times New Roman"/>
                <w:iCs/>
                <w:szCs w:val="24"/>
                <w:lang w:eastAsia="lv-LV"/>
              </w:rPr>
              <w:t>15</w:t>
            </w:r>
            <w:r w:rsidR="00330FE2">
              <w:rPr>
                <w:rFonts w:eastAsia="Times New Roman" w:cs="Times New Roman"/>
                <w:iCs/>
                <w:szCs w:val="24"/>
                <w:lang w:eastAsia="lv-LV"/>
              </w:rPr>
              <w:t xml:space="preserve"> </w:t>
            </w:r>
            <w:r>
              <w:rPr>
                <w:rFonts w:eastAsia="Times New Roman" w:cs="Times New Roman"/>
                <w:iCs/>
                <w:szCs w:val="24"/>
                <w:lang w:eastAsia="lv-LV"/>
              </w:rPr>
              <w:t>142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6CB430"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4B4944F1"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54E6B188"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6B37D5DE"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A3DD6C"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672652E"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A073BF"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853EA6"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C16575"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5E1CC9"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0083185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4049D331"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75F0A013"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8148D7F"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785380D"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C40850"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7FCABD"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91A129"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055F8"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3E4EEE26"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75130696"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3F48F595"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B39F536" w14:textId="77777777" w:rsidR="00F9061C" w:rsidRPr="0022005E" w:rsidRDefault="00F9061C" w:rsidP="00F9061C">
            <w:pPr>
              <w:rPr>
                <w:rFonts w:eastAsia="Times New Roman" w:cs="Times New Roman"/>
                <w:iCs/>
                <w:szCs w:val="24"/>
                <w:lang w:eastAsia="lv-LV"/>
              </w:rPr>
            </w:pPr>
            <w:r w:rsidRPr="0022005E">
              <w:rPr>
                <w:rFonts w:eastAsia="Times New Roman" w:cs="Times New Roman"/>
                <w:iCs/>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6980D947"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1C6FA2"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0F35079"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631BC2" w14:textId="07B15A0A" w:rsidR="00F9061C" w:rsidRPr="0022005E" w:rsidRDefault="0076234F" w:rsidP="00DD699F">
            <w:pPr>
              <w:jc w:val="center"/>
              <w:rPr>
                <w:rFonts w:eastAsia="Times New Roman" w:cs="Times New Roman"/>
                <w:iCs/>
                <w:szCs w:val="24"/>
                <w:lang w:eastAsia="lv-LV"/>
              </w:rPr>
            </w:pPr>
            <w:r>
              <w:rPr>
                <w:rFonts w:eastAsia="Times New Roman" w:cs="Times New Roman"/>
                <w:iCs/>
                <w:szCs w:val="24"/>
                <w:lang w:eastAsia="lv-LV"/>
              </w:rPr>
              <w:t>-</w:t>
            </w:r>
            <w:r w:rsidR="00DD699F">
              <w:rPr>
                <w:rFonts w:eastAsia="Times New Roman" w:cs="Times New Roman"/>
                <w:iCs/>
                <w:szCs w:val="24"/>
                <w:lang w:eastAsia="lv-LV"/>
              </w:rPr>
              <w:t>15</w:t>
            </w:r>
            <w:r w:rsidR="00330FE2">
              <w:rPr>
                <w:rFonts w:eastAsia="Times New Roman" w:cs="Times New Roman"/>
                <w:iCs/>
                <w:szCs w:val="24"/>
                <w:lang w:eastAsia="lv-LV"/>
              </w:rPr>
              <w:t xml:space="preserve"> </w:t>
            </w:r>
            <w:r w:rsidR="00DD699F">
              <w:rPr>
                <w:rFonts w:eastAsia="Times New Roman" w:cs="Times New Roman"/>
                <w:iCs/>
                <w:szCs w:val="24"/>
                <w:lang w:eastAsia="lv-LV"/>
              </w:rPr>
              <w:t>142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2CA73B"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361886C2"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65F691EC"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23E48886"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D022FB7" w14:textId="77777777" w:rsidR="00F9061C" w:rsidRPr="0022005E" w:rsidRDefault="00F9061C" w:rsidP="00F9061C">
            <w:pPr>
              <w:rPr>
                <w:rFonts w:eastAsia="Times New Roman" w:cs="Times New Roman"/>
                <w:iCs/>
                <w:szCs w:val="24"/>
                <w:lang w:eastAsia="lv-LV"/>
              </w:rPr>
            </w:pPr>
            <w:r w:rsidRPr="0022005E">
              <w:rPr>
                <w:rFonts w:eastAsia="Times New Roman" w:cs="Times New Roman"/>
                <w:iCs/>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ED707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00A880"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4D0879"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4AD8DB" w14:textId="10C3A155" w:rsidR="00F9061C" w:rsidRPr="0022005E" w:rsidRDefault="0076234F" w:rsidP="00DD699F">
            <w:pPr>
              <w:jc w:val="center"/>
              <w:rPr>
                <w:rFonts w:eastAsia="Times New Roman" w:cs="Times New Roman"/>
                <w:iCs/>
                <w:szCs w:val="24"/>
                <w:lang w:eastAsia="lv-LV"/>
              </w:rPr>
            </w:pPr>
            <w:r>
              <w:rPr>
                <w:rFonts w:eastAsia="Times New Roman" w:cs="Times New Roman"/>
                <w:iCs/>
                <w:szCs w:val="24"/>
                <w:lang w:eastAsia="lv-LV"/>
              </w:rPr>
              <w:t>-</w:t>
            </w:r>
            <w:r w:rsidR="00DD699F">
              <w:rPr>
                <w:rFonts w:eastAsia="Times New Roman" w:cs="Times New Roman"/>
                <w:iCs/>
                <w:szCs w:val="24"/>
                <w:lang w:eastAsia="lv-LV"/>
              </w:rPr>
              <w:t>15</w:t>
            </w:r>
            <w:r w:rsidR="00330FE2">
              <w:rPr>
                <w:rFonts w:eastAsia="Times New Roman" w:cs="Times New Roman"/>
                <w:iCs/>
                <w:szCs w:val="24"/>
                <w:lang w:eastAsia="lv-LV"/>
              </w:rPr>
              <w:t xml:space="preserve"> </w:t>
            </w:r>
            <w:r w:rsidR="00DD699F">
              <w:rPr>
                <w:rFonts w:eastAsia="Times New Roman" w:cs="Times New Roman"/>
                <w:iCs/>
                <w:szCs w:val="24"/>
                <w:lang w:eastAsia="lv-LV"/>
              </w:rPr>
              <w:t>142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6E2DA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6CDAA002"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A3950FC"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19CDCC1E"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1564045"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4EC4466"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08D2C5"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8AC7F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2697B0"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961AEB"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27939D5D"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6508B327"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5933369E"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71C526D"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492C390"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654C58" w14:textId="77777777" w:rsidR="00F9061C" w:rsidRPr="0022005E" w:rsidRDefault="008613B5" w:rsidP="00E462BB">
            <w:pPr>
              <w:jc w:val="center"/>
              <w:rPr>
                <w:rFonts w:eastAsia="Times New Roman" w:cs="Times New Roman"/>
                <w:iCs/>
                <w:szCs w:val="24"/>
                <w:lang w:eastAsia="lv-LV"/>
              </w:rPr>
            </w:pPr>
            <w:r>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2EAE6C"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E65926" w14:textId="77777777" w:rsidR="00F9061C" w:rsidRPr="0022005E" w:rsidRDefault="008613B5" w:rsidP="00E462BB">
            <w:pPr>
              <w:jc w:val="center"/>
              <w:rPr>
                <w:rFonts w:eastAsia="Times New Roman" w:cs="Times New Roman"/>
                <w:iCs/>
                <w:szCs w:val="24"/>
                <w:lang w:eastAsia="lv-LV"/>
              </w:rPr>
            </w:pPr>
            <w:r>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F6E092"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68120BBE" w14:textId="77777777" w:rsidR="00F9061C" w:rsidRPr="0022005E" w:rsidRDefault="008613B5" w:rsidP="00E462BB">
            <w:pPr>
              <w:jc w:val="center"/>
              <w:rPr>
                <w:rFonts w:eastAsia="Times New Roman" w:cs="Times New Roman"/>
                <w:iCs/>
                <w:szCs w:val="24"/>
                <w:lang w:eastAsia="lv-LV"/>
              </w:rPr>
            </w:pPr>
            <w:r>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7595589" w14:textId="77777777" w:rsidR="00F9061C" w:rsidRPr="0022005E" w:rsidRDefault="008613B5" w:rsidP="00E462BB">
            <w:pPr>
              <w:jc w:val="center"/>
              <w:rPr>
                <w:rFonts w:eastAsia="Times New Roman" w:cs="Times New Roman"/>
                <w:iCs/>
                <w:szCs w:val="24"/>
                <w:lang w:eastAsia="lv-LV"/>
              </w:rPr>
            </w:pPr>
            <w:r>
              <w:rPr>
                <w:rFonts w:eastAsia="Times New Roman" w:cs="Times New Roman"/>
                <w:iCs/>
                <w:szCs w:val="24"/>
                <w:lang w:eastAsia="lv-LV"/>
              </w:rPr>
              <w:t>0</w:t>
            </w:r>
          </w:p>
        </w:tc>
      </w:tr>
      <w:tr w:rsidR="00F9061C" w:rsidRPr="0022005E" w14:paraId="5006AEC8"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CC3410A"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A2D6DB"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7194834"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F3D905"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8D95E66" w14:textId="40E2C005" w:rsidR="00F9061C" w:rsidRPr="0022005E" w:rsidRDefault="00F35C75" w:rsidP="00E462BB">
            <w:pPr>
              <w:jc w:val="center"/>
              <w:rPr>
                <w:rFonts w:eastAsia="Times New Roman" w:cs="Times New Roman"/>
                <w:iCs/>
                <w:szCs w:val="24"/>
                <w:lang w:eastAsia="lv-LV"/>
              </w:rPr>
            </w:pPr>
            <w:r>
              <w:rPr>
                <w:rFonts w:eastAsia="Times New Roman" w:cs="Times New Roman"/>
                <w:iCs/>
                <w:szCs w:val="24"/>
                <w:lang w:eastAsia="lv-LV"/>
              </w:rPr>
              <w:t>+</w:t>
            </w:r>
            <w:r w:rsidR="00DD699F">
              <w:rPr>
                <w:rFonts w:eastAsia="Times New Roman" w:cs="Times New Roman"/>
                <w:iCs/>
                <w:szCs w:val="24"/>
                <w:lang w:eastAsia="lv-LV"/>
              </w:rPr>
              <w:t>15</w:t>
            </w:r>
            <w:r w:rsidR="00330FE2">
              <w:rPr>
                <w:rFonts w:eastAsia="Times New Roman" w:cs="Times New Roman"/>
                <w:iCs/>
                <w:szCs w:val="24"/>
                <w:lang w:eastAsia="lv-LV"/>
              </w:rPr>
              <w:t xml:space="preserve"> </w:t>
            </w:r>
            <w:r w:rsidR="00DD699F">
              <w:rPr>
                <w:rFonts w:eastAsia="Times New Roman" w:cs="Times New Roman"/>
                <w:iCs/>
                <w:szCs w:val="24"/>
                <w:lang w:eastAsia="lv-LV"/>
              </w:rPr>
              <w:t>142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0730C5"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5CE6B481"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9A7A8E2"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191E4C1D"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B6C0FD7"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6BA87522" w14:textId="77777777" w:rsidR="00F9061C" w:rsidRPr="0022005E" w:rsidRDefault="0076234F" w:rsidP="00CA0EA6">
            <w:pPr>
              <w:jc w:val="center"/>
              <w:rPr>
                <w:rFonts w:eastAsia="Times New Roman" w:cs="Times New Roman"/>
                <w:iCs/>
                <w:szCs w:val="24"/>
                <w:lang w:eastAsia="lv-LV"/>
              </w:rPr>
            </w:pPr>
            <w:r>
              <w:rPr>
                <w:rFonts w:eastAsia="Times New Roman" w:cs="Times New Roman"/>
                <w:iCs/>
                <w:szCs w:val="24"/>
                <w:lang w:eastAsia="lv-LV"/>
              </w:rPr>
              <w:t>x</w:t>
            </w:r>
          </w:p>
          <w:p w14:paraId="38A284E0" w14:textId="77777777" w:rsidR="00F9061C" w:rsidRPr="0022005E" w:rsidRDefault="00F9061C" w:rsidP="00CA0EA6">
            <w:pPr>
              <w:jc w:val="center"/>
              <w:rPr>
                <w:rFonts w:eastAsia="Times New Roman" w:cs="Times New Roman"/>
                <w:iCs/>
                <w:szCs w:val="24"/>
                <w:lang w:eastAsia="lv-LV"/>
              </w:rPr>
            </w:pPr>
          </w:p>
          <w:p w14:paraId="4DD05207" w14:textId="77777777" w:rsidR="00F9061C" w:rsidRPr="0022005E" w:rsidRDefault="00F9061C" w:rsidP="00CA0EA6">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BE7A96A"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15B1D4E" w14:textId="77777777" w:rsidR="00F9061C" w:rsidRPr="0022005E" w:rsidRDefault="00F9061C" w:rsidP="00E462BB">
            <w:pPr>
              <w:jc w:val="center"/>
              <w:rPr>
                <w:rFonts w:eastAsia="Times New Roman" w:cs="Times New Roman"/>
                <w:iCs/>
                <w:szCs w:val="24"/>
                <w:lang w:eastAsia="lv-LV"/>
              </w:rPr>
            </w:pPr>
          </w:p>
          <w:p w14:paraId="6F7FEBFC" w14:textId="77777777" w:rsidR="00F9061C" w:rsidRPr="0022005E" w:rsidRDefault="00F9061C" w:rsidP="00E462BB">
            <w:pPr>
              <w:jc w:val="center"/>
              <w:rPr>
                <w:rFonts w:eastAsia="Times New Roman" w:cs="Times New Roman"/>
                <w:iCs/>
                <w:szCs w:val="24"/>
                <w:lang w:eastAsia="lv-LV"/>
              </w:rPr>
            </w:pPr>
          </w:p>
          <w:p w14:paraId="198D1AA9"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x</w:t>
            </w:r>
          </w:p>
          <w:p w14:paraId="55447F77" w14:textId="77777777" w:rsidR="00F9061C" w:rsidRPr="0022005E" w:rsidRDefault="00F9061C" w:rsidP="00E462BB">
            <w:pPr>
              <w:jc w:val="center"/>
              <w:rPr>
                <w:rFonts w:eastAsia="Times New Roman" w:cs="Times New Roman"/>
                <w:iCs/>
                <w:szCs w:val="24"/>
                <w:lang w:eastAsia="lv-LV"/>
              </w:rPr>
            </w:pPr>
          </w:p>
          <w:p w14:paraId="3FDAC94E" w14:textId="77777777" w:rsidR="00F9061C" w:rsidRPr="0022005E" w:rsidRDefault="00F9061C" w:rsidP="00E462BB">
            <w:pPr>
              <w:jc w:val="center"/>
              <w:rPr>
                <w:rFonts w:eastAsia="Times New Roman" w:cs="Times New Roman"/>
                <w:iCs/>
                <w:szCs w:val="24"/>
                <w:lang w:eastAsia="lv-LV"/>
              </w:rPr>
            </w:pPr>
          </w:p>
          <w:p w14:paraId="47697D58"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4FA61CD"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486BE3B" w14:textId="77777777" w:rsidR="00F9061C" w:rsidRPr="0022005E" w:rsidRDefault="00F9061C" w:rsidP="00E462BB">
            <w:pPr>
              <w:jc w:val="center"/>
              <w:rPr>
                <w:rFonts w:eastAsia="Times New Roman" w:cs="Times New Roman"/>
                <w:iCs/>
                <w:szCs w:val="24"/>
                <w:lang w:eastAsia="lv-LV"/>
              </w:rPr>
            </w:pPr>
          </w:p>
          <w:p w14:paraId="403C9F39" w14:textId="77777777" w:rsidR="00F9061C" w:rsidRPr="0022005E" w:rsidRDefault="00F9061C" w:rsidP="00E462BB">
            <w:pPr>
              <w:jc w:val="center"/>
              <w:rPr>
                <w:rFonts w:eastAsia="Times New Roman" w:cs="Times New Roman"/>
                <w:iCs/>
                <w:szCs w:val="24"/>
                <w:lang w:eastAsia="lv-LV"/>
              </w:rPr>
            </w:pPr>
          </w:p>
          <w:p w14:paraId="70B5139D"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x</w:t>
            </w:r>
          </w:p>
          <w:p w14:paraId="6DBE59EE" w14:textId="77777777" w:rsidR="00F9061C" w:rsidRPr="0022005E" w:rsidRDefault="00F9061C" w:rsidP="00E462BB">
            <w:pPr>
              <w:jc w:val="center"/>
              <w:rPr>
                <w:rFonts w:eastAsia="Times New Roman" w:cs="Times New Roman"/>
                <w:iCs/>
                <w:szCs w:val="24"/>
                <w:lang w:eastAsia="lv-LV"/>
              </w:rPr>
            </w:pPr>
          </w:p>
          <w:p w14:paraId="3A8CEEE1" w14:textId="77777777" w:rsidR="00F9061C" w:rsidRPr="0022005E" w:rsidRDefault="00F9061C" w:rsidP="00E462BB">
            <w:pPr>
              <w:jc w:val="center"/>
              <w:rPr>
                <w:rFonts w:eastAsia="Times New Roman" w:cs="Times New Roman"/>
                <w:iCs/>
                <w:szCs w:val="24"/>
                <w:lang w:eastAsia="lv-LV"/>
              </w:rPr>
            </w:pPr>
          </w:p>
          <w:p w14:paraId="4BB50B79"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7B8603B6"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5F494664"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r>
      <w:tr w:rsidR="00F9061C" w:rsidRPr="0022005E" w14:paraId="647AD010"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A5AA996"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28AA0C" w14:textId="77777777" w:rsidR="00F9061C" w:rsidRPr="0022005E" w:rsidRDefault="00F9061C" w:rsidP="00CA0EA6">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A105DF0"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06FEB"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30258E6"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930D1"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4D72A3C8"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4202120A"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r>
      <w:tr w:rsidR="00F9061C" w:rsidRPr="0022005E" w14:paraId="0828A289"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68CEC20"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4B5A31" w14:textId="77777777" w:rsidR="00F9061C" w:rsidRPr="0022005E" w:rsidRDefault="00F9061C" w:rsidP="00CA0EA6">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0D01073"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13CEFC"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7F89721"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CA90F2"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34278A74"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6BF74540"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25283BA2"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9F02608"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EFC697" w14:textId="77777777" w:rsidR="00F9061C" w:rsidRPr="0022005E" w:rsidRDefault="00F9061C" w:rsidP="00CA0EA6">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A265DA"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2A0B40"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1FE72C9"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866F5E"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356B6DFF"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7567AB6C" w14:textId="7777777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r>
      <w:tr w:rsidR="00F9061C" w:rsidRPr="0022005E" w14:paraId="3BADA609"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38470D3"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 xml:space="preserve">6. Detalizēts ieņēmumu un izdevumu aprēķins (ja nepieciešams, detalizētu ieņēmumu un </w:t>
            </w:r>
            <w:r w:rsidRPr="0022005E">
              <w:rPr>
                <w:rFonts w:eastAsia="Times New Roman" w:cs="Times New Roman"/>
                <w:iCs/>
                <w:szCs w:val="24"/>
                <w:lang w:eastAsia="lv-LV"/>
              </w:rPr>
              <w:lastRenderedPageBreak/>
              <w:t>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AE90041" w14:textId="77777777" w:rsidR="00C83122" w:rsidRPr="00C83122" w:rsidRDefault="00C83122" w:rsidP="00272306">
            <w:pPr>
              <w:ind w:firstLine="284"/>
              <w:jc w:val="both"/>
              <w:rPr>
                <w:rFonts w:eastAsia="Times New Roman" w:cs="Times New Roman"/>
                <w:bCs/>
                <w:szCs w:val="24"/>
                <w:lang w:eastAsia="lv-LV"/>
              </w:rPr>
            </w:pPr>
            <w:r w:rsidRPr="00C83122">
              <w:rPr>
                <w:rFonts w:eastAsia="Times New Roman" w:cs="Times New Roman"/>
                <w:bCs/>
                <w:szCs w:val="24"/>
                <w:lang w:eastAsia="lv-LV"/>
              </w:rPr>
              <w:lastRenderedPageBreak/>
              <w:t xml:space="preserve">Lai nodrošinātu noteikumu projektā paredzēto datu apmaiņas risinājumu, izmaiņu iestrādei Valsts ieņēmumu dienesta informācijas sistēmās 2020.gadā nepieciešams finansējums 8 540 </w:t>
            </w:r>
            <w:r w:rsidRPr="00272306">
              <w:rPr>
                <w:rFonts w:eastAsia="Times New Roman" w:cs="Times New Roman"/>
                <w:bCs/>
                <w:i/>
                <w:szCs w:val="24"/>
                <w:lang w:eastAsia="lv-LV"/>
              </w:rPr>
              <w:t>euro</w:t>
            </w:r>
            <w:r w:rsidRPr="00C83122">
              <w:rPr>
                <w:rFonts w:eastAsia="Times New Roman" w:cs="Times New Roman"/>
                <w:bCs/>
                <w:szCs w:val="24"/>
                <w:lang w:eastAsia="lv-LV"/>
              </w:rPr>
              <w:t xml:space="preserve"> apmērā, tajā skaitā izmaiņu ieviešanai:</w:t>
            </w:r>
          </w:p>
          <w:p w14:paraId="37BBA0E5" w14:textId="77777777" w:rsidR="00C83122" w:rsidRPr="00C83122" w:rsidRDefault="00C83122" w:rsidP="00272306">
            <w:pPr>
              <w:ind w:firstLine="284"/>
              <w:jc w:val="both"/>
              <w:rPr>
                <w:rFonts w:eastAsia="Times New Roman" w:cs="Times New Roman"/>
                <w:bCs/>
                <w:szCs w:val="24"/>
                <w:lang w:eastAsia="lv-LV"/>
              </w:rPr>
            </w:pPr>
            <w:r w:rsidRPr="00C83122">
              <w:rPr>
                <w:rFonts w:eastAsia="Times New Roman" w:cs="Times New Roman"/>
                <w:bCs/>
                <w:szCs w:val="24"/>
                <w:lang w:eastAsia="lv-LV"/>
              </w:rPr>
              <w:t>•</w:t>
            </w:r>
            <w:r w:rsidRPr="00C83122">
              <w:rPr>
                <w:rFonts w:eastAsia="Times New Roman" w:cs="Times New Roman"/>
                <w:bCs/>
                <w:szCs w:val="24"/>
                <w:lang w:eastAsia="lv-LV"/>
              </w:rPr>
              <w:tab/>
              <w:t xml:space="preserve">VID informācijas sistēmu </w:t>
            </w:r>
            <w:proofErr w:type="spellStart"/>
            <w:r w:rsidRPr="00C83122">
              <w:rPr>
                <w:rFonts w:eastAsia="Times New Roman" w:cs="Times New Roman"/>
                <w:bCs/>
                <w:szCs w:val="24"/>
                <w:lang w:eastAsia="lv-LV"/>
              </w:rPr>
              <w:t>savietotājā</w:t>
            </w:r>
            <w:proofErr w:type="spellEnd"/>
            <w:r w:rsidRPr="00C83122">
              <w:rPr>
                <w:rFonts w:eastAsia="Times New Roman" w:cs="Times New Roman"/>
                <w:bCs/>
                <w:szCs w:val="24"/>
                <w:lang w:eastAsia="lv-LV"/>
              </w:rPr>
              <w:t xml:space="preserve"> (VID ISS)  – 6 226 </w:t>
            </w:r>
            <w:r w:rsidRPr="00272306">
              <w:rPr>
                <w:rFonts w:eastAsia="Times New Roman" w:cs="Times New Roman"/>
                <w:bCs/>
                <w:i/>
                <w:szCs w:val="24"/>
                <w:lang w:eastAsia="lv-LV"/>
              </w:rPr>
              <w:t>euro</w:t>
            </w:r>
            <w:r w:rsidRPr="00C83122">
              <w:rPr>
                <w:rFonts w:eastAsia="Times New Roman" w:cs="Times New Roman"/>
                <w:bCs/>
                <w:szCs w:val="24"/>
                <w:lang w:eastAsia="lv-LV"/>
              </w:rPr>
              <w:t>;</w:t>
            </w:r>
          </w:p>
          <w:p w14:paraId="34183E85" w14:textId="2CFB4FD2" w:rsidR="00C264D4" w:rsidRDefault="00C83122" w:rsidP="00272306">
            <w:pPr>
              <w:ind w:firstLine="284"/>
              <w:jc w:val="both"/>
              <w:rPr>
                <w:rFonts w:eastAsia="Times New Roman" w:cs="Times New Roman"/>
                <w:bCs/>
                <w:szCs w:val="24"/>
                <w:lang w:eastAsia="lv-LV"/>
              </w:rPr>
            </w:pPr>
            <w:r w:rsidRPr="00C83122">
              <w:rPr>
                <w:rFonts w:eastAsia="Times New Roman" w:cs="Times New Roman"/>
                <w:bCs/>
                <w:szCs w:val="24"/>
                <w:lang w:eastAsia="lv-LV"/>
              </w:rPr>
              <w:t>•</w:t>
            </w:r>
            <w:r w:rsidRPr="00C83122">
              <w:rPr>
                <w:rFonts w:eastAsia="Times New Roman" w:cs="Times New Roman"/>
                <w:bCs/>
                <w:szCs w:val="24"/>
                <w:lang w:eastAsia="lv-LV"/>
              </w:rPr>
              <w:tab/>
              <w:t xml:space="preserve">Nodokļu informācijas sistēmā (NIS) – 2 314 </w:t>
            </w:r>
            <w:r w:rsidRPr="00272306">
              <w:rPr>
                <w:rFonts w:eastAsia="Times New Roman" w:cs="Times New Roman"/>
                <w:bCs/>
                <w:i/>
                <w:szCs w:val="24"/>
                <w:lang w:eastAsia="lv-LV"/>
              </w:rPr>
              <w:t>euro</w:t>
            </w:r>
            <w:r w:rsidRPr="00C83122">
              <w:rPr>
                <w:rFonts w:eastAsia="Times New Roman" w:cs="Times New Roman"/>
                <w:bCs/>
                <w:szCs w:val="24"/>
                <w:lang w:eastAsia="lv-LV"/>
              </w:rPr>
              <w:t>.</w:t>
            </w:r>
          </w:p>
          <w:p w14:paraId="4031F17F" w14:textId="77777777" w:rsidR="00C37DEB" w:rsidRDefault="00C37DEB" w:rsidP="00272306">
            <w:pPr>
              <w:ind w:firstLine="284"/>
              <w:jc w:val="both"/>
              <w:rPr>
                <w:rFonts w:eastAsia="Times New Roman" w:cs="Times New Roman"/>
                <w:bCs/>
                <w:szCs w:val="24"/>
                <w:lang w:eastAsia="lv-LV"/>
              </w:rPr>
            </w:pPr>
          </w:p>
          <w:p w14:paraId="2123392D" w14:textId="4444D0C2" w:rsidR="00C264D4" w:rsidRDefault="00C264D4" w:rsidP="00C264D4">
            <w:pPr>
              <w:jc w:val="both"/>
            </w:pPr>
            <w:r>
              <w:lastRenderedPageBreak/>
              <w:t xml:space="preserve">Izmaiņu veikšanai </w:t>
            </w:r>
            <w:r>
              <w:rPr>
                <w:rFonts w:eastAsia="Times New Roman" w:cs="Times New Roman"/>
                <w:szCs w:val="24"/>
                <w:lang w:eastAsia="lv-LV"/>
              </w:rPr>
              <w:t>ZTI</w:t>
            </w:r>
            <w:r w:rsidRPr="007851CB">
              <w:rPr>
                <w:rFonts w:eastAsia="Times New Roman" w:cs="Times New Roman"/>
                <w:szCs w:val="24"/>
                <w:lang w:eastAsia="lv-LV"/>
              </w:rPr>
              <w:t xml:space="preserve"> informācijas sistēmā </w:t>
            </w:r>
            <w:r>
              <w:t xml:space="preserve">nepieciešamais finansējums 2020.gadam  6 602 </w:t>
            </w:r>
            <w:r w:rsidRPr="00D12661">
              <w:rPr>
                <w:i/>
              </w:rPr>
              <w:t>euro</w:t>
            </w:r>
            <w:r>
              <w:t xml:space="preserve"> apmērā.</w:t>
            </w:r>
          </w:p>
          <w:p w14:paraId="5F554A6A" w14:textId="77777777" w:rsidR="00C264D4" w:rsidRDefault="00C264D4" w:rsidP="00C264D4">
            <w:pPr>
              <w:jc w:val="both"/>
            </w:pPr>
            <w:r>
              <w:t>Provizoriskās izmaksas izmaiņu veikšanai:</w:t>
            </w:r>
          </w:p>
          <w:p w14:paraId="6614A0E4" w14:textId="77777777" w:rsidR="00C264D4" w:rsidRDefault="00C264D4" w:rsidP="00C264D4">
            <w:pPr>
              <w:jc w:val="both"/>
            </w:pPr>
            <w:r>
              <w:rPr>
                <w:rFonts w:cs="Times New Roman"/>
                <w:iCs/>
                <w:szCs w:val="24"/>
              </w:rPr>
              <w:t xml:space="preserve">248 </w:t>
            </w:r>
            <w:r w:rsidRPr="00694A78">
              <w:rPr>
                <w:rFonts w:cs="Times New Roman"/>
                <w:iCs/>
                <w:szCs w:val="24"/>
              </w:rPr>
              <w:t>cilvēk</w:t>
            </w:r>
            <w:r>
              <w:rPr>
                <w:rFonts w:cs="Times New Roman"/>
                <w:iCs/>
                <w:szCs w:val="24"/>
              </w:rPr>
              <w:t>stundas</w:t>
            </w:r>
            <w:r w:rsidRPr="00694A78">
              <w:rPr>
                <w:rFonts w:cs="Times New Roman"/>
                <w:iCs/>
                <w:szCs w:val="24"/>
              </w:rPr>
              <w:t xml:space="preserve"> x </w:t>
            </w:r>
            <w:r>
              <w:rPr>
                <w:rFonts w:cs="Times New Roman"/>
                <w:iCs/>
                <w:szCs w:val="24"/>
              </w:rPr>
              <w:t>22</w:t>
            </w:r>
            <w:r w:rsidRPr="00694A78">
              <w:rPr>
                <w:rFonts w:cs="Times New Roman"/>
                <w:iCs/>
                <w:szCs w:val="24"/>
              </w:rPr>
              <w:t xml:space="preserve"> </w:t>
            </w:r>
            <w:r w:rsidRPr="00694A78">
              <w:rPr>
                <w:rFonts w:cs="Times New Roman"/>
                <w:i/>
                <w:iCs/>
                <w:szCs w:val="24"/>
              </w:rPr>
              <w:t>euro</w:t>
            </w:r>
            <w:r w:rsidRPr="00694A78">
              <w:rPr>
                <w:rFonts w:cs="Times New Roman"/>
                <w:iCs/>
                <w:szCs w:val="24"/>
              </w:rPr>
              <w:t xml:space="preserve"> (1 cilvēk</w:t>
            </w:r>
            <w:r>
              <w:rPr>
                <w:rFonts w:cs="Times New Roman"/>
                <w:iCs/>
                <w:szCs w:val="24"/>
              </w:rPr>
              <w:t>stunda</w:t>
            </w:r>
            <w:r w:rsidRPr="00694A78">
              <w:rPr>
                <w:rFonts w:cs="Times New Roman"/>
                <w:iCs/>
                <w:szCs w:val="24"/>
              </w:rPr>
              <w:t>)</w:t>
            </w:r>
            <w:r>
              <w:rPr>
                <w:rFonts w:cs="Times New Roman"/>
                <w:iCs/>
                <w:szCs w:val="24"/>
              </w:rPr>
              <w:t xml:space="preserve"> </w:t>
            </w:r>
            <w:r w:rsidRPr="00694A78">
              <w:rPr>
                <w:rFonts w:cs="Times New Roman"/>
                <w:iCs/>
                <w:szCs w:val="24"/>
              </w:rPr>
              <w:t>=</w:t>
            </w:r>
            <w:r>
              <w:rPr>
                <w:rFonts w:cs="Times New Roman"/>
                <w:iCs/>
                <w:szCs w:val="24"/>
              </w:rPr>
              <w:t xml:space="preserve"> 5 456</w:t>
            </w:r>
            <w:r w:rsidRPr="00694A78">
              <w:rPr>
                <w:rFonts w:cs="Times New Roman"/>
                <w:iCs/>
                <w:szCs w:val="24"/>
              </w:rPr>
              <w:t xml:space="preserve">+ PVN 21 % = </w:t>
            </w:r>
            <w:r>
              <w:rPr>
                <w:rFonts w:cs="Times New Roman"/>
                <w:iCs/>
                <w:szCs w:val="24"/>
              </w:rPr>
              <w:t xml:space="preserve">6 602 </w:t>
            </w:r>
            <w:r w:rsidRPr="00694A78">
              <w:rPr>
                <w:rFonts w:cs="Times New Roman"/>
                <w:i/>
                <w:iCs/>
                <w:szCs w:val="24"/>
              </w:rPr>
              <w:t>euro</w:t>
            </w:r>
          </w:p>
          <w:p w14:paraId="406D499B" w14:textId="48A9DFF1" w:rsidR="00F9061C" w:rsidRPr="0022005E" w:rsidRDefault="00F9061C" w:rsidP="00C83122">
            <w:pPr>
              <w:ind w:firstLine="284"/>
              <w:rPr>
                <w:rFonts w:eastAsia="Times New Roman" w:cs="Times New Roman"/>
                <w:iCs/>
                <w:szCs w:val="24"/>
                <w:lang w:eastAsia="lv-LV"/>
              </w:rPr>
            </w:pPr>
          </w:p>
        </w:tc>
      </w:tr>
      <w:tr w:rsidR="00F9061C" w:rsidRPr="0022005E" w14:paraId="59CECC38"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FC7823C"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3DBFEE7" w14:textId="77777777" w:rsidR="00F9061C" w:rsidRPr="0022005E" w:rsidRDefault="00F9061C" w:rsidP="00CA0EA6">
            <w:pPr>
              <w:rPr>
                <w:rFonts w:eastAsia="Times New Roman" w:cs="Times New Roman"/>
                <w:iCs/>
                <w:szCs w:val="24"/>
                <w:lang w:eastAsia="lv-LV"/>
              </w:rPr>
            </w:pPr>
          </w:p>
        </w:tc>
      </w:tr>
      <w:tr w:rsidR="00F9061C" w:rsidRPr="0022005E" w14:paraId="16E4F7AD"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D7D5430"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C139917" w14:textId="77777777" w:rsidR="00F9061C" w:rsidRPr="0022005E" w:rsidRDefault="00F9061C" w:rsidP="00CA0EA6">
            <w:pPr>
              <w:rPr>
                <w:rFonts w:eastAsia="Times New Roman" w:cs="Times New Roman"/>
                <w:iCs/>
                <w:szCs w:val="24"/>
                <w:lang w:eastAsia="lv-LV"/>
              </w:rPr>
            </w:pPr>
          </w:p>
        </w:tc>
      </w:tr>
      <w:tr w:rsidR="00F9061C" w:rsidRPr="0022005E" w14:paraId="587F184C"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8FE661C"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02A03E35" w14:textId="77777777" w:rsidR="00F9061C" w:rsidRPr="0022005E" w:rsidRDefault="0076234F" w:rsidP="0076234F">
            <w:pPr>
              <w:ind w:firstLine="284"/>
              <w:rPr>
                <w:rFonts w:eastAsia="Times New Roman" w:cs="Times New Roman"/>
                <w:iCs/>
                <w:szCs w:val="24"/>
                <w:lang w:eastAsia="lv-LV"/>
              </w:rPr>
            </w:pPr>
            <w:r w:rsidRPr="00BF0197">
              <w:rPr>
                <w:rFonts w:eastAsia="Times New Roman" w:cs="Times New Roman"/>
                <w:bCs/>
                <w:szCs w:val="24"/>
                <w:lang w:eastAsia="lv-LV"/>
              </w:rPr>
              <w:t>Noteikumu projekts šo jomu neskar.</w:t>
            </w:r>
          </w:p>
        </w:tc>
      </w:tr>
      <w:tr w:rsidR="00F9061C" w:rsidRPr="0022005E" w14:paraId="27197607"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ED3F96D"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3E498FAB" w14:textId="7B8D30D2" w:rsidR="00DD699F" w:rsidRPr="0076234F" w:rsidRDefault="00C83122" w:rsidP="00DD699F">
            <w:pPr>
              <w:ind w:firstLine="284"/>
              <w:jc w:val="both"/>
            </w:pPr>
            <w:r w:rsidRPr="007851CB">
              <w:rPr>
                <w:rFonts w:eastAsia="Times New Roman" w:cs="Times New Roman"/>
                <w:szCs w:val="24"/>
                <w:lang w:eastAsia="lv-LV"/>
              </w:rPr>
              <w:t xml:space="preserve">Izmaiņu veikšanai VID informācijas sistēmās nepieciešamais finansējums </w:t>
            </w:r>
            <w:r>
              <w:rPr>
                <w:rFonts w:eastAsia="Times New Roman" w:cs="Times New Roman"/>
                <w:szCs w:val="24"/>
                <w:lang w:eastAsia="lv-LV"/>
              </w:rPr>
              <w:t>2020.gadam 8 540 </w:t>
            </w:r>
            <w:r w:rsidRPr="00B81870">
              <w:rPr>
                <w:rFonts w:eastAsia="Times New Roman" w:cs="Times New Roman"/>
                <w:i/>
                <w:szCs w:val="24"/>
                <w:lang w:eastAsia="lv-LV"/>
              </w:rPr>
              <w:t>euro</w:t>
            </w:r>
            <w:r>
              <w:rPr>
                <w:rFonts w:eastAsia="Times New Roman" w:cs="Times New Roman"/>
                <w:szCs w:val="24"/>
                <w:lang w:eastAsia="lv-LV"/>
              </w:rPr>
              <w:t xml:space="preserve"> apmērā </w:t>
            </w:r>
            <w:r w:rsidRPr="00C40788">
              <w:rPr>
                <w:rFonts w:eastAsia="Times New Roman" w:cs="Times New Roman"/>
                <w:szCs w:val="24"/>
                <w:lang w:eastAsia="lv-LV"/>
              </w:rPr>
              <w:t>tiks nodrošināts Finanšu ministrijas budžeta programmā 33.00.00 “Valsts ieņēmumu un muitas politikas nodrošināšana” piešķirtā finansējuma ietvaros</w:t>
            </w:r>
            <w:r w:rsidRPr="007851CB">
              <w:rPr>
                <w:rFonts w:eastAsia="Times New Roman" w:cs="Times New Roman"/>
                <w:szCs w:val="24"/>
                <w:lang w:eastAsia="lv-LV"/>
              </w:rPr>
              <w:t>.</w:t>
            </w:r>
            <w:r>
              <w:rPr>
                <w:rFonts w:eastAsia="Times New Roman" w:cs="Times New Roman"/>
                <w:szCs w:val="24"/>
                <w:lang w:eastAsia="lv-LV"/>
              </w:rPr>
              <w:t xml:space="preserve"> </w:t>
            </w:r>
            <w:r>
              <w:t xml:space="preserve">Izmaiņu veikšanai </w:t>
            </w:r>
            <w:r>
              <w:rPr>
                <w:rFonts w:eastAsia="Times New Roman" w:cs="Times New Roman"/>
                <w:szCs w:val="24"/>
                <w:lang w:eastAsia="lv-LV"/>
              </w:rPr>
              <w:t>ZTI</w:t>
            </w:r>
            <w:r w:rsidRPr="007851CB">
              <w:rPr>
                <w:rFonts w:eastAsia="Times New Roman" w:cs="Times New Roman"/>
                <w:szCs w:val="24"/>
                <w:lang w:eastAsia="lv-LV"/>
              </w:rPr>
              <w:t xml:space="preserve"> informācijas sistēmā </w:t>
            </w:r>
            <w:r>
              <w:t>nepieciešamais finansējums 2020.gadam 6 602 </w:t>
            </w:r>
            <w:r w:rsidRPr="00B81870">
              <w:rPr>
                <w:i/>
              </w:rPr>
              <w:t>euro</w:t>
            </w:r>
            <w:r>
              <w:t xml:space="preserve"> apmērā tiks nodrošināts Tieslietu ministrijas budžeta apakšprogrammā 03.01.00 "Tiesu administrēšana" piešķirtā finansējuma ietvaros.</w:t>
            </w:r>
          </w:p>
        </w:tc>
      </w:tr>
    </w:tbl>
    <w:p w14:paraId="16D1BB65" w14:textId="77777777" w:rsidR="00E5323B"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750114" w14:paraId="5CA074F0" w14:textId="77777777" w:rsidTr="00CF1B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EC4CC" w14:textId="77777777" w:rsidR="00CF1B95" w:rsidRPr="00750114" w:rsidRDefault="00CF1B95" w:rsidP="007C3930">
            <w:pPr>
              <w:rPr>
                <w:rFonts w:eastAsia="Times New Roman" w:cs="Times New Roman"/>
                <w:b/>
                <w:bCs/>
                <w:iCs/>
                <w:szCs w:val="24"/>
                <w:lang w:eastAsia="lv-LV"/>
              </w:rPr>
            </w:pPr>
            <w:r w:rsidRPr="00750114">
              <w:rPr>
                <w:rFonts w:eastAsia="Times New Roman" w:cs="Times New Roman"/>
                <w:b/>
                <w:bCs/>
                <w:iCs/>
                <w:szCs w:val="24"/>
                <w:lang w:eastAsia="lv-LV"/>
              </w:rPr>
              <w:t>IV. Tiesību akta projekta ietekme uz spēkā esošo tiesību normu sistēmu</w:t>
            </w:r>
          </w:p>
        </w:tc>
      </w:tr>
      <w:tr w:rsidR="00C85DCD" w:rsidRPr="00750114" w14:paraId="79741C6C" w14:textId="77777777" w:rsidTr="00C85DC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2B3092F" w14:textId="77777777" w:rsidR="00C85DCD" w:rsidRPr="00750114" w:rsidRDefault="00C85DCD" w:rsidP="00C85DCD">
            <w:pPr>
              <w:ind w:firstLine="284"/>
              <w:jc w:val="center"/>
              <w:rPr>
                <w:rFonts w:cs="Times New Roman"/>
                <w:bCs/>
                <w:szCs w:val="24"/>
              </w:rPr>
            </w:pPr>
            <w:r w:rsidRPr="00A4311F">
              <w:rPr>
                <w:rFonts w:eastAsia="Times New Roman" w:cs="Times New Roman"/>
                <w:bCs/>
                <w:szCs w:val="24"/>
                <w:lang w:eastAsia="lv-LV"/>
              </w:rPr>
              <w:t>Noteikumu projekts šo jomu neskar.</w:t>
            </w:r>
          </w:p>
        </w:tc>
      </w:tr>
    </w:tbl>
    <w:p w14:paraId="76735EF5"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750114" w14:paraId="286C387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EC36E"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 Tiesību akta projekta atbilstība Latvijas Republikas starptautiskajām saistībām</w:t>
            </w:r>
          </w:p>
        </w:tc>
      </w:tr>
      <w:tr w:rsidR="00CE33AC" w:rsidRPr="00750114" w14:paraId="10B299C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BFF1F8" w14:textId="77777777" w:rsidR="005E6263" w:rsidRPr="00750114" w:rsidRDefault="00C85DCD" w:rsidP="005E6263">
            <w:pPr>
              <w:jc w:val="center"/>
              <w:rPr>
                <w:rFonts w:eastAsia="Times New Roman" w:cs="Times New Roman"/>
                <w:b/>
                <w:bCs/>
                <w:iCs/>
                <w:szCs w:val="24"/>
                <w:lang w:eastAsia="lv-LV"/>
              </w:rPr>
            </w:pPr>
            <w:r w:rsidRPr="00A4311F">
              <w:rPr>
                <w:rFonts w:eastAsia="Times New Roman" w:cs="Times New Roman"/>
                <w:bCs/>
                <w:szCs w:val="24"/>
                <w:lang w:eastAsia="lv-LV"/>
              </w:rPr>
              <w:t>Noteikumu projekts šo jomu neskar.</w:t>
            </w:r>
          </w:p>
        </w:tc>
      </w:tr>
    </w:tbl>
    <w:p w14:paraId="2EC2233D"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
        <w:gridCol w:w="2751"/>
        <w:gridCol w:w="5928"/>
      </w:tblGrid>
      <w:tr w:rsidR="00CE33AC" w:rsidRPr="00750114" w14:paraId="590EC0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CE9A9F"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 Sabiedrības līdzdalība un komunikācijas aktivitātes</w:t>
            </w:r>
          </w:p>
        </w:tc>
      </w:tr>
      <w:tr w:rsidR="00CE33AC" w:rsidRPr="00750114" w14:paraId="2B0986F0"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F0105D"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5B07D3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hideMark/>
          </w:tcPr>
          <w:p w14:paraId="5EC0F1CF" w14:textId="77777777" w:rsidR="00E5323B" w:rsidRPr="00750114" w:rsidRDefault="00C85DCD" w:rsidP="00F51B82">
            <w:pPr>
              <w:ind w:firstLine="284"/>
              <w:jc w:val="both"/>
              <w:rPr>
                <w:rFonts w:cs="Times New Roman"/>
                <w:iCs/>
                <w:szCs w:val="24"/>
              </w:rPr>
            </w:pPr>
            <w:r>
              <w:rPr>
                <w:rFonts w:eastAsia="Times New Roman" w:cs="Times New Roman"/>
                <w:szCs w:val="24"/>
                <w:lang w:eastAsia="lv-LV"/>
              </w:rPr>
              <w:t>L</w:t>
            </w:r>
            <w:r w:rsidRPr="00FF0496">
              <w:rPr>
                <w:rFonts w:eastAsia="Times New Roman" w:cs="Times New Roman"/>
                <w:szCs w:val="24"/>
                <w:lang w:eastAsia="lv-LV"/>
              </w:rPr>
              <w:t xml:space="preserve">ai informētu sabiedrību par </w:t>
            </w:r>
            <w:r>
              <w:rPr>
                <w:rFonts w:eastAsia="Times New Roman" w:cs="Times New Roman"/>
                <w:szCs w:val="24"/>
                <w:lang w:eastAsia="lv-LV"/>
              </w:rPr>
              <w:t>n</w:t>
            </w:r>
            <w:r w:rsidRPr="00FF0496">
              <w:rPr>
                <w:rFonts w:eastAsia="Times New Roman" w:cs="Times New Roman"/>
                <w:szCs w:val="24"/>
                <w:lang w:eastAsia="lv-LV"/>
              </w:rPr>
              <w:t xml:space="preserve">oteikumu projektu un dotu iespēju izteikt viedokli, </w:t>
            </w:r>
            <w:r>
              <w:rPr>
                <w:rFonts w:eastAsia="Times New Roman" w:cs="Times New Roman"/>
                <w:szCs w:val="24"/>
                <w:lang w:eastAsia="lv-LV"/>
              </w:rPr>
              <w:t>n</w:t>
            </w:r>
            <w:r w:rsidRPr="00FF0496">
              <w:rPr>
                <w:rFonts w:eastAsia="Times New Roman" w:cs="Times New Roman"/>
                <w:szCs w:val="24"/>
                <w:lang w:eastAsia="lv-LV"/>
              </w:rPr>
              <w:t xml:space="preserve">oteikumu projekts </w:t>
            </w:r>
            <w:r>
              <w:rPr>
                <w:rFonts w:eastAsia="Times New Roman" w:cs="Times New Roman"/>
                <w:szCs w:val="24"/>
                <w:lang w:eastAsia="lv-LV"/>
              </w:rPr>
              <w:t>a</w:t>
            </w:r>
            <w:r w:rsidRPr="00FF0496">
              <w:rPr>
                <w:rFonts w:eastAsia="Times New Roman" w:cs="Times New Roman"/>
                <w:szCs w:val="24"/>
                <w:lang w:eastAsia="lv-LV"/>
              </w:rPr>
              <w:t>tbilstoši Ministru kabineta 2009. gada 2</w:t>
            </w:r>
            <w:r w:rsidR="00F51B82">
              <w:rPr>
                <w:rFonts w:eastAsia="Times New Roman" w:cs="Times New Roman"/>
                <w:szCs w:val="24"/>
                <w:lang w:eastAsia="lv-LV"/>
              </w:rPr>
              <w:t>5. augusta noteikumiem Nr. 970 “</w:t>
            </w:r>
            <w:r w:rsidRPr="00FF0496">
              <w:rPr>
                <w:rFonts w:eastAsia="Times New Roman" w:cs="Times New Roman"/>
                <w:szCs w:val="24"/>
                <w:lang w:eastAsia="lv-LV"/>
              </w:rPr>
              <w:t>Sabiedrības līdzdalības kārtība attīstības plānošanas procesā</w:t>
            </w:r>
            <w:r w:rsidR="00F51B82">
              <w:rPr>
                <w:rFonts w:eastAsia="Times New Roman" w:cs="Times New Roman"/>
                <w:szCs w:val="24"/>
                <w:lang w:eastAsia="lv-LV"/>
              </w:rPr>
              <w:t>”</w:t>
            </w:r>
            <w:r w:rsidRPr="00FF0496">
              <w:rPr>
                <w:rFonts w:eastAsia="Times New Roman" w:cs="Times New Roman"/>
                <w:szCs w:val="24"/>
                <w:lang w:eastAsia="lv-LV"/>
              </w:rPr>
              <w:t xml:space="preserve"> pirms tā </w:t>
            </w:r>
            <w:r>
              <w:rPr>
                <w:rFonts w:eastAsia="Times New Roman" w:cs="Times New Roman"/>
                <w:szCs w:val="24"/>
                <w:lang w:eastAsia="lv-LV"/>
              </w:rPr>
              <w:t>izsludināšanas</w:t>
            </w:r>
            <w:r w:rsidRPr="00FF0496">
              <w:rPr>
                <w:rFonts w:eastAsia="Times New Roman" w:cs="Times New Roman"/>
                <w:szCs w:val="24"/>
                <w:lang w:eastAsia="lv-LV"/>
              </w:rPr>
              <w:t xml:space="preserve"> Valsts sekretāru sanāksmē ievietots </w:t>
            </w:r>
            <w:r>
              <w:rPr>
                <w:rFonts w:eastAsia="Times New Roman" w:cs="Times New Roman"/>
                <w:szCs w:val="24"/>
                <w:lang w:eastAsia="lv-LV"/>
              </w:rPr>
              <w:t>Finanšu</w:t>
            </w:r>
            <w:r w:rsidRPr="00FF0496">
              <w:rPr>
                <w:rFonts w:eastAsia="Times New Roman" w:cs="Times New Roman"/>
                <w:szCs w:val="24"/>
                <w:lang w:eastAsia="lv-LV"/>
              </w:rPr>
              <w:t xml:space="preserve"> ministrijas</w:t>
            </w:r>
            <w:r>
              <w:rPr>
                <w:rFonts w:eastAsia="Times New Roman" w:cs="Times New Roman"/>
                <w:szCs w:val="24"/>
                <w:lang w:eastAsia="lv-LV"/>
              </w:rPr>
              <w:t xml:space="preserve"> tīmekļvietnē</w:t>
            </w:r>
            <w:r w:rsidRPr="00FF0496">
              <w:rPr>
                <w:rFonts w:eastAsia="Times New Roman" w:cs="Times New Roman"/>
                <w:szCs w:val="24"/>
                <w:lang w:eastAsia="lv-LV"/>
              </w:rPr>
              <w:t>.</w:t>
            </w:r>
          </w:p>
        </w:tc>
      </w:tr>
      <w:tr w:rsidR="00CE33AC" w:rsidRPr="00750114" w14:paraId="3AD22CAC"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8A7EE1"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0732417A"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hideMark/>
          </w:tcPr>
          <w:p w14:paraId="2E06A097" w14:textId="77777777" w:rsidR="00031C1D" w:rsidRDefault="00C85DCD" w:rsidP="00C85DCD">
            <w:pPr>
              <w:ind w:firstLine="284"/>
              <w:jc w:val="both"/>
              <w:rPr>
                <w:rFonts w:eastAsia="Times New Roman" w:cs="Times New Roman"/>
                <w:bCs/>
                <w:szCs w:val="24"/>
                <w:lang w:eastAsia="lv-LV"/>
              </w:rPr>
            </w:pPr>
            <w:r>
              <w:rPr>
                <w:rFonts w:eastAsia="Times New Roman" w:cs="Times New Roman"/>
                <w:bCs/>
                <w:szCs w:val="24"/>
                <w:lang w:eastAsia="lv-LV"/>
              </w:rPr>
              <w:t>Finanšu</w:t>
            </w:r>
            <w:r w:rsidRPr="009D0A7C">
              <w:rPr>
                <w:rFonts w:eastAsia="Times New Roman" w:cs="Times New Roman"/>
                <w:bCs/>
                <w:szCs w:val="24"/>
                <w:lang w:eastAsia="lv-LV"/>
              </w:rPr>
              <w:t xml:space="preserve"> ministrija 201</w:t>
            </w:r>
            <w:r>
              <w:rPr>
                <w:rFonts w:eastAsia="Times New Roman" w:cs="Times New Roman"/>
                <w:bCs/>
                <w:szCs w:val="24"/>
                <w:lang w:eastAsia="lv-LV"/>
              </w:rPr>
              <w:t>9</w:t>
            </w:r>
            <w:r w:rsidRPr="009D0A7C">
              <w:rPr>
                <w:rFonts w:eastAsia="Times New Roman" w:cs="Times New Roman"/>
                <w:bCs/>
                <w:szCs w:val="24"/>
                <w:lang w:eastAsia="lv-LV"/>
              </w:rPr>
              <w:t xml:space="preserve">. gada </w:t>
            </w:r>
            <w:r>
              <w:rPr>
                <w:rFonts w:eastAsia="Times New Roman" w:cs="Times New Roman"/>
                <w:bCs/>
                <w:szCs w:val="24"/>
                <w:lang w:eastAsia="lv-LV"/>
              </w:rPr>
              <w:t>17.jūnijā</w:t>
            </w:r>
            <w:r w:rsidRPr="009D0A7C">
              <w:rPr>
                <w:rFonts w:eastAsia="Times New Roman" w:cs="Times New Roman"/>
                <w:bCs/>
                <w:szCs w:val="24"/>
                <w:lang w:eastAsia="lv-LV"/>
              </w:rPr>
              <w:t xml:space="preserve"> </w:t>
            </w:r>
            <w:r>
              <w:rPr>
                <w:rFonts w:eastAsia="Times New Roman" w:cs="Times New Roman"/>
                <w:bCs/>
                <w:szCs w:val="24"/>
                <w:lang w:eastAsia="lv-LV"/>
              </w:rPr>
              <w:t>informāciju par n</w:t>
            </w:r>
            <w:r w:rsidRPr="009D0A7C">
              <w:rPr>
                <w:rFonts w:eastAsia="Times New Roman" w:cs="Times New Roman"/>
                <w:bCs/>
                <w:szCs w:val="24"/>
                <w:lang w:eastAsia="lv-LV"/>
              </w:rPr>
              <w:t xml:space="preserve">oteikumu projektu ievietoja savā </w:t>
            </w:r>
            <w:r>
              <w:rPr>
                <w:rFonts w:eastAsia="Times New Roman" w:cs="Times New Roman"/>
                <w:bCs/>
                <w:szCs w:val="24"/>
                <w:lang w:eastAsia="lv-LV"/>
              </w:rPr>
              <w:t>tīmekļvietnē</w:t>
            </w:r>
            <w:r w:rsidRPr="009D0A7C">
              <w:rPr>
                <w:rFonts w:eastAsia="Times New Roman" w:cs="Times New Roman"/>
                <w:bCs/>
                <w:szCs w:val="24"/>
                <w:lang w:eastAsia="lv-LV"/>
              </w:rPr>
              <w:t xml:space="preserve"> </w:t>
            </w:r>
            <w:r>
              <w:rPr>
                <w:rFonts w:eastAsia="Times New Roman" w:cs="Times New Roman"/>
                <w:bCs/>
                <w:szCs w:val="24"/>
                <w:lang w:eastAsia="lv-LV"/>
              </w:rPr>
              <w:t>sadaļas</w:t>
            </w:r>
            <w:r w:rsidR="00F51B82">
              <w:rPr>
                <w:rFonts w:eastAsia="Times New Roman" w:cs="Times New Roman"/>
                <w:bCs/>
                <w:szCs w:val="24"/>
                <w:lang w:eastAsia="lv-LV"/>
              </w:rPr>
              <w:t xml:space="preserve"> “Sabiedrības līdzdalība”</w:t>
            </w:r>
            <w:r w:rsidRPr="009D0A7C">
              <w:rPr>
                <w:rFonts w:eastAsia="Times New Roman" w:cs="Times New Roman"/>
                <w:bCs/>
                <w:szCs w:val="24"/>
                <w:lang w:eastAsia="lv-LV"/>
              </w:rPr>
              <w:t xml:space="preserve"> </w:t>
            </w:r>
            <w:proofErr w:type="spellStart"/>
            <w:r>
              <w:rPr>
                <w:rFonts w:eastAsia="Times New Roman" w:cs="Times New Roman"/>
                <w:bCs/>
                <w:szCs w:val="24"/>
                <w:lang w:eastAsia="lv-LV"/>
              </w:rPr>
              <w:t>apakšsadaļā</w:t>
            </w:r>
            <w:proofErr w:type="spellEnd"/>
            <w:r>
              <w:rPr>
                <w:rFonts w:eastAsia="Times New Roman" w:cs="Times New Roman"/>
                <w:bCs/>
                <w:szCs w:val="24"/>
                <w:lang w:eastAsia="lv-LV"/>
              </w:rPr>
              <w:t xml:space="preserve"> “Nodokļu politika” (</w:t>
            </w:r>
            <w:r w:rsidRPr="009D0A7C">
              <w:rPr>
                <w:rFonts w:eastAsia="Times New Roman" w:cs="Times New Roman"/>
                <w:bCs/>
                <w:szCs w:val="24"/>
                <w:lang w:eastAsia="lv-LV"/>
              </w:rPr>
              <w:t>pieejams:</w:t>
            </w:r>
            <w:r>
              <w:t xml:space="preserve"> </w:t>
            </w:r>
            <w:r w:rsidRPr="00C85DCD">
              <w:rPr>
                <w:rFonts w:eastAsia="Times New Roman" w:cs="Times New Roman"/>
                <w:bCs/>
                <w:szCs w:val="24"/>
                <w:lang w:eastAsia="lv-LV"/>
              </w:rPr>
              <w:t>https://www.fm.gov.lv/lv/sabiedribas_lidzdaliba</w:t>
            </w:r>
            <w:r>
              <w:rPr>
                <w:rFonts w:eastAsia="Times New Roman" w:cs="Times New Roman"/>
                <w:bCs/>
                <w:szCs w:val="24"/>
                <w:lang w:eastAsia="lv-LV"/>
              </w:rPr>
              <w:br/>
            </w:r>
            <w:r w:rsidRPr="002039E4">
              <w:rPr>
                <w:rFonts w:eastAsia="Times New Roman" w:cs="Times New Roman"/>
                <w:bCs/>
                <w:szCs w:val="24"/>
                <w:lang w:eastAsia="lv-LV"/>
              </w:rPr>
              <w:t>/</w:t>
            </w:r>
            <w:proofErr w:type="spellStart"/>
            <w:r w:rsidRPr="002039E4">
              <w:rPr>
                <w:rFonts w:eastAsia="Times New Roman" w:cs="Times New Roman"/>
                <w:bCs/>
                <w:szCs w:val="24"/>
                <w:lang w:eastAsia="lv-LV"/>
              </w:rPr>
              <w:t>tiesibu_aktu_projekti</w:t>
            </w:r>
            <w:proofErr w:type="spellEnd"/>
            <w:r w:rsidRPr="002039E4">
              <w:rPr>
                <w:rFonts w:eastAsia="Times New Roman" w:cs="Times New Roman"/>
                <w:bCs/>
                <w:szCs w:val="24"/>
                <w:lang w:eastAsia="lv-LV"/>
              </w:rPr>
              <w:t>/</w:t>
            </w:r>
            <w:proofErr w:type="spellStart"/>
            <w:r w:rsidRPr="002039E4">
              <w:rPr>
                <w:rFonts w:eastAsia="Times New Roman" w:cs="Times New Roman"/>
                <w:bCs/>
                <w:szCs w:val="24"/>
                <w:lang w:eastAsia="lv-LV"/>
              </w:rPr>
              <w:t>valsts_budzeta_politika</w:t>
            </w:r>
            <w:proofErr w:type="spellEnd"/>
            <w:r w:rsidRPr="002039E4">
              <w:rPr>
                <w:rFonts w:eastAsia="Times New Roman" w:cs="Times New Roman"/>
                <w:bCs/>
                <w:szCs w:val="24"/>
                <w:lang w:eastAsia="lv-LV"/>
              </w:rPr>
              <w:t>/#project575</w:t>
            </w:r>
            <w:r>
              <w:rPr>
                <w:rFonts w:eastAsia="Times New Roman" w:cs="Times New Roman"/>
                <w:bCs/>
                <w:szCs w:val="24"/>
                <w:lang w:eastAsia="lv-LV"/>
              </w:rPr>
              <w:t>),</w:t>
            </w:r>
            <w:r w:rsidRPr="009D0A7C">
              <w:rPr>
                <w:rFonts w:eastAsia="Times New Roman" w:cs="Times New Roman"/>
                <w:bCs/>
                <w:szCs w:val="24"/>
                <w:lang w:eastAsia="lv-LV"/>
              </w:rPr>
              <w:t xml:space="preserve"> tādējādi dodot iespēju sabiedrībai līdzdarboties tiesību akta izstrādes procesā.</w:t>
            </w:r>
            <w:r>
              <w:rPr>
                <w:rFonts w:eastAsia="Times New Roman" w:cs="Times New Roman"/>
                <w:bCs/>
                <w:szCs w:val="24"/>
                <w:lang w:eastAsia="lv-LV"/>
              </w:rPr>
              <w:t xml:space="preserve"> Sabiedrībai bija iespēja līdz 2019. gada 1.</w:t>
            </w:r>
            <w:r w:rsidR="00F51B82">
              <w:rPr>
                <w:rFonts w:eastAsia="Times New Roman" w:cs="Times New Roman"/>
                <w:bCs/>
                <w:szCs w:val="24"/>
                <w:lang w:eastAsia="lv-LV"/>
              </w:rPr>
              <w:t> </w:t>
            </w:r>
            <w:r>
              <w:rPr>
                <w:rFonts w:eastAsia="Times New Roman" w:cs="Times New Roman"/>
                <w:bCs/>
                <w:szCs w:val="24"/>
                <w:lang w:eastAsia="lv-LV"/>
              </w:rPr>
              <w:t>jūlijam</w:t>
            </w:r>
            <w:r w:rsidRPr="00B97B0C">
              <w:rPr>
                <w:rFonts w:eastAsia="Times New Roman" w:cs="Times New Roman"/>
                <w:bCs/>
                <w:szCs w:val="24"/>
                <w:lang w:eastAsia="lv-LV"/>
              </w:rPr>
              <w:t xml:space="preserve"> sniegt</w:t>
            </w:r>
            <w:r>
              <w:rPr>
                <w:rFonts w:eastAsia="Times New Roman" w:cs="Times New Roman"/>
                <w:bCs/>
                <w:szCs w:val="24"/>
                <w:lang w:eastAsia="lv-LV"/>
              </w:rPr>
              <w:t xml:space="preserve"> rakstisku viedokli Finanšu ministrijai par izstrādāto noteikumu projektu.</w:t>
            </w:r>
          </w:p>
          <w:p w14:paraId="4F4B8E55" w14:textId="77777777" w:rsidR="00C85DCD" w:rsidRDefault="00C85DCD" w:rsidP="00C85DCD">
            <w:pPr>
              <w:ind w:firstLine="284"/>
              <w:jc w:val="both"/>
              <w:rPr>
                <w:rFonts w:eastAsia="Times New Roman" w:cs="Times New Roman"/>
                <w:bCs/>
                <w:szCs w:val="24"/>
                <w:lang w:eastAsia="lv-LV"/>
              </w:rPr>
            </w:pPr>
            <w:r>
              <w:rPr>
                <w:rFonts w:eastAsia="Times New Roman" w:cs="Times New Roman"/>
                <w:bCs/>
                <w:szCs w:val="24"/>
                <w:lang w:eastAsia="lv-LV"/>
              </w:rPr>
              <w:lastRenderedPageBreak/>
              <w:t xml:space="preserve">Turklāt projekts ir publicēts Ministru kabineta tīmekļvietnē sadaļā “Valsts kanceleja” – “Sabiedrības līdzdalība” (adrese: </w:t>
            </w:r>
            <w:r w:rsidRPr="00C85DCD">
              <w:rPr>
                <w:rFonts w:eastAsia="Times New Roman" w:cs="Times New Roman"/>
                <w:bCs/>
                <w:szCs w:val="24"/>
                <w:lang w:eastAsia="lv-LV"/>
              </w:rPr>
              <w:t>https://mk.gov.lv/content/ministru-kabineta-diskusiju-dokumenti</w:t>
            </w:r>
            <w:r>
              <w:rPr>
                <w:rFonts w:eastAsia="Times New Roman" w:cs="Times New Roman"/>
                <w:bCs/>
                <w:szCs w:val="24"/>
                <w:lang w:eastAsia="lv-LV"/>
              </w:rPr>
              <w:t>).</w:t>
            </w:r>
          </w:p>
          <w:p w14:paraId="20A025AD" w14:textId="77777777" w:rsidR="00C85DCD" w:rsidRPr="00750114" w:rsidRDefault="00C85DCD" w:rsidP="00C85DCD">
            <w:pPr>
              <w:ind w:firstLine="284"/>
              <w:jc w:val="both"/>
              <w:rPr>
                <w:rFonts w:cs="Times New Roman"/>
                <w:iCs/>
                <w:spacing w:val="-2"/>
                <w:szCs w:val="24"/>
              </w:rPr>
            </w:pPr>
            <w:r w:rsidRPr="00895646">
              <w:rPr>
                <w:rFonts w:cs="Times New Roman"/>
                <w:szCs w:val="24"/>
              </w:rPr>
              <w:t xml:space="preserve">Projekta izstrādē notikušas konsultācijas ar </w:t>
            </w:r>
            <w:r>
              <w:rPr>
                <w:rFonts w:cs="Times New Roman"/>
                <w:szCs w:val="24"/>
              </w:rPr>
              <w:t>FNA</w:t>
            </w:r>
            <w:r w:rsidRPr="00895646">
              <w:rPr>
                <w:rFonts w:cs="Times New Roman"/>
                <w:szCs w:val="24"/>
              </w:rPr>
              <w:t xml:space="preserve"> un </w:t>
            </w:r>
            <w:r>
              <w:rPr>
                <w:rFonts w:cs="Times New Roman"/>
                <w:szCs w:val="24"/>
              </w:rPr>
              <w:t>ZTI</w:t>
            </w:r>
            <w:r w:rsidRPr="00895646">
              <w:rPr>
                <w:rFonts w:cs="Times New Roman"/>
                <w:szCs w:val="24"/>
              </w:rPr>
              <w:t xml:space="preserve"> padomi.</w:t>
            </w:r>
          </w:p>
        </w:tc>
      </w:tr>
      <w:tr w:rsidR="00CE33AC" w:rsidRPr="00750114" w14:paraId="39FFEA25"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089F9F"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61E06822"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hideMark/>
          </w:tcPr>
          <w:p w14:paraId="7907C43A" w14:textId="77777777" w:rsidR="00B85299" w:rsidRPr="00750114" w:rsidRDefault="00C85DCD">
            <w:pPr>
              <w:ind w:firstLine="284"/>
              <w:jc w:val="both"/>
              <w:rPr>
                <w:rFonts w:eastAsia="Times New Roman" w:cs="Times New Roman"/>
                <w:i/>
                <w:iCs/>
                <w:szCs w:val="24"/>
                <w:lang w:eastAsia="lv-LV"/>
              </w:rPr>
            </w:pPr>
            <w:r w:rsidRPr="00895646">
              <w:rPr>
                <w:rFonts w:eastAsia="Times New Roman" w:cs="Times New Roman"/>
                <w:szCs w:val="24"/>
                <w:lang w:eastAsia="lv-LV"/>
              </w:rPr>
              <w:t xml:space="preserve">Projekta izstrādē tika iesaistīta </w:t>
            </w:r>
            <w:r>
              <w:rPr>
                <w:rFonts w:eastAsia="Times New Roman" w:cs="Times New Roman"/>
                <w:szCs w:val="24"/>
                <w:lang w:eastAsia="lv-LV"/>
              </w:rPr>
              <w:t>FNA</w:t>
            </w:r>
            <w:r w:rsidRPr="00895646">
              <w:rPr>
                <w:rFonts w:eastAsia="Times New Roman" w:cs="Times New Roman"/>
                <w:szCs w:val="24"/>
                <w:lang w:eastAsia="lv-LV"/>
              </w:rPr>
              <w:t xml:space="preserve">, kura pauda konceptuālu saskaņojumu </w:t>
            </w:r>
            <w:proofErr w:type="spellStart"/>
            <w:r w:rsidRPr="00895646">
              <w:rPr>
                <w:rFonts w:eastAsia="Times New Roman" w:cs="Times New Roman"/>
                <w:szCs w:val="24"/>
                <w:lang w:eastAsia="lv-LV"/>
              </w:rPr>
              <w:t>digitalizācijas</w:t>
            </w:r>
            <w:proofErr w:type="spellEnd"/>
            <w:r w:rsidRPr="00895646">
              <w:rPr>
                <w:rFonts w:eastAsia="Times New Roman" w:cs="Times New Roman"/>
                <w:szCs w:val="24"/>
                <w:lang w:eastAsia="lv-LV"/>
              </w:rPr>
              <w:t xml:space="preserve"> procesa ieviešanai kredītiestāžu saziņā ar VID un ZTI piedziņas lietās, izmantojot DIT. </w:t>
            </w:r>
            <w:r>
              <w:rPr>
                <w:rFonts w:eastAsia="Times New Roman" w:cs="Times New Roman"/>
                <w:szCs w:val="24"/>
                <w:lang w:eastAsia="lv-LV"/>
              </w:rPr>
              <w:t>Turklāt FNA</w:t>
            </w:r>
            <w:r w:rsidRPr="00895646">
              <w:rPr>
                <w:rFonts w:eastAsia="Times New Roman" w:cs="Times New Roman"/>
                <w:szCs w:val="24"/>
                <w:lang w:eastAsia="lv-LV"/>
              </w:rPr>
              <w:t xml:space="preserve"> vērsa uzmanību uz nepieciešamību pēc iespējas vairāk mazināt slogu </w:t>
            </w:r>
            <w:r>
              <w:rPr>
                <w:rFonts w:eastAsia="Times New Roman" w:cs="Times New Roman"/>
                <w:szCs w:val="24"/>
                <w:lang w:eastAsia="lv-LV"/>
              </w:rPr>
              <w:t xml:space="preserve">attiecībā uz datu apstrādi </w:t>
            </w:r>
            <w:r w:rsidRPr="00895646">
              <w:rPr>
                <w:rFonts w:eastAsia="Times New Roman" w:cs="Times New Roman"/>
                <w:szCs w:val="24"/>
                <w:lang w:eastAsia="lv-LV"/>
              </w:rPr>
              <w:t>un vienādot procesus</w:t>
            </w:r>
            <w:r>
              <w:rPr>
                <w:rFonts w:eastAsia="Times New Roman" w:cs="Times New Roman"/>
                <w:szCs w:val="24"/>
                <w:lang w:eastAsia="lv-LV"/>
              </w:rPr>
              <w:t xml:space="preserve"> ne tikai attiecībā uz piedziņas procesu, bet arī citiem procesiem, kuros VID dod rīkojumus kredītiestādēm</w:t>
            </w:r>
            <w:r w:rsidRPr="00895646">
              <w:rPr>
                <w:rFonts w:eastAsia="Times New Roman" w:cs="Times New Roman"/>
                <w:szCs w:val="24"/>
                <w:lang w:eastAsia="lv-LV"/>
              </w:rPr>
              <w:t>.</w:t>
            </w:r>
          </w:p>
        </w:tc>
      </w:tr>
      <w:tr w:rsidR="00CE33AC" w:rsidRPr="00750114" w14:paraId="7A1455D4"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C657B2"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391F21B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7A5DC325" w14:textId="77777777" w:rsidR="00E5323B" w:rsidRPr="00750114" w:rsidRDefault="00C85DCD" w:rsidP="00907DFC">
            <w:pPr>
              <w:ind w:firstLine="284"/>
              <w:jc w:val="both"/>
              <w:rPr>
                <w:rFonts w:eastAsia="Times New Roman" w:cs="Times New Roman"/>
                <w:iCs/>
                <w:szCs w:val="24"/>
                <w:lang w:eastAsia="lv-LV"/>
              </w:rPr>
            </w:pPr>
            <w:r>
              <w:rPr>
                <w:rFonts w:eastAsia="Times New Roman" w:cs="Times New Roman"/>
                <w:szCs w:val="24"/>
                <w:lang w:eastAsia="lv-LV"/>
              </w:rPr>
              <w:t>Nav.</w:t>
            </w:r>
          </w:p>
        </w:tc>
      </w:tr>
    </w:tbl>
    <w:p w14:paraId="792D9BBA"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693"/>
        <w:gridCol w:w="5944"/>
      </w:tblGrid>
      <w:tr w:rsidR="00CE33AC" w:rsidRPr="00750114" w14:paraId="7BAC5E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1632"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VII. Tiesību akta projekta izpildes nodrošināšana un tās ietekme uz institūcijām</w:t>
            </w:r>
          </w:p>
        </w:tc>
      </w:tr>
      <w:tr w:rsidR="00CE33AC" w:rsidRPr="00750114" w14:paraId="6FA89C25"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EA2A812"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61167D00"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36C64743" w14:textId="77777777" w:rsidR="00E5323B" w:rsidRPr="00750114" w:rsidRDefault="00C85DCD" w:rsidP="00C85DCD">
            <w:pPr>
              <w:ind w:firstLine="284"/>
              <w:rPr>
                <w:rFonts w:eastAsia="Times New Roman" w:cs="Times New Roman"/>
                <w:iCs/>
                <w:szCs w:val="24"/>
                <w:lang w:eastAsia="lv-LV"/>
              </w:rPr>
            </w:pPr>
            <w:r w:rsidRPr="00895646">
              <w:rPr>
                <w:rFonts w:cs="Times New Roman"/>
                <w:szCs w:val="24"/>
              </w:rPr>
              <w:t>VID</w:t>
            </w:r>
            <w:r w:rsidRPr="00895646">
              <w:rPr>
                <w:rFonts w:cs="Times New Roman"/>
              </w:rPr>
              <w:t xml:space="preserve"> </w:t>
            </w:r>
            <w:r w:rsidRPr="00895646">
              <w:rPr>
                <w:rFonts w:cs="Times New Roman"/>
                <w:szCs w:val="24"/>
              </w:rPr>
              <w:t>un</w:t>
            </w:r>
            <w:r w:rsidRPr="00895646">
              <w:rPr>
                <w:rFonts w:cs="Times New Roman"/>
              </w:rPr>
              <w:t xml:space="preserve"> </w:t>
            </w:r>
            <w:r w:rsidRPr="00895646">
              <w:rPr>
                <w:rFonts w:cs="Times New Roman"/>
                <w:szCs w:val="24"/>
              </w:rPr>
              <w:t>Tiesu administrācija</w:t>
            </w:r>
            <w:r w:rsidRPr="008E0E71">
              <w:rPr>
                <w:rFonts w:cs="Times New Roman"/>
                <w:szCs w:val="24"/>
              </w:rPr>
              <w:t>.</w:t>
            </w:r>
          </w:p>
        </w:tc>
      </w:tr>
      <w:tr w:rsidR="00CE33AC" w:rsidRPr="00750114" w14:paraId="0C482BB7"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27B2A3C"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3A0FFDC3" w14:textId="77777777" w:rsidR="00D77D9F"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Projekta izpildes ietekme uz pārvaldes funkcijām un institucionālo struktūru.</w:t>
            </w:r>
          </w:p>
          <w:p w14:paraId="12870400" w14:textId="77777777" w:rsidR="00E5323B"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60B12587" w14:textId="77777777" w:rsidR="00C85DCD" w:rsidRPr="003A7A82" w:rsidRDefault="00C85DCD" w:rsidP="00C85DCD">
            <w:pPr>
              <w:ind w:firstLine="284"/>
              <w:jc w:val="both"/>
              <w:rPr>
                <w:rFonts w:cs="Times New Roman"/>
                <w:szCs w:val="24"/>
              </w:rPr>
            </w:pPr>
            <w:r>
              <w:rPr>
                <w:rFonts w:cs="Times New Roman"/>
                <w:szCs w:val="24"/>
              </w:rPr>
              <w:t xml:space="preserve">Noteikumu </w:t>
            </w:r>
            <w:r w:rsidRPr="003A7A82">
              <w:rPr>
                <w:rFonts w:cs="Times New Roman"/>
                <w:szCs w:val="24"/>
              </w:rPr>
              <w:t>projekts neparedz veidot jaunas institūcijas, reorganizēt vai likvidēt esošās institūcijas.</w:t>
            </w:r>
          </w:p>
          <w:p w14:paraId="06F9885C" w14:textId="77777777" w:rsidR="00C85DCD" w:rsidRPr="003A7A82" w:rsidRDefault="00C85DCD" w:rsidP="00C85DCD">
            <w:pPr>
              <w:ind w:firstLine="284"/>
              <w:jc w:val="both"/>
              <w:rPr>
                <w:rFonts w:cs="Times New Roman"/>
                <w:szCs w:val="24"/>
              </w:rPr>
            </w:pPr>
            <w:r w:rsidRPr="003A7A82">
              <w:rPr>
                <w:rFonts w:cs="Times New Roman"/>
                <w:szCs w:val="24"/>
              </w:rPr>
              <w:t>Tāpat esošajām institūcijām netiek ne paplašinātas, ne sašaurinātas funkcijas.</w:t>
            </w:r>
          </w:p>
          <w:p w14:paraId="2DF0DC82" w14:textId="77777777" w:rsidR="00E5323B" w:rsidRPr="00750114" w:rsidRDefault="00C85DCD" w:rsidP="00C85DCD">
            <w:pPr>
              <w:pStyle w:val="NoSpacing"/>
              <w:ind w:firstLine="284"/>
              <w:jc w:val="both"/>
              <w:rPr>
                <w:rFonts w:eastAsia="Times New Roman"/>
                <w:iCs/>
                <w:sz w:val="24"/>
                <w:szCs w:val="24"/>
                <w:lang w:eastAsia="lv-LV"/>
              </w:rPr>
            </w:pPr>
            <w:r w:rsidRPr="003A7A82">
              <w:rPr>
                <w:rFonts w:ascii="Times New Roman" w:hAnsi="Times New Roman" w:cs="Times New Roman"/>
                <w:sz w:val="24"/>
                <w:szCs w:val="24"/>
              </w:rPr>
              <w:t>Noteikumu projekta izpilde tiks nodrošināta esošo cilvēkresursu un finansējuma</w:t>
            </w:r>
            <w:r>
              <w:rPr>
                <w:rFonts w:ascii="Times New Roman" w:hAnsi="Times New Roman" w:cs="Times New Roman"/>
                <w:sz w:val="24"/>
                <w:szCs w:val="24"/>
              </w:rPr>
              <w:t xml:space="preserve"> ietvaros.</w:t>
            </w:r>
          </w:p>
        </w:tc>
      </w:tr>
      <w:tr w:rsidR="00CE33AC" w:rsidRPr="00750114" w14:paraId="1B0F807E"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7C1BFB5"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6EE44D61"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7797F25" w14:textId="77777777" w:rsidR="00E5323B" w:rsidRPr="00750114" w:rsidRDefault="00907DFC" w:rsidP="00166ACB">
            <w:pPr>
              <w:ind w:firstLine="284"/>
              <w:rPr>
                <w:rFonts w:eastAsia="Times New Roman" w:cs="Times New Roman"/>
                <w:iCs/>
                <w:szCs w:val="24"/>
                <w:lang w:eastAsia="lv-LV"/>
              </w:rPr>
            </w:pPr>
            <w:r w:rsidRPr="00750114">
              <w:rPr>
                <w:rFonts w:eastAsia="Times New Roman" w:cs="Times New Roman"/>
                <w:iCs/>
                <w:szCs w:val="24"/>
                <w:lang w:eastAsia="lv-LV"/>
              </w:rPr>
              <w:t>Nav</w:t>
            </w:r>
            <w:r w:rsidR="004A2B26" w:rsidRPr="00750114">
              <w:rPr>
                <w:rFonts w:eastAsia="Times New Roman" w:cs="Times New Roman"/>
                <w:iCs/>
                <w:szCs w:val="24"/>
                <w:lang w:eastAsia="lv-LV"/>
              </w:rPr>
              <w:t>.</w:t>
            </w:r>
          </w:p>
        </w:tc>
      </w:tr>
    </w:tbl>
    <w:p w14:paraId="3CC11147" w14:textId="77777777" w:rsidR="00C25B49" w:rsidRPr="00750114" w:rsidRDefault="00C25B49" w:rsidP="00907DFC">
      <w:pPr>
        <w:rPr>
          <w:rFonts w:cs="Times New Roman"/>
          <w:sz w:val="28"/>
          <w:szCs w:val="28"/>
        </w:rPr>
      </w:pPr>
    </w:p>
    <w:p w14:paraId="55C0B0C6" w14:textId="77777777" w:rsidR="00E5323B" w:rsidRPr="00750114" w:rsidRDefault="00E5323B" w:rsidP="00907DFC">
      <w:pPr>
        <w:rPr>
          <w:rFonts w:cs="Times New Roman"/>
          <w:sz w:val="28"/>
          <w:szCs w:val="28"/>
        </w:rPr>
      </w:pPr>
    </w:p>
    <w:p w14:paraId="5C4A8FEB" w14:textId="77777777" w:rsidR="00907DFC" w:rsidRPr="00750114" w:rsidRDefault="00292870" w:rsidP="00292870">
      <w:pPr>
        <w:tabs>
          <w:tab w:val="left" w:pos="0"/>
          <w:tab w:val="right" w:pos="9071"/>
        </w:tabs>
        <w:rPr>
          <w:rFonts w:eastAsia="Calibri" w:cs="Times New Roman"/>
          <w:sz w:val="28"/>
          <w:szCs w:val="28"/>
        </w:rPr>
      </w:pPr>
      <w:r w:rsidRPr="00581CC8">
        <w:rPr>
          <w:rFonts w:eastAsia="Times New Roman"/>
          <w:sz w:val="28"/>
          <w:szCs w:val="28"/>
          <w:lang w:eastAsia="lv-LV"/>
        </w:rPr>
        <w:t>Finanšu ministrs</w:t>
      </w:r>
      <w:r w:rsidRPr="00581CC8">
        <w:rPr>
          <w:rFonts w:eastAsia="Times New Roman"/>
          <w:sz w:val="28"/>
          <w:szCs w:val="28"/>
          <w:lang w:eastAsia="lv-LV"/>
        </w:rPr>
        <w:tab/>
        <w:t>J. Reirs</w:t>
      </w:r>
    </w:p>
    <w:p w14:paraId="33800B1B" w14:textId="77777777" w:rsidR="00907DFC" w:rsidRPr="00750114" w:rsidRDefault="00907DFC" w:rsidP="00907DFC">
      <w:pPr>
        <w:tabs>
          <w:tab w:val="left" w:pos="6237"/>
        </w:tabs>
        <w:rPr>
          <w:rFonts w:eastAsia="Calibri" w:cs="Times New Roman"/>
          <w:sz w:val="28"/>
          <w:szCs w:val="28"/>
        </w:rPr>
      </w:pPr>
    </w:p>
    <w:p w14:paraId="5236D164" w14:textId="77777777" w:rsidR="00883CDE" w:rsidRDefault="00883CDE" w:rsidP="00907DFC">
      <w:pPr>
        <w:tabs>
          <w:tab w:val="left" w:pos="6237"/>
        </w:tabs>
        <w:rPr>
          <w:rFonts w:eastAsia="Calibri" w:cs="Times New Roman"/>
          <w:szCs w:val="24"/>
        </w:rPr>
      </w:pPr>
    </w:p>
    <w:p w14:paraId="1C0BC737" w14:textId="77777777" w:rsidR="000D2F66" w:rsidRDefault="000D2F66" w:rsidP="00907DFC">
      <w:pPr>
        <w:tabs>
          <w:tab w:val="left" w:pos="6237"/>
        </w:tabs>
        <w:rPr>
          <w:rFonts w:eastAsia="Calibri" w:cs="Times New Roman"/>
          <w:szCs w:val="24"/>
        </w:rPr>
      </w:pPr>
    </w:p>
    <w:p w14:paraId="0AE65350" w14:textId="77777777" w:rsidR="000D2F66" w:rsidRDefault="000D2F66" w:rsidP="00907DFC">
      <w:pPr>
        <w:tabs>
          <w:tab w:val="left" w:pos="6237"/>
        </w:tabs>
        <w:rPr>
          <w:rFonts w:eastAsia="Calibri" w:cs="Times New Roman"/>
          <w:szCs w:val="24"/>
        </w:rPr>
      </w:pPr>
    </w:p>
    <w:p w14:paraId="4116DEBB" w14:textId="77777777" w:rsidR="000D2F66" w:rsidRPr="00750114" w:rsidRDefault="000D2F66" w:rsidP="00907DFC">
      <w:pPr>
        <w:tabs>
          <w:tab w:val="left" w:pos="6237"/>
        </w:tabs>
        <w:rPr>
          <w:rFonts w:eastAsia="Calibri" w:cs="Times New Roman"/>
          <w:szCs w:val="24"/>
        </w:rPr>
      </w:pPr>
    </w:p>
    <w:p w14:paraId="256B8E64" w14:textId="77777777" w:rsidR="00C85DCD" w:rsidRPr="004B024F" w:rsidRDefault="00C85DCD" w:rsidP="00C85DCD">
      <w:pPr>
        <w:rPr>
          <w:rFonts w:cs="Times New Roman"/>
          <w:sz w:val="20"/>
        </w:rPr>
      </w:pPr>
      <w:r>
        <w:rPr>
          <w:rFonts w:cs="Times New Roman"/>
          <w:sz w:val="20"/>
        </w:rPr>
        <w:t>Voiniča</w:t>
      </w:r>
      <w:r w:rsidRPr="004B024F">
        <w:rPr>
          <w:rFonts w:cs="Times New Roman"/>
          <w:sz w:val="20"/>
        </w:rPr>
        <w:t xml:space="preserve"> 670</w:t>
      </w:r>
      <w:r>
        <w:rPr>
          <w:rFonts w:cs="Times New Roman"/>
          <w:sz w:val="20"/>
        </w:rPr>
        <w:t>95567</w:t>
      </w:r>
    </w:p>
    <w:p w14:paraId="2A425FBB" w14:textId="77777777" w:rsidR="00894C55" w:rsidRPr="00C85DCD" w:rsidRDefault="00C85DCD" w:rsidP="00C85DCD">
      <w:pPr>
        <w:rPr>
          <w:rFonts w:cs="Times New Roman"/>
          <w:sz w:val="20"/>
        </w:rPr>
      </w:pPr>
      <w:r w:rsidRPr="00C85DCD">
        <w:rPr>
          <w:rFonts w:cs="Times New Roman"/>
          <w:sz w:val="20"/>
        </w:rPr>
        <w:t>Kristine.Voinica@fm.gov.lv</w:t>
      </w:r>
    </w:p>
    <w:sectPr w:rsidR="00894C55" w:rsidRPr="00C85DCD" w:rsidSect="001123A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C7EF" w14:textId="77777777" w:rsidR="00F228A1" w:rsidRDefault="00F228A1" w:rsidP="00894C55">
      <w:r>
        <w:separator/>
      </w:r>
    </w:p>
  </w:endnote>
  <w:endnote w:type="continuationSeparator" w:id="0">
    <w:p w14:paraId="5F000F29" w14:textId="77777777" w:rsidR="00F228A1" w:rsidRDefault="00F228A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21D0" w14:textId="77777777" w:rsidR="001F0599" w:rsidRDefault="001F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21D5" w14:textId="4E3DD90B" w:rsidR="00BB53C0" w:rsidRPr="00BC0F9D" w:rsidRDefault="00BB53C0"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8613B5">
      <w:rPr>
        <w:rFonts w:cs="Times New Roman"/>
        <w:noProof/>
        <w:sz w:val="20"/>
        <w:szCs w:val="20"/>
      </w:rPr>
      <w:t>FMAnot_</w:t>
    </w:r>
    <w:r w:rsidR="001F0599">
      <w:rPr>
        <w:rFonts w:cs="Times New Roman"/>
        <w:noProof/>
        <w:sz w:val="20"/>
        <w:szCs w:val="20"/>
      </w:rPr>
      <w:t>0511</w:t>
    </w:r>
    <w:r w:rsidR="008613B5">
      <w:rPr>
        <w:rFonts w:cs="Times New Roman"/>
        <w:noProof/>
        <w:sz w:val="20"/>
        <w:szCs w:val="20"/>
      </w:rPr>
      <w:t>19_piedz</w:t>
    </w:r>
    <w:r w:rsidRPr="00BC0F9D">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1373" w14:textId="28413280" w:rsidR="00BB53C0" w:rsidRPr="00BC0F9D" w:rsidRDefault="00BB53C0"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8613B5">
      <w:rPr>
        <w:rFonts w:cs="Times New Roman"/>
        <w:noProof/>
        <w:sz w:val="20"/>
        <w:szCs w:val="20"/>
      </w:rPr>
      <w:t>FMAnot_</w:t>
    </w:r>
    <w:r w:rsidR="001F0599">
      <w:rPr>
        <w:rFonts w:cs="Times New Roman"/>
        <w:noProof/>
        <w:sz w:val="20"/>
        <w:szCs w:val="20"/>
      </w:rPr>
      <w:t>0511</w:t>
    </w:r>
    <w:r w:rsidR="008613B5">
      <w:rPr>
        <w:rFonts w:cs="Times New Roman"/>
        <w:noProof/>
        <w:sz w:val="20"/>
        <w:szCs w:val="20"/>
      </w:rPr>
      <w:t>19_piedz</w:t>
    </w:r>
    <w:r w:rsidRPr="00BC0F9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8B7E" w14:textId="77777777" w:rsidR="00F228A1" w:rsidRDefault="00F228A1" w:rsidP="00894C55">
      <w:r>
        <w:separator/>
      </w:r>
    </w:p>
  </w:footnote>
  <w:footnote w:type="continuationSeparator" w:id="0">
    <w:p w14:paraId="2A71425C" w14:textId="77777777" w:rsidR="00F228A1" w:rsidRDefault="00F228A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3540" w14:textId="77777777" w:rsidR="001F0599" w:rsidRDefault="001F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5F80F460" w14:textId="783EFC3A" w:rsidR="00BB53C0" w:rsidRPr="00C25B49" w:rsidRDefault="00BB53C0">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6A7278">
          <w:rPr>
            <w:rFonts w:cs="Times New Roman"/>
            <w:noProof/>
            <w:szCs w:val="20"/>
          </w:rPr>
          <w:t>4</w:t>
        </w:r>
        <w:r w:rsidRPr="00C25B49">
          <w:rPr>
            <w:rFonts w:cs="Times New Roman"/>
            <w:noProof/>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BF07" w14:textId="77777777" w:rsidR="001F0599" w:rsidRDefault="001F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EE5"/>
    <w:multiLevelType w:val="hybridMultilevel"/>
    <w:tmpl w:val="5F48D638"/>
    <w:lvl w:ilvl="0" w:tplc="6D64029C">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7250B38"/>
    <w:multiLevelType w:val="hybridMultilevel"/>
    <w:tmpl w:val="9D88D870"/>
    <w:lvl w:ilvl="0" w:tplc="9770143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6440420A"/>
    <w:multiLevelType w:val="hybridMultilevel"/>
    <w:tmpl w:val="F6129CC8"/>
    <w:lvl w:ilvl="0" w:tplc="7D6E5B46">
      <w:start w:val="2"/>
      <w:numFmt w:val="bullet"/>
      <w:lvlText w:val="-"/>
      <w:lvlJc w:val="left"/>
      <w:pPr>
        <w:ind w:left="402" w:hanging="360"/>
      </w:pPr>
      <w:rPr>
        <w:rFonts w:ascii="Times New Roman" w:eastAsia="Times New Roman"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3" w15:restartNumberingAfterBreak="0">
    <w:nsid w:val="648D44D2"/>
    <w:multiLevelType w:val="hybridMultilevel"/>
    <w:tmpl w:val="24B2392E"/>
    <w:lvl w:ilvl="0" w:tplc="127EA92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C3155B8"/>
    <w:multiLevelType w:val="hybridMultilevel"/>
    <w:tmpl w:val="5810D8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ADC"/>
    <w:rsid w:val="00001A47"/>
    <w:rsid w:val="00002A4E"/>
    <w:rsid w:val="0000463E"/>
    <w:rsid w:val="00011D35"/>
    <w:rsid w:val="0001477F"/>
    <w:rsid w:val="00016BEA"/>
    <w:rsid w:val="0002294E"/>
    <w:rsid w:val="000252FD"/>
    <w:rsid w:val="00031C1D"/>
    <w:rsid w:val="00043979"/>
    <w:rsid w:val="0004675F"/>
    <w:rsid w:val="00047AD1"/>
    <w:rsid w:val="00047C24"/>
    <w:rsid w:val="00047FD4"/>
    <w:rsid w:val="0005169A"/>
    <w:rsid w:val="00051C8D"/>
    <w:rsid w:val="0005248A"/>
    <w:rsid w:val="00054F4D"/>
    <w:rsid w:val="00055F7D"/>
    <w:rsid w:val="0005622A"/>
    <w:rsid w:val="00056A6D"/>
    <w:rsid w:val="000624C4"/>
    <w:rsid w:val="00073512"/>
    <w:rsid w:val="0007535D"/>
    <w:rsid w:val="00076433"/>
    <w:rsid w:val="0007676B"/>
    <w:rsid w:val="00083A12"/>
    <w:rsid w:val="00085D6A"/>
    <w:rsid w:val="000866BE"/>
    <w:rsid w:val="00086DBA"/>
    <w:rsid w:val="00091F4B"/>
    <w:rsid w:val="000942C2"/>
    <w:rsid w:val="00094833"/>
    <w:rsid w:val="00096B16"/>
    <w:rsid w:val="000A1956"/>
    <w:rsid w:val="000A3BB0"/>
    <w:rsid w:val="000A52BD"/>
    <w:rsid w:val="000A666D"/>
    <w:rsid w:val="000B1D67"/>
    <w:rsid w:val="000B1E8D"/>
    <w:rsid w:val="000B2E31"/>
    <w:rsid w:val="000B4E35"/>
    <w:rsid w:val="000B6DF9"/>
    <w:rsid w:val="000B7F84"/>
    <w:rsid w:val="000C2321"/>
    <w:rsid w:val="000C45C6"/>
    <w:rsid w:val="000C5B4B"/>
    <w:rsid w:val="000C7233"/>
    <w:rsid w:val="000C7753"/>
    <w:rsid w:val="000C7E96"/>
    <w:rsid w:val="000D1D51"/>
    <w:rsid w:val="000D2F66"/>
    <w:rsid w:val="000D6548"/>
    <w:rsid w:val="000E5D1B"/>
    <w:rsid w:val="000F0147"/>
    <w:rsid w:val="000F0C20"/>
    <w:rsid w:val="000F0DBE"/>
    <w:rsid w:val="000F581F"/>
    <w:rsid w:val="001013F5"/>
    <w:rsid w:val="00104479"/>
    <w:rsid w:val="00105DBF"/>
    <w:rsid w:val="00105F33"/>
    <w:rsid w:val="00107690"/>
    <w:rsid w:val="001123A4"/>
    <w:rsid w:val="00113E92"/>
    <w:rsid w:val="00114CC1"/>
    <w:rsid w:val="001171E7"/>
    <w:rsid w:val="00124218"/>
    <w:rsid w:val="001259F9"/>
    <w:rsid w:val="00131EC3"/>
    <w:rsid w:val="00135D36"/>
    <w:rsid w:val="001427C2"/>
    <w:rsid w:val="00145BEF"/>
    <w:rsid w:val="00150911"/>
    <w:rsid w:val="0015306B"/>
    <w:rsid w:val="00153A37"/>
    <w:rsid w:val="0015481F"/>
    <w:rsid w:val="00154D5D"/>
    <w:rsid w:val="00155446"/>
    <w:rsid w:val="00156AB0"/>
    <w:rsid w:val="00157A55"/>
    <w:rsid w:val="00157AA0"/>
    <w:rsid w:val="0016307A"/>
    <w:rsid w:val="00163E86"/>
    <w:rsid w:val="00166ACB"/>
    <w:rsid w:val="001708F2"/>
    <w:rsid w:val="00171171"/>
    <w:rsid w:val="001776F3"/>
    <w:rsid w:val="00181DD1"/>
    <w:rsid w:val="001822A6"/>
    <w:rsid w:val="00182E4D"/>
    <w:rsid w:val="001842EC"/>
    <w:rsid w:val="00185F22"/>
    <w:rsid w:val="001867A2"/>
    <w:rsid w:val="001909A4"/>
    <w:rsid w:val="001929A0"/>
    <w:rsid w:val="00194D9E"/>
    <w:rsid w:val="00195664"/>
    <w:rsid w:val="001957FE"/>
    <w:rsid w:val="001A1F91"/>
    <w:rsid w:val="001A3353"/>
    <w:rsid w:val="001A611B"/>
    <w:rsid w:val="001B3032"/>
    <w:rsid w:val="001B7EFA"/>
    <w:rsid w:val="001C0B11"/>
    <w:rsid w:val="001D1EF2"/>
    <w:rsid w:val="001D474E"/>
    <w:rsid w:val="001D7845"/>
    <w:rsid w:val="001E00D8"/>
    <w:rsid w:val="001E092A"/>
    <w:rsid w:val="001E1A87"/>
    <w:rsid w:val="001E1B4D"/>
    <w:rsid w:val="001E293C"/>
    <w:rsid w:val="001E3EC4"/>
    <w:rsid w:val="001E3ECA"/>
    <w:rsid w:val="001E592D"/>
    <w:rsid w:val="001E7504"/>
    <w:rsid w:val="001E7565"/>
    <w:rsid w:val="001F0599"/>
    <w:rsid w:val="001F0BC5"/>
    <w:rsid w:val="001F29E2"/>
    <w:rsid w:val="001F3039"/>
    <w:rsid w:val="001F3B69"/>
    <w:rsid w:val="001F7321"/>
    <w:rsid w:val="00201B79"/>
    <w:rsid w:val="00205282"/>
    <w:rsid w:val="0020619B"/>
    <w:rsid w:val="00210074"/>
    <w:rsid w:val="00213588"/>
    <w:rsid w:val="00214A30"/>
    <w:rsid w:val="002166A1"/>
    <w:rsid w:val="00216C34"/>
    <w:rsid w:val="00221EC6"/>
    <w:rsid w:val="00222906"/>
    <w:rsid w:val="00224772"/>
    <w:rsid w:val="00225C95"/>
    <w:rsid w:val="00232EF7"/>
    <w:rsid w:val="00233630"/>
    <w:rsid w:val="002339B3"/>
    <w:rsid w:val="002423DA"/>
    <w:rsid w:val="00243426"/>
    <w:rsid w:val="00245C89"/>
    <w:rsid w:val="00252BD5"/>
    <w:rsid w:val="0025534F"/>
    <w:rsid w:val="00256518"/>
    <w:rsid w:val="002566A4"/>
    <w:rsid w:val="00256C2D"/>
    <w:rsid w:val="00256C64"/>
    <w:rsid w:val="0026270F"/>
    <w:rsid w:val="00266857"/>
    <w:rsid w:val="002703DE"/>
    <w:rsid w:val="00272306"/>
    <w:rsid w:val="00272987"/>
    <w:rsid w:val="0027510B"/>
    <w:rsid w:val="0027596E"/>
    <w:rsid w:val="002763AC"/>
    <w:rsid w:val="00277345"/>
    <w:rsid w:val="002836AC"/>
    <w:rsid w:val="00284AA2"/>
    <w:rsid w:val="00286551"/>
    <w:rsid w:val="00291866"/>
    <w:rsid w:val="00292578"/>
    <w:rsid w:val="00292870"/>
    <w:rsid w:val="002939FB"/>
    <w:rsid w:val="00294592"/>
    <w:rsid w:val="00295454"/>
    <w:rsid w:val="00295852"/>
    <w:rsid w:val="00297614"/>
    <w:rsid w:val="002A1B42"/>
    <w:rsid w:val="002A4497"/>
    <w:rsid w:val="002A4897"/>
    <w:rsid w:val="002A5095"/>
    <w:rsid w:val="002A5639"/>
    <w:rsid w:val="002A65A9"/>
    <w:rsid w:val="002A7284"/>
    <w:rsid w:val="002A733C"/>
    <w:rsid w:val="002A7BD9"/>
    <w:rsid w:val="002B0CCC"/>
    <w:rsid w:val="002B1D8B"/>
    <w:rsid w:val="002B316C"/>
    <w:rsid w:val="002B32FD"/>
    <w:rsid w:val="002B33D4"/>
    <w:rsid w:val="002B5CC0"/>
    <w:rsid w:val="002C3EE4"/>
    <w:rsid w:val="002D18B6"/>
    <w:rsid w:val="002D299B"/>
    <w:rsid w:val="002D3078"/>
    <w:rsid w:val="002D4F1B"/>
    <w:rsid w:val="002E1C05"/>
    <w:rsid w:val="002E6C35"/>
    <w:rsid w:val="002F2E82"/>
    <w:rsid w:val="002F5B69"/>
    <w:rsid w:val="0030116E"/>
    <w:rsid w:val="003014CA"/>
    <w:rsid w:val="003017CD"/>
    <w:rsid w:val="00301A4E"/>
    <w:rsid w:val="003027E3"/>
    <w:rsid w:val="00303C5A"/>
    <w:rsid w:val="00304F42"/>
    <w:rsid w:val="00305F8E"/>
    <w:rsid w:val="00306460"/>
    <w:rsid w:val="00306870"/>
    <w:rsid w:val="003069C2"/>
    <w:rsid w:val="00306D9E"/>
    <w:rsid w:val="0030784C"/>
    <w:rsid w:val="00310115"/>
    <w:rsid w:val="00311861"/>
    <w:rsid w:val="003130B8"/>
    <w:rsid w:val="003154FC"/>
    <w:rsid w:val="00320B8F"/>
    <w:rsid w:val="00321DBA"/>
    <w:rsid w:val="0032492E"/>
    <w:rsid w:val="00324BD7"/>
    <w:rsid w:val="00325567"/>
    <w:rsid w:val="00326DF1"/>
    <w:rsid w:val="00327C71"/>
    <w:rsid w:val="0033024E"/>
    <w:rsid w:val="00330FE2"/>
    <w:rsid w:val="00331938"/>
    <w:rsid w:val="00333362"/>
    <w:rsid w:val="003357D0"/>
    <w:rsid w:val="00337C3F"/>
    <w:rsid w:val="0034028A"/>
    <w:rsid w:val="00341A27"/>
    <w:rsid w:val="003426D9"/>
    <w:rsid w:val="003428B9"/>
    <w:rsid w:val="00343BDA"/>
    <w:rsid w:val="00345795"/>
    <w:rsid w:val="00346E0D"/>
    <w:rsid w:val="00347043"/>
    <w:rsid w:val="003478B9"/>
    <w:rsid w:val="003514F2"/>
    <w:rsid w:val="00355862"/>
    <w:rsid w:val="003578AE"/>
    <w:rsid w:val="00360AD3"/>
    <w:rsid w:val="00363928"/>
    <w:rsid w:val="00363D95"/>
    <w:rsid w:val="003641DE"/>
    <w:rsid w:val="00366A0F"/>
    <w:rsid w:val="00366EFC"/>
    <w:rsid w:val="00372C5D"/>
    <w:rsid w:val="0037302A"/>
    <w:rsid w:val="00373969"/>
    <w:rsid w:val="00380199"/>
    <w:rsid w:val="0038024C"/>
    <w:rsid w:val="003826E2"/>
    <w:rsid w:val="003A2783"/>
    <w:rsid w:val="003A4A9E"/>
    <w:rsid w:val="003A53BF"/>
    <w:rsid w:val="003B0B81"/>
    <w:rsid w:val="003B0BF9"/>
    <w:rsid w:val="003B15A1"/>
    <w:rsid w:val="003B1D30"/>
    <w:rsid w:val="003B2FB1"/>
    <w:rsid w:val="003B6267"/>
    <w:rsid w:val="003C11CA"/>
    <w:rsid w:val="003C137C"/>
    <w:rsid w:val="003C2041"/>
    <w:rsid w:val="003C366F"/>
    <w:rsid w:val="003C4176"/>
    <w:rsid w:val="003C4DCE"/>
    <w:rsid w:val="003C65CB"/>
    <w:rsid w:val="003C773F"/>
    <w:rsid w:val="003D1061"/>
    <w:rsid w:val="003D4BFF"/>
    <w:rsid w:val="003D6546"/>
    <w:rsid w:val="003E0791"/>
    <w:rsid w:val="003E15DE"/>
    <w:rsid w:val="003E4C9D"/>
    <w:rsid w:val="003E4D12"/>
    <w:rsid w:val="003F1DA8"/>
    <w:rsid w:val="003F225C"/>
    <w:rsid w:val="003F2860"/>
    <w:rsid w:val="003F28AC"/>
    <w:rsid w:val="003F3670"/>
    <w:rsid w:val="003F3B64"/>
    <w:rsid w:val="003F41AC"/>
    <w:rsid w:val="003F4FB2"/>
    <w:rsid w:val="003F67AF"/>
    <w:rsid w:val="00400A61"/>
    <w:rsid w:val="00404248"/>
    <w:rsid w:val="00407510"/>
    <w:rsid w:val="00414E01"/>
    <w:rsid w:val="00416B3D"/>
    <w:rsid w:val="00423BFA"/>
    <w:rsid w:val="004250F2"/>
    <w:rsid w:val="00425300"/>
    <w:rsid w:val="004302A0"/>
    <w:rsid w:val="00430D7C"/>
    <w:rsid w:val="0043295F"/>
    <w:rsid w:val="004343B6"/>
    <w:rsid w:val="00436572"/>
    <w:rsid w:val="00436E40"/>
    <w:rsid w:val="004414CB"/>
    <w:rsid w:val="00445268"/>
    <w:rsid w:val="004454FE"/>
    <w:rsid w:val="00445E18"/>
    <w:rsid w:val="0044634C"/>
    <w:rsid w:val="00452780"/>
    <w:rsid w:val="00452C05"/>
    <w:rsid w:val="00456E40"/>
    <w:rsid w:val="00457E08"/>
    <w:rsid w:val="00462697"/>
    <w:rsid w:val="00464846"/>
    <w:rsid w:val="00471F27"/>
    <w:rsid w:val="00472486"/>
    <w:rsid w:val="0047261E"/>
    <w:rsid w:val="004726BD"/>
    <w:rsid w:val="00476A96"/>
    <w:rsid w:val="0048077F"/>
    <w:rsid w:val="00480F44"/>
    <w:rsid w:val="004812AB"/>
    <w:rsid w:val="004819DA"/>
    <w:rsid w:val="004905CD"/>
    <w:rsid w:val="00491289"/>
    <w:rsid w:val="00493CD9"/>
    <w:rsid w:val="00497D6B"/>
    <w:rsid w:val="004A04B2"/>
    <w:rsid w:val="004A2B26"/>
    <w:rsid w:val="004A531A"/>
    <w:rsid w:val="004A6061"/>
    <w:rsid w:val="004A61D9"/>
    <w:rsid w:val="004A6BBB"/>
    <w:rsid w:val="004B2C4E"/>
    <w:rsid w:val="004B7F0D"/>
    <w:rsid w:val="004C43BE"/>
    <w:rsid w:val="004C5F45"/>
    <w:rsid w:val="004D0F1E"/>
    <w:rsid w:val="004D1D8B"/>
    <w:rsid w:val="004D223E"/>
    <w:rsid w:val="004D2BB2"/>
    <w:rsid w:val="004E1226"/>
    <w:rsid w:val="004F04CE"/>
    <w:rsid w:val="004F07F1"/>
    <w:rsid w:val="004F5315"/>
    <w:rsid w:val="004F5A2E"/>
    <w:rsid w:val="004F766A"/>
    <w:rsid w:val="0050178F"/>
    <w:rsid w:val="00501BA5"/>
    <w:rsid w:val="00513BF2"/>
    <w:rsid w:val="00513F85"/>
    <w:rsid w:val="00514DB2"/>
    <w:rsid w:val="00516A85"/>
    <w:rsid w:val="00517D9A"/>
    <w:rsid w:val="00525E13"/>
    <w:rsid w:val="005304E1"/>
    <w:rsid w:val="00530A55"/>
    <w:rsid w:val="00535DC7"/>
    <w:rsid w:val="00536CE4"/>
    <w:rsid w:val="00536CE7"/>
    <w:rsid w:val="005414A1"/>
    <w:rsid w:val="00542112"/>
    <w:rsid w:val="005510D3"/>
    <w:rsid w:val="00553EBA"/>
    <w:rsid w:val="00554D19"/>
    <w:rsid w:val="00565B96"/>
    <w:rsid w:val="005661CF"/>
    <w:rsid w:val="00566347"/>
    <w:rsid w:val="00570338"/>
    <w:rsid w:val="00572567"/>
    <w:rsid w:val="00582847"/>
    <w:rsid w:val="0058491D"/>
    <w:rsid w:val="00585A33"/>
    <w:rsid w:val="00586E41"/>
    <w:rsid w:val="00590EB7"/>
    <w:rsid w:val="005937D6"/>
    <w:rsid w:val="0059683E"/>
    <w:rsid w:val="005971F8"/>
    <w:rsid w:val="00597756"/>
    <w:rsid w:val="005A125F"/>
    <w:rsid w:val="005A360F"/>
    <w:rsid w:val="005A66FA"/>
    <w:rsid w:val="005B320D"/>
    <w:rsid w:val="005B6988"/>
    <w:rsid w:val="005C0A16"/>
    <w:rsid w:val="005C0CE1"/>
    <w:rsid w:val="005C182A"/>
    <w:rsid w:val="005C335B"/>
    <w:rsid w:val="005C49F6"/>
    <w:rsid w:val="005C7CA3"/>
    <w:rsid w:val="005D094B"/>
    <w:rsid w:val="005D2304"/>
    <w:rsid w:val="005D3DB3"/>
    <w:rsid w:val="005E095A"/>
    <w:rsid w:val="005E1369"/>
    <w:rsid w:val="005E5AB1"/>
    <w:rsid w:val="005E6263"/>
    <w:rsid w:val="005F4565"/>
    <w:rsid w:val="006016D4"/>
    <w:rsid w:val="00602B23"/>
    <w:rsid w:val="00602FB7"/>
    <w:rsid w:val="006038A2"/>
    <w:rsid w:val="00607DC3"/>
    <w:rsid w:val="00613B05"/>
    <w:rsid w:val="00614189"/>
    <w:rsid w:val="00614474"/>
    <w:rsid w:val="00617D79"/>
    <w:rsid w:val="0062092A"/>
    <w:rsid w:val="00620DB2"/>
    <w:rsid w:val="00626AC0"/>
    <w:rsid w:val="00634DB7"/>
    <w:rsid w:val="00635D9E"/>
    <w:rsid w:val="00637358"/>
    <w:rsid w:val="0064150A"/>
    <w:rsid w:val="00651515"/>
    <w:rsid w:val="00652A12"/>
    <w:rsid w:val="00653C89"/>
    <w:rsid w:val="00655F2C"/>
    <w:rsid w:val="006564DB"/>
    <w:rsid w:val="00657F80"/>
    <w:rsid w:val="0066440B"/>
    <w:rsid w:val="00666345"/>
    <w:rsid w:val="006664BF"/>
    <w:rsid w:val="00667F0D"/>
    <w:rsid w:val="00670F7D"/>
    <w:rsid w:val="00673813"/>
    <w:rsid w:val="006743E5"/>
    <w:rsid w:val="00677518"/>
    <w:rsid w:val="00677B7D"/>
    <w:rsid w:val="00682622"/>
    <w:rsid w:val="00682CF2"/>
    <w:rsid w:val="00687295"/>
    <w:rsid w:val="006927EA"/>
    <w:rsid w:val="00692BDF"/>
    <w:rsid w:val="006971F8"/>
    <w:rsid w:val="006A2348"/>
    <w:rsid w:val="006A25DE"/>
    <w:rsid w:val="006A2882"/>
    <w:rsid w:val="006A3545"/>
    <w:rsid w:val="006A356C"/>
    <w:rsid w:val="006A3851"/>
    <w:rsid w:val="006A41C2"/>
    <w:rsid w:val="006A7278"/>
    <w:rsid w:val="006B1FE5"/>
    <w:rsid w:val="006B3351"/>
    <w:rsid w:val="006B6224"/>
    <w:rsid w:val="006C14E0"/>
    <w:rsid w:val="006C52AE"/>
    <w:rsid w:val="006C637A"/>
    <w:rsid w:val="006D07D5"/>
    <w:rsid w:val="006D107D"/>
    <w:rsid w:val="006D2E08"/>
    <w:rsid w:val="006D71A4"/>
    <w:rsid w:val="006D7BDF"/>
    <w:rsid w:val="006E1081"/>
    <w:rsid w:val="006E2F02"/>
    <w:rsid w:val="006E51B7"/>
    <w:rsid w:val="006E7938"/>
    <w:rsid w:val="006F37EB"/>
    <w:rsid w:val="006F3CD9"/>
    <w:rsid w:val="006F5505"/>
    <w:rsid w:val="006F62D1"/>
    <w:rsid w:val="006F7AA0"/>
    <w:rsid w:val="00700B3A"/>
    <w:rsid w:val="00700E70"/>
    <w:rsid w:val="00702116"/>
    <w:rsid w:val="0070250D"/>
    <w:rsid w:val="007038EE"/>
    <w:rsid w:val="0070578A"/>
    <w:rsid w:val="0070680D"/>
    <w:rsid w:val="00706AF1"/>
    <w:rsid w:val="00706EE0"/>
    <w:rsid w:val="00716E70"/>
    <w:rsid w:val="00720585"/>
    <w:rsid w:val="00727B1F"/>
    <w:rsid w:val="00733C16"/>
    <w:rsid w:val="00735C3E"/>
    <w:rsid w:val="0073718D"/>
    <w:rsid w:val="00740C1F"/>
    <w:rsid w:val="00741285"/>
    <w:rsid w:val="0074183B"/>
    <w:rsid w:val="00742B50"/>
    <w:rsid w:val="00743444"/>
    <w:rsid w:val="00744625"/>
    <w:rsid w:val="007449AB"/>
    <w:rsid w:val="00744E8A"/>
    <w:rsid w:val="00750114"/>
    <w:rsid w:val="007503A6"/>
    <w:rsid w:val="00750604"/>
    <w:rsid w:val="00750BF4"/>
    <w:rsid w:val="007530D5"/>
    <w:rsid w:val="00753426"/>
    <w:rsid w:val="007540B6"/>
    <w:rsid w:val="0076132A"/>
    <w:rsid w:val="00761522"/>
    <w:rsid w:val="00761CD3"/>
    <w:rsid w:val="0076234F"/>
    <w:rsid w:val="00763BB2"/>
    <w:rsid w:val="0076444B"/>
    <w:rsid w:val="007647EB"/>
    <w:rsid w:val="0076544F"/>
    <w:rsid w:val="00766792"/>
    <w:rsid w:val="007702E6"/>
    <w:rsid w:val="00773AF6"/>
    <w:rsid w:val="00775B3B"/>
    <w:rsid w:val="0078682C"/>
    <w:rsid w:val="007932FE"/>
    <w:rsid w:val="00795F71"/>
    <w:rsid w:val="007A29EE"/>
    <w:rsid w:val="007B13CF"/>
    <w:rsid w:val="007B3C6A"/>
    <w:rsid w:val="007B6D83"/>
    <w:rsid w:val="007B7090"/>
    <w:rsid w:val="007C1934"/>
    <w:rsid w:val="007C38F2"/>
    <w:rsid w:val="007C3930"/>
    <w:rsid w:val="007C3DA2"/>
    <w:rsid w:val="007C60A9"/>
    <w:rsid w:val="007D01F5"/>
    <w:rsid w:val="007D03DF"/>
    <w:rsid w:val="007D5CB4"/>
    <w:rsid w:val="007D6538"/>
    <w:rsid w:val="007E0BF8"/>
    <w:rsid w:val="007E438D"/>
    <w:rsid w:val="007E45FA"/>
    <w:rsid w:val="007E5F7A"/>
    <w:rsid w:val="007E73AB"/>
    <w:rsid w:val="007F0300"/>
    <w:rsid w:val="007F0A67"/>
    <w:rsid w:val="007F374A"/>
    <w:rsid w:val="007F63BB"/>
    <w:rsid w:val="007F7E1F"/>
    <w:rsid w:val="00800148"/>
    <w:rsid w:val="00803462"/>
    <w:rsid w:val="00803A9A"/>
    <w:rsid w:val="00806E0B"/>
    <w:rsid w:val="008100AE"/>
    <w:rsid w:val="00812911"/>
    <w:rsid w:val="00813784"/>
    <w:rsid w:val="00814248"/>
    <w:rsid w:val="0081699E"/>
    <w:rsid w:val="00816C11"/>
    <w:rsid w:val="0082013E"/>
    <w:rsid w:val="00821E95"/>
    <w:rsid w:val="00823487"/>
    <w:rsid w:val="0082356D"/>
    <w:rsid w:val="00824344"/>
    <w:rsid w:val="00824D1B"/>
    <w:rsid w:val="008260DA"/>
    <w:rsid w:val="00830F0A"/>
    <w:rsid w:val="00833F6E"/>
    <w:rsid w:val="00834C06"/>
    <w:rsid w:val="008374C1"/>
    <w:rsid w:val="008403DD"/>
    <w:rsid w:val="00845533"/>
    <w:rsid w:val="00847E0F"/>
    <w:rsid w:val="0085234D"/>
    <w:rsid w:val="00853579"/>
    <w:rsid w:val="00860658"/>
    <w:rsid w:val="00860DEE"/>
    <w:rsid w:val="008613B5"/>
    <w:rsid w:val="00862B42"/>
    <w:rsid w:val="00862E36"/>
    <w:rsid w:val="008631A7"/>
    <w:rsid w:val="00863C06"/>
    <w:rsid w:val="00863DD2"/>
    <w:rsid w:val="00873345"/>
    <w:rsid w:val="00873644"/>
    <w:rsid w:val="00875204"/>
    <w:rsid w:val="008756C7"/>
    <w:rsid w:val="008802FC"/>
    <w:rsid w:val="008814CF"/>
    <w:rsid w:val="008815FD"/>
    <w:rsid w:val="00881986"/>
    <w:rsid w:val="00883CDE"/>
    <w:rsid w:val="00891AD8"/>
    <w:rsid w:val="0089225B"/>
    <w:rsid w:val="00892FDC"/>
    <w:rsid w:val="00893608"/>
    <w:rsid w:val="00894C55"/>
    <w:rsid w:val="00897AE9"/>
    <w:rsid w:val="008A04DB"/>
    <w:rsid w:val="008A0768"/>
    <w:rsid w:val="008A1122"/>
    <w:rsid w:val="008A1452"/>
    <w:rsid w:val="008A7DBC"/>
    <w:rsid w:val="008B411B"/>
    <w:rsid w:val="008C2512"/>
    <w:rsid w:val="008C50EC"/>
    <w:rsid w:val="008D1BA2"/>
    <w:rsid w:val="008D5F4D"/>
    <w:rsid w:val="008E5577"/>
    <w:rsid w:val="008F2D8A"/>
    <w:rsid w:val="008F337D"/>
    <w:rsid w:val="008F6724"/>
    <w:rsid w:val="009049DD"/>
    <w:rsid w:val="0090521B"/>
    <w:rsid w:val="009060D7"/>
    <w:rsid w:val="00907DFC"/>
    <w:rsid w:val="00910F7B"/>
    <w:rsid w:val="009169E0"/>
    <w:rsid w:val="0092294B"/>
    <w:rsid w:val="00924572"/>
    <w:rsid w:val="00925213"/>
    <w:rsid w:val="00925676"/>
    <w:rsid w:val="0093156D"/>
    <w:rsid w:val="009373C6"/>
    <w:rsid w:val="00937BEB"/>
    <w:rsid w:val="00942E58"/>
    <w:rsid w:val="0094373F"/>
    <w:rsid w:val="00944A2B"/>
    <w:rsid w:val="00951131"/>
    <w:rsid w:val="009514EB"/>
    <w:rsid w:val="00957BFD"/>
    <w:rsid w:val="00961765"/>
    <w:rsid w:val="00965F78"/>
    <w:rsid w:val="00972405"/>
    <w:rsid w:val="00974C2C"/>
    <w:rsid w:val="00980373"/>
    <w:rsid w:val="009812CB"/>
    <w:rsid w:val="00981670"/>
    <w:rsid w:val="0098384B"/>
    <w:rsid w:val="0098462E"/>
    <w:rsid w:val="00992AF9"/>
    <w:rsid w:val="00995685"/>
    <w:rsid w:val="00996150"/>
    <w:rsid w:val="00997D07"/>
    <w:rsid w:val="009A153C"/>
    <w:rsid w:val="009A2654"/>
    <w:rsid w:val="009A5927"/>
    <w:rsid w:val="009B6654"/>
    <w:rsid w:val="009C001B"/>
    <w:rsid w:val="009C1B4C"/>
    <w:rsid w:val="009C2928"/>
    <w:rsid w:val="009C3640"/>
    <w:rsid w:val="009C46A9"/>
    <w:rsid w:val="009C4A78"/>
    <w:rsid w:val="009C5AEE"/>
    <w:rsid w:val="009D3FB6"/>
    <w:rsid w:val="009E12EC"/>
    <w:rsid w:val="009E6D2C"/>
    <w:rsid w:val="009E788D"/>
    <w:rsid w:val="009E7BD0"/>
    <w:rsid w:val="009F1EAE"/>
    <w:rsid w:val="009F22A4"/>
    <w:rsid w:val="009F28F7"/>
    <w:rsid w:val="009F2B6D"/>
    <w:rsid w:val="009F5970"/>
    <w:rsid w:val="00A0351F"/>
    <w:rsid w:val="00A05FB9"/>
    <w:rsid w:val="00A07825"/>
    <w:rsid w:val="00A10D22"/>
    <w:rsid w:val="00A10FA1"/>
    <w:rsid w:val="00A10FC3"/>
    <w:rsid w:val="00A11CF1"/>
    <w:rsid w:val="00A11DF5"/>
    <w:rsid w:val="00A12755"/>
    <w:rsid w:val="00A140B7"/>
    <w:rsid w:val="00A14561"/>
    <w:rsid w:val="00A16298"/>
    <w:rsid w:val="00A17330"/>
    <w:rsid w:val="00A17A61"/>
    <w:rsid w:val="00A17B19"/>
    <w:rsid w:val="00A206EB"/>
    <w:rsid w:val="00A21E85"/>
    <w:rsid w:val="00A2329B"/>
    <w:rsid w:val="00A23BFC"/>
    <w:rsid w:val="00A23F2A"/>
    <w:rsid w:val="00A25FB4"/>
    <w:rsid w:val="00A2697D"/>
    <w:rsid w:val="00A3288B"/>
    <w:rsid w:val="00A331C2"/>
    <w:rsid w:val="00A374F9"/>
    <w:rsid w:val="00A376C2"/>
    <w:rsid w:val="00A416F2"/>
    <w:rsid w:val="00A4604B"/>
    <w:rsid w:val="00A46837"/>
    <w:rsid w:val="00A524A0"/>
    <w:rsid w:val="00A57674"/>
    <w:rsid w:val="00A6073E"/>
    <w:rsid w:val="00A63AAE"/>
    <w:rsid w:val="00A640D4"/>
    <w:rsid w:val="00A64175"/>
    <w:rsid w:val="00A66D9A"/>
    <w:rsid w:val="00A676F4"/>
    <w:rsid w:val="00A72A86"/>
    <w:rsid w:val="00A7436F"/>
    <w:rsid w:val="00A8152D"/>
    <w:rsid w:val="00A90C84"/>
    <w:rsid w:val="00A93374"/>
    <w:rsid w:val="00A96D51"/>
    <w:rsid w:val="00AA08A4"/>
    <w:rsid w:val="00AB5891"/>
    <w:rsid w:val="00AB7CDC"/>
    <w:rsid w:val="00AC0430"/>
    <w:rsid w:val="00AC2295"/>
    <w:rsid w:val="00AC2E1E"/>
    <w:rsid w:val="00AC4F4A"/>
    <w:rsid w:val="00AD001C"/>
    <w:rsid w:val="00AD1073"/>
    <w:rsid w:val="00AD1B71"/>
    <w:rsid w:val="00AD3E70"/>
    <w:rsid w:val="00AD5908"/>
    <w:rsid w:val="00AD74A2"/>
    <w:rsid w:val="00AE5567"/>
    <w:rsid w:val="00AF1239"/>
    <w:rsid w:val="00AF5C3E"/>
    <w:rsid w:val="00AF5C7A"/>
    <w:rsid w:val="00AF627D"/>
    <w:rsid w:val="00AF67B7"/>
    <w:rsid w:val="00AF6C36"/>
    <w:rsid w:val="00B03EC4"/>
    <w:rsid w:val="00B05359"/>
    <w:rsid w:val="00B06EAD"/>
    <w:rsid w:val="00B072E5"/>
    <w:rsid w:val="00B07D63"/>
    <w:rsid w:val="00B11D0E"/>
    <w:rsid w:val="00B127F3"/>
    <w:rsid w:val="00B14159"/>
    <w:rsid w:val="00B15C2D"/>
    <w:rsid w:val="00B16230"/>
    <w:rsid w:val="00B16480"/>
    <w:rsid w:val="00B2165C"/>
    <w:rsid w:val="00B23EAD"/>
    <w:rsid w:val="00B24146"/>
    <w:rsid w:val="00B27BE6"/>
    <w:rsid w:val="00B27E97"/>
    <w:rsid w:val="00B306E1"/>
    <w:rsid w:val="00B322A8"/>
    <w:rsid w:val="00B334A7"/>
    <w:rsid w:val="00B33F29"/>
    <w:rsid w:val="00B424DB"/>
    <w:rsid w:val="00B445F7"/>
    <w:rsid w:val="00B44B04"/>
    <w:rsid w:val="00B45638"/>
    <w:rsid w:val="00B45899"/>
    <w:rsid w:val="00B5161E"/>
    <w:rsid w:val="00B5672D"/>
    <w:rsid w:val="00B601A1"/>
    <w:rsid w:val="00B61EF1"/>
    <w:rsid w:val="00B62C23"/>
    <w:rsid w:val="00B63FC9"/>
    <w:rsid w:val="00B64001"/>
    <w:rsid w:val="00B66715"/>
    <w:rsid w:val="00B667B6"/>
    <w:rsid w:val="00B73215"/>
    <w:rsid w:val="00B747D5"/>
    <w:rsid w:val="00B756B0"/>
    <w:rsid w:val="00B75A66"/>
    <w:rsid w:val="00B76574"/>
    <w:rsid w:val="00B81CB8"/>
    <w:rsid w:val="00B820A9"/>
    <w:rsid w:val="00B82F63"/>
    <w:rsid w:val="00B83DF3"/>
    <w:rsid w:val="00B85299"/>
    <w:rsid w:val="00B87D5C"/>
    <w:rsid w:val="00B93D0B"/>
    <w:rsid w:val="00B93DA5"/>
    <w:rsid w:val="00B94265"/>
    <w:rsid w:val="00B95279"/>
    <w:rsid w:val="00B95941"/>
    <w:rsid w:val="00B96577"/>
    <w:rsid w:val="00B96CCA"/>
    <w:rsid w:val="00BA0A8D"/>
    <w:rsid w:val="00BA20AA"/>
    <w:rsid w:val="00BA3DBD"/>
    <w:rsid w:val="00BA6EA4"/>
    <w:rsid w:val="00BB1A50"/>
    <w:rsid w:val="00BB37F2"/>
    <w:rsid w:val="00BB4DC2"/>
    <w:rsid w:val="00BB53C0"/>
    <w:rsid w:val="00BB614C"/>
    <w:rsid w:val="00BC0F9D"/>
    <w:rsid w:val="00BC14FE"/>
    <w:rsid w:val="00BC1631"/>
    <w:rsid w:val="00BC29D9"/>
    <w:rsid w:val="00BC4366"/>
    <w:rsid w:val="00BD1307"/>
    <w:rsid w:val="00BD2382"/>
    <w:rsid w:val="00BD4425"/>
    <w:rsid w:val="00BD55F1"/>
    <w:rsid w:val="00BE280E"/>
    <w:rsid w:val="00BE2812"/>
    <w:rsid w:val="00BE2BBB"/>
    <w:rsid w:val="00BE51F4"/>
    <w:rsid w:val="00BE7F20"/>
    <w:rsid w:val="00BF10F9"/>
    <w:rsid w:val="00BF5FC4"/>
    <w:rsid w:val="00BF6447"/>
    <w:rsid w:val="00BF7734"/>
    <w:rsid w:val="00BF7D80"/>
    <w:rsid w:val="00C022B3"/>
    <w:rsid w:val="00C038BB"/>
    <w:rsid w:val="00C043CF"/>
    <w:rsid w:val="00C04B54"/>
    <w:rsid w:val="00C06CCF"/>
    <w:rsid w:val="00C14CF2"/>
    <w:rsid w:val="00C20017"/>
    <w:rsid w:val="00C2321D"/>
    <w:rsid w:val="00C23827"/>
    <w:rsid w:val="00C25B49"/>
    <w:rsid w:val="00C264D4"/>
    <w:rsid w:val="00C31349"/>
    <w:rsid w:val="00C313FD"/>
    <w:rsid w:val="00C37155"/>
    <w:rsid w:val="00C37DEB"/>
    <w:rsid w:val="00C4067F"/>
    <w:rsid w:val="00C4169C"/>
    <w:rsid w:val="00C4242F"/>
    <w:rsid w:val="00C436D2"/>
    <w:rsid w:val="00C536A9"/>
    <w:rsid w:val="00C5572A"/>
    <w:rsid w:val="00C573D1"/>
    <w:rsid w:val="00C605AE"/>
    <w:rsid w:val="00C61C0C"/>
    <w:rsid w:val="00C62A07"/>
    <w:rsid w:val="00C62A69"/>
    <w:rsid w:val="00C63D28"/>
    <w:rsid w:val="00C65E6B"/>
    <w:rsid w:val="00C67B38"/>
    <w:rsid w:val="00C73806"/>
    <w:rsid w:val="00C755AF"/>
    <w:rsid w:val="00C7668D"/>
    <w:rsid w:val="00C76EF2"/>
    <w:rsid w:val="00C80564"/>
    <w:rsid w:val="00C82D3D"/>
    <w:rsid w:val="00C83122"/>
    <w:rsid w:val="00C85A3F"/>
    <w:rsid w:val="00C85DCD"/>
    <w:rsid w:val="00C85F75"/>
    <w:rsid w:val="00C8656E"/>
    <w:rsid w:val="00C874EB"/>
    <w:rsid w:val="00C913B5"/>
    <w:rsid w:val="00C93CBC"/>
    <w:rsid w:val="00C94C24"/>
    <w:rsid w:val="00C94FDA"/>
    <w:rsid w:val="00CA25AF"/>
    <w:rsid w:val="00CA7014"/>
    <w:rsid w:val="00CB0CD1"/>
    <w:rsid w:val="00CB5597"/>
    <w:rsid w:val="00CB6EA9"/>
    <w:rsid w:val="00CB748C"/>
    <w:rsid w:val="00CB7F5A"/>
    <w:rsid w:val="00CC0D2D"/>
    <w:rsid w:val="00CC1354"/>
    <w:rsid w:val="00CC47D9"/>
    <w:rsid w:val="00CC6BBD"/>
    <w:rsid w:val="00CD1125"/>
    <w:rsid w:val="00CD1743"/>
    <w:rsid w:val="00CD677A"/>
    <w:rsid w:val="00CE04BF"/>
    <w:rsid w:val="00CE22B4"/>
    <w:rsid w:val="00CE29BC"/>
    <w:rsid w:val="00CE33AC"/>
    <w:rsid w:val="00CE46E9"/>
    <w:rsid w:val="00CE492D"/>
    <w:rsid w:val="00CE4935"/>
    <w:rsid w:val="00CE53BC"/>
    <w:rsid w:val="00CE5657"/>
    <w:rsid w:val="00CE68A0"/>
    <w:rsid w:val="00CF0D8E"/>
    <w:rsid w:val="00CF1B95"/>
    <w:rsid w:val="00CF31C2"/>
    <w:rsid w:val="00CF4519"/>
    <w:rsid w:val="00D01061"/>
    <w:rsid w:val="00D01C27"/>
    <w:rsid w:val="00D02B1F"/>
    <w:rsid w:val="00D0777C"/>
    <w:rsid w:val="00D11459"/>
    <w:rsid w:val="00D11AE0"/>
    <w:rsid w:val="00D133F8"/>
    <w:rsid w:val="00D14A3E"/>
    <w:rsid w:val="00D20502"/>
    <w:rsid w:val="00D23EE3"/>
    <w:rsid w:val="00D31735"/>
    <w:rsid w:val="00D34151"/>
    <w:rsid w:val="00D3699D"/>
    <w:rsid w:val="00D41500"/>
    <w:rsid w:val="00D45437"/>
    <w:rsid w:val="00D47FCD"/>
    <w:rsid w:val="00D501D4"/>
    <w:rsid w:val="00D50F5E"/>
    <w:rsid w:val="00D52268"/>
    <w:rsid w:val="00D52D1A"/>
    <w:rsid w:val="00D566F4"/>
    <w:rsid w:val="00D60A4D"/>
    <w:rsid w:val="00D60DB2"/>
    <w:rsid w:val="00D63AFF"/>
    <w:rsid w:val="00D66350"/>
    <w:rsid w:val="00D72220"/>
    <w:rsid w:val="00D72FD7"/>
    <w:rsid w:val="00D74B10"/>
    <w:rsid w:val="00D77D9F"/>
    <w:rsid w:val="00D80647"/>
    <w:rsid w:val="00D829A8"/>
    <w:rsid w:val="00D82BD9"/>
    <w:rsid w:val="00D82DBE"/>
    <w:rsid w:val="00D830A2"/>
    <w:rsid w:val="00D87732"/>
    <w:rsid w:val="00D90BA0"/>
    <w:rsid w:val="00D91923"/>
    <w:rsid w:val="00D927EA"/>
    <w:rsid w:val="00D96E80"/>
    <w:rsid w:val="00D97241"/>
    <w:rsid w:val="00DA4097"/>
    <w:rsid w:val="00DA65A6"/>
    <w:rsid w:val="00DB0B64"/>
    <w:rsid w:val="00DB2C0F"/>
    <w:rsid w:val="00DB3BEC"/>
    <w:rsid w:val="00DB5340"/>
    <w:rsid w:val="00DC17CA"/>
    <w:rsid w:val="00DC2EEE"/>
    <w:rsid w:val="00DC3DEE"/>
    <w:rsid w:val="00DC7117"/>
    <w:rsid w:val="00DD261E"/>
    <w:rsid w:val="00DD699F"/>
    <w:rsid w:val="00DD73B1"/>
    <w:rsid w:val="00DE0E76"/>
    <w:rsid w:val="00DE1416"/>
    <w:rsid w:val="00DE2C8E"/>
    <w:rsid w:val="00DE4F77"/>
    <w:rsid w:val="00DE5FF0"/>
    <w:rsid w:val="00DE65CA"/>
    <w:rsid w:val="00DE7CA8"/>
    <w:rsid w:val="00DF138A"/>
    <w:rsid w:val="00DF25E8"/>
    <w:rsid w:val="00DF3922"/>
    <w:rsid w:val="00DF3E15"/>
    <w:rsid w:val="00E001FE"/>
    <w:rsid w:val="00E02B0E"/>
    <w:rsid w:val="00E0402A"/>
    <w:rsid w:val="00E04210"/>
    <w:rsid w:val="00E04907"/>
    <w:rsid w:val="00E04E26"/>
    <w:rsid w:val="00E1046F"/>
    <w:rsid w:val="00E151F5"/>
    <w:rsid w:val="00E163E8"/>
    <w:rsid w:val="00E21CEF"/>
    <w:rsid w:val="00E24BD6"/>
    <w:rsid w:val="00E251BA"/>
    <w:rsid w:val="00E25E77"/>
    <w:rsid w:val="00E33366"/>
    <w:rsid w:val="00E33899"/>
    <w:rsid w:val="00E33D58"/>
    <w:rsid w:val="00E357BF"/>
    <w:rsid w:val="00E358BA"/>
    <w:rsid w:val="00E35F9B"/>
    <w:rsid w:val="00E363A8"/>
    <w:rsid w:val="00E36525"/>
    <w:rsid w:val="00E366A7"/>
    <w:rsid w:val="00E3716B"/>
    <w:rsid w:val="00E37208"/>
    <w:rsid w:val="00E37804"/>
    <w:rsid w:val="00E41FCE"/>
    <w:rsid w:val="00E43315"/>
    <w:rsid w:val="00E44A17"/>
    <w:rsid w:val="00E462BB"/>
    <w:rsid w:val="00E46DB4"/>
    <w:rsid w:val="00E513A2"/>
    <w:rsid w:val="00E5323B"/>
    <w:rsid w:val="00E54CEE"/>
    <w:rsid w:val="00E56F1B"/>
    <w:rsid w:val="00E6021B"/>
    <w:rsid w:val="00E61002"/>
    <w:rsid w:val="00E652A3"/>
    <w:rsid w:val="00E6706D"/>
    <w:rsid w:val="00E677A0"/>
    <w:rsid w:val="00E776F0"/>
    <w:rsid w:val="00E8142B"/>
    <w:rsid w:val="00E81C6B"/>
    <w:rsid w:val="00E8732A"/>
    <w:rsid w:val="00E8749E"/>
    <w:rsid w:val="00E87595"/>
    <w:rsid w:val="00E90C01"/>
    <w:rsid w:val="00E9150A"/>
    <w:rsid w:val="00E933C2"/>
    <w:rsid w:val="00E95F57"/>
    <w:rsid w:val="00E9794A"/>
    <w:rsid w:val="00EA096E"/>
    <w:rsid w:val="00EA1A9B"/>
    <w:rsid w:val="00EA1BDF"/>
    <w:rsid w:val="00EA1CC1"/>
    <w:rsid w:val="00EA486E"/>
    <w:rsid w:val="00EA6DCF"/>
    <w:rsid w:val="00EB02F9"/>
    <w:rsid w:val="00EB42A7"/>
    <w:rsid w:val="00EB6CB4"/>
    <w:rsid w:val="00EB7B54"/>
    <w:rsid w:val="00EC04FD"/>
    <w:rsid w:val="00EC0AA6"/>
    <w:rsid w:val="00EC2153"/>
    <w:rsid w:val="00EC45BD"/>
    <w:rsid w:val="00EC5A1F"/>
    <w:rsid w:val="00EC6F58"/>
    <w:rsid w:val="00EC7653"/>
    <w:rsid w:val="00ED323C"/>
    <w:rsid w:val="00ED36F5"/>
    <w:rsid w:val="00ED6A24"/>
    <w:rsid w:val="00ED7483"/>
    <w:rsid w:val="00EE3BF6"/>
    <w:rsid w:val="00EE705C"/>
    <w:rsid w:val="00EE7BBC"/>
    <w:rsid w:val="00EF0DF7"/>
    <w:rsid w:val="00EF6F55"/>
    <w:rsid w:val="00EF7155"/>
    <w:rsid w:val="00F01086"/>
    <w:rsid w:val="00F05343"/>
    <w:rsid w:val="00F218F5"/>
    <w:rsid w:val="00F22115"/>
    <w:rsid w:val="00F228A1"/>
    <w:rsid w:val="00F25593"/>
    <w:rsid w:val="00F25789"/>
    <w:rsid w:val="00F31DD1"/>
    <w:rsid w:val="00F332E6"/>
    <w:rsid w:val="00F35BF8"/>
    <w:rsid w:val="00F35C75"/>
    <w:rsid w:val="00F35CBA"/>
    <w:rsid w:val="00F40D47"/>
    <w:rsid w:val="00F40F26"/>
    <w:rsid w:val="00F410F3"/>
    <w:rsid w:val="00F500C1"/>
    <w:rsid w:val="00F50350"/>
    <w:rsid w:val="00F51258"/>
    <w:rsid w:val="00F51B82"/>
    <w:rsid w:val="00F525ED"/>
    <w:rsid w:val="00F57B0C"/>
    <w:rsid w:val="00F63079"/>
    <w:rsid w:val="00F63B67"/>
    <w:rsid w:val="00F67387"/>
    <w:rsid w:val="00F70103"/>
    <w:rsid w:val="00F7115F"/>
    <w:rsid w:val="00F73776"/>
    <w:rsid w:val="00F77363"/>
    <w:rsid w:val="00F809D9"/>
    <w:rsid w:val="00F8340F"/>
    <w:rsid w:val="00F9061C"/>
    <w:rsid w:val="00F9243C"/>
    <w:rsid w:val="00F9510E"/>
    <w:rsid w:val="00F97AC1"/>
    <w:rsid w:val="00FA494F"/>
    <w:rsid w:val="00FA7111"/>
    <w:rsid w:val="00FB1F04"/>
    <w:rsid w:val="00FB2001"/>
    <w:rsid w:val="00FB69C5"/>
    <w:rsid w:val="00FC2F48"/>
    <w:rsid w:val="00FC461B"/>
    <w:rsid w:val="00FC6E5D"/>
    <w:rsid w:val="00FD0DF7"/>
    <w:rsid w:val="00FE384B"/>
    <w:rsid w:val="00FE4A44"/>
    <w:rsid w:val="00FE4E31"/>
    <w:rsid w:val="00FE522D"/>
    <w:rsid w:val="00FF080C"/>
    <w:rsid w:val="00FF2BBD"/>
    <w:rsid w:val="00FF35F0"/>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7B060"/>
  <w15:docId w15:val="{1AF761F0-C6A6-453A-ADA8-5B1CDE5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styleId="NoSpacing">
    <w:name w:val="No Spacing"/>
    <w:uiPriority w:val="1"/>
    <w:qFormat/>
    <w:rsid w:val="00256C64"/>
    <w:pPr>
      <w:spacing w:after="0" w:line="240" w:lineRule="auto"/>
    </w:pPr>
  </w:style>
  <w:style w:type="paragraph" w:customStyle="1" w:styleId="Default">
    <w:name w:val="Default"/>
    <w:rsid w:val="00BA0A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061"/>
    <w:rPr>
      <w:sz w:val="16"/>
      <w:szCs w:val="16"/>
    </w:rPr>
  </w:style>
  <w:style w:type="paragraph" w:styleId="CommentText">
    <w:name w:val="annotation text"/>
    <w:basedOn w:val="Normal"/>
    <w:link w:val="CommentTextChar"/>
    <w:uiPriority w:val="99"/>
    <w:unhideWhenUsed/>
    <w:rsid w:val="00D01061"/>
    <w:rPr>
      <w:sz w:val="20"/>
      <w:szCs w:val="20"/>
    </w:rPr>
  </w:style>
  <w:style w:type="character" w:customStyle="1" w:styleId="CommentTextChar">
    <w:name w:val="Comment Text Char"/>
    <w:basedOn w:val="DefaultParagraphFont"/>
    <w:link w:val="CommentText"/>
    <w:uiPriority w:val="99"/>
    <w:rsid w:val="00D01061"/>
    <w:rPr>
      <w:sz w:val="20"/>
      <w:szCs w:val="20"/>
    </w:rPr>
  </w:style>
  <w:style w:type="paragraph" w:styleId="CommentSubject">
    <w:name w:val="annotation subject"/>
    <w:basedOn w:val="CommentText"/>
    <w:next w:val="CommentText"/>
    <w:link w:val="CommentSubjectChar"/>
    <w:uiPriority w:val="99"/>
    <w:semiHidden/>
    <w:unhideWhenUsed/>
    <w:rsid w:val="00D01061"/>
    <w:rPr>
      <w:b/>
      <w:bCs/>
    </w:rPr>
  </w:style>
  <w:style w:type="character" w:customStyle="1" w:styleId="CommentSubjectChar">
    <w:name w:val="Comment Subject Char"/>
    <w:basedOn w:val="CommentTextChar"/>
    <w:link w:val="CommentSubject"/>
    <w:uiPriority w:val="99"/>
    <w:semiHidden/>
    <w:rsid w:val="00D01061"/>
    <w:rPr>
      <w:b/>
      <w:bCs/>
      <w:sz w:val="20"/>
      <w:szCs w:val="20"/>
    </w:rPr>
  </w:style>
  <w:style w:type="paragraph" w:styleId="ListParagraph">
    <w:name w:val="List Paragraph"/>
    <w:aliases w:val="2,Akapit z listą BS,H&amp;P List Paragraph,Strip"/>
    <w:basedOn w:val="Normal"/>
    <w:link w:val="ListParagraphChar"/>
    <w:uiPriority w:val="34"/>
    <w:qFormat/>
    <w:rsid w:val="00D45437"/>
    <w:pPr>
      <w:ind w:left="720"/>
      <w:contextualSpacing/>
    </w:p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rsid w:val="00A66D9A"/>
    <w:pPr>
      <w:jc w:val="both"/>
    </w:pPr>
    <w:rPr>
      <w:rFonts w:eastAsia="Times New Roman" w:cs="Times New Roman"/>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A66D9A"/>
    <w:rPr>
      <w:rFonts w:ascii="Times New Roman" w:eastAsia="Times New Roman" w:hAnsi="Times New Roman" w:cs="Times New Roman"/>
      <w:sz w:val="20"/>
      <w:szCs w:val="20"/>
    </w:rPr>
  </w:style>
  <w:style w:type="character" w:styleId="FootnoteReference">
    <w:name w:val="footnote reference"/>
    <w:aliases w:val="Footnote Reference Number,Footnote symbol,SUPERS"/>
    <w:uiPriority w:val="99"/>
    <w:rsid w:val="00A66D9A"/>
    <w:rPr>
      <w:rFonts w:ascii="Times New Roman" w:hAnsi="Times New Roman"/>
      <w:vertAlign w:val="superscript"/>
    </w:rPr>
  </w:style>
  <w:style w:type="paragraph" w:styleId="BodyTextIndent">
    <w:name w:val="Body Text Indent"/>
    <w:basedOn w:val="Normal"/>
    <w:link w:val="BodyTextIndentChar"/>
    <w:uiPriority w:val="99"/>
    <w:unhideWhenUsed/>
    <w:rsid w:val="00E21CE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E21CEF"/>
    <w:rPr>
      <w:rFonts w:ascii="Times New Roman" w:eastAsia="Times New Roman" w:hAnsi="Times New Roman" w:cs="Times New Roman"/>
      <w:sz w:val="20"/>
      <w:szCs w:val="20"/>
    </w:rPr>
  </w:style>
  <w:style w:type="paragraph" w:styleId="Revision">
    <w:name w:val="Revision"/>
    <w:hidden/>
    <w:uiPriority w:val="99"/>
    <w:semiHidden/>
    <w:rsid w:val="000B2E31"/>
    <w:pPr>
      <w:spacing w:after="0" w:line="240" w:lineRule="auto"/>
    </w:pPr>
  </w:style>
  <w:style w:type="paragraph" w:styleId="NormalWeb">
    <w:name w:val="Normal (Web)"/>
    <w:basedOn w:val="Normal"/>
    <w:uiPriority w:val="99"/>
    <w:unhideWhenUsed/>
    <w:rsid w:val="00E9794A"/>
    <w:rPr>
      <w:rFonts w:cs="Times New Roman"/>
      <w:szCs w:val="24"/>
      <w:lang w:eastAsia="lv-LV"/>
    </w:rPr>
  </w:style>
  <w:style w:type="paragraph" w:styleId="BodyText">
    <w:name w:val="Body Text"/>
    <w:basedOn w:val="Normal"/>
    <w:link w:val="BodyTextChar"/>
    <w:uiPriority w:val="99"/>
    <w:semiHidden/>
    <w:unhideWhenUsed/>
    <w:rsid w:val="00833F6E"/>
    <w:pPr>
      <w:spacing w:after="120"/>
    </w:pPr>
    <w:rPr>
      <w:rFonts w:eastAsia="Times New Roman" w:cs="Times New Roman"/>
      <w:szCs w:val="24"/>
      <w:lang w:eastAsia="lv-LV"/>
    </w:rPr>
  </w:style>
  <w:style w:type="character" w:customStyle="1" w:styleId="BodyTextChar">
    <w:name w:val="Body Text Char"/>
    <w:basedOn w:val="DefaultParagraphFont"/>
    <w:link w:val="BodyText"/>
    <w:uiPriority w:val="99"/>
    <w:semiHidden/>
    <w:rsid w:val="00833F6E"/>
    <w:rPr>
      <w:rFonts w:ascii="Times New Roman" w:eastAsia="Times New Roman" w:hAnsi="Times New Roman" w:cs="Times New Roman"/>
      <w:sz w:val="24"/>
      <w:szCs w:val="24"/>
      <w:lang w:eastAsia="lv-LV"/>
    </w:rPr>
  </w:style>
  <w:style w:type="paragraph" w:customStyle="1" w:styleId="c01pointnumerotealtn">
    <w:name w:val="c01pointnumerotealtn"/>
    <w:basedOn w:val="Normal"/>
    <w:rsid w:val="00E001FE"/>
    <w:pPr>
      <w:spacing w:before="100" w:beforeAutospacing="1" w:after="240"/>
      <w:ind w:left="567" w:hanging="539"/>
      <w:jc w:val="both"/>
    </w:pPr>
    <w:rPr>
      <w:rFonts w:eastAsia="Times New Roman" w:cs="Times New Roman"/>
      <w:szCs w:val="24"/>
      <w:lang w:eastAsia="lv-LV"/>
    </w:rPr>
  </w:style>
  <w:style w:type="paragraph" w:styleId="EndnoteText">
    <w:name w:val="endnote text"/>
    <w:basedOn w:val="Normal"/>
    <w:link w:val="EndnoteTextChar"/>
    <w:uiPriority w:val="99"/>
    <w:semiHidden/>
    <w:unhideWhenUsed/>
    <w:rsid w:val="00F809D9"/>
    <w:rPr>
      <w:sz w:val="20"/>
      <w:szCs w:val="20"/>
    </w:rPr>
  </w:style>
  <w:style w:type="character" w:customStyle="1" w:styleId="EndnoteTextChar">
    <w:name w:val="Endnote Text Char"/>
    <w:basedOn w:val="DefaultParagraphFont"/>
    <w:link w:val="EndnoteText"/>
    <w:uiPriority w:val="99"/>
    <w:semiHidden/>
    <w:rsid w:val="00F809D9"/>
    <w:rPr>
      <w:rFonts w:ascii="Times New Roman" w:hAnsi="Times New Roman"/>
      <w:sz w:val="20"/>
      <w:szCs w:val="20"/>
    </w:rPr>
  </w:style>
  <w:style w:type="character" w:styleId="EndnoteReference">
    <w:name w:val="endnote reference"/>
    <w:basedOn w:val="DefaultParagraphFont"/>
    <w:uiPriority w:val="99"/>
    <w:semiHidden/>
    <w:unhideWhenUsed/>
    <w:rsid w:val="00F809D9"/>
    <w:rPr>
      <w:vertAlign w:val="superscript"/>
    </w:rPr>
  </w:style>
  <w:style w:type="character" w:customStyle="1" w:styleId="st">
    <w:name w:val="st"/>
    <w:rsid w:val="006664BF"/>
  </w:style>
  <w:style w:type="character" w:styleId="Emphasis">
    <w:name w:val="Emphasis"/>
    <w:basedOn w:val="DefaultParagraphFont"/>
    <w:uiPriority w:val="20"/>
    <w:qFormat/>
    <w:rsid w:val="006664BF"/>
    <w:rPr>
      <w:i/>
      <w:iCs/>
    </w:rPr>
  </w:style>
  <w:style w:type="paragraph" w:customStyle="1" w:styleId="naiskr">
    <w:name w:val="naiskr"/>
    <w:basedOn w:val="Normal"/>
    <w:rsid w:val="00614474"/>
    <w:pPr>
      <w:spacing w:before="75" w:after="75"/>
    </w:pPr>
    <w:rPr>
      <w:rFonts w:eastAsia="Times New Roman" w:cs="Times New Roman"/>
      <w:szCs w:val="24"/>
      <w:lang w:eastAsia="lv-LV"/>
    </w:rPr>
  </w:style>
  <w:style w:type="character" w:customStyle="1" w:styleId="ListParagraphChar">
    <w:name w:val="List Paragraph Char"/>
    <w:aliases w:val="2 Char,Akapit z listą BS Char,H&amp;P List Paragraph Char,Strip Char"/>
    <w:link w:val="ListParagraph"/>
    <w:uiPriority w:val="34"/>
    <w:locked/>
    <w:rsid w:val="006144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4924759">
      <w:bodyDiv w:val="1"/>
      <w:marLeft w:val="0"/>
      <w:marRight w:val="0"/>
      <w:marTop w:val="0"/>
      <w:marBottom w:val="0"/>
      <w:divBdr>
        <w:top w:val="none" w:sz="0" w:space="0" w:color="auto"/>
        <w:left w:val="none" w:sz="0" w:space="0" w:color="auto"/>
        <w:bottom w:val="none" w:sz="0" w:space="0" w:color="auto"/>
        <w:right w:val="none" w:sz="0" w:space="0" w:color="auto"/>
      </w:divBdr>
    </w:div>
    <w:div w:id="433549844">
      <w:bodyDiv w:val="1"/>
      <w:marLeft w:val="0"/>
      <w:marRight w:val="0"/>
      <w:marTop w:val="0"/>
      <w:marBottom w:val="0"/>
      <w:divBdr>
        <w:top w:val="none" w:sz="0" w:space="0" w:color="auto"/>
        <w:left w:val="none" w:sz="0" w:space="0" w:color="auto"/>
        <w:bottom w:val="none" w:sz="0" w:space="0" w:color="auto"/>
        <w:right w:val="none" w:sz="0" w:space="0" w:color="auto"/>
      </w:divBdr>
    </w:div>
    <w:div w:id="680814054">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844395394">
      <w:bodyDiv w:val="1"/>
      <w:marLeft w:val="0"/>
      <w:marRight w:val="0"/>
      <w:marTop w:val="0"/>
      <w:marBottom w:val="0"/>
      <w:divBdr>
        <w:top w:val="none" w:sz="0" w:space="0" w:color="auto"/>
        <w:left w:val="none" w:sz="0" w:space="0" w:color="auto"/>
        <w:bottom w:val="none" w:sz="0" w:space="0" w:color="auto"/>
        <w:right w:val="none" w:sz="0" w:space="0" w:color="auto"/>
      </w:divBdr>
    </w:div>
    <w:div w:id="851066111">
      <w:bodyDiv w:val="1"/>
      <w:marLeft w:val="0"/>
      <w:marRight w:val="0"/>
      <w:marTop w:val="0"/>
      <w:marBottom w:val="0"/>
      <w:divBdr>
        <w:top w:val="none" w:sz="0" w:space="0" w:color="auto"/>
        <w:left w:val="none" w:sz="0" w:space="0" w:color="auto"/>
        <w:bottom w:val="none" w:sz="0" w:space="0" w:color="auto"/>
        <w:right w:val="none" w:sz="0" w:space="0" w:color="auto"/>
      </w:divBdr>
    </w:div>
    <w:div w:id="138664104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091711">
      <w:bodyDiv w:val="1"/>
      <w:marLeft w:val="0"/>
      <w:marRight w:val="0"/>
      <w:marTop w:val="0"/>
      <w:marBottom w:val="0"/>
      <w:divBdr>
        <w:top w:val="none" w:sz="0" w:space="0" w:color="auto"/>
        <w:left w:val="none" w:sz="0" w:space="0" w:color="auto"/>
        <w:bottom w:val="none" w:sz="0" w:space="0" w:color="auto"/>
        <w:right w:val="none" w:sz="0" w:space="0" w:color="auto"/>
      </w:divBdr>
    </w:div>
    <w:div w:id="1851947217">
      <w:bodyDiv w:val="1"/>
      <w:marLeft w:val="0"/>
      <w:marRight w:val="0"/>
      <w:marTop w:val="0"/>
      <w:marBottom w:val="0"/>
      <w:divBdr>
        <w:top w:val="none" w:sz="0" w:space="0" w:color="auto"/>
        <w:left w:val="none" w:sz="0" w:space="0" w:color="auto"/>
        <w:bottom w:val="none" w:sz="0" w:space="0" w:color="auto"/>
        <w:right w:val="none" w:sz="0" w:space="0" w:color="auto"/>
      </w:divBdr>
    </w:div>
    <w:div w:id="211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91</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E9CB4EA5-5F1F-4C5A-9F29-F1175C524D37}">
  <ds:schemaRefs>
    <ds:schemaRef ds:uri="http://schemas.microsoft.com/sharepoint/v3/contenttype/forms"/>
  </ds:schemaRefs>
</ds:datastoreItem>
</file>

<file path=customXml/itemProps2.xml><?xml version="1.0" encoding="utf-8"?>
<ds:datastoreItem xmlns:ds="http://schemas.openxmlformats.org/officeDocument/2006/customXml" ds:itemID="{06356CD9-5F63-4E2E-8E07-DD66CFE39EA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747164C1-4D2D-42A6-A6DA-35672DC3F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B6324-C5B5-41CB-A0A5-679E6ECC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10813</Words>
  <Characters>6164</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Ministru kabineta 2017.gada 21.marta noteikumos Nr. 167 “Kārtība, kādā veic datu apmaiņu attiecībā uz elektroniski nosūtāmiem rīkojumiem un paziņojumiem par to izpildi”” sākotnējās ietekmes novērtējuma ziņojums (anotācija)</vt:lpstr>
      <vt:lpstr>likumprojekta "Grozījumi likumā "Par nodokļiem un nodevām"" sākotnējās ietekmes novērtējuma ziņojums (anotācija)</vt:lpstr>
    </vt:vector>
  </TitlesOfParts>
  <Company>Finanšu ministrija</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21.marta noteikumos Nr. 167 “Kārtība, kādā veic datu apmaiņu attiecībā uz elektroniski nosūtāmiem rīkojumiem un paziņojumiem par to izpildi”” sākotnējās ietekmes novērtējuma ziņojums (anotācija)</dc:title>
  <dc:subject>Anotācija</dc:subject>
  <dc:creator>K. Voiniča (NASIPD)</dc:creator>
  <dc:description>67095567, kristine.voinica@fm.gov.lv</dc:description>
  <cp:lastModifiedBy>Finanšu ministrija</cp:lastModifiedBy>
  <cp:revision>10</cp:revision>
  <cp:lastPrinted>2019-08-01T09:07:00Z</cp:lastPrinted>
  <dcterms:created xsi:type="dcterms:W3CDTF">2019-10-24T08:07:00Z</dcterms:created>
  <dcterms:modified xsi:type="dcterms:W3CDTF">2019-11-27T10:08:00Z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