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EF8F" w14:textId="03D9CC95" w:rsidR="00BE37D4" w:rsidRDefault="00BE37D4" w:rsidP="00F02C0A">
      <w:pPr>
        <w:contextualSpacing/>
        <w:jc w:val="center"/>
        <w:rPr>
          <w:rStyle w:val="Strong"/>
        </w:rPr>
      </w:pPr>
      <w:bookmarkStart w:id="0" w:name="_GoBack"/>
      <w:bookmarkEnd w:id="0"/>
      <w:r w:rsidRPr="000B47CA">
        <w:rPr>
          <w:rStyle w:val="Strong"/>
        </w:rPr>
        <w:t>“</w:t>
      </w:r>
      <w:r w:rsidR="000B47CA" w:rsidRPr="000B47CA">
        <w:rPr>
          <w:rStyle w:val="Strong"/>
        </w:rPr>
        <w:t>Grozījum</w:t>
      </w:r>
      <w:r w:rsidR="00267773">
        <w:rPr>
          <w:rStyle w:val="Strong"/>
        </w:rPr>
        <w:t>i</w:t>
      </w:r>
      <w:r w:rsidR="000B47CA" w:rsidRPr="000B47CA">
        <w:rPr>
          <w:rStyle w:val="Strong"/>
        </w:rPr>
        <w:t xml:space="preserve"> Ministru kabineta 201</w:t>
      </w:r>
      <w:r w:rsidR="00A7356D">
        <w:rPr>
          <w:rStyle w:val="Strong"/>
        </w:rPr>
        <w:t>4</w:t>
      </w:r>
      <w:r w:rsidR="000B47CA" w:rsidRPr="000B47CA">
        <w:rPr>
          <w:rStyle w:val="Strong"/>
        </w:rPr>
        <w:t xml:space="preserve">. gada </w:t>
      </w:r>
      <w:r w:rsidR="00A7356D">
        <w:rPr>
          <w:rStyle w:val="Strong"/>
        </w:rPr>
        <w:t>8</w:t>
      </w:r>
      <w:r w:rsidR="000B47CA" w:rsidRPr="000B47CA">
        <w:rPr>
          <w:rStyle w:val="Strong"/>
        </w:rPr>
        <w:t>.</w:t>
      </w:r>
      <w:r w:rsidR="00A7356D">
        <w:rPr>
          <w:rStyle w:val="Strong"/>
        </w:rPr>
        <w:t> jūlija</w:t>
      </w:r>
      <w:r w:rsidR="000B47CA" w:rsidRPr="000B47CA">
        <w:rPr>
          <w:rStyle w:val="Strong"/>
        </w:rPr>
        <w:t xml:space="preserve"> noteikumos Nr.</w:t>
      </w:r>
      <w:r w:rsidR="00A7356D">
        <w:rPr>
          <w:rStyle w:val="Strong"/>
        </w:rPr>
        <w:t>391</w:t>
      </w:r>
      <w:r w:rsidR="000B47CA" w:rsidRPr="000B47CA">
        <w:rPr>
          <w:rStyle w:val="Strong"/>
        </w:rPr>
        <w:t xml:space="preserve"> “</w:t>
      </w:r>
      <w:r w:rsidR="00A7356D" w:rsidRPr="00A7356D">
        <w:rPr>
          <w:rStyle w:val="Strong"/>
        </w:rPr>
        <w:t>Kārtība, kādā gadskārtējā valsts budžeta likumprojektā iekļauj pieprasījumus valsts vārdā sniedzamajiem galvojumiem, un galvojumu sniegšanas un uzraudzības kārtība</w:t>
      </w:r>
      <w:r w:rsidRPr="000B47CA">
        <w:rPr>
          <w:rStyle w:val="Strong"/>
        </w:rPr>
        <w:t>”</w:t>
      </w:r>
      <w:r w:rsidR="00A7356D">
        <w:rPr>
          <w:rStyle w:val="Strong"/>
        </w:rPr>
        <w:t>”</w:t>
      </w:r>
      <w:r w:rsidRPr="000B47CA">
        <w:rPr>
          <w:rStyle w:val="Strong"/>
        </w:rPr>
        <w:t xml:space="preserve"> sākotnējās ietekmes</w:t>
      </w:r>
      <w:r w:rsidRPr="001A2563">
        <w:rPr>
          <w:rStyle w:val="Strong"/>
        </w:rPr>
        <w:t xml:space="preserve"> novērtējuma ziņojums (anotācija)</w:t>
      </w:r>
    </w:p>
    <w:p w14:paraId="330E91C6" w14:textId="77777777" w:rsidR="00F02C0A" w:rsidRDefault="00F02C0A" w:rsidP="00F02C0A">
      <w:pPr>
        <w:contextualSpacing/>
        <w:jc w:val="center"/>
        <w:rPr>
          <w:rStyle w:val="Strong"/>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394"/>
        <w:gridCol w:w="5661"/>
      </w:tblGrid>
      <w:tr w:rsidR="00507A01" w:rsidRPr="00507A01" w14:paraId="4A93BA89" w14:textId="77777777" w:rsidTr="00507A0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D0B9F" w14:textId="0A22C67C" w:rsidR="00507A01" w:rsidRPr="00A926CD" w:rsidRDefault="00A926CD" w:rsidP="00507A01">
            <w:pPr>
              <w:spacing w:before="100" w:beforeAutospacing="1" w:after="100" w:afterAutospacing="1" w:line="293" w:lineRule="atLeast"/>
              <w:jc w:val="center"/>
              <w:rPr>
                <w:b/>
                <w:bCs/>
                <w:color w:val="414142"/>
              </w:rPr>
            </w:pPr>
            <w:r w:rsidRPr="00F26D31">
              <w:rPr>
                <w:b/>
                <w:bCs/>
              </w:rPr>
              <w:t>Tiesību akta projekta anotācijas kopsavilkums</w:t>
            </w:r>
          </w:p>
        </w:tc>
      </w:tr>
      <w:tr w:rsidR="00507A01" w:rsidRPr="000B47CA" w14:paraId="0A483053" w14:textId="77777777" w:rsidTr="00B50359">
        <w:tc>
          <w:tcPr>
            <w:tcW w:w="1874" w:type="pct"/>
            <w:tcBorders>
              <w:top w:val="outset" w:sz="6" w:space="0" w:color="414142"/>
              <w:left w:val="outset" w:sz="6" w:space="0" w:color="414142"/>
              <w:bottom w:val="outset" w:sz="6" w:space="0" w:color="414142"/>
              <w:right w:val="outset" w:sz="6" w:space="0" w:color="414142"/>
            </w:tcBorders>
            <w:shd w:val="clear" w:color="auto" w:fill="FFFFFF"/>
            <w:hideMark/>
          </w:tcPr>
          <w:p w14:paraId="20680991" w14:textId="77777777" w:rsidR="00507A01" w:rsidRPr="00211630" w:rsidRDefault="00507A01" w:rsidP="00507A01">
            <w:r w:rsidRPr="00211630">
              <w:t>Mērķis, risinājums un projekta spēkā stāšanās laiks (500 zīmes bez atstarpēm)</w:t>
            </w:r>
          </w:p>
        </w:tc>
        <w:tc>
          <w:tcPr>
            <w:tcW w:w="3126" w:type="pct"/>
            <w:tcBorders>
              <w:top w:val="outset" w:sz="6" w:space="0" w:color="414142"/>
              <w:left w:val="outset" w:sz="6" w:space="0" w:color="414142"/>
              <w:bottom w:val="outset" w:sz="6" w:space="0" w:color="414142"/>
              <w:right w:val="outset" w:sz="6" w:space="0" w:color="414142"/>
            </w:tcBorders>
            <w:shd w:val="clear" w:color="auto" w:fill="FFFFFF"/>
            <w:hideMark/>
          </w:tcPr>
          <w:p w14:paraId="63FA8A7C" w14:textId="4C6849AF" w:rsidR="00507A01" w:rsidRDefault="00507A01" w:rsidP="00B80AFA">
            <w:pPr>
              <w:jc w:val="both"/>
            </w:pPr>
            <w:r w:rsidRPr="000B47CA">
              <w:t>“</w:t>
            </w:r>
            <w:r w:rsidR="00A7356D" w:rsidRPr="00A7356D">
              <w:t>Grozījumi Ministru kabineta 2014.</w:t>
            </w:r>
            <w:r w:rsidR="00B80AFA">
              <w:t> </w:t>
            </w:r>
            <w:r w:rsidR="00A7356D" w:rsidRPr="00A7356D">
              <w:t>gada 8. jūlija noteikumos Nr.391 “Kārtība, kādā gadskārtējā valsts budžeta likumprojektā iekļauj pieprasījumus valsts vārdā sniedzamajiem galvojumiem, un galvojumu sniegšanas un uzraudzības kārtība</w:t>
            </w:r>
            <w:r w:rsidR="000B47CA" w:rsidRPr="000B47CA">
              <w:t>”</w:t>
            </w:r>
            <w:r w:rsidRPr="000B47CA">
              <w:t>” (turpmāk –</w:t>
            </w:r>
            <w:r w:rsidR="00805E16">
              <w:t xml:space="preserve"> </w:t>
            </w:r>
            <w:r w:rsidRPr="000B47CA">
              <w:t>projekts)</w:t>
            </w:r>
            <w:r w:rsidR="00403E88">
              <w:t xml:space="preserve"> </w:t>
            </w:r>
            <w:r w:rsidR="00A7356D" w:rsidRPr="00A7356D">
              <w:t xml:space="preserve">mērķis ieviest jaunu stratēģisko pieeju valsts galvojumu sniegšanas un apkalpošanas procesa nodrošināšanai, nosakot jaunu galvojuma pretendenta kredītspējas novērtējumu un nodrošinājuma pietiekamības noteikšanas kārtību valsts galvojumu izsniegšanas procesā. </w:t>
            </w:r>
          </w:p>
          <w:p w14:paraId="5243B373" w14:textId="043AB48A" w:rsidR="0091374B" w:rsidRPr="00A72A60" w:rsidRDefault="0091374B" w:rsidP="00B80AFA">
            <w:pPr>
              <w:jc w:val="both"/>
            </w:pPr>
            <w:r w:rsidRPr="00C32CEF">
              <w:t xml:space="preserve">Projekts stāsies spēkā </w:t>
            </w:r>
            <w:r w:rsidR="00C22821">
              <w:t xml:space="preserve">vispārējā kārtībā </w:t>
            </w:r>
            <w:r w:rsidRPr="00C32CEF">
              <w:t>pēc tā pieņemšanas Ministru kabinetā.</w:t>
            </w:r>
          </w:p>
        </w:tc>
      </w:tr>
    </w:tbl>
    <w:p w14:paraId="2576EDFC" w14:textId="77777777" w:rsidR="0000059C" w:rsidRPr="00211630" w:rsidRDefault="0000059C" w:rsidP="007207FD">
      <w:pPr>
        <w:contextualSpacing/>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055A5CDD" w14:textId="77777777" w:rsidTr="00415A0F">
        <w:trPr>
          <w:cantSplit/>
        </w:trPr>
        <w:tc>
          <w:tcPr>
            <w:tcW w:w="5000" w:type="pct"/>
            <w:gridSpan w:val="3"/>
            <w:vAlign w:val="center"/>
            <w:hideMark/>
          </w:tcPr>
          <w:p w14:paraId="5E949664" w14:textId="77777777" w:rsidR="00BD5588" w:rsidRPr="001A2563" w:rsidRDefault="00BD5588" w:rsidP="007207FD">
            <w:pPr>
              <w:keepLines/>
              <w:contextualSpacing/>
              <w:jc w:val="center"/>
              <w:rPr>
                <w:b/>
                <w:bCs/>
              </w:rPr>
            </w:pPr>
            <w:r w:rsidRPr="001A2563">
              <w:rPr>
                <w:b/>
                <w:bCs/>
              </w:rPr>
              <w:t>I. Tiesību akta projekta izstrādes nepieciešamība</w:t>
            </w:r>
          </w:p>
        </w:tc>
      </w:tr>
      <w:tr w:rsidR="00FE0977" w:rsidRPr="001A2563" w14:paraId="7AB4C979" w14:textId="77777777" w:rsidTr="00BF416C">
        <w:trPr>
          <w:cantSplit/>
        </w:trPr>
        <w:tc>
          <w:tcPr>
            <w:tcW w:w="311" w:type="pct"/>
            <w:hideMark/>
          </w:tcPr>
          <w:p w14:paraId="76A9384A" w14:textId="77777777" w:rsidR="00FE0977" w:rsidRPr="001A2563" w:rsidRDefault="00FE0977" w:rsidP="00FE0977">
            <w:pPr>
              <w:keepLines/>
              <w:contextualSpacing/>
              <w:jc w:val="center"/>
            </w:pPr>
            <w:r w:rsidRPr="001A2563">
              <w:t>1.</w:t>
            </w:r>
          </w:p>
        </w:tc>
        <w:tc>
          <w:tcPr>
            <w:tcW w:w="1479" w:type="pct"/>
            <w:hideMark/>
          </w:tcPr>
          <w:p w14:paraId="54E15CF4" w14:textId="77777777" w:rsidR="00FE0977" w:rsidRPr="001A2563" w:rsidRDefault="00FE0977" w:rsidP="00FE0977">
            <w:pPr>
              <w:keepLines/>
              <w:contextualSpacing/>
            </w:pPr>
            <w:r w:rsidRPr="001A2563">
              <w:t>Pamatojums</w:t>
            </w:r>
          </w:p>
        </w:tc>
        <w:tc>
          <w:tcPr>
            <w:tcW w:w="3210" w:type="pct"/>
            <w:tcBorders>
              <w:bottom w:val="single" w:sz="4" w:space="0" w:color="auto"/>
            </w:tcBorders>
            <w:hideMark/>
          </w:tcPr>
          <w:p w14:paraId="64B7D009" w14:textId="14226A72" w:rsidR="00FE0977" w:rsidRPr="001A2563" w:rsidRDefault="00FE0977" w:rsidP="001C0467">
            <w:pPr>
              <w:jc w:val="both"/>
            </w:pPr>
            <w:r>
              <w:t>P</w:t>
            </w:r>
            <w:r w:rsidRPr="00C32CEF">
              <w:t>rojekts sagatavots</w:t>
            </w:r>
            <w:r w:rsidR="004C7E57">
              <w:t xml:space="preserve"> pēc Finanšu ministrijas (Valsts kases) iniciatīvas</w:t>
            </w:r>
            <w:r>
              <w:t>, ņemot vērā</w:t>
            </w:r>
            <w:r w:rsidRPr="00C32CEF">
              <w:t xml:space="preserve"> </w:t>
            </w:r>
            <w:r>
              <w:t>2019.</w:t>
            </w:r>
            <w:r w:rsidR="00BF416C">
              <w:t> </w:t>
            </w:r>
            <w:r>
              <w:t>gada 3.</w:t>
            </w:r>
            <w:r w:rsidR="00BF416C">
              <w:t> </w:t>
            </w:r>
            <w:r>
              <w:t>aprīļa grozījumus Likumā par budžetu un finanšu vadību</w:t>
            </w:r>
            <w:r w:rsidR="0091374B">
              <w:t xml:space="preserve"> (turpmāk – Likums)</w:t>
            </w:r>
            <w:r>
              <w:t xml:space="preserve"> 37.</w:t>
            </w:r>
            <w:r w:rsidR="00BF416C">
              <w:t> </w:t>
            </w:r>
            <w:r>
              <w:t>panta pirm</w:t>
            </w:r>
            <w:r w:rsidR="004C7E57">
              <w:t>aj</w:t>
            </w:r>
            <w:r>
              <w:t>ā daļ</w:t>
            </w:r>
            <w:r w:rsidR="004C7E57">
              <w:t>ā</w:t>
            </w:r>
            <w:r>
              <w:t xml:space="preserve"> un otr</w:t>
            </w:r>
            <w:r w:rsidR="004C7E57">
              <w:t>aj</w:t>
            </w:r>
            <w:r w:rsidR="00046911">
              <w:t>ā</w:t>
            </w:r>
            <w:r>
              <w:rPr>
                <w:vertAlign w:val="superscript"/>
              </w:rPr>
              <w:t xml:space="preserve"> </w:t>
            </w:r>
            <w:r>
              <w:t>daļ</w:t>
            </w:r>
            <w:r w:rsidR="004C7E57">
              <w:t>a</w:t>
            </w:r>
            <w:r w:rsidR="00D572C9">
              <w:t>.</w:t>
            </w:r>
          </w:p>
        </w:tc>
      </w:tr>
      <w:tr w:rsidR="00FE0977" w:rsidRPr="00380894" w14:paraId="00BF34BA" w14:textId="77777777" w:rsidTr="00BF416C">
        <w:trPr>
          <w:cantSplit/>
          <w:trHeight w:val="1378"/>
        </w:trPr>
        <w:tc>
          <w:tcPr>
            <w:tcW w:w="311" w:type="pct"/>
            <w:hideMark/>
          </w:tcPr>
          <w:p w14:paraId="04A22FDB" w14:textId="77777777" w:rsidR="00FE0977" w:rsidRPr="00D6051A" w:rsidRDefault="00FE0977" w:rsidP="00FE0977">
            <w:pPr>
              <w:keepLines/>
              <w:contextualSpacing/>
              <w:jc w:val="center"/>
            </w:pPr>
            <w:r w:rsidRPr="00D6051A">
              <w:t>2.</w:t>
            </w:r>
          </w:p>
        </w:tc>
        <w:tc>
          <w:tcPr>
            <w:tcW w:w="1479" w:type="pct"/>
            <w:hideMark/>
          </w:tcPr>
          <w:p w14:paraId="5D1292A3" w14:textId="77777777" w:rsidR="00FE0977" w:rsidRPr="00D6051A" w:rsidRDefault="00FE0977" w:rsidP="00FE0977">
            <w:pPr>
              <w:keepLines/>
              <w:contextualSpacing/>
            </w:pPr>
            <w:r w:rsidRPr="00D6051A">
              <w:t>Pašreizējā situācija un problēmas, kuru risināšanai tiesību akta projekts izstrādāts, tiesiskā regulējuma mērķis un būtība</w:t>
            </w:r>
          </w:p>
        </w:tc>
        <w:tc>
          <w:tcPr>
            <w:tcW w:w="3210" w:type="pct"/>
            <w:tcBorders>
              <w:bottom w:val="single" w:sz="4" w:space="0" w:color="auto"/>
            </w:tcBorders>
          </w:tcPr>
          <w:p w14:paraId="35A917DE" w14:textId="420DF439" w:rsidR="00FE0977" w:rsidRDefault="00FE0977" w:rsidP="00FE0977">
            <w:pPr>
              <w:keepLines/>
              <w:contextualSpacing/>
              <w:jc w:val="both"/>
            </w:pPr>
            <w:r w:rsidRPr="00093BDD">
              <w:t xml:space="preserve">Likuma </w:t>
            </w:r>
            <w:r>
              <w:t>pārejas noteikumu 87</w:t>
            </w:r>
            <w:r w:rsidRPr="00093BDD">
              <w:t>.</w:t>
            </w:r>
            <w:r>
              <w:t> punkts paredz, ka “š</w:t>
            </w:r>
            <w:r w:rsidRPr="00093BDD">
              <w:t>ā likuma 3</w:t>
            </w:r>
            <w:r>
              <w:t>7</w:t>
            </w:r>
            <w:r w:rsidRPr="00093BDD">
              <w:t>.</w:t>
            </w:r>
            <w:r>
              <w:t> </w:t>
            </w:r>
            <w:r w:rsidRPr="00093BDD">
              <w:t xml:space="preserve">panta </w:t>
            </w:r>
            <w:r>
              <w:t>otrās daļas 3. punkta “b” un “c” apakšpunkts piemērojams ar 2020</w:t>
            </w:r>
            <w:r w:rsidRPr="00093BDD">
              <w:t>.</w:t>
            </w:r>
            <w:r>
              <w:t> </w:t>
            </w:r>
            <w:r w:rsidRPr="00093BDD">
              <w:t>gada 1.</w:t>
            </w:r>
            <w:r>
              <w:t> janvāri</w:t>
            </w:r>
            <w:r w:rsidRPr="00093BDD">
              <w:t xml:space="preserve">, </w:t>
            </w:r>
            <w:r>
              <w:t xml:space="preserve">līdz ar to projekts sagatavots, lai </w:t>
            </w:r>
            <w:r w:rsidR="00F55436">
              <w:t>novērstu dažādu redakciju esamību divu līmeņa normatīv</w:t>
            </w:r>
            <w:r w:rsidR="00AF0B01">
              <w:t>aj</w:t>
            </w:r>
            <w:r w:rsidR="00F55436">
              <w:t>os aktos</w:t>
            </w:r>
            <w:r w:rsidR="00BF416C">
              <w:t>.</w:t>
            </w:r>
          </w:p>
          <w:p w14:paraId="56D3CC8D" w14:textId="31682B3E" w:rsidR="00FE0977" w:rsidRDefault="00FE0977" w:rsidP="00FE0977">
            <w:pPr>
              <w:keepLines/>
              <w:contextualSpacing/>
              <w:jc w:val="both"/>
            </w:pPr>
          </w:p>
          <w:p w14:paraId="54019C19" w14:textId="579AD1D5" w:rsidR="00FE0977" w:rsidRDefault="00FE0977" w:rsidP="00FE0977">
            <w:pPr>
              <w:keepLines/>
              <w:contextualSpacing/>
              <w:jc w:val="both"/>
            </w:pPr>
            <w:r>
              <w:t>Likuma 37. panta pirmā daļā</w:t>
            </w:r>
            <w:r w:rsidRPr="00C477DB">
              <w:t xml:space="preserve"> norādīts, ka galvojumus </w:t>
            </w:r>
            <w:r>
              <w:t>valsts vārdā ir tiesības sniegt:</w:t>
            </w:r>
          </w:p>
          <w:p w14:paraId="0566AC9C" w14:textId="22BCC82A" w:rsidR="00FE0977" w:rsidRDefault="00FE0977" w:rsidP="00FE0977">
            <w:pPr>
              <w:keepLines/>
              <w:contextualSpacing/>
              <w:jc w:val="both"/>
            </w:pPr>
            <w:r>
              <w:t xml:space="preserve">a) par saistībām, kuras investīciju veikšanai uzņemas kapitālsabiedrība, kurā valsts daļa pamatkapitālā pārsniedz 50 procentus un kura atbilstoši institucionālo sektoru klasifikācijai ietverta nefinanšu komersantu sektorā; </w:t>
            </w:r>
          </w:p>
          <w:p w14:paraId="7394D3DF" w14:textId="0E75562C" w:rsidR="00FE0977" w:rsidRDefault="00FE0977" w:rsidP="00FE0977">
            <w:pPr>
              <w:keepLines/>
              <w:contextualSpacing/>
              <w:jc w:val="both"/>
            </w:pPr>
            <w:r>
              <w:t>b) par saistībām, kas uzņemtas, lai nodrošinātu finansējumu ar normatīvajiem aktiem apstiprinātajām komercdarbības atbalsta programmām;</w:t>
            </w:r>
          </w:p>
          <w:p w14:paraId="5069FC42" w14:textId="4E440130" w:rsidR="00FE0977" w:rsidRDefault="001C0467" w:rsidP="00FE0977">
            <w:pPr>
              <w:keepLines/>
              <w:contextualSpacing/>
              <w:jc w:val="both"/>
            </w:pPr>
            <w:r>
              <w:t>c</w:t>
            </w:r>
            <w:r w:rsidR="00FE0977">
              <w:t>) studiju un studējošo kreditēšanas nodrošināšanai.</w:t>
            </w:r>
          </w:p>
          <w:p w14:paraId="18160648" w14:textId="139C4AD2" w:rsidR="00FE0977" w:rsidRDefault="00FE0977" w:rsidP="00FE0977">
            <w:pPr>
              <w:keepLines/>
              <w:contextualSpacing/>
              <w:jc w:val="both"/>
            </w:pPr>
          </w:p>
          <w:p w14:paraId="4CF7D6BC" w14:textId="68F2D6F4" w:rsidR="00FE0977" w:rsidRDefault="00FE0977" w:rsidP="00611993">
            <w:pPr>
              <w:keepLines/>
              <w:contextualSpacing/>
              <w:jc w:val="both"/>
            </w:pPr>
            <w:r>
              <w:t>Valsts galvojumu portfelis 2019.</w:t>
            </w:r>
            <w:r w:rsidR="00AF0B01">
              <w:t> </w:t>
            </w:r>
            <w:r>
              <w:t xml:space="preserve">gada pirmā pusgada beigās bija 741,3 milj. EUR, ko veidoja izmaksātā, bet vēl neatmaksātā, valsts galvotā aizdevuma daļa 498,1 milj. EUR un neizmaksātā valsts galvotā aizdevuma daļa 243,2 milj. EUR (tai skaitā galvojumi 66,3 milj. EUR studiju un studējošo kreditēšanai, 155,9 milj. EUR </w:t>
            </w:r>
            <w:r w:rsidR="00AF0B01">
              <w:br/>
            </w:r>
            <w:r w:rsidR="00074094">
              <w:t>ALTUM</w:t>
            </w:r>
            <w:r>
              <w:t xml:space="preserve"> garantijas, 21,0 milj. EUR galvojumi Ziemeļu Investīciju bankas un Eiropas Investīciju bankas atbalstītiem projektiem).</w:t>
            </w:r>
          </w:p>
          <w:p w14:paraId="1D91BB46" w14:textId="6898A87B" w:rsidR="00EC3488" w:rsidRDefault="00FE0977" w:rsidP="00FE0977">
            <w:pPr>
              <w:keepLines/>
              <w:contextualSpacing/>
              <w:jc w:val="both"/>
              <w:rPr>
                <w:b/>
              </w:rPr>
            </w:pPr>
            <w:r w:rsidRPr="00B60432">
              <w:rPr>
                <w:b/>
              </w:rPr>
              <w:lastRenderedPageBreak/>
              <w:t xml:space="preserve">Lai mazinātu risku, kas saistīts ar valsts izsniegto galvojumu nodrošinājumu un tā pietiekamību, kredītspējas novērtējumu, ņemot vērā piedāvātā nodrošinājuma vērtību, un riska likmes piemērošanas maiņu, ir izstrādāts projekts, kas satur niansētāku un detalizētāku tiesisko regulējumu valsts izsniegto galvojumu izsniegšanas un uzraudzības jomā. </w:t>
            </w:r>
          </w:p>
          <w:p w14:paraId="43846607" w14:textId="77777777" w:rsidR="001C0467" w:rsidRDefault="001C0467" w:rsidP="00FE0977">
            <w:pPr>
              <w:keepLines/>
              <w:contextualSpacing/>
              <w:jc w:val="both"/>
              <w:rPr>
                <w:b/>
              </w:rPr>
            </w:pPr>
          </w:p>
          <w:p w14:paraId="4B422D3B" w14:textId="163A6152" w:rsidR="00EC3488" w:rsidRDefault="007C7F35" w:rsidP="00EC3488">
            <w:pPr>
              <w:keepLines/>
              <w:contextualSpacing/>
              <w:jc w:val="both"/>
            </w:pPr>
            <w:r>
              <w:t>P</w:t>
            </w:r>
            <w:r w:rsidR="00EC3488" w:rsidRPr="00C32CEF">
              <w:t>rojektā noteikt</w:t>
            </w:r>
            <w:r w:rsidR="00EC3488">
              <w:t>s</w:t>
            </w:r>
            <w:r w:rsidR="00EC3488" w:rsidRPr="00C32CEF">
              <w:t xml:space="preserve"> valsts </w:t>
            </w:r>
            <w:r w:rsidR="00EC3488">
              <w:t xml:space="preserve">galvojuma </w:t>
            </w:r>
            <w:r w:rsidR="00EC3488" w:rsidRPr="00C32CEF">
              <w:t xml:space="preserve">saņēmēju loks, kam netiek piemērota riska procentu likme. </w:t>
            </w:r>
            <w:r w:rsidR="00EC3488" w:rsidRPr="00845008">
              <w:t xml:space="preserve">Šobrīd esošā riska procentu likmju piemērošanas kārtība nosaka, ka riska procentu likme ir piemērojama arī </w:t>
            </w:r>
            <w:r w:rsidR="00EC3488">
              <w:t xml:space="preserve">valsts </w:t>
            </w:r>
            <w:r w:rsidR="00692957">
              <w:t>atbalsta sniedzējiem (ALTUM)</w:t>
            </w:r>
            <w:r w:rsidR="00EC3488">
              <w:t>.</w:t>
            </w:r>
            <w:r w:rsidR="001C0467">
              <w:t xml:space="preserve"> </w:t>
            </w:r>
            <w:r w:rsidR="00EC3488" w:rsidRPr="00845008">
              <w:t>Šāda principa, kad riska procentu likmi nepiemēro</w:t>
            </w:r>
            <w:r w:rsidR="00EC3488" w:rsidRPr="00C32CEF">
              <w:t xml:space="preserve"> </w:t>
            </w:r>
            <w:r w:rsidR="00EC3488">
              <w:t xml:space="preserve">valsts </w:t>
            </w:r>
            <w:r w:rsidR="00692957">
              <w:t>atbalsta sniedzējiem</w:t>
            </w:r>
            <w:r w:rsidR="00EC3488" w:rsidRPr="00C32CEF">
              <w:t xml:space="preserve">, </w:t>
            </w:r>
            <w:r w:rsidR="007E0962">
              <w:t>īsteno</w:t>
            </w:r>
            <w:r w:rsidR="00EC3488" w:rsidRPr="00C32CEF">
              <w:t xml:space="preserve">šana pamatojama ar to, ka </w:t>
            </w:r>
            <w:r w:rsidR="00692957">
              <w:t>tādējādi tiek sadārdzināts valsts atbalsta mehānisms</w:t>
            </w:r>
            <w:r w:rsidR="00EC3488" w:rsidRPr="00C32CEF">
              <w:t xml:space="preserve">, līdz ar to turpmāk šiem aizņēmējiem </w:t>
            </w:r>
            <w:r w:rsidR="00692957">
              <w:t>riska likme nebūtu piemērojama.</w:t>
            </w:r>
          </w:p>
          <w:p w14:paraId="327EB17D" w14:textId="77777777" w:rsidR="00FE0977" w:rsidRDefault="00FE0977" w:rsidP="00FE0977">
            <w:pPr>
              <w:keepLines/>
              <w:contextualSpacing/>
              <w:jc w:val="both"/>
            </w:pPr>
          </w:p>
          <w:p w14:paraId="4C831482" w14:textId="1756DB6B" w:rsidR="00FE0977" w:rsidRDefault="007C7F35" w:rsidP="00FE0977">
            <w:pPr>
              <w:keepLines/>
              <w:contextualSpacing/>
              <w:jc w:val="both"/>
            </w:pPr>
            <w:r>
              <w:t>Spēkā esošo n</w:t>
            </w:r>
            <w:r w:rsidR="00FE0977">
              <w:t>oteikumu II. nodaļā “</w:t>
            </w:r>
            <w:r w:rsidR="00FE0977" w:rsidRPr="00D10ADF">
              <w:t>Galvojuma pretendenta pieteikšanās galvojuma iekļaušanai gadskārtējā valsts budžeta likumprojektā</w:t>
            </w:r>
            <w:r w:rsidR="00FE0977">
              <w:t>” veiktie grozījumi:</w:t>
            </w:r>
          </w:p>
          <w:p w14:paraId="70959F89" w14:textId="11585ABB" w:rsidR="00FE0977" w:rsidRDefault="00FE0977" w:rsidP="00FE0977">
            <w:pPr>
              <w:pStyle w:val="ListParagraph"/>
              <w:keepLines/>
              <w:numPr>
                <w:ilvl w:val="0"/>
                <w:numId w:val="8"/>
              </w:numPr>
              <w:jc w:val="both"/>
            </w:pPr>
            <w:r>
              <w:t>tehniski labojumi iesniedzamo dokument</w:t>
            </w:r>
            <w:r w:rsidR="007C79AE">
              <w:t>u</w:t>
            </w:r>
            <w:r>
              <w:t xml:space="preserve"> nosaukumos, kā arī samazināts iesniedzamo dokumentu skaits, tādejādi </w:t>
            </w:r>
            <w:r w:rsidRPr="00907DF9">
              <w:t>atvieglots galvojuma pieteikuma iesniegšanas process</w:t>
            </w:r>
            <w:r>
              <w:t xml:space="preserve">; </w:t>
            </w:r>
          </w:p>
          <w:p w14:paraId="459B0953" w14:textId="059D7108" w:rsidR="00FE0977" w:rsidRDefault="00FE0977" w:rsidP="00FE0977">
            <w:pPr>
              <w:pStyle w:val="ListParagraph"/>
              <w:keepLines/>
              <w:numPr>
                <w:ilvl w:val="0"/>
                <w:numId w:val="8"/>
              </w:numPr>
              <w:jc w:val="both"/>
            </w:pPr>
            <w:r>
              <w:t xml:space="preserve">pamatojoties uz izmaiņām Likumā, precizēts subjektu loks, kas izvērtē valsts galvojuma atbilstību </w:t>
            </w:r>
            <w:r w:rsidRPr="001C6C98">
              <w:t>vispārējas tautsaimnieciskas nozīmes pakalpojumu sniegšanas nodrošināšanai</w:t>
            </w:r>
            <w:r>
              <w:t xml:space="preserve"> (attiecīgi veiktas izmaiņas arī </w:t>
            </w:r>
            <w:r w:rsidR="00311C25">
              <w:t xml:space="preserve">spēkā esošo noteikumu </w:t>
            </w:r>
            <w:r>
              <w:t>2. pielikumā)</w:t>
            </w:r>
            <w:r w:rsidRPr="001C6C98">
              <w:t>;</w:t>
            </w:r>
          </w:p>
          <w:p w14:paraId="19AE214A" w14:textId="27733A39" w:rsidR="00FE0977" w:rsidRDefault="00FE0977" w:rsidP="00FE0977">
            <w:pPr>
              <w:pStyle w:val="ListParagraph"/>
              <w:keepLines/>
              <w:numPr>
                <w:ilvl w:val="0"/>
                <w:numId w:val="8"/>
              </w:numPr>
              <w:jc w:val="both"/>
            </w:pPr>
            <w:r>
              <w:t>detalizētāk aprakstīti kritēriji, pēc kuriem veic galvojuma pretendenta finanšu izvērtējumu;</w:t>
            </w:r>
          </w:p>
          <w:p w14:paraId="093F188C" w14:textId="7EF792BF" w:rsidR="00B3012A" w:rsidRPr="00B3012A" w:rsidRDefault="00FE0977" w:rsidP="00F175EE">
            <w:pPr>
              <w:pStyle w:val="ListParagraph"/>
              <w:keepLines/>
              <w:numPr>
                <w:ilvl w:val="0"/>
                <w:numId w:val="8"/>
              </w:numPr>
              <w:jc w:val="both"/>
              <w:rPr>
                <w:szCs w:val="20"/>
              </w:rPr>
            </w:pPr>
            <w:r>
              <w:t>norādīta atsauce uz</w:t>
            </w:r>
            <w:r w:rsidR="00311C25">
              <w:t xml:space="preserve"> konkrēto</w:t>
            </w:r>
            <w:r>
              <w:t xml:space="preserve"> Likuma </w:t>
            </w:r>
            <w:r w:rsidR="00311C25">
              <w:t>normu</w:t>
            </w:r>
            <w:r>
              <w:t>, lai izvairītos</w:t>
            </w:r>
            <w:r w:rsidRPr="00D97B3E">
              <w:t xml:space="preserve"> no </w:t>
            </w:r>
            <w:r>
              <w:t>nosacījumu dublēšanās.</w:t>
            </w:r>
          </w:p>
          <w:p w14:paraId="21A16072" w14:textId="511D4074" w:rsidR="00FE0977" w:rsidRDefault="00FE0977" w:rsidP="00FE0977">
            <w:pPr>
              <w:keepLines/>
              <w:jc w:val="both"/>
            </w:pPr>
          </w:p>
          <w:p w14:paraId="5E15E250" w14:textId="7A2C5529" w:rsidR="00FE0977" w:rsidRDefault="007C7F35" w:rsidP="00FE0977">
            <w:pPr>
              <w:keepLines/>
              <w:contextualSpacing/>
              <w:jc w:val="both"/>
            </w:pPr>
            <w:r>
              <w:t xml:space="preserve">Spēkā esošo noteikumu </w:t>
            </w:r>
            <w:r w:rsidR="00FE0977">
              <w:t>III. nodaļā “</w:t>
            </w:r>
            <w:r w:rsidR="00FE0977" w:rsidRPr="00D97B3E">
              <w:t>Dokumentu izvērtēšana un galvojuma līguma noslēgšana</w:t>
            </w:r>
            <w:r w:rsidR="00FE0977">
              <w:t>” veiktie grozījumi:</w:t>
            </w:r>
          </w:p>
          <w:p w14:paraId="56A6CD1D" w14:textId="1BA0FB57" w:rsidR="00FE0977" w:rsidRDefault="00FE0977" w:rsidP="00FE0977">
            <w:pPr>
              <w:pStyle w:val="ListParagraph"/>
              <w:keepLines/>
              <w:numPr>
                <w:ilvl w:val="0"/>
                <w:numId w:val="10"/>
              </w:numPr>
              <w:jc w:val="both"/>
            </w:pPr>
            <w:r>
              <w:t xml:space="preserve">precizētas prasības iesniedzamiem dokumentiem, </w:t>
            </w:r>
            <w:r w:rsidRPr="00907DF9">
              <w:t>kā arī samazināts iesniedzamo dokumentu skaits;</w:t>
            </w:r>
          </w:p>
          <w:p w14:paraId="5DA191E1" w14:textId="79911944" w:rsidR="00FE0977" w:rsidRDefault="00FE0977" w:rsidP="00FE0977">
            <w:pPr>
              <w:pStyle w:val="ListParagraph"/>
              <w:keepLines/>
              <w:numPr>
                <w:ilvl w:val="0"/>
                <w:numId w:val="10"/>
              </w:numPr>
              <w:jc w:val="both"/>
            </w:pPr>
            <w:r>
              <w:t>atcelts termiņš kurā valsts galvojuma pretendentam ir jāiesnied</w:t>
            </w:r>
            <w:r w:rsidR="00BF416C">
              <w:t>z papildus informācija</w:t>
            </w:r>
            <w:r>
              <w:t>;</w:t>
            </w:r>
          </w:p>
          <w:p w14:paraId="2B7F9EA3" w14:textId="5910DBDB" w:rsidR="00FE0977" w:rsidRDefault="00FE0977" w:rsidP="00FE0977">
            <w:pPr>
              <w:pStyle w:val="ListParagraph"/>
              <w:keepLines/>
              <w:numPr>
                <w:ilvl w:val="0"/>
                <w:numId w:val="10"/>
              </w:numPr>
              <w:jc w:val="both"/>
            </w:pPr>
            <w:r>
              <w:t xml:space="preserve">norādīta atsauce uz </w:t>
            </w:r>
            <w:r w:rsidR="00311C25">
              <w:t>konkrēto Likuma normu</w:t>
            </w:r>
            <w:r>
              <w:t>, lai izvairītos</w:t>
            </w:r>
            <w:r w:rsidRPr="00D97B3E">
              <w:t xml:space="preserve"> no </w:t>
            </w:r>
            <w:r>
              <w:t>nosacījumu dublēšanās</w:t>
            </w:r>
            <w:r w:rsidR="00AF0B01">
              <w:t>;</w:t>
            </w:r>
          </w:p>
          <w:p w14:paraId="0089CA22" w14:textId="02020295" w:rsidR="00D5217E" w:rsidRDefault="00FE0977" w:rsidP="00D5217E">
            <w:pPr>
              <w:pStyle w:val="ListParagraph"/>
              <w:keepLines/>
              <w:numPr>
                <w:ilvl w:val="0"/>
                <w:numId w:val="10"/>
              </w:numPr>
              <w:jc w:val="both"/>
            </w:pPr>
            <w:r>
              <w:t xml:space="preserve">izstrādāta </w:t>
            </w:r>
            <w:r w:rsidRPr="00DD1797">
              <w:t>jaun</w:t>
            </w:r>
            <w:r>
              <w:t>a</w:t>
            </w:r>
            <w:r w:rsidRPr="00DD1797">
              <w:t xml:space="preserve"> galvojuma pret</w:t>
            </w:r>
            <w:r>
              <w:t>endenta kredītspējas novērtējuma</w:t>
            </w:r>
            <w:r w:rsidRPr="00DD1797">
              <w:t xml:space="preserve"> un nodrošinājuma p</w:t>
            </w:r>
            <w:r>
              <w:t>ietiekamības noteikšanas kārtība.</w:t>
            </w:r>
          </w:p>
          <w:p w14:paraId="33AAD397" w14:textId="77777777" w:rsidR="00186B0A" w:rsidRDefault="00186B0A" w:rsidP="00FE0977">
            <w:pPr>
              <w:keepLines/>
              <w:contextualSpacing/>
              <w:jc w:val="both"/>
            </w:pPr>
          </w:p>
          <w:p w14:paraId="17F776F6" w14:textId="58AB9A81" w:rsidR="00FE0977" w:rsidRDefault="00186B0A" w:rsidP="00FE0977">
            <w:pPr>
              <w:keepLines/>
              <w:contextualSpacing/>
              <w:jc w:val="both"/>
            </w:pPr>
            <w:r>
              <w:t>I</w:t>
            </w:r>
            <w:r w:rsidRPr="00186B0A">
              <w:t xml:space="preserve">nformējam, ka pamatojoties uz Eiropas Komisijas paziņojums par EK līguma 87. un 88. panta piemērošanu valsts atbalstam garantiju veidā, 3.4. sadaļas “c” </w:t>
            </w:r>
            <w:r w:rsidRPr="00186B0A">
              <w:lastRenderedPageBreak/>
              <w:t xml:space="preserve">apakšpunktu un 3.2. sadaļas “c” apakšpunktu, valsts galvojuma saņēmējam ir jānodrošina 20% no katra nenomaksātā aizdevuma vai citām finanšu saistībām izmantojot savus resursus vai ārējo finansējumu, kas nav saistīts ar jebkādu komercdarbības atbalstu. Tomēr šādu nosacījumu iekļaušana Ministru </w:t>
            </w:r>
            <w:r w:rsidR="007C7F35">
              <w:t>k</w:t>
            </w:r>
            <w:r w:rsidRPr="00186B0A">
              <w:t>abineta noteikum</w:t>
            </w:r>
            <w:r w:rsidR="007C7F35">
              <w:t>o</w:t>
            </w:r>
            <w:r w:rsidRPr="00186B0A">
              <w:t>s nav paredzēta, jo tā ir detalizētāka kārtība starp sadarbības pusēm un ir iekļaujama galvojuma līgumā.</w:t>
            </w:r>
          </w:p>
          <w:p w14:paraId="7B849ACC" w14:textId="77777777" w:rsidR="00186B0A" w:rsidRDefault="00186B0A" w:rsidP="00FE0977">
            <w:pPr>
              <w:keepLines/>
              <w:contextualSpacing/>
              <w:jc w:val="both"/>
            </w:pPr>
          </w:p>
          <w:p w14:paraId="4788833C" w14:textId="67E6FFD2" w:rsidR="00D5217E" w:rsidRDefault="00186B0A" w:rsidP="00FE0977">
            <w:pPr>
              <w:keepLines/>
              <w:contextualSpacing/>
              <w:jc w:val="both"/>
            </w:pPr>
            <w:r>
              <w:t>Kā arī</w:t>
            </w:r>
            <w:r w:rsidR="00D5217E" w:rsidRPr="00D5217E">
              <w:t xml:space="preserve"> izsniedzot galvojumu uzņēmumam, kas saskaņā ar Komisijas 2014.gada 17.jūnija Regulas Nr. 651/2014 (turpmāk – EK Regula), ar ko noteiktas atbalsta kategorijas atzīst par saderīgām ar iekšējo tirgu, piemērojot Līguma 107. un 108. pantu, 1. pielikumu atbilst liela uzņēmuma kategorijai, līdz atbilstošas kārtības izstrādei ir plānots, ka katrs šāda veida galvojums tiks saskaņots ar Eiropas Komisiju, lai nodrošinātu nosacījumu izpildi.</w:t>
            </w:r>
          </w:p>
          <w:p w14:paraId="33DCA496" w14:textId="77777777" w:rsidR="00D5217E" w:rsidRDefault="00D5217E" w:rsidP="00FE0977">
            <w:pPr>
              <w:keepLines/>
              <w:contextualSpacing/>
              <w:jc w:val="both"/>
            </w:pPr>
          </w:p>
          <w:p w14:paraId="4861647B" w14:textId="4A5326C5" w:rsidR="00FE0977" w:rsidRDefault="007C7F35" w:rsidP="00FE0977">
            <w:pPr>
              <w:keepLines/>
              <w:contextualSpacing/>
              <w:jc w:val="both"/>
            </w:pPr>
            <w:r>
              <w:t xml:space="preserve">Spēkā esošo noteikumu </w:t>
            </w:r>
            <w:r w:rsidR="00FE0977">
              <w:t>V. nodaļā “</w:t>
            </w:r>
            <w:r w:rsidR="00FE0977" w:rsidRPr="00DD1797">
              <w:t>Galvoto kredītu uzraudzība</w:t>
            </w:r>
            <w:r w:rsidR="00FE0977">
              <w:t xml:space="preserve">”   </w:t>
            </w:r>
            <w:r w:rsidR="00FE0977" w:rsidRPr="00907DF9">
              <w:t>veiktie grozījumi:</w:t>
            </w:r>
          </w:p>
          <w:p w14:paraId="6CD9A151" w14:textId="3CA5F4B6" w:rsidR="00FE0977" w:rsidRDefault="00FE0977" w:rsidP="00FE0977">
            <w:pPr>
              <w:pStyle w:val="ListParagraph"/>
              <w:keepLines/>
              <w:numPr>
                <w:ilvl w:val="0"/>
                <w:numId w:val="6"/>
              </w:numPr>
              <w:jc w:val="both"/>
            </w:pPr>
            <w:r>
              <w:t>veikti tehniski labojumi dokumenta nosaukumam;</w:t>
            </w:r>
          </w:p>
          <w:p w14:paraId="0A80910D" w14:textId="311001F1" w:rsidR="00C94B05" w:rsidRDefault="00FE0977" w:rsidP="00C94B05">
            <w:pPr>
              <w:pStyle w:val="ListParagraph"/>
              <w:keepLines/>
              <w:numPr>
                <w:ilvl w:val="0"/>
                <w:numId w:val="6"/>
              </w:numPr>
              <w:jc w:val="both"/>
            </w:pPr>
            <w:r>
              <w:t xml:space="preserve">labota </w:t>
            </w:r>
            <w:r w:rsidRPr="00DD1797">
              <w:t xml:space="preserve">atsauce uz </w:t>
            </w:r>
            <w:r>
              <w:t xml:space="preserve">šo noteikumu projekta apakšpunktu, lai </w:t>
            </w:r>
            <w:r w:rsidRPr="00DD1797">
              <w:t>izvair</w:t>
            </w:r>
            <w:r>
              <w:t>ītos</w:t>
            </w:r>
            <w:r w:rsidRPr="00DD1797">
              <w:t xml:space="preserve"> no nosacījumu dublēšanās</w:t>
            </w:r>
            <w:r w:rsidR="00C94B05">
              <w:t>;</w:t>
            </w:r>
          </w:p>
          <w:p w14:paraId="3F1528A2" w14:textId="02F07422" w:rsidR="00C94B05" w:rsidRDefault="00C94B05" w:rsidP="00C94B05">
            <w:pPr>
              <w:pStyle w:val="ListParagraph"/>
              <w:keepLines/>
              <w:numPr>
                <w:ilvl w:val="0"/>
                <w:numId w:val="6"/>
              </w:numPr>
              <w:jc w:val="both"/>
            </w:pPr>
            <w:r w:rsidRPr="00C94B05">
              <w:t>noteikts valsts galvojuma saņēmēju loks, kam netiek piemērota riska procentu likme</w:t>
            </w:r>
            <w:r>
              <w:t>.</w:t>
            </w:r>
          </w:p>
          <w:p w14:paraId="7F8B12DD" w14:textId="1FB2DF2D" w:rsidR="00FE0977" w:rsidRDefault="00FE0977" w:rsidP="00FE0977">
            <w:pPr>
              <w:keepLines/>
              <w:contextualSpacing/>
              <w:jc w:val="both"/>
            </w:pPr>
          </w:p>
          <w:p w14:paraId="59466F86" w14:textId="73034096" w:rsidR="00FE0977" w:rsidRDefault="007C7F35" w:rsidP="00FE0977">
            <w:pPr>
              <w:keepLines/>
              <w:contextualSpacing/>
              <w:jc w:val="both"/>
            </w:pPr>
            <w:r>
              <w:t xml:space="preserve">Spēkā esošo noteikumu </w:t>
            </w:r>
            <w:r w:rsidR="00FE0977" w:rsidRPr="00BA55A6">
              <w:t>VI</w:t>
            </w:r>
            <w:r w:rsidR="00FE0977">
              <w:t>. </w:t>
            </w:r>
            <w:r w:rsidR="00FE0977" w:rsidRPr="00BA55A6">
              <w:t>nodaļā “Galvotā kredīta līguma un saistīto līgumu grozījumi”</w:t>
            </w:r>
            <w:r w:rsidR="00FE0977">
              <w:t xml:space="preserve"> un </w:t>
            </w:r>
            <w:r w:rsidR="00FE0977" w:rsidRPr="00BA55A6">
              <w:t>VII</w:t>
            </w:r>
            <w:r w:rsidR="00FE0977">
              <w:t>. nodaļā</w:t>
            </w:r>
            <w:r w:rsidR="00FE0977" w:rsidRPr="00BA55A6">
              <w:t xml:space="preserve"> </w:t>
            </w:r>
            <w:r w:rsidR="00FE0977">
              <w:t>“</w:t>
            </w:r>
            <w:r w:rsidR="00FE0977" w:rsidRPr="00BA55A6">
              <w:t xml:space="preserve">Galvotā kredīta </w:t>
            </w:r>
            <w:proofErr w:type="spellStart"/>
            <w:r w:rsidR="00FE0977" w:rsidRPr="00BA55A6">
              <w:t>pārkreditācija</w:t>
            </w:r>
            <w:proofErr w:type="spellEnd"/>
            <w:r w:rsidR="00FE0977">
              <w:t>” veiktie grozījumi:</w:t>
            </w:r>
          </w:p>
          <w:p w14:paraId="062C3B45" w14:textId="77777777" w:rsidR="00BF416C" w:rsidRDefault="00FE0977" w:rsidP="00BF416C">
            <w:pPr>
              <w:pStyle w:val="ListParagraph"/>
              <w:keepLines/>
              <w:numPr>
                <w:ilvl w:val="0"/>
                <w:numId w:val="9"/>
              </w:numPr>
              <w:jc w:val="both"/>
            </w:pPr>
            <w:r>
              <w:t>precizētas prasības iesniedzamiem dokumentiem;</w:t>
            </w:r>
          </w:p>
          <w:p w14:paraId="23ADBE47" w14:textId="77777777" w:rsidR="00D5217E" w:rsidRDefault="00F5530F" w:rsidP="00BF416C">
            <w:pPr>
              <w:pStyle w:val="ListParagraph"/>
              <w:keepLines/>
              <w:numPr>
                <w:ilvl w:val="0"/>
                <w:numId w:val="9"/>
              </w:numPr>
              <w:jc w:val="both"/>
            </w:pPr>
            <w:r>
              <w:t>ir a</w:t>
            </w:r>
            <w:r w:rsidR="00FE0977">
              <w:t>tcelts termiņš</w:t>
            </w:r>
            <w:r w:rsidR="00311C25">
              <w:t>,</w:t>
            </w:r>
            <w:r w:rsidR="00FE0977">
              <w:t xml:space="preserve"> kurā valsts galvojuma pretendentam ir jāiesniedz papildus informācija</w:t>
            </w:r>
            <w:r w:rsidR="00BF416C">
              <w:t>.</w:t>
            </w:r>
          </w:p>
          <w:p w14:paraId="36743432" w14:textId="3C444F94" w:rsidR="00BF416C" w:rsidRDefault="00FE0977" w:rsidP="00D5217E">
            <w:pPr>
              <w:keepLines/>
              <w:jc w:val="both"/>
            </w:pPr>
            <w:r>
              <w:t xml:space="preserve"> </w:t>
            </w:r>
          </w:p>
          <w:p w14:paraId="690505DF" w14:textId="2ADADFB1" w:rsidR="009B003D" w:rsidRPr="009B003D" w:rsidRDefault="007C7F35" w:rsidP="00EF5264">
            <w:pPr>
              <w:keepLines/>
              <w:jc w:val="both"/>
            </w:pPr>
            <w:r>
              <w:t>P</w:t>
            </w:r>
            <w:r w:rsidR="00730C1B">
              <w:t>rojektā precizēt</w:t>
            </w:r>
            <w:r w:rsidR="005E06B5">
              <w:t xml:space="preserve">s formulējums par </w:t>
            </w:r>
            <w:r w:rsidR="00730C1B">
              <w:t>zvērināta revidenta sniegto atzinumu un vārdi</w:t>
            </w:r>
            <w:r w:rsidR="00730C1B" w:rsidRPr="00730C1B">
              <w:t xml:space="preserve"> “zvērināta revidenta atzinums” (attiecīgā locījumā) </w:t>
            </w:r>
            <w:r w:rsidR="00730C1B">
              <w:t xml:space="preserve">tika aizstāts </w:t>
            </w:r>
            <w:r w:rsidR="00730C1B" w:rsidRPr="00730C1B">
              <w:t>ar  vārdiem “zvērināta revidenta vai zvērinātu revidentu komercsabiedrības izsniegts slēdziens” (attiecīgā locījumā)</w:t>
            </w:r>
            <w:r w:rsidR="00730C1B">
              <w:t xml:space="preserve">, </w:t>
            </w:r>
            <w:r w:rsidR="00E20887">
              <w:t>lai pieļautu iespēju zvērinātam revidentam</w:t>
            </w:r>
            <w:r w:rsidR="00003718">
              <w:t xml:space="preserve"> sniegt slēdzienu par attīstības plānu arī tajā gadījumā, ja viņš pats</w:t>
            </w:r>
            <w:r w:rsidR="00E20887">
              <w:t xml:space="preserve"> nav </w:t>
            </w:r>
            <w:r w:rsidR="00003718">
              <w:t>eksperts</w:t>
            </w:r>
            <w:r w:rsidR="00E20887">
              <w:t xml:space="preserve"> attīstības plān</w:t>
            </w:r>
            <w:r w:rsidR="00003718">
              <w:t>u</w:t>
            </w:r>
            <w:r w:rsidR="00E20887">
              <w:t xml:space="preserve"> izvērtēšanā, bet </w:t>
            </w:r>
            <w:r w:rsidR="00003718">
              <w:t>viņam</w:t>
            </w:r>
            <w:r w:rsidR="00E20887">
              <w:t xml:space="preserve"> savas komercsabiedrības ietvaros ir pieejams</w:t>
            </w:r>
            <w:r w:rsidR="00003718">
              <w:t xml:space="preserve"> profesionāls</w:t>
            </w:r>
            <w:r w:rsidR="00E20887">
              <w:t xml:space="preserve"> eksperts ar pieredzi attīstības plānu (t.sk. finanšu prognožu) izvērtēšanā</w:t>
            </w:r>
            <w:r w:rsidR="00003718">
              <w:t xml:space="preserve">. </w:t>
            </w:r>
          </w:p>
        </w:tc>
      </w:tr>
      <w:tr w:rsidR="00FE0977" w:rsidRPr="00380894" w14:paraId="62F243E9" w14:textId="77777777" w:rsidTr="001C0467">
        <w:trPr>
          <w:cantSplit/>
        </w:trPr>
        <w:tc>
          <w:tcPr>
            <w:tcW w:w="311" w:type="pct"/>
            <w:hideMark/>
          </w:tcPr>
          <w:p w14:paraId="42566896" w14:textId="77777777" w:rsidR="00FE0977" w:rsidRPr="00380894" w:rsidRDefault="00FE0977" w:rsidP="00FE0977">
            <w:pPr>
              <w:keepLines/>
              <w:contextualSpacing/>
              <w:jc w:val="center"/>
            </w:pPr>
            <w:r w:rsidRPr="00380894">
              <w:lastRenderedPageBreak/>
              <w:t>3.</w:t>
            </w:r>
          </w:p>
        </w:tc>
        <w:tc>
          <w:tcPr>
            <w:tcW w:w="1479" w:type="pct"/>
            <w:hideMark/>
          </w:tcPr>
          <w:p w14:paraId="07F711FF" w14:textId="77777777" w:rsidR="00FE0977" w:rsidRPr="00380894" w:rsidRDefault="00FE0977" w:rsidP="00FE0977">
            <w:pPr>
              <w:keepLines/>
              <w:contextualSpacing/>
            </w:pPr>
            <w:r w:rsidRPr="00380894">
              <w:t>Projekta izstrādē iesaistītās institūcijas un publiskas personas kapitālsabiedrības</w:t>
            </w:r>
          </w:p>
        </w:tc>
        <w:tc>
          <w:tcPr>
            <w:tcW w:w="3210" w:type="pct"/>
            <w:tcBorders>
              <w:top w:val="single" w:sz="4" w:space="0" w:color="auto"/>
            </w:tcBorders>
            <w:hideMark/>
          </w:tcPr>
          <w:p w14:paraId="2C7A17DD" w14:textId="03914990" w:rsidR="00FE0977" w:rsidRPr="00380894" w:rsidRDefault="00FE0977" w:rsidP="00FE0977">
            <w:pPr>
              <w:keepLines/>
              <w:contextualSpacing/>
            </w:pPr>
            <w:r>
              <w:t>Valsts kase, Finanšu ministrija.</w:t>
            </w:r>
          </w:p>
        </w:tc>
      </w:tr>
      <w:tr w:rsidR="00FE0977" w:rsidRPr="00380894" w14:paraId="1A115AEC" w14:textId="77777777" w:rsidTr="00B34CA9">
        <w:trPr>
          <w:cantSplit/>
        </w:trPr>
        <w:tc>
          <w:tcPr>
            <w:tcW w:w="311" w:type="pct"/>
            <w:hideMark/>
          </w:tcPr>
          <w:p w14:paraId="03243E8E" w14:textId="77777777" w:rsidR="00FE0977" w:rsidRPr="00380894" w:rsidRDefault="00FE0977" w:rsidP="00FE0977">
            <w:pPr>
              <w:keepLines/>
              <w:contextualSpacing/>
              <w:jc w:val="center"/>
            </w:pPr>
            <w:r w:rsidRPr="00380894">
              <w:lastRenderedPageBreak/>
              <w:t>4.</w:t>
            </w:r>
          </w:p>
        </w:tc>
        <w:tc>
          <w:tcPr>
            <w:tcW w:w="1479" w:type="pct"/>
            <w:hideMark/>
          </w:tcPr>
          <w:p w14:paraId="20807932" w14:textId="77777777" w:rsidR="00FE0977" w:rsidRPr="00380894" w:rsidRDefault="00FE0977" w:rsidP="00FE0977">
            <w:pPr>
              <w:keepLines/>
              <w:contextualSpacing/>
            </w:pPr>
            <w:r w:rsidRPr="00380894">
              <w:t>Cita informācija</w:t>
            </w:r>
          </w:p>
        </w:tc>
        <w:tc>
          <w:tcPr>
            <w:tcW w:w="3210" w:type="pct"/>
          </w:tcPr>
          <w:p w14:paraId="7BB64210" w14:textId="49816413" w:rsidR="00FE0977" w:rsidRPr="00380894" w:rsidRDefault="00FE0977" w:rsidP="00FE0977">
            <w:pPr>
              <w:keepLines/>
              <w:contextualSpacing/>
            </w:pPr>
            <w:r>
              <w:t>Nav.</w:t>
            </w:r>
          </w:p>
        </w:tc>
      </w:tr>
    </w:tbl>
    <w:p w14:paraId="26D9D3FF" w14:textId="77777777" w:rsidR="00BD5588" w:rsidRPr="00380894" w:rsidRDefault="00BD5588" w:rsidP="007207FD">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4CD457C8" w14:textId="77777777" w:rsidTr="00C54FA5">
        <w:trPr>
          <w:cantSplit/>
        </w:trPr>
        <w:tc>
          <w:tcPr>
            <w:tcW w:w="5000" w:type="pct"/>
            <w:gridSpan w:val="3"/>
            <w:vAlign w:val="center"/>
            <w:hideMark/>
          </w:tcPr>
          <w:p w14:paraId="0DA6A353" w14:textId="77777777" w:rsidR="00BD5588" w:rsidRPr="001A2563" w:rsidRDefault="00BD5588" w:rsidP="007207FD">
            <w:pPr>
              <w:contextualSpacing/>
              <w:jc w:val="center"/>
              <w:rPr>
                <w:b/>
                <w:bCs/>
              </w:rPr>
            </w:pPr>
            <w:r w:rsidRPr="001A2563">
              <w:rPr>
                <w:b/>
                <w:bCs/>
              </w:rPr>
              <w:t>II. Tiesību akta projekta ietekme uz sabiedrību, tautsaimniecības attīstību un administratīvo slogu</w:t>
            </w:r>
          </w:p>
        </w:tc>
      </w:tr>
      <w:tr w:rsidR="00BD5588" w:rsidRPr="001A2563" w14:paraId="3249AA98" w14:textId="77777777" w:rsidTr="00C54FA5">
        <w:trPr>
          <w:cantSplit/>
        </w:trPr>
        <w:tc>
          <w:tcPr>
            <w:tcW w:w="311" w:type="pct"/>
            <w:hideMark/>
          </w:tcPr>
          <w:p w14:paraId="09386914" w14:textId="77777777" w:rsidR="00BD5588" w:rsidRPr="001A2563" w:rsidRDefault="00BD5588" w:rsidP="007207FD">
            <w:pPr>
              <w:contextualSpacing/>
              <w:jc w:val="center"/>
            </w:pPr>
            <w:r w:rsidRPr="001A2563">
              <w:t>1.</w:t>
            </w:r>
          </w:p>
        </w:tc>
        <w:tc>
          <w:tcPr>
            <w:tcW w:w="1479" w:type="pct"/>
            <w:hideMark/>
          </w:tcPr>
          <w:p w14:paraId="5423DA70" w14:textId="7DAC52B5" w:rsidR="00BD5588" w:rsidRPr="001A2563" w:rsidRDefault="00BD5588" w:rsidP="007207FD">
            <w:pPr>
              <w:contextualSpacing/>
            </w:pPr>
            <w:r w:rsidRPr="001A2563">
              <w:t xml:space="preserve">Sabiedrības </w:t>
            </w:r>
            <w:proofErr w:type="spellStart"/>
            <w:r w:rsidRPr="001A2563">
              <w:t>mē</w:t>
            </w:r>
            <w:r w:rsidR="003D325B">
              <w:t>rķ</w:t>
            </w:r>
            <w:r w:rsidRPr="001A2563">
              <w:t>grupas</w:t>
            </w:r>
            <w:proofErr w:type="spellEnd"/>
            <w:r w:rsidRPr="001A2563">
              <w:t>, kuras tiesiskais regulējums ietekmē vai varētu ietekmēt</w:t>
            </w:r>
          </w:p>
        </w:tc>
        <w:tc>
          <w:tcPr>
            <w:tcW w:w="3210" w:type="pct"/>
            <w:hideMark/>
          </w:tcPr>
          <w:p w14:paraId="528ACF90" w14:textId="14D4F511" w:rsidR="00BD5588" w:rsidRPr="00A7356D" w:rsidRDefault="001B4317" w:rsidP="001B4317">
            <w:pPr>
              <w:contextualSpacing/>
              <w:jc w:val="both"/>
              <w:rPr>
                <w:highlight w:val="yellow"/>
              </w:rPr>
            </w:pPr>
            <w:r w:rsidRPr="001B4317">
              <w:t xml:space="preserve">Nozaru ministrijas, valsts </w:t>
            </w:r>
            <w:r>
              <w:t>galvojumu</w:t>
            </w:r>
            <w:r w:rsidRPr="001B4317">
              <w:t xml:space="preserve"> saņēmēji</w:t>
            </w:r>
            <w:r w:rsidR="00580BCC">
              <w:t xml:space="preserve"> un pretendenti</w:t>
            </w:r>
            <w:r w:rsidRPr="001B4317">
              <w:t>.</w:t>
            </w:r>
          </w:p>
        </w:tc>
      </w:tr>
      <w:tr w:rsidR="000966B3" w:rsidRPr="001A2563" w14:paraId="25F9DC73" w14:textId="77777777" w:rsidTr="006C1265">
        <w:trPr>
          <w:cantSplit/>
        </w:trPr>
        <w:tc>
          <w:tcPr>
            <w:tcW w:w="311" w:type="pct"/>
            <w:hideMark/>
          </w:tcPr>
          <w:p w14:paraId="4F22568B" w14:textId="77777777" w:rsidR="000966B3" w:rsidRPr="001A2563" w:rsidRDefault="000966B3" w:rsidP="000966B3">
            <w:pPr>
              <w:contextualSpacing/>
              <w:jc w:val="center"/>
            </w:pPr>
            <w:r w:rsidRPr="001A2563">
              <w:t>2.</w:t>
            </w:r>
          </w:p>
        </w:tc>
        <w:tc>
          <w:tcPr>
            <w:tcW w:w="1479" w:type="pct"/>
            <w:hideMark/>
          </w:tcPr>
          <w:p w14:paraId="735EFDB7" w14:textId="77777777" w:rsidR="000966B3" w:rsidRPr="001A2563" w:rsidRDefault="000966B3" w:rsidP="000966B3">
            <w:pPr>
              <w:contextualSpacing/>
            </w:pPr>
            <w:r w:rsidRPr="001A2563">
              <w:t>Tiesiskā regulējuma ietekme uz tautsaimniecību un administratīvo slogu</w:t>
            </w:r>
          </w:p>
        </w:tc>
        <w:tc>
          <w:tcPr>
            <w:tcW w:w="3210" w:type="pct"/>
          </w:tcPr>
          <w:p w14:paraId="0FBB7811" w14:textId="1849C0BB" w:rsidR="000966B3" w:rsidRPr="001A2563" w:rsidRDefault="000966B3" w:rsidP="000966B3">
            <w:pPr>
              <w:contextualSpacing/>
              <w:jc w:val="both"/>
            </w:pPr>
            <w:r>
              <w:t xml:space="preserve">Projekts šo jomu neskar. </w:t>
            </w:r>
          </w:p>
        </w:tc>
      </w:tr>
      <w:tr w:rsidR="000966B3" w:rsidRPr="001A2563" w14:paraId="18C7C5BC" w14:textId="77777777" w:rsidTr="00C54FA5">
        <w:trPr>
          <w:cantSplit/>
        </w:trPr>
        <w:tc>
          <w:tcPr>
            <w:tcW w:w="311" w:type="pct"/>
            <w:hideMark/>
          </w:tcPr>
          <w:p w14:paraId="7D8AEB0F" w14:textId="77777777" w:rsidR="000966B3" w:rsidRPr="001A2563" w:rsidRDefault="000966B3" w:rsidP="000966B3">
            <w:pPr>
              <w:contextualSpacing/>
              <w:jc w:val="center"/>
            </w:pPr>
            <w:r w:rsidRPr="001A2563">
              <w:t>3.</w:t>
            </w:r>
          </w:p>
        </w:tc>
        <w:tc>
          <w:tcPr>
            <w:tcW w:w="1479" w:type="pct"/>
            <w:hideMark/>
          </w:tcPr>
          <w:p w14:paraId="5568A2FF" w14:textId="77777777" w:rsidR="000966B3" w:rsidRPr="001A2563" w:rsidRDefault="000966B3" w:rsidP="000966B3">
            <w:pPr>
              <w:contextualSpacing/>
            </w:pPr>
            <w:r w:rsidRPr="001A2563">
              <w:t>Administratīvo izmaksu monetārs novērtējums</w:t>
            </w:r>
          </w:p>
        </w:tc>
        <w:tc>
          <w:tcPr>
            <w:tcW w:w="3210" w:type="pct"/>
            <w:hideMark/>
          </w:tcPr>
          <w:p w14:paraId="5A520CF4" w14:textId="7F8621BD" w:rsidR="000966B3" w:rsidRPr="001A2563" w:rsidRDefault="000966B3" w:rsidP="000966B3">
            <w:pPr>
              <w:contextualSpacing/>
              <w:jc w:val="both"/>
            </w:pPr>
            <w:r>
              <w:t>Projekts šo jomu neskar.</w:t>
            </w:r>
          </w:p>
        </w:tc>
      </w:tr>
      <w:tr w:rsidR="000966B3" w:rsidRPr="001A2563" w14:paraId="0EE06C94" w14:textId="77777777" w:rsidTr="00C54FA5">
        <w:trPr>
          <w:cantSplit/>
        </w:trPr>
        <w:tc>
          <w:tcPr>
            <w:tcW w:w="311" w:type="pct"/>
            <w:hideMark/>
          </w:tcPr>
          <w:p w14:paraId="42F96FA6" w14:textId="77777777" w:rsidR="000966B3" w:rsidRPr="001A2563" w:rsidRDefault="000966B3" w:rsidP="000966B3">
            <w:pPr>
              <w:contextualSpacing/>
              <w:jc w:val="center"/>
            </w:pPr>
            <w:r w:rsidRPr="001A2563">
              <w:t>4.</w:t>
            </w:r>
          </w:p>
        </w:tc>
        <w:tc>
          <w:tcPr>
            <w:tcW w:w="1479" w:type="pct"/>
            <w:hideMark/>
          </w:tcPr>
          <w:p w14:paraId="763D0F8A" w14:textId="77777777" w:rsidR="000966B3" w:rsidRPr="001A2563" w:rsidRDefault="000966B3" w:rsidP="000966B3">
            <w:pPr>
              <w:contextualSpacing/>
            </w:pPr>
            <w:r w:rsidRPr="001A2563">
              <w:t>Atbilstības izmaksu monetārs novērtējums</w:t>
            </w:r>
          </w:p>
        </w:tc>
        <w:tc>
          <w:tcPr>
            <w:tcW w:w="3210" w:type="pct"/>
            <w:hideMark/>
          </w:tcPr>
          <w:p w14:paraId="1F8A11FA" w14:textId="5DB5D686" w:rsidR="000966B3" w:rsidRPr="001A2563" w:rsidRDefault="000966B3" w:rsidP="000966B3">
            <w:pPr>
              <w:contextualSpacing/>
              <w:jc w:val="both"/>
            </w:pPr>
            <w:r>
              <w:t>Projekts šo jomu neskar.</w:t>
            </w:r>
          </w:p>
        </w:tc>
      </w:tr>
      <w:tr w:rsidR="000966B3" w:rsidRPr="001A2563" w14:paraId="128A148B" w14:textId="77777777" w:rsidTr="00C54FA5">
        <w:trPr>
          <w:cantSplit/>
        </w:trPr>
        <w:tc>
          <w:tcPr>
            <w:tcW w:w="311" w:type="pct"/>
            <w:hideMark/>
          </w:tcPr>
          <w:p w14:paraId="52B22B8D" w14:textId="77777777" w:rsidR="000966B3" w:rsidRPr="001A2563" w:rsidRDefault="000966B3" w:rsidP="000966B3">
            <w:pPr>
              <w:contextualSpacing/>
              <w:jc w:val="center"/>
            </w:pPr>
            <w:r w:rsidRPr="001A2563">
              <w:t>5.</w:t>
            </w:r>
          </w:p>
        </w:tc>
        <w:tc>
          <w:tcPr>
            <w:tcW w:w="1479" w:type="pct"/>
            <w:hideMark/>
          </w:tcPr>
          <w:p w14:paraId="183DAC7F" w14:textId="77777777" w:rsidR="000966B3" w:rsidRPr="001A2563" w:rsidRDefault="000966B3" w:rsidP="000966B3">
            <w:pPr>
              <w:contextualSpacing/>
            </w:pPr>
            <w:r w:rsidRPr="001A2563">
              <w:t>Cita informācija</w:t>
            </w:r>
          </w:p>
        </w:tc>
        <w:tc>
          <w:tcPr>
            <w:tcW w:w="3210" w:type="pct"/>
            <w:hideMark/>
          </w:tcPr>
          <w:p w14:paraId="110F49AC" w14:textId="19F18A74" w:rsidR="000966B3" w:rsidRPr="001A2563" w:rsidRDefault="000966B3" w:rsidP="000966B3">
            <w:pPr>
              <w:contextualSpacing/>
              <w:jc w:val="both"/>
            </w:pPr>
            <w:r w:rsidRPr="001A2563">
              <w:t>Nav</w:t>
            </w:r>
            <w:r>
              <w:t>.</w:t>
            </w:r>
          </w:p>
        </w:tc>
      </w:tr>
    </w:tbl>
    <w:p w14:paraId="5642CFCB" w14:textId="77777777" w:rsidR="00BD5588" w:rsidRPr="002D5EFE" w:rsidRDefault="00BD5588" w:rsidP="002D5EFE">
      <w:pPr>
        <w:pStyle w:val="Title"/>
        <w:contextualSpacing/>
        <w:jc w:val="both"/>
        <w:rPr>
          <w:sz w:val="24"/>
          <w:szCs w:val="24"/>
        </w:rPr>
      </w:pPr>
    </w:p>
    <w:tbl>
      <w:tblPr>
        <w:tblW w:w="5006" w:type="pct"/>
        <w:tblInd w:w="-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6"/>
      </w:tblGrid>
      <w:tr w:rsidR="002D5EFE" w:rsidRPr="002D5EFE" w14:paraId="64ABA0CD" w14:textId="77777777" w:rsidTr="00F02C0A">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2A7A88" w14:textId="77777777" w:rsidR="00101250" w:rsidRPr="002D5EFE" w:rsidRDefault="00101250" w:rsidP="007207FD">
            <w:pPr>
              <w:contextualSpacing/>
              <w:jc w:val="center"/>
              <w:rPr>
                <w:b/>
                <w:bCs/>
              </w:rPr>
            </w:pPr>
            <w:r w:rsidRPr="002D5EFE">
              <w:rPr>
                <w:b/>
                <w:bCs/>
              </w:rPr>
              <w:t>III. Tiesību akta projekta ietekme uz valsts budžetu un pašvaldību budžetiem</w:t>
            </w:r>
          </w:p>
        </w:tc>
      </w:tr>
      <w:tr w:rsidR="00677691" w:rsidRPr="002D5EFE" w14:paraId="4601B696" w14:textId="77777777" w:rsidTr="00F02C0A">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tcPr>
          <w:p w14:paraId="795B7E1A" w14:textId="1E56EF1C" w:rsidR="00677691" w:rsidRPr="002D5EFE" w:rsidRDefault="00267773" w:rsidP="007207FD">
            <w:pPr>
              <w:contextualSpacing/>
              <w:jc w:val="center"/>
              <w:rPr>
                <w:b/>
                <w:bCs/>
              </w:rPr>
            </w:pPr>
            <w:r w:rsidRPr="001A2563">
              <w:rPr>
                <w:bCs/>
              </w:rPr>
              <w:t>Projekts šo jomu neskar</w:t>
            </w:r>
            <w:r w:rsidR="00A7356D">
              <w:rPr>
                <w:bCs/>
              </w:rPr>
              <w:t>.</w:t>
            </w:r>
          </w:p>
        </w:tc>
      </w:tr>
      <w:tr w:rsidR="00BD5588" w:rsidRPr="001A2563" w14:paraId="6818809A" w14:textId="77777777" w:rsidTr="0061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66" w:type="dxa"/>
            <w:vAlign w:val="center"/>
            <w:hideMark/>
          </w:tcPr>
          <w:p w14:paraId="02B1550D" w14:textId="77777777" w:rsidR="00BD5588" w:rsidRPr="001A2563" w:rsidRDefault="00BD5588" w:rsidP="007207FD">
            <w:pPr>
              <w:contextualSpacing/>
              <w:jc w:val="center"/>
              <w:rPr>
                <w:b/>
                <w:bCs/>
              </w:rPr>
            </w:pPr>
            <w:r w:rsidRPr="001A2563">
              <w:rPr>
                <w:b/>
                <w:bCs/>
              </w:rPr>
              <w:t>IV. Tiesību akta projekta ietekme uz spēkā esošo tiesību normu sistēmu</w:t>
            </w:r>
          </w:p>
        </w:tc>
      </w:tr>
      <w:tr w:rsidR="00DD4D6D" w:rsidRPr="001A2563" w14:paraId="22C00B8B" w14:textId="77777777" w:rsidTr="0061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66" w:type="dxa"/>
            <w:vAlign w:val="center"/>
          </w:tcPr>
          <w:p w14:paraId="0F0A8C96" w14:textId="36A4E3BB" w:rsidR="00DD4D6D" w:rsidRPr="001A2563" w:rsidRDefault="00DD4D6D" w:rsidP="007207FD">
            <w:pPr>
              <w:contextualSpacing/>
              <w:jc w:val="center"/>
              <w:rPr>
                <w:bCs/>
              </w:rPr>
            </w:pPr>
            <w:r w:rsidRPr="001A2563">
              <w:rPr>
                <w:bCs/>
              </w:rPr>
              <w:t>Projekts šo jomu neskar</w:t>
            </w:r>
            <w:r w:rsidR="00A7356D">
              <w:rPr>
                <w:bCs/>
              </w:rPr>
              <w:t>.</w:t>
            </w:r>
          </w:p>
        </w:tc>
      </w:tr>
    </w:tbl>
    <w:p w14:paraId="7F3944B4" w14:textId="77777777" w:rsidR="00415D0E" w:rsidRDefault="00415D0E"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15D0E" w:rsidRPr="001A2563" w14:paraId="44AD96C9" w14:textId="77777777" w:rsidTr="00415D0E">
        <w:trPr>
          <w:cantSplit/>
        </w:trPr>
        <w:tc>
          <w:tcPr>
            <w:tcW w:w="5000" w:type="pct"/>
            <w:gridSpan w:val="3"/>
            <w:vAlign w:val="center"/>
            <w:hideMark/>
          </w:tcPr>
          <w:p w14:paraId="16C95424" w14:textId="7896A097" w:rsidR="00415D0E" w:rsidRPr="001A2563" w:rsidRDefault="00415D0E" w:rsidP="00415D0E">
            <w:pPr>
              <w:contextualSpacing/>
              <w:jc w:val="center"/>
              <w:rPr>
                <w:b/>
                <w:bCs/>
              </w:rPr>
            </w:pPr>
            <w:r w:rsidRPr="001A2563">
              <w:rPr>
                <w:b/>
                <w:bCs/>
              </w:rPr>
              <w:t>V. Tiesību akta projekta atbilstība Latvijas Republikas starptautiskajām saistībām</w:t>
            </w:r>
          </w:p>
        </w:tc>
      </w:tr>
      <w:tr w:rsidR="00415D0E" w:rsidRPr="001A2563" w14:paraId="366D7937" w14:textId="77777777" w:rsidTr="00415D0E">
        <w:trPr>
          <w:cantSplit/>
        </w:trPr>
        <w:tc>
          <w:tcPr>
            <w:tcW w:w="311" w:type="pct"/>
            <w:hideMark/>
          </w:tcPr>
          <w:p w14:paraId="527E6F37" w14:textId="77777777" w:rsidR="00415D0E" w:rsidRPr="001A2563" w:rsidRDefault="00415D0E" w:rsidP="00415D0E">
            <w:pPr>
              <w:contextualSpacing/>
              <w:jc w:val="center"/>
            </w:pPr>
            <w:r w:rsidRPr="001A2563">
              <w:t>1.</w:t>
            </w:r>
          </w:p>
        </w:tc>
        <w:tc>
          <w:tcPr>
            <w:tcW w:w="1479" w:type="pct"/>
            <w:hideMark/>
          </w:tcPr>
          <w:p w14:paraId="577D74C9" w14:textId="4A4F0248" w:rsidR="00415D0E" w:rsidRPr="001A2563" w:rsidRDefault="00E57221" w:rsidP="00415D0E">
            <w:pPr>
              <w:contextualSpacing/>
            </w:pPr>
            <w:r w:rsidRPr="00C32CEF">
              <w:t>Saistības pret Eiropas Savienību</w:t>
            </w:r>
          </w:p>
        </w:tc>
        <w:tc>
          <w:tcPr>
            <w:tcW w:w="3210" w:type="pct"/>
            <w:hideMark/>
          </w:tcPr>
          <w:p w14:paraId="02F61AC4" w14:textId="22413021" w:rsidR="00415D0E" w:rsidRPr="00A7356D" w:rsidRDefault="00E21888" w:rsidP="00E10B23">
            <w:pPr>
              <w:contextualSpacing/>
              <w:jc w:val="both"/>
              <w:rPr>
                <w:highlight w:val="yellow"/>
              </w:rPr>
            </w:pPr>
            <w:r>
              <w:t xml:space="preserve">Projekts šo jomu neskar. </w:t>
            </w:r>
          </w:p>
        </w:tc>
      </w:tr>
      <w:tr w:rsidR="00415D0E" w:rsidRPr="001A2563" w14:paraId="252FE7BB" w14:textId="77777777" w:rsidTr="00415D0E">
        <w:trPr>
          <w:cantSplit/>
        </w:trPr>
        <w:tc>
          <w:tcPr>
            <w:tcW w:w="311" w:type="pct"/>
            <w:hideMark/>
          </w:tcPr>
          <w:p w14:paraId="20D00CAD" w14:textId="77777777" w:rsidR="00415D0E" w:rsidRPr="001A2563" w:rsidRDefault="00415D0E" w:rsidP="00415D0E">
            <w:pPr>
              <w:contextualSpacing/>
              <w:jc w:val="center"/>
            </w:pPr>
            <w:r w:rsidRPr="001A2563">
              <w:t>2.</w:t>
            </w:r>
          </w:p>
        </w:tc>
        <w:tc>
          <w:tcPr>
            <w:tcW w:w="1479" w:type="pct"/>
            <w:hideMark/>
          </w:tcPr>
          <w:p w14:paraId="6882FD38" w14:textId="1BEC9727" w:rsidR="00415D0E" w:rsidRPr="001A2563" w:rsidRDefault="00E57221" w:rsidP="00415D0E">
            <w:pPr>
              <w:contextualSpacing/>
            </w:pPr>
            <w:r w:rsidRPr="00C32CEF">
              <w:t>Citas starptautiskās saistības</w:t>
            </w:r>
          </w:p>
        </w:tc>
        <w:tc>
          <w:tcPr>
            <w:tcW w:w="3210" w:type="pct"/>
          </w:tcPr>
          <w:p w14:paraId="04394C47" w14:textId="77777777" w:rsidR="00415D0E" w:rsidRPr="001A2563" w:rsidRDefault="00415D0E" w:rsidP="00415D0E">
            <w:pPr>
              <w:contextualSpacing/>
              <w:jc w:val="both"/>
            </w:pPr>
            <w:r>
              <w:t xml:space="preserve">Projekts šo jomu neskar. </w:t>
            </w:r>
          </w:p>
        </w:tc>
      </w:tr>
      <w:tr w:rsidR="00415D0E" w:rsidRPr="001A2563" w14:paraId="4DB91E5B" w14:textId="77777777" w:rsidTr="00415D0E">
        <w:trPr>
          <w:cantSplit/>
        </w:trPr>
        <w:tc>
          <w:tcPr>
            <w:tcW w:w="311" w:type="pct"/>
            <w:hideMark/>
          </w:tcPr>
          <w:p w14:paraId="39D9C3A8" w14:textId="77777777" w:rsidR="00415D0E" w:rsidRPr="001A2563" w:rsidRDefault="00415D0E" w:rsidP="00415D0E">
            <w:pPr>
              <w:contextualSpacing/>
              <w:jc w:val="center"/>
            </w:pPr>
            <w:r w:rsidRPr="001A2563">
              <w:t>3.</w:t>
            </w:r>
          </w:p>
        </w:tc>
        <w:tc>
          <w:tcPr>
            <w:tcW w:w="1479" w:type="pct"/>
            <w:hideMark/>
          </w:tcPr>
          <w:p w14:paraId="7233CBE2" w14:textId="469E6B74" w:rsidR="00415D0E" w:rsidRPr="001A2563" w:rsidRDefault="00E57221" w:rsidP="00415D0E">
            <w:pPr>
              <w:contextualSpacing/>
            </w:pPr>
            <w:r w:rsidRPr="00C32CEF">
              <w:t>Cita informācija</w:t>
            </w:r>
          </w:p>
        </w:tc>
        <w:tc>
          <w:tcPr>
            <w:tcW w:w="3210" w:type="pct"/>
            <w:hideMark/>
          </w:tcPr>
          <w:p w14:paraId="3DFD33F3" w14:textId="77777777" w:rsidR="00415D0E" w:rsidRDefault="00E21888" w:rsidP="00415D0E">
            <w:pPr>
              <w:contextualSpacing/>
              <w:jc w:val="both"/>
            </w:pPr>
            <w:r>
              <w:t>Projekta 55. punkta izstrādē ņemti vērā Eiropas Komisijas paziņojuma par EK līguma 87. un 88. panta piemērošanu valsts atbalstam garantiju veidā prasības un nosacījumi (publicēts Eiropas Savienības Oficiālajā Vēstnesī 2008.gada 20.jūnijā, C 155).</w:t>
            </w:r>
          </w:p>
          <w:p w14:paraId="4821A4B9" w14:textId="6B4B94C9" w:rsidR="001A7E0B" w:rsidRPr="001A2563" w:rsidRDefault="001A7E0B" w:rsidP="000B53C8">
            <w:pPr>
              <w:contextualSpacing/>
              <w:jc w:val="both"/>
            </w:pPr>
            <w:r>
              <w:t>Projekta 27.</w:t>
            </w:r>
            <w:r w:rsidR="00A52C46">
              <w:t> </w:t>
            </w:r>
            <w:r>
              <w:t>punkt</w:t>
            </w:r>
            <w:r w:rsidR="000E490E">
              <w:t xml:space="preserve">ā minētais subjekts -  </w:t>
            </w:r>
            <w:proofErr w:type="spellStart"/>
            <w:r w:rsidR="000E490E">
              <w:t>mikrouzņēmums</w:t>
            </w:r>
            <w:proofErr w:type="spellEnd"/>
            <w:r w:rsidR="000E490E">
              <w:t>, mazais un vidējais uzņēmums pilnībā atbilst</w:t>
            </w:r>
            <w:r>
              <w:t xml:space="preserve"> </w:t>
            </w:r>
            <w:r w:rsidRPr="001A7E0B">
              <w:t>Komisijas Regula</w:t>
            </w:r>
            <w:r w:rsidR="000B53C8">
              <w:t>s</w:t>
            </w:r>
            <w:r w:rsidRPr="001A7E0B">
              <w:t xml:space="preserve"> (ES) 2014. gada 17. jūnija Nr.651/2014, ar ko noteiktas atbalsta kategorijas atzīst par saderīgām ar iekšējo tirgu, piemērojot Līguma 107. un 108.pantu</w:t>
            </w:r>
            <w:r>
              <w:t xml:space="preserve"> (publicēts Eiropas Savienības Oficiālajā Vēstnesī 2014.gada 26.jūnijā, L 187/1)</w:t>
            </w:r>
            <w:r w:rsidR="000E490E">
              <w:t xml:space="preserve"> 1.</w:t>
            </w:r>
            <w:r w:rsidR="00A52C46">
              <w:t> </w:t>
            </w:r>
            <w:r w:rsidR="000E490E">
              <w:t>pi</w:t>
            </w:r>
            <w:r w:rsidR="00291952">
              <w:t>e</w:t>
            </w:r>
            <w:r w:rsidR="000E490E">
              <w:t xml:space="preserve">likumā minētajai </w:t>
            </w:r>
            <w:r w:rsidR="00291952">
              <w:t>definīcijai</w:t>
            </w:r>
            <w:r>
              <w:t>.</w:t>
            </w:r>
          </w:p>
        </w:tc>
      </w:tr>
    </w:tbl>
    <w:p w14:paraId="1CEC93F6" w14:textId="2B0C9F3E" w:rsidR="00415D0E" w:rsidRPr="001A2563" w:rsidRDefault="00415D0E"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702"/>
        <w:gridCol w:w="7080"/>
      </w:tblGrid>
      <w:tr w:rsidR="00BD5588" w:rsidRPr="001A2563" w14:paraId="50112339" w14:textId="77777777" w:rsidTr="00D14D05">
        <w:trPr>
          <w:cantSplit/>
        </w:trPr>
        <w:tc>
          <w:tcPr>
            <w:tcW w:w="5000" w:type="pct"/>
            <w:gridSpan w:val="3"/>
            <w:vAlign w:val="center"/>
            <w:hideMark/>
          </w:tcPr>
          <w:p w14:paraId="530DB622" w14:textId="77777777" w:rsidR="00BD5588" w:rsidRPr="001A2563" w:rsidRDefault="00BD5588" w:rsidP="007207FD">
            <w:pPr>
              <w:contextualSpacing/>
              <w:jc w:val="center"/>
              <w:rPr>
                <w:b/>
                <w:bCs/>
              </w:rPr>
            </w:pPr>
            <w:r w:rsidRPr="001A2563">
              <w:rPr>
                <w:b/>
                <w:bCs/>
              </w:rPr>
              <w:t>VI. Sabiedrības līdzdalība un komunikācijas aktivitātes</w:t>
            </w:r>
          </w:p>
        </w:tc>
      </w:tr>
      <w:tr w:rsidR="00BD5588" w:rsidRPr="001A2563" w14:paraId="25FBED6E" w14:textId="77777777" w:rsidTr="003164DC">
        <w:trPr>
          <w:cantSplit/>
        </w:trPr>
        <w:tc>
          <w:tcPr>
            <w:tcW w:w="154" w:type="pct"/>
            <w:hideMark/>
          </w:tcPr>
          <w:p w14:paraId="3C8118A0" w14:textId="77777777" w:rsidR="00BD5588" w:rsidRPr="001A2563" w:rsidRDefault="00BD5588" w:rsidP="007207FD">
            <w:pPr>
              <w:contextualSpacing/>
              <w:jc w:val="center"/>
            </w:pPr>
            <w:r w:rsidRPr="001A2563">
              <w:t>1.</w:t>
            </w:r>
          </w:p>
        </w:tc>
        <w:tc>
          <w:tcPr>
            <w:tcW w:w="939" w:type="pct"/>
            <w:hideMark/>
          </w:tcPr>
          <w:p w14:paraId="3F9A8093" w14:textId="77777777" w:rsidR="00BD5588" w:rsidRPr="001A2563" w:rsidRDefault="00BD5588" w:rsidP="007207FD">
            <w:pPr>
              <w:contextualSpacing/>
            </w:pPr>
            <w:r w:rsidRPr="001A2563">
              <w:t>Plānotās sabiedrības līdzdalības un komunikācijas aktivitātes saistībā ar projektu</w:t>
            </w:r>
          </w:p>
        </w:tc>
        <w:tc>
          <w:tcPr>
            <w:tcW w:w="3907" w:type="pct"/>
            <w:hideMark/>
          </w:tcPr>
          <w:p w14:paraId="25436810" w14:textId="29C45248" w:rsidR="00D434E0" w:rsidRPr="00611993" w:rsidRDefault="00D434E0" w:rsidP="00611993">
            <w:pPr>
              <w:pStyle w:val="NormalWeb"/>
              <w:spacing w:line="252" w:lineRule="auto"/>
              <w:jc w:val="both"/>
              <w:rPr>
                <w:color w:val="000000"/>
              </w:rPr>
            </w:pPr>
            <w:r w:rsidRPr="00611993">
              <w:rPr>
                <w:iCs/>
              </w:rPr>
              <w:t>Informācija par projekta izstrādi ir publicēta Finanšu ministrijas tīmekļvietnē sadaļā “Sabiedrības līdzdalība” – “Tiesību aktu projekti” – “Valsts budžeta politika”</w:t>
            </w:r>
            <w:r w:rsidR="00105DC0">
              <w:rPr>
                <w:iCs/>
              </w:rPr>
              <w:t xml:space="preserve"> un Valsts kases </w:t>
            </w:r>
            <w:r w:rsidR="00105DC0" w:rsidRPr="008F1033">
              <w:rPr>
                <w:iCs/>
              </w:rPr>
              <w:t>tīmekļvietnē sadaļā “Sabiedrības līdzdalība” – “Tiesību aktu projekti”</w:t>
            </w:r>
            <w:r w:rsidRPr="00611993">
              <w:rPr>
                <w:iCs/>
              </w:rPr>
              <w:t>. L</w:t>
            </w:r>
            <w:r w:rsidRPr="00611993">
              <w:rPr>
                <w:iCs/>
                <w:spacing w:val="-2"/>
              </w:rPr>
              <w:t xml:space="preserve">īdz ar to sabiedrības pārstāvji varēja līdzdarboties projekta izstrādē, </w:t>
            </w:r>
            <w:proofErr w:type="spellStart"/>
            <w:r w:rsidRPr="00611993">
              <w:rPr>
                <w:iCs/>
                <w:spacing w:val="-2"/>
              </w:rPr>
              <w:t>rakstveidā</w:t>
            </w:r>
            <w:proofErr w:type="spellEnd"/>
            <w:r w:rsidRPr="00611993">
              <w:rPr>
                <w:iCs/>
                <w:spacing w:val="-2"/>
              </w:rPr>
              <w:t xml:space="preserve"> sniedzot viedokļus par projektu.</w:t>
            </w:r>
            <w:r w:rsidRPr="00611993">
              <w:rPr>
                <w:iCs/>
              </w:rPr>
              <w:t xml:space="preserve"> </w:t>
            </w:r>
            <w:r w:rsidRPr="00611993">
              <w:rPr>
                <w:iCs/>
                <w:spacing w:val="-2"/>
              </w:rPr>
              <w:t>Tāpat sabiedrības pārstāvji varē</w:t>
            </w:r>
            <w:r w:rsidR="00DB3D3A">
              <w:rPr>
                <w:iCs/>
                <w:spacing w:val="-2"/>
              </w:rPr>
              <w:t>ja</w:t>
            </w:r>
            <w:r w:rsidRPr="00611993">
              <w:rPr>
                <w:iCs/>
                <w:spacing w:val="-2"/>
              </w:rPr>
              <w:t xml:space="preserve"> sniegt viedokļus par projektu pēc tā izsludināšanas Valsts sekretāru sanāksmē.</w:t>
            </w:r>
            <w:r w:rsidRPr="007E0962">
              <w:rPr>
                <w:color w:val="000000"/>
              </w:rPr>
              <w:t xml:space="preserve"> </w:t>
            </w:r>
          </w:p>
        </w:tc>
      </w:tr>
      <w:tr w:rsidR="00BD5588" w:rsidRPr="001A2563" w14:paraId="6AA44C09" w14:textId="77777777" w:rsidTr="003164DC">
        <w:trPr>
          <w:cantSplit/>
        </w:trPr>
        <w:tc>
          <w:tcPr>
            <w:tcW w:w="154" w:type="pct"/>
            <w:hideMark/>
          </w:tcPr>
          <w:p w14:paraId="4CD0509A" w14:textId="21E9AE8E" w:rsidR="00BD5588" w:rsidRPr="001A2563" w:rsidRDefault="00BD5588" w:rsidP="007207FD">
            <w:pPr>
              <w:contextualSpacing/>
              <w:jc w:val="center"/>
            </w:pPr>
          </w:p>
        </w:tc>
        <w:tc>
          <w:tcPr>
            <w:tcW w:w="939" w:type="pct"/>
            <w:hideMark/>
          </w:tcPr>
          <w:p w14:paraId="6EB11443" w14:textId="77777777" w:rsidR="00BD5588" w:rsidRPr="001A2563" w:rsidRDefault="00BD5588" w:rsidP="007207FD">
            <w:pPr>
              <w:contextualSpacing/>
            </w:pPr>
            <w:r w:rsidRPr="001A2563">
              <w:t>Sabiedrības līdzdalība projekta izstrādē</w:t>
            </w:r>
          </w:p>
        </w:tc>
        <w:tc>
          <w:tcPr>
            <w:tcW w:w="3907" w:type="pct"/>
            <w:hideMark/>
          </w:tcPr>
          <w:p w14:paraId="5FA1B8AA" w14:textId="7C3C410A" w:rsidR="00D434E0" w:rsidRPr="00611993" w:rsidRDefault="00D434E0" w:rsidP="00611993">
            <w:pPr>
              <w:contextualSpacing/>
              <w:jc w:val="both"/>
            </w:pPr>
            <w:r w:rsidRPr="00611993">
              <w:rPr>
                <w:iCs/>
                <w:spacing w:val="-2"/>
              </w:rPr>
              <w:t xml:space="preserve">Sabiedrības pārstāvji varēja līdzdarboties projekta izstrādē, </w:t>
            </w:r>
            <w:proofErr w:type="spellStart"/>
            <w:r w:rsidRPr="00611993">
              <w:rPr>
                <w:iCs/>
                <w:spacing w:val="-2"/>
              </w:rPr>
              <w:t>rakstveidā</w:t>
            </w:r>
            <w:proofErr w:type="spellEnd"/>
            <w:r w:rsidRPr="00611993">
              <w:rPr>
                <w:iCs/>
                <w:spacing w:val="-2"/>
              </w:rPr>
              <w:t xml:space="preserve"> sniedzot viedokļus par projektu, kas </w:t>
            </w:r>
            <w:r w:rsidRPr="00611993">
              <w:rPr>
                <w:iCs/>
              </w:rPr>
              <w:t>2019.</w:t>
            </w:r>
            <w:r w:rsidR="00105DC0">
              <w:rPr>
                <w:iCs/>
              </w:rPr>
              <w:t> </w:t>
            </w:r>
            <w:r w:rsidRPr="00611993">
              <w:rPr>
                <w:iCs/>
              </w:rPr>
              <w:t>gada 9.</w:t>
            </w:r>
            <w:r w:rsidR="00105DC0">
              <w:rPr>
                <w:iCs/>
              </w:rPr>
              <w:t> </w:t>
            </w:r>
            <w:r w:rsidRPr="00611993">
              <w:rPr>
                <w:iCs/>
              </w:rPr>
              <w:t>septembrī publicēts Finanšu ministrijas</w:t>
            </w:r>
            <w:r w:rsidR="0062404C">
              <w:rPr>
                <w:iCs/>
              </w:rPr>
              <w:t xml:space="preserve"> </w:t>
            </w:r>
            <w:r w:rsidRPr="00611993">
              <w:rPr>
                <w:iCs/>
              </w:rPr>
              <w:t>tīmekļvietnē sadaļā “Sabiedrības līdzdalība” – “Tiesību aktu projekti” – “Valsts budžeta politika”, adrese:</w:t>
            </w:r>
          </w:p>
          <w:p w14:paraId="0B05F293" w14:textId="3D20B1BF" w:rsidR="00D434E0" w:rsidRPr="00D434E0" w:rsidRDefault="0071163B" w:rsidP="00D434E0">
            <w:pPr>
              <w:pStyle w:val="NormalWeb"/>
              <w:spacing w:line="252" w:lineRule="auto"/>
              <w:jc w:val="both"/>
            </w:pPr>
            <w:hyperlink r:id="rId11" w:anchor="project593" w:history="1">
              <w:r w:rsidR="00D434E0" w:rsidRPr="00D434E0">
                <w:rPr>
                  <w:rStyle w:val="Hyperlink"/>
                </w:rPr>
                <w:t>https://www.fm.gov.lv/lv/sabiedribas_lidzdaliba/tiesibu_aktu_projekti/valsts_budzeta_politika#project593</w:t>
              </w:r>
            </w:hyperlink>
            <w:r w:rsidR="00105DC0">
              <w:t>,</w:t>
            </w:r>
            <w:r w:rsidR="00C12D66">
              <w:t xml:space="preserve"> </w:t>
            </w:r>
            <w:r w:rsidR="00105DC0">
              <w:rPr>
                <w:iCs/>
              </w:rPr>
              <w:t xml:space="preserve">Valsts kases </w:t>
            </w:r>
            <w:r w:rsidR="00105DC0" w:rsidRPr="008F1033">
              <w:rPr>
                <w:iCs/>
              </w:rPr>
              <w:t>tīmekļvietnē sadaļā “Sabiedrības līdzdalība” – “Tiesību aktu projekti”</w:t>
            </w:r>
            <w:r w:rsidR="00105DC0">
              <w:rPr>
                <w:iCs/>
              </w:rPr>
              <w:t xml:space="preserve">, adrese: </w:t>
            </w:r>
            <w:hyperlink r:id="rId12" w:history="1">
              <w:r w:rsidR="00105DC0">
                <w:rPr>
                  <w:rStyle w:val="Hyperlink"/>
                </w:rPr>
                <w:t>https://www.kase.gov.lv/valsts-kase/sabiedribas-lidzdaliba</w:t>
              </w:r>
            </w:hyperlink>
          </w:p>
          <w:p w14:paraId="1A6332E5" w14:textId="04DB7C9B" w:rsidR="00D434E0" w:rsidRPr="00611993" w:rsidRDefault="00D434E0" w:rsidP="00611993">
            <w:pPr>
              <w:pStyle w:val="NormalWeb"/>
              <w:spacing w:line="252" w:lineRule="auto"/>
              <w:jc w:val="both"/>
              <w:rPr>
                <w:rFonts w:ascii="Calibri" w:hAnsi="Calibri" w:cs="Calibri"/>
                <w:sz w:val="22"/>
                <w:szCs w:val="22"/>
              </w:rPr>
            </w:pPr>
            <w:r w:rsidRPr="00611993">
              <w:rPr>
                <w:iCs/>
              </w:rPr>
              <w:t>un Ministru kabineta tīmekļvietnē sadaļā “Valsts kanceleja” – “Sabiedrības līdzdalība</w:t>
            </w:r>
            <w:r w:rsidRPr="007E0962">
              <w:t xml:space="preserve">”, </w:t>
            </w:r>
            <w:r w:rsidRPr="00611993">
              <w:rPr>
                <w:iCs/>
              </w:rPr>
              <w:t>adrese:</w:t>
            </w:r>
            <w:r>
              <w:t xml:space="preserve"> </w:t>
            </w:r>
            <w:hyperlink r:id="rId13" w:history="1">
              <w:r>
                <w:rPr>
                  <w:rStyle w:val="Hyperlink"/>
                </w:rPr>
                <w:t>https://mk.gov.lv/content/ministru-kabineta-diskusiju-dokumenti</w:t>
              </w:r>
            </w:hyperlink>
            <w:r>
              <w:rPr>
                <w:color w:val="0070C0"/>
                <w:u w:val="single"/>
              </w:rPr>
              <w:t>.</w:t>
            </w:r>
          </w:p>
        </w:tc>
      </w:tr>
      <w:tr w:rsidR="00BD5588" w:rsidRPr="001A2563" w14:paraId="184EFDF4" w14:textId="77777777" w:rsidTr="003164DC">
        <w:trPr>
          <w:cantSplit/>
        </w:trPr>
        <w:tc>
          <w:tcPr>
            <w:tcW w:w="154" w:type="pct"/>
            <w:hideMark/>
          </w:tcPr>
          <w:p w14:paraId="3C05F519" w14:textId="77777777" w:rsidR="00BD5588" w:rsidRPr="001A2563" w:rsidRDefault="00BD5588" w:rsidP="007207FD">
            <w:pPr>
              <w:contextualSpacing/>
              <w:jc w:val="center"/>
            </w:pPr>
            <w:r w:rsidRPr="001A2563">
              <w:t>3.</w:t>
            </w:r>
          </w:p>
        </w:tc>
        <w:tc>
          <w:tcPr>
            <w:tcW w:w="939" w:type="pct"/>
            <w:hideMark/>
          </w:tcPr>
          <w:p w14:paraId="4B989546" w14:textId="77777777" w:rsidR="00BD5588" w:rsidRPr="001A2563" w:rsidRDefault="00BD5588" w:rsidP="007207FD">
            <w:pPr>
              <w:contextualSpacing/>
            </w:pPr>
            <w:r w:rsidRPr="001A2563">
              <w:t>Sabiedrības līdzdalības rezultāti</w:t>
            </w:r>
          </w:p>
        </w:tc>
        <w:tc>
          <w:tcPr>
            <w:tcW w:w="3907" w:type="pct"/>
            <w:hideMark/>
          </w:tcPr>
          <w:p w14:paraId="37A38C6D" w14:textId="05D95467" w:rsidR="00BD5588" w:rsidRPr="00705801" w:rsidRDefault="004C0AE2" w:rsidP="00805E16">
            <w:pPr>
              <w:contextualSpacing/>
              <w:jc w:val="both"/>
            </w:pPr>
            <w:r w:rsidRPr="00705801">
              <w:t xml:space="preserve">Priekšlikumi </w:t>
            </w:r>
            <w:r w:rsidR="00D434E0">
              <w:t xml:space="preserve">un iebildumi </w:t>
            </w:r>
            <w:r w:rsidRPr="00705801">
              <w:t>no sabiedrības pārstāvjiem netika saņemti</w:t>
            </w:r>
            <w:r w:rsidR="00AF0B01">
              <w:t>.</w:t>
            </w:r>
          </w:p>
        </w:tc>
      </w:tr>
      <w:tr w:rsidR="00BD5588" w:rsidRPr="001A2563" w14:paraId="435F46B7" w14:textId="77777777" w:rsidTr="003164DC">
        <w:trPr>
          <w:cantSplit/>
        </w:trPr>
        <w:tc>
          <w:tcPr>
            <w:tcW w:w="154" w:type="pct"/>
            <w:hideMark/>
          </w:tcPr>
          <w:p w14:paraId="297130A4" w14:textId="77777777" w:rsidR="00BD5588" w:rsidRPr="001A2563" w:rsidRDefault="00BD5588" w:rsidP="007207FD">
            <w:pPr>
              <w:contextualSpacing/>
              <w:jc w:val="center"/>
            </w:pPr>
            <w:r w:rsidRPr="001A2563">
              <w:t>4.</w:t>
            </w:r>
          </w:p>
        </w:tc>
        <w:tc>
          <w:tcPr>
            <w:tcW w:w="939" w:type="pct"/>
            <w:hideMark/>
          </w:tcPr>
          <w:p w14:paraId="7663C37D" w14:textId="77777777" w:rsidR="00BD5588" w:rsidRPr="001A2563" w:rsidRDefault="00BD5588" w:rsidP="007207FD">
            <w:pPr>
              <w:contextualSpacing/>
            </w:pPr>
            <w:r w:rsidRPr="001A2563">
              <w:t>Cita informācija</w:t>
            </w:r>
          </w:p>
        </w:tc>
        <w:tc>
          <w:tcPr>
            <w:tcW w:w="3907" w:type="pct"/>
            <w:hideMark/>
          </w:tcPr>
          <w:p w14:paraId="6C4F904A" w14:textId="096ED165" w:rsidR="00BD5588" w:rsidRPr="001A2563" w:rsidRDefault="00C54FA5" w:rsidP="00791854">
            <w:pPr>
              <w:contextualSpacing/>
              <w:jc w:val="both"/>
            </w:pPr>
            <w:r>
              <w:t>Nav.</w:t>
            </w:r>
          </w:p>
        </w:tc>
      </w:tr>
    </w:tbl>
    <w:p w14:paraId="3928C09C" w14:textId="77777777" w:rsidR="00BD5588" w:rsidRPr="001A2563" w:rsidRDefault="00BD5588" w:rsidP="00E55EB6">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0C348154" w14:textId="77777777" w:rsidTr="00C54FA5">
        <w:trPr>
          <w:cantSplit/>
        </w:trPr>
        <w:tc>
          <w:tcPr>
            <w:tcW w:w="5000" w:type="pct"/>
            <w:gridSpan w:val="3"/>
            <w:vAlign w:val="center"/>
            <w:hideMark/>
          </w:tcPr>
          <w:p w14:paraId="6B71EA40" w14:textId="77777777" w:rsidR="00BD5588" w:rsidRPr="001A2563" w:rsidRDefault="00BD5588" w:rsidP="007207FD">
            <w:pPr>
              <w:contextualSpacing/>
              <w:jc w:val="center"/>
              <w:rPr>
                <w:b/>
                <w:bCs/>
              </w:rPr>
            </w:pPr>
            <w:r w:rsidRPr="001A2563">
              <w:rPr>
                <w:b/>
                <w:bCs/>
              </w:rPr>
              <w:t>VII. Tiesību akta projekta izpildes nodrošināšana un tās ietekme uz institūcijām</w:t>
            </w:r>
          </w:p>
        </w:tc>
      </w:tr>
      <w:tr w:rsidR="00BD5588" w:rsidRPr="001A2563" w14:paraId="3680ADCA" w14:textId="77777777" w:rsidTr="00C54FA5">
        <w:trPr>
          <w:cantSplit/>
        </w:trPr>
        <w:tc>
          <w:tcPr>
            <w:tcW w:w="311" w:type="pct"/>
            <w:hideMark/>
          </w:tcPr>
          <w:p w14:paraId="55523288" w14:textId="77777777" w:rsidR="00BD5588" w:rsidRPr="001A2563" w:rsidRDefault="00BD5588" w:rsidP="007207FD">
            <w:pPr>
              <w:contextualSpacing/>
              <w:jc w:val="center"/>
            </w:pPr>
            <w:r w:rsidRPr="001A2563">
              <w:t>1.</w:t>
            </w:r>
          </w:p>
        </w:tc>
        <w:tc>
          <w:tcPr>
            <w:tcW w:w="1479" w:type="pct"/>
            <w:hideMark/>
          </w:tcPr>
          <w:p w14:paraId="4D695C07" w14:textId="77777777" w:rsidR="00BD5588" w:rsidRPr="001A2563" w:rsidRDefault="00BD5588" w:rsidP="007207FD">
            <w:pPr>
              <w:contextualSpacing/>
            </w:pPr>
            <w:r w:rsidRPr="001A2563">
              <w:t>Projekta izpildē iesaistītās institūcijas</w:t>
            </w:r>
          </w:p>
        </w:tc>
        <w:tc>
          <w:tcPr>
            <w:tcW w:w="3210" w:type="pct"/>
            <w:hideMark/>
          </w:tcPr>
          <w:p w14:paraId="5DFC6377" w14:textId="118746F2" w:rsidR="00BD5588" w:rsidRPr="001A2563" w:rsidRDefault="001B4317" w:rsidP="00791854">
            <w:pPr>
              <w:contextualSpacing/>
              <w:jc w:val="both"/>
            </w:pPr>
            <w:r>
              <w:t>V</w:t>
            </w:r>
            <w:r w:rsidR="00A7356D">
              <w:t>alsts kase, Finanšu ministrija.</w:t>
            </w:r>
          </w:p>
        </w:tc>
      </w:tr>
      <w:tr w:rsidR="001B4317" w:rsidRPr="001A2563" w14:paraId="121D590F" w14:textId="77777777" w:rsidTr="00C54FA5">
        <w:trPr>
          <w:cantSplit/>
        </w:trPr>
        <w:tc>
          <w:tcPr>
            <w:tcW w:w="311" w:type="pct"/>
            <w:hideMark/>
          </w:tcPr>
          <w:p w14:paraId="0197E4E5" w14:textId="77777777" w:rsidR="001B4317" w:rsidRPr="001A2563" w:rsidRDefault="001B4317" w:rsidP="001B4317">
            <w:pPr>
              <w:contextualSpacing/>
              <w:jc w:val="center"/>
            </w:pPr>
            <w:r w:rsidRPr="001A2563">
              <w:t>2.</w:t>
            </w:r>
          </w:p>
        </w:tc>
        <w:tc>
          <w:tcPr>
            <w:tcW w:w="1479" w:type="pct"/>
            <w:hideMark/>
          </w:tcPr>
          <w:p w14:paraId="3B34D5BF" w14:textId="77777777" w:rsidR="001B4317" w:rsidRPr="001A2563" w:rsidRDefault="001B4317" w:rsidP="001B4317">
            <w:pPr>
              <w:contextualSpacing/>
            </w:pPr>
            <w:r w:rsidRPr="001A2563">
              <w:t>Projekta izpildes ietekme uz pārvaldes funkcijām un institucionālo struktūru.</w:t>
            </w:r>
            <w:r w:rsidRPr="001A2563">
              <w:br/>
              <w:t>Jaunu institūciju izveide, esošu institūciju likvidācija vai reorganizācija, to ietekme uz institūcijas cilvēkresursiem</w:t>
            </w:r>
          </w:p>
        </w:tc>
        <w:tc>
          <w:tcPr>
            <w:tcW w:w="3210" w:type="pct"/>
            <w:hideMark/>
          </w:tcPr>
          <w:p w14:paraId="325446F7" w14:textId="77777777" w:rsidR="001B4317" w:rsidRPr="00C32CEF" w:rsidRDefault="001B4317" w:rsidP="001B4317">
            <w:pPr>
              <w:ind w:right="111"/>
              <w:jc w:val="both"/>
            </w:pPr>
            <w:r w:rsidRPr="00C32CEF">
              <w:t>Projekta izpilde paredzēta esošo funkciju, cilvēkresursu un finanšu resursu ietvaros.</w:t>
            </w:r>
          </w:p>
          <w:p w14:paraId="6183A352" w14:textId="66333397" w:rsidR="001B4317" w:rsidRPr="001A2563" w:rsidRDefault="001B4317" w:rsidP="001B4317">
            <w:pPr>
              <w:contextualSpacing/>
              <w:jc w:val="both"/>
            </w:pPr>
            <w:r w:rsidRPr="00C32CEF">
              <w:t>Jaunas institūcijas netiek veidotas, kā arī netiek paredzēta esošo institūciju likvidācija vai reorganizācija.</w:t>
            </w:r>
          </w:p>
        </w:tc>
      </w:tr>
      <w:tr w:rsidR="001B4317" w:rsidRPr="001A2563" w14:paraId="6B306877" w14:textId="77777777" w:rsidTr="00C54FA5">
        <w:trPr>
          <w:cantSplit/>
        </w:trPr>
        <w:tc>
          <w:tcPr>
            <w:tcW w:w="311" w:type="pct"/>
            <w:hideMark/>
          </w:tcPr>
          <w:p w14:paraId="0AEE46E1" w14:textId="77777777" w:rsidR="001B4317" w:rsidRPr="001A2563" w:rsidRDefault="001B4317" w:rsidP="001B4317">
            <w:pPr>
              <w:contextualSpacing/>
              <w:jc w:val="center"/>
            </w:pPr>
            <w:r w:rsidRPr="001A2563">
              <w:t>3.</w:t>
            </w:r>
          </w:p>
        </w:tc>
        <w:tc>
          <w:tcPr>
            <w:tcW w:w="1479" w:type="pct"/>
            <w:hideMark/>
          </w:tcPr>
          <w:p w14:paraId="7221E294" w14:textId="77777777" w:rsidR="001B4317" w:rsidRPr="001A2563" w:rsidRDefault="001B4317" w:rsidP="001B4317">
            <w:pPr>
              <w:contextualSpacing/>
            </w:pPr>
            <w:r w:rsidRPr="001A2563">
              <w:t>Cita informācija</w:t>
            </w:r>
          </w:p>
        </w:tc>
        <w:tc>
          <w:tcPr>
            <w:tcW w:w="3210" w:type="pct"/>
            <w:hideMark/>
          </w:tcPr>
          <w:p w14:paraId="18FE347D" w14:textId="4B6626A0" w:rsidR="001B4317" w:rsidRPr="001A2563" w:rsidRDefault="00C54FA5" w:rsidP="001B4317">
            <w:pPr>
              <w:contextualSpacing/>
              <w:jc w:val="both"/>
            </w:pPr>
            <w:r>
              <w:t>Nav.</w:t>
            </w:r>
          </w:p>
        </w:tc>
      </w:tr>
    </w:tbl>
    <w:p w14:paraId="018B58C5" w14:textId="69C93140" w:rsidR="001A2563" w:rsidRDefault="001A2563" w:rsidP="00821565">
      <w:pPr>
        <w:tabs>
          <w:tab w:val="left" w:pos="8080"/>
        </w:tabs>
        <w:contextualSpacing/>
      </w:pPr>
    </w:p>
    <w:p w14:paraId="02739ED8" w14:textId="77777777" w:rsidR="00616A62" w:rsidRDefault="00616A62" w:rsidP="00821565">
      <w:pPr>
        <w:tabs>
          <w:tab w:val="left" w:pos="8080"/>
        </w:tabs>
        <w:contextualSpacing/>
        <w:rPr>
          <w:bCs/>
          <w:szCs w:val="28"/>
        </w:rPr>
      </w:pPr>
    </w:p>
    <w:p w14:paraId="7295AD9A" w14:textId="77777777" w:rsidR="00616A62" w:rsidRDefault="00616A62" w:rsidP="00821565">
      <w:pPr>
        <w:tabs>
          <w:tab w:val="left" w:pos="8080"/>
        </w:tabs>
        <w:contextualSpacing/>
        <w:rPr>
          <w:bCs/>
          <w:szCs w:val="28"/>
        </w:rPr>
      </w:pPr>
    </w:p>
    <w:p w14:paraId="08E55616" w14:textId="12EB93E7" w:rsidR="001A2563" w:rsidRPr="005154DA" w:rsidRDefault="00A7356D" w:rsidP="00821565">
      <w:pPr>
        <w:tabs>
          <w:tab w:val="left" w:pos="8080"/>
        </w:tabs>
        <w:contextualSpacing/>
        <w:rPr>
          <w:bCs/>
          <w:szCs w:val="28"/>
        </w:rPr>
      </w:pPr>
      <w:r>
        <w:rPr>
          <w:bCs/>
          <w:szCs w:val="28"/>
        </w:rPr>
        <w:t>Finanšu</w:t>
      </w:r>
      <w:r w:rsidR="001A2563">
        <w:rPr>
          <w:bCs/>
          <w:szCs w:val="28"/>
        </w:rPr>
        <w:t xml:space="preserve"> ministrs </w:t>
      </w:r>
      <w:r w:rsidR="001A2563">
        <w:rPr>
          <w:bCs/>
          <w:szCs w:val="28"/>
        </w:rPr>
        <w:tab/>
      </w:r>
      <w:r>
        <w:rPr>
          <w:bCs/>
          <w:szCs w:val="28"/>
        </w:rPr>
        <w:t>J. Reirs</w:t>
      </w:r>
    </w:p>
    <w:p w14:paraId="4427845C" w14:textId="580056E8" w:rsidR="0009498B" w:rsidRDefault="0009498B" w:rsidP="00821565">
      <w:pPr>
        <w:tabs>
          <w:tab w:val="left" w:pos="6804"/>
          <w:tab w:val="left" w:pos="8080"/>
        </w:tabs>
        <w:contextualSpacing/>
        <w:rPr>
          <w:sz w:val="20"/>
          <w:szCs w:val="20"/>
        </w:rPr>
      </w:pPr>
      <w:bookmarkStart w:id="1" w:name="OLE_LINK1"/>
      <w:bookmarkStart w:id="2" w:name="OLE_LINK2"/>
      <w:bookmarkStart w:id="3" w:name="OLE_LINK3"/>
      <w:bookmarkStart w:id="4" w:name="OLE_LINK4"/>
      <w:bookmarkEnd w:id="1"/>
      <w:bookmarkEnd w:id="2"/>
      <w:bookmarkEnd w:id="3"/>
      <w:bookmarkEnd w:id="4"/>
    </w:p>
    <w:p w14:paraId="2012ECE8" w14:textId="77777777" w:rsidR="009B003D" w:rsidRDefault="009B003D" w:rsidP="00821565">
      <w:pPr>
        <w:tabs>
          <w:tab w:val="left" w:pos="6804"/>
          <w:tab w:val="left" w:pos="8080"/>
        </w:tabs>
        <w:contextualSpacing/>
        <w:rPr>
          <w:sz w:val="20"/>
          <w:szCs w:val="20"/>
        </w:rPr>
      </w:pPr>
    </w:p>
    <w:p w14:paraId="3B0DA606" w14:textId="571CCF5B" w:rsidR="0009498B" w:rsidRDefault="0009498B" w:rsidP="00D956E6">
      <w:pPr>
        <w:tabs>
          <w:tab w:val="left" w:pos="6804"/>
        </w:tabs>
        <w:contextualSpacing/>
        <w:rPr>
          <w:sz w:val="20"/>
          <w:szCs w:val="20"/>
        </w:rPr>
      </w:pPr>
    </w:p>
    <w:p w14:paraId="074BCD33" w14:textId="77777777" w:rsidR="00C12D66" w:rsidRDefault="00C12D66" w:rsidP="00D956E6">
      <w:pPr>
        <w:tabs>
          <w:tab w:val="left" w:pos="6804"/>
        </w:tabs>
        <w:contextualSpacing/>
        <w:rPr>
          <w:sz w:val="20"/>
          <w:szCs w:val="20"/>
        </w:rPr>
      </w:pPr>
    </w:p>
    <w:p w14:paraId="425943F1" w14:textId="58BDA58F" w:rsidR="00CF3579" w:rsidRPr="00CF3579" w:rsidRDefault="00A7356D" w:rsidP="00CF3579">
      <w:pPr>
        <w:tabs>
          <w:tab w:val="left" w:pos="6804"/>
        </w:tabs>
        <w:contextualSpacing/>
        <w:rPr>
          <w:sz w:val="20"/>
          <w:szCs w:val="20"/>
        </w:rPr>
      </w:pPr>
      <w:r>
        <w:rPr>
          <w:sz w:val="20"/>
          <w:szCs w:val="20"/>
        </w:rPr>
        <w:t>Stepiņa</w:t>
      </w:r>
      <w:r w:rsidR="00CF3579" w:rsidRPr="00CF3579">
        <w:rPr>
          <w:sz w:val="20"/>
          <w:szCs w:val="20"/>
        </w:rPr>
        <w:t xml:space="preserve">, </w:t>
      </w:r>
      <w:r>
        <w:rPr>
          <w:sz w:val="20"/>
          <w:szCs w:val="20"/>
        </w:rPr>
        <w:t>67094363</w:t>
      </w:r>
    </w:p>
    <w:p w14:paraId="75903FDA" w14:textId="767D97EE" w:rsidR="00CF3579" w:rsidRPr="005154DA" w:rsidRDefault="00A7356D" w:rsidP="00CF3579">
      <w:pPr>
        <w:tabs>
          <w:tab w:val="left" w:pos="6804"/>
        </w:tabs>
        <w:contextualSpacing/>
        <w:rPr>
          <w:sz w:val="20"/>
          <w:szCs w:val="20"/>
        </w:rPr>
      </w:pPr>
      <w:r>
        <w:rPr>
          <w:sz w:val="20"/>
          <w:szCs w:val="20"/>
        </w:rPr>
        <w:t>Sandra.Stepina@kase.gov.lv</w:t>
      </w:r>
    </w:p>
    <w:sectPr w:rsidR="00CF3579" w:rsidRPr="005154DA" w:rsidSect="00821565">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169B" w14:textId="77777777" w:rsidR="007878C0" w:rsidRDefault="007878C0" w:rsidP="004A2CC7">
      <w:r>
        <w:separator/>
      </w:r>
    </w:p>
  </w:endnote>
  <w:endnote w:type="continuationSeparator" w:id="0">
    <w:p w14:paraId="72BA6AC2" w14:textId="77777777" w:rsidR="007878C0" w:rsidRDefault="007878C0" w:rsidP="004A2CC7">
      <w:r>
        <w:continuationSeparator/>
      </w:r>
    </w:p>
  </w:endnote>
  <w:endnote w:type="continuationNotice" w:id="1">
    <w:p w14:paraId="0130DAC1" w14:textId="77777777" w:rsidR="007878C0" w:rsidRDefault="00787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C6C" w14:textId="44F4F3B0" w:rsidR="007878C0" w:rsidRPr="00821565" w:rsidRDefault="003B1055" w:rsidP="00821565">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1163B">
      <w:rPr>
        <w:noProof/>
        <w:sz w:val="20"/>
        <w:szCs w:val="20"/>
      </w:rPr>
      <w:t>FMAnot_061119_GrozMK391</w:t>
    </w:r>
    <w:r>
      <w:rPr>
        <w:sz w:val="20"/>
        <w:szCs w:val="20"/>
      </w:rPr>
      <w:fldChar w:fldCharType="end"/>
    </w:r>
    <w:r w:rsidR="00C12D66" w:rsidRPr="00C12D66">
      <w:rPr>
        <w:sz w:val="20"/>
        <w:szCs w:val="20"/>
      </w:rPr>
      <w:t>.</w:t>
    </w:r>
    <w:proofErr w:type="spellStart"/>
    <w:r w:rsidR="00C12D66" w:rsidRPr="00C12D66">
      <w:rPr>
        <w:sz w:val="20"/>
        <w:szCs w:val="20"/>
      </w:rPr>
      <w:t>docx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85B9" w14:textId="15A54C6E" w:rsidR="007878C0" w:rsidRPr="00821565" w:rsidRDefault="003B1055" w:rsidP="00A9230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1163B">
      <w:rPr>
        <w:noProof/>
        <w:sz w:val="20"/>
        <w:szCs w:val="20"/>
      </w:rPr>
      <w:t>FMAnot_061119_GrozMK391</w:t>
    </w:r>
    <w:r>
      <w:rPr>
        <w:sz w:val="20"/>
        <w:szCs w:val="20"/>
      </w:rPr>
      <w:fldChar w:fldCharType="end"/>
    </w:r>
    <w:r w:rsidR="00C12D66" w:rsidRPr="00C12D66">
      <w:rPr>
        <w:sz w:val="20"/>
        <w:szCs w:val="20"/>
      </w:rPr>
      <w:t>.</w:t>
    </w:r>
    <w:proofErr w:type="spellStart"/>
    <w:r w:rsidR="00C12D66" w:rsidRPr="00C12D66">
      <w:rPr>
        <w:sz w:val="20"/>
        <w:szCs w:val="20"/>
      </w:rPr>
      <w:t>docx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BCFB" w14:textId="77777777" w:rsidR="007878C0" w:rsidRDefault="007878C0" w:rsidP="004A2CC7">
      <w:r>
        <w:separator/>
      </w:r>
    </w:p>
  </w:footnote>
  <w:footnote w:type="continuationSeparator" w:id="0">
    <w:p w14:paraId="3CB30113" w14:textId="77777777" w:rsidR="007878C0" w:rsidRDefault="007878C0" w:rsidP="004A2CC7">
      <w:r>
        <w:continuationSeparator/>
      </w:r>
    </w:p>
  </w:footnote>
  <w:footnote w:type="continuationNotice" w:id="1">
    <w:p w14:paraId="50B4BEAC" w14:textId="77777777" w:rsidR="007878C0" w:rsidRDefault="007878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10004"/>
      <w:docPartObj>
        <w:docPartGallery w:val="Page Numbers (Top of Page)"/>
        <w:docPartUnique/>
      </w:docPartObj>
    </w:sdtPr>
    <w:sdtEndPr>
      <w:rPr>
        <w:noProof/>
      </w:rPr>
    </w:sdtEndPr>
    <w:sdtContent>
      <w:p w14:paraId="5FCB1785" w14:textId="146BEDB6" w:rsidR="007878C0" w:rsidRDefault="007878C0">
        <w:pPr>
          <w:pStyle w:val="Header"/>
          <w:jc w:val="center"/>
        </w:pPr>
        <w:r>
          <w:fldChar w:fldCharType="begin"/>
        </w:r>
        <w:r>
          <w:instrText xml:space="preserve"> PAGE   \* MERGEFORMAT </w:instrText>
        </w:r>
        <w:r>
          <w:fldChar w:fldCharType="separate"/>
        </w:r>
        <w:r w:rsidR="0071163B">
          <w:rPr>
            <w:noProof/>
          </w:rPr>
          <w:t>2</w:t>
        </w:r>
        <w:r>
          <w:rPr>
            <w:noProof/>
          </w:rPr>
          <w:fldChar w:fldCharType="end"/>
        </w:r>
      </w:p>
    </w:sdtContent>
  </w:sdt>
  <w:p w14:paraId="38B7CCC2" w14:textId="77777777" w:rsidR="007878C0" w:rsidRDefault="0078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E0"/>
    <w:multiLevelType w:val="hybridMultilevel"/>
    <w:tmpl w:val="244AB874"/>
    <w:lvl w:ilvl="0" w:tplc="A22C2190">
      <w:start w:val="1"/>
      <w:numFmt w:val="bullet"/>
      <w:lvlText w:val="-"/>
      <w:lvlJc w:val="left"/>
      <w:pPr>
        <w:ind w:left="720" w:hanging="360"/>
      </w:pPr>
      <w:rPr>
        <w:rFonts w:ascii="Times New Roman" w:hAnsi="Times New Roman" w:cs="Times New Roman" w:hint="default"/>
      </w:rPr>
    </w:lvl>
    <w:lvl w:ilvl="1" w:tplc="E8C67F46" w:tentative="1">
      <w:start w:val="1"/>
      <w:numFmt w:val="bullet"/>
      <w:lvlText w:val="o"/>
      <w:lvlJc w:val="left"/>
      <w:pPr>
        <w:ind w:left="1440" w:hanging="360"/>
      </w:pPr>
      <w:rPr>
        <w:rFonts w:ascii="Courier New" w:hAnsi="Courier New" w:cs="Courier New" w:hint="default"/>
      </w:rPr>
    </w:lvl>
    <w:lvl w:ilvl="2" w:tplc="28A24C66" w:tentative="1">
      <w:start w:val="1"/>
      <w:numFmt w:val="bullet"/>
      <w:lvlText w:val=""/>
      <w:lvlJc w:val="left"/>
      <w:pPr>
        <w:ind w:left="2160" w:hanging="360"/>
      </w:pPr>
      <w:rPr>
        <w:rFonts w:ascii="Wingdings" w:hAnsi="Wingdings" w:hint="default"/>
      </w:rPr>
    </w:lvl>
    <w:lvl w:ilvl="3" w:tplc="431C1492" w:tentative="1">
      <w:start w:val="1"/>
      <w:numFmt w:val="bullet"/>
      <w:lvlText w:val=""/>
      <w:lvlJc w:val="left"/>
      <w:pPr>
        <w:ind w:left="2880" w:hanging="360"/>
      </w:pPr>
      <w:rPr>
        <w:rFonts w:ascii="Symbol" w:hAnsi="Symbol" w:hint="default"/>
      </w:rPr>
    </w:lvl>
    <w:lvl w:ilvl="4" w:tplc="9124B038" w:tentative="1">
      <w:start w:val="1"/>
      <w:numFmt w:val="bullet"/>
      <w:lvlText w:val="o"/>
      <w:lvlJc w:val="left"/>
      <w:pPr>
        <w:ind w:left="3600" w:hanging="360"/>
      </w:pPr>
      <w:rPr>
        <w:rFonts w:ascii="Courier New" w:hAnsi="Courier New" w:cs="Courier New" w:hint="default"/>
      </w:rPr>
    </w:lvl>
    <w:lvl w:ilvl="5" w:tplc="BF9683CE" w:tentative="1">
      <w:start w:val="1"/>
      <w:numFmt w:val="bullet"/>
      <w:lvlText w:val=""/>
      <w:lvlJc w:val="left"/>
      <w:pPr>
        <w:ind w:left="4320" w:hanging="360"/>
      </w:pPr>
      <w:rPr>
        <w:rFonts w:ascii="Wingdings" w:hAnsi="Wingdings" w:hint="default"/>
      </w:rPr>
    </w:lvl>
    <w:lvl w:ilvl="6" w:tplc="01BE12CA" w:tentative="1">
      <w:start w:val="1"/>
      <w:numFmt w:val="bullet"/>
      <w:lvlText w:val=""/>
      <w:lvlJc w:val="left"/>
      <w:pPr>
        <w:ind w:left="5040" w:hanging="360"/>
      </w:pPr>
      <w:rPr>
        <w:rFonts w:ascii="Symbol" w:hAnsi="Symbol" w:hint="default"/>
      </w:rPr>
    </w:lvl>
    <w:lvl w:ilvl="7" w:tplc="472E0B18" w:tentative="1">
      <w:start w:val="1"/>
      <w:numFmt w:val="bullet"/>
      <w:lvlText w:val="o"/>
      <w:lvlJc w:val="left"/>
      <w:pPr>
        <w:ind w:left="5760" w:hanging="360"/>
      </w:pPr>
      <w:rPr>
        <w:rFonts w:ascii="Courier New" w:hAnsi="Courier New" w:cs="Courier New" w:hint="default"/>
      </w:rPr>
    </w:lvl>
    <w:lvl w:ilvl="8" w:tplc="01905C18" w:tentative="1">
      <w:start w:val="1"/>
      <w:numFmt w:val="bullet"/>
      <w:lvlText w:val=""/>
      <w:lvlJc w:val="left"/>
      <w:pPr>
        <w:ind w:left="6480" w:hanging="360"/>
      </w:pPr>
      <w:rPr>
        <w:rFonts w:ascii="Wingdings" w:hAnsi="Wingdings" w:hint="default"/>
      </w:rPr>
    </w:lvl>
  </w:abstractNum>
  <w:abstractNum w:abstractNumId="1" w15:restartNumberingAfterBreak="0">
    <w:nsid w:val="0F653A91"/>
    <w:multiLevelType w:val="hybridMultilevel"/>
    <w:tmpl w:val="35DEE810"/>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B16220"/>
    <w:multiLevelType w:val="multilevel"/>
    <w:tmpl w:val="A8A428A0"/>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A23FA3"/>
    <w:multiLevelType w:val="hybridMultilevel"/>
    <w:tmpl w:val="201C4348"/>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A50FCA"/>
    <w:multiLevelType w:val="hybridMultilevel"/>
    <w:tmpl w:val="B3F668F8"/>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7E79C5"/>
    <w:multiLevelType w:val="hybridMultilevel"/>
    <w:tmpl w:val="B14886E0"/>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894ABF"/>
    <w:multiLevelType w:val="hybridMultilevel"/>
    <w:tmpl w:val="D7C63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3D3811"/>
    <w:multiLevelType w:val="hybridMultilevel"/>
    <w:tmpl w:val="FE1046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007EE4"/>
    <w:multiLevelType w:val="hybridMultilevel"/>
    <w:tmpl w:val="B3F668F8"/>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773E65"/>
    <w:multiLevelType w:val="hybridMultilevel"/>
    <w:tmpl w:val="281C37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945485"/>
    <w:multiLevelType w:val="hybridMultilevel"/>
    <w:tmpl w:val="C3E6CB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487804"/>
    <w:multiLevelType w:val="hybridMultilevel"/>
    <w:tmpl w:val="A17A404C"/>
    <w:lvl w:ilvl="0" w:tplc="115A2B78">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987C8D"/>
    <w:multiLevelType w:val="hybridMultilevel"/>
    <w:tmpl w:val="348EB3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66466B"/>
    <w:multiLevelType w:val="hybridMultilevel"/>
    <w:tmpl w:val="A600C8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A23150"/>
    <w:multiLevelType w:val="hybridMultilevel"/>
    <w:tmpl w:val="BC62B3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5"/>
  </w:num>
  <w:num w:numId="5">
    <w:abstractNumId w:val="1"/>
  </w:num>
  <w:num w:numId="6">
    <w:abstractNumId w:val="4"/>
  </w:num>
  <w:num w:numId="7">
    <w:abstractNumId w:val="8"/>
  </w:num>
  <w:num w:numId="8">
    <w:abstractNumId w:val="12"/>
  </w:num>
  <w:num w:numId="9">
    <w:abstractNumId w:val="10"/>
  </w:num>
  <w:num w:numId="10">
    <w:abstractNumId w:val="9"/>
  </w:num>
  <w:num w:numId="11">
    <w:abstractNumId w:val="6"/>
  </w:num>
  <w:num w:numId="12">
    <w:abstractNumId w:val="7"/>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59C"/>
    <w:rsid w:val="00003718"/>
    <w:rsid w:val="00006F34"/>
    <w:rsid w:val="0004314D"/>
    <w:rsid w:val="00046911"/>
    <w:rsid w:val="00065B30"/>
    <w:rsid w:val="00074094"/>
    <w:rsid w:val="00090F85"/>
    <w:rsid w:val="00093BDD"/>
    <w:rsid w:val="0009498B"/>
    <w:rsid w:val="000966B3"/>
    <w:rsid w:val="000A3C9C"/>
    <w:rsid w:val="000B1FC9"/>
    <w:rsid w:val="000B47CA"/>
    <w:rsid w:val="000B53C8"/>
    <w:rsid w:val="000D3F26"/>
    <w:rsid w:val="000D5931"/>
    <w:rsid w:val="000D6C67"/>
    <w:rsid w:val="000D7B99"/>
    <w:rsid w:val="000E490E"/>
    <w:rsid w:val="000E6E55"/>
    <w:rsid w:val="000F1D09"/>
    <w:rsid w:val="000F5172"/>
    <w:rsid w:val="00101250"/>
    <w:rsid w:val="00105DC0"/>
    <w:rsid w:val="00107327"/>
    <w:rsid w:val="001366F4"/>
    <w:rsid w:val="00137230"/>
    <w:rsid w:val="00143F1B"/>
    <w:rsid w:val="001444AA"/>
    <w:rsid w:val="00157A66"/>
    <w:rsid w:val="00161A13"/>
    <w:rsid w:val="001732B5"/>
    <w:rsid w:val="00173E3D"/>
    <w:rsid w:val="0017609B"/>
    <w:rsid w:val="001764F7"/>
    <w:rsid w:val="00183F4C"/>
    <w:rsid w:val="00186B0A"/>
    <w:rsid w:val="00197053"/>
    <w:rsid w:val="001A2563"/>
    <w:rsid w:val="001A3C61"/>
    <w:rsid w:val="001A7E0B"/>
    <w:rsid w:val="001B4317"/>
    <w:rsid w:val="001C0467"/>
    <w:rsid w:val="001C6C98"/>
    <w:rsid w:val="001F2B85"/>
    <w:rsid w:val="001F4FDF"/>
    <w:rsid w:val="00201C39"/>
    <w:rsid w:val="00211630"/>
    <w:rsid w:val="00234550"/>
    <w:rsid w:val="00236942"/>
    <w:rsid w:val="00256112"/>
    <w:rsid w:val="0026731A"/>
    <w:rsid w:val="00267773"/>
    <w:rsid w:val="002735B0"/>
    <w:rsid w:val="00290755"/>
    <w:rsid w:val="00291952"/>
    <w:rsid w:val="002A60C5"/>
    <w:rsid w:val="002A64A4"/>
    <w:rsid w:val="002C39E6"/>
    <w:rsid w:val="002C7D10"/>
    <w:rsid w:val="002D5EFE"/>
    <w:rsid w:val="002E3469"/>
    <w:rsid w:val="002E7618"/>
    <w:rsid w:val="002F09F0"/>
    <w:rsid w:val="003043C0"/>
    <w:rsid w:val="00311C25"/>
    <w:rsid w:val="00312CBC"/>
    <w:rsid w:val="0031606D"/>
    <w:rsid w:val="003164DC"/>
    <w:rsid w:val="00346084"/>
    <w:rsid w:val="003467AC"/>
    <w:rsid w:val="003579D9"/>
    <w:rsid w:val="00365992"/>
    <w:rsid w:val="00380894"/>
    <w:rsid w:val="00392087"/>
    <w:rsid w:val="00395353"/>
    <w:rsid w:val="003A1A2C"/>
    <w:rsid w:val="003B045B"/>
    <w:rsid w:val="003B0E97"/>
    <w:rsid w:val="003B1055"/>
    <w:rsid w:val="003B33B8"/>
    <w:rsid w:val="003C1196"/>
    <w:rsid w:val="003C4F6F"/>
    <w:rsid w:val="003D325B"/>
    <w:rsid w:val="003D482F"/>
    <w:rsid w:val="003D6AB3"/>
    <w:rsid w:val="003F0369"/>
    <w:rsid w:val="004025D6"/>
    <w:rsid w:val="00403E88"/>
    <w:rsid w:val="00405EF7"/>
    <w:rsid w:val="004151D8"/>
    <w:rsid w:val="00415A0F"/>
    <w:rsid w:val="00415D0E"/>
    <w:rsid w:val="004250DC"/>
    <w:rsid w:val="00435FA7"/>
    <w:rsid w:val="004506F4"/>
    <w:rsid w:val="00456B69"/>
    <w:rsid w:val="00472448"/>
    <w:rsid w:val="0047248F"/>
    <w:rsid w:val="00480D61"/>
    <w:rsid w:val="00485D6F"/>
    <w:rsid w:val="0049159A"/>
    <w:rsid w:val="00495788"/>
    <w:rsid w:val="004A2CC7"/>
    <w:rsid w:val="004A4ECF"/>
    <w:rsid w:val="004C0AE2"/>
    <w:rsid w:val="004C3806"/>
    <w:rsid w:val="004C7E57"/>
    <w:rsid w:val="004D1337"/>
    <w:rsid w:val="004F1FA1"/>
    <w:rsid w:val="004F5405"/>
    <w:rsid w:val="00503DB8"/>
    <w:rsid w:val="00507A01"/>
    <w:rsid w:val="00537158"/>
    <w:rsid w:val="0053798B"/>
    <w:rsid w:val="00542BE8"/>
    <w:rsid w:val="00545C55"/>
    <w:rsid w:val="005661A7"/>
    <w:rsid w:val="0058083C"/>
    <w:rsid w:val="00580BCC"/>
    <w:rsid w:val="005A0985"/>
    <w:rsid w:val="005A1BB9"/>
    <w:rsid w:val="005A1F0C"/>
    <w:rsid w:val="005A6227"/>
    <w:rsid w:val="005B3F2A"/>
    <w:rsid w:val="005C005D"/>
    <w:rsid w:val="005C4CE2"/>
    <w:rsid w:val="005D7361"/>
    <w:rsid w:val="005E06B5"/>
    <w:rsid w:val="005E640E"/>
    <w:rsid w:val="005F286B"/>
    <w:rsid w:val="00611993"/>
    <w:rsid w:val="00616A62"/>
    <w:rsid w:val="006234A3"/>
    <w:rsid w:val="0062404C"/>
    <w:rsid w:val="00635646"/>
    <w:rsid w:val="00637186"/>
    <w:rsid w:val="006425FE"/>
    <w:rsid w:val="00672193"/>
    <w:rsid w:val="00677691"/>
    <w:rsid w:val="00686E53"/>
    <w:rsid w:val="00692957"/>
    <w:rsid w:val="006A74AD"/>
    <w:rsid w:val="006B186A"/>
    <w:rsid w:val="006B7523"/>
    <w:rsid w:val="006C1265"/>
    <w:rsid w:val="006C4438"/>
    <w:rsid w:val="006E023C"/>
    <w:rsid w:val="006E46E7"/>
    <w:rsid w:val="006E5723"/>
    <w:rsid w:val="006F325B"/>
    <w:rsid w:val="00700C4C"/>
    <w:rsid w:val="0070337C"/>
    <w:rsid w:val="00705801"/>
    <w:rsid w:val="0071163B"/>
    <w:rsid w:val="00711B8A"/>
    <w:rsid w:val="0071607C"/>
    <w:rsid w:val="007207FD"/>
    <w:rsid w:val="00730C1B"/>
    <w:rsid w:val="00733A1C"/>
    <w:rsid w:val="00750338"/>
    <w:rsid w:val="007836D7"/>
    <w:rsid w:val="007878C0"/>
    <w:rsid w:val="00791854"/>
    <w:rsid w:val="0079364E"/>
    <w:rsid w:val="007C79AE"/>
    <w:rsid w:val="007C7F35"/>
    <w:rsid w:val="007D0836"/>
    <w:rsid w:val="007D2E3A"/>
    <w:rsid w:val="007E0962"/>
    <w:rsid w:val="007F0D2D"/>
    <w:rsid w:val="007F268E"/>
    <w:rsid w:val="007F4069"/>
    <w:rsid w:val="00805E16"/>
    <w:rsid w:val="00815060"/>
    <w:rsid w:val="00821565"/>
    <w:rsid w:val="00823B94"/>
    <w:rsid w:val="008308F8"/>
    <w:rsid w:val="00834DCB"/>
    <w:rsid w:val="0084086F"/>
    <w:rsid w:val="008473E3"/>
    <w:rsid w:val="00847AE6"/>
    <w:rsid w:val="00852C32"/>
    <w:rsid w:val="0085797B"/>
    <w:rsid w:val="00864CE5"/>
    <w:rsid w:val="0088348C"/>
    <w:rsid w:val="00891C31"/>
    <w:rsid w:val="00893CE8"/>
    <w:rsid w:val="008B1B74"/>
    <w:rsid w:val="008B2545"/>
    <w:rsid w:val="008B5CDF"/>
    <w:rsid w:val="008F0790"/>
    <w:rsid w:val="00904928"/>
    <w:rsid w:val="00907DF9"/>
    <w:rsid w:val="00910314"/>
    <w:rsid w:val="0091374B"/>
    <w:rsid w:val="00920922"/>
    <w:rsid w:val="00921E48"/>
    <w:rsid w:val="00923C27"/>
    <w:rsid w:val="0093041E"/>
    <w:rsid w:val="00930B2E"/>
    <w:rsid w:val="0093229C"/>
    <w:rsid w:val="00965215"/>
    <w:rsid w:val="00965FF2"/>
    <w:rsid w:val="00974A79"/>
    <w:rsid w:val="00983B71"/>
    <w:rsid w:val="00995EA9"/>
    <w:rsid w:val="009A47FE"/>
    <w:rsid w:val="009B003D"/>
    <w:rsid w:val="009B0FEB"/>
    <w:rsid w:val="009B4B50"/>
    <w:rsid w:val="009D2611"/>
    <w:rsid w:val="009F473A"/>
    <w:rsid w:val="009F7ADD"/>
    <w:rsid w:val="00A05AC1"/>
    <w:rsid w:val="00A127D9"/>
    <w:rsid w:val="00A30429"/>
    <w:rsid w:val="00A325FD"/>
    <w:rsid w:val="00A36879"/>
    <w:rsid w:val="00A40867"/>
    <w:rsid w:val="00A45CC3"/>
    <w:rsid w:val="00A52C46"/>
    <w:rsid w:val="00A579DC"/>
    <w:rsid w:val="00A57A50"/>
    <w:rsid w:val="00A71A16"/>
    <w:rsid w:val="00A72A60"/>
    <w:rsid w:val="00A7356D"/>
    <w:rsid w:val="00A75B2B"/>
    <w:rsid w:val="00A872FC"/>
    <w:rsid w:val="00A9204C"/>
    <w:rsid w:val="00A9230B"/>
    <w:rsid w:val="00A926CD"/>
    <w:rsid w:val="00A94798"/>
    <w:rsid w:val="00A9790D"/>
    <w:rsid w:val="00A97DEE"/>
    <w:rsid w:val="00AA68D9"/>
    <w:rsid w:val="00AC2809"/>
    <w:rsid w:val="00AC45C4"/>
    <w:rsid w:val="00AC6DFB"/>
    <w:rsid w:val="00AD165F"/>
    <w:rsid w:val="00AD49F0"/>
    <w:rsid w:val="00AE53FD"/>
    <w:rsid w:val="00AF0B01"/>
    <w:rsid w:val="00AF125A"/>
    <w:rsid w:val="00B04508"/>
    <w:rsid w:val="00B050B2"/>
    <w:rsid w:val="00B077CF"/>
    <w:rsid w:val="00B176F8"/>
    <w:rsid w:val="00B20382"/>
    <w:rsid w:val="00B3012A"/>
    <w:rsid w:val="00B34166"/>
    <w:rsid w:val="00B34CA9"/>
    <w:rsid w:val="00B4132C"/>
    <w:rsid w:val="00B50359"/>
    <w:rsid w:val="00B5509D"/>
    <w:rsid w:val="00B5641A"/>
    <w:rsid w:val="00B60432"/>
    <w:rsid w:val="00B62154"/>
    <w:rsid w:val="00B706FC"/>
    <w:rsid w:val="00B75C5F"/>
    <w:rsid w:val="00B80AFA"/>
    <w:rsid w:val="00B94112"/>
    <w:rsid w:val="00BA55A6"/>
    <w:rsid w:val="00BA57D5"/>
    <w:rsid w:val="00BB7BFC"/>
    <w:rsid w:val="00BD14FF"/>
    <w:rsid w:val="00BD5588"/>
    <w:rsid w:val="00BD720C"/>
    <w:rsid w:val="00BE2066"/>
    <w:rsid w:val="00BE37D4"/>
    <w:rsid w:val="00BE4697"/>
    <w:rsid w:val="00BF029E"/>
    <w:rsid w:val="00BF26DE"/>
    <w:rsid w:val="00BF2DC8"/>
    <w:rsid w:val="00BF416C"/>
    <w:rsid w:val="00BF76D8"/>
    <w:rsid w:val="00C04E08"/>
    <w:rsid w:val="00C12D66"/>
    <w:rsid w:val="00C22821"/>
    <w:rsid w:val="00C22C17"/>
    <w:rsid w:val="00C238B2"/>
    <w:rsid w:val="00C377FC"/>
    <w:rsid w:val="00C434D1"/>
    <w:rsid w:val="00C477DB"/>
    <w:rsid w:val="00C52858"/>
    <w:rsid w:val="00C54FA5"/>
    <w:rsid w:val="00C86E15"/>
    <w:rsid w:val="00C94B05"/>
    <w:rsid w:val="00C96215"/>
    <w:rsid w:val="00CA4438"/>
    <w:rsid w:val="00CA5758"/>
    <w:rsid w:val="00CB6A98"/>
    <w:rsid w:val="00CB7ABA"/>
    <w:rsid w:val="00CD2A00"/>
    <w:rsid w:val="00CE63B7"/>
    <w:rsid w:val="00CE65BF"/>
    <w:rsid w:val="00CF3579"/>
    <w:rsid w:val="00D10ADF"/>
    <w:rsid w:val="00D14D05"/>
    <w:rsid w:val="00D2282E"/>
    <w:rsid w:val="00D32D60"/>
    <w:rsid w:val="00D434E0"/>
    <w:rsid w:val="00D5217E"/>
    <w:rsid w:val="00D56D89"/>
    <w:rsid w:val="00D572C9"/>
    <w:rsid w:val="00D6051A"/>
    <w:rsid w:val="00D607CD"/>
    <w:rsid w:val="00D60873"/>
    <w:rsid w:val="00D67A9B"/>
    <w:rsid w:val="00D709FE"/>
    <w:rsid w:val="00D80C22"/>
    <w:rsid w:val="00D84DDB"/>
    <w:rsid w:val="00D91DEC"/>
    <w:rsid w:val="00D956E6"/>
    <w:rsid w:val="00D97B3E"/>
    <w:rsid w:val="00DA2339"/>
    <w:rsid w:val="00DB07E2"/>
    <w:rsid w:val="00DB3D3A"/>
    <w:rsid w:val="00DB69CE"/>
    <w:rsid w:val="00DC580E"/>
    <w:rsid w:val="00DD1797"/>
    <w:rsid w:val="00DD4D6D"/>
    <w:rsid w:val="00E06062"/>
    <w:rsid w:val="00E10B23"/>
    <w:rsid w:val="00E14184"/>
    <w:rsid w:val="00E20887"/>
    <w:rsid w:val="00E21888"/>
    <w:rsid w:val="00E43164"/>
    <w:rsid w:val="00E44472"/>
    <w:rsid w:val="00E50301"/>
    <w:rsid w:val="00E55EB6"/>
    <w:rsid w:val="00E57221"/>
    <w:rsid w:val="00E64D28"/>
    <w:rsid w:val="00E72E4D"/>
    <w:rsid w:val="00E736D0"/>
    <w:rsid w:val="00E73E86"/>
    <w:rsid w:val="00E76707"/>
    <w:rsid w:val="00E807A5"/>
    <w:rsid w:val="00E83B8A"/>
    <w:rsid w:val="00E864C7"/>
    <w:rsid w:val="00EA2BA5"/>
    <w:rsid w:val="00EA3507"/>
    <w:rsid w:val="00EA51A7"/>
    <w:rsid w:val="00EC1235"/>
    <w:rsid w:val="00EC3488"/>
    <w:rsid w:val="00EC4728"/>
    <w:rsid w:val="00EC5630"/>
    <w:rsid w:val="00ED0C30"/>
    <w:rsid w:val="00EF5264"/>
    <w:rsid w:val="00F00945"/>
    <w:rsid w:val="00F02C0A"/>
    <w:rsid w:val="00F02D9F"/>
    <w:rsid w:val="00F05945"/>
    <w:rsid w:val="00F05EE7"/>
    <w:rsid w:val="00F141F4"/>
    <w:rsid w:val="00F14801"/>
    <w:rsid w:val="00F175EE"/>
    <w:rsid w:val="00F320AD"/>
    <w:rsid w:val="00F36697"/>
    <w:rsid w:val="00F46CA7"/>
    <w:rsid w:val="00F5530F"/>
    <w:rsid w:val="00F55436"/>
    <w:rsid w:val="00F56402"/>
    <w:rsid w:val="00F6596D"/>
    <w:rsid w:val="00F85EFC"/>
    <w:rsid w:val="00FA2BFE"/>
    <w:rsid w:val="00FA5F7E"/>
    <w:rsid w:val="00FB0F35"/>
    <w:rsid w:val="00FB19AD"/>
    <w:rsid w:val="00FB64FD"/>
    <w:rsid w:val="00FB79CA"/>
    <w:rsid w:val="00FD1399"/>
    <w:rsid w:val="00FD2AF9"/>
    <w:rsid w:val="00FE0977"/>
    <w:rsid w:val="00FF25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B046A2"/>
  <w15:docId w15:val="{193035F0-ECDD-4BA0-AA9B-464DD00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Strong">
    <w:name w:val="Strong"/>
    <w:qFormat/>
    <w:rsid w:val="00BE37D4"/>
    <w:rPr>
      <w:b/>
      <w:bCs/>
    </w:rPr>
  </w:style>
  <w:style w:type="paragraph" w:customStyle="1" w:styleId="naiskr">
    <w:name w:val="naiskr"/>
    <w:basedOn w:val="Normal"/>
    <w:uiPriority w:val="99"/>
    <w:rsid w:val="002C7D10"/>
    <w:pPr>
      <w:spacing w:before="75" w:after="75"/>
    </w:pPr>
  </w:style>
  <w:style w:type="paragraph" w:styleId="Header">
    <w:name w:val="header"/>
    <w:basedOn w:val="Normal"/>
    <w:link w:val="HeaderChar"/>
    <w:uiPriority w:val="99"/>
    <w:unhideWhenUsed/>
    <w:rsid w:val="004A2CC7"/>
    <w:pPr>
      <w:tabs>
        <w:tab w:val="center" w:pos="4153"/>
        <w:tab w:val="right" w:pos="8306"/>
      </w:tabs>
    </w:pPr>
  </w:style>
  <w:style w:type="character" w:customStyle="1" w:styleId="HeaderChar">
    <w:name w:val="Header Char"/>
    <w:basedOn w:val="DefaultParagraphFont"/>
    <w:link w:val="Header"/>
    <w:uiPriority w:val="99"/>
    <w:rsid w:val="004A2CC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2CC7"/>
    <w:pPr>
      <w:tabs>
        <w:tab w:val="center" w:pos="4153"/>
        <w:tab w:val="right" w:pos="8306"/>
      </w:tabs>
    </w:pPr>
  </w:style>
  <w:style w:type="character" w:customStyle="1" w:styleId="FooterChar">
    <w:name w:val="Footer Char"/>
    <w:basedOn w:val="DefaultParagraphFont"/>
    <w:link w:val="Footer"/>
    <w:uiPriority w:val="99"/>
    <w:rsid w:val="004A2CC7"/>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0125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01250"/>
    <w:rPr>
      <w:sz w:val="20"/>
      <w:szCs w:val="20"/>
    </w:rPr>
  </w:style>
  <w:style w:type="character" w:styleId="FootnoteReference">
    <w:name w:val="footnote reference"/>
    <w:basedOn w:val="DefaultParagraphFont"/>
    <w:uiPriority w:val="99"/>
    <w:semiHidden/>
    <w:unhideWhenUsed/>
    <w:rsid w:val="00101250"/>
    <w:rPr>
      <w:vertAlign w:val="superscript"/>
    </w:rPr>
  </w:style>
  <w:style w:type="paragraph" w:styleId="BalloonText">
    <w:name w:val="Balloon Text"/>
    <w:basedOn w:val="Normal"/>
    <w:link w:val="BalloonTextChar"/>
    <w:uiPriority w:val="99"/>
    <w:semiHidden/>
    <w:unhideWhenUsed/>
    <w:rsid w:val="00AC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C4"/>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F05EE7"/>
    <w:rPr>
      <w:color w:val="808080"/>
      <w:shd w:val="clear" w:color="auto" w:fill="E6E6E6"/>
    </w:rPr>
  </w:style>
  <w:style w:type="character" w:styleId="CommentReference">
    <w:name w:val="annotation reference"/>
    <w:basedOn w:val="DefaultParagraphFont"/>
    <w:uiPriority w:val="99"/>
    <w:semiHidden/>
    <w:unhideWhenUsed/>
    <w:rsid w:val="00635646"/>
    <w:rPr>
      <w:sz w:val="16"/>
      <w:szCs w:val="16"/>
    </w:rPr>
  </w:style>
  <w:style w:type="paragraph" w:styleId="CommentText">
    <w:name w:val="annotation text"/>
    <w:basedOn w:val="Normal"/>
    <w:link w:val="CommentTextChar"/>
    <w:uiPriority w:val="99"/>
    <w:unhideWhenUsed/>
    <w:rsid w:val="00635646"/>
    <w:rPr>
      <w:sz w:val="20"/>
      <w:szCs w:val="20"/>
    </w:rPr>
  </w:style>
  <w:style w:type="character" w:customStyle="1" w:styleId="CommentTextChar">
    <w:name w:val="Comment Text Char"/>
    <w:basedOn w:val="DefaultParagraphFont"/>
    <w:link w:val="CommentText"/>
    <w:uiPriority w:val="99"/>
    <w:rsid w:val="00635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5646"/>
    <w:rPr>
      <w:b/>
      <w:bCs/>
    </w:rPr>
  </w:style>
  <w:style w:type="character" w:customStyle="1" w:styleId="CommentSubjectChar">
    <w:name w:val="Comment Subject Char"/>
    <w:basedOn w:val="CommentTextChar"/>
    <w:link w:val="CommentSubject"/>
    <w:uiPriority w:val="99"/>
    <w:semiHidden/>
    <w:rsid w:val="00635646"/>
    <w:rPr>
      <w:rFonts w:ascii="Times New Roman" w:eastAsia="Times New Roman" w:hAnsi="Times New Roman" w:cs="Times New Roman"/>
      <w:b/>
      <w:bCs/>
      <w:sz w:val="20"/>
      <w:szCs w:val="20"/>
      <w:lang w:eastAsia="lv-LV"/>
    </w:rPr>
  </w:style>
  <w:style w:type="paragraph" w:customStyle="1" w:styleId="tvhtml">
    <w:name w:val="tv_html"/>
    <w:basedOn w:val="Normal"/>
    <w:rsid w:val="00507A01"/>
    <w:pPr>
      <w:spacing w:before="100" w:beforeAutospacing="1" w:after="100" w:afterAutospacing="1"/>
    </w:pPr>
  </w:style>
  <w:style w:type="paragraph" w:customStyle="1" w:styleId="tv213">
    <w:name w:val="tv213"/>
    <w:basedOn w:val="Normal"/>
    <w:rsid w:val="005E640E"/>
    <w:pPr>
      <w:spacing w:before="100" w:beforeAutospacing="1" w:after="100" w:afterAutospacing="1"/>
    </w:pPr>
  </w:style>
  <w:style w:type="character" w:customStyle="1" w:styleId="UnresolvedMention">
    <w:name w:val="Unresolved Mention"/>
    <w:basedOn w:val="DefaultParagraphFont"/>
    <w:uiPriority w:val="99"/>
    <w:semiHidden/>
    <w:unhideWhenUsed/>
    <w:rsid w:val="009F473A"/>
    <w:rPr>
      <w:color w:val="605E5C"/>
      <w:shd w:val="clear" w:color="auto" w:fill="E1DFDD"/>
    </w:rPr>
  </w:style>
  <w:style w:type="character" w:styleId="FollowedHyperlink">
    <w:name w:val="FollowedHyperlink"/>
    <w:basedOn w:val="DefaultParagraphFont"/>
    <w:uiPriority w:val="99"/>
    <w:semiHidden/>
    <w:unhideWhenUsed/>
    <w:rsid w:val="004151D8"/>
    <w:rPr>
      <w:color w:val="800080" w:themeColor="followedHyperlink"/>
      <w:u w:val="single"/>
    </w:rPr>
  </w:style>
  <w:style w:type="paragraph" w:styleId="ListParagraph">
    <w:name w:val="List Paragraph"/>
    <w:basedOn w:val="Normal"/>
    <w:uiPriority w:val="34"/>
    <w:qFormat/>
    <w:rsid w:val="005A1BB9"/>
    <w:pPr>
      <w:ind w:left="720"/>
      <w:contextualSpacing/>
    </w:pPr>
  </w:style>
  <w:style w:type="paragraph" w:styleId="NormalWeb">
    <w:name w:val="Normal (Web)"/>
    <w:basedOn w:val="Normal"/>
    <w:uiPriority w:val="99"/>
    <w:unhideWhenUsed/>
    <w:rsid w:val="00D434E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689">
      <w:bodyDiv w:val="1"/>
      <w:marLeft w:val="0"/>
      <w:marRight w:val="0"/>
      <w:marTop w:val="0"/>
      <w:marBottom w:val="0"/>
      <w:divBdr>
        <w:top w:val="none" w:sz="0" w:space="0" w:color="auto"/>
        <w:left w:val="none" w:sz="0" w:space="0" w:color="auto"/>
        <w:bottom w:val="none" w:sz="0" w:space="0" w:color="auto"/>
        <w:right w:val="none" w:sz="0" w:space="0" w:color="auto"/>
      </w:divBdr>
    </w:div>
    <w:div w:id="749541556">
      <w:bodyDiv w:val="1"/>
      <w:marLeft w:val="0"/>
      <w:marRight w:val="0"/>
      <w:marTop w:val="0"/>
      <w:marBottom w:val="0"/>
      <w:divBdr>
        <w:top w:val="none" w:sz="0" w:space="0" w:color="auto"/>
        <w:left w:val="none" w:sz="0" w:space="0" w:color="auto"/>
        <w:bottom w:val="none" w:sz="0" w:space="0" w:color="auto"/>
        <w:right w:val="none" w:sz="0" w:space="0" w:color="auto"/>
      </w:divBdr>
    </w:div>
    <w:div w:id="928588164">
      <w:bodyDiv w:val="1"/>
      <w:marLeft w:val="0"/>
      <w:marRight w:val="0"/>
      <w:marTop w:val="0"/>
      <w:marBottom w:val="0"/>
      <w:divBdr>
        <w:top w:val="none" w:sz="0" w:space="0" w:color="auto"/>
        <w:left w:val="none" w:sz="0" w:space="0" w:color="auto"/>
        <w:bottom w:val="none" w:sz="0" w:space="0" w:color="auto"/>
        <w:right w:val="none" w:sz="0" w:space="0" w:color="auto"/>
      </w:divBdr>
    </w:div>
    <w:div w:id="1030030603">
      <w:bodyDiv w:val="1"/>
      <w:marLeft w:val="0"/>
      <w:marRight w:val="0"/>
      <w:marTop w:val="0"/>
      <w:marBottom w:val="0"/>
      <w:divBdr>
        <w:top w:val="none" w:sz="0" w:space="0" w:color="auto"/>
        <w:left w:val="none" w:sz="0" w:space="0" w:color="auto"/>
        <w:bottom w:val="none" w:sz="0" w:space="0" w:color="auto"/>
        <w:right w:val="none" w:sz="0" w:space="0" w:color="auto"/>
      </w:divBdr>
    </w:div>
    <w:div w:id="1144352174">
      <w:bodyDiv w:val="1"/>
      <w:marLeft w:val="0"/>
      <w:marRight w:val="0"/>
      <w:marTop w:val="0"/>
      <w:marBottom w:val="0"/>
      <w:divBdr>
        <w:top w:val="none" w:sz="0" w:space="0" w:color="auto"/>
        <w:left w:val="none" w:sz="0" w:space="0" w:color="auto"/>
        <w:bottom w:val="none" w:sz="0" w:space="0" w:color="auto"/>
        <w:right w:val="none" w:sz="0" w:space="0" w:color="auto"/>
      </w:divBdr>
    </w:div>
    <w:div w:id="1734541516">
      <w:bodyDiv w:val="1"/>
      <w:marLeft w:val="0"/>
      <w:marRight w:val="0"/>
      <w:marTop w:val="0"/>
      <w:marBottom w:val="0"/>
      <w:divBdr>
        <w:top w:val="none" w:sz="0" w:space="0" w:color="auto"/>
        <w:left w:val="none" w:sz="0" w:space="0" w:color="auto"/>
        <w:bottom w:val="none" w:sz="0" w:space="0" w:color="auto"/>
        <w:right w:val="none" w:sz="0" w:space="0" w:color="auto"/>
      </w:divBdr>
    </w:div>
    <w:div w:id="1743025658">
      <w:bodyDiv w:val="1"/>
      <w:marLeft w:val="0"/>
      <w:marRight w:val="0"/>
      <w:marTop w:val="0"/>
      <w:marBottom w:val="0"/>
      <w:divBdr>
        <w:top w:val="none" w:sz="0" w:space="0" w:color="auto"/>
        <w:left w:val="none" w:sz="0" w:space="0" w:color="auto"/>
        <w:bottom w:val="none" w:sz="0" w:space="0" w:color="auto"/>
        <w:right w:val="none" w:sz="0" w:space="0" w:color="auto"/>
      </w:divBdr>
    </w:div>
    <w:div w:id="17738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se.gov.lv/valsts-kase/sabiedribas-lidzdal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valsts_budzeta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C083-D0D2-4EC6-B8FC-EAE97130D824}">
  <ds:schemaRefs>
    <ds:schemaRef ds:uri="http://schemas.microsoft.com/sharepoint/v3/contenttype/forms"/>
  </ds:schemaRefs>
</ds:datastoreItem>
</file>

<file path=customXml/itemProps2.xml><?xml version="1.0" encoding="utf-8"?>
<ds:datastoreItem xmlns:ds="http://schemas.openxmlformats.org/officeDocument/2006/customXml" ds:itemID="{7722E6EE-4647-45F9-9462-B1DFDF454C3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1971E4-CB5C-411F-9CC3-B1F51A17A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6F06A1-11E8-4771-A308-C07D006D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7016</Words>
  <Characters>4000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Grozījumi Ministru kabineta 2014. gada 8. jūlija noteikumos Nr. 391 “Kārtība, kādā gadskārtējā valsts budžeta likumprojektā iekļauj pieprasījumus valsts vārdā sniedzamajiem galvojumiem, un galvojumu sniegšanas un uzraudzības kārtība"</vt:lpstr>
    </vt:vector>
  </TitlesOfParts>
  <Company>Valsts kase</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8. jūlija noteikumos Nr. 391 “Kārtība, kādā gadskārtējā valsts budžeta likumprojektā iekļauj pieprasījumus valsts vārdā sniedzamajiem galvojumiem, un galvojumu sniegšanas un uzraudzības kārtība"</dc:title>
  <dc:subject>Sākotnējās ietekmes novērtējuma ziņojums (anotācija)</dc:subject>
  <dc:creator>Sandra Stepiņa, Valsts kases Finansēšanas departamenta direktora vietniece</dc:creator>
  <dc:description>67094363, _x000d_
sandra.stepina@kase.gov.lv</dc:description>
  <cp:lastModifiedBy>Sandra Stepiņa</cp:lastModifiedBy>
  <cp:revision>16</cp:revision>
  <cp:lastPrinted>2019-11-13T06:35:00Z</cp:lastPrinted>
  <dcterms:created xsi:type="dcterms:W3CDTF">2019-10-10T08:45:00Z</dcterms:created>
  <dcterms:modified xsi:type="dcterms:W3CDTF">2019-11-13T06:35:00Z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