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F098" w14:textId="39D5C50E" w:rsidR="00C97FBD" w:rsidRPr="002450A3" w:rsidRDefault="00C97FBD" w:rsidP="0034240B">
      <w:pPr>
        <w:spacing w:after="0" w:line="240" w:lineRule="auto"/>
        <w:jc w:val="center"/>
        <w:rPr>
          <w:rFonts w:ascii="Times New Roman" w:eastAsia="Times New Roman" w:hAnsi="Times New Roman" w:cs="Times New Roman"/>
          <w:bCs/>
          <w:sz w:val="24"/>
          <w:szCs w:val="24"/>
          <w:lang w:eastAsia="lv-LV"/>
        </w:rPr>
      </w:pPr>
      <w:r w:rsidRPr="002450A3">
        <w:rPr>
          <w:rFonts w:ascii="Times New Roman" w:hAnsi="Times New Roman" w:cs="Times New Roman"/>
          <w:b/>
          <w:bCs/>
          <w:sz w:val="24"/>
          <w:szCs w:val="24"/>
        </w:rPr>
        <w:t>Minist</w:t>
      </w:r>
      <w:r w:rsidR="001C13B5" w:rsidRPr="002450A3">
        <w:rPr>
          <w:rFonts w:ascii="Times New Roman" w:hAnsi="Times New Roman" w:cs="Times New Roman"/>
          <w:b/>
          <w:bCs/>
          <w:sz w:val="24"/>
          <w:szCs w:val="24"/>
        </w:rPr>
        <w:t>ru kabineta noteikumu projekta</w:t>
      </w:r>
      <w:r w:rsidRPr="002450A3">
        <w:rPr>
          <w:rFonts w:ascii="Times New Roman" w:hAnsi="Times New Roman" w:cs="Times New Roman"/>
          <w:b/>
          <w:sz w:val="24"/>
          <w:szCs w:val="24"/>
        </w:rPr>
        <w:t xml:space="preserve"> </w:t>
      </w:r>
      <w:r w:rsidR="00A829CF" w:rsidRPr="002450A3">
        <w:rPr>
          <w:rFonts w:ascii="Times New Roman" w:hAnsi="Times New Roman" w:cs="Times New Roman"/>
          <w:b/>
          <w:sz w:val="24"/>
          <w:szCs w:val="24"/>
        </w:rPr>
        <w:t>“</w:t>
      </w:r>
      <w:r w:rsidR="0071031A" w:rsidRPr="002450A3">
        <w:rPr>
          <w:rFonts w:ascii="Times New Roman" w:eastAsia="Times New Roman" w:hAnsi="Times New Roman" w:cs="Times New Roman"/>
          <w:b/>
          <w:bCs/>
          <w:sz w:val="24"/>
          <w:szCs w:val="24"/>
          <w:lang w:eastAsia="lv-LV"/>
        </w:rPr>
        <w:t>Kārtība, kādā Valsts kase nodrošina maksājumu  pakalpojumu sniegšanu</w:t>
      </w:r>
      <w:r w:rsidRPr="002450A3">
        <w:rPr>
          <w:rFonts w:ascii="Times New Roman" w:hAnsi="Times New Roman" w:cs="Times New Roman"/>
          <w:b/>
          <w:sz w:val="24"/>
          <w:szCs w:val="24"/>
        </w:rPr>
        <w:t>”</w:t>
      </w:r>
      <w:r w:rsidRPr="002450A3">
        <w:rPr>
          <w:rFonts w:ascii="Times New Roman" w:hAnsi="Times New Roman" w:cs="Times New Roman"/>
          <w:b/>
          <w:bCs/>
          <w:sz w:val="24"/>
          <w:szCs w:val="24"/>
        </w:rPr>
        <w:t xml:space="preserve"> sākotnējās ietekmes novērtējuma ziņojums (anotācija)</w:t>
      </w:r>
    </w:p>
    <w:p w14:paraId="443511EA" w14:textId="5647671D" w:rsidR="005769D4" w:rsidRPr="002450A3" w:rsidRDefault="005769D4">
      <w:pPr>
        <w:pStyle w:val="NormalWeb"/>
        <w:spacing w:before="0" w:beforeAutospacing="0" w:after="0" w:afterAutospacing="0"/>
        <w:jc w:val="center"/>
        <w:rPr>
          <w:rFonts w:ascii="Times New Roman" w:hAnsi="Times New Roman"/>
          <w:b/>
          <w:bCs/>
          <w:color w:val="auto"/>
          <w:sz w:val="24"/>
          <w:szCs w:val="24"/>
        </w:rPr>
      </w:pPr>
    </w:p>
    <w:p w14:paraId="295707AD" w14:textId="77777777" w:rsidR="005769D4" w:rsidRPr="002450A3" w:rsidRDefault="005769D4" w:rsidP="0034240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769D4" w:rsidRPr="002450A3" w14:paraId="2626B55F" w14:textId="77777777" w:rsidTr="002D566A">
        <w:tc>
          <w:tcPr>
            <w:tcW w:w="5000" w:type="pct"/>
            <w:gridSpan w:val="2"/>
            <w:hideMark/>
          </w:tcPr>
          <w:p w14:paraId="0ACE4481" w14:textId="77777777" w:rsidR="005769D4" w:rsidRPr="002450A3" w:rsidRDefault="005769D4" w:rsidP="0034240B">
            <w:pPr>
              <w:jc w:val="center"/>
              <w:rPr>
                <w:rFonts w:eastAsia="Times New Roman" w:cs="Times New Roman"/>
                <w:b/>
                <w:bCs/>
                <w:iCs/>
                <w:color w:val="000000" w:themeColor="text1"/>
                <w:sz w:val="24"/>
                <w:szCs w:val="24"/>
                <w:lang w:eastAsia="lv-LV"/>
              </w:rPr>
            </w:pPr>
            <w:r w:rsidRPr="002450A3">
              <w:rPr>
                <w:rFonts w:eastAsia="Times New Roman" w:cs="Times New Roman"/>
                <w:b/>
                <w:bCs/>
                <w:color w:val="000000" w:themeColor="text1"/>
                <w:sz w:val="24"/>
                <w:szCs w:val="24"/>
                <w:lang w:eastAsia="lv-LV"/>
              </w:rPr>
              <w:t>Tiesību akta projekta anotācijas kopsavilkums</w:t>
            </w:r>
          </w:p>
        </w:tc>
      </w:tr>
      <w:tr w:rsidR="005769D4" w:rsidRPr="002450A3" w14:paraId="750EBE70" w14:textId="77777777" w:rsidTr="0034240B">
        <w:trPr>
          <w:trHeight w:val="980"/>
        </w:trPr>
        <w:tc>
          <w:tcPr>
            <w:tcW w:w="1484" w:type="pct"/>
            <w:hideMark/>
          </w:tcPr>
          <w:p w14:paraId="3608D34E" w14:textId="447B94A6" w:rsidR="005769D4" w:rsidRPr="002450A3" w:rsidRDefault="000F41AE" w:rsidP="0034240B">
            <w:pPr>
              <w:rPr>
                <w:rFonts w:cs="Times New Roman"/>
                <w:color w:val="000000" w:themeColor="text1"/>
                <w:sz w:val="24"/>
                <w:szCs w:val="24"/>
              </w:rPr>
            </w:pPr>
            <w:r w:rsidRPr="002450A3">
              <w:rPr>
                <w:rFonts w:cs="Times New Roman"/>
                <w:color w:val="000000" w:themeColor="text1"/>
                <w:sz w:val="24"/>
                <w:szCs w:val="24"/>
              </w:rPr>
              <w:t>Mērķis, risinājums un projekta spēkā stāšanās laiks (500 zīmes bez atstarpēm)</w:t>
            </w:r>
          </w:p>
        </w:tc>
        <w:tc>
          <w:tcPr>
            <w:tcW w:w="3516" w:type="pct"/>
            <w:shd w:val="clear" w:color="auto" w:fill="auto"/>
            <w:hideMark/>
          </w:tcPr>
          <w:p w14:paraId="0B9F305B" w14:textId="0089ABA2" w:rsidR="00854BAC" w:rsidRPr="002450A3" w:rsidRDefault="00E04270" w:rsidP="002C5BAD">
            <w:pPr>
              <w:jc w:val="both"/>
              <w:rPr>
                <w:rFonts w:cs="Times New Roman"/>
                <w:color w:val="000000" w:themeColor="text1"/>
                <w:sz w:val="24"/>
                <w:szCs w:val="24"/>
              </w:rPr>
            </w:pPr>
            <w:r w:rsidRPr="00E04270">
              <w:rPr>
                <w:rFonts w:cs="Times New Roman"/>
                <w:color w:val="000000" w:themeColor="text1"/>
                <w:sz w:val="24"/>
                <w:szCs w:val="24"/>
              </w:rPr>
              <w:t>Mini</w:t>
            </w:r>
            <w:r>
              <w:rPr>
                <w:rFonts w:cs="Times New Roman"/>
                <w:color w:val="000000" w:themeColor="text1"/>
                <w:sz w:val="24"/>
                <w:szCs w:val="24"/>
              </w:rPr>
              <w:t>stru kabineta noteikumu projekta</w:t>
            </w:r>
            <w:r w:rsidRPr="00E04270">
              <w:rPr>
                <w:rFonts w:cs="Times New Roman"/>
                <w:color w:val="000000" w:themeColor="text1"/>
                <w:sz w:val="24"/>
                <w:szCs w:val="24"/>
              </w:rPr>
              <w:t xml:space="preserve"> “Kārtība, kādā Valsts kase nodrošina maksājumu pakalpojumu sniegšanu” (turpmāk – noteikumu projekts)</w:t>
            </w:r>
            <w:r w:rsidR="00854BAC">
              <w:rPr>
                <w:rFonts w:cs="Times New Roman"/>
                <w:color w:val="000000" w:themeColor="text1"/>
                <w:sz w:val="24"/>
                <w:szCs w:val="24"/>
              </w:rPr>
              <w:t xml:space="preserve"> mērķis ir nodrošināt Valsts kases sniegto </w:t>
            </w:r>
            <w:r w:rsidR="007B517D">
              <w:rPr>
                <w:rFonts w:cs="Times New Roman"/>
                <w:color w:val="000000" w:themeColor="text1"/>
                <w:sz w:val="24"/>
                <w:szCs w:val="24"/>
              </w:rPr>
              <w:t xml:space="preserve">maksājumu </w:t>
            </w:r>
            <w:r w:rsidR="00854BAC">
              <w:rPr>
                <w:rFonts w:cs="Times New Roman"/>
                <w:color w:val="000000" w:themeColor="text1"/>
                <w:sz w:val="24"/>
                <w:szCs w:val="24"/>
              </w:rPr>
              <w:t xml:space="preserve">pakalpojumu normatīvo aktu prasības, t.sk. Starptautisko un Latvijas Republikas nacionālo sankciju </w:t>
            </w:r>
            <w:r w:rsidR="002C5BAD">
              <w:rPr>
                <w:rFonts w:cs="Times New Roman"/>
                <w:color w:val="000000" w:themeColor="text1"/>
                <w:sz w:val="24"/>
                <w:szCs w:val="24"/>
              </w:rPr>
              <w:t xml:space="preserve">likumu </w:t>
            </w:r>
            <w:r w:rsidR="000407FD">
              <w:rPr>
                <w:rFonts w:cs="Times New Roman"/>
                <w:color w:val="000000" w:themeColor="text1"/>
                <w:sz w:val="24"/>
                <w:szCs w:val="24"/>
              </w:rPr>
              <w:t xml:space="preserve">(turpmāk </w:t>
            </w:r>
            <w:r w:rsidR="000425FD">
              <w:rPr>
                <w:rFonts w:cs="Times New Roman"/>
                <w:color w:val="000000" w:themeColor="text1"/>
                <w:sz w:val="24"/>
                <w:szCs w:val="24"/>
              </w:rPr>
              <w:t>–</w:t>
            </w:r>
            <w:r w:rsidR="000407FD">
              <w:rPr>
                <w:rFonts w:cs="Times New Roman"/>
                <w:color w:val="000000" w:themeColor="text1"/>
                <w:sz w:val="24"/>
                <w:szCs w:val="24"/>
              </w:rPr>
              <w:t xml:space="preserve"> </w:t>
            </w:r>
            <w:r w:rsidR="000425FD">
              <w:rPr>
                <w:rFonts w:cs="Times New Roman"/>
                <w:color w:val="000000" w:themeColor="text1"/>
                <w:sz w:val="24"/>
                <w:szCs w:val="24"/>
              </w:rPr>
              <w:t>Sankciju likums)</w:t>
            </w:r>
            <w:r w:rsidR="00854BAC">
              <w:rPr>
                <w:rFonts w:cs="Times New Roman"/>
                <w:color w:val="000000" w:themeColor="text1"/>
                <w:sz w:val="24"/>
                <w:szCs w:val="24"/>
              </w:rPr>
              <w:t xml:space="preserve"> un</w:t>
            </w:r>
            <w:r w:rsidR="00AF50D3">
              <w:rPr>
                <w:rFonts w:cs="Times New Roman"/>
                <w:color w:val="000000" w:themeColor="text1"/>
                <w:sz w:val="24"/>
                <w:szCs w:val="24"/>
              </w:rPr>
              <w:t xml:space="preserve"> </w:t>
            </w:r>
            <w:r w:rsidR="00854BAC">
              <w:rPr>
                <w:rFonts w:cs="Times New Roman"/>
                <w:color w:val="000000" w:themeColor="text1"/>
                <w:sz w:val="24"/>
                <w:szCs w:val="24"/>
              </w:rPr>
              <w:t>Noziedzīgi iegūtu līdzekļu legalizācijas un terorisma un proliferācijas finansēšanas novēršanas likumu</w:t>
            </w:r>
            <w:r w:rsidR="00E06285">
              <w:rPr>
                <w:rFonts w:cs="Times New Roman"/>
                <w:color w:val="000000" w:themeColor="text1"/>
                <w:sz w:val="24"/>
                <w:szCs w:val="24"/>
              </w:rPr>
              <w:t xml:space="preserve"> </w:t>
            </w:r>
            <w:r w:rsidR="00E06285" w:rsidRPr="002450A3">
              <w:rPr>
                <w:rFonts w:cs="Times New Roman"/>
                <w:color w:val="000000" w:themeColor="text1"/>
                <w:sz w:val="24"/>
                <w:szCs w:val="24"/>
              </w:rPr>
              <w:t>(turpmāk  – NILLTPFNL)</w:t>
            </w:r>
            <w:r w:rsidR="00AF50D3">
              <w:rPr>
                <w:rFonts w:cs="Times New Roman"/>
                <w:color w:val="000000" w:themeColor="text1"/>
                <w:sz w:val="24"/>
                <w:szCs w:val="24"/>
              </w:rPr>
              <w:t xml:space="preserve"> ņemot vērā aktualitātes un labo praksi finanšu nozarē</w:t>
            </w:r>
            <w:r w:rsidR="00854BAC">
              <w:rPr>
                <w:rFonts w:cs="Times New Roman"/>
                <w:color w:val="000000" w:themeColor="text1"/>
                <w:sz w:val="24"/>
                <w:szCs w:val="24"/>
              </w:rPr>
              <w:t xml:space="preserve">. </w:t>
            </w:r>
            <w:r w:rsidR="00AF50D3">
              <w:rPr>
                <w:rFonts w:cs="Times New Roman"/>
                <w:color w:val="000000" w:themeColor="text1"/>
                <w:sz w:val="24"/>
                <w:szCs w:val="24"/>
              </w:rPr>
              <w:t xml:space="preserve">Noteikumu projektā noteiktas </w:t>
            </w:r>
            <w:r w:rsidR="00854BAC">
              <w:rPr>
                <w:rFonts w:cs="Times New Roman"/>
                <w:color w:val="000000" w:themeColor="text1"/>
                <w:sz w:val="24"/>
                <w:szCs w:val="24"/>
              </w:rPr>
              <w:t xml:space="preserve">Valsts kases tiesības klientu un darījumu izpētē. </w:t>
            </w:r>
            <w:r w:rsidR="00AF50D3">
              <w:rPr>
                <w:rFonts w:cs="Times New Roman"/>
                <w:color w:val="000000" w:themeColor="text1"/>
                <w:sz w:val="24"/>
                <w:szCs w:val="24"/>
              </w:rPr>
              <w:t>Noteikumu projekts stāsies spēkā</w:t>
            </w:r>
            <w:r w:rsidR="00854BAC">
              <w:rPr>
                <w:rFonts w:cs="Times New Roman"/>
                <w:color w:val="000000" w:themeColor="text1"/>
                <w:sz w:val="24"/>
                <w:szCs w:val="24"/>
              </w:rPr>
              <w:t xml:space="preserve"> 2020.gada 1.janvār</w:t>
            </w:r>
            <w:r w:rsidR="00AF50D3">
              <w:rPr>
                <w:rFonts w:cs="Times New Roman"/>
                <w:color w:val="000000" w:themeColor="text1"/>
                <w:sz w:val="24"/>
                <w:szCs w:val="24"/>
              </w:rPr>
              <w:t>ī</w:t>
            </w:r>
            <w:r w:rsidR="00854BAC">
              <w:rPr>
                <w:rFonts w:cs="Times New Roman"/>
                <w:color w:val="000000" w:themeColor="text1"/>
                <w:sz w:val="24"/>
                <w:szCs w:val="24"/>
              </w:rPr>
              <w:t xml:space="preserve">. </w:t>
            </w:r>
          </w:p>
        </w:tc>
      </w:tr>
    </w:tbl>
    <w:p w14:paraId="51ACD568" w14:textId="77777777" w:rsidR="005769D4" w:rsidRPr="002450A3" w:rsidRDefault="005769D4" w:rsidP="0034240B">
      <w:pPr>
        <w:spacing w:after="0" w:line="240" w:lineRule="auto"/>
        <w:rPr>
          <w:rFonts w:ascii="Times New Roman" w:eastAsia="Times New Roman" w:hAnsi="Times New Roman" w:cs="Times New Roman"/>
          <w:iCs/>
          <w:color w:val="000000" w:themeColor="text1"/>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5769D4" w:rsidRPr="002450A3" w14:paraId="55510E1E" w14:textId="77777777" w:rsidTr="005F2ACE">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83E765" w14:textId="77777777" w:rsidR="005769D4" w:rsidRPr="002450A3" w:rsidRDefault="005769D4" w:rsidP="0034240B">
            <w:pPr>
              <w:spacing w:after="0" w:line="240" w:lineRule="auto"/>
              <w:jc w:val="center"/>
              <w:rPr>
                <w:rFonts w:ascii="Times New Roman" w:eastAsia="Times New Roman" w:hAnsi="Times New Roman" w:cs="Times New Roman"/>
                <w:b/>
                <w:bCs/>
                <w:color w:val="000000" w:themeColor="text1"/>
                <w:sz w:val="24"/>
                <w:szCs w:val="24"/>
                <w:lang w:eastAsia="lv-LV"/>
              </w:rPr>
            </w:pPr>
            <w:r w:rsidRPr="002450A3">
              <w:rPr>
                <w:rFonts w:ascii="Times New Roman" w:eastAsia="Times New Roman" w:hAnsi="Times New Roman" w:cs="Times New Roman"/>
                <w:b/>
                <w:bCs/>
                <w:color w:val="000000" w:themeColor="text1"/>
                <w:sz w:val="24"/>
                <w:szCs w:val="24"/>
                <w:lang w:eastAsia="lv-LV"/>
              </w:rPr>
              <w:t>I. Tiesību akta projekta izstrādes nepieciešamība</w:t>
            </w:r>
          </w:p>
        </w:tc>
      </w:tr>
      <w:tr w:rsidR="000F1969" w:rsidRPr="002450A3" w14:paraId="25B2F02B" w14:textId="77777777" w:rsidTr="005F2AC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21977BA1" w14:textId="77777777" w:rsidR="000F1969" w:rsidRPr="002450A3"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4B6E8416" w14:textId="77777777" w:rsidR="000F1969" w:rsidRPr="002450A3"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9CE2D76" w14:textId="37D6E443" w:rsidR="000F1969" w:rsidRPr="002450A3" w:rsidRDefault="00E04270" w:rsidP="005947E2">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color w:val="000000" w:themeColor="text1"/>
                <w:sz w:val="24"/>
                <w:szCs w:val="24"/>
              </w:rPr>
              <w:t>N</w:t>
            </w:r>
            <w:r w:rsidR="006A26E7" w:rsidRPr="002450A3">
              <w:rPr>
                <w:rFonts w:ascii="Times New Roman" w:hAnsi="Times New Roman" w:cs="Times New Roman"/>
                <w:color w:val="000000" w:themeColor="text1"/>
                <w:sz w:val="24"/>
                <w:szCs w:val="24"/>
              </w:rPr>
              <w:t xml:space="preserve">oteikumu projekts izstrādāts </w:t>
            </w:r>
            <w:r w:rsidR="00AF151E" w:rsidRPr="002450A3">
              <w:rPr>
                <w:rFonts w:ascii="Times New Roman" w:hAnsi="Times New Roman" w:cs="Times New Roman"/>
                <w:color w:val="000000" w:themeColor="text1"/>
                <w:sz w:val="24"/>
                <w:szCs w:val="24"/>
              </w:rPr>
              <w:t xml:space="preserve">pēc </w:t>
            </w:r>
            <w:r w:rsidR="00AF50D3">
              <w:rPr>
                <w:rFonts w:ascii="Times New Roman" w:hAnsi="Times New Roman" w:cs="Times New Roman"/>
                <w:color w:val="000000" w:themeColor="text1"/>
                <w:sz w:val="24"/>
                <w:szCs w:val="24"/>
              </w:rPr>
              <w:t>Finanšu ministrijas (</w:t>
            </w:r>
            <w:r w:rsidR="00AF151E" w:rsidRPr="002450A3">
              <w:rPr>
                <w:rFonts w:ascii="Times New Roman" w:hAnsi="Times New Roman" w:cs="Times New Roman"/>
                <w:color w:val="000000" w:themeColor="text1"/>
                <w:sz w:val="24"/>
                <w:szCs w:val="24"/>
              </w:rPr>
              <w:t>Valsts kases</w:t>
            </w:r>
            <w:r w:rsidR="00AF50D3">
              <w:rPr>
                <w:rFonts w:ascii="Times New Roman" w:hAnsi="Times New Roman" w:cs="Times New Roman"/>
                <w:color w:val="000000" w:themeColor="text1"/>
                <w:sz w:val="24"/>
                <w:szCs w:val="24"/>
              </w:rPr>
              <w:t>)</w:t>
            </w:r>
            <w:r w:rsidR="00AF151E" w:rsidRPr="002450A3">
              <w:rPr>
                <w:rFonts w:ascii="Times New Roman" w:hAnsi="Times New Roman" w:cs="Times New Roman"/>
                <w:color w:val="000000" w:themeColor="text1"/>
                <w:sz w:val="24"/>
                <w:szCs w:val="24"/>
              </w:rPr>
              <w:t xml:space="preserve"> iniciatīvas</w:t>
            </w:r>
            <w:r w:rsidR="00AD1C2E">
              <w:rPr>
                <w:rFonts w:ascii="Times New Roman" w:hAnsi="Times New Roman" w:cs="Times New Roman"/>
                <w:color w:val="000000" w:themeColor="text1"/>
                <w:sz w:val="24"/>
                <w:szCs w:val="24"/>
              </w:rPr>
              <w:t>,</w:t>
            </w:r>
            <w:r w:rsidR="00AF151E" w:rsidRPr="002450A3">
              <w:rPr>
                <w:rFonts w:ascii="Times New Roman" w:hAnsi="Times New Roman" w:cs="Times New Roman"/>
                <w:color w:val="000000" w:themeColor="text1"/>
                <w:sz w:val="24"/>
                <w:szCs w:val="24"/>
              </w:rPr>
              <w:t xml:space="preserve"> ņemot vērā </w:t>
            </w:r>
            <w:r w:rsidR="00AD1C2E" w:rsidRPr="00AD1C2E">
              <w:rPr>
                <w:rFonts w:ascii="Times New Roman" w:hAnsi="Times New Roman" w:cs="Times New Roman"/>
                <w:color w:val="000000" w:themeColor="text1"/>
                <w:sz w:val="24"/>
                <w:szCs w:val="24"/>
              </w:rPr>
              <w:t>Ministru kabineta 2018.gada 11.oktobra rīkojumu Nr.512 “</w:t>
            </w:r>
            <w:r w:rsidR="00AD1C2E" w:rsidRPr="005947E2">
              <w:rPr>
                <w:rFonts w:ascii="Times New Roman" w:hAnsi="Times New Roman" w:cs="Times New Roman"/>
                <w:sz w:val="24"/>
                <w:szCs w:val="24"/>
              </w:rPr>
              <w:t>Par Pasākumu plānu noziedzīgi iegūtu līdzekļu legalizācijas un terorisma finansēšanas novēršanai laikposmam līdz 2019. gada 31. decembrim</w:t>
            </w:r>
            <w:r w:rsidR="00AD1C2E" w:rsidRPr="00AD1C2E">
              <w:rPr>
                <w:rFonts w:ascii="Times New Roman" w:hAnsi="Times New Roman" w:cs="Times New Roman"/>
                <w:color w:val="000000" w:themeColor="text1"/>
                <w:sz w:val="24"/>
                <w:szCs w:val="24"/>
              </w:rPr>
              <w:t>”</w:t>
            </w:r>
            <w:r w:rsidR="00AE1A14">
              <w:rPr>
                <w:rFonts w:ascii="Times New Roman" w:hAnsi="Times New Roman" w:cs="Times New Roman"/>
                <w:color w:val="000000" w:themeColor="text1"/>
                <w:sz w:val="24"/>
                <w:szCs w:val="24"/>
              </w:rPr>
              <w:t xml:space="preserve"> (lai arī Valsts kase nav tieši iesaistīta pasākumu plāna izpildē)</w:t>
            </w:r>
            <w:r w:rsidR="00AD1C2E">
              <w:rPr>
                <w:rFonts w:ascii="Times New Roman" w:hAnsi="Times New Roman" w:cs="Times New Roman"/>
                <w:color w:val="000000" w:themeColor="text1"/>
                <w:sz w:val="24"/>
                <w:szCs w:val="24"/>
              </w:rPr>
              <w:t>,</w:t>
            </w:r>
            <w:r w:rsidR="004F33E4">
              <w:rPr>
                <w:rFonts w:ascii="Times New Roman" w:hAnsi="Times New Roman" w:cs="Times New Roman"/>
                <w:color w:val="000000" w:themeColor="text1"/>
                <w:sz w:val="24"/>
                <w:szCs w:val="24"/>
              </w:rPr>
              <w:t xml:space="preserve"> ar tiem saistītos pasākumus, t.sk. normatīvo aktu grozījumus,</w:t>
            </w:r>
            <w:r w:rsidR="00AD1C2E" w:rsidRPr="00AD1C2E">
              <w:rPr>
                <w:rFonts w:ascii="Times New Roman" w:hAnsi="Times New Roman" w:cs="Times New Roman"/>
                <w:color w:val="000000" w:themeColor="text1"/>
                <w:sz w:val="24"/>
                <w:szCs w:val="24"/>
              </w:rPr>
              <w:t xml:space="preserve"> </w:t>
            </w:r>
            <w:r w:rsidR="00AF151E" w:rsidRPr="002450A3">
              <w:rPr>
                <w:rFonts w:ascii="Times New Roman" w:hAnsi="Times New Roman" w:cs="Times New Roman"/>
                <w:color w:val="000000" w:themeColor="text1"/>
                <w:sz w:val="24"/>
                <w:szCs w:val="24"/>
              </w:rPr>
              <w:t>Ministru kabinets 2019.</w:t>
            </w:r>
            <w:r w:rsidR="00AF50D3">
              <w:rPr>
                <w:rFonts w:ascii="Times New Roman" w:hAnsi="Times New Roman" w:cs="Times New Roman"/>
                <w:color w:val="000000" w:themeColor="text1"/>
                <w:sz w:val="24"/>
                <w:szCs w:val="24"/>
              </w:rPr>
              <w:t> </w:t>
            </w:r>
            <w:r w:rsidR="00AF151E" w:rsidRPr="002450A3">
              <w:rPr>
                <w:rFonts w:ascii="Times New Roman" w:hAnsi="Times New Roman" w:cs="Times New Roman"/>
                <w:color w:val="000000" w:themeColor="text1"/>
                <w:sz w:val="24"/>
                <w:szCs w:val="24"/>
              </w:rPr>
              <w:t xml:space="preserve">gadā apņēmies būtiski reformēt valsts finanšu sektoru, ievērojami uzlabojot tā caurskatāmību, atbalstot inovācijas, kā arī stimulējot aktīvu vēršanos pret noziedzīgi iegūtu līdzekļu legalizāciju, tādējādi izpildot </w:t>
            </w:r>
            <w:r w:rsidR="00AF151E" w:rsidRPr="0053418E">
              <w:rPr>
                <w:rFonts w:ascii="Times New Roman" w:hAnsi="Times New Roman" w:cs="Times New Roman"/>
                <w:i/>
                <w:color w:val="000000" w:themeColor="text1"/>
                <w:sz w:val="24"/>
                <w:szCs w:val="24"/>
              </w:rPr>
              <w:t>Moneyval</w:t>
            </w:r>
            <w:r w:rsidR="00AF151E" w:rsidRPr="002450A3">
              <w:rPr>
                <w:rFonts w:ascii="Times New Roman" w:hAnsi="Times New Roman" w:cs="Times New Roman"/>
                <w:color w:val="000000" w:themeColor="text1"/>
                <w:sz w:val="24"/>
                <w:szCs w:val="24"/>
              </w:rPr>
              <w:t xml:space="preserve"> rekomendācijas</w:t>
            </w:r>
            <w:r w:rsidR="00EF0C19">
              <w:rPr>
                <w:rFonts w:ascii="Times New Roman" w:hAnsi="Times New Roman" w:cs="Times New Roman"/>
                <w:color w:val="000000" w:themeColor="text1"/>
                <w:sz w:val="24"/>
                <w:szCs w:val="24"/>
              </w:rPr>
              <w:t xml:space="preserve"> un ievērojot to, k</w:t>
            </w:r>
            <w:r w:rsidR="007C0EC9">
              <w:rPr>
                <w:rFonts w:ascii="Times New Roman" w:hAnsi="Times New Roman" w:cs="Times New Roman"/>
                <w:color w:val="000000" w:themeColor="text1"/>
                <w:sz w:val="24"/>
                <w:szCs w:val="24"/>
              </w:rPr>
              <w:t xml:space="preserve">a </w:t>
            </w:r>
            <w:r w:rsidR="005377ED" w:rsidRPr="002450A3">
              <w:rPr>
                <w:rFonts w:ascii="Times New Roman" w:hAnsi="Times New Roman" w:cs="Times New Roman"/>
                <w:sz w:val="24"/>
                <w:szCs w:val="24"/>
              </w:rPr>
              <w:t xml:space="preserve">Ministru kabineta 2019.gada 7.maija rīkojums Nr.210 “Par Valdības rīcības plānu Deklarācijas par Artura Krišjāņa Kariņa vadītā Ministru kabineta iecerēto darbību īstenošanai” nosaka, ka tiks veikti pasākumi, lai izpildītu Moneyval </w:t>
            </w:r>
            <w:r w:rsidR="005377ED" w:rsidRPr="002450A3">
              <w:rPr>
                <w:rFonts w:ascii="Times New Roman" w:hAnsi="Times New Roman"/>
                <w:sz w:val="24"/>
              </w:rPr>
              <w:t>ziņojumā ietvertās prasības un stiprinātu Latvijas spējas cīnīties ar noziedzīgi iegūtu līdzekļu legalizāciju un terorisma finansēšanu</w:t>
            </w:r>
            <w:r w:rsidR="005377ED" w:rsidRPr="002450A3">
              <w:rPr>
                <w:rFonts w:ascii="Times New Roman" w:hAnsi="Times New Roman" w:cs="Times New Roman"/>
                <w:sz w:val="24"/>
                <w:szCs w:val="24"/>
              </w:rPr>
              <w:t xml:space="preserve">, rezultātā nodrošinot </w:t>
            </w:r>
            <w:r w:rsidR="005377ED" w:rsidRPr="002450A3">
              <w:rPr>
                <w:rFonts w:ascii="Times New Roman" w:hAnsi="Times New Roman"/>
                <w:sz w:val="24"/>
              </w:rPr>
              <w:t>starptautiskajiem standartiem un labākajai praksei atbilstoša noziedzīgi iegūtu līdzekļu legalizācijas un terorisma finansēšanas novēršanas risk</w:t>
            </w:r>
            <w:r w:rsidR="005377ED" w:rsidRPr="002450A3">
              <w:rPr>
                <w:rFonts w:ascii="Times New Roman" w:hAnsi="Times New Roman" w:cs="Times New Roman"/>
                <w:sz w:val="24"/>
                <w:szCs w:val="24"/>
              </w:rPr>
              <w:t>a pārvaldības sistēmas ieviešanu</w:t>
            </w:r>
            <w:r w:rsidR="005377ED" w:rsidRPr="002450A3">
              <w:rPr>
                <w:rFonts w:ascii="Times New Roman" w:hAnsi="Times New Roman"/>
                <w:sz w:val="24"/>
              </w:rPr>
              <w:t xml:space="preserve"> publiskā</w:t>
            </w:r>
            <w:r w:rsidR="005377ED" w:rsidRPr="002450A3">
              <w:rPr>
                <w:rFonts w:ascii="Times New Roman" w:hAnsi="Times New Roman" w:cs="Times New Roman"/>
                <w:sz w:val="24"/>
                <w:szCs w:val="24"/>
              </w:rPr>
              <w:t xml:space="preserve"> un privātā sektora struktūrās. </w:t>
            </w:r>
          </w:p>
        </w:tc>
      </w:tr>
      <w:tr w:rsidR="000F1969" w:rsidRPr="002450A3" w14:paraId="2EB972DD" w14:textId="77777777" w:rsidTr="005F2AC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5CB47577" w14:textId="77777777" w:rsidR="000F1969" w:rsidRPr="002450A3"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264568EC" w14:textId="3984EE45" w:rsidR="000F1969" w:rsidRPr="002450A3"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FD6F502" w14:textId="77777777" w:rsidR="000F1969" w:rsidRPr="002450A3" w:rsidRDefault="000F1969" w:rsidP="00220D26">
            <w:pPr>
              <w:spacing w:after="0" w:line="240" w:lineRule="auto"/>
              <w:jc w:val="center"/>
              <w:rPr>
                <w:rFonts w:ascii="Times New Roman" w:eastAsia="Times New Roman" w:hAnsi="Times New Roman" w:cs="Times New Roman"/>
                <w:color w:val="000000" w:themeColor="text1"/>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18F99DBA" w14:textId="70C6B185" w:rsidR="00E94846" w:rsidRDefault="00E94846" w:rsidP="00EF0C19">
            <w:pPr>
              <w:spacing w:after="0" w:line="240" w:lineRule="auto"/>
              <w:jc w:val="both"/>
              <w:rPr>
                <w:rFonts w:ascii="Times New Roman" w:hAnsi="Times New Roman"/>
                <w:sz w:val="24"/>
              </w:rPr>
            </w:pPr>
            <w:r w:rsidRPr="00E94846">
              <w:rPr>
                <w:rFonts w:ascii="Times New Roman" w:hAnsi="Times New Roman"/>
                <w:sz w:val="24"/>
              </w:rPr>
              <w:t xml:space="preserve">Īstenojot Valsts kases ar normatīvajiem aktiem noteiktās funkcijas un uzdevumus, t.sk. maksājumu pakalpojumu nodrošināšanā, var secināt, ka tie ir pielīdzināmi pakalpojumu veidiem, kuriem ir noteiktas NILLTPFNL prasības. Līdz ar to nevar izslēgt situācijas, kad Valsts kasei, veicot funkcijas valsts finanšu vadības jomā, jāsaskaras ar NILLTPFNL noteikto tiesību normu piemērošanas jautājumiem. Atbilstoši NILLTPFNL 3.panta ceturtajai daļai uz valsts institūcijām, t.sk. arī uz Valsts kasi, ir attiecināms ziņošanas pienākums par </w:t>
            </w:r>
            <w:r w:rsidRPr="00E94846">
              <w:rPr>
                <w:rFonts w:ascii="Times New Roman" w:hAnsi="Times New Roman"/>
                <w:sz w:val="24"/>
              </w:rPr>
              <w:lastRenderedPageBreak/>
              <w:t>aizdomīgiem un neparastiem darījumiem. Tāpat Valsts kase, saskaņā ar Sankciju likuma 2.panta otro daļu, gluži kā jebkura persona, ir Sankciju likuma subjekts.</w:t>
            </w:r>
          </w:p>
          <w:p w14:paraId="4C7C4227" w14:textId="77777777" w:rsidR="00E94846" w:rsidRDefault="00E94846" w:rsidP="00EF0C19">
            <w:pPr>
              <w:spacing w:after="0" w:line="240" w:lineRule="auto"/>
              <w:jc w:val="both"/>
              <w:rPr>
                <w:rFonts w:ascii="Times New Roman" w:hAnsi="Times New Roman"/>
                <w:sz w:val="24"/>
              </w:rPr>
            </w:pPr>
          </w:p>
          <w:p w14:paraId="63BC708A" w14:textId="6280DF9B" w:rsidR="00E94846" w:rsidRDefault="00EF0C19" w:rsidP="00D42054">
            <w:pPr>
              <w:spacing w:after="0" w:line="240" w:lineRule="auto"/>
              <w:ind w:firstLine="512"/>
              <w:jc w:val="both"/>
              <w:rPr>
                <w:rFonts w:ascii="Times New Roman" w:hAnsi="Times New Roman"/>
                <w:sz w:val="24"/>
              </w:rPr>
            </w:pPr>
            <w:r>
              <w:rPr>
                <w:rFonts w:ascii="Times New Roman" w:hAnsi="Times New Roman"/>
                <w:sz w:val="24"/>
              </w:rPr>
              <w:t xml:space="preserve">Šobrīd spēkā </w:t>
            </w:r>
            <w:r w:rsidR="00335624">
              <w:rPr>
                <w:rFonts w:ascii="Times New Roman" w:hAnsi="Times New Roman"/>
                <w:sz w:val="24"/>
              </w:rPr>
              <w:t>esošajos</w:t>
            </w:r>
            <w:r w:rsidR="00335624" w:rsidRPr="00AF50D3">
              <w:rPr>
                <w:rFonts w:ascii="Times New Roman" w:hAnsi="Times New Roman"/>
                <w:sz w:val="24"/>
              </w:rPr>
              <w:t xml:space="preserve"> </w:t>
            </w:r>
            <w:r w:rsidR="00AF50D3" w:rsidRPr="00AF50D3">
              <w:rPr>
                <w:rFonts w:ascii="Times New Roman" w:hAnsi="Times New Roman"/>
                <w:sz w:val="24"/>
              </w:rPr>
              <w:t>Ministru kabinet</w:t>
            </w:r>
            <w:r>
              <w:rPr>
                <w:rFonts w:ascii="Times New Roman" w:hAnsi="Times New Roman"/>
                <w:sz w:val="24"/>
              </w:rPr>
              <w:t>a 2012. gada 5. jūnija noteikum</w:t>
            </w:r>
            <w:r w:rsidR="00335624">
              <w:rPr>
                <w:rFonts w:ascii="Times New Roman" w:hAnsi="Times New Roman"/>
                <w:sz w:val="24"/>
              </w:rPr>
              <w:t>os</w:t>
            </w:r>
            <w:r w:rsidR="00F84903">
              <w:rPr>
                <w:rFonts w:ascii="Times New Roman" w:hAnsi="Times New Roman"/>
                <w:sz w:val="24"/>
              </w:rPr>
              <w:t xml:space="preserve"> Nr. </w:t>
            </w:r>
            <w:r w:rsidR="00AF50D3" w:rsidRPr="00AF50D3">
              <w:rPr>
                <w:rFonts w:ascii="Times New Roman" w:hAnsi="Times New Roman"/>
                <w:sz w:val="24"/>
              </w:rPr>
              <w:t>387 “Kārtība, kādā Valsts kase nodrošina maksājumu pakalpojumu sniegšanu” (turpm</w:t>
            </w:r>
            <w:r w:rsidR="00F84903">
              <w:rPr>
                <w:rFonts w:ascii="Times New Roman" w:hAnsi="Times New Roman"/>
                <w:sz w:val="24"/>
              </w:rPr>
              <w:t>āk – noteikumi Nr. </w:t>
            </w:r>
            <w:r>
              <w:rPr>
                <w:rFonts w:ascii="Times New Roman" w:hAnsi="Times New Roman"/>
                <w:sz w:val="24"/>
              </w:rPr>
              <w:t>387) ietvertais</w:t>
            </w:r>
            <w:r w:rsidR="00AF50D3" w:rsidRPr="00AF50D3">
              <w:rPr>
                <w:rFonts w:ascii="Times New Roman" w:hAnsi="Times New Roman"/>
                <w:sz w:val="24"/>
              </w:rPr>
              <w:t xml:space="preserve"> maksājumu pakal</w:t>
            </w:r>
            <w:r>
              <w:rPr>
                <w:rFonts w:ascii="Times New Roman" w:hAnsi="Times New Roman"/>
                <w:sz w:val="24"/>
              </w:rPr>
              <w:t>pojumu nodrošināšanas regulējums</w:t>
            </w:r>
            <w:r w:rsidR="00F84903">
              <w:rPr>
                <w:rFonts w:ascii="Times New Roman" w:hAnsi="Times New Roman"/>
                <w:sz w:val="24"/>
              </w:rPr>
              <w:t xml:space="preserve"> </w:t>
            </w:r>
            <w:r w:rsidR="00E94846">
              <w:rPr>
                <w:rFonts w:ascii="Times New Roman" w:hAnsi="Times New Roman"/>
                <w:sz w:val="24"/>
              </w:rPr>
              <w:t>nav balstīts</w:t>
            </w:r>
            <w:r w:rsidR="00E94846" w:rsidRPr="00E94846">
              <w:rPr>
                <w:rFonts w:ascii="Times New Roman" w:hAnsi="Times New Roman"/>
                <w:sz w:val="24"/>
              </w:rPr>
              <w:t xml:space="preserve"> uz atbilstības (</w:t>
            </w:r>
            <w:r w:rsidR="00E94846" w:rsidRPr="00E94846">
              <w:rPr>
                <w:rFonts w:ascii="Times New Roman" w:hAnsi="Times New Roman"/>
                <w:i/>
                <w:sz w:val="24"/>
              </w:rPr>
              <w:t>compliance</w:t>
            </w:r>
            <w:r w:rsidR="00E94846" w:rsidRPr="00E94846">
              <w:rPr>
                <w:rFonts w:ascii="Times New Roman" w:hAnsi="Times New Roman"/>
                <w:sz w:val="24"/>
              </w:rPr>
              <w:t xml:space="preserve">) pieeju, bet gan nosaka pakalpojumu sniegšanu visos gadījumos, kad klients un tā darījumi kvalificējas noteiktiem kritērijiem, līdz ar to ar noteikumu projektu ir paredzēts noteikt Valsts kasei plašākas tiesības vērtēt pamatojumu </w:t>
            </w:r>
            <w:r w:rsidR="0090379A">
              <w:rPr>
                <w:rFonts w:ascii="Times New Roman" w:hAnsi="Times New Roman"/>
                <w:sz w:val="24"/>
              </w:rPr>
              <w:t xml:space="preserve">maksājumu </w:t>
            </w:r>
            <w:r w:rsidR="00E94846" w:rsidRPr="00E94846">
              <w:rPr>
                <w:rFonts w:ascii="Times New Roman" w:hAnsi="Times New Roman"/>
                <w:sz w:val="24"/>
              </w:rPr>
              <w:t xml:space="preserve">pakalpojumu sniegšanai, tādējādi nodrošinot tiesības ierobežot vai nesniegt </w:t>
            </w:r>
            <w:r w:rsidR="0090379A">
              <w:rPr>
                <w:rFonts w:ascii="Times New Roman" w:hAnsi="Times New Roman"/>
                <w:sz w:val="24"/>
              </w:rPr>
              <w:t xml:space="preserve">maksājumu </w:t>
            </w:r>
            <w:r w:rsidR="00E94846" w:rsidRPr="00E94846">
              <w:rPr>
                <w:rFonts w:ascii="Times New Roman" w:hAnsi="Times New Roman"/>
                <w:sz w:val="24"/>
              </w:rPr>
              <w:t xml:space="preserve">pakalpojumus, ja pastāv kaut mazākās šaubas par darījumu caurskatāmību un attiecīgi tie var negatīvi ietekmēt pakalpojuma sniedzēja reputāciju. Līdz ar to </w:t>
            </w:r>
            <w:r w:rsidR="0090379A">
              <w:rPr>
                <w:rFonts w:ascii="Times New Roman" w:hAnsi="Times New Roman"/>
                <w:sz w:val="24"/>
              </w:rPr>
              <w:t>nodrošināta</w:t>
            </w:r>
            <w:r w:rsidR="00E94846" w:rsidRPr="00E94846">
              <w:rPr>
                <w:rFonts w:ascii="Times New Roman" w:hAnsi="Times New Roman"/>
                <w:sz w:val="24"/>
              </w:rPr>
              <w:t xml:space="preserve"> nulles tolerance pret NILLTPFNL un Sankciju likuma pārkāpumiem un prettiesisku rīcību.</w:t>
            </w:r>
          </w:p>
          <w:p w14:paraId="154DCA1D" w14:textId="2CFF112F" w:rsidR="00AF50D3" w:rsidRDefault="00E94846" w:rsidP="007C0EC9">
            <w:pPr>
              <w:spacing w:after="0" w:line="240" w:lineRule="auto"/>
              <w:ind w:firstLine="510"/>
              <w:jc w:val="both"/>
              <w:rPr>
                <w:rFonts w:ascii="Times New Roman" w:hAnsi="Times New Roman"/>
                <w:sz w:val="24"/>
              </w:rPr>
            </w:pPr>
            <w:r>
              <w:rPr>
                <w:rFonts w:ascii="Times New Roman" w:hAnsi="Times New Roman"/>
                <w:sz w:val="24"/>
              </w:rPr>
              <w:t>Vienlaicīgi i</w:t>
            </w:r>
            <w:r w:rsidR="00AF50D3" w:rsidRPr="00AF50D3">
              <w:rPr>
                <w:rFonts w:ascii="Times New Roman" w:hAnsi="Times New Roman"/>
                <w:sz w:val="24"/>
              </w:rPr>
              <w:t>epazīstoties ar finanšu un kapitāla tirgus aktualitātēm, tika secināts, ka būtiski ir aktualizējušies finanšu pakalpojumu attīstības un darbības atbilstības jautājumi, kā rezultātā ir arī veikti būti</w:t>
            </w:r>
            <w:r w:rsidR="00F84903">
              <w:rPr>
                <w:rFonts w:ascii="Times New Roman" w:hAnsi="Times New Roman"/>
                <w:sz w:val="24"/>
              </w:rPr>
              <w:t>ski grozījumi</w:t>
            </w:r>
            <w:r w:rsidR="00AF50D3" w:rsidRPr="00AF50D3">
              <w:rPr>
                <w:rFonts w:ascii="Times New Roman" w:hAnsi="Times New Roman"/>
                <w:sz w:val="24"/>
              </w:rPr>
              <w:t xml:space="preserve"> tiesību aktos, piemēram NILLTPFNL, kā arī attiecīgi finanšu pakalpojumu sniedzēji ir būtiski pārskatījuši savas procedūras attiecībā uz </w:t>
            </w:r>
            <w:r w:rsidR="0090379A">
              <w:rPr>
                <w:rFonts w:ascii="Times New Roman" w:hAnsi="Times New Roman"/>
                <w:sz w:val="24"/>
              </w:rPr>
              <w:t xml:space="preserve">maksājumu </w:t>
            </w:r>
            <w:r w:rsidR="00AF50D3" w:rsidRPr="00AF50D3">
              <w:rPr>
                <w:rFonts w:ascii="Times New Roman" w:hAnsi="Times New Roman"/>
                <w:sz w:val="24"/>
              </w:rPr>
              <w:t>pakalpojumu sniegšanu un nosacījumiem</w:t>
            </w:r>
            <w:r w:rsidR="00F84903">
              <w:rPr>
                <w:rFonts w:ascii="Times New Roman" w:hAnsi="Times New Roman"/>
                <w:sz w:val="24"/>
              </w:rPr>
              <w:t xml:space="preserve">, kas ietekmē arī </w:t>
            </w:r>
            <w:r w:rsidR="00F84903" w:rsidRPr="007C0EC9">
              <w:rPr>
                <w:rFonts w:ascii="Times New Roman" w:hAnsi="Times New Roman"/>
                <w:sz w:val="24"/>
              </w:rPr>
              <w:t>Valsts kases, kā maksājumu pakalpojumu sniedzējas darbību,</w:t>
            </w:r>
            <w:r w:rsidR="00AF50D3" w:rsidRPr="00AF50D3">
              <w:rPr>
                <w:rFonts w:ascii="Times New Roman" w:hAnsi="Times New Roman"/>
                <w:sz w:val="24"/>
              </w:rPr>
              <w:t xml:space="preserve"> </w:t>
            </w:r>
            <w:r w:rsidR="00F84903">
              <w:rPr>
                <w:rFonts w:ascii="Times New Roman" w:hAnsi="Times New Roman"/>
                <w:sz w:val="24"/>
              </w:rPr>
              <w:t xml:space="preserve">jo </w:t>
            </w:r>
            <w:r w:rsidR="00AF50D3" w:rsidRPr="00AF50D3">
              <w:rPr>
                <w:rFonts w:ascii="Times New Roman" w:hAnsi="Times New Roman"/>
                <w:sz w:val="24"/>
              </w:rPr>
              <w:t xml:space="preserve">Valsts kasei kā maksājumu sistēmas dalībniekam ir pienākums nodrošināt tādas maksājumu pakalpojumu sniegšanas procedūras, kas maksimāli izslēgtu noziedzīgi iegūtu līdzekļu legalizācijas un terorisma un proliferācijas finansēšanas iespējas, izmantojot Valsts kases nodrošinātos pakalpojumus, kā arī starptautisko un Latvijas Republikas nacionālo sankciju riskus. </w:t>
            </w:r>
            <w:r w:rsidR="00F84903">
              <w:rPr>
                <w:rFonts w:ascii="Times New Roman" w:hAnsi="Times New Roman"/>
                <w:sz w:val="24"/>
              </w:rPr>
              <w:t>Līdz ar to</w:t>
            </w:r>
            <w:r w:rsidR="00AF50D3" w:rsidRPr="00AF50D3">
              <w:rPr>
                <w:rFonts w:ascii="Times New Roman" w:hAnsi="Times New Roman"/>
                <w:sz w:val="24"/>
              </w:rPr>
              <w:t xml:space="preserve"> Valsts kasei ir nepieciešams pilnveidot iekšējā kontroles sistēmu, lai nodrošinātu finanšu tirgus praksei un standartiem atbilstošu risku pārvaldības un atbilstības principu ieviešanu.</w:t>
            </w:r>
          </w:p>
          <w:p w14:paraId="50DFD492" w14:textId="76BD5497" w:rsidR="00837CC6" w:rsidRPr="007C0EC9" w:rsidRDefault="00837CC6" w:rsidP="007C0EC9">
            <w:pPr>
              <w:spacing w:after="0" w:line="240" w:lineRule="auto"/>
              <w:ind w:firstLine="510"/>
              <w:jc w:val="both"/>
              <w:rPr>
                <w:rFonts w:ascii="Times New Roman" w:hAnsi="Times New Roman"/>
                <w:sz w:val="24"/>
              </w:rPr>
            </w:pPr>
            <w:r w:rsidRPr="00837CC6">
              <w:rPr>
                <w:rFonts w:ascii="Times New Roman" w:hAnsi="Times New Roman"/>
                <w:sz w:val="24"/>
              </w:rPr>
              <w:t>Lai nodrošinātu klientu izpētes un maksājumu uzraudzības procedūras, ir nepieciešams ievērot uz risku balstītu pieeju (</w:t>
            </w:r>
            <w:r w:rsidRPr="0053418E">
              <w:rPr>
                <w:rFonts w:ascii="Times New Roman" w:hAnsi="Times New Roman"/>
                <w:i/>
                <w:sz w:val="24"/>
              </w:rPr>
              <w:t>risk – based approach</w:t>
            </w:r>
            <w:r w:rsidRPr="00837CC6">
              <w:rPr>
                <w:rFonts w:ascii="Times New Roman" w:hAnsi="Times New Roman"/>
                <w:sz w:val="24"/>
              </w:rPr>
              <w:t xml:space="preserve">) un kontroles pasākumiem ir jābūt samērīgiem ar klientu un pakalpojumu risku līmeņiem, par kuriem attiecīgi Valsts kase 2018.gadā jau ir veikusi risku novērtējumu. Tādējādi noteikumu projektā iekļautās procedūras maksājumu pakalpojumu sniegšanā ir atbilstošas risku novērtējuma rekomendācijām.  </w:t>
            </w:r>
          </w:p>
          <w:p w14:paraId="7A065AA0" w14:textId="55389CA5" w:rsidR="00E743B7" w:rsidRPr="002450A3" w:rsidRDefault="003B495A" w:rsidP="007C0EC9">
            <w:pPr>
              <w:spacing w:after="0" w:line="240" w:lineRule="auto"/>
              <w:ind w:firstLine="510"/>
              <w:jc w:val="both"/>
              <w:rPr>
                <w:rFonts w:ascii="Times New Roman" w:hAnsi="Times New Roman" w:cs="Times New Roman"/>
                <w:sz w:val="24"/>
                <w:szCs w:val="24"/>
              </w:rPr>
            </w:pPr>
            <w:r w:rsidRPr="0053635C">
              <w:rPr>
                <w:rFonts w:ascii="Times New Roman" w:hAnsi="Times New Roman" w:cs="Times New Roman"/>
                <w:sz w:val="24"/>
                <w:szCs w:val="24"/>
              </w:rPr>
              <w:t xml:space="preserve">Noteikumu projektā </w:t>
            </w:r>
            <w:r w:rsidR="00837CC6" w:rsidRPr="0053635C">
              <w:rPr>
                <w:rFonts w:ascii="Times New Roman" w:hAnsi="Times New Roman" w:cs="Times New Roman"/>
                <w:sz w:val="24"/>
                <w:szCs w:val="24"/>
              </w:rPr>
              <w:t>Valsts kasei</w:t>
            </w:r>
            <w:r w:rsidR="00837CC6">
              <w:rPr>
                <w:rFonts w:ascii="Times New Roman" w:hAnsi="Times New Roman" w:cs="Times New Roman"/>
                <w:sz w:val="24"/>
                <w:szCs w:val="24"/>
              </w:rPr>
              <w:t xml:space="preserve"> </w:t>
            </w:r>
            <w:r w:rsidRPr="0053635C">
              <w:rPr>
                <w:rFonts w:ascii="Times New Roman" w:hAnsi="Times New Roman" w:cs="Times New Roman"/>
                <w:sz w:val="24"/>
                <w:szCs w:val="24"/>
              </w:rPr>
              <w:t xml:space="preserve">ir paredzētas tiesības </w:t>
            </w:r>
            <w:r w:rsidR="00C37FA2">
              <w:rPr>
                <w:rFonts w:ascii="Times New Roman" w:hAnsi="Times New Roman" w:cs="Times New Roman"/>
                <w:sz w:val="24"/>
                <w:szCs w:val="24"/>
              </w:rPr>
              <w:t>visiem klientiem pieprasīt informāciju, lai nodrošinātu noteikumu projektā minēto maksājumu pakalpojumu sniegšanu.</w:t>
            </w:r>
            <w:r w:rsidR="00672BA7" w:rsidRPr="002450A3">
              <w:rPr>
                <w:rFonts w:ascii="Times New Roman" w:hAnsi="Times New Roman" w:cs="Times New Roman"/>
                <w:sz w:val="24"/>
                <w:szCs w:val="24"/>
              </w:rPr>
              <w:t xml:space="preserve"> </w:t>
            </w:r>
          </w:p>
          <w:p w14:paraId="1F5B97D7" w14:textId="3C8A1282" w:rsidR="00CF6268" w:rsidRPr="002450A3" w:rsidRDefault="003B495A" w:rsidP="00CF6268">
            <w:pPr>
              <w:spacing w:after="0" w:line="240" w:lineRule="auto"/>
              <w:jc w:val="both"/>
              <w:rPr>
                <w:rFonts w:ascii="Times New Roman" w:hAnsi="Times New Roman" w:cs="Times New Roman"/>
                <w:sz w:val="24"/>
                <w:szCs w:val="24"/>
              </w:rPr>
            </w:pPr>
            <w:r w:rsidRPr="002450A3">
              <w:rPr>
                <w:rFonts w:ascii="Times New Roman" w:hAnsi="Times New Roman" w:cs="Times New Roman"/>
                <w:sz w:val="24"/>
                <w:szCs w:val="24"/>
              </w:rPr>
              <w:t>N</w:t>
            </w:r>
            <w:r w:rsidR="00ED15D6" w:rsidRPr="002450A3">
              <w:rPr>
                <w:rFonts w:ascii="Times New Roman" w:hAnsi="Times New Roman" w:cs="Times New Roman"/>
                <w:sz w:val="24"/>
                <w:szCs w:val="24"/>
              </w:rPr>
              <w:t>oteikum</w:t>
            </w:r>
            <w:r w:rsidR="00CF6268" w:rsidRPr="002450A3">
              <w:rPr>
                <w:rFonts w:ascii="Times New Roman" w:hAnsi="Times New Roman" w:cs="Times New Roman"/>
                <w:sz w:val="24"/>
                <w:szCs w:val="24"/>
              </w:rPr>
              <w:t>os</w:t>
            </w:r>
            <w:r w:rsidRPr="002450A3">
              <w:rPr>
                <w:rFonts w:ascii="Times New Roman" w:hAnsi="Times New Roman" w:cs="Times New Roman"/>
                <w:sz w:val="24"/>
                <w:szCs w:val="24"/>
              </w:rPr>
              <w:t xml:space="preserve"> Nr. 387</w:t>
            </w:r>
            <w:r w:rsidR="00ED15D6" w:rsidRPr="002450A3">
              <w:rPr>
                <w:rFonts w:ascii="Times New Roman" w:hAnsi="Times New Roman" w:cs="Times New Roman"/>
                <w:sz w:val="24"/>
                <w:szCs w:val="24"/>
              </w:rPr>
              <w:t xml:space="preserve"> </w:t>
            </w:r>
            <w:r w:rsidR="00CF6268" w:rsidRPr="002450A3">
              <w:rPr>
                <w:rFonts w:ascii="Times New Roman" w:hAnsi="Times New Roman" w:cs="Times New Roman"/>
                <w:sz w:val="24"/>
                <w:szCs w:val="24"/>
              </w:rPr>
              <w:t xml:space="preserve">nav reglamentēta </w:t>
            </w:r>
            <w:r w:rsidR="00427955" w:rsidRPr="002450A3">
              <w:rPr>
                <w:rFonts w:ascii="Times New Roman" w:hAnsi="Times New Roman" w:cs="Times New Roman"/>
                <w:sz w:val="24"/>
                <w:szCs w:val="24"/>
              </w:rPr>
              <w:t>klienta identifikācija</w:t>
            </w:r>
            <w:r w:rsidR="00CF6268" w:rsidRPr="002450A3">
              <w:rPr>
                <w:rFonts w:ascii="Times New Roman" w:hAnsi="Times New Roman" w:cs="Times New Roman"/>
                <w:sz w:val="24"/>
                <w:szCs w:val="24"/>
              </w:rPr>
              <w:t>s kārtība</w:t>
            </w:r>
            <w:r w:rsidR="00427955" w:rsidRPr="002450A3">
              <w:rPr>
                <w:rFonts w:ascii="Times New Roman" w:hAnsi="Times New Roman" w:cs="Times New Roman"/>
                <w:sz w:val="24"/>
                <w:szCs w:val="24"/>
              </w:rPr>
              <w:t xml:space="preserve">, turpretī </w:t>
            </w:r>
            <w:r w:rsidR="00CF6268" w:rsidRPr="002450A3">
              <w:rPr>
                <w:rFonts w:ascii="Times New Roman" w:hAnsi="Times New Roman" w:cs="Times New Roman"/>
                <w:color w:val="000000" w:themeColor="text1"/>
                <w:sz w:val="24"/>
                <w:szCs w:val="24"/>
              </w:rPr>
              <w:t>NILLTPFNL</w:t>
            </w:r>
            <w:r w:rsidR="00CF6268" w:rsidRPr="002450A3" w:rsidDel="00CF6268">
              <w:rPr>
                <w:rFonts w:ascii="Times New Roman" w:hAnsi="Times New Roman" w:cs="Times New Roman"/>
                <w:sz w:val="24"/>
                <w:szCs w:val="24"/>
              </w:rPr>
              <w:t xml:space="preserve"> </w:t>
            </w:r>
            <w:r w:rsidR="00CF6268" w:rsidRPr="002450A3">
              <w:rPr>
                <w:rFonts w:ascii="Times New Roman" w:hAnsi="Times New Roman" w:cs="Times New Roman"/>
                <w:sz w:val="24"/>
                <w:szCs w:val="24"/>
              </w:rPr>
              <w:t>nosaka konkrētu</w:t>
            </w:r>
            <w:r w:rsidR="00427955" w:rsidRPr="002450A3">
              <w:rPr>
                <w:rFonts w:ascii="Times New Roman" w:hAnsi="Times New Roman" w:cs="Times New Roman"/>
                <w:sz w:val="24"/>
                <w:szCs w:val="24"/>
              </w:rPr>
              <w:t xml:space="preserve"> </w:t>
            </w:r>
            <w:r w:rsidR="005C4572" w:rsidRPr="002450A3">
              <w:rPr>
                <w:rFonts w:ascii="Times New Roman" w:hAnsi="Times New Roman" w:cs="Times New Roman"/>
                <w:sz w:val="24"/>
                <w:szCs w:val="24"/>
              </w:rPr>
              <w:t xml:space="preserve">klienta </w:t>
            </w:r>
            <w:r w:rsidR="005C4572" w:rsidRPr="002450A3">
              <w:rPr>
                <w:rFonts w:ascii="Times New Roman" w:hAnsi="Times New Roman" w:cs="Times New Roman"/>
                <w:sz w:val="24"/>
                <w:szCs w:val="24"/>
              </w:rPr>
              <w:lastRenderedPageBreak/>
              <w:t>identifikācijas kārtību</w:t>
            </w:r>
            <w:r w:rsidR="00427955" w:rsidRPr="002450A3">
              <w:rPr>
                <w:rFonts w:ascii="Times New Roman" w:hAnsi="Times New Roman" w:cs="Times New Roman"/>
                <w:sz w:val="24"/>
                <w:szCs w:val="24"/>
              </w:rPr>
              <w:t xml:space="preserve">, kas attiecīgi uzņemot klientu, mazina iespējas nelikumīgi vai negodprātīgi izmantot maksājumu pakalpojumus. </w:t>
            </w:r>
            <w:r w:rsidR="00021C1F" w:rsidRPr="002450A3">
              <w:rPr>
                <w:rFonts w:ascii="Times New Roman" w:hAnsi="Times New Roman" w:cs="Times New Roman"/>
                <w:sz w:val="24"/>
                <w:szCs w:val="24"/>
              </w:rPr>
              <w:t>Noteikumu Nr. 387</w:t>
            </w:r>
            <w:r w:rsidR="00CF6268" w:rsidRPr="002450A3">
              <w:rPr>
                <w:rFonts w:ascii="Times New Roman" w:hAnsi="Times New Roman" w:cs="Times New Roman"/>
                <w:sz w:val="24"/>
                <w:szCs w:val="24"/>
              </w:rPr>
              <w:t xml:space="preserve"> </w:t>
            </w:r>
            <w:r w:rsidR="00021C1F" w:rsidRPr="002450A3">
              <w:rPr>
                <w:rFonts w:ascii="Times New Roman" w:hAnsi="Times New Roman" w:cs="Times New Roman"/>
                <w:sz w:val="24"/>
                <w:szCs w:val="24"/>
              </w:rPr>
              <w:t>regulējums nosaka, ka</w:t>
            </w:r>
            <w:r w:rsidR="00427955" w:rsidRPr="002450A3">
              <w:rPr>
                <w:rFonts w:ascii="Times New Roman" w:hAnsi="Times New Roman" w:cs="Times New Roman"/>
                <w:sz w:val="24"/>
                <w:szCs w:val="24"/>
              </w:rPr>
              <w:t xml:space="preserve"> klient</w:t>
            </w:r>
            <w:r w:rsidR="00021C1F" w:rsidRPr="002450A3">
              <w:rPr>
                <w:rFonts w:ascii="Times New Roman" w:hAnsi="Times New Roman" w:cs="Times New Roman"/>
                <w:sz w:val="24"/>
                <w:szCs w:val="24"/>
              </w:rPr>
              <w:t>s</w:t>
            </w:r>
            <w:r w:rsidR="00427955" w:rsidRPr="002450A3">
              <w:rPr>
                <w:rFonts w:ascii="Times New Roman" w:hAnsi="Times New Roman" w:cs="Times New Roman"/>
                <w:sz w:val="24"/>
                <w:szCs w:val="24"/>
              </w:rPr>
              <w:t xml:space="preserve"> </w:t>
            </w:r>
            <w:r w:rsidR="00021C1F" w:rsidRPr="002450A3">
              <w:rPr>
                <w:rFonts w:ascii="Times New Roman" w:hAnsi="Times New Roman" w:cs="Times New Roman"/>
                <w:sz w:val="24"/>
                <w:szCs w:val="24"/>
              </w:rPr>
              <w:t>var</w:t>
            </w:r>
            <w:r w:rsidR="00427955" w:rsidRPr="002450A3">
              <w:rPr>
                <w:rFonts w:ascii="Times New Roman" w:hAnsi="Times New Roman" w:cs="Times New Roman"/>
                <w:sz w:val="24"/>
                <w:szCs w:val="24"/>
              </w:rPr>
              <w:t xml:space="preserve"> saņemt maksājumu pakalpojumus, iesniedzot </w:t>
            </w:r>
            <w:r w:rsidR="00107B32" w:rsidRPr="002450A3">
              <w:rPr>
                <w:rFonts w:ascii="Times New Roman" w:hAnsi="Times New Roman" w:cs="Times New Roman"/>
                <w:sz w:val="24"/>
                <w:szCs w:val="24"/>
              </w:rPr>
              <w:t xml:space="preserve">pašrocīgi parakstītu </w:t>
            </w:r>
            <w:r w:rsidR="00427955" w:rsidRPr="002450A3">
              <w:rPr>
                <w:rFonts w:ascii="Times New Roman" w:hAnsi="Times New Roman" w:cs="Times New Roman"/>
                <w:sz w:val="24"/>
                <w:szCs w:val="24"/>
              </w:rPr>
              <w:t>pieteikumu</w:t>
            </w:r>
            <w:r w:rsidR="00107B32" w:rsidRPr="002450A3">
              <w:rPr>
                <w:rFonts w:ascii="Times New Roman" w:hAnsi="Times New Roman" w:cs="Times New Roman"/>
                <w:sz w:val="24"/>
                <w:szCs w:val="24"/>
              </w:rPr>
              <w:t>, to nosūtot Valsts kasei</w:t>
            </w:r>
            <w:r w:rsidR="00427955" w:rsidRPr="002450A3">
              <w:rPr>
                <w:rFonts w:ascii="Times New Roman" w:hAnsi="Times New Roman" w:cs="Times New Roman"/>
                <w:sz w:val="24"/>
                <w:szCs w:val="24"/>
              </w:rPr>
              <w:t xml:space="preserve"> ar pasta starpniecību, kā rezultātā </w:t>
            </w:r>
            <w:r w:rsidR="00107B32" w:rsidRPr="002450A3">
              <w:rPr>
                <w:rFonts w:ascii="Times New Roman" w:hAnsi="Times New Roman" w:cs="Times New Roman"/>
                <w:sz w:val="24"/>
                <w:szCs w:val="24"/>
              </w:rPr>
              <w:t xml:space="preserve">rodas situācija, kad </w:t>
            </w:r>
            <w:r w:rsidR="00427955" w:rsidRPr="002450A3">
              <w:rPr>
                <w:rFonts w:ascii="Times New Roman" w:hAnsi="Times New Roman" w:cs="Times New Roman"/>
                <w:sz w:val="24"/>
                <w:szCs w:val="24"/>
              </w:rPr>
              <w:t xml:space="preserve">netiek izmantoti droši </w:t>
            </w:r>
            <w:r w:rsidR="00E54301" w:rsidRPr="002450A3">
              <w:rPr>
                <w:rFonts w:ascii="Times New Roman" w:hAnsi="Times New Roman" w:cs="Times New Roman"/>
                <w:sz w:val="24"/>
                <w:szCs w:val="24"/>
              </w:rPr>
              <w:t xml:space="preserve">elektroniskie </w:t>
            </w:r>
            <w:r w:rsidR="00427955" w:rsidRPr="002450A3">
              <w:rPr>
                <w:rFonts w:ascii="Times New Roman" w:hAnsi="Times New Roman" w:cs="Times New Roman"/>
                <w:sz w:val="24"/>
                <w:szCs w:val="24"/>
              </w:rPr>
              <w:t>autentifikācijas līdzekļi</w:t>
            </w:r>
            <w:r w:rsidR="00107B32" w:rsidRPr="002450A3">
              <w:rPr>
                <w:rFonts w:ascii="Times New Roman" w:hAnsi="Times New Roman" w:cs="Times New Roman"/>
                <w:sz w:val="24"/>
                <w:szCs w:val="24"/>
              </w:rPr>
              <w:t xml:space="preserve"> klienta identifikācijai, kā arī</w:t>
            </w:r>
            <w:r w:rsidR="00427955" w:rsidRPr="002450A3">
              <w:rPr>
                <w:rFonts w:ascii="Times New Roman" w:hAnsi="Times New Roman" w:cs="Times New Roman"/>
                <w:sz w:val="24"/>
                <w:szCs w:val="24"/>
              </w:rPr>
              <w:t xml:space="preserve"> klientam nav bijis pienākums ierasties </w:t>
            </w:r>
            <w:r w:rsidR="00107B32" w:rsidRPr="002450A3">
              <w:rPr>
                <w:rFonts w:ascii="Times New Roman" w:hAnsi="Times New Roman" w:cs="Times New Roman"/>
                <w:sz w:val="24"/>
                <w:szCs w:val="24"/>
              </w:rPr>
              <w:t>Valsts kasē</w:t>
            </w:r>
            <w:r w:rsidR="00E54301" w:rsidRPr="002450A3">
              <w:rPr>
                <w:rFonts w:ascii="Times New Roman" w:hAnsi="Times New Roman" w:cs="Times New Roman"/>
                <w:sz w:val="24"/>
                <w:szCs w:val="24"/>
              </w:rPr>
              <w:t xml:space="preserve"> </w:t>
            </w:r>
            <w:r w:rsidR="00427955" w:rsidRPr="002450A3">
              <w:rPr>
                <w:rFonts w:ascii="Times New Roman" w:hAnsi="Times New Roman" w:cs="Times New Roman"/>
                <w:sz w:val="24"/>
                <w:szCs w:val="24"/>
              </w:rPr>
              <w:t>klātienē</w:t>
            </w:r>
            <w:r w:rsidR="00E93364" w:rsidRPr="002450A3">
              <w:rPr>
                <w:rFonts w:ascii="Times New Roman" w:hAnsi="Times New Roman" w:cs="Times New Roman"/>
                <w:sz w:val="24"/>
                <w:szCs w:val="24"/>
              </w:rPr>
              <w:t xml:space="preserve"> un apliecināt savu nodomu saņemt pakalpojumu</w:t>
            </w:r>
            <w:r w:rsidR="00427955" w:rsidRPr="002450A3">
              <w:rPr>
                <w:rFonts w:ascii="Times New Roman" w:hAnsi="Times New Roman" w:cs="Times New Roman"/>
                <w:sz w:val="24"/>
                <w:szCs w:val="24"/>
              </w:rPr>
              <w:t xml:space="preserve">. </w:t>
            </w:r>
            <w:r w:rsidR="00107B32" w:rsidRPr="002450A3">
              <w:rPr>
                <w:rFonts w:ascii="Times New Roman" w:hAnsi="Times New Roman" w:cs="Times New Roman"/>
                <w:sz w:val="24"/>
                <w:szCs w:val="24"/>
              </w:rPr>
              <w:t xml:space="preserve">Lai risinātu šo situāciju noteikumu projektā ir paredzēts </w:t>
            </w:r>
            <w:r w:rsidR="00CF6268" w:rsidRPr="002450A3">
              <w:rPr>
                <w:rFonts w:ascii="Times New Roman" w:hAnsi="Times New Roman" w:cs="Times New Roman"/>
                <w:sz w:val="24"/>
                <w:szCs w:val="24"/>
              </w:rPr>
              <w:t xml:space="preserve">pilnveidot klienta identifikācijas kārtību, nosakot, ka Valsts kase identificē klientu un tā pārstāvēttiesīgo vai </w:t>
            </w:r>
            <w:r w:rsidR="00B4748A">
              <w:rPr>
                <w:rFonts w:ascii="Times New Roman" w:hAnsi="Times New Roman" w:cs="Times New Roman"/>
                <w:sz w:val="24"/>
                <w:szCs w:val="24"/>
              </w:rPr>
              <w:t xml:space="preserve">klienta </w:t>
            </w:r>
            <w:r w:rsidR="00CF6268" w:rsidRPr="002450A3">
              <w:rPr>
                <w:rFonts w:ascii="Times New Roman" w:hAnsi="Times New Roman" w:cs="Times New Roman"/>
                <w:sz w:val="24"/>
                <w:szCs w:val="24"/>
              </w:rPr>
              <w:t>pilnvaroto personu pirms katra atsevišķa maksājumu pakalpojuma saņemšanas:</w:t>
            </w:r>
          </w:p>
          <w:p w14:paraId="17DCDBDD" w14:textId="22C1B50C" w:rsidR="00CF6268" w:rsidRPr="002450A3" w:rsidRDefault="00CF6268" w:rsidP="00CF6268">
            <w:pPr>
              <w:spacing w:after="0" w:line="240" w:lineRule="auto"/>
              <w:jc w:val="both"/>
              <w:rPr>
                <w:rFonts w:ascii="Times New Roman" w:hAnsi="Times New Roman" w:cs="Times New Roman"/>
                <w:sz w:val="24"/>
                <w:szCs w:val="24"/>
              </w:rPr>
            </w:pPr>
            <w:r w:rsidRPr="002450A3">
              <w:rPr>
                <w:rFonts w:ascii="Times New Roman" w:hAnsi="Times New Roman" w:cs="Times New Roman"/>
                <w:sz w:val="24"/>
                <w:szCs w:val="24"/>
              </w:rPr>
              <w:t>a) klientam personiski</w:t>
            </w:r>
            <w:r w:rsidR="002C5BAD">
              <w:rPr>
                <w:rFonts w:ascii="Times New Roman" w:hAnsi="Times New Roman" w:cs="Times New Roman"/>
                <w:sz w:val="24"/>
                <w:szCs w:val="24"/>
              </w:rPr>
              <w:t xml:space="preserve"> (fiziski)</w:t>
            </w:r>
            <w:r w:rsidRPr="002450A3">
              <w:rPr>
                <w:rFonts w:ascii="Times New Roman" w:hAnsi="Times New Roman" w:cs="Times New Roman"/>
                <w:sz w:val="24"/>
                <w:szCs w:val="24"/>
              </w:rPr>
              <w:t xml:space="preserve"> piedaloties identifikācijas procedūrā pēc personu apliecinoša dokumenta un publiski pieejamās informācijas par klientu;</w:t>
            </w:r>
          </w:p>
          <w:p w14:paraId="0EEB6F13" w14:textId="77777777" w:rsidR="00CF6268" w:rsidRPr="002450A3" w:rsidRDefault="00CF6268" w:rsidP="00CF6268">
            <w:pPr>
              <w:spacing w:after="0" w:line="240" w:lineRule="auto"/>
              <w:jc w:val="both"/>
              <w:rPr>
                <w:rFonts w:ascii="Times New Roman" w:hAnsi="Times New Roman" w:cs="Times New Roman"/>
                <w:sz w:val="24"/>
                <w:szCs w:val="24"/>
              </w:rPr>
            </w:pPr>
            <w:r w:rsidRPr="002450A3">
              <w:rPr>
                <w:rFonts w:ascii="Times New Roman" w:hAnsi="Times New Roman" w:cs="Times New Roman"/>
                <w:sz w:val="24"/>
                <w:szCs w:val="24"/>
              </w:rPr>
              <w:t>b) klientam personiski nepiedaloties identifikācijas procedūrā pēc izmantotā kvalificētā vai kvalificētā paaugstinātas drošības elektroniskās identifikācijas līdzekļa publiski pieejamās informācijas par klientu.</w:t>
            </w:r>
          </w:p>
          <w:p w14:paraId="7910F1CF" w14:textId="77777777" w:rsidR="00CF6268" w:rsidRPr="002450A3" w:rsidRDefault="00CF6268" w:rsidP="00CF6268">
            <w:pPr>
              <w:spacing w:after="0" w:line="240" w:lineRule="auto"/>
              <w:jc w:val="both"/>
              <w:rPr>
                <w:rFonts w:ascii="Times New Roman" w:eastAsia="Times New Roman" w:hAnsi="Times New Roman" w:cs="Times New Roman"/>
                <w:sz w:val="24"/>
                <w:szCs w:val="24"/>
                <w:lang w:eastAsia="lv-LV"/>
              </w:rPr>
            </w:pPr>
            <w:r w:rsidRPr="002450A3">
              <w:rPr>
                <w:rFonts w:ascii="Times New Roman" w:eastAsia="Times New Roman" w:hAnsi="Times New Roman" w:cs="Times New Roman"/>
                <w:sz w:val="24"/>
                <w:szCs w:val="24"/>
                <w:lang w:eastAsia="lv-LV"/>
              </w:rPr>
              <w:t xml:space="preserve">Tāpat ir pilnveidota klienta pārstāvju pilnvarošanas kārtība noformējot </w:t>
            </w:r>
            <w:r w:rsidRPr="002450A3">
              <w:rPr>
                <w:rFonts w:ascii="Times New Roman" w:hAnsi="Times New Roman" w:cs="Times New Roman"/>
                <w:sz w:val="24"/>
                <w:szCs w:val="24"/>
              </w:rPr>
              <w:t xml:space="preserve">Valsts </w:t>
            </w:r>
            <w:r w:rsidRPr="002450A3">
              <w:rPr>
                <w:rFonts w:ascii="Times New Roman" w:hAnsi="Times New Roman" w:cs="Times New Roman"/>
                <w:spacing w:val="2"/>
                <w:sz w:val="24"/>
                <w:szCs w:val="24"/>
              </w:rPr>
              <w:t xml:space="preserve">kases </w:t>
            </w:r>
            <w:r w:rsidRPr="002450A3">
              <w:rPr>
                <w:rFonts w:ascii="Times New Roman" w:hAnsi="Times New Roman" w:cs="Times New Roman"/>
                <w:sz w:val="24"/>
                <w:szCs w:val="24"/>
              </w:rPr>
              <w:t xml:space="preserve">klienta pilnvarojumu/ parakstu </w:t>
            </w:r>
            <w:r w:rsidRPr="002450A3">
              <w:rPr>
                <w:rFonts w:ascii="Times New Roman" w:hAnsi="Times New Roman" w:cs="Times New Roman"/>
                <w:spacing w:val="-4"/>
                <w:sz w:val="24"/>
                <w:szCs w:val="24"/>
              </w:rPr>
              <w:t xml:space="preserve">paraugu </w:t>
            </w:r>
            <w:r w:rsidRPr="002450A3">
              <w:rPr>
                <w:rFonts w:ascii="Times New Roman" w:hAnsi="Times New Roman" w:cs="Times New Roman"/>
                <w:sz w:val="24"/>
                <w:szCs w:val="24"/>
              </w:rPr>
              <w:t>kartīti (turpmāk – kartīte), t.i. noteikumu projekts paredz, ka kartīti var iesniegt:</w:t>
            </w:r>
          </w:p>
          <w:p w14:paraId="1A197E19" w14:textId="77777777" w:rsidR="00CF6268" w:rsidRPr="002450A3" w:rsidRDefault="00CF6268" w:rsidP="00CF6268">
            <w:pPr>
              <w:pStyle w:val="ListParagraph"/>
              <w:numPr>
                <w:ilvl w:val="0"/>
                <w:numId w:val="2"/>
              </w:numPr>
              <w:tabs>
                <w:tab w:val="left" w:pos="1134"/>
              </w:tabs>
              <w:spacing w:after="120" w:line="240" w:lineRule="auto"/>
              <w:jc w:val="both"/>
              <w:rPr>
                <w:rFonts w:ascii="Times New Roman" w:hAnsi="Times New Roman" w:cs="Times New Roman"/>
                <w:sz w:val="24"/>
                <w:szCs w:val="24"/>
              </w:rPr>
            </w:pPr>
            <w:r w:rsidRPr="002450A3">
              <w:rPr>
                <w:rFonts w:ascii="Times New Roman" w:hAnsi="Times New Roman" w:cs="Times New Roman"/>
                <w:sz w:val="24"/>
                <w:szCs w:val="24"/>
              </w:rPr>
              <w:t>kā elektronisko dokumentu, tādejādi pilnvarojot personu iesniegt noteikumos minētos pieteikumus tikai elektroniska dokumenta formā;</w:t>
            </w:r>
          </w:p>
          <w:p w14:paraId="5F074E23" w14:textId="2203D494" w:rsidR="00CF6268" w:rsidRPr="002450A3" w:rsidRDefault="00CF6268" w:rsidP="00CF6268">
            <w:pPr>
              <w:pStyle w:val="ListParagraph"/>
              <w:numPr>
                <w:ilvl w:val="0"/>
                <w:numId w:val="2"/>
              </w:numPr>
              <w:tabs>
                <w:tab w:val="left" w:pos="1134"/>
              </w:tabs>
              <w:spacing w:after="120" w:line="240" w:lineRule="auto"/>
              <w:jc w:val="both"/>
              <w:rPr>
                <w:rFonts w:ascii="Times New Roman" w:eastAsia="Times New Roman" w:hAnsi="Times New Roman" w:cs="Times New Roman"/>
                <w:sz w:val="24"/>
                <w:szCs w:val="24"/>
                <w:lang w:eastAsia="lv-LV"/>
              </w:rPr>
            </w:pPr>
            <w:r w:rsidRPr="002450A3">
              <w:rPr>
                <w:rFonts w:ascii="Times New Roman" w:hAnsi="Times New Roman" w:cs="Times New Roman"/>
                <w:spacing w:val="-5"/>
                <w:sz w:val="24"/>
                <w:szCs w:val="24"/>
              </w:rPr>
              <w:t xml:space="preserve">papīra </w:t>
            </w:r>
            <w:r w:rsidRPr="002450A3">
              <w:rPr>
                <w:rFonts w:ascii="Times New Roman" w:hAnsi="Times New Roman" w:cs="Times New Roman"/>
                <w:spacing w:val="-4"/>
                <w:sz w:val="24"/>
                <w:szCs w:val="24"/>
              </w:rPr>
              <w:t xml:space="preserve">formā, </w:t>
            </w:r>
            <w:r w:rsidRPr="002450A3">
              <w:rPr>
                <w:rFonts w:ascii="Times New Roman" w:hAnsi="Times New Roman" w:cs="Times New Roman"/>
                <w:sz w:val="24"/>
                <w:szCs w:val="24"/>
              </w:rPr>
              <w:t xml:space="preserve">tādejādi pilnvarojot personu iesniegt noteikumos noteikumu minētos pieteikumus papīra vai elektroniska dokumenta formā. </w:t>
            </w:r>
          </w:p>
          <w:p w14:paraId="364D7260" w14:textId="17F4E8F6" w:rsidR="00CF6268" w:rsidRPr="002450A3" w:rsidRDefault="00CF6268" w:rsidP="00CF6268">
            <w:pPr>
              <w:tabs>
                <w:tab w:val="left" w:pos="1134"/>
              </w:tabs>
              <w:spacing w:after="120" w:line="240" w:lineRule="auto"/>
              <w:jc w:val="both"/>
              <w:rPr>
                <w:rFonts w:ascii="Times New Roman" w:eastAsia="Times New Roman" w:hAnsi="Times New Roman" w:cs="Times New Roman"/>
                <w:sz w:val="24"/>
                <w:szCs w:val="24"/>
                <w:lang w:eastAsia="lv-LV"/>
              </w:rPr>
            </w:pPr>
            <w:r w:rsidRPr="002450A3">
              <w:rPr>
                <w:rFonts w:ascii="Times New Roman" w:eastAsia="Times New Roman" w:hAnsi="Times New Roman" w:cs="Times New Roman"/>
                <w:sz w:val="24"/>
                <w:szCs w:val="24"/>
                <w:lang w:eastAsia="lv-LV"/>
              </w:rPr>
              <w:t xml:space="preserve">Līdz ar šāda regulējuma ieviešanu ir atvieglots maksājumu pakalpojumu pieteikšanas process klientiem, kuri pieteikumus iesniedz tikai elektroniska dokumenta veidā vienlaicīgi nodrošinot klienta identifikāciju. Proti, ja pieteikumu elektroniska dokumenta veidā ir parakstījusi klienta pārstāvēttiesīga persona, tad tai nav nepieciešamas noformēt </w:t>
            </w:r>
            <w:r w:rsidR="001962BD">
              <w:rPr>
                <w:rFonts w:ascii="Times New Roman" w:eastAsia="Times New Roman" w:hAnsi="Times New Roman" w:cs="Times New Roman"/>
                <w:sz w:val="24"/>
                <w:szCs w:val="24"/>
                <w:lang w:eastAsia="lv-LV"/>
              </w:rPr>
              <w:t xml:space="preserve">pilnvarojumu </w:t>
            </w:r>
            <w:r w:rsidRPr="002450A3">
              <w:rPr>
                <w:rFonts w:ascii="Times New Roman" w:eastAsia="Times New Roman" w:hAnsi="Times New Roman" w:cs="Times New Roman"/>
                <w:sz w:val="24"/>
                <w:szCs w:val="24"/>
                <w:lang w:eastAsia="lv-LV"/>
              </w:rPr>
              <w:t xml:space="preserve">kartīti. </w:t>
            </w:r>
          </w:p>
          <w:p w14:paraId="5429A8A9" w14:textId="1FC745D9" w:rsidR="00CF6268" w:rsidRPr="002450A3" w:rsidRDefault="00CF6268" w:rsidP="007C0EC9">
            <w:pPr>
              <w:tabs>
                <w:tab w:val="left" w:pos="1134"/>
              </w:tabs>
              <w:spacing w:after="120" w:line="240" w:lineRule="auto"/>
              <w:ind w:firstLine="510"/>
              <w:jc w:val="both"/>
              <w:rPr>
                <w:rFonts w:ascii="Times New Roman" w:eastAsia="Times New Roman" w:hAnsi="Times New Roman" w:cs="Times New Roman"/>
                <w:sz w:val="24"/>
                <w:szCs w:val="24"/>
                <w:lang w:eastAsia="lv-LV"/>
              </w:rPr>
            </w:pPr>
            <w:r w:rsidRPr="002450A3">
              <w:rPr>
                <w:rFonts w:ascii="Times New Roman" w:eastAsia="Times New Roman" w:hAnsi="Times New Roman" w:cs="Times New Roman"/>
                <w:sz w:val="24"/>
                <w:szCs w:val="24"/>
                <w:lang w:eastAsia="lv-LV"/>
              </w:rPr>
              <w:t xml:space="preserve">Noteikumu projektā ir reglamentēta arī </w:t>
            </w:r>
            <w:r w:rsidRPr="002450A3">
              <w:rPr>
                <w:rFonts w:ascii="Times New Roman" w:hAnsi="Times New Roman" w:cs="Times New Roman"/>
                <w:sz w:val="24"/>
                <w:szCs w:val="24"/>
              </w:rPr>
              <w:t>kārtība, kādā uzskata, ka dokuments ir atbilstoši parakstīts, t.i.:</w:t>
            </w:r>
          </w:p>
          <w:p w14:paraId="5D3848CA" w14:textId="77777777" w:rsidR="00CF6268" w:rsidRPr="002450A3" w:rsidRDefault="00CF6268" w:rsidP="00CF6268">
            <w:pPr>
              <w:pStyle w:val="ListParagraph"/>
              <w:numPr>
                <w:ilvl w:val="0"/>
                <w:numId w:val="3"/>
              </w:numPr>
              <w:spacing w:after="120" w:line="240" w:lineRule="auto"/>
              <w:jc w:val="both"/>
              <w:outlineLvl w:val="1"/>
              <w:rPr>
                <w:rFonts w:ascii="Times New Roman" w:hAnsi="Times New Roman" w:cs="Times New Roman"/>
                <w:sz w:val="24"/>
                <w:szCs w:val="24"/>
              </w:rPr>
            </w:pPr>
            <w:r w:rsidRPr="002450A3">
              <w:rPr>
                <w:rFonts w:ascii="Times New Roman" w:hAnsi="Times New Roman" w:cs="Times New Roman"/>
                <w:sz w:val="24"/>
                <w:szCs w:val="24"/>
              </w:rPr>
              <w:t>dokumentu ir parakstījis klienta pārstāvis izmantojot drošu elektronisko parakstu, atbilstoši normatīvajiem aktiem par elektronisko dokumentu noformēšanu un apriti (turpmāk – elektroniskais dokuments);</w:t>
            </w:r>
            <w:r w:rsidRPr="002450A3">
              <w:t xml:space="preserve"> </w:t>
            </w:r>
          </w:p>
          <w:p w14:paraId="534D4EB7" w14:textId="77777777" w:rsidR="00CF6268" w:rsidRPr="002450A3" w:rsidRDefault="00CF6268" w:rsidP="00CF6268">
            <w:pPr>
              <w:pStyle w:val="ListParagraph"/>
              <w:numPr>
                <w:ilvl w:val="0"/>
                <w:numId w:val="3"/>
              </w:numPr>
              <w:spacing w:after="120" w:line="240" w:lineRule="auto"/>
              <w:contextualSpacing w:val="0"/>
              <w:jc w:val="both"/>
              <w:outlineLvl w:val="1"/>
              <w:rPr>
                <w:rFonts w:ascii="Times New Roman" w:hAnsi="Times New Roman" w:cs="Times New Roman"/>
                <w:sz w:val="24"/>
                <w:szCs w:val="24"/>
              </w:rPr>
            </w:pPr>
            <w:r w:rsidRPr="002450A3">
              <w:rPr>
                <w:rFonts w:ascii="Times New Roman" w:hAnsi="Times New Roman" w:cs="Times New Roman"/>
                <w:sz w:val="24"/>
                <w:szCs w:val="24"/>
              </w:rPr>
              <w:t>klienta pārstāvis pašrocīgi parakstās Valsts kases pārstāvja klātbūtnē un, ja pēc Valsts kases ieskatiem paraksts vizuāli atbilst personas apliecinošā dokumentā esošajam paraksta paraugam;</w:t>
            </w:r>
            <w:r w:rsidRPr="002450A3">
              <w:t xml:space="preserve"> </w:t>
            </w:r>
          </w:p>
          <w:p w14:paraId="57D19A72" w14:textId="77777777" w:rsidR="00CF6268" w:rsidRPr="002450A3" w:rsidRDefault="00CF6268" w:rsidP="00CF6268">
            <w:pPr>
              <w:pStyle w:val="ListParagraph"/>
              <w:numPr>
                <w:ilvl w:val="0"/>
                <w:numId w:val="3"/>
              </w:numPr>
              <w:spacing w:after="120" w:line="240" w:lineRule="auto"/>
              <w:contextualSpacing w:val="0"/>
              <w:jc w:val="both"/>
              <w:outlineLvl w:val="1"/>
              <w:rPr>
                <w:rFonts w:ascii="Times New Roman" w:hAnsi="Times New Roman" w:cs="Times New Roman"/>
                <w:sz w:val="24"/>
                <w:szCs w:val="24"/>
              </w:rPr>
            </w:pPr>
            <w:r w:rsidRPr="002450A3">
              <w:rPr>
                <w:rFonts w:ascii="Times New Roman" w:hAnsi="Times New Roman" w:cs="Times New Roman"/>
                <w:sz w:val="24"/>
                <w:szCs w:val="24"/>
              </w:rPr>
              <w:lastRenderedPageBreak/>
              <w:t>dokumentu ir autorizējis klienta pārstāvis, izmantojot autorizācijas līdzekļus atbilstoši normatīvajiem aktiem par kārtību, kādā nodrošina informācijas apriti, izmantojot Valsts kases nodrošinātos e-pakalpojumus.</w:t>
            </w:r>
          </w:p>
          <w:p w14:paraId="33A53B9C" w14:textId="77777777" w:rsidR="003E1533" w:rsidRPr="00211B44" w:rsidRDefault="003E1533" w:rsidP="003E1533">
            <w:pPr>
              <w:tabs>
                <w:tab w:val="left" w:pos="1134"/>
              </w:tabs>
              <w:spacing w:after="120" w:line="240" w:lineRule="auto"/>
              <w:jc w:val="both"/>
              <w:rPr>
                <w:rFonts w:ascii="Times New Roman" w:eastAsia="Times New Roman" w:hAnsi="Times New Roman" w:cs="Times New Roman"/>
                <w:sz w:val="24"/>
                <w:szCs w:val="24"/>
                <w:lang w:eastAsia="lv-LV"/>
              </w:rPr>
            </w:pPr>
            <w:r w:rsidRPr="00211B44">
              <w:rPr>
                <w:rFonts w:ascii="Times New Roman" w:eastAsia="Times New Roman" w:hAnsi="Times New Roman" w:cs="Times New Roman"/>
                <w:sz w:val="24"/>
                <w:szCs w:val="24"/>
                <w:lang w:eastAsia="lv-LV"/>
              </w:rPr>
              <w:t xml:space="preserve">Pilnveidojot klientu identifikācijas un </w:t>
            </w:r>
            <w:r>
              <w:rPr>
                <w:rFonts w:ascii="Times New Roman" w:eastAsia="Times New Roman" w:hAnsi="Times New Roman" w:cs="Times New Roman"/>
                <w:sz w:val="24"/>
                <w:szCs w:val="24"/>
                <w:lang w:eastAsia="lv-LV"/>
              </w:rPr>
              <w:t xml:space="preserve">dokumentu noformēšanas prasības </w:t>
            </w:r>
            <w:r w:rsidRPr="00211B44">
              <w:rPr>
                <w:rFonts w:ascii="Times New Roman" w:eastAsia="Times New Roman" w:hAnsi="Times New Roman" w:cs="Times New Roman"/>
                <w:sz w:val="24"/>
                <w:szCs w:val="24"/>
                <w:lang w:eastAsia="lv-LV"/>
              </w:rPr>
              <w:t xml:space="preserve">tiek pilnveidoti šādi Valsts kases sniegtie pakalpojumi: </w:t>
            </w:r>
            <w:r>
              <w:rPr>
                <w:rFonts w:ascii="Times New Roman" w:eastAsia="Times New Roman" w:hAnsi="Times New Roman" w:cs="Times New Roman"/>
                <w:sz w:val="24"/>
                <w:szCs w:val="24"/>
                <w:lang w:eastAsia="lv-LV"/>
              </w:rPr>
              <w:t>“</w:t>
            </w:r>
            <w:r w:rsidRPr="00211B44">
              <w:rPr>
                <w:rFonts w:ascii="Times New Roman" w:eastAsia="Times New Roman" w:hAnsi="Times New Roman" w:cs="Times New Roman"/>
                <w:sz w:val="24"/>
                <w:szCs w:val="24"/>
                <w:lang w:eastAsia="lv-LV"/>
              </w:rPr>
              <w:t>Kontu apkalpošana</w:t>
            </w:r>
            <w:r>
              <w:rPr>
                <w:rFonts w:ascii="Times New Roman" w:eastAsia="Times New Roman" w:hAnsi="Times New Roman" w:cs="Times New Roman"/>
                <w:sz w:val="24"/>
                <w:szCs w:val="24"/>
                <w:lang w:eastAsia="lv-LV"/>
              </w:rPr>
              <w:t>”</w:t>
            </w:r>
            <w:r w:rsidRPr="00211B44">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w:t>
            </w:r>
            <w:r w:rsidRPr="00211B44">
              <w:rPr>
                <w:rFonts w:ascii="Times New Roman" w:eastAsia="Times New Roman" w:hAnsi="Times New Roman" w:cs="Times New Roman"/>
                <w:sz w:val="24"/>
                <w:szCs w:val="24"/>
                <w:lang w:eastAsia="lv-LV"/>
              </w:rPr>
              <w:t>Maksājumu pakalpojumi</w:t>
            </w:r>
            <w:r>
              <w:rPr>
                <w:rFonts w:ascii="Times New Roman" w:eastAsia="Times New Roman" w:hAnsi="Times New Roman" w:cs="Times New Roman"/>
                <w:sz w:val="24"/>
                <w:szCs w:val="24"/>
                <w:lang w:eastAsia="lv-LV"/>
              </w:rPr>
              <w:t>”</w:t>
            </w:r>
          </w:p>
          <w:p w14:paraId="5D9A5E3B" w14:textId="2999DB3E" w:rsidR="00E3219B" w:rsidRDefault="00E3219B" w:rsidP="00E3219B">
            <w:pPr>
              <w:jc w:val="both"/>
              <w:rPr>
                <w:rFonts w:ascii="Times New Roman" w:hAnsi="Times New Roman" w:cs="Times New Roman"/>
                <w:color w:val="222A35"/>
                <w:sz w:val="24"/>
                <w:szCs w:val="24"/>
              </w:rPr>
            </w:pPr>
            <w:r>
              <w:rPr>
                <w:rFonts w:ascii="Times New Roman" w:hAnsi="Times New Roman" w:cs="Times New Roman"/>
                <w:sz w:val="24"/>
                <w:szCs w:val="24"/>
              </w:rPr>
              <w:t xml:space="preserve">Lai nodrošinātu maksājumu pakalpojumu sniegšanu un mazinātu </w:t>
            </w:r>
            <w:r>
              <w:rPr>
                <w:rFonts w:ascii="Times New Roman" w:hAnsi="Times New Roman" w:cs="Times New Roman"/>
                <w:color w:val="000000"/>
                <w:sz w:val="24"/>
                <w:szCs w:val="24"/>
              </w:rPr>
              <w:t>noziedzīgi iegūtu līdzekļu legalizācijas un terorisma un proliferācijas finansēšanas riskus un sankciju riskus,</w:t>
            </w:r>
            <w:r>
              <w:rPr>
                <w:rFonts w:ascii="Times New Roman" w:hAnsi="Times New Roman" w:cs="Times New Roman"/>
                <w:sz w:val="24"/>
                <w:szCs w:val="24"/>
              </w:rPr>
              <w:t xml:space="preserve"> Valsts kasei, ir nepieciešamas noteikt tiesības klientam lūgt sniegt detalizētu informāciju par klienta darījumiem, bez kuras maksājumu pakalpojumu saņemšana var tikt ierobežota, apturēta vai atteikta. Attiecīgi noteikumu projektā ir paredzēts Valsts kasei noteikt tiesības maksājumu pakalpojumu ierobežošanai, apturēšanai vai atteikšanai gadījumos, kad klients nesadarbojas vai sniegtā informācija neapliecina to, ka tā darījumi ir tiesiski un ekonomiski pamatoti un nerada neattaisnotus </w:t>
            </w:r>
            <w:r w:rsidRPr="00B065DE">
              <w:rPr>
                <w:rFonts w:ascii="Times New Roman" w:hAnsi="Times New Roman" w:cs="Times New Roman"/>
                <w:sz w:val="24"/>
                <w:szCs w:val="24"/>
              </w:rPr>
              <w:t xml:space="preserve">riskus. Vienlaikus, pieprasot informāciju un dokumentus par maksājumiem, kas saistīti ar naudas līdzekļu ieskaitīšanu vai izmaksu no zvērināta tiesu izpildītāja depozīta konta, un veicot šādu maksājumu izvērtējumu, tai skaitā lemjot par noteikumu projektā paredzēto pakalpojumu sniegšanas ierobežojumu piemērošanu, Valsts kasei iespēju robežās jāņem vērā zvērinātu tiesu izpildītāju darbības specifika, īstenojot tiesas un citu institūciju nolēmumu izpildi. </w:t>
            </w:r>
          </w:p>
          <w:p w14:paraId="0B7B2769" w14:textId="0E7CA401" w:rsidR="00E3219B" w:rsidRDefault="00E3219B" w:rsidP="00E3219B">
            <w:pPr>
              <w:jc w:val="both"/>
              <w:rPr>
                <w:rFonts w:ascii="Times New Roman" w:hAnsi="Times New Roman" w:cs="Times New Roman"/>
                <w:sz w:val="24"/>
                <w:szCs w:val="24"/>
              </w:rPr>
            </w:pPr>
            <w:r>
              <w:rPr>
                <w:rFonts w:ascii="Times New Roman" w:hAnsi="Times New Roman" w:cs="Times New Roman"/>
                <w:sz w:val="24"/>
                <w:szCs w:val="24"/>
              </w:rPr>
              <w:t xml:space="preserve">“Zini savu klientu” principa ieviešana ir nepieciešama arī Sankciju likuma ievērošanai, jo ir nepieciešams pārliecināties ne tikai par klienta atbilstību, bet arī par ar klienta saistīto personu atbilstību, iegūstot informāciju par darījuma būtību, ģeogrāfiskajiem aspektiem un patiesā labuma guvēju noskaidrošanu gadījumos, kad </w:t>
            </w:r>
            <w:r w:rsidR="00A168FD">
              <w:rPr>
                <w:rFonts w:ascii="Times New Roman" w:hAnsi="Times New Roman" w:cs="Times New Roman"/>
                <w:sz w:val="24"/>
                <w:szCs w:val="24"/>
              </w:rPr>
              <w:t>publiskos reģistros</w:t>
            </w:r>
            <w:r>
              <w:rPr>
                <w:rFonts w:ascii="Times New Roman" w:hAnsi="Times New Roman" w:cs="Times New Roman"/>
                <w:sz w:val="24"/>
                <w:szCs w:val="24"/>
              </w:rPr>
              <w:t xml:space="preserve"> nav vai nav pietiekamas ziņas. </w:t>
            </w:r>
          </w:p>
          <w:p w14:paraId="0794A541" w14:textId="78C2DD9A" w:rsidR="00177622" w:rsidRPr="002450A3" w:rsidRDefault="00E3219B" w:rsidP="00E3219B">
            <w:pPr>
              <w:jc w:val="both"/>
              <w:rPr>
                <w:rFonts w:ascii="Times New Roman" w:hAnsi="Times New Roman" w:cs="Times New Roman"/>
                <w:sz w:val="24"/>
                <w:szCs w:val="24"/>
              </w:rPr>
            </w:pPr>
            <w:r>
              <w:rPr>
                <w:rFonts w:ascii="Times New Roman" w:hAnsi="Times New Roman" w:cs="Times New Roman"/>
                <w:sz w:val="24"/>
                <w:szCs w:val="24"/>
              </w:rPr>
              <w:t xml:space="preserve">Gadījumos, kad Valsts kasei maksājumu pakalpojumu sniegšanā, būs pamats uzskatīt, ka klienta sniegtā informācija neapliecina to, ka darījumi ir tiesiski un ekonomiski pamatoti, tiks ņemti vērā arī apstākļi, kas paaugstina darījuma riskus, piemēram, ja klienta darījumu ietvaros tiek veikti maksājumi uz augsta riska jurisdikcijām vai sadarbības partneriem, kuri var būt tieši vai pastarpināti saistīti ar starptautiskajām sankcijām, sadarbības partneru pārbaudi nav iespējams veikt vai tā prasa nesamērīgi lielu slogu. Tāpat jāņem vērā, ka maksājumu izpildei </w:t>
            </w:r>
            <w:r>
              <w:rPr>
                <w:rFonts w:ascii="Times New Roman" w:hAnsi="Times New Roman" w:cs="Times New Roman"/>
                <w:sz w:val="24"/>
                <w:szCs w:val="24"/>
              </w:rPr>
              <w:lastRenderedPageBreak/>
              <w:t xml:space="preserve">uz augsta riska jurisdikcijām vai sadarbības partneriem, kuri nerada pārliecību par to, ka to saimnieciskā darbība ir patiesa, ir nepieciešams izvērtēt drošākas alternatīvas iespējas. </w:t>
            </w:r>
            <w:r w:rsidR="00FE135D" w:rsidRPr="002450A3">
              <w:rPr>
                <w:rFonts w:ascii="Times New Roman" w:hAnsi="Times New Roman" w:cs="Times New Roman"/>
                <w:sz w:val="24"/>
                <w:szCs w:val="24"/>
              </w:rPr>
              <w:t xml:space="preserve"> </w:t>
            </w:r>
          </w:p>
          <w:p w14:paraId="17BBDBB2" w14:textId="0740DBE9" w:rsidR="008D578C" w:rsidRPr="002450A3" w:rsidRDefault="00236FD4" w:rsidP="00D42054">
            <w:pPr>
              <w:tabs>
                <w:tab w:val="left" w:pos="1134"/>
              </w:tabs>
              <w:spacing w:after="0" w:line="240" w:lineRule="auto"/>
              <w:ind w:firstLine="510"/>
              <w:jc w:val="both"/>
              <w:rPr>
                <w:rFonts w:ascii="Times New Roman" w:eastAsia="Times New Roman" w:hAnsi="Times New Roman" w:cs="Times New Roman"/>
                <w:sz w:val="24"/>
                <w:szCs w:val="24"/>
                <w:lang w:eastAsia="lv-LV"/>
              </w:rPr>
            </w:pPr>
            <w:r w:rsidRPr="002450A3">
              <w:rPr>
                <w:rFonts w:ascii="Times New Roman" w:eastAsia="Times New Roman" w:hAnsi="Times New Roman" w:cs="Times New Roman"/>
                <w:sz w:val="24"/>
                <w:szCs w:val="24"/>
                <w:lang w:eastAsia="lv-LV"/>
              </w:rPr>
              <w:t xml:space="preserve">Noteikumu projektā salīdzinājumā ar noteikumiem Nr. 387 </w:t>
            </w:r>
            <w:r w:rsidR="00DB7991" w:rsidRPr="002450A3">
              <w:rPr>
                <w:rFonts w:ascii="Times New Roman" w:eastAsia="Times New Roman" w:hAnsi="Times New Roman" w:cs="Times New Roman"/>
                <w:sz w:val="24"/>
                <w:szCs w:val="24"/>
                <w:lang w:eastAsia="lv-LV"/>
              </w:rPr>
              <w:t xml:space="preserve">ir </w:t>
            </w:r>
            <w:r w:rsidRPr="002450A3">
              <w:rPr>
                <w:rFonts w:ascii="Times New Roman" w:eastAsia="Times New Roman" w:hAnsi="Times New Roman" w:cs="Times New Roman"/>
                <w:sz w:val="24"/>
                <w:szCs w:val="24"/>
                <w:lang w:eastAsia="lv-LV"/>
              </w:rPr>
              <w:t xml:space="preserve">precizēts kontu atvēršanas mērķis, reglamentējot kārtību, kādā atver </w:t>
            </w:r>
            <w:r w:rsidRPr="002450A3">
              <w:rPr>
                <w:rFonts w:ascii="Times New Roman" w:hAnsi="Times New Roman" w:cs="Times New Roman"/>
                <w:sz w:val="24"/>
                <w:szCs w:val="24"/>
              </w:rPr>
              <w:t>vienoto nodokļu kontu un kontus Valsts ieņēmumu dienesta administrētajiem ieņēmumiem</w:t>
            </w:r>
            <w:r w:rsidR="008D578C" w:rsidRPr="002450A3">
              <w:rPr>
                <w:rFonts w:ascii="Times New Roman" w:hAnsi="Times New Roman" w:cs="Times New Roman"/>
                <w:sz w:val="24"/>
                <w:szCs w:val="24"/>
              </w:rPr>
              <w:t>, kā arī iekļauts regulējums valsts nodevu administrācijām</w:t>
            </w:r>
            <w:r w:rsidR="008D578C" w:rsidRPr="002450A3">
              <w:rPr>
                <w:rFonts w:ascii="Times New Roman" w:eastAsia="Times New Roman" w:hAnsi="Times New Roman" w:cs="Times New Roman"/>
                <w:sz w:val="24"/>
                <w:szCs w:val="24"/>
                <w:lang w:eastAsia="lv-LV"/>
              </w:rPr>
              <w:t xml:space="preserve">, kas nepieciešamības gadījumā atļaus valsts nodevas administrācijai atvērt atsevišķu valsts budžeta ieņēmumu kontu tās administrētās valsts nodevas uzskaitei vienā ieņēmumu klasifikācijas kodā. Līdzīgs regulējums bija spēkā Ministru kabineta 2005.gada 27.decembra noteikumos Nr.1032 „Noteikumi par budžetu ieņēmumu klasifikāciju”, kas noteica, ka var tikt atvērts atsevišķs valsts budžeta ieņēmumu konts pamatojoties uz ministrijas iesniegumu nodevu ieņēmumu klasifikācijas kodos 9.1.9.9., 9.2.1.9., 9.2.9.0., 9.3.9.0.. Minētais regulējums tika svītrots, stājoties spēkā grozījumiem 2019.gada 1.janvārī, un anotācijā tika skaidrots, ka šāds regulējums pēc nepieciešamības tiks pārskatīts un iekļauts noteikumos Nr.387. Jaunā norma iekļauta arī pamatojoties uz Finanšu ministrijas iekšējā audita „Valsts nodevu administrēšana un uzskaite” rezultātu kopsavilkumā minēto, ka </w:t>
            </w:r>
            <w:r w:rsidR="004722A2">
              <w:rPr>
                <w:rFonts w:ascii="Times New Roman" w:eastAsia="Times New Roman" w:hAnsi="Times New Roman" w:cs="Times New Roman"/>
                <w:sz w:val="24"/>
                <w:szCs w:val="24"/>
                <w:lang w:eastAsia="lv-LV"/>
              </w:rPr>
              <w:t xml:space="preserve">atsevišķām </w:t>
            </w:r>
            <w:r w:rsidR="008D578C" w:rsidRPr="002450A3">
              <w:rPr>
                <w:rFonts w:ascii="Times New Roman" w:eastAsia="Times New Roman" w:hAnsi="Times New Roman" w:cs="Times New Roman"/>
                <w:sz w:val="24"/>
                <w:szCs w:val="24"/>
                <w:lang w:eastAsia="lv-LV"/>
              </w:rPr>
              <w:t xml:space="preserve">valsts nodevu administrācijām ir atšķirīga sākotnējā izpratne par Ministru kabineta 2018.gada 7.augusta noteikumu Nr. 453 "Valsts nodevu uzskaites noteikumi" pārskatā norādāmo informāciju, </w:t>
            </w:r>
            <w:r w:rsidR="004722A2">
              <w:rPr>
                <w:rFonts w:ascii="Times New Roman" w:eastAsia="Times New Roman" w:hAnsi="Times New Roman" w:cs="Times New Roman"/>
                <w:sz w:val="24"/>
                <w:szCs w:val="24"/>
                <w:lang w:eastAsia="lv-LV"/>
              </w:rPr>
              <w:t xml:space="preserve">piemēram, </w:t>
            </w:r>
            <w:r w:rsidR="008D578C" w:rsidRPr="002450A3">
              <w:rPr>
                <w:rFonts w:ascii="Times New Roman" w:eastAsia="Times New Roman" w:hAnsi="Times New Roman" w:cs="Times New Roman"/>
                <w:sz w:val="24"/>
                <w:szCs w:val="24"/>
                <w:lang w:eastAsia="lv-LV"/>
              </w:rPr>
              <w:t xml:space="preserve">uzrādot valsts budžeta ieņēmumu kontā kopā saņemto un atmaksāto summu, kur daļa no veiktajiem maksājumiem un atmaksām nav attiecināma uz konkrēto valsts nodevu. Šāda situācija var veidoties, ja vairāku nodevu administrāciju nodevu ieņēmumi tiek uzskaitīti vienā valsts budžeta ieņēmumu kontā un nodevas administrācija nav izveidojusi savas administrētās nodevas maksājumu atpazīšanu un uzskaiti. Piemēram, Finanšu ministrijas </w:t>
            </w:r>
            <w:r w:rsidR="008D4C52">
              <w:rPr>
                <w:rFonts w:ascii="Times New Roman" w:eastAsia="Times New Roman" w:hAnsi="Times New Roman" w:cs="Times New Roman"/>
                <w:sz w:val="24"/>
                <w:szCs w:val="24"/>
                <w:lang w:eastAsia="lv-LV"/>
              </w:rPr>
              <w:t>tīmekļvietnē</w:t>
            </w:r>
            <w:r w:rsidR="008D578C" w:rsidRPr="002450A3">
              <w:rPr>
                <w:rFonts w:ascii="Times New Roman" w:eastAsia="Times New Roman" w:hAnsi="Times New Roman" w:cs="Times New Roman"/>
                <w:sz w:val="24"/>
                <w:szCs w:val="24"/>
                <w:lang w:eastAsia="lv-LV"/>
              </w:rPr>
              <w:t xml:space="preserve"> izveidotajā reģistrā “Valsts nodevu uzskaitījums” </w:t>
            </w:r>
            <w:r w:rsidR="003352AD" w:rsidRPr="002450A3">
              <w:rPr>
                <w:rFonts w:ascii="Times New Roman" w:eastAsia="Times New Roman" w:hAnsi="Times New Roman" w:cs="Times New Roman"/>
                <w:sz w:val="24"/>
                <w:szCs w:val="24"/>
                <w:lang w:eastAsia="lv-LV"/>
              </w:rPr>
              <w:t>redzams</w:t>
            </w:r>
            <w:r w:rsidR="008D578C" w:rsidRPr="002450A3">
              <w:rPr>
                <w:rFonts w:ascii="Times New Roman" w:eastAsia="Times New Roman" w:hAnsi="Times New Roman" w:cs="Times New Roman"/>
                <w:sz w:val="24"/>
                <w:szCs w:val="24"/>
                <w:lang w:eastAsia="lv-LV"/>
              </w:rPr>
              <w:t xml:space="preserve">, ka valsts nodevas ieņēmumu kodā 9.1.9.9. "Citas nodevas par juridiskajiem un citiem pakalpojumiem" iekasē un administrē vairāku resoru ietvaros, kā arī, piemēram, Zemkopības ministrijas ietvaros tās administrē </w:t>
            </w:r>
            <w:r w:rsidR="003352AD" w:rsidRPr="002450A3">
              <w:rPr>
                <w:rFonts w:ascii="Times New Roman" w:eastAsia="Times New Roman" w:hAnsi="Times New Roman" w:cs="Times New Roman"/>
                <w:sz w:val="24"/>
                <w:szCs w:val="24"/>
                <w:lang w:eastAsia="lv-LV"/>
              </w:rPr>
              <w:t>četras</w:t>
            </w:r>
            <w:r w:rsidR="008D578C" w:rsidRPr="002450A3">
              <w:rPr>
                <w:rFonts w:ascii="Times New Roman" w:eastAsia="Times New Roman" w:hAnsi="Times New Roman" w:cs="Times New Roman"/>
                <w:sz w:val="24"/>
                <w:szCs w:val="24"/>
                <w:lang w:eastAsia="lv-LV"/>
              </w:rPr>
              <w:t xml:space="preserve"> dažādas institūcijas - Lauksaimniecības datu centrs, Pārtikas un veterinārais dienests, Valsts augu aizsardzības dienests un Valsts meža dienests. </w:t>
            </w:r>
          </w:p>
          <w:p w14:paraId="13262F17" w14:textId="6B768EFE" w:rsidR="00236FD4" w:rsidRPr="002450A3" w:rsidRDefault="00236FD4" w:rsidP="007C0EC9">
            <w:pPr>
              <w:tabs>
                <w:tab w:val="left" w:pos="1134"/>
              </w:tabs>
              <w:spacing w:after="120" w:line="240" w:lineRule="auto"/>
              <w:ind w:firstLine="510"/>
              <w:jc w:val="both"/>
              <w:rPr>
                <w:rFonts w:ascii="Times New Roman" w:hAnsi="Times New Roman" w:cs="Times New Roman"/>
                <w:sz w:val="24"/>
                <w:szCs w:val="24"/>
              </w:rPr>
            </w:pPr>
            <w:r w:rsidRPr="002450A3">
              <w:rPr>
                <w:rFonts w:ascii="Times New Roman" w:hAnsi="Times New Roman" w:cs="Times New Roman"/>
                <w:sz w:val="24"/>
                <w:szCs w:val="24"/>
              </w:rPr>
              <w:t xml:space="preserve">Tapāt noteikumu projektā ir pilnveidota kontu </w:t>
            </w:r>
            <w:r w:rsidR="009B4B2E" w:rsidRPr="002450A3">
              <w:rPr>
                <w:rFonts w:ascii="Times New Roman" w:hAnsi="Times New Roman" w:cs="Times New Roman"/>
                <w:sz w:val="24"/>
                <w:szCs w:val="24"/>
              </w:rPr>
              <w:t>slēgšanas kārtība, nosakot, ka</w:t>
            </w:r>
            <w:r w:rsidRPr="002450A3">
              <w:rPr>
                <w:rFonts w:ascii="Times New Roman" w:hAnsi="Times New Roman" w:cs="Times New Roman"/>
                <w:sz w:val="24"/>
                <w:szCs w:val="24"/>
              </w:rPr>
              <w:t xml:space="preserve"> </w:t>
            </w:r>
            <w:r w:rsidR="00936057" w:rsidRPr="002450A3">
              <w:rPr>
                <w:rFonts w:ascii="Times New Roman" w:hAnsi="Times New Roman" w:cs="Times New Roman"/>
                <w:sz w:val="24"/>
                <w:szCs w:val="24"/>
              </w:rPr>
              <w:t>V</w:t>
            </w:r>
            <w:r w:rsidRPr="002450A3">
              <w:rPr>
                <w:rFonts w:ascii="Times New Roman" w:hAnsi="Times New Roman" w:cs="Times New Roman"/>
                <w:sz w:val="24"/>
                <w:szCs w:val="24"/>
              </w:rPr>
              <w:t>alsts kasei ir tiesības slēgt kontu:</w:t>
            </w:r>
          </w:p>
          <w:p w14:paraId="18874985" w14:textId="6A228359" w:rsidR="00236FD4" w:rsidRPr="002450A3" w:rsidRDefault="00236FD4" w:rsidP="00236FD4">
            <w:pPr>
              <w:pStyle w:val="ListParagraph"/>
              <w:numPr>
                <w:ilvl w:val="0"/>
                <w:numId w:val="4"/>
              </w:numPr>
              <w:spacing w:after="120" w:line="240" w:lineRule="auto"/>
              <w:contextualSpacing w:val="0"/>
              <w:jc w:val="both"/>
              <w:rPr>
                <w:rFonts w:ascii="Times New Roman" w:hAnsi="Times New Roman" w:cs="Times New Roman"/>
                <w:sz w:val="24"/>
                <w:szCs w:val="24"/>
              </w:rPr>
            </w:pPr>
            <w:r w:rsidRPr="002450A3">
              <w:rPr>
                <w:rFonts w:ascii="Times New Roman" w:hAnsi="Times New Roman" w:cs="Times New Roman"/>
                <w:sz w:val="24"/>
                <w:szCs w:val="24"/>
              </w:rPr>
              <w:t xml:space="preserve">ja kontā </w:t>
            </w:r>
            <w:r w:rsidR="00936057" w:rsidRPr="002450A3">
              <w:rPr>
                <w:rFonts w:ascii="Times New Roman" w:hAnsi="Times New Roman" w:cs="Times New Roman"/>
                <w:sz w:val="24"/>
                <w:szCs w:val="24"/>
              </w:rPr>
              <w:t xml:space="preserve">18 </w:t>
            </w:r>
            <w:r w:rsidRPr="002450A3">
              <w:rPr>
                <w:rFonts w:ascii="Times New Roman" w:hAnsi="Times New Roman" w:cs="Times New Roman"/>
                <w:sz w:val="24"/>
                <w:szCs w:val="24"/>
              </w:rPr>
              <w:t xml:space="preserve">mēnešu laikā </w:t>
            </w:r>
            <w:r w:rsidRPr="002450A3">
              <w:rPr>
                <w:rFonts w:ascii="Times New Roman" w:hAnsi="Times New Roman" w:cs="Times New Roman"/>
                <w:spacing w:val="-3"/>
                <w:sz w:val="24"/>
                <w:szCs w:val="24"/>
              </w:rPr>
              <w:t xml:space="preserve">nav </w:t>
            </w:r>
            <w:r w:rsidRPr="002450A3">
              <w:rPr>
                <w:rFonts w:ascii="Times New Roman" w:hAnsi="Times New Roman" w:cs="Times New Roman"/>
                <w:sz w:val="24"/>
                <w:szCs w:val="24"/>
              </w:rPr>
              <w:t>bijis apgrozījums un konta atlikums ir nulle;</w:t>
            </w:r>
          </w:p>
          <w:p w14:paraId="191C3EEC" w14:textId="119C1F2C" w:rsidR="00236FD4" w:rsidRPr="002450A3" w:rsidRDefault="00236FD4" w:rsidP="00236FD4">
            <w:pPr>
              <w:pStyle w:val="ListParagraph"/>
              <w:numPr>
                <w:ilvl w:val="0"/>
                <w:numId w:val="4"/>
              </w:numPr>
              <w:spacing w:after="120" w:line="240" w:lineRule="auto"/>
              <w:contextualSpacing w:val="0"/>
              <w:jc w:val="both"/>
              <w:rPr>
                <w:rFonts w:ascii="Times New Roman" w:hAnsi="Times New Roman" w:cs="Times New Roman"/>
                <w:sz w:val="24"/>
                <w:szCs w:val="24"/>
              </w:rPr>
            </w:pPr>
            <w:r w:rsidRPr="002450A3">
              <w:rPr>
                <w:rFonts w:ascii="Times New Roman" w:hAnsi="Times New Roman" w:cs="Times New Roman"/>
                <w:sz w:val="24"/>
                <w:szCs w:val="24"/>
              </w:rPr>
              <w:t xml:space="preserve">ja kontā 18 mēnešu laikā </w:t>
            </w:r>
            <w:r w:rsidRPr="002450A3">
              <w:rPr>
                <w:rFonts w:ascii="Times New Roman" w:hAnsi="Times New Roman" w:cs="Times New Roman"/>
                <w:spacing w:val="-3"/>
                <w:sz w:val="24"/>
                <w:szCs w:val="24"/>
              </w:rPr>
              <w:t xml:space="preserve">nav </w:t>
            </w:r>
            <w:r w:rsidRPr="002450A3">
              <w:rPr>
                <w:rFonts w:ascii="Times New Roman" w:hAnsi="Times New Roman" w:cs="Times New Roman"/>
                <w:sz w:val="24"/>
                <w:szCs w:val="24"/>
              </w:rPr>
              <w:t xml:space="preserve">bijis apgrozījums un konta atlikums ir lielāks par nulli, nosūtot paziņojumu par konta slēgšanu uz klienta oficiālo elektronisko adresi. Ja 30 dienu </w:t>
            </w:r>
            <w:r w:rsidRPr="002450A3">
              <w:rPr>
                <w:rFonts w:ascii="Times New Roman" w:hAnsi="Times New Roman" w:cs="Times New Roman"/>
                <w:sz w:val="24"/>
                <w:szCs w:val="24"/>
              </w:rPr>
              <w:lastRenderedPageBreak/>
              <w:t>laikā no paziņojuma nosūtīšanas dienas klients nav iesniedzis pieteikumu par konta slēgšanu vai devis citus norādījumus par rīcību par pieejamiem līdzekļiem, Valsts kase klienta kontā pieejamos līdzekļus ieskaita valsts budžeta ieņēmumos.</w:t>
            </w:r>
            <w:r w:rsidRPr="002450A3">
              <w:rPr>
                <w:rFonts w:ascii="Times New Roman" w:hAnsi="Times New Roman" w:cs="Times New Roman"/>
                <w:i/>
                <w:sz w:val="24"/>
                <w:szCs w:val="24"/>
              </w:rPr>
              <w:t xml:space="preserve"> </w:t>
            </w:r>
          </w:p>
          <w:p w14:paraId="2D648F70" w14:textId="630A73B5" w:rsidR="00236FD4" w:rsidRDefault="00656B6C" w:rsidP="00D42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FC6426">
              <w:rPr>
                <w:rFonts w:ascii="Times New Roman" w:hAnsi="Times New Roman" w:cs="Times New Roman"/>
                <w:sz w:val="24"/>
                <w:szCs w:val="24"/>
              </w:rPr>
              <w:t>O</w:t>
            </w:r>
            <w:r>
              <w:rPr>
                <w:rFonts w:ascii="Times New Roman" w:hAnsi="Times New Roman" w:cs="Times New Roman"/>
                <w:sz w:val="24"/>
                <w:szCs w:val="24"/>
              </w:rPr>
              <w:t>ficiālās elektronisk</w:t>
            </w:r>
            <w:r w:rsidR="0058518B">
              <w:rPr>
                <w:rFonts w:ascii="Times New Roman" w:hAnsi="Times New Roman" w:cs="Times New Roman"/>
                <w:sz w:val="24"/>
                <w:szCs w:val="24"/>
              </w:rPr>
              <w:t xml:space="preserve">ās adreses likumā noteikto par </w:t>
            </w:r>
            <w:r w:rsidR="00FC6426">
              <w:rPr>
                <w:rFonts w:ascii="Times New Roman" w:hAnsi="Times New Roman" w:cs="Times New Roman"/>
                <w:sz w:val="24"/>
                <w:szCs w:val="24"/>
              </w:rPr>
              <w:t xml:space="preserve">oficiālās elektroniskās adreses </w:t>
            </w:r>
            <w:r w:rsidR="0058518B">
              <w:rPr>
                <w:rFonts w:ascii="Times New Roman" w:hAnsi="Times New Roman" w:cs="Times New Roman"/>
                <w:sz w:val="24"/>
                <w:szCs w:val="24"/>
              </w:rPr>
              <w:t xml:space="preserve">kontu aktivizēšanas termiņiem </w:t>
            </w:r>
            <w:r w:rsidR="00FC6426">
              <w:rPr>
                <w:rFonts w:ascii="Times New Roman" w:hAnsi="Times New Roman" w:cs="Times New Roman"/>
                <w:sz w:val="24"/>
                <w:szCs w:val="24"/>
              </w:rPr>
              <w:t>v</w:t>
            </w:r>
            <w:r w:rsidR="0058518B">
              <w:rPr>
                <w:rFonts w:ascii="Times New Roman" w:hAnsi="Times New Roman" w:cs="Times New Roman"/>
                <w:sz w:val="24"/>
                <w:szCs w:val="24"/>
              </w:rPr>
              <w:t>alsts institūcij</w:t>
            </w:r>
            <w:r w:rsidR="00FC6426">
              <w:rPr>
                <w:rFonts w:ascii="Times New Roman" w:hAnsi="Times New Roman" w:cs="Times New Roman"/>
                <w:sz w:val="24"/>
                <w:szCs w:val="24"/>
              </w:rPr>
              <w:t>as</w:t>
            </w:r>
            <w:r w:rsidR="0058518B">
              <w:rPr>
                <w:rFonts w:ascii="Times New Roman" w:hAnsi="Times New Roman" w:cs="Times New Roman"/>
                <w:sz w:val="24"/>
                <w:szCs w:val="24"/>
              </w:rPr>
              <w:t xml:space="preserve"> un </w:t>
            </w:r>
            <w:r w:rsidR="00FC6426">
              <w:rPr>
                <w:rFonts w:ascii="Times New Roman" w:hAnsi="Times New Roman" w:cs="Times New Roman"/>
                <w:sz w:val="24"/>
                <w:szCs w:val="24"/>
              </w:rPr>
              <w:t>tiešās pārvaldes iestādes oficiālo elektronisko adresi jau lieto, bet zvērinātu tiesu izpildītājiem un reģistros reģistrētajiem tiesību subjektiem oficiālās elektroniskās adreses lietošana tiks uzsākta ar 2020.gada 1.janvāri</w:t>
            </w:r>
            <w:r>
              <w:rPr>
                <w:rFonts w:ascii="Times New Roman" w:hAnsi="Times New Roman" w:cs="Times New Roman"/>
                <w:sz w:val="24"/>
                <w:szCs w:val="24"/>
              </w:rPr>
              <w:t>.</w:t>
            </w:r>
            <w:r w:rsidR="00D42054">
              <w:rPr>
                <w:rFonts w:ascii="Times New Roman" w:hAnsi="Times New Roman" w:cs="Times New Roman"/>
                <w:sz w:val="24"/>
                <w:szCs w:val="24"/>
              </w:rPr>
              <w:t xml:space="preserve"> </w:t>
            </w:r>
            <w:r w:rsidR="00FC6426">
              <w:rPr>
                <w:rFonts w:ascii="Times New Roman" w:hAnsi="Times New Roman" w:cs="Times New Roman"/>
                <w:sz w:val="24"/>
                <w:szCs w:val="24"/>
              </w:rPr>
              <w:t>Oficiālās elektroniskās adreses izmantošana nodrošinās klientu sasniedzamību un</w:t>
            </w:r>
            <w:r w:rsidR="00FC6426" w:rsidRPr="002450A3">
              <w:rPr>
                <w:rFonts w:ascii="Times New Roman" w:hAnsi="Times New Roman" w:cs="Times New Roman"/>
                <w:sz w:val="24"/>
                <w:szCs w:val="24"/>
              </w:rPr>
              <w:t xml:space="preserve"> samazinās Valsts kases patērēto laiku informācijas nosūtīšanai klientiem par konta slēgšanu.</w:t>
            </w:r>
            <w:r w:rsidR="00FC6426">
              <w:rPr>
                <w:rFonts w:ascii="Times New Roman" w:hAnsi="Times New Roman" w:cs="Times New Roman"/>
                <w:sz w:val="24"/>
                <w:szCs w:val="24"/>
              </w:rPr>
              <w:t xml:space="preserve"> </w:t>
            </w:r>
            <w:r w:rsidR="00D42054">
              <w:rPr>
                <w:rFonts w:ascii="Times New Roman" w:hAnsi="Times New Roman" w:cs="Times New Roman"/>
                <w:sz w:val="24"/>
                <w:szCs w:val="24"/>
              </w:rPr>
              <w:t>Gadījumos, kad klientam nav akt</w:t>
            </w:r>
            <w:r w:rsidR="00FC6426">
              <w:rPr>
                <w:rFonts w:ascii="Times New Roman" w:hAnsi="Times New Roman" w:cs="Times New Roman"/>
                <w:sz w:val="24"/>
                <w:szCs w:val="24"/>
              </w:rPr>
              <w:t xml:space="preserve">īvas oficiālā elektroniskā adrese </w:t>
            </w:r>
            <w:r w:rsidR="00D42054">
              <w:rPr>
                <w:rFonts w:ascii="Times New Roman" w:hAnsi="Times New Roman" w:cs="Times New Roman"/>
                <w:sz w:val="24"/>
                <w:szCs w:val="24"/>
              </w:rPr>
              <w:t>vai nav pienākums to lietot, klients tiks informēt</w:t>
            </w:r>
            <w:r w:rsidR="00702B8F">
              <w:rPr>
                <w:rFonts w:ascii="Times New Roman" w:hAnsi="Times New Roman" w:cs="Times New Roman"/>
                <w:sz w:val="24"/>
                <w:szCs w:val="24"/>
              </w:rPr>
              <w:t>s</w:t>
            </w:r>
            <w:r w:rsidR="00D42054">
              <w:rPr>
                <w:rFonts w:ascii="Times New Roman" w:hAnsi="Times New Roman" w:cs="Times New Roman"/>
                <w:sz w:val="24"/>
                <w:szCs w:val="24"/>
              </w:rPr>
              <w:t xml:space="preserve"> e-pastā</w:t>
            </w:r>
            <w:r w:rsidR="00344E56">
              <w:rPr>
                <w:rFonts w:ascii="Times New Roman" w:hAnsi="Times New Roman" w:cs="Times New Roman"/>
                <w:sz w:val="24"/>
                <w:szCs w:val="24"/>
              </w:rPr>
              <w:t xml:space="preserve">. </w:t>
            </w:r>
            <w:r w:rsidR="001500DD">
              <w:rPr>
                <w:rFonts w:ascii="Times New Roman" w:hAnsi="Times New Roman" w:cs="Times New Roman"/>
                <w:sz w:val="24"/>
                <w:szCs w:val="24"/>
              </w:rPr>
              <w:t>Periods saīsināts no 24 mēnešiem uz 18 mēnešiem ņemot vērā budžeta finansēšanas cikliskumu (piemēram, vienā gadā projekta finansējums tiek piešķirts pavasarī, nākamā gadā – rudenī, līdz ar to neaktīvais periods nepārsniedz 18 mēnešus).</w:t>
            </w:r>
          </w:p>
          <w:p w14:paraId="2305C88A" w14:textId="31C89A11" w:rsidR="00CA76F2" w:rsidRPr="002450A3" w:rsidRDefault="00CA76F2" w:rsidP="00D42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kase slēdzot kontu </w:t>
            </w:r>
            <w:r w:rsidR="00F672D7">
              <w:rPr>
                <w:rFonts w:ascii="Times New Roman" w:hAnsi="Times New Roman" w:cs="Times New Roman"/>
                <w:sz w:val="24"/>
                <w:szCs w:val="24"/>
              </w:rPr>
              <w:t>pamatojoties uz</w:t>
            </w:r>
            <w:r>
              <w:rPr>
                <w:rFonts w:ascii="Times New Roman" w:hAnsi="Times New Roman" w:cs="Times New Roman"/>
                <w:sz w:val="24"/>
                <w:szCs w:val="24"/>
              </w:rPr>
              <w:t xml:space="preserve"> klienta iesniegtu konta slēgšanas pieteikumu</w:t>
            </w:r>
            <w:r w:rsidR="00F672D7">
              <w:rPr>
                <w:rFonts w:ascii="Times New Roman" w:hAnsi="Times New Roman" w:cs="Times New Roman"/>
                <w:sz w:val="24"/>
                <w:szCs w:val="24"/>
              </w:rPr>
              <w:t>, saskaņā ar noteikuma projekta 27.1. un 27.2.apakšpunktiem,</w:t>
            </w:r>
            <w:r>
              <w:rPr>
                <w:rFonts w:ascii="Times New Roman" w:hAnsi="Times New Roman" w:cs="Times New Roman"/>
                <w:sz w:val="24"/>
                <w:szCs w:val="24"/>
              </w:rPr>
              <w:t xml:space="preserve"> informāciju </w:t>
            </w:r>
            <w:r w:rsidR="00F672D7">
              <w:rPr>
                <w:rFonts w:ascii="Times New Roman" w:hAnsi="Times New Roman" w:cs="Times New Roman"/>
                <w:sz w:val="24"/>
                <w:szCs w:val="24"/>
              </w:rPr>
              <w:t xml:space="preserve">par </w:t>
            </w:r>
            <w:r w:rsidR="00A01B9F">
              <w:rPr>
                <w:rFonts w:ascii="Times New Roman" w:hAnsi="Times New Roman" w:cs="Times New Roman"/>
                <w:sz w:val="24"/>
                <w:szCs w:val="24"/>
              </w:rPr>
              <w:t>konta slēgšanu</w:t>
            </w:r>
            <w:r w:rsidR="00F672D7">
              <w:rPr>
                <w:rFonts w:ascii="Times New Roman" w:hAnsi="Times New Roman" w:cs="Times New Roman"/>
                <w:sz w:val="24"/>
                <w:szCs w:val="24"/>
              </w:rPr>
              <w:t xml:space="preserve"> e-pastā nesniegs, lai neveiktu e-pakalpojumā automātiski nodrošināta paziņojuma dublēšanu (informācija</w:t>
            </w:r>
            <w:r>
              <w:rPr>
                <w:rFonts w:ascii="Times New Roman" w:hAnsi="Times New Roman" w:cs="Times New Roman"/>
                <w:sz w:val="24"/>
                <w:szCs w:val="24"/>
              </w:rPr>
              <w:t xml:space="preserve"> ir piee</w:t>
            </w:r>
            <w:r w:rsidR="00F672D7">
              <w:rPr>
                <w:rFonts w:ascii="Times New Roman" w:hAnsi="Times New Roman" w:cs="Times New Roman"/>
                <w:sz w:val="24"/>
                <w:szCs w:val="24"/>
              </w:rPr>
              <w:t>jama e</w:t>
            </w:r>
            <w:r w:rsidR="00541F89">
              <w:rPr>
                <w:rFonts w:ascii="Times New Roman" w:hAnsi="Times New Roman" w:cs="Times New Roman"/>
                <w:sz w:val="24"/>
                <w:szCs w:val="24"/>
              </w:rPr>
              <w:t>K</w:t>
            </w:r>
            <w:r>
              <w:rPr>
                <w:rFonts w:ascii="Times New Roman" w:hAnsi="Times New Roman" w:cs="Times New Roman"/>
                <w:sz w:val="24"/>
                <w:szCs w:val="24"/>
              </w:rPr>
              <w:t xml:space="preserve">asē sadaļā </w:t>
            </w:r>
            <w:r w:rsidR="00F672D7">
              <w:rPr>
                <w:rFonts w:ascii="Times New Roman" w:hAnsi="Times New Roman" w:cs="Times New Roman"/>
                <w:sz w:val="24"/>
                <w:szCs w:val="24"/>
              </w:rPr>
              <w:t xml:space="preserve">“Pastkastīte” </w:t>
            </w:r>
            <w:r w:rsidR="00F672D7" w:rsidRPr="00F672D7">
              <w:rPr>
                <w:rFonts w:ascii="Times New Roman" w:hAnsi="Times New Roman" w:cs="Times New Roman"/>
                <w:sz w:val="24"/>
                <w:szCs w:val="24"/>
              </w:rPr>
              <w:sym w:font="Wingdings" w:char="F0E0"/>
            </w:r>
            <w:r w:rsidR="00F672D7">
              <w:rPr>
                <w:rFonts w:ascii="Times New Roman" w:hAnsi="Times New Roman" w:cs="Times New Roman"/>
                <w:sz w:val="24"/>
                <w:szCs w:val="24"/>
              </w:rPr>
              <w:t xml:space="preserve"> “Ienākošie ziņojumi”).</w:t>
            </w:r>
          </w:p>
          <w:p w14:paraId="29525C01" w14:textId="5EAC82F8" w:rsidR="0053418E" w:rsidRDefault="005840F3" w:rsidP="00D42054">
            <w:pPr>
              <w:tabs>
                <w:tab w:val="left" w:pos="1134"/>
              </w:tabs>
              <w:spacing w:after="0" w:line="240" w:lineRule="auto"/>
              <w:ind w:firstLine="510"/>
              <w:jc w:val="both"/>
              <w:rPr>
                <w:rFonts w:ascii="Times New Roman" w:eastAsia="Times New Roman" w:hAnsi="Times New Roman" w:cs="Times New Roman"/>
                <w:sz w:val="24"/>
                <w:szCs w:val="24"/>
                <w:lang w:eastAsia="lv-LV"/>
              </w:rPr>
            </w:pPr>
            <w:r w:rsidRPr="002450A3">
              <w:rPr>
                <w:rFonts w:ascii="Times New Roman" w:eastAsia="Times New Roman" w:hAnsi="Times New Roman" w:cs="Times New Roman"/>
                <w:sz w:val="24"/>
                <w:szCs w:val="24"/>
                <w:lang w:eastAsia="lv-LV"/>
              </w:rPr>
              <w:t xml:space="preserve">Noteikumu projektā pilnveidota maksājumu veikšanas sadaļa, reglamentējot kārtību, kādā Valsts kase ieskaita klienta kontā naudas līdzekļus, precizēta ārvalstu valūtas maksājumu  iesniegšanas kārtība, atsakoties no prasības iepriekš pieteikt maksājuma izpildei nepieciešamo ārvalstu valūtas apjomu. Vienlaicīgi Valsts kase patur tiesības nepieciešamības gadījumā operatīvas ārvalstu valūtas maksājumu apstrādes un finanšu resursu attiecīgajā ārvalstu valūtā sagādes nodrošināšanai lūgt atsevišķiem klientiem sniegt informāciju par maksājumu izpildei nepieciešamo ārvalstu valūtas apjomu. </w:t>
            </w:r>
          </w:p>
          <w:p w14:paraId="0A551453" w14:textId="074B1C0F" w:rsidR="001962BD" w:rsidRDefault="001962BD" w:rsidP="000D6A5B">
            <w:pPr>
              <w:tabs>
                <w:tab w:val="left" w:pos="1134"/>
              </w:tabs>
              <w:spacing w:after="0" w:line="240" w:lineRule="auto"/>
              <w:ind w:firstLine="5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reglamentēts termins </w:t>
            </w:r>
            <w:r w:rsidR="001C1BA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5328C3">
              <w:rPr>
                <w:rFonts w:ascii="Times New Roman" w:hAnsi="Times New Roman" w:cs="Times New Roman"/>
                <w:sz w:val="24"/>
                <w:szCs w:val="24"/>
              </w:rPr>
              <w:t>Valsts kases darba diena</w:t>
            </w:r>
            <w:r>
              <w:rPr>
                <w:rFonts w:ascii="Times New Roman" w:hAnsi="Times New Roman" w:cs="Times New Roman"/>
                <w:sz w:val="24"/>
                <w:szCs w:val="24"/>
              </w:rPr>
              <w:t xml:space="preserve">, kas ir </w:t>
            </w:r>
            <w:r w:rsidRPr="001962BD">
              <w:rPr>
                <w:rFonts w:ascii="Times New Roman" w:hAnsi="Times New Roman" w:cs="Times New Roman"/>
                <w:sz w:val="24"/>
                <w:szCs w:val="24"/>
              </w:rPr>
              <w:t>kalendārā diena no pirmdienas līdz piektdienai un tiesību aktos noteiktajā kārtībā pārceltās darbdienas, izņemot šādas svētku dienas: Jaungada diena (1.janvāris), Lielā piektdiena, Otrās Lieldienas, Darba svētki (1.maijs), Ziemassvētki (25. un 26.decembris)</w:t>
            </w:r>
            <w:r>
              <w:rPr>
                <w:rFonts w:ascii="Times New Roman" w:hAnsi="Times New Roman" w:cs="Times New Roman"/>
                <w:sz w:val="24"/>
                <w:szCs w:val="24"/>
              </w:rPr>
              <w:t xml:space="preserve">. Šis regulējums ir noteikts atbilstoši TARGET2 maksājumu sistēmas noteiktajam darba laikam. </w:t>
            </w:r>
            <w:r w:rsidR="001C2503">
              <w:rPr>
                <w:rFonts w:ascii="Times New Roman" w:hAnsi="Times New Roman" w:cs="Times New Roman"/>
                <w:sz w:val="24"/>
                <w:szCs w:val="24"/>
              </w:rPr>
              <w:t xml:space="preserve">Valsts kases darba laiks ir publicēts tās </w:t>
            </w:r>
            <w:r w:rsidR="008D4C52">
              <w:rPr>
                <w:rFonts w:ascii="Times New Roman" w:hAnsi="Times New Roman" w:cs="Times New Roman"/>
                <w:sz w:val="24"/>
                <w:szCs w:val="24"/>
              </w:rPr>
              <w:t xml:space="preserve">tīmekļvietnē </w:t>
            </w:r>
            <w:hyperlink r:id="rId11" w:history="1">
              <w:r w:rsidR="001C2503" w:rsidRPr="00C235EA">
                <w:rPr>
                  <w:rStyle w:val="Hyperlink"/>
                  <w:rFonts w:ascii="Times New Roman" w:hAnsi="Times New Roman" w:cs="Times New Roman"/>
                  <w:sz w:val="24"/>
                  <w:szCs w:val="24"/>
                </w:rPr>
                <w:t>www.kase.gov.lv</w:t>
              </w:r>
            </w:hyperlink>
            <w:r w:rsidR="001C2503">
              <w:rPr>
                <w:rFonts w:ascii="Times New Roman" w:hAnsi="Times New Roman" w:cs="Times New Roman"/>
                <w:sz w:val="24"/>
                <w:szCs w:val="24"/>
              </w:rPr>
              <w:t xml:space="preserve"> un informācija par darba laika izmaiņām pirmssvētku dienās tiek publicēta </w:t>
            </w:r>
            <w:r w:rsidR="008D4C52">
              <w:rPr>
                <w:rFonts w:ascii="Times New Roman" w:hAnsi="Times New Roman" w:cs="Times New Roman"/>
                <w:sz w:val="24"/>
                <w:szCs w:val="24"/>
              </w:rPr>
              <w:t xml:space="preserve">Valsts kases tīmekļvietnē </w:t>
            </w:r>
            <w:r w:rsidR="001C2503">
              <w:rPr>
                <w:rFonts w:ascii="Times New Roman" w:hAnsi="Times New Roman" w:cs="Times New Roman"/>
                <w:sz w:val="24"/>
                <w:szCs w:val="24"/>
              </w:rPr>
              <w:t>un Valsts kases e-pakalpojum</w:t>
            </w:r>
            <w:r w:rsidR="008D4C52">
              <w:rPr>
                <w:rFonts w:ascii="Times New Roman" w:hAnsi="Times New Roman" w:cs="Times New Roman"/>
                <w:sz w:val="24"/>
                <w:szCs w:val="24"/>
              </w:rPr>
              <w:t>a</w:t>
            </w:r>
            <w:r w:rsidR="001C2503">
              <w:rPr>
                <w:rFonts w:ascii="Times New Roman" w:hAnsi="Times New Roman" w:cs="Times New Roman"/>
                <w:sz w:val="24"/>
                <w:szCs w:val="24"/>
              </w:rPr>
              <w:t xml:space="preserve"> “eKase”</w:t>
            </w:r>
            <w:r w:rsidR="008D4C52">
              <w:rPr>
                <w:rFonts w:ascii="Times New Roman" w:hAnsi="Times New Roman" w:cs="Times New Roman"/>
                <w:sz w:val="24"/>
                <w:szCs w:val="24"/>
              </w:rPr>
              <w:t xml:space="preserve"> tīmekļvietnē</w:t>
            </w:r>
            <w:r w:rsidR="001C2503">
              <w:rPr>
                <w:rFonts w:ascii="Times New Roman" w:hAnsi="Times New Roman" w:cs="Times New Roman"/>
                <w:sz w:val="24"/>
                <w:szCs w:val="24"/>
              </w:rPr>
              <w:t>.</w:t>
            </w:r>
          </w:p>
          <w:p w14:paraId="2B5492E2" w14:textId="23A0B1FB" w:rsidR="00BC2097" w:rsidRDefault="00B87236" w:rsidP="000D6A5B">
            <w:pPr>
              <w:tabs>
                <w:tab w:val="left" w:pos="1134"/>
              </w:tabs>
              <w:spacing w:after="0" w:line="240" w:lineRule="auto"/>
              <w:ind w:firstLine="5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Ieviešot </w:t>
            </w:r>
            <w:r w:rsidR="005840F3" w:rsidRPr="002450A3">
              <w:rPr>
                <w:rFonts w:ascii="Times New Roman" w:eastAsia="Times New Roman" w:hAnsi="Times New Roman" w:cs="Times New Roman"/>
                <w:sz w:val="24"/>
                <w:szCs w:val="24"/>
                <w:lang w:eastAsia="lv-LV"/>
              </w:rPr>
              <w:t>klasifikācijas kodu labošan</w:t>
            </w:r>
            <w:r w:rsidR="00E61A18">
              <w:rPr>
                <w:rFonts w:ascii="Times New Roman" w:eastAsia="Times New Roman" w:hAnsi="Times New Roman" w:cs="Times New Roman"/>
                <w:sz w:val="24"/>
                <w:szCs w:val="24"/>
                <w:lang w:eastAsia="lv-LV"/>
              </w:rPr>
              <w:t>as</w:t>
            </w:r>
            <w:r w:rsidR="005840F3" w:rsidRPr="002450A3">
              <w:rPr>
                <w:rFonts w:ascii="Times New Roman" w:eastAsia="Times New Roman" w:hAnsi="Times New Roman" w:cs="Times New Roman"/>
                <w:sz w:val="24"/>
                <w:szCs w:val="24"/>
                <w:lang w:eastAsia="lv-LV"/>
              </w:rPr>
              <w:t xml:space="preserve"> </w:t>
            </w:r>
            <w:r w:rsidR="00E61A18">
              <w:rPr>
                <w:rFonts w:ascii="Times New Roman" w:eastAsia="Times New Roman" w:hAnsi="Times New Roman" w:cs="Times New Roman"/>
                <w:sz w:val="24"/>
                <w:szCs w:val="24"/>
                <w:lang w:eastAsia="lv-LV"/>
              </w:rPr>
              <w:t>un</w:t>
            </w:r>
            <w:r w:rsidR="00E61A18" w:rsidRPr="002450A3">
              <w:rPr>
                <w:rFonts w:ascii="Times New Roman" w:eastAsia="Times New Roman" w:hAnsi="Times New Roman" w:cs="Times New Roman"/>
                <w:sz w:val="24"/>
                <w:szCs w:val="24"/>
                <w:lang w:eastAsia="lv-LV"/>
              </w:rPr>
              <w:t xml:space="preserve"> </w:t>
            </w:r>
            <w:r w:rsidR="005840F3" w:rsidRPr="002450A3">
              <w:rPr>
                <w:rFonts w:ascii="Times New Roman" w:eastAsia="Times New Roman" w:hAnsi="Times New Roman" w:cs="Times New Roman"/>
                <w:sz w:val="24"/>
                <w:szCs w:val="24"/>
                <w:lang w:eastAsia="lv-LV"/>
              </w:rPr>
              <w:t>darījumu pārgrāmatošan</w:t>
            </w:r>
            <w:r w:rsidR="00E61A18">
              <w:rPr>
                <w:rFonts w:ascii="Times New Roman" w:eastAsia="Times New Roman" w:hAnsi="Times New Roman" w:cs="Times New Roman"/>
                <w:sz w:val="24"/>
                <w:szCs w:val="24"/>
                <w:lang w:eastAsia="lv-LV"/>
              </w:rPr>
              <w:t xml:space="preserve">as pieteikumu iesniegšanu tikai elektroniskā veidā e-pakalpojumā eKase, </w:t>
            </w:r>
            <w:r>
              <w:rPr>
                <w:rFonts w:ascii="Times New Roman" w:eastAsia="Times New Roman" w:hAnsi="Times New Roman" w:cs="Times New Roman"/>
                <w:sz w:val="24"/>
                <w:szCs w:val="24"/>
                <w:lang w:eastAsia="lv-LV"/>
              </w:rPr>
              <w:t xml:space="preserve">tiks samazināts pieteikumu apstrādei patērētais laiks, kas līdz šim tika tērēts apstrādājot papīra vei elektroniska dokumenta veidā iesniegtos pieteikumus par iepriekšējā saimnieciskā gada darījumu labošanu. </w:t>
            </w:r>
            <w:r w:rsidR="008B68AE">
              <w:rPr>
                <w:rFonts w:ascii="Times New Roman" w:eastAsia="Times New Roman" w:hAnsi="Times New Roman" w:cs="Times New Roman"/>
                <w:sz w:val="24"/>
                <w:szCs w:val="24"/>
                <w:lang w:eastAsia="lv-LV"/>
              </w:rPr>
              <w:t>Saimnieciskais</w:t>
            </w:r>
            <w:r w:rsidR="0018406A">
              <w:rPr>
                <w:rFonts w:ascii="Times New Roman" w:eastAsia="Times New Roman" w:hAnsi="Times New Roman" w:cs="Times New Roman"/>
                <w:sz w:val="24"/>
                <w:szCs w:val="24"/>
                <w:lang w:eastAsia="lv-LV"/>
              </w:rPr>
              <w:t xml:space="preserve"> gads beidzas 31.decembrī un labojumi nākamajā budžeta gadā par iepriekšējo gadu nav labas budžeta plā</w:t>
            </w:r>
            <w:r w:rsidR="005665BD">
              <w:rPr>
                <w:rFonts w:ascii="Times New Roman" w:eastAsia="Times New Roman" w:hAnsi="Times New Roman" w:cs="Times New Roman"/>
                <w:sz w:val="24"/>
                <w:szCs w:val="24"/>
                <w:lang w:eastAsia="lv-LV"/>
              </w:rPr>
              <w:t>n</w:t>
            </w:r>
            <w:r w:rsidR="0018406A">
              <w:rPr>
                <w:rFonts w:ascii="Times New Roman" w:eastAsia="Times New Roman" w:hAnsi="Times New Roman" w:cs="Times New Roman"/>
                <w:sz w:val="24"/>
                <w:szCs w:val="24"/>
                <w:lang w:eastAsia="lv-LV"/>
              </w:rPr>
              <w:t xml:space="preserve">ošanas un izpildes prakses piemērs. </w:t>
            </w:r>
            <w:r>
              <w:rPr>
                <w:rFonts w:ascii="Times New Roman" w:eastAsia="Times New Roman" w:hAnsi="Times New Roman" w:cs="Times New Roman"/>
                <w:sz w:val="24"/>
                <w:szCs w:val="24"/>
                <w:lang w:eastAsia="lv-LV"/>
              </w:rPr>
              <w:t xml:space="preserve">Lai nodrošinātu </w:t>
            </w:r>
            <w:r w:rsidR="0018406A">
              <w:rPr>
                <w:rFonts w:ascii="Times New Roman" w:eastAsia="Times New Roman" w:hAnsi="Times New Roman" w:cs="Times New Roman"/>
                <w:sz w:val="24"/>
                <w:szCs w:val="24"/>
                <w:lang w:eastAsia="lv-LV"/>
              </w:rPr>
              <w:t>labāk</w:t>
            </w:r>
            <w:r w:rsidR="005665BD">
              <w:rPr>
                <w:rFonts w:ascii="Times New Roman" w:eastAsia="Times New Roman" w:hAnsi="Times New Roman" w:cs="Times New Roman"/>
                <w:sz w:val="24"/>
                <w:szCs w:val="24"/>
                <w:lang w:eastAsia="lv-LV"/>
              </w:rPr>
              <w:t>u</w:t>
            </w:r>
            <w:r w:rsidR="0018406A">
              <w:rPr>
                <w:rFonts w:ascii="Times New Roman" w:eastAsia="Times New Roman" w:hAnsi="Times New Roman" w:cs="Times New Roman"/>
                <w:sz w:val="24"/>
                <w:szCs w:val="24"/>
                <w:lang w:eastAsia="lv-LV"/>
              </w:rPr>
              <w:t xml:space="preserve"> budžeta izpildes proces</w:t>
            </w:r>
            <w:r w:rsidR="002E569C">
              <w:rPr>
                <w:rFonts w:ascii="Times New Roman" w:eastAsia="Times New Roman" w:hAnsi="Times New Roman" w:cs="Times New Roman"/>
                <w:sz w:val="24"/>
                <w:szCs w:val="24"/>
                <w:lang w:eastAsia="lv-LV"/>
              </w:rPr>
              <w:t>a administrēšanu</w:t>
            </w:r>
            <w:r w:rsidR="0018406A">
              <w:rPr>
                <w:rFonts w:ascii="Times New Roman" w:eastAsia="Times New Roman" w:hAnsi="Times New Roman" w:cs="Times New Roman"/>
                <w:sz w:val="24"/>
                <w:szCs w:val="24"/>
                <w:lang w:eastAsia="lv-LV"/>
              </w:rPr>
              <w:t xml:space="preserve"> un veicinātu elektroniskā </w:t>
            </w:r>
            <w:r>
              <w:rPr>
                <w:rFonts w:ascii="Times New Roman" w:eastAsia="Times New Roman" w:hAnsi="Times New Roman" w:cs="Times New Roman"/>
                <w:sz w:val="24"/>
                <w:szCs w:val="24"/>
                <w:lang w:eastAsia="lv-LV"/>
              </w:rPr>
              <w:t xml:space="preserve">risinājuma </w:t>
            </w:r>
            <w:r w:rsidR="0018406A">
              <w:rPr>
                <w:rFonts w:ascii="Times New Roman" w:eastAsia="Times New Roman" w:hAnsi="Times New Roman" w:cs="Times New Roman"/>
                <w:sz w:val="24"/>
                <w:szCs w:val="24"/>
                <w:lang w:eastAsia="lv-LV"/>
              </w:rPr>
              <w:t>ieviešanu</w:t>
            </w:r>
            <w:r>
              <w:rPr>
                <w:rFonts w:ascii="Times New Roman" w:eastAsia="Times New Roman" w:hAnsi="Times New Roman" w:cs="Times New Roman"/>
                <w:sz w:val="24"/>
                <w:szCs w:val="24"/>
                <w:lang w:eastAsia="lv-LV"/>
              </w:rPr>
              <w:t xml:space="preserve"> ir nepieciešamas noteikt</w:t>
            </w:r>
            <w:r w:rsidR="0018406A">
              <w:rPr>
                <w:rFonts w:ascii="Times New Roman" w:eastAsia="Times New Roman" w:hAnsi="Times New Roman" w:cs="Times New Roman"/>
                <w:sz w:val="24"/>
                <w:szCs w:val="24"/>
                <w:lang w:eastAsia="lv-LV"/>
              </w:rPr>
              <w:t xml:space="preserve"> terminētu datu apstrādi, t.i.</w:t>
            </w:r>
            <w:r>
              <w:rPr>
                <w:rFonts w:ascii="Times New Roman" w:eastAsia="Times New Roman" w:hAnsi="Times New Roman" w:cs="Times New Roman"/>
                <w:sz w:val="24"/>
                <w:szCs w:val="24"/>
                <w:lang w:eastAsia="lv-LV"/>
              </w:rPr>
              <w:t>, ka labojumus var veikt</w:t>
            </w:r>
            <w:r w:rsidR="005840F3" w:rsidRPr="002450A3">
              <w:rPr>
                <w:rFonts w:ascii="Times New Roman" w:eastAsia="Times New Roman" w:hAnsi="Times New Roman" w:cs="Times New Roman"/>
                <w:sz w:val="24"/>
                <w:szCs w:val="24"/>
                <w:lang w:eastAsia="lv-LV"/>
              </w:rPr>
              <w:t xml:space="preserve"> </w:t>
            </w:r>
            <w:r w:rsidR="002A1D4E" w:rsidRPr="002450A3">
              <w:rPr>
                <w:rFonts w:ascii="Times New Roman" w:eastAsia="Times New Roman" w:hAnsi="Times New Roman" w:cs="Times New Roman"/>
                <w:sz w:val="24"/>
                <w:szCs w:val="24"/>
                <w:lang w:eastAsia="lv-LV"/>
              </w:rPr>
              <w:t xml:space="preserve">tikai </w:t>
            </w:r>
            <w:r w:rsidR="005840F3" w:rsidRPr="002450A3">
              <w:rPr>
                <w:rFonts w:ascii="Times New Roman" w:eastAsia="Times New Roman" w:hAnsi="Times New Roman" w:cs="Times New Roman"/>
                <w:sz w:val="24"/>
                <w:szCs w:val="24"/>
                <w:lang w:eastAsia="lv-LV"/>
              </w:rPr>
              <w:t xml:space="preserve">saimnieciskā gada </w:t>
            </w:r>
            <w:r w:rsidR="002A1D4E" w:rsidRPr="002450A3">
              <w:rPr>
                <w:rFonts w:ascii="Times New Roman" w:eastAsia="Times New Roman" w:hAnsi="Times New Roman" w:cs="Times New Roman"/>
                <w:sz w:val="24"/>
                <w:szCs w:val="24"/>
                <w:lang w:eastAsia="lv-LV"/>
              </w:rPr>
              <w:t>ietvaros</w:t>
            </w:r>
            <w:r w:rsidR="00FD477C">
              <w:rPr>
                <w:rFonts w:ascii="Times New Roman" w:eastAsia="Times New Roman" w:hAnsi="Times New Roman" w:cs="Times New Roman"/>
                <w:sz w:val="24"/>
                <w:szCs w:val="24"/>
                <w:lang w:eastAsia="lv-LV"/>
              </w:rPr>
              <w:t>, iesniedzot</w:t>
            </w:r>
            <w:r w:rsidR="0018406A">
              <w:rPr>
                <w:rFonts w:ascii="Times New Roman" w:eastAsia="Times New Roman" w:hAnsi="Times New Roman" w:cs="Times New Roman"/>
                <w:sz w:val="24"/>
                <w:szCs w:val="24"/>
                <w:lang w:eastAsia="lv-LV"/>
              </w:rPr>
              <w:t xml:space="preserve"> klasifikācijas kodu</w:t>
            </w:r>
            <w:r w:rsidR="00FD477C">
              <w:rPr>
                <w:rFonts w:ascii="Times New Roman" w:eastAsia="Times New Roman" w:hAnsi="Times New Roman" w:cs="Times New Roman"/>
                <w:sz w:val="24"/>
                <w:szCs w:val="24"/>
                <w:lang w:eastAsia="lv-LV"/>
              </w:rPr>
              <w:t xml:space="preserve"> labojumus </w:t>
            </w:r>
            <w:r w:rsidR="0018406A">
              <w:rPr>
                <w:rFonts w:ascii="Times New Roman" w:eastAsia="Times New Roman" w:hAnsi="Times New Roman" w:cs="Times New Roman"/>
                <w:sz w:val="24"/>
                <w:szCs w:val="24"/>
                <w:lang w:eastAsia="lv-LV"/>
              </w:rPr>
              <w:t xml:space="preserve">un darījumu pārgrāmatošanu </w:t>
            </w:r>
            <w:r w:rsidR="00FD477C">
              <w:rPr>
                <w:rFonts w:ascii="Times New Roman" w:eastAsia="Times New Roman" w:hAnsi="Times New Roman" w:cs="Times New Roman"/>
                <w:sz w:val="24"/>
                <w:szCs w:val="24"/>
                <w:lang w:eastAsia="lv-LV"/>
              </w:rPr>
              <w:t>līdz saimnieciskā gada pēdējai darbdienai</w:t>
            </w:r>
            <w:r w:rsidR="002A1D4E" w:rsidRPr="002450A3">
              <w:rPr>
                <w:rFonts w:ascii="Times New Roman" w:eastAsia="Times New Roman" w:hAnsi="Times New Roman" w:cs="Times New Roman"/>
                <w:sz w:val="24"/>
                <w:szCs w:val="24"/>
                <w:lang w:eastAsia="lv-LV"/>
              </w:rPr>
              <w:t>.</w:t>
            </w:r>
            <w:r w:rsidR="00554A43">
              <w:rPr>
                <w:rFonts w:ascii="Times New Roman" w:eastAsia="Times New Roman" w:hAnsi="Times New Roman" w:cs="Times New Roman"/>
                <w:sz w:val="24"/>
                <w:szCs w:val="24"/>
                <w:lang w:eastAsia="lv-LV"/>
              </w:rPr>
              <w:t xml:space="preserve"> Pāreja uz jauno kārtību papildus nodrošinās, </w:t>
            </w:r>
            <w:r>
              <w:rPr>
                <w:rFonts w:ascii="Times New Roman" w:eastAsia="Times New Roman" w:hAnsi="Times New Roman" w:cs="Times New Roman"/>
                <w:sz w:val="24"/>
                <w:szCs w:val="24"/>
                <w:lang w:eastAsia="lv-LV"/>
              </w:rPr>
              <w:t xml:space="preserve">ka </w:t>
            </w:r>
            <w:r w:rsidR="00684FC4">
              <w:rPr>
                <w:rFonts w:ascii="Times New Roman" w:eastAsia="Times New Roman" w:hAnsi="Times New Roman" w:cs="Times New Roman"/>
                <w:sz w:val="24"/>
                <w:szCs w:val="24"/>
                <w:lang w:eastAsia="lv-LV"/>
              </w:rPr>
              <w:t>nepieciešamie</w:t>
            </w:r>
            <w:r w:rsidR="00D6798E">
              <w:rPr>
                <w:rFonts w:ascii="Times New Roman" w:eastAsia="Times New Roman" w:hAnsi="Times New Roman" w:cs="Times New Roman"/>
                <w:sz w:val="24"/>
                <w:szCs w:val="24"/>
                <w:lang w:eastAsia="lv-LV"/>
              </w:rPr>
              <w:t xml:space="preserve"> labojumi notiks ātrāk</w:t>
            </w:r>
            <w:r>
              <w:rPr>
                <w:rFonts w:ascii="Times New Roman" w:eastAsia="Times New Roman" w:hAnsi="Times New Roman" w:cs="Times New Roman"/>
                <w:sz w:val="24"/>
                <w:szCs w:val="24"/>
                <w:lang w:eastAsia="lv-LV"/>
              </w:rPr>
              <w:t xml:space="preserve"> un</w:t>
            </w:r>
            <w:r w:rsidR="00D6798E">
              <w:rPr>
                <w:rFonts w:ascii="Times New Roman" w:eastAsia="Times New Roman" w:hAnsi="Times New Roman" w:cs="Times New Roman"/>
                <w:sz w:val="24"/>
                <w:szCs w:val="24"/>
                <w:lang w:eastAsia="lv-LV"/>
              </w:rPr>
              <w:t xml:space="preserve"> </w:t>
            </w:r>
            <w:r w:rsidR="00554A43">
              <w:rPr>
                <w:rFonts w:ascii="Times New Roman" w:eastAsia="Times New Roman" w:hAnsi="Times New Roman" w:cs="Times New Roman"/>
                <w:sz w:val="24"/>
                <w:szCs w:val="24"/>
                <w:lang w:eastAsia="lv-LV"/>
              </w:rPr>
              <w:t>klientam konta izraksts</w:t>
            </w:r>
            <w:r w:rsidR="0018406A">
              <w:rPr>
                <w:rFonts w:ascii="Times New Roman" w:eastAsia="Times New Roman" w:hAnsi="Times New Roman" w:cs="Times New Roman"/>
                <w:sz w:val="24"/>
                <w:szCs w:val="24"/>
                <w:lang w:eastAsia="lv-LV"/>
              </w:rPr>
              <w:t xml:space="preserve"> par budžeta izpildi</w:t>
            </w:r>
            <w:r>
              <w:rPr>
                <w:rFonts w:ascii="Times New Roman" w:eastAsia="Times New Roman" w:hAnsi="Times New Roman" w:cs="Times New Roman"/>
                <w:sz w:val="24"/>
                <w:szCs w:val="24"/>
                <w:lang w:eastAsia="lv-LV"/>
              </w:rPr>
              <w:t xml:space="preserve"> </w:t>
            </w:r>
            <w:r w:rsidR="008B68AE">
              <w:rPr>
                <w:rFonts w:ascii="Times New Roman" w:eastAsia="Times New Roman" w:hAnsi="Times New Roman" w:cs="Times New Roman"/>
                <w:sz w:val="24"/>
                <w:szCs w:val="24"/>
                <w:lang w:eastAsia="lv-LV"/>
              </w:rPr>
              <w:t xml:space="preserve">saimnieciskajā gadā līdz </w:t>
            </w:r>
            <w:r>
              <w:rPr>
                <w:rFonts w:ascii="Times New Roman" w:eastAsia="Times New Roman" w:hAnsi="Times New Roman" w:cs="Times New Roman"/>
                <w:sz w:val="24"/>
                <w:szCs w:val="24"/>
                <w:lang w:eastAsia="lv-LV"/>
              </w:rPr>
              <w:t>31.decembr</w:t>
            </w:r>
            <w:r w:rsidR="008B68AE">
              <w:rPr>
                <w:rFonts w:ascii="Times New Roman" w:eastAsia="Times New Roman" w:hAnsi="Times New Roman" w:cs="Times New Roman"/>
                <w:sz w:val="24"/>
                <w:szCs w:val="24"/>
                <w:lang w:eastAsia="lv-LV"/>
              </w:rPr>
              <w:t>im</w:t>
            </w:r>
            <w:r>
              <w:rPr>
                <w:rFonts w:ascii="Times New Roman" w:eastAsia="Times New Roman" w:hAnsi="Times New Roman" w:cs="Times New Roman"/>
                <w:sz w:val="24"/>
                <w:szCs w:val="24"/>
                <w:lang w:eastAsia="lv-LV"/>
              </w:rPr>
              <w:t xml:space="preserve">  </w:t>
            </w:r>
            <w:r w:rsidR="00554A43">
              <w:rPr>
                <w:rFonts w:ascii="Times New Roman" w:eastAsia="Times New Roman" w:hAnsi="Times New Roman" w:cs="Times New Roman"/>
                <w:sz w:val="24"/>
                <w:szCs w:val="24"/>
                <w:lang w:eastAsia="lv-LV"/>
              </w:rPr>
              <w:t>būs nemainīgs (esošā kārtība paredzēja, ka visi labojumi par iepriekšējo saimniecisko gadu tika veikti ar 31.decembri)</w:t>
            </w:r>
            <w:r w:rsidR="00D2331C">
              <w:rPr>
                <w:rFonts w:ascii="Times New Roman" w:eastAsia="Times New Roman" w:hAnsi="Times New Roman" w:cs="Times New Roman"/>
                <w:sz w:val="24"/>
                <w:szCs w:val="24"/>
                <w:lang w:eastAsia="lv-LV"/>
              </w:rPr>
              <w:t xml:space="preserve">, kā arī pāreja uz jauno kārtību </w:t>
            </w:r>
            <w:r w:rsidR="0018406A">
              <w:rPr>
                <w:rFonts w:ascii="Times New Roman" w:eastAsia="Times New Roman" w:hAnsi="Times New Roman" w:cs="Times New Roman"/>
                <w:sz w:val="24"/>
                <w:szCs w:val="24"/>
                <w:lang w:eastAsia="lv-LV"/>
              </w:rPr>
              <w:t>samazinās</w:t>
            </w:r>
            <w:r w:rsidR="00D2331C">
              <w:rPr>
                <w:rFonts w:ascii="Times New Roman" w:eastAsia="Times New Roman" w:hAnsi="Times New Roman" w:cs="Times New Roman"/>
                <w:sz w:val="24"/>
                <w:szCs w:val="24"/>
                <w:lang w:eastAsia="lv-LV"/>
              </w:rPr>
              <w:t xml:space="preserve"> klientu</w:t>
            </w:r>
            <w:r w:rsidR="0018406A">
              <w:rPr>
                <w:rFonts w:ascii="Times New Roman" w:eastAsia="Times New Roman" w:hAnsi="Times New Roman" w:cs="Times New Roman"/>
                <w:sz w:val="24"/>
                <w:szCs w:val="24"/>
                <w:lang w:eastAsia="lv-LV"/>
              </w:rPr>
              <w:t xml:space="preserve"> noslodzi</w:t>
            </w:r>
            <w:r w:rsidR="00684FC4">
              <w:rPr>
                <w:rFonts w:ascii="Times New Roman" w:eastAsia="Times New Roman" w:hAnsi="Times New Roman" w:cs="Times New Roman"/>
                <w:sz w:val="24"/>
                <w:szCs w:val="24"/>
                <w:lang w:eastAsia="lv-LV"/>
              </w:rPr>
              <w:t xml:space="preserve"> nākamā saimnieciskā gada sākumā, kad jāuzsāk darbs pie iepriekšējā saimnieciskā gada pārskata sagatavošanas.</w:t>
            </w:r>
            <w:r w:rsidR="00554A43">
              <w:rPr>
                <w:rFonts w:ascii="Times New Roman" w:eastAsia="Times New Roman" w:hAnsi="Times New Roman" w:cs="Times New Roman"/>
                <w:sz w:val="24"/>
                <w:szCs w:val="24"/>
                <w:lang w:eastAsia="lv-LV"/>
              </w:rPr>
              <w:t xml:space="preserve"> </w:t>
            </w:r>
            <w:r w:rsidR="00100760">
              <w:rPr>
                <w:rFonts w:ascii="Times New Roman" w:eastAsia="Times New Roman" w:hAnsi="Times New Roman" w:cs="Times New Roman"/>
                <w:sz w:val="24"/>
                <w:szCs w:val="24"/>
                <w:lang w:eastAsia="lv-LV"/>
              </w:rPr>
              <w:t xml:space="preserve">Minētās izmaiņas nodrošinās </w:t>
            </w:r>
            <w:r w:rsidR="0018406A">
              <w:rPr>
                <w:rFonts w:ascii="Times New Roman" w:eastAsia="Times New Roman" w:hAnsi="Times New Roman" w:cs="Times New Roman"/>
                <w:sz w:val="24"/>
                <w:szCs w:val="24"/>
                <w:lang w:eastAsia="lv-LV"/>
              </w:rPr>
              <w:t xml:space="preserve">savlaicīgu, kvalitatīvu un patiesu informāciju par valsts budžeta izpildi valdības un augstākā līmeņa vadības lēmumu </w:t>
            </w:r>
            <w:r w:rsidR="00E52C89">
              <w:rPr>
                <w:rFonts w:ascii="Times New Roman" w:eastAsia="Times New Roman" w:hAnsi="Times New Roman" w:cs="Times New Roman"/>
                <w:sz w:val="24"/>
                <w:szCs w:val="24"/>
                <w:lang w:eastAsia="lv-LV"/>
              </w:rPr>
              <w:t>pieņemšanai</w:t>
            </w:r>
            <w:r w:rsidR="0018406A">
              <w:rPr>
                <w:rFonts w:ascii="Times New Roman" w:eastAsia="Times New Roman" w:hAnsi="Times New Roman" w:cs="Times New Roman"/>
                <w:sz w:val="24"/>
                <w:szCs w:val="24"/>
                <w:lang w:eastAsia="lv-LV"/>
              </w:rPr>
              <w:t xml:space="preserve">. </w:t>
            </w:r>
            <w:r w:rsidR="004D43CB" w:rsidRPr="004D43CB">
              <w:rPr>
                <w:rFonts w:ascii="Times New Roman" w:eastAsia="Times New Roman" w:hAnsi="Times New Roman" w:cs="Times New Roman"/>
                <w:sz w:val="24"/>
                <w:szCs w:val="24"/>
                <w:lang w:eastAsia="lv-LV"/>
              </w:rPr>
              <w:t>Tāpat kā līdz šim budžeta izpildes datiem un klienta grāmatvedības uzskaites datiem savstarpēji jāatbilst saimnieciskā gada ietvaros un nepieciešamie budžeta izpildes labojumi jāveic savlaicīgi visa saimnieciskā gada laikā. Ja tiek konstatētas neatbilstības maksājumu uzskaites datos (budžeta izpildē) un klienta grāmatvedības uzskaites datos pēc saimnieciskā gada beigām, tad tās tiek uzrādītas un skaidrotas kopsavilkuma pārskatā par budžeta izpildi iepriekšējā saimnieciskā gadā. Tas nepieciešams, lai sniegtā informācija būtu salīdzināma - pozīciju uzskaitījums un klasifikācija visos pārskata periodos būtu vienāda, un savstarpēji salīdzināmi dati atbilst</w:t>
            </w:r>
            <w:r w:rsidR="004D43CB">
              <w:rPr>
                <w:rFonts w:ascii="Times New Roman" w:eastAsia="Times New Roman" w:hAnsi="Times New Roman" w:cs="Times New Roman"/>
                <w:sz w:val="24"/>
                <w:szCs w:val="24"/>
                <w:lang w:eastAsia="lv-LV"/>
              </w:rPr>
              <w:t>u</w:t>
            </w:r>
            <w:r w:rsidR="004D43CB" w:rsidRPr="004D43CB">
              <w:rPr>
                <w:rFonts w:ascii="Times New Roman" w:eastAsia="Times New Roman" w:hAnsi="Times New Roman" w:cs="Times New Roman"/>
                <w:sz w:val="24"/>
                <w:szCs w:val="24"/>
                <w:lang w:eastAsia="lv-LV"/>
              </w:rPr>
              <w:t xml:space="preserve"> cits citam dažādos pārskatos. Saskaņā ar noteikumu projekta VSS-868 anotācijā sniegto skaidrojumu, 2020.gadā ir paredzēts izstrādāt grozījumus Ministru kabineta 2010.gada 28.decembra noteikumos Nr.1220 “Asignējumu piešķiršanas un izpildes kārtība”, kas paredzētu, ka kopsavilkuma pārskatā par budžeta izpildi iepriekšējā saimnieciskā gadā veidlapās tiek nodrošināta aile ar ievades iespējām ieņēmumu daļā, savukārt izdevumu pozīcijas netiks koriģētas. Labojumi varētu tikt veikti par budžeta izpildes neatbilstībām, kas izveidojušās gada pēdējās dienās. Labojumu veikšanas brīdī iestāde norādīs grāmatvedības uzskaites datus tām pozīcijām, kas atšķiras no budžeta izpildes </w:t>
            </w:r>
            <w:r w:rsidR="006138DC" w:rsidRPr="004D43CB">
              <w:rPr>
                <w:rFonts w:ascii="Times New Roman" w:eastAsia="Times New Roman" w:hAnsi="Times New Roman" w:cs="Times New Roman"/>
                <w:sz w:val="24"/>
                <w:szCs w:val="24"/>
                <w:lang w:eastAsia="lv-LV"/>
              </w:rPr>
              <w:t>kont</w:t>
            </w:r>
            <w:r w:rsidR="006138DC">
              <w:rPr>
                <w:rFonts w:ascii="Times New Roman" w:eastAsia="Times New Roman" w:hAnsi="Times New Roman" w:cs="Times New Roman"/>
                <w:sz w:val="24"/>
                <w:szCs w:val="24"/>
                <w:lang w:eastAsia="lv-LV"/>
              </w:rPr>
              <w:t>iem</w:t>
            </w:r>
            <w:r w:rsidR="006138DC" w:rsidRPr="004D43CB">
              <w:rPr>
                <w:rFonts w:ascii="Times New Roman" w:eastAsia="Times New Roman" w:hAnsi="Times New Roman" w:cs="Times New Roman"/>
                <w:sz w:val="24"/>
                <w:szCs w:val="24"/>
                <w:lang w:eastAsia="lv-LV"/>
              </w:rPr>
              <w:t xml:space="preserve"> </w:t>
            </w:r>
            <w:r w:rsidR="004D43CB" w:rsidRPr="004D43CB">
              <w:rPr>
                <w:rFonts w:ascii="Times New Roman" w:eastAsia="Times New Roman" w:hAnsi="Times New Roman" w:cs="Times New Roman"/>
                <w:sz w:val="24"/>
                <w:szCs w:val="24"/>
                <w:lang w:eastAsia="lv-LV"/>
              </w:rPr>
              <w:t xml:space="preserve">Valsts kasē un papildus sniegs skaidrojumu par darījuma būtības atšķirībām kopsavilkuma pārskatā par budžeta izpildi iepriekšējā saimnieciskā gadā. Pēc apstiprināšanas, minētie dati tiktu pārnesti uz saimnieciskā gada </w:t>
            </w:r>
            <w:r w:rsidR="004D43CB" w:rsidRPr="004D43CB">
              <w:rPr>
                <w:rFonts w:ascii="Times New Roman" w:eastAsia="Times New Roman" w:hAnsi="Times New Roman" w:cs="Times New Roman"/>
                <w:sz w:val="24"/>
                <w:szCs w:val="24"/>
                <w:lang w:eastAsia="lv-LV"/>
              </w:rPr>
              <w:lastRenderedPageBreak/>
              <w:t xml:space="preserve">budžeta izpildes pārskata veidlapām. </w:t>
            </w:r>
            <w:r w:rsidR="002A1D4E" w:rsidRPr="004D43CB">
              <w:rPr>
                <w:rFonts w:ascii="Times New Roman" w:eastAsia="Times New Roman" w:hAnsi="Times New Roman" w:cs="Times New Roman"/>
                <w:sz w:val="24"/>
                <w:szCs w:val="24"/>
                <w:lang w:eastAsia="lv-LV"/>
              </w:rPr>
              <w:t>Noteiku</w:t>
            </w:r>
            <w:r w:rsidR="002A1D4E" w:rsidRPr="002450A3">
              <w:rPr>
                <w:rFonts w:ascii="Times New Roman" w:eastAsia="Times New Roman" w:hAnsi="Times New Roman" w:cs="Times New Roman"/>
                <w:sz w:val="24"/>
                <w:szCs w:val="24"/>
                <w:lang w:eastAsia="lv-LV"/>
              </w:rPr>
              <w:t xml:space="preserve">mu projektā </w:t>
            </w:r>
            <w:r w:rsidR="0018406A">
              <w:rPr>
                <w:rFonts w:ascii="Times New Roman" w:eastAsia="Times New Roman" w:hAnsi="Times New Roman" w:cs="Times New Roman"/>
                <w:sz w:val="24"/>
                <w:szCs w:val="24"/>
                <w:lang w:eastAsia="lv-LV"/>
              </w:rPr>
              <w:t>noteikts</w:t>
            </w:r>
            <w:r w:rsidR="0018406A" w:rsidRPr="002450A3">
              <w:rPr>
                <w:rFonts w:ascii="Times New Roman" w:eastAsia="Times New Roman" w:hAnsi="Times New Roman" w:cs="Times New Roman"/>
                <w:sz w:val="24"/>
                <w:szCs w:val="24"/>
                <w:lang w:eastAsia="lv-LV"/>
              </w:rPr>
              <w:t xml:space="preserve"> </w:t>
            </w:r>
            <w:r w:rsidR="0018406A">
              <w:rPr>
                <w:rFonts w:ascii="Times New Roman" w:eastAsia="Times New Roman" w:hAnsi="Times New Roman" w:cs="Times New Roman"/>
                <w:sz w:val="24"/>
                <w:szCs w:val="24"/>
                <w:lang w:eastAsia="lv-LV"/>
              </w:rPr>
              <w:t>pārejas periods</w:t>
            </w:r>
            <w:r w:rsidR="002A1D4E" w:rsidRPr="002450A3">
              <w:rPr>
                <w:rFonts w:ascii="Times New Roman" w:eastAsia="Times New Roman" w:hAnsi="Times New Roman" w:cs="Times New Roman"/>
                <w:sz w:val="24"/>
                <w:szCs w:val="24"/>
                <w:lang w:eastAsia="lv-LV"/>
              </w:rPr>
              <w:t>, kas paredz, ka par 2019.gada</w:t>
            </w:r>
            <w:r w:rsidR="005840F3" w:rsidRPr="002450A3">
              <w:rPr>
                <w:rFonts w:ascii="Times New Roman" w:eastAsia="Times New Roman" w:hAnsi="Times New Roman" w:cs="Times New Roman"/>
                <w:sz w:val="24"/>
                <w:szCs w:val="24"/>
                <w:lang w:eastAsia="lv-LV"/>
              </w:rPr>
              <w:t xml:space="preserve"> </w:t>
            </w:r>
            <w:r w:rsidR="002A1D4E" w:rsidRPr="002450A3">
              <w:rPr>
                <w:rFonts w:ascii="Times New Roman" w:eastAsia="Times New Roman" w:hAnsi="Times New Roman" w:cs="Times New Roman"/>
                <w:sz w:val="24"/>
                <w:szCs w:val="24"/>
                <w:lang w:eastAsia="lv-LV"/>
              </w:rPr>
              <w:t xml:space="preserve">decembra mēneša darījumiem </w:t>
            </w:r>
            <w:r w:rsidR="005840F3" w:rsidRPr="002450A3">
              <w:rPr>
                <w:rFonts w:ascii="Times New Roman" w:eastAsia="Times New Roman" w:hAnsi="Times New Roman" w:cs="Times New Roman"/>
                <w:sz w:val="24"/>
                <w:szCs w:val="24"/>
                <w:lang w:eastAsia="lv-LV"/>
              </w:rPr>
              <w:t>pieteikumu par klasifikācijas kodu labošanu vai pieteikumu par darījumu pārgrāmatošanu var</w:t>
            </w:r>
            <w:r w:rsidR="002A1D4E" w:rsidRPr="002450A3">
              <w:rPr>
                <w:rFonts w:ascii="Times New Roman" w:eastAsia="Times New Roman" w:hAnsi="Times New Roman" w:cs="Times New Roman"/>
                <w:sz w:val="24"/>
                <w:szCs w:val="24"/>
                <w:lang w:eastAsia="lv-LV"/>
              </w:rPr>
              <w:t>ēs</w:t>
            </w:r>
            <w:r w:rsidR="005840F3" w:rsidRPr="002450A3">
              <w:rPr>
                <w:rFonts w:ascii="Times New Roman" w:eastAsia="Times New Roman" w:hAnsi="Times New Roman" w:cs="Times New Roman"/>
                <w:sz w:val="24"/>
                <w:szCs w:val="24"/>
                <w:lang w:eastAsia="lv-LV"/>
              </w:rPr>
              <w:t xml:space="preserve"> iesniegt </w:t>
            </w:r>
            <w:r w:rsidR="002A1D4E" w:rsidRPr="002450A3">
              <w:rPr>
                <w:rFonts w:ascii="Times New Roman" w:eastAsia="Times New Roman" w:hAnsi="Times New Roman" w:cs="Times New Roman"/>
                <w:sz w:val="24"/>
                <w:szCs w:val="24"/>
                <w:lang w:eastAsia="lv-LV"/>
              </w:rPr>
              <w:t>līdz 2020.gada</w:t>
            </w:r>
            <w:r w:rsidR="005840F3" w:rsidRPr="002450A3">
              <w:rPr>
                <w:rFonts w:ascii="Times New Roman" w:eastAsia="Times New Roman" w:hAnsi="Times New Roman" w:cs="Times New Roman"/>
                <w:sz w:val="24"/>
                <w:szCs w:val="24"/>
                <w:lang w:eastAsia="lv-LV"/>
              </w:rPr>
              <w:t xml:space="preserve"> gada 8.janvārim elektroniska dokumenta veidā, apliecinātu ar drošu elektronisko parakstu, nosūtot uz Valsts kases oficiālo elektronisko adresi.</w:t>
            </w:r>
            <w:r w:rsidR="002A1D4E" w:rsidRPr="002450A3">
              <w:rPr>
                <w:rFonts w:ascii="Times New Roman" w:eastAsia="Times New Roman" w:hAnsi="Times New Roman" w:cs="Times New Roman"/>
                <w:sz w:val="24"/>
                <w:szCs w:val="24"/>
                <w:lang w:eastAsia="lv-LV"/>
              </w:rPr>
              <w:t xml:space="preserve"> </w:t>
            </w:r>
          </w:p>
          <w:p w14:paraId="1905497D" w14:textId="04BEFCB9" w:rsidR="0054032E" w:rsidRDefault="00AB7A11" w:rsidP="0054032E">
            <w:pPr>
              <w:tabs>
                <w:tab w:val="left" w:pos="1134"/>
              </w:tabs>
              <w:spacing w:after="0" w:line="240" w:lineRule="auto"/>
              <w:ind w:firstLine="516"/>
              <w:jc w:val="both"/>
              <w:rPr>
                <w:rFonts w:ascii="Segoe UI" w:hAnsi="Segoe UI" w:cs="Segoe UI"/>
                <w:color w:val="444444"/>
                <w:sz w:val="20"/>
                <w:szCs w:val="20"/>
              </w:rPr>
            </w:pPr>
            <w:r>
              <w:rPr>
                <w:rFonts w:ascii="Times New Roman" w:eastAsia="Times New Roman" w:hAnsi="Times New Roman" w:cs="Times New Roman"/>
                <w:sz w:val="24"/>
                <w:szCs w:val="24"/>
                <w:lang w:eastAsia="lv-LV"/>
              </w:rPr>
              <w:t>Noteikum</w:t>
            </w:r>
            <w:r w:rsidR="00A01B9F">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nosaka Valsts kasi kā fizisko personu datu apstrādes pārzini sekojošiem </w:t>
            </w:r>
            <w:r w:rsidR="001F4D59">
              <w:rPr>
                <w:rFonts w:ascii="Times New Roman" w:eastAsia="Times New Roman" w:hAnsi="Times New Roman" w:cs="Times New Roman"/>
                <w:sz w:val="24"/>
                <w:szCs w:val="24"/>
                <w:lang w:eastAsia="lv-LV"/>
              </w:rPr>
              <w:t xml:space="preserve">datu apstrādes </w:t>
            </w:r>
            <w:r>
              <w:rPr>
                <w:rFonts w:ascii="Times New Roman" w:eastAsia="Times New Roman" w:hAnsi="Times New Roman" w:cs="Times New Roman"/>
                <w:sz w:val="24"/>
                <w:szCs w:val="24"/>
                <w:lang w:eastAsia="lv-LV"/>
              </w:rPr>
              <w:t>nolūkiem</w:t>
            </w:r>
            <w:r w:rsidR="00BD31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957DCE">
              <w:rPr>
                <w:rFonts w:ascii="Times New Roman" w:eastAsia="Times New Roman" w:hAnsi="Times New Roman" w:cs="Times New Roman"/>
                <w:sz w:val="24"/>
                <w:szCs w:val="24"/>
                <w:lang w:eastAsia="lv-LV"/>
              </w:rPr>
              <w:t>klienta identifikācija</w:t>
            </w:r>
            <w:r w:rsidRPr="00AB7A11">
              <w:rPr>
                <w:rFonts w:ascii="Times New Roman" w:eastAsia="Times New Roman" w:hAnsi="Times New Roman" w:cs="Times New Roman"/>
                <w:sz w:val="24"/>
                <w:szCs w:val="24"/>
                <w:lang w:eastAsia="lv-LV"/>
              </w:rPr>
              <w:t>, pakalpojuma drošības</w:t>
            </w:r>
            <w:r w:rsidR="00957DCE">
              <w:rPr>
                <w:rFonts w:ascii="Times New Roman" w:eastAsia="Times New Roman" w:hAnsi="Times New Roman" w:cs="Times New Roman"/>
                <w:sz w:val="24"/>
                <w:szCs w:val="24"/>
                <w:lang w:eastAsia="lv-LV"/>
              </w:rPr>
              <w:t xml:space="preserve"> nodrošināšana</w:t>
            </w:r>
            <w:r w:rsidRPr="00AB7A11">
              <w:rPr>
                <w:rFonts w:ascii="Times New Roman" w:eastAsia="Times New Roman" w:hAnsi="Times New Roman" w:cs="Times New Roman"/>
                <w:sz w:val="24"/>
                <w:szCs w:val="24"/>
                <w:lang w:eastAsia="lv-LV"/>
              </w:rPr>
              <w:t xml:space="preserve">, kvalitātes </w:t>
            </w:r>
            <w:r>
              <w:rPr>
                <w:rFonts w:ascii="Times New Roman" w:eastAsia="Times New Roman" w:hAnsi="Times New Roman" w:cs="Times New Roman"/>
                <w:sz w:val="24"/>
                <w:szCs w:val="24"/>
                <w:lang w:eastAsia="lv-LV"/>
              </w:rPr>
              <w:t>pilnveidošan</w:t>
            </w:r>
            <w:r w:rsidR="00957D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Pr="00AB7A11">
              <w:rPr>
                <w:rFonts w:ascii="Times New Roman" w:eastAsia="Times New Roman" w:hAnsi="Times New Roman" w:cs="Times New Roman"/>
                <w:sz w:val="24"/>
                <w:szCs w:val="24"/>
                <w:lang w:eastAsia="lv-LV"/>
              </w:rPr>
              <w:t>un</w:t>
            </w:r>
            <w:r w:rsidR="00957DCE">
              <w:rPr>
                <w:rFonts w:ascii="Times New Roman" w:eastAsia="Times New Roman" w:hAnsi="Times New Roman" w:cs="Times New Roman"/>
                <w:sz w:val="24"/>
                <w:szCs w:val="24"/>
                <w:lang w:eastAsia="lv-LV"/>
              </w:rPr>
              <w:t xml:space="preserve"> darījum</w:t>
            </w:r>
            <w:r w:rsidR="00F753BC">
              <w:rPr>
                <w:rFonts w:ascii="Times New Roman" w:eastAsia="Times New Roman" w:hAnsi="Times New Roman" w:cs="Times New Roman"/>
                <w:sz w:val="24"/>
                <w:szCs w:val="24"/>
                <w:lang w:eastAsia="lv-LV"/>
              </w:rPr>
              <w:t>u</w:t>
            </w:r>
            <w:r w:rsidR="00957DCE">
              <w:rPr>
                <w:rFonts w:ascii="Times New Roman" w:eastAsia="Times New Roman" w:hAnsi="Times New Roman" w:cs="Times New Roman"/>
                <w:sz w:val="24"/>
                <w:szCs w:val="24"/>
                <w:lang w:eastAsia="lv-LV"/>
              </w:rPr>
              <w:t xml:space="preserve"> atbilstības uzraudzība</w:t>
            </w:r>
            <w:r w:rsidR="00F753BC">
              <w:rPr>
                <w:rFonts w:ascii="Times New Roman" w:eastAsia="Times New Roman" w:hAnsi="Times New Roman" w:cs="Times New Roman"/>
                <w:sz w:val="24"/>
                <w:szCs w:val="24"/>
                <w:lang w:eastAsia="lv-LV"/>
              </w:rPr>
              <w:t>,</w:t>
            </w:r>
            <w:r w:rsidR="00957DCE">
              <w:rPr>
                <w:rFonts w:ascii="Times New Roman" w:eastAsia="Times New Roman" w:hAnsi="Times New Roman" w:cs="Times New Roman"/>
                <w:sz w:val="24"/>
                <w:szCs w:val="24"/>
                <w:lang w:eastAsia="lv-LV"/>
              </w:rPr>
              <w:t xml:space="preserve"> sniedzot </w:t>
            </w:r>
            <w:r w:rsidR="00701244">
              <w:rPr>
                <w:rFonts w:ascii="Times New Roman" w:hAnsi="Times New Roman" w:cs="Times New Roman"/>
                <w:sz w:val="24"/>
                <w:szCs w:val="24"/>
              </w:rPr>
              <w:t>maksājumu pakalpojumu.</w:t>
            </w:r>
            <w:r w:rsidR="00BD3159">
              <w:rPr>
                <w:rFonts w:ascii="Times New Roman" w:hAnsi="Times New Roman" w:cs="Times New Roman"/>
                <w:sz w:val="24"/>
                <w:szCs w:val="24"/>
              </w:rPr>
              <w:t xml:space="preserve"> Klienta identifikācija</w:t>
            </w:r>
            <w:r w:rsidR="009B6926">
              <w:rPr>
                <w:rFonts w:ascii="Times New Roman" w:hAnsi="Times New Roman" w:cs="Times New Roman"/>
                <w:sz w:val="24"/>
                <w:szCs w:val="24"/>
              </w:rPr>
              <w:t>s dati tik</w:t>
            </w:r>
            <w:r w:rsidR="00F753BC">
              <w:rPr>
                <w:rFonts w:ascii="Times New Roman" w:hAnsi="Times New Roman" w:cs="Times New Roman"/>
                <w:sz w:val="24"/>
                <w:szCs w:val="24"/>
              </w:rPr>
              <w:t>s</w:t>
            </w:r>
            <w:r w:rsidR="009B6926">
              <w:rPr>
                <w:rFonts w:ascii="Times New Roman" w:hAnsi="Times New Roman" w:cs="Times New Roman"/>
                <w:sz w:val="24"/>
                <w:szCs w:val="24"/>
              </w:rPr>
              <w:t xml:space="preserve"> apstrādāti</w:t>
            </w:r>
            <w:r w:rsidR="00BD3159">
              <w:rPr>
                <w:rFonts w:ascii="Times New Roman" w:hAnsi="Times New Roman" w:cs="Times New Roman"/>
                <w:sz w:val="24"/>
                <w:szCs w:val="24"/>
              </w:rPr>
              <w:t xml:space="preserve"> </w:t>
            </w:r>
            <w:r w:rsidR="009B6926">
              <w:rPr>
                <w:rFonts w:ascii="Times New Roman" w:hAnsi="Times New Roman" w:cs="Times New Roman"/>
                <w:sz w:val="24"/>
                <w:szCs w:val="24"/>
              </w:rPr>
              <w:t>tikai</w:t>
            </w:r>
            <w:r w:rsidR="00BD3159">
              <w:rPr>
                <w:rFonts w:ascii="Times New Roman" w:hAnsi="Times New Roman" w:cs="Times New Roman"/>
                <w:sz w:val="24"/>
                <w:szCs w:val="24"/>
              </w:rPr>
              <w:t xml:space="preserve"> </w:t>
            </w:r>
            <w:r w:rsidR="009B6926">
              <w:rPr>
                <w:rFonts w:ascii="Times New Roman" w:hAnsi="Times New Roman" w:cs="Times New Roman"/>
                <w:sz w:val="24"/>
                <w:szCs w:val="24"/>
              </w:rPr>
              <w:t xml:space="preserve">izpildot </w:t>
            </w:r>
            <w:r w:rsidR="00BD3159" w:rsidRPr="00BD3159">
              <w:rPr>
                <w:rFonts w:ascii="Times New Roman" w:hAnsi="Times New Roman" w:cs="Times New Roman"/>
                <w:sz w:val="24"/>
                <w:szCs w:val="24"/>
              </w:rPr>
              <w:t>juridisku pienākum</w:t>
            </w:r>
            <w:r w:rsidR="00F753BC">
              <w:rPr>
                <w:rFonts w:ascii="Times New Roman" w:hAnsi="Times New Roman" w:cs="Times New Roman"/>
                <w:sz w:val="24"/>
                <w:szCs w:val="24"/>
              </w:rPr>
              <w:t>u</w:t>
            </w:r>
            <w:r w:rsidR="009B6926">
              <w:rPr>
                <w:rFonts w:ascii="Times New Roman" w:hAnsi="Times New Roman" w:cs="Times New Roman"/>
                <w:sz w:val="24"/>
                <w:szCs w:val="24"/>
              </w:rPr>
              <w:t xml:space="preserve"> atbilstoši </w:t>
            </w:r>
            <w:r w:rsidR="009B6926" w:rsidRPr="009B6926">
              <w:rPr>
                <w:rFonts w:ascii="Times New Roman" w:hAnsi="Times New Roman" w:cs="Times New Roman"/>
                <w:sz w:val="24"/>
                <w:szCs w:val="24"/>
              </w:rPr>
              <w:t>Maksājumu pakalpojumu un elektroniskās naud</w:t>
            </w:r>
            <w:r w:rsidR="009B6926">
              <w:rPr>
                <w:rFonts w:ascii="Times New Roman" w:hAnsi="Times New Roman" w:cs="Times New Roman"/>
                <w:sz w:val="24"/>
                <w:szCs w:val="24"/>
              </w:rPr>
              <w:t>as likumam</w:t>
            </w:r>
            <w:r w:rsidR="00F753BC">
              <w:rPr>
                <w:rFonts w:ascii="Times New Roman" w:hAnsi="Times New Roman" w:cs="Times New Roman"/>
                <w:sz w:val="24"/>
                <w:szCs w:val="24"/>
              </w:rPr>
              <w:t xml:space="preserve"> un citiem saistošiem normatīvajiem aktiem</w:t>
            </w:r>
            <w:r w:rsidR="009B6926">
              <w:rPr>
                <w:rFonts w:ascii="Times New Roman" w:hAnsi="Times New Roman" w:cs="Times New Roman"/>
                <w:sz w:val="24"/>
                <w:szCs w:val="24"/>
              </w:rPr>
              <w:t>. Pakalpojuma drošība</w:t>
            </w:r>
            <w:r w:rsidR="009B6926" w:rsidRPr="009B6926">
              <w:rPr>
                <w:rFonts w:ascii="Times New Roman" w:hAnsi="Times New Roman" w:cs="Times New Roman"/>
                <w:sz w:val="24"/>
                <w:szCs w:val="24"/>
              </w:rPr>
              <w:t xml:space="preserve"> </w:t>
            </w:r>
            <w:r w:rsidR="009B6926">
              <w:rPr>
                <w:rFonts w:ascii="Times New Roman" w:hAnsi="Times New Roman" w:cs="Times New Roman"/>
                <w:sz w:val="24"/>
                <w:szCs w:val="24"/>
              </w:rPr>
              <w:t>tiek nodrošināta</w:t>
            </w:r>
            <w:r w:rsidR="00F753BC">
              <w:rPr>
                <w:rFonts w:ascii="Times New Roman" w:hAnsi="Times New Roman" w:cs="Times New Roman"/>
                <w:sz w:val="24"/>
                <w:szCs w:val="24"/>
              </w:rPr>
              <w:t>,</w:t>
            </w:r>
            <w:r w:rsidR="009B6926">
              <w:rPr>
                <w:rFonts w:ascii="Times New Roman" w:hAnsi="Times New Roman" w:cs="Times New Roman"/>
                <w:sz w:val="24"/>
                <w:szCs w:val="24"/>
              </w:rPr>
              <w:t xml:space="preserve"> ievērojot Ministru kabineta 2015. gada noteikumus Nr.442 “</w:t>
            </w:r>
            <w:r w:rsidR="009B6926" w:rsidRPr="009B6926">
              <w:rPr>
                <w:rFonts w:ascii="Times New Roman" w:hAnsi="Times New Roman" w:cs="Times New Roman"/>
                <w:sz w:val="24"/>
                <w:szCs w:val="24"/>
              </w:rPr>
              <w:t>Kārtība, kādā tiek nodrošināta informācijas un komunikācijas tehnoloģiju sistēmu atbilstība minimālajām drošības prasībām</w:t>
            </w:r>
            <w:r w:rsidR="009B6926">
              <w:rPr>
                <w:rFonts w:ascii="Times New Roman" w:hAnsi="Times New Roman" w:cs="Times New Roman"/>
                <w:sz w:val="24"/>
                <w:szCs w:val="24"/>
              </w:rPr>
              <w:t>”</w:t>
            </w:r>
            <w:r w:rsidR="006F3039">
              <w:rPr>
                <w:rFonts w:ascii="Times New Roman" w:hAnsi="Times New Roman" w:cs="Times New Roman"/>
                <w:sz w:val="24"/>
                <w:szCs w:val="24"/>
              </w:rPr>
              <w:t>. D</w:t>
            </w:r>
            <w:r w:rsidR="006F3039" w:rsidRPr="006F3039">
              <w:rPr>
                <w:rFonts w:ascii="Times New Roman" w:hAnsi="Times New Roman" w:cs="Times New Roman"/>
                <w:sz w:val="24"/>
                <w:szCs w:val="24"/>
              </w:rPr>
              <w:t>arījum</w:t>
            </w:r>
            <w:r w:rsidR="00F753BC">
              <w:rPr>
                <w:rFonts w:ascii="Times New Roman" w:hAnsi="Times New Roman" w:cs="Times New Roman"/>
                <w:sz w:val="24"/>
                <w:szCs w:val="24"/>
              </w:rPr>
              <w:t>u</w:t>
            </w:r>
            <w:r w:rsidR="006F3039" w:rsidRPr="006F3039">
              <w:rPr>
                <w:rFonts w:ascii="Times New Roman" w:hAnsi="Times New Roman" w:cs="Times New Roman"/>
                <w:sz w:val="24"/>
                <w:szCs w:val="24"/>
              </w:rPr>
              <w:t xml:space="preserve"> atbilstības uzraudzīb</w:t>
            </w:r>
            <w:r w:rsidR="00F753BC">
              <w:rPr>
                <w:rFonts w:ascii="Times New Roman" w:hAnsi="Times New Roman" w:cs="Times New Roman"/>
                <w:sz w:val="24"/>
                <w:szCs w:val="24"/>
              </w:rPr>
              <w:t>ā,</w:t>
            </w:r>
            <w:r w:rsidR="006F3039">
              <w:rPr>
                <w:rFonts w:ascii="Times New Roman" w:hAnsi="Times New Roman" w:cs="Times New Roman"/>
                <w:sz w:val="24"/>
                <w:szCs w:val="24"/>
              </w:rPr>
              <w:t xml:space="preserve"> tur kur tā attiecināma uz fiziskām personām, Valsts kase rīkojas</w:t>
            </w:r>
            <w:r w:rsidR="00F753BC">
              <w:rPr>
                <w:rFonts w:ascii="Times New Roman" w:hAnsi="Times New Roman" w:cs="Times New Roman"/>
                <w:sz w:val="24"/>
                <w:szCs w:val="24"/>
              </w:rPr>
              <w:t>,</w:t>
            </w:r>
            <w:r w:rsidR="006F3039">
              <w:rPr>
                <w:rFonts w:ascii="Times New Roman" w:hAnsi="Times New Roman" w:cs="Times New Roman"/>
                <w:sz w:val="24"/>
                <w:szCs w:val="24"/>
              </w:rPr>
              <w:t xml:space="preserve"> ievērojot vairāku </w:t>
            </w:r>
            <w:r w:rsidR="00F753BC">
              <w:rPr>
                <w:rFonts w:ascii="Times New Roman" w:hAnsi="Times New Roman" w:cs="Times New Roman"/>
                <w:sz w:val="24"/>
                <w:szCs w:val="24"/>
              </w:rPr>
              <w:t>normatīvo aktu</w:t>
            </w:r>
            <w:r w:rsidR="006F3039">
              <w:rPr>
                <w:rFonts w:ascii="Times New Roman" w:hAnsi="Times New Roman" w:cs="Times New Roman"/>
                <w:sz w:val="24"/>
                <w:szCs w:val="24"/>
              </w:rPr>
              <w:t xml:space="preserve"> prasības</w:t>
            </w:r>
            <w:r w:rsidR="00F753BC">
              <w:rPr>
                <w:rFonts w:ascii="Times New Roman" w:hAnsi="Times New Roman" w:cs="Times New Roman"/>
                <w:sz w:val="24"/>
                <w:szCs w:val="24"/>
              </w:rPr>
              <w:t>,</w:t>
            </w:r>
            <w:r w:rsidR="006F3039">
              <w:rPr>
                <w:rFonts w:ascii="Times New Roman" w:hAnsi="Times New Roman" w:cs="Times New Roman"/>
                <w:sz w:val="24"/>
                <w:szCs w:val="24"/>
              </w:rPr>
              <w:t xml:space="preserve"> attiecinot tos pēc būtības sabiedrības interesēs. </w:t>
            </w:r>
            <w:r w:rsidR="0054032E">
              <w:rPr>
                <w:rFonts w:ascii="Times New Roman" w:hAnsi="Times New Roman" w:cs="Times New Roman"/>
                <w:sz w:val="24"/>
                <w:szCs w:val="24"/>
              </w:rPr>
              <w:t>E-pakalpojumos veikto lietotāja darbību pieraksti un balss zvanu ier</w:t>
            </w:r>
            <w:r w:rsidR="00C22255">
              <w:rPr>
                <w:rFonts w:ascii="Times New Roman" w:hAnsi="Times New Roman" w:cs="Times New Roman"/>
                <w:sz w:val="24"/>
                <w:szCs w:val="24"/>
              </w:rPr>
              <w:t>ak</w:t>
            </w:r>
            <w:r w:rsidR="0054032E">
              <w:rPr>
                <w:rFonts w:ascii="Times New Roman" w:hAnsi="Times New Roman" w:cs="Times New Roman"/>
                <w:sz w:val="24"/>
                <w:szCs w:val="24"/>
              </w:rPr>
              <w:t>sti tiek glabāti 18 mēnešus.</w:t>
            </w:r>
          </w:p>
          <w:p w14:paraId="1854E6BE" w14:textId="77777777" w:rsidR="0054032E" w:rsidRDefault="0054032E" w:rsidP="00AD039A">
            <w:pPr>
              <w:tabs>
                <w:tab w:val="left" w:pos="1134"/>
              </w:tabs>
              <w:spacing w:after="0" w:line="240" w:lineRule="auto"/>
              <w:ind w:firstLine="516"/>
              <w:jc w:val="both"/>
              <w:rPr>
                <w:rFonts w:ascii="Times New Roman" w:hAnsi="Times New Roman" w:cs="Times New Roman"/>
                <w:sz w:val="24"/>
                <w:szCs w:val="24"/>
              </w:rPr>
            </w:pPr>
          </w:p>
          <w:p w14:paraId="6D6AA143" w14:textId="3A9B2C94" w:rsidR="0054032E" w:rsidRPr="002450A3" w:rsidRDefault="0054032E" w:rsidP="00AD039A">
            <w:pPr>
              <w:tabs>
                <w:tab w:val="left" w:pos="1134"/>
              </w:tabs>
              <w:spacing w:after="0" w:line="240" w:lineRule="auto"/>
              <w:ind w:firstLine="516"/>
              <w:jc w:val="both"/>
              <w:rPr>
                <w:rFonts w:ascii="Times New Roman" w:eastAsia="Times New Roman" w:hAnsi="Times New Roman" w:cs="Times New Roman"/>
                <w:sz w:val="24"/>
                <w:szCs w:val="24"/>
                <w:lang w:eastAsia="lv-LV"/>
              </w:rPr>
            </w:pPr>
          </w:p>
        </w:tc>
      </w:tr>
      <w:tr w:rsidR="005769D4" w:rsidRPr="002450A3" w14:paraId="0819029E" w14:textId="77777777" w:rsidTr="005F2AC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B7854F0" w14:textId="77777777" w:rsidR="005769D4" w:rsidRPr="002450A3"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725F4E0E"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D426B3E" w14:textId="2D41DFF9" w:rsidR="005769D4" w:rsidRPr="002450A3"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Finanšu ministrija (Valsts kase).</w:t>
            </w:r>
          </w:p>
        </w:tc>
      </w:tr>
      <w:tr w:rsidR="005769D4" w:rsidRPr="002450A3" w14:paraId="5CF20EEF" w14:textId="77777777" w:rsidTr="005F2ACE">
        <w:tc>
          <w:tcPr>
            <w:tcW w:w="309" w:type="pct"/>
            <w:tcBorders>
              <w:top w:val="outset" w:sz="6" w:space="0" w:color="414142"/>
              <w:left w:val="outset" w:sz="6" w:space="0" w:color="414142"/>
              <w:bottom w:val="outset" w:sz="6" w:space="0" w:color="414142"/>
              <w:right w:val="outset" w:sz="6" w:space="0" w:color="414142"/>
            </w:tcBorders>
            <w:hideMark/>
          </w:tcPr>
          <w:p w14:paraId="428619C0" w14:textId="77777777" w:rsidR="005769D4" w:rsidRPr="002450A3"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D96B6FD"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9F6D264" w14:textId="2716EAD1" w:rsidR="005769D4" w:rsidRPr="002450A3" w:rsidRDefault="004008B8" w:rsidP="00220D26">
            <w:pPr>
              <w:autoSpaceDE w:val="0"/>
              <w:autoSpaceDN w:val="0"/>
              <w:adjustRightInd w:val="0"/>
              <w:spacing w:after="0" w:line="240" w:lineRule="auto"/>
              <w:jc w:val="both"/>
              <w:rPr>
                <w:rFonts w:ascii="Times New Roman" w:hAnsi="Times New Roman" w:cs="Times New Roman"/>
                <w:color w:val="000000" w:themeColor="text1"/>
                <w:sz w:val="24"/>
                <w:szCs w:val="24"/>
              </w:rPr>
            </w:pPr>
            <w:r w:rsidRPr="002450A3">
              <w:rPr>
                <w:rFonts w:ascii="Times New Roman" w:hAnsi="Times New Roman" w:cs="Times New Roman"/>
                <w:color w:val="000000" w:themeColor="text1"/>
                <w:sz w:val="24"/>
                <w:szCs w:val="24"/>
              </w:rPr>
              <w:t>Nav</w:t>
            </w:r>
            <w:r w:rsidR="00660DBF" w:rsidRPr="002450A3">
              <w:rPr>
                <w:rFonts w:ascii="Times New Roman" w:hAnsi="Times New Roman" w:cs="Times New Roman"/>
                <w:color w:val="000000" w:themeColor="text1"/>
                <w:sz w:val="24"/>
                <w:szCs w:val="24"/>
              </w:rPr>
              <w:t>.</w:t>
            </w:r>
          </w:p>
        </w:tc>
      </w:tr>
    </w:tbl>
    <w:p w14:paraId="4D33C10A" w14:textId="77777777" w:rsidR="005769D4" w:rsidRPr="002450A3"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5769D4" w:rsidRPr="002450A3" w14:paraId="60EA65CD" w14:textId="77777777" w:rsidTr="002D566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816AC8" w14:textId="77777777" w:rsidR="005769D4" w:rsidRPr="002450A3"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2450A3">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4" w:rsidRPr="002450A3" w14:paraId="3A24B9B2" w14:textId="77777777" w:rsidTr="002D56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505FF0"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757D3454"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F4D78EB" w14:textId="1B7F99BA" w:rsidR="005769D4" w:rsidRPr="002450A3" w:rsidRDefault="00B50B5C" w:rsidP="00B50B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Likumā par budžetu un finanšu vadību</w:t>
            </w:r>
            <w:r w:rsidRPr="002450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noteikto - </w:t>
            </w:r>
            <w:r w:rsidR="001450BD" w:rsidRPr="002450A3">
              <w:rPr>
                <w:rFonts w:ascii="Times New Roman" w:eastAsia="Times New Roman" w:hAnsi="Times New Roman" w:cs="Times New Roman"/>
                <w:sz w:val="24"/>
                <w:szCs w:val="24"/>
                <w:lang w:eastAsia="lv-LV"/>
              </w:rPr>
              <w:t xml:space="preserve">Budžeta finansētas institūcijas, budžeta nefinansētas iestādes, </w:t>
            </w:r>
            <w:r w:rsidR="00635BF8">
              <w:rPr>
                <w:rFonts w:ascii="Times New Roman" w:eastAsia="Times New Roman" w:hAnsi="Times New Roman" w:cs="Times New Roman"/>
                <w:sz w:val="24"/>
                <w:szCs w:val="24"/>
                <w:lang w:eastAsia="lv-LV"/>
              </w:rPr>
              <w:t xml:space="preserve">pašvaldības, </w:t>
            </w:r>
            <w:r w:rsidR="001450BD" w:rsidRPr="002450A3">
              <w:rPr>
                <w:rFonts w:ascii="Times New Roman" w:eastAsia="Times New Roman" w:hAnsi="Times New Roman" w:cs="Times New Roman"/>
                <w:sz w:val="24"/>
                <w:szCs w:val="24"/>
                <w:lang w:eastAsia="lv-LV"/>
              </w:rPr>
              <w:t>zvērināti tiesu izpildītāji un kapitālsabiedrības, kurās ieguldīta valsts vai pašvaldības kapitāla daļa.</w:t>
            </w:r>
          </w:p>
        </w:tc>
      </w:tr>
      <w:tr w:rsidR="005769D4" w:rsidRPr="002450A3" w14:paraId="0E25C37E" w14:textId="77777777" w:rsidTr="002D56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F4B1D7"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F574638"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C5042F6" w14:textId="61DDE6B3" w:rsidR="005769D4" w:rsidRPr="002450A3" w:rsidRDefault="001450BD" w:rsidP="00317CB7">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hAnsi="Times New Roman" w:cs="Times New Roman"/>
                <w:sz w:val="24"/>
                <w:szCs w:val="24"/>
                <w:lang w:eastAsia="lv-LV"/>
              </w:rPr>
              <w:t xml:space="preserve">Tiesiskais regulējums neradīs ietekmi uz tautsaimniecību, bet palielinās administratīvo slogu sabiedrības mērķgrupām, kuras tiesiskais regulējums ietekmē. Proti tiesiskais regulējums noteiks stingrākas prasības klienta, t.sk. klienta pārstāvēttiesīgo un pilnvaroto personu identifikācijā (klientiem, kas vēlēsies dokumentus maksājumu pakalpojuma saņemšanai Valsts kasē iesniegt papīra veidā pašrocīgi parakstītus būs jāierodas klātienē Valsts kases Klientu apkalpošanas centrā personas identifikācijai un parakstu paraugu kartiņas noformēšanai), klientam būs </w:t>
            </w:r>
            <w:r w:rsidRPr="002450A3">
              <w:rPr>
                <w:rFonts w:ascii="Times New Roman" w:hAnsi="Times New Roman" w:cs="Times New Roman"/>
                <w:sz w:val="24"/>
                <w:szCs w:val="24"/>
                <w:lang w:eastAsia="lv-LV"/>
              </w:rPr>
              <w:lastRenderedPageBreak/>
              <w:t>pienākums iesniegt Valsts kasei papildus informāciju un dokumentus, tai skaitā dokumentus, kas apliecina klienta veicamo darījumu pamatotību, lai Valsts kase varētu veikt atbilstošu pārbaudi, ievērojot principu “</w:t>
            </w:r>
            <w:r w:rsidR="00317CB7">
              <w:rPr>
                <w:rFonts w:ascii="Times New Roman" w:hAnsi="Times New Roman" w:cs="Times New Roman"/>
                <w:sz w:val="24"/>
                <w:szCs w:val="24"/>
                <w:lang w:eastAsia="lv-LV"/>
              </w:rPr>
              <w:t>Zini</w:t>
            </w:r>
            <w:r w:rsidR="00A94315" w:rsidRPr="002450A3">
              <w:rPr>
                <w:rFonts w:ascii="Times New Roman" w:hAnsi="Times New Roman" w:cs="Times New Roman"/>
                <w:sz w:val="24"/>
                <w:szCs w:val="24"/>
                <w:lang w:eastAsia="lv-LV"/>
              </w:rPr>
              <w:t xml:space="preserve"> </w:t>
            </w:r>
            <w:r w:rsidRPr="002450A3">
              <w:rPr>
                <w:rFonts w:ascii="Times New Roman" w:hAnsi="Times New Roman" w:cs="Times New Roman"/>
                <w:sz w:val="24"/>
                <w:szCs w:val="24"/>
                <w:lang w:eastAsia="lv-LV"/>
              </w:rPr>
              <w:t>savu klientu”.</w:t>
            </w:r>
          </w:p>
        </w:tc>
      </w:tr>
      <w:tr w:rsidR="005769D4" w:rsidRPr="002450A3" w14:paraId="61D39400" w14:textId="77777777" w:rsidTr="002D56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C9705E"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1FE8BDD0"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EC68B1C" w14:textId="6E2404EC" w:rsidR="005769D4" w:rsidRPr="002450A3" w:rsidRDefault="00A01B9F" w:rsidP="001450BD">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sz w:val="24"/>
                <w:szCs w:val="24"/>
                <w:lang w:eastAsia="lv-LV"/>
              </w:rPr>
              <w:t>Noteikumu projekts šo jomu neskar.</w:t>
            </w:r>
          </w:p>
        </w:tc>
      </w:tr>
      <w:tr w:rsidR="005769D4" w:rsidRPr="002450A3" w14:paraId="603BF56D" w14:textId="77777777" w:rsidTr="002D566A">
        <w:trPr>
          <w:trHeight w:val="408"/>
        </w:trPr>
        <w:tc>
          <w:tcPr>
            <w:tcW w:w="250" w:type="pct"/>
            <w:tcBorders>
              <w:top w:val="outset" w:sz="6" w:space="0" w:color="414142"/>
              <w:left w:val="outset" w:sz="6" w:space="0" w:color="414142"/>
              <w:bottom w:val="outset" w:sz="6" w:space="0" w:color="414142"/>
              <w:right w:val="outset" w:sz="6" w:space="0" w:color="414142"/>
            </w:tcBorders>
          </w:tcPr>
          <w:p w14:paraId="0CE1B43F"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49CC8C1C"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727E2FE" w14:textId="533A1624" w:rsidR="005769D4" w:rsidRPr="002450A3"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sz w:val="24"/>
                <w:szCs w:val="24"/>
                <w:lang w:eastAsia="lv-LV"/>
              </w:rPr>
              <w:t>Noteikumu projekts šo jomu neskar.</w:t>
            </w:r>
          </w:p>
        </w:tc>
      </w:tr>
      <w:tr w:rsidR="005769D4" w:rsidRPr="002450A3" w14:paraId="0DF950ED" w14:textId="77777777" w:rsidTr="002D566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743378D"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68B71E12"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54099080" w14:textId="1B00A796" w:rsidR="005769D4" w:rsidRPr="002450A3"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Nav</w:t>
            </w:r>
            <w:r w:rsidR="00660DBF" w:rsidRPr="002450A3">
              <w:rPr>
                <w:rFonts w:ascii="Times New Roman" w:eastAsia="Times New Roman" w:hAnsi="Times New Roman" w:cs="Times New Roman"/>
                <w:color w:val="000000" w:themeColor="text1"/>
                <w:sz w:val="24"/>
                <w:szCs w:val="24"/>
                <w:lang w:eastAsia="lv-LV"/>
              </w:rPr>
              <w:t>.</w:t>
            </w:r>
          </w:p>
        </w:tc>
      </w:tr>
    </w:tbl>
    <w:p w14:paraId="30A24015" w14:textId="4208CA70" w:rsidR="005769D4" w:rsidRPr="002450A3"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55" w:type="dxa"/>
        <w:jc w:val="center"/>
        <w:tblLayout w:type="fixed"/>
        <w:tblLook w:val="04A0" w:firstRow="1" w:lastRow="0" w:firstColumn="1" w:lastColumn="0" w:noHBand="0" w:noVBand="1"/>
      </w:tblPr>
      <w:tblGrid>
        <w:gridCol w:w="9055"/>
      </w:tblGrid>
      <w:tr w:rsidR="00E26822" w:rsidRPr="002450A3" w14:paraId="33D39E65" w14:textId="77777777" w:rsidTr="005F2ACE">
        <w:trPr>
          <w:jc w:val="center"/>
        </w:trPr>
        <w:tc>
          <w:tcPr>
            <w:tcW w:w="5000" w:type="pct"/>
            <w:hideMark/>
          </w:tcPr>
          <w:p w14:paraId="2B3F3B53" w14:textId="77777777" w:rsidR="00E26822" w:rsidRPr="002450A3" w:rsidRDefault="00E26822" w:rsidP="00220D26">
            <w:pPr>
              <w:rPr>
                <w:rFonts w:eastAsia="Times New Roman" w:cs="Times New Roman"/>
                <w:b/>
                <w:bCs/>
                <w:iCs/>
                <w:color w:val="000000" w:themeColor="text1"/>
                <w:sz w:val="24"/>
                <w:szCs w:val="24"/>
                <w:lang w:eastAsia="lv-LV"/>
              </w:rPr>
            </w:pPr>
            <w:r w:rsidRPr="002450A3">
              <w:rPr>
                <w:rFonts w:eastAsia="Times New Roman" w:cs="Times New Roman"/>
                <w:b/>
                <w:bCs/>
                <w:iCs/>
                <w:color w:val="000000" w:themeColor="text1"/>
                <w:sz w:val="24"/>
                <w:szCs w:val="24"/>
                <w:lang w:eastAsia="lv-LV"/>
              </w:rPr>
              <w:t>III. Tiesību akta projekta ietekme uz valsts budžetu un pašvaldību budžetiem</w:t>
            </w:r>
          </w:p>
        </w:tc>
      </w:tr>
      <w:tr w:rsidR="007B6B9D" w:rsidRPr="002450A3" w14:paraId="295544D3" w14:textId="77777777" w:rsidTr="005F2ACE">
        <w:trPr>
          <w:jc w:val="center"/>
        </w:trPr>
        <w:tc>
          <w:tcPr>
            <w:tcW w:w="5000" w:type="pct"/>
          </w:tcPr>
          <w:p w14:paraId="252F7982" w14:textId="7D40C2FE" w:rsidR="007B6B9D" w:rsidRPr="002450A3" w:rsidRDefault="00331619" w:rsidP="00220D26">
            <w:pPr>
              <w:jc w:val="center"/>
              <w:rPr>
                <w:rFonts w:eastAsia="Times New Roman" w:cs="Times New Roman"/>
                <w:b/>
                <w:bCs/>
                <w:iCs/>
                <w:color w:val="000000" w:themeColor="text1"/>
                <w:sz w:val="24"/>
                <w:szCs w:val="24"/>
                <w:lang w:eastAsia="lv-LV"/>
              </w:rPr>
            </w:pPr>
            <w:r w:rsidRPr="002450A3">
              <w:rPr>
                <w:rFonts w:eastAsia="Times New Roman" w:cs="Times New Roman"/>
                <w:iCs/>
                <w:color w:val="000000" w:themeColor="text1"/>
                <w:sz w:val="24"/>
                <w:szCs w:val="24"/>
                <w:lang w:eastAsia="lv-LV"/>
              </w:rPr>
              <w:t>Projekts šo jomu neskar</w:t>
            </w:r>
            <w:r w:rsidR="00660DBF" w:rsidRPr="002450A3">
              <w:rPr>
                <w:rFonts w:eastAsia="Times New Roman" w:cs="Times New Roman"/>
                <w:iCs/>
                <w:color w:val="000000" w:themeColor="text1"/>
                <w:sz w:val="24"/>
                <w:szCs w:val="24"/>
                <w:lang w:eastAsia="lv-LV"/>
              </w:rPr>
              <w:t>.</w:t>
            </w:r>
          </w:p>
        </w:tc>
      </w:tr>
    </w:tbl>
    <w:p w14:paraId="0D857D19" w14:textId="77777777" w:rsidR="00E26822" w:rsidRPr="002450A3" w:rsidRDefault="00E26822"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55" w:type="dxa"/>
        <w:jc w:val="center"/>
        <w:tblLook w:val="04A0" w:firstRow="1" w:lastRow="0" w:firstColumn="1" w:lastColumn="0" w:noHBand="0" w:noVBand="1"/>
      </w:tblPr>
      <w:tblGrid>
        <w:gridCol w:w="531"/>
        <w:gridCol w:w="2248"/>
        <w:gridCol w:w="6276"/>
      </w:tblGrid>
      <w:tr w:rsidR="005769D4" w:rsidRPr="002450A3" w14:paraId="0641E93B" w14:textId="77777777" w:rsidTr="005F2ACE">
        <w:trPr>
          <w:jc w:val="center"/>
        </w:trPr>
        <w:tc>
          <w:tcPr>
            <w:tcW w:w="9180" w:type="dxa"/>
            <w:gridSpan w:val="3"/>
          </w:tcPr>
          <w:p w14:paraId="5B813101" w14:textId="77777777" w:rsidR="005769D4" w:rsidRPr="002450A3" w:rsidRDefault="005769D4" w:rsidP="00220D26">
            <w:pPr>
              <w:jc w:val="center"/>
              <w:rPr>
                <w:rFonts w:eastAsia="Times New Roman" w:cs="Times New Roman"/>
                <w:color w:val="000000" w:themeColor="text1"/>
                <w:sz w:val="24"/>
                <w:szCs w:val="24"/>
                <w:lang w:eastAsia="lv-LV"/>
              </w:rPr>
            </w:pPr>
            <w:r w:rsidRPr="002450A3">
              <w:rPr>
                <w:rFonts w:eastAsia="Times New Roman" w:cs="Times New Roman"/>
                <w:b/>
                <w:bCs/>
                <w:color w:val="000000" w:themeColor="text1"/>
                <w:sz w:val="24"/>
                <w:szCs w:val="24"/>
                <w:lang w:eastAsia="lv-LV"/>
              </w:rPr>
              <w:t>IV. Tiesību akta projekta ietekme uz spēkā esošo tiesību normu sistēmu</w:t>
            </w:r>
          </w:p>
        </w:tc>
      </w:tr>
      <w:tr w:rsidR="000C19DD" w:rsidRPr="002450A3" w14:paraId="47CFFE8C" w14:textId="77777777" w:rsidTr="005F2ACE">
        <w:trPr>
          <w:jc w:val="center"/>
        </w:trPr>
        <w:tc>
          <w:tcPr>
            <w:tcW w:w="534" w:type="dxa"/>
          </w:tcPr>
          <w:p w14:paraId="06A20D98" w14:textId="194A4F9A"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color w:val="000000" w:themeColor="text1"/>
                <w:sz w:val="24"/>
                <w:szCs w:val="24"/>
                <w:lang w:eastAsia="lv-LV"/>
              </w:rPr>
              <w:t>1.</w:t>
            </w:r>
          </w:p>
        </w:tc>
        <w:tc>
          <w:tcPr>
            <w:tcW w:w="2268" w:type="dxa"/>
          </w:tcPr>
          <w:p w14:paraId="11F026BC" w14:textId="7A4ED09E"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iCs/>
                <w:sz w:val="24"/>
                <w:szCs w:val="24"/>
                <w:lang w:eastAsia="lv-LV"/>
              </w:rPr>
              <w:t>Saistītie tiesību aktu projekti</w:t>
            </w:r>
          </w:p>
        </w:tc>
        <w:tc>
          <w:tcPr>
            <w:tcW w:w="6378" w:type="dxa"/>
          </w:tcPr>
          <w:p w14:paraId="450ABBB6" w14:textId="6BC97156" w:rsidR="000C19DD" w:rsidRPr="002450A3" w:rsidRDefault="004779A3" w:rsidP="00285408">
            <w:pPr>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Līdz ar noteikuma projektu</w:t>
            </w:r>
            <w:r w:rsidRPr="004779A3">
              <w:rPr>
                <w:rFonts w:eastAsia="Times New Roman" w:cs="Times New Roman"/>
                <w:color w:val="000000" w:themeColor="text1"/>
                <w:sz w:val="24"/>
                <w:szCs w:val="24"/>
                <w:lang w:eastAsia="lv-LV"/>
              </w:rPr>
              <w:t xml:space="preserve"> Finanšu ministrijai (Valsts kasei) nepieciešams</w:t>
            </w:r>
            <w:r>
              <w:rPr>
                <w:rFonts w:eastAsia="Times New Roman" w:cs="Times New Roman"/>
                <w:color w:val="000000" w:themeColor="text1"/>
                <w:sz w:val="24"/>
                <w:szCs w:val="24"/>
                <w:lang w:eastAsia="lv-LV"/>
              </w:rPr>
              <w:t xml:space="preserve"> izstrādāt grozījumus </w:t>
            </w:r>
            <w:r w:rsidR="000C19DD" w:rsidRPr="002450A3">
              <w:rPr>
                <w:rFonts w:eastAsia="Times New Roman" w:cs="Times New Roman"/>
                <w:color w:val="000000" w:themeColor="text1"/>
                <w:sz w:val="24"/>
                <w:szCs w:val="24"/>
                <w:lang w:eastAsia="lv-LV"/>
              </w:rPr>
              <w:t>Ministru kabineta 2010.gada 28.decembra noteikum</w:t>
            </w:r>
            <w:r>
              <w:rPr>
                <w:rFonts w:eastAsia="Times New Roman" w:cs="Times New Roman"/>
                <w:color w:val="000000" w:themeColor="text1"/>
                <w:sz w:val="24"/>
                <w:szCs w:val="24"/>
                <w:lang w:eastAsia="lv-LV"/>
              </w:rPr>
              <w:t>os</w:t>
            </w:r>
            <w:r w:rsidR="000C19DD" w:rsidRPr="002450A3">
              <w:rPr>
                <w:rFonts w:eastAsia="Times New Roman" w:cs="Times New Roman"/>
                <w:color w:val="000000" w:themeColor="text1"/>
                <w:sz w:val="24"/>
                <w:szCs w:val="24"/>
                <w:lang w:eastAsia="lv-LV"/>
              </w:rPr>
              <w:t xml:space="preserve"> Nr.1220 “Asignējumu piešķiršanas un izpildes kārtība”</w:t>
            </w:r>
            <w:r w:rsidR="00D753BA" w:rsidRPr="002450A3">
              <w:rPr>
                <w:rFonts w:eastAsia="Times New Roman" w:cs="Times New Roman"/>
                <w:color w:val="000000" w:themeColor="text1"/>
                <w:sz w:val="24"/>
                <w:szCs w:val="24"/>
                <w:lang w:eastAsia="lv-LV"/>
              </w:rPr>
              <w:t>, kuros jāvienādo pieteikumu iesniegšanas termiņš</w:t>
            </w:r>
            <w:r w:rsidR="002C22CA">
              <w:rPr>
                <w:rFonts w:eastAsia="Times New Roman" w:cs="Times New Roman"/>
                <w:color w:val="000000" w:themeColor="text1"/>
                <w:sz w:val="24"/>
                <w:szCs w:val="24"/>
                <w:lang w:eastAsia="lv-LV"/>
              </w:rPr>
              <w:t>, forma un veids</w:t>
            </w:r>
            <w:r w:rsidR="00D753BA" w:rsidRPr="002450A3">
              <w:rPr>
                <w:rFonts w:eastAsia="Times New Roman" w:cs="Times New Roman"/>
                <w:color w:val="000000" w:themeColor="text1"/>
                <w:sz w:val="24"/>
                <w:szCs w:val="24"/>
                <w:lang w:eastAsia="lv-LV"/>
              </w:rPr>
              <w:t xml:space="preserve"> saimnieciskā gada slēguma nodrošināšanai un kopsavilkuma pārskata par budžeta izpildi iepriekšējā saimnieciskajā gadā nodrošināšanas un saskaņošanas termiņš</w:t>
            </w:r>
            <w:r>
              <w:rPr>
                <w:rFonts w:eastAsia="Times New Roman" w:cs="Times New Roman"/>
                <w:color w:val="000000" w:themeColor="text1"/>
                <w:sz w:val="24"/>
                <w:szCs w:val="24"/>
                <w:lang w:eastAsia="lv-LV"/>
              </w:rPr>
              <w:t>, ņemot vērā noteikumu projektā noteikto</w:t>
            </w:r>
            <w:r w:rsidR="00515932">
              <w:rPr>
                <w:rFonts w:eastAsia="Times New Roman" w:cs="Times New Roman"/>
                <w:color w:val="000000" w:themeColor="text1"/>
                <w:sz w:val="24"/>
                <w:szCs w:val="24"/>
                <w:lang w:eastAsia="lv-LV"/>
              </w:rPr>
              <w:t xml:space="preserve"> (</w:t>
            </w:r>
            <w:r w:rsidR="00285408">
              <w:rPr>
                <w:rFonts w:eastAsia="Times New Roman" w:cs="Times New Roman"/>
                <w:color w:val="000000" w:themeColor="text1"/>
                <w:sz w:val="24"/>
                <w:szCs w:val="24"/>
                <w:lang w:eastAsia="lv-LV"/>
              </w:rPr>
              <w:t xml:space="preserve">izsludināts </w:t>
            </w:r>
            <w:r w:rsidR="00515932">
              <w:rPr>
                <w:rFonts w:eastAsia="Times New Roman" w:cs="Times New Roman"/>
                <w:color w:val="000000" w:themeColor="text1"/>
                <w:sz w:val="24"/>
                <w:szCs w:val="24"/>
                <w:lang w:eastAsia="lv-LV"/>
              </w:rPr>
              <w:t>VSS</w:t>
            </w:r>
            <w:r w:rsidR="00285408">
              <w:rPr>
                <w:rFonts w:eastAsia="Times New Roman" w:cs="Times New Roman"/>
                <w:color w:val="000000" w:themeColor="text1"/>
                <w:sz w:val="24"/>
                <w:szCs w:val="24"/>
                <w:lang w:eastAsia="lv-LV"/>
              </w:rPr>
              <w:t xml:space="preserve"> 05.09.2019., protokola Nr.33 5.paragrāfs (VSS-868)</w:t>
            </w:r>
            <w:r w:rsidR="00515932">
              <w:rPr>
                <w:rFonts w:eastAsia="Times New Roman" w:cs="Times New Roman"/>
                <w:color w:val="000000" w:themeColor="text1"/>
                <w:sz w:val="24"/>
                <w:szCs w:val="24"/>
                <w:lang w:eastAsia="lv-LV"/>
              </w:rPr>
              <w:t>)</w:t>
            </w:r>
            <w:r w:rsidR="00D753BA" w:rsidRPr="002450A3">
              <w:rPr>
                <w:rFonts w:eastAsia="Times New Roman" w:cs="Times New Roman"/>
                <w:color w:val="000000" w:themeColor="text1"/>
                <w:sz w:val="24"/>
                <w:szCs w:val="24"/>
                <w:lang w:eastAsia="lv-LV"/>
              </w:rPr>
              <w:t>.</w:t>
            </w:r>
          </w:p>
        </w:tc>
      </w:tr>
      <w:tr w:rsidR="000C19DD" w:rsidRPr="002450A3" w14:paraId="1CBCD9FC" w14:textId="77777777" w:rsidTr="005F2ACE">
        <w:trPr>
          <w:jc w:val="center"/>
        </w:trPr>
        <w:tc>
          <w:tcPr>
            <w:tcW w:w="534" w:type="dxa"/>
          </w:tcPr>
          <w:p w14:paraId="11651B00" w14:textId="54B84A37"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color w:val="000000" w:themeColor="text1"/>
                <w:sz w:val="24"/>
                <w:szCs w:val="24"/>
                <w:lang w:eastAsia="lv-LV"/>
              </w:rPr>
              <w:t>2.</w:t>
            </w:r>
          </w:p>
        </w:tc>
        <w:tc>
          <w:tcPr>
            <w:tcW w:w="2268" w:type="dxa"/>
          </w:tcPr>
          <w:p w14:paraId="6EC9962E" w14:textId="3933BC65"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iCs/>
                <w:sz w:val="24"/>
                <w:szCs w:val="24"/>
                <w:lang w:eastAsia="lv-LV"/>
              </w:rPr>
              <w:t>Atbildīgā institūcija</w:t>
            </w:r>
          </w:p>
        </w:tc>
        <w:tc>
          <w:tcPr>
            <w:tcW w:w="6378" w:type="dxa"/>
          </w:tcPr>
          <w:p w14:paraId="469351FB" w14:textId="4F5EB45D"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color w:val="000000" w:themeColor="text1"/>
                <w:sz w:val="24"/>
                <w:szCs w:val="24"/>
                <w:lang w:eastAsia="lv-LV"/>
              </w:rPr>
              <w:t>Finanšu ministrija (Valsts kase)</w:t>
            </w:r>
          </w:p>
        </w:tc>
      </w:tr>
      <w:tr w:rsidR="000C19DD" w:rsidRPr="002450A3" w14:paraId="31D82627" w14:textId="77777777" w:rsidTr="005F2ACE">
        <w:trPr>
          <w:jc w:val="center"/>
        </w:trPr>
        <w:tc>
          <w:tcPr>
            <w:tcW w:w="534" w:type="dxa"/>
          </w:tcPr>
          <w:p w14:paraId="14035D2F" w14:textId="62697FF8"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color w:val="000000" w:themeColor="text1"/>
                <w:sz w:val="24"/>
                <w:szCs w:val="24"/>
                <w:lang w:eastAsia="lv-LV"/>
              </w:rPr>
              <w:t>3.</w:t>
            </w:r>
          </w:p>
        </w:tc>
        <w:tc>
          <w:tcPr>
            <w:tcW w:w="2268" w:type="dxa"/>
          </w:tcPr>
          <w:p w14:paraId="601A963C" w14:textId="2FEA3538"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iCs/>
                <w:sz w:val="24"/>
                <w:szCs w:val="24"/>
                <w:lang w:eastAsia="lv-LV"/>
              </w:rPr>
              <w:t>Cita informācija</w:t>
            </w:r>
          </w:p>
        </w:tc>
        <w:tc>
          <w:tcPr>
            <w:tcW w:w="6378" w:type="dxa"/>
          </w:tcPr>
          <w:p w14:paraId="7702648B" w14:textId="63A7ACBC" w:rsidR="000C19DD" w:rsidRPr="002450A3" w:rsidRDefault="000C19DD" w:rsidP="000C19DD">
            <w:pPr>
              <w:rPr>
                <w:rFonts w:eastAsia="Times New Roman" w:cs="Times New Roman"/>
                <w:color w:val="000000" w:themeColor="text1"/>
                <w:sz w:val="24"/>
                <w:szCs w:val="24"/>
                <w:lang w:eastAsia="lv-LV"/>
              </w:rPr>
            </w:pPr>
            <w:r w:rsidRPr="002450A3">
              <w:rPr>
                <w:rFonts w:eastAsia="Times New Roman" w:cs="Times New Roman"/>
                <w:color w:val="000000" w:themeColor="text1"/>
                <w:sz w:val="24"/>
                <w:szCs w:val="24"/>
                <w:lang w:eastAsia="lv-LV"/>
              </w:rPr>
              <w:t>Nav.</w:t>
            </w:r>
          </w:p>
        </w:tc>
      </w:tr>
    </w:tbl>
    <w:p w14:paraId="378E2117" w14:textId="34BBFEE7" w:rsidR="00A14480" w:rsidRPr="002450A3" w:rsidRDefault="00A14480" w:rsidP="00220D26">
      <w:pPr>
        <w:spacing w:after="0" w:line="240" w:lineRule="auto"/>
        <w:rPr>
          <w:rFonts w:ascii="Times New Roman" w:eastAsia="Times New Roman" w:hAnsi="Times New Roman" w:cs="Times New Roman"/>
          <w:color w:val="000000" w:themeColor="text1"/>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2ACE" w:rsidRPr="008F1960" w14:paraId="6D62ED06" w14:textId="77777777" w:rsidTr="005F2ACE">
        <w:tc>
          <w:tcPr>
            <w:tcW w:w="9064" w:type="dxa"/>
            <w:tcBorders>
              <w:top w:val="outset" w:sz="6" w:space="0" w:color="414142"/>
              <w:left w:val="outset" w:sz="6" w:space="0" w:color="414142"/>
              <w:bottom w:val="outset" w:sz="6" w:space="0" w:color="414142"/>
              <w:right w:val="outset" w:sz="6" w:space="0" w:color="414142"/>
            </w:tcBorders>
            <w:vAlign w:val="center"/>
            <w:hideMark/>
          </w:tcPr>
          <w:p w14:paraId="33B2CCAE" w14:textId="77777777" w:rsidR="005F2ACE" w:rsidRPr="008F1960" w:rsidRDefault="005F2ACE" w:rsidP="00E61A1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F1960">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317CB7" w:rsidRPr="00317CB7" w14:paraId="1B89CBBF" w14:textId="77777777" w:rsidTr="00E61A18">
        <w:tc>
          <w:tcPr>
            <w:tcW w:w="9064" w:type="dxa"/>
            <w:tcBorders>
              <w:top w:val="outset" w:sz="6" w:space="0" w:color="414142"/>
              <w:left w:val="outset" w:sz="6" w:space="0" w:color="414142"/>
              <w:bottom w:val="outset" w:sz="6" w:space="0" w:color="414142"/>
              <w:right w:val="outset" w:sz="6" w:space="0" w:color="414142"/>
            </w:tcBorders>
          </w:tcPr>
          <w:p w14:paraId="2DD6911D" w14:textId="1B094152" w:rsidR="00317CB7" w:rsidRPr="00317CB7" w:rsidRDefault="00317CB7" w:rsidP="00317CB7">
            <w:pPr>
              <w:spacing w:after="0" w:line="240" w:lineRule="auto"/>
              <w:jc w:val="center"/>
              <w:rPr>
                <w:rFonts w:ascii="Times New Roman" w:eastAsia="Times New Roman" w:hAnsi="Times New Roman" w:cs="Times New Roman"/>
                <w:color w:val="414142"/>
                <w:sz w:val="24"/>
                <w:szCs w:val="24"/>
                <w:lang w:eastAsia="lv-LV"/>
              </w:rPr>
            </w:pPr>
            <w:r w:rsidRPr="00317CB7">
              <w:rPr>
                <w:rFonts w:ascii="Times New Roman" w:eastAsia="Times New Roman" w:hAnsi="Times New Roman" w:cs="Times New Roman"/>
                <w:iCs/>
                <w:color w:val="000000" w:themeColor="text1"/>
                <w:sz w:val="24"/>
                <w:szCs w:val="24"/>
                <w:lang w:eastAsia="lv-LV"/>
              </w:rPr>
              <w:t>Projekts šo jomu neskar.</w:t>
            </w:r>
          </w:p>
        </w:tc>
      </w:tr>
    </w:tbl>
    <w:p w14:paraId="32335C7B" w14:textId="77777777" w:rsidR="00F3758E" w:rsidRPr="002450A3" w:rsidRDefault="00F3758E" w:rsidP="00220D26">
      <w:pPr>
        <w:spacing w:after="0" w:line="240" w:lineRule="auto"/>
        <w:rPr>
          <w:rFonts w:ascii="Times New Roman" w:eastAsia="Times New Roman" w:hAnsi="Times New Roman" w:cs="Times New Roman"/>
          <w:color w:val="000000" w:themeColor="text1"/>
          <w:sz w:val="24"/>
          <w:szCs w:val="24"/>
          <w:lang w:eastAsia="lv-LV"/>
        </w:rPr>
      </w:pPr>
    </w:p>
    <w:tbl>
      <w:tblPr>
        <w:tblW w:w="9055" w:type="dxa"/>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9"/>
        <w:gridCol w:w="1791"/>
        <w:gridCol w:w="6695"/>
      </w:tblGrid>
      <w:tr w:rsidR="005769D4" w:rsidRPr="002450A3" w14:paraId="428FAFFD" w14:textId="77777777" w:rsidTr="005F2AC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4F0C18" w14:textId="77777777" w:rsidR="005769D4" w:rsidRPr="002450A3"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2450A3">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769D4" w:rsidRPr="002450A3" w14:paraId="44E03BE5" w14:textId="77777777" w:rsidTr="005F2ACE">
        <w:trPr>
          <w:trHeight w:val="432"/>
          <w:jc w:val="center"/>
        </w:trPr>
        <w:tc>
          <w:tcPr>
            <w:tcW w:w="314" w:type="pct"/>
            <w:tcBorders>
              <w:top w:val="outset" w:sz="6" w:space="0" w:color="414142"/>
              <w:left w:val="outset" w:sz="6" w:space="0" w:color="414142"/>
              <w:bottom w:val="outset" w:sz="6" w:space="0" w:color="414142"/>
              <w:right w:val="outset" w:sz="6" w:space="0" w:color="414142"/>
            </w:tcBorders>
            <w:hideMark/>
          </w:tcPr>
          <w:p w14:paraId="1D5F4A63"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1.</w:t>
            </w:r>
          </w:p>
        </w:tc>
        <w:tc>
          <w:tcPr>
            <w:tcW w:w="989" w:type="pct"/>
            <w:tcBorders>
              <w:top w:val="outset" w:sz="6" w:space="0" w:color="414142"/>
              <w:left w:val="outset" w:sz="6" w:space="0" w:color="414142"/>
              <w:bottom w:val="outset" w:sz="6" w:space="0" w:color="414142"/>
              <w:right w:val="outset" w:sz="6" w:space="0" w:color="414142"/>
            </w:tcBorders>
            <w:hideMark/>
          </w:tcPr>
          <w:p w14:paraId="6BB58AC2"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697" w:type="pct"/>
            <w:tcBorders>
              <w:top w:val="outset" w:sz="6" w:space="0" w:color="414142"/>
              <w:left w:val="outset" w:sz="6" w:space="0" w:color="414142"/>
              <w:bottom w:val="outset" w:sz="6" w:space="0" w:color="414142"/>
              <w:right w:val="outset" w:sz="6" w:space="0" w:color="414142"/>
            </w:tcBorders>
          </w:tcPr>
          <w:p w14:paraId="45E7E671" w14:textId="561AB935" w:rsidR="005769D4" w:rsidRPr="002450A3" w:rsidRDefault="00C40292" w:rsidP="00EC35B9">
            <w:pPr>
              <w:tabs>
                <w:tab w:val="left" w:pos="1425"/>
              </w:tabs>
              <w:spacing w:after="0" w:line="240" w:lineRule="auto"/>
              <w:jc w:val="both"/>
              <w:rPr>
                <w:rFonts w:ascii="Times New Roman" w:hAnsi="Times New Roman" w:cs="Times New Roman"/>
                <w:color w:val="000000" w:themeColor="text1"/>
                <w:sz w:val="24"/>
                <w:szCs w:val="24"/>
              </w:rPr>
            </w:pPr>
            <w:r w:rsidRPr="002450A3">
              <w:rPr>
                <w:rFonts w:ascii="Times New Roman" w:hAnsi="Times New Roman" w:cs="Times New Roman"/>
                <w:color w:val="000000" w:themeColor="text1"/>
                <w:sz w:val="24"/>
                <w:szCs w:val="24"/>
              </w:rPr>
              <w:t>Informācija par noteikumu projektu ir publicēta Finanšu ministrijas tīmekļa vietnē www.fm.gov.lv un</w:t>
            </w:r>
            <w:r w:rsidR="00660DBF" w:rsidRPr="002450A3">
              <w:rPr>
                <w:rFonts w:ascii="Times New Roman" w:hAnsi="Times New Roman" w:cs="Times New Roman"/>
                <w:color w:val="000000" w:themeColor="text1"/>
                <w:sz w:val="24"/>
                <w:szCs w:val="24"/>
              </w:rPr>
              <w:t xml:space="preserve"> </w:t>
            </w:r>
            <w:r w:rsidRPr="002450A3">
              <w:rPr>
                <w:rFonts w:ascii="Times New Roman" w:hAnsi="Times New Roman" w:cs="Times New Roman"/>
                <w:color w:val="000000" w:themeColor="text1"/>
                <w:sz w:val="24"/>
                <w:szCs w:val="24"/>
              </w:rPr>
              <w:t xml:space="preserve">Valsts kases tīmekļa vietnē “Sabiedrības līdzdalība”. Sabiedrības pārstāvji var līdzdarboties projekta izstrādē un varēs sniegt viedokļus par </w:t>
            </w:r>
            <w:r w:rsidR="00660DBF" w:rsidRPr="002450A3">
              <w:rPr>
                <w:rFonts w:ascii="Times New Roman" w:hAnsi="Times New Roman" w:cs="Times New Roman"/>
                <w:color w:val="000000" w:themeColor="text1"/>
                <w:sz w:val="24"/>
                <w:szCs w:val="24"/>
              </w:rPr>
              <w:t xml:space="preserve">noteikumu </w:t>
            </w:r>
            <w:r w:rsidRPr="002450A3">
              <w:rPr>
                <w:rFonts w:ascii="Times New Roman" w:hAnsi="Times New Roman" w:cs="Times New Roman"/>
                <w:color w:val="000000" w:themeColor="text1"/>
                <w:sz w:val="24"/>
                <w:szCs w:val="24"/>
              </w:rPr>
              <w:t>projektu</w:t>
            </w:r>
            <w:r w:rsidR="00660DBF" w:rsidRPr="002450A3">
              <w:rPr>
                <w:rFonts w:ascii="Times New Roman" w:hAnsi="Times New Roman" w:cs="Times New Roman"/>
                <w:color w:val="000000" w:themeColor="text1"/>
                <w:sz w:val="24"/>
                <w:szCs w:val="24"/>
              </w:rPr>
              <w:t xml:space="preserve"> </w:t>
            </w:r>
            <w:r w:rsidRPr="002450A3">
              <w:rPr>
                <w:rFonts w:ascii="Times New Roman" w:hAnsi="Times New Roman" w:cs="Times New Roman"/>
                <w:color w:val="000000" w:themeColor="text1"/>
                <w:sz w:val="24"/>
                <w:szCs w:val="24"/>
              </w:rPr>
              <w:t>pēc tā izsludināšanas Valsts sekretāru sanāksmē.</w:t>
            </w:r>
          </w:p>
        </w:tc>
      </w:tr>
      <w:tr w:rsidR="005769D4" w:rsidRPr="002450A3" w14:paraId="0D123689" w14:textId="77777777" w:rsidTr="005F2ACE">
        <w:trPr>
          <w:trHeight w:val="264"/>
          <w:jc w:val="center"/>
        </w:trPr>
        <w:tc>
          <w:tcPr>
            <w:tcW w:w="314" w:type="pct"/>
            <w:tcBorders>
              <w:top w:val="outset" w:sz="6" w:space="0" w:color="414142"/>
              <w:left w:val="outset" w:sz="6" w:space="0" w:color="414142"/>
              <w:bottom w:val="outset" w:sz="6" w:space="0" w:color="414142"/>
              <w:right w:val="outset" w:sz="6" w:space="0" w:color="414142"/>
            </w:tcBorders>
            <w:hideMark/>
          </w:tcPr>
          <w:p w14:paraId="69669190"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2.</w:t>
            </w:r>
          </w:p>
        </w:tc>
        <w:tc>
          <w:tcPr>
            <w:tcW w:w="989" w:type="pct"/>
            <w:tcBorders>
              <w:top w:val="outset" w:sz="6" w:space="0" w:color="414142"/>
              <w:left w:val="outset" w:sz="6" w:space="0" w:color="414142"/>
              <w:bottom w:val="outset" w:sz="6" w:space="0" w:color="414142"/>
              <w:right w:val="outset" w:sz="6" w:space="0" w:color="414142"/>
            </w:tcBorders>
            <w:hideMark/>
          </w:tcPr>
          <w:p w14:paraId="1EEB2532"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Sabiedrības līdzdalība projekta izstrādē</w:t>
            </w:r>
          </w:p>
        </w:tc>
        <w:tc>
          <w:tcPr>
            <w:tcW w:w="3697" w:type="pct"/>
            <w:tcBorders>
              <w:top w:val="outset" w:sz="6" w:space="0" w:color="414142"/>
              <w:left w:val="outset" w:sz="6" w:space="0" w:color="414142"/>
              <w:bottom w:val="outset" w:sz="6" w:space="0" w:color="414142"/>
              <w:right w:val="outset" w:sz="6" w:space="0" w:color="414142"/>
            </w:tcBorders>
          </w:tcPr>
          <w:p w14:paraId="6D6D16D7" w14:textId="144B7FA9" w:rsidR="005769D4" w:rsidRPr="002450A3" w:rsidRDefault="00F3758E" w:rsidP="00F84903">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2019.gada 17</w:t>
            </w:r>
            <w:r w:rsidR="00C40292" w:rsidRPr="002450A3">
              <w:rPr>
                <w:rFonts w:ascii="Times New Roman" w:eastAsia="Times New Roman" w:hAnsi="Times New Roman" w:cs="Times New Roman"/>
                <w:color w:val="000000" w:themeColor="text1"/>
                <w:sz w:val="24"/>
                <w:szCs w:val="24"/>
                <w:lang w:eastAsia="lv-LV"/>
              </w:rPr>
              <w:t>.jūni</w:t>
            </w:r>
            <w:r w:rsidR="00FA5C8C" w:rsidRPr="002450A3">
              <w:rPr>
                <w:rFonts w:ascii="Times New Roman" w:eastAsia="Times New Roman" w:hAnsi="Times New Roman" w:cs="Times New Roman"/>
                <w:color w:val="000000" w:themeColor="text1"/>
                <w:sz w:val="24"/>
                <w:szCs w:val="24"/>
                <w:lang w:eastAsia="lv-LV"/>
              </w:rPr>
              <w:t xml:space="preserve">jā uzziņa par noteikumu </w:t>
            </w:r>
            <w:r w:rsidR="00C40292" w:rsidRPr="002450A3">
              <w:rPr>
                <w:rFonts w:ascii="Times New Roman" w:eastAsia="Times New Roman" w:hAnsi="Times New Roman" w:cs="Times New Roman"/>
                <w:color w:val="000000" w:themeColor="text1"/>
                <w:sz w:val="24"/>
                <w:szCs w:val="24"/>
                <w:lang w:eastAsia="lv-LV"/>
              </w:rPr>
              <w:t>projekt</w:t>
            </w:r>
            <w:r w:rsidR="00FA5C8C" w:rsidRPr="002450A3">
              <w:rPr>
                <w:rFonts w:ascii="Times New Roman" w:eastAsia="Times New Roman" w:hAnsi="Times New Roman" w:cs="Times New Roman"/>
                <w:color w:val="000000" w:themeColor="text1"/>
                <w:sz w:val="24"/>
                <w:szCs w:val="24"/>
                <w:lang w:eastAsia="lv-LV"/>
              </w:rPr>
              <w:t>u</w:t>
            </w:r>
            <w:r w:rsidR="00C40292" w:rsidRPr="002450A3">
              <w:rPr>
                <w:rFonts w:ascii="Times New Roman" w:eastAsia="Times New Roman" w:hAnsi="Times New Roman" w:cs="Times New Roman"/>
                <w:color w:val="000000" w:themeColor="text1"/>
                <w:sz w:val="24"/>
                <w:szCs w:val="24"/>
                <w:lang w:eastAsia="lv-LV"/>
              </w:rPr>
              <w:t xml:space="preserve"> publiskai apspriešanai tik</w:t>
            </w:r>
            <w:r w:rsidR="00FA5C8C" w:rsidRPr="002450A3">
              <w:rPr>
                <w:rFonts w:ascii="Times New Roman" w:eastAsia="Times New Roman" w:hAnsi="Times New Roman" w:cs="Times New Roman"/>
                <w:color w:val="000000" w:themeColor="text1"/>
                <w:sz w:val="24"/>
                <w:szCs w:val="24"/>
                <w:lang w:eastAsia="lv-LV"/>
              </w:rPr>
              <w:t>a</w:t>
            </w:r>
            <w:r w:rsidR="00C40292" w:rsidRPr="002450A3">
              <w:rPr>
                <w:rFonts w:ascii="Times New Roman" w:eastAsia="Times New Roman" w:hAnsi="Times New Roman" w:cs="Times New Roman"/>
                <w:color w:val="000000" w:themeColor="text1"/>
                <w:sz w:val="24"/>
                <w:szCs w:val="24"/>
                <w:lang w:eastAsia="lv-LV"/>
              </w:rPr>
              <w:t xml:space="preserve"> publicēt</w:t>
            </w:r>
            <w:r w:rsidR="00FA5C8C" w:rsidRPr="002450A3">
              <w:rPr>
                <w:rFonts w:ascii="Times New Roman" w:eastAsia="Times New Roman" w:hAnsi="Times New Roman" w:cs="Times New Roman"/>
                <w:color w:val="000000" w:themeColor="text1"/>
                <w:sz w:val="24"/>
                <w:szCs w:val="24"/>
                <w:lang w:eastAsia="lv-LV"/>
              </w:rPr>
              <w:t>a</w:t>
            </w:r>
            <w:r w:rsidR="00C40292" w:rsidRPr="002450A3">
              <w:rPr>
                <w:rFonts w:ascii="Times New Roman" w:eastAsia="Times New Roman" w:hAnsi="Times New Roman" w:cs="Times New Roman"/>
                <w:color w:val="000000" w:themeColor="text1"/>
                <w:sz w:val="24"/>
                <w:szCs w:val="24"/>
                <w:lang w:eastAsia="lv-LV"/>
              </w:rPr>
              <w:t xml:space="preserve"> Finanšu ministrijas tīmekļa vietnē</w:t>
            </w:r>
            <w:r w:rsidR="00501F13" w:rsidRPr="002450A3">
              <w:rPr>
                <w:rFonts w:ascii="Times New Roman" w:hAnsi="Times New Roman" w:cs="Times New Roman"/>
                <w:color w:val="000000" w:themeColor="text1"/>
                <w:sz w:val="24"/>
                <w:szCs w:val="24"/>
              </w:rPr>
              <w:t xml:space="preserve"> sadaļā</w:t>
            </w:r>
            <w:r w:rsidR="00FA5C8C" w:rsidRPr="002450A3">
              <w:rPr>
                <w:rFonts w:ascii="Times New Roman" w:hAnsi="Times New Roman" w:cs="Times New Roman"/>
                <w:color w:val="000000" w:themeColor="text1"/>
                <w:sz w:val="24"/>
                <w:szCs w:val="24"/>
              </w:rPr>
              <w:t xml:space="preserve"> </w:t>
            </w:r>
            <w:r w:rsidR="00C40292" w:rsidRPr="002450A3">
              <w:rPr>
                <w:rFonts w:ascii="Times New Roman" w:eastAsia="Times New Roman" w:hAnsi="Times New Roman" w:cs="Times New Roman"/>
                <w:color w:val="000000" w:themeColor="text1"/>
                <w:sz w:val="24"/>
                <w:szCs w:val="24"/>
                <w:lang w:eastAsia="lv-LV"/>
              </w:rPr>
              <w:t xml:space="preserve"> “Sabiedrības līdzdalība” – “Tiesību aktu projekti” –“Valsts budžeta </w:t>
            </w:r>
            <w:r w:rsidR="0053418E">
              <w:rPr>
                <w:rFonts w:ascii="Times New Roman" w:eastAsia="Times New Roman" w:hAnsi="Times New Roman" w:cs="Times New Roman"/>
                <w:color w:val="000000" w:themeColor="text1"/>
                <w:sz w:val="24"/>
                <w:szCs w:val="24"/>
                <w:lang w:eastAsia="lv-LV"/>
              </w:rPr>
              <w:t>politika”, adrese</w:t>
            </w:r>
            <w:r w:rsidR="007073FD">
              <w:rPr>
                <w:rFonts w:ascii="Times New Roman" w:eastAsia="Times New Roman" w:hAnsi="Times New Roman" w:cs="Times New Roman"/>
                <w:color w:val="000000" w:themeColor="text1"/>
                <w:sz w:val="24"/>
                <w:szCs w:val="24"/>
                <w:lang w:eastAsia="lv-LV"/>
              </w:rPr>
              <w:t xml:space="preserve">: </w:t>
            </w:r>
            <w:hyperlink r:id="rId12" w:anchor="project574" w:history="1">
              <w:r w:rsidR="007073FD" w:rsidRPr="00055443">
                <w:rPr>
                  <w:rStyle w:val="Hyperlink"/>
                  <w:rFonts w:ascii="Times New Roman" w:hAnsi="Times New Roman" w:cs="Times New Roman"/>
                  <w:sz w:val="24"/>
                  <w:szCs w:val="24"/>
                </w:rPr>
                <w:t>https://www.fm.gov.lv/lv/sabiedribas_lidzdaliba/tiesibu_aktu_projekti/valsts_budzeta_politika#project574</w:t>
              </w:r>
            </w:hyperlink>
            <w:r w:rsidR="00501F13" w:rsidRPr="00D03BA2">
              <w:rPr>
                <w:rFonts w:ascii="Times New Roman" w:eastAsia="Times New Roman" w:hAnsi="Times New Roman" w:cs="Times New Roman"/>
                <w:color w:val="000000" w:themeColor="text1"/>
                <w:sz w:val="24"/>
                <w:szCs w:val="24"/>
                <w:lang w:eastAsia="lv-LV"/>
              </w:rPr>
              <w:t>,</w:t>
            </w:r>
            <w:r w:rsidR="006746B8" w:rsidRPr="00D03BA2">
              <w:rPr>
                <w:rFonts w:ascii="Times New Roman" w:eastAsia="Times New Roman" w:hAnsi="Times New Roman" w:cs="Times New Roman"/>
                <w:color w:val="000000" w:themeColor="text1"/>
                <w:sz w:val="24"/>
                <w:szCs w:val="24"/>
                <w:lang w:eastAsia="lv-LV"/>
              </w:rPr>
              <w:t xml:space="preserve"> </w:t>
            </w:r>
            <w:r w:rsidR="00501F13" w:rsidRPr="00D03BA2">
              <w:rPr>
                <w:rFonts w:ascii="Times New Roman" w:eastAsia="Times New Roman" w:hAnsi="Times New Roman" w:cs="Times New Roman"/>
                <w:color w:val="000000" w:themeColor="text1"/>
                <w:sz w:val="24"/>
                <w:szCs w:val="24"/>
                <w:lang w:eastAsia="lv-LV"/>
              </w:rPr>
              <w:t>k</w:t>
            </w:r>
            <w:r w:rsidR="00501F13" w:rsidRPr="002450A3">
              <w:rPr>
                <w:rFonts w:ascii="Times New Roman" w:eastAsia="Times New Roman" w:hAnsi="Times New Roman" w:cs="Times New Roman"/>
                <w:color w:val="000000" w:themeColor="text1"/>
                <w:sz w:val="24"/>
                <w:szCs w:val="24"/>
                <w:lang w:eastAsia="lv-LV"/>
              </w:rPr>
              <w:t xml:space="preserve">ā arī Valsts kancelejas </w:t>
            </w:r>
            <w:r w:rsidR="00501F13" w:rsidRPr="002450A3">
              <w:rPr>
                <w:rFonts w:ascii="Times New Roman" w:eastAsia="Times New Roman" w:hAnsi="Times New Roman" w:cs="Times New Roman"/>
                <w:color w:val="000000" w:themeColor="text1"/>
                <w:sz w:val="24"/>
                <w:szCs w:val="24"/>
                <w:lang w:eastAsia="lv-LV"/>
              </w:rPr>
              <w:lastRenderedPageBreak/>
              <w:t xml:space="preserve">tīmekļa vietnē sadaļā “Sabiedrības līdzdalība”, adrese: </w:t>
            </w:r>
            <w:hyperlink r:id="rId13" w:history="1">
              <w:r w:rsidR="00501F13" w:rsidRPr="002450A3">
                <w:rPr>
                  <w:rStyle w:val="Hyperlink"/>
                  <w:rFonts w:ascii="Times New Roman" w:hAnsi="Times New Roman" w:cs="Times New Roman"/>
                  <w:sz w:val="24"/>
                  <w:szCs w:val="24"/>
                </w:rPr>
                <w:t>https://www.mk.gov.lv/content/ministru-kabineta-diskusiju-dokumenti</w:t>
              </w:r>
            </w:hyperlink>
            <w:r w:rsidR="00501F13" w:rsidRPr="002450A3">
              <w:rPr>
                <w:rFonts w:ascii="Times New Roman" w:hAnsi="Times New Roman" w:cs="Times New Roman"/>
                <w:sz w:val="24"/>
                <w:szCs w:val="24"/>
              </w:rPr>
              <w:t xml:space="preserve"> un</w:t>
            </w:r>
            <w:r w:rsidR="006746B8" w:rsidRPr="002450A3">
              <w:rPr>
                <w:rFonts w:ascii="Times New Roman" w:eastAsia="Times New Roman" w:hAnsi="Times New Roman" w:cs="Times New Roman"/>
                <w:color w:val="000000" w:themeColor="text1"/>
                <w:sz w:val="24"/>
                <w:szCs w:val="24"/>
                <w:lang w:eastAsia="lv-LV"/>
              </w:rPr>
              <w:t xml:space="preserve"> </w:t>
            </w:r>
            <w:r w:rsidR="00C40292" w:rsidRPr="002450A3">
              <w:rPr>
                <w:rFonts w:ascii="Times New Roman" w:eastAsia="Times New Roman" w:hAnsi="Times New Roman" w:cs="Times New Roman"/>
                <w:color w:val="000000" w:themeColor="text1"/>
                <w:sz w:val="24"/>
                <w:szCs w:val="24"/>
                <w:lang w:eastAsia="lv-LV"/>
              </w:rPr>
              <w:t>Valsts kases tīmekļ</w:t>
            </w:r>
            <w:r w:rsidR="00501F13" w:rsidRPr="002450A3">
              <w:rPr>
                <w:rFonts w:ascii="Times New Roman" w:eastAsia="Times New Roman" w:hAnsi="Times New Roman" w:cs="Times New Roman"/>
                <w:color w:val="000000" w:themeColor="text1"/>
                <w:sz w:val="24"/>
                <w:szCs w:val="24"/>
                <w:lang w:eastAsia="lv-LV"/>
              </w:rPr>
              <w:t xml:space="preserve">a </w:t>
            </w:r>
            <w:r w:rsidR="006746B8" w:rsidRPr="002450A3">
              <w:rPr>
                <w:rFonts w:ascii="Times New Roman" w:eastAsia="Times New Roman" w:hAnsi="Times New Roman" w:cs="Times New Roman"/>
                <w:color w:val="000000" w:themeColor="text1"/>
                <w:sz w:val="24"/>
                <w:szCs w:val="24"/>
                <w:lang w:eastAsia="lv-LV"/>
              </w:rPr>
              <w:t>vietnē sadaļā</w:t>
            </w:r>
            <w:r w:rsidR="00C40292" w:rsidRPr="002450A3">
              <w:rPr>
                <w:rFonts w:ascii="Times New Roman" w:eastAsia="Times New Roman" w:hAnsi="Times New Roman" w:cs="Times New Roman"/>
                <w:color w:val="000000" w:themeColor="text1"/>
                <w:sz w:val="24"/>
                <w:szCs w:val="24"/>
                <w:lang w:eastAsia="lv-LV"/>
              </w:rPr>
              <w:t xml:space="preserve"> “Sabiedrības līdzdalība”, adrese: </w:t>
            </w:r>
            <w:hyperlink r:id="rId14" w:history="1">
              <w:r w:rsidR="006746B8" w:rsidRPr="002450A3">
                <w:rPr>
                  <w:rStyle w:val="Hyperlink"/>
                  <w:rFonts w:ascii="Times New Roman" w:eastAsia="Times New Roman" w:hAnsi="Times New Roman" w:cs="Times New Roman"/>
                  <w:sz w:val="24"/>
                  <w:szCs w:val="24"/>
                  <w:lang w:eastAsia="lv-LV"/>
                </w:rPr>
                <w:t>https://www.kase.gov.lv/valsts-kase/sabiedribas-lidzdaliba</w:t>
              </w:r>
            </w:hyperlink>
            <w:r w:rsidR="006746B8" w:rsidRPr="002450A3">
              <w:rPr>
                <w:rFonts w:ascii="Times New Roman" w:eastAsia="Times New Roman" w:hAnsi="Times New Roman" w:cs="Times New Roman"/>
                <w:color w:val="000000" w:themeColor="text1"/>
                <w:sz w:val="24"/>
                <w:szCs w:val="24"/>
                <w:lang w:eastAsia="lv-LV"/>
              </w:rPr>
              <w:t xml:space="preserve"> </w:t>
            </w:r>
            <w:r w:rsidR="00501F13" w:rsidRPr="002450A3">
              <w:rPr>
                <w:rFonts w:ascii="Times New Roman" w:eastAsia="Times New Roman" w:hAnsi="Times New Roman" w:cs="Times New Roman"/>
                <w:color w:val="000000" w:themeColor="text1"/>
                <w:sz w:val="24"/>
                <w:szCs w:val="24"/>
                <w:lang w:eastAsia="lv-LV"/>
              </w:rPr>
              <w:t>.</w:t>
            </w:r>
          </w:p>
        </w:tc>
      </w:tr>
      <w:tr w:rsidR="005769D4" w:rsidRPr="002450A3" w14:paraId="13E794B6" w14:textId="77777777" w:rsidTr="005F2ACE">
        <w:trPr>
          <w:trHeight w:val="372"/>
          <w:jc w:val="center"/>
        </w:trPr>
        <w:tc>
          <w:tcPr>
            <w:tcW w:w="314" w:type="pct"/>
            <w:tcBorders>
              <w:top w:val="outset" w:sz="6" w:space="0" w:color="414142"/>
              <w:left w:val="outset" w:sz="6" w:space="0" w:color="414142"/>
              <w:bottom w:val="outset" w:sz="6" w:space="0" w:color="414142"/>
              <w:right w:val="outset" w:sz="6" w:space="0" w:color="414142"/>
            </w:tcBorders>
            <w:hideMark/>
          </w:tcPr>
          <w:p w14:paraId="0EC2E623"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lastRenderedPageBreak/>
              <w:t>3.</w:t>
            </w:r>
          </w:p>
        </w:tc>
        <w:tc>
          <w:tcPr>
            <w:tcW w:w="989" w:type="pct"/>
            <w:tcBorders>
              <w:top w:val="outset" w:sz="6" w:space="0" w:color="414142"/>
              <w:left w:val="outset" w:sz="6" w:space="0" w:color="414142"/>
              <w:bottom w:val="outset" w:sz="6" w:space="0" w:color="414142"/>
              <w:right w:val="outset" w:sz="6" w:space="0" w:color="414142"/>
            </w:tcBorders>
            <w:hideMark/>
          </w:tcPr>
          <w:p w14:paraId="66038150"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Sabiedrības līdzdalības rezultāti</w:t>
            </w:r>
          </w:p>
        </w:tc>
        <w:tc>
          <w:tcPr>
            <w:tcW w:w="3697" w:type="pct"/>
            <w:tcBorders>
              <w:top w:val="outset" w:sz="6" w:space="0" w:color="414142"/>
              <w:left w:val="outset" w:sz="6" w:space="0" w:color="414142"/>
              <w:bottom w:val="outset" w:sz="6" w:space="0" w:color="414142"/>
              <w:right w:val="outset" w:sz="6" w:space="0" w:color="414142"/>
            </w:tcBorders>
          </w:tcPr>
          <w:p w14:paraId="2F84C789" w14:textId="11C6D7FB" w:rsidR="005769D4" w:rsidRPr="002450A3" w:rsidRDefault="00FA5C8C"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Iebildumi un priekšlikumi nav saņemti.</w:t>
            </w:r>
          </w:p>
        </w:tc>
      </w:tr>
      <w:tr w:rsidR="005769D4" w:rsidRPr="002450A3" w14:paraId="55FE9F6C" w14:textId="77777777" w:rsidTr="005F2ACE">
        <w:trPr>
          <w:trHeight w:val="372"/>
          <w:jc w:val="center"/>
        </w:trPr>
        <w:tc>
          <w:tcPr>
            <w:tcW w:w="314" w:type="pct"/>
            <w:tcBorders>
              <w:top w:val="outset" w:sz="6" w:space="0" w:color="414142"/>
              <w:left w:val="outset" w:sz="6" w:space="0" w:color="414142"/>
              <w:bottom w:val="outset" w:sz="6" w:space="0" w:color="414142"/>
              <w:right w:val="outset" w:sz="6" w:space="0" w:color="414142"/>
            </w:tcBorders>
            <w:hideMark/>
          </w:tcPr>
          <w:p w14:paraId="3640B799"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4.</w:t>
            </w:r>
          </w:p>
        </w:tc>
        <w:tc>
          <w:tcPr>
            <w:tcW w:w="989" w:type="pct"/>
            <w:tcBorders>
              <w:top w:val="outset" w:sz="6" w:space="0" w:color="414142"/>
              <w:left w:val="outset" w:sz="6" w:space="0" w:color="414142"/>
              <w:bottom w:val="outset" w:sz="6" w:space="0" w:color="414142"/>
              <w:right w:val="outset" w:sz="6" w:space="0" w:color="414142"/>
            </w:tcBorders>
            <w:hideMark/>
          </w:tcPr>
          <w:p w14:paraId="6BD04C3C"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Cita informācija</w:t>
            </w:r>
          </w:p>
        </w:tc>
        <w:tc>
          <w:tcPr>
            <w:tcW w:w="3697" w:type="pct"/>
            <w:tcBorders>
              <w:top w:val="outset" w:sz="6" w:space="0" w:color="414142"/>
              <w:left w:val="outset" w:sz="6" w:space="0" w:color="414142"/>
              <w:bottom w:val="outset" w:sz="6" w:space="0" w:color="414142"/>
              <w:right w:val="outset" w:sz="6" w:space="0" w:color="414142"/>
            </w:tcBorders>
            <w:hideMark/>
          </w:tcPr>
          <w:p w14:paraId="310989F7" w14:textId="085A3F8E" w:rsidR="005769D4" w:rsidRPr="002450A3" w:rsidRDefault="00C40292"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 xml:space="preserve">Sabiedrība pēc </w:t>
            </w:r>
            <w:r w:rsidR="00FA5C8C" w:rsidRPr="002450A3">
              <w:rPr>
                <w:rFonts w:ascii="Times New Roman" w:eastAsia="Times New Roman" w:hAnsi="Times New Roman" w:cs="Times New Roman"/>
                <w:color w:val="000000" w:themeColor="text1"/>
                <w:sz w:val="24"/>
                <w:szCs w:val="24"/>
                <w:lang w:eastAsia="lv-LV"/>
              </w:rPr>
              <w:t xml:space="preserve">noteikumu </w:t>
            </w:r>
            <w:r w:rsidRPr="002450A3">
              <w:rPr>
                <w:rFonts w:ascii="Times New Roman" w:eastAsia="Times New Roman" w:hAnsi="Times New Roman" w:cs="Times New Roman"/>
                <w:color w:val="000000" w:themeColor="text1"/>
                <w:sz w:val="24"/>
                <w:szCs w:val="24"/>
                <w:lang w:eastAsia="lv-LV"/>
              </w:rPr>
              <w:t xml:space="preserve">pieņemšanas tiks informēta ar publikāciju </w:t>
            </w:r>
            <w:r w:rsidR="00FA5C8C" w:rsidRPr="002450A3">
              <w:rPr>
                <w:rFonts w:ascii="Times New Roman" w:eastAsia="Times New Roman" w:hAnsi="Times New Roman" w:cs="Times New Roman"/>
                <w:color w:val="000000" w:themeColor="text1"/>
                <w:sz w:val="24"/>
                <w:szCs w:val="24"/>
                <w:lang w:eastAsia="lv-LV"/>
              </w:rPr>
              <w:t xml:space="preserve">oficiālajā izdevumā </w:t>
            </w:r>
            <w:r w:rsidRPr="002450A3">
              <w:rPr>
                <w:rFonts w:ascii="Times New Roman" w:eastAsia="Times New Roman" w:hAnsi="Times New Roman" w:cs="Times New Roman"/>
                <w:color w:val="000000" w:themeColor="text1"/>
                <w:sz w:val="24"/>
                <w:szCs w:val="24"/>
                <w:lang w:eastAsia="lv-LV"/>
              </w:rPr>
              <w:t>"Latvijas Vēstnesis" un normatīvo aktu datu bāzē www.likumi.lv.</w:t>
            </w:r>
          </w:p>
        </w:tc>
      </w:tr>
    </w:tbl>
    <w:p w14:paraId="2436D225"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717"/>
        <w:gridCol w:w="2696"/>
        <w:gridCol w:w="5659"/>
      </w:tblGrid>
      <w:tr w:rsidR="005769D4" w:rsidRPr="002450A3" w14:paraId="3EF94FF0" w14:textId="77777777" w:rsidTr="009871FC">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89C19" w14:textId="77777777" w:rsidR="005769D4" w:rsidRPr="002450A3"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2450A3">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769D4" w:rsidRPr="002450A3" w14:paraId="566C329C" w14:textId="77777777" w:rsidTr="009871FC">
        <w:trPr>
          <w:trHeight w:val="336"/>
          <w:jc w:val="center"/>
        </w:trPr>
        <w:tc>
          <w:tcPr>
            <w:tcW w:w="395" w:type="pct"/>
            <w:tcBorders>
              <w:top w:val="outset" w:sz="6" w:space="0" w:color="414142"/>
              <w:left w:val="outset" w:sz="6" w:space="0" w:color="414142"/>
              <w:bottom w:val="outset" w:sz="6" w:space="0" w:color="414142"/>
              <w:right w:val="outset" w:sz="6" w:space="0" w:color="414142"/>
            </w:tcBorders>
            <w:hideMark/>
          </w:tcPr>
          <w:p w14:paraId="7D7C7064"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29F0B41A"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Projekta izpildē iesaistītās institūcijas</w:t>
            </w:r>
          </w:p>
        </w:tc>
        <w:tc>
          <w:tcPr>
            <w:tcW w:w="3119" w:type="pct"/>
            <w:tcBorders>
              <w:top w:val="outset" w:sz="6" w:space="0" w:color="414142"/>
              <w:left w:val="outset" w:sz="6" w:space="0" w:color="414142"/>
              <w:bottom w:val="outset" w:sz="6" w:space="0" w:color="414142"/>
              <w:right w:val="outset" w:sz="6" w:space="0" w:color="414142"/>
            </w:tcBorders>
          </w:tcPr>
          <w:p w14:paraId="123A0205" w14:textId="059A5D92" w:rsidR="005769D4" w:rsidRPr="002450A3" w:rsidRDefault="00574E12"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Valsts kase</w:t>
            </w:r>
            <w:r w:rsidR="00FA5C8C" w:rsidRPr="002450A3">
              <w:rPr>
                <w:rFonts w:ascii="Times New Roman" w:eastAsia="Times New Roman" w:hAnsi="Times New Roman" w:cs="Times New Roman"/>
                <w:color w:val="000000" w:themeColor="text1"/>
                <w:sz w:val="24"/>
                <w:szCs w:val="24"/>
                <w:lang w:eastAsia="lv-LV"/>
              </w:rPr>
              <w:t>.</w:t>
            </w:r>
          </w:p>
        </w:tc>
      </w:tr>
      <w:tr w:rsidR="005769D4" w:rsidRPr="002450A3" w14:paraId="6FE8AF89" w14:textId="77777777" w:rsidTr="009871FC">
        <w:trPr>
          <w:trHeight w:val="360"/>
          <w:jc w:val="center"/>
        </w:trPr>
        <w:tc>
          <w:tcPr>
            <w:tcW w:w="395" w:type="pct"/>
            <w:tcBorders>
              <w:top w:val="outset" w:sz="6" w:space="0" w:color="414142"/>
              <w:left w:val="outset" w:sz="6" w:space="0" w:color="414142"/>
              <w:bottom w:val="outset" w:sz="6" w:space="0" w:color="414142"/>
              <w:right w:val="outset" w:sz="6" w:space="0" w:color="414142"/>
            </w:tcBorders>
            <w:hideMark/>
          </w:tcPr>
          <w:p w14:paraId="0FDE7EBD"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65B0D9FF"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4CA7F476"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119" w:type="pct"/>
            <w:tcBorders>
              <w:top w:val="outset" w:sz="6" w:space="0" w:color="414142"/>
              <w:left w:val="outset" w:sz="6" w:space="0" w:color="414142"/>
              <w:bottom w:val="outset" w:sz="6" w:space="0" w:color="414142"/>
              <w:right w:val="outset" w:sz="6" w:space="0" w:color="414142"/>
            </w:tcBorders>
          </w:tcPr>
          <w:p w14:paraId="6A11EA32" w14:textId="2D989A9C" w:rsidR="003B26C0" w:rsidRDefault="004779A3" w:rsidP="004779A3">
            <w:pPr>
              <w:spacing w:after="0" w:line="240" w:lineRule="auto"/>
              <w:jc w:val="both"/>
              <w:rPr>
                <w:rFonts w:ascii="Times New Roman" w:eastAsia="Times New Roman" w:hAnsi="Times New Roman" w:cs="Times New Roman"/>
                <w:color w:val="000000" w:themeColor="text1"/>
                <w:sz w:val="24"/>
                <w:szCs w:val="24"/>
                <w:lang w:eastAsia="lv-LV"/>
              </w:rPr>
            </w:pPr>
            <w:r w:rsidRPr="004779A3">
              <w:rPr>
                <w:rFonts w:ascii="Times New Roman" w:eastAsia="Times New Roman" w:hAnsi="Times New Roman" w:cs="Times New Roman"/>
                <w:color w:val="000000" w:themeColor="text1"/>
                <w:sz w:val="24"/>
                <w:szCs w:val="24"/>
                <w:lang w:eastAsia="lv-LV"/>
              </w:rPr>
              <w:t>Projekta izpilde neietekmē</w:t>
            </w:r>
            <w:r w:rsidR="00055443">
              <w:rPr>
                <w:rFonts w:ascii="Times New Roman" w:eastAsia="Times New Roman" w:hAnsi="Times New Roman" w:cs="Times New Roman"/>
                <w:color w:val="000000" w:themeColor="text1"/>
                <w:sz w:val="24"/>
                <w:szCs w:val="24"/>
                <w:lang w:eastAsia="lv-LV"/>
              </w:rPr>
              <w:t xml:space="preserve"> </w:t>
            </w:r>
            <w:r w:rsidRPr="004779A3">
              <w:rPr>
                <w:rFonts w:ascii="Times New Roman" w:eastAsia="Times New Roman" w:hAnsi="Times New Roman" w:cs="Times New Roman"/>
                <w:color w:val="000000" w:themeColor="text1"/>
                <w:sz w:val="24"/>
                <w:szCs w:val="24"/>
                <w:lang w:eastAsia="lv-LV"/>
              </w:rPr>
              <w:t>pārvaldes institucionālo struktūru, kā arī nav paredzēta jaunu institūciju izveide, esošo institūciju likvidācija vai reorganizācija.</w:t>
            </w:r>
          </w:p>
          <w:p w14:paraId="391B85CC" w14:textId="1C6D6E99" w:rsidR="004779A3" w:rsidRPr="002450A3" w:rsidRDefault="00D03BA2" w:rsidP="00D42BC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Projekta izpilde</w:t>
            </w:r>
            <w:r w:rsidR="0005544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tiks īstenota esošo cilvēkresursu un finansējuma ietvaros</w:t>
            </w:r>
            <w:r w:rsidR="00D42BC0">
              <w:rPr>
                <w:rFonts w:ascii="Times New Roman" w:eastAsia="Times New Roman" w:hAnsi="Times New Roman" w:cs="Times New Roman"/>
                <w:color w:val="000000" w:themeColor="text1"/>
                <w:sz w:val="24"/>
                <w:szCs w:val="24"/>
                <w:lang w:eastAsia="lv-LV"/>
              </w:rPr>
              <w:t xml:space="preserve"> un neietekmēs valsts pārvaldes funkcijas.</w:t>
            </w:r>
          </w:p>
        </w:tc>
      </w:tr>
      <w:tr w:rsidR="005769D4" w:rsidRPr="002450A3" w14:paraId="4D0C28ED" w14:textId="77777777" w:rsidTr="009871FC">
        <w:trPr>
          <w:trHeight w:val="312"/>
          <w:jc w:val="center"/>
        </w:trPr>
        <w:tc>
          <w:tcPr>
            <w:tcW w:w="395" w:type="pct"/>
            <w:tcBorders>
              <w:top w:val="outset" w:sz="6" w:space="0" w:color="414142"/>
              <w:left w:val="outset" w:sz="6" w:space="0" w:color="414142"/>
              <w:bottom w:val="outset" w:sz="6" w:space="0" w:color="414142"/>
              <w:right w:val="outset" w:sz="6" w:space="0" w:color="414142"/>
            </w:tcBorders>
            <w:hideMark/>
          </w:tcPr>
          <w:p w14:paraId="4CA2FF19"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24214451" w14:textId="77777777" w:rsidR="005769D4" w:rsidRPr="002450A3"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Cita informācija</w:t>
            </w:r>
          </w:p>
        </w:tc>
        <w:tc>
          <w:tcPr>
            <w:tcW w:w="3119" w:type="pct"/>
            <w:tcBorders>
              <w:top w:val="outset" w:sz="6" w:space="0" w:color="414142"/>
              <w:left w:val="outset" w:sz="6" w:space="0" w:color="414142"/>
              <w:bottom w:val="outset" w:sz="6" w:space="0" w:color="414142"/>
              <w:right w:val="outset" w:sz="6" w:space="0" w:color="414142"/>
            </w:tcBorders>
          </w:tcPr>
          <w:p w14:paraId="2B468FEC" w14:textId="38484A7E" w:rsidR="005769D4" w:rsidRPr="002450A3"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2450A3">
              <w:rPr>
                <w:rFonts w:ascii="Times New Roman" w:eastAsia="Times New Roman" w:hAnsi="Times New Roman" w:cs="Times New Roman"/>
                <w:color w:val="000000" w:themeColor="text1"/>
                <w:sz w:val="24"/>
                <w:szCs w:val="24"/>
                <w:lang w:eastAsia="lv-LV"/>
              </w:rPr>
              <w:t>Nav</w:t>
            </w:r>
            <w:r w:rsidR="00FA5C8C" w:rsidRPr="002450A3">
              <w:rPr>
                <w:rFonts w:ascii="Times New Roman" w:eastAsia="Times New Roman" w:hAnsi="Times New Roman" w:cs="Times New Roman"/>
                <w:color w:val="000000" w:themeColor="text1"/>
                <w:sz w:val="24"/>
                <w:szCs w:val="24"/>
                <w:lang w:eastAsia="lv-LV"/>
              </w:rPr>
              <w:t>.</w:t>
            </w:r>
          </w:p>
        </w:tc>
      </w:tr>
    </w:tbl>
    <w:p w14:paraId="772A5BBF" w14:textId="77777777" w:rsidR="007B6B9D" w:rsidRPr="002450A3" w:rsidRDefault="007B6B9D">
      <w:pPr>
        <w:pStyle w:val="BodyText2"/>
        <w:rPr>
          <w:sz w:val="24"/>
          <w:szCs w:val="24"/>
          <w:lang w:val="lv-LV"/>
        </w:rPr>
      </w:pPr>
    </w:p>
    <w:p w14:paraId="1584038F" w14:textId="77777777" w:rsidR="00D03BA2" w:rsidRDefault="00D03BA2" w:rsidP="00220D26">
      <w:pPr>
        <w:pStyle w:val="BodyText2"/>
        <w:rPr>
          <w:sz w:val="24"/>
          <w:szCs w:val="24"/>
          <w:lang w:val="lv-LV"/>
        </w:rPr>
      </w:pPr>
    </w:p>
    <w:p w14:paraId="17D1F8DB" w14:textId="77777777" w:rsidR="00D03BA2" w:rsidRDefault="00D03BA2" w:rsidP="00220D26">
      <w:pPr>
        <w:pStyle w:val="BodyText2"/>
        <w:rPr>
          <w:sz w:val="24"/>
          <w:szCs w:val="24"/>
          <w:lang w:val="lv-LV"/>
        </w:rPr>
      </w:pPr>
    </w:p>
    <w:p w14:paraId="22407821" w14:textId="0FFA9C61" w:rsidR="002E1C2B" w:rsidRPr="004330A9" w:rsidRDefault="004330A9" w:rsidP="004330A9">
      <w:pPr>
        <w:spacing w:after="0" w:line="240" w:lineRule="auto"/>
        <w:rPr>
          <w:rFonts w:ascii="Times New Roman" w:eastAsia="Times New Roman" w:hAnsi="Times New Roman" w:cs="Times New Roman"/>
          <w:color w:val="000000" w:themeColor="text1"/>
          <w:sz w:val="24"/>
          <w:szCs w:val="24"/>
          <w:lang w:eastAsia="lv-LV"/>
        </w:rPr>
      </w:pPr>
      <w:r w:rsidRPr="004330A9">
        <w:rPr>
          <w:rFonts w:ascii="Times New Roman" w:eastAsia="Times New Roman" w:hAnsi="Times New Roman" w:cs="Times New Roman"/>
          <w:color w:val="000000" w:themeColor="text1"/>
          <w:sz w:val="24"/>
          <w:szCs w:val="24"/>
          <w:lang w:eastAsia="lv-LV"/>
        </w:rPr>
        <w:t>Finanšu ministra vietā -</w:t>
      </w:r>
      <w:r w:rsidRPr="004330A9">
        <w:rPr>
          <w:rFonts w:ascii="Times New Roman" w:eastAsia="Times New Roman" w:hAnsi="Times New Roman" w:cs="Times New Roman"/>
          <w:color w:val="000000" w:themeColor="text1"/>
          <w:sz w:val="24"/>
          <w:szCs w:val="24"/>
          <w:lang w:eastAsia="lv-LV"/>
        </w:rPr>
        <w:br/>
        <w:t xml:space="preserve">Ministru prezidents </w:t>
      </w:r>
      <w:r w:rsidRPr="004330A9">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Pr>
          <w:rFonts w:ascii="Times New Roman" w:eastAsia="Times New Roman" w:hAnsi="Times New Roman" w:cs="Times New Roman"/>
          <w:color w:val="000000" w:themeColor="text1"/>
          <w:sz w:val="24"/>
          <w:szCs w:val="24"/>
          <w:lang w:eastAsia="lv-LV"/>
        </w:rPr>
        <w:tab/>
      </w:r>
      <w:r w:rsidRPr="004330A9">
        <w:rPr>
          <w:rFonts w:ascii="Times New Roman" w:eastAsia="Times New Roman" w:hAnsi="Times New Roman" w:cs="Times New Roman"/>
          <w:color w:val="000000" w:themeColor="text1"/>
          <w:sz w:val="24"/>
          <w:szCs w:val="24"/>
          <w:lang w:eastAsia="lv-LV"/>
        </w:rPr>
        <w:t>A. K. Kariņš</w:t>
      </w:r>
    </w:p>
    <w:p w14:paraId="46C7E67D" w14:textId="77777777" w:rsidR="00FB69C9" w:rsidRPr="002450A3" w:rsidRDefault="00FB69C9" w:rsidP="00D76125">
      <w:pPr>
        <w:spacing w:line="240" w:lineRule="auto"/>
        <w:contextualSpacing/>
        <w:jc w:val="both"/>
        <w:rPr>
          <w:rFonts w:ascii="Times New Roman" w:hAnsi="Times New Roman" w:cs="Times New Roman"/>
          <w:sz w:val="20"/>
          <w:szCs w:val="20"/>
        </w:rPr>
      </w:pPr>
    </w:p>
    <w:p w14:paraId="1B8752F8" w14:textId="77777777" w:rsidR="00D03BA2" w:rsidRDefault="00D03BA2" w:rsidP="00D76125">
      <w:pPr>
        <w:spacing w:line="240" w:lineRule="auto"/>
        <w:contextualSpacing/>
        <w:jc w:val="both"/>
        <w:rPr>
          <w:rFonts w:ascii="Times New Roman" w:hAnsi="Times New Roman" w:cs="Times New Roman"/>
          <w:sz w:val="20"/>
          <w:szCs w:val="20"/>
        </w:rPr>
      </w:pPr>
    </w:p>
    <w:p w14:paraId="60F40523" w14:textId="77777777" w:rsidR="00D03BA2" w:rsidRDefault="00D03BA2" w:rsidP="00D76125">
      <w:pPr>
        <w:spacing w:line="240" w:lineRule="auto"/>
        <w:contextualSpacing/>
        <w:jc w:val="both"/>
        <w:rPr>
          <w:rFonts w:ascii="Times New Roman" w:hAnsi="Times New Roman" w:cs="Times New Roman"/>
          <w:sz w:val="20"/>
          <w:szCs w:val="20"/>
        </w:rPr>
      </w:pPr>
      <w:bookmarkStart w:id="0" w:name="_GoBack"/>
      <w:bookmarkEnd w:id="0"/>
    </w:p>
    <w:p w14:paraId="2C5220B9" w14:textId="77777777" w:rsidR="00D03BA2" w:rsidRDefault="00D03BA2" w:rsidP="00D76125">
      <w:pPr>
        <w:spacing w:line="240" w:lineRule="auto"/>
        <w:contextualSpacing/>
        <w:jc w:val="both"/>
        <w:rPr>
          <w:rFonts w:ascii="Times New Roman" w:hAnsi="Times New Roman" w:cs="Times New Roman"/>
          <w:sz w:val="20"/>
          <w:szCs w:val="20"/>
        </w:rPr>
      </w:pPr>
    </w:p>
    <w:p w14:paraId="407C5F1F" w14:textId="77777777" w:rsidR="00D03BA2" w:rsidRDefault="00D03BA2" w:rsidP="00D76125">
      <w:pPr>
        <w:spacing w:line="240" w:lineRule="auto"/>
        <w:contextualSpacing/>
        <w:jc w:val="both"/>
        <w:rPr>
          <w:rFonts w:ascii="Times New Roman" w:hAnsi="Times New Roman" w:cs="Times New Roman"/>
          <w:sz w:val="20"/>
          <w:szCs w:val="20"/>
        </w:rPr>
      </w:pPr>
    </w:p>
    <w:p w14:paraId="0F406877" w14:textId="77777777" w:rsidR="00D03BA2" w:rsidRDefault="00D03BA2" w:rsidP="00D76125">
      <w:pPr>
        <w:spacing w:line="240" w:lineRule="auto"/>
        <w:contextualSpacing/>
        <w:jc w:val="both"/>
        <w:rPr>
          <w:rFonts w:ascii="Times New Roman" w:hAnsi="Times New Roman" w:cs="Times New Roman"/>
          <w:sz w:val="20"/>
          <w:szCs w:val="20"/>
        </w:rPr>
      </w:pPr>
    </w:p>
    <w:p w14:paraId="62251912" w14:textId="77777777" w:rsidR="00D03BA2" w:rsidRDefault="00D03BA2" w:rsidP="00D76125">
      <w:pPr>
        <w:spacing w:line="240" w:lineRule="auto"/>
        <w:contextualSpacing/>
        <w:jc w:val="both"/>
        <w:rPr>
          <w:rFonts w:ascii="Times New Roman" w:hAnsi="Times New Roman" w:cs="Times New Roman"/>
          <w:sz w:val="20"/>
          <w:szCs w:val="20"/>
        </w:rPr>
      </w:pPr>
    </w:p>
    <w:p w14:paraId="0385E0A2" w14:textId="77777777" w:rsidR="00D03BA2" w:rsidRDefault="00D03BA2" w:rsidP="00D76125">
      <w:pPr>
        <w:spacing w:line="240" w:lineRule="auto"/>
        <w:contextualSpacing/>
        <w:jc w:val="both"/>
        <w:rPr>
          <w:rFonts w:ascii="Times New Roman" w:hAnsi="Times New Roman" w:cs="Times New Roman"/>
          <w:sz w:val="20"/>
          <w:szCs w:val="20"/>
        </w:rPr>
      </w:pPr>
    </w:p>
    <w:p w14:paraId="0DFDE383" w14:textId="77777777" w:rsidR="00D03BA2" w:rsidRDefault="00D03BA2" w:rsidP="00D76125">
      <w:pPr>
        <w:spacing w:line="240" w:lineRule="auto"/>
        <w:contextualSpacing/>
        <w:jc w:val="both"/>
        <w:rPr>
          <w:rFonts w:ascii="Times New Roman" w:hAnsi="Times New Roman" w:cs="Times New Roman"/>
          <w:sz w:val="20"/>
          <w:szCs w:val="20"/>
        </w:rPr>
      </w:pPr>
    </w:p>
    <w:p w14:paraId="08C04ADB" w14:textId="656CC909" w:rsidR="00EC4E78" w:rsidRPr="002450A3" w:rsidRDefault="002E1C2B" w:rsidP="00D76125">
      <w:pPr>
        <w:spacing w:line="240" w:lineRule="auto"/>
        <w:contextualSpacing/>
        <w:jc w:val="both"/>
        <w:rPr>
          <w:rFonts w:ascii="Times New Roman" w:hAnsi="Times New Roman" w:cs="Times New Roman"/>
          <w:sz w:val="20"/>
          <w:szCs w:val="20"/>
        </w:rPr>
      </w:pPr>
      <w:r w:rsidRPr="002450A3">
        <w:rPr>
          <w:rFonts w:ascii="Times New Roman" w:hAnsi="Times New Roman" w:cs="Times New Roman"/>
          <w:sz w:val="20"/>
          <w:szCs w:val="20"/>
        </w:rPr>
        <w:t>M.Prikulis</w:t>
      </w:r>
      <w:r w:rsidR="00EC4E78" w:rsidRPr="002450A3">
        <w:rPr>
          <w:rFonts w:ascii="Times New Roman" w:hAnsi="Times New Roman" w:cs="Times New Roman"/>
          <w:sz w:val="20"/>
          <w:szCs w:val="20"/>
        </w:rPr>
        <w:t xml:space="preserve">, </w:t>
      </w:r>
      <w:r w:rsidRPr="002450A3">
        <w:rPr>
          <w:rFonts w:ascii="Times New Roman" w:hAnsi="Times New Roman" w:cs="Times New Roman"/>
          <w:sz w:val="20"/>
          <w:szCs w:val="20"/>
        </w:rPr>
        <w:t>67094291</w:t>
      </w:r>
    </w:p>
    <w:p w14:paraId="15D436C5" w14:textId="38A68C72" w:rsidR="000D6A5B" w:rsidRPr="000D6A5B" w:rsidRDefault="002E1C2B" w:rsidP="000D6A5B">
      <w:pPr>
        <w:spacing w:line="240" w:lineRule="auto"/>
        <w:contextualSpacing/>
        <w:jc w:val="both"/>
        <w:rPr>
          <w:rFonts w:ascii="Times New Roman" w:hAnsi="Times New Roman" w:cs="Times New Roman"/>
          <w:sz w:val="24"/>
        </w:rPr>
      </w:pPr>
      <w:r w:rsidRPr="002450A3">
        <w:rPr>
          <w:rFonts w:ascii="Times New Roman" w:hAnsi="Times New Roman" w:cs="Times New Roman"/>
          <w:sz w:val="20"/>
          <w:szCs w:val="20"/>
        </w:rPr>
        <w:t>martins.prikulis@kase.gov.l</w:t>
      </w:r>
      <w:r w:rsidR="00FA5C8C" w:rsidRPr="002450A3">
        <w:rPr>
          <w:rFonts w:ascii="Times New Roman" w:hAnsi="Times New Roman" w:cs="Times New Roman"/>
          <w:sz w:val="20"/>
          <w:szCs w:val="20"/>
        </w:rPr>
        <w:t>v</w:t>
      </w:r>
    </w:p>
    <w:sectPr w:rsidR="000D6A5B" w:rsidRPr="000D6A5B" w:rsidSect="00780ED8">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826C" w14:textId="77777777" w:rsidR="003B2CD6" w:rsidRDefault="003B2CD6" w:rsidP="00DE0109">
      <w:pPr>
        <w:spacing w:after="0" w:line="240" w:lineRule="auto"/>
      </w:pPr>
      <w:r>
        <w:separator/>
      </w:r>
    </w:p>
  </w:endnote>
  <w:endnote w:type="continuationSeparator" w:id="0">
    <w:p w14:paraId="45DCB0A6" w14:textId="77777777" w:rsidR="003B2CD6" w:rsidRDefault="003B2CD6" w:rsidP="00DE0109">
      <w:pPr>
        <w:spacing w:after="0" w:line="240" w:lineRule="auto"/>
      </w:pPr>
      <w:r>
        <w:continuationSeparator/>
      </w:r>
    </w:p>
  </w:endnote>
  <w:endnote w:type="continuationNotice" w:id="1">
    <w:p w14:paraId="2A1D592A" w14:textId="77777777" w:rsidR="003B2CD6" w:rsidRDefault="003B2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9B7A" w14:textId="1D46D89E" w:rsidR="003B2CD6" w:rsidRPr="00CE48EC" w:rsidRDefault="003B2CD6" w:rsidP="00DE0109">
    <w:pP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568D8">
      <w:rPr>
        <w:rFonts w:ascii="Times New Roman" w:hAnsi="Times New Roman" w:cs="Times New Roman"/>
        <w:noProof/>
        <w:sz w:val="20"/>
        <w:szCs w:val="20"/>
      </w:rPr>
      <w:t>FMAnot_14082019</w:t>
    </w:r>
    <w:r>
      <w:rPr>
        <w:rFonts w:ascii="Times New Roman" w:hAnsi="Times New Roman" w:cs="Times New Roman"/>
        <w:sz w:val="20"/>
        <w:szCs w:val="20"/>
      </w:rPr>
      <w:fldChar w:fldCharType="end"/>
    </w:r>
  </w:p>
  <w:p w14:paraId="2C730149" w14:textId="77777777" w:rsidR="003B2CD6" w:rsidRDefault="003B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266E" w14:textId="5038757C" w:rsidR="003B2CD6" w:rsidRPr="00B807A9" w:rsidRDefault="003B2CD6"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568D8">
      <w:rPr>
        <w:rFonts w:ascii="Times New Roman" w:hAnsi="Times New Roman" w:cs="Times New Roman"/>
        <w:noProof/>
        <w:sz w:val="20"/>
        <w:szCs w:val="20"/>
      </w:rPr>
      <w:t>FMAnot_14082019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2300" w14:textId="77777777" w:rsidR="003B2CD6" w:rsidRDefault="003B2CD6" w:rsidP="00DE0109">
      <w:pPr>
        <w:spacing w:after="0" w:line="240" w:lineRule="auto"/>
      </w:pPr>
      <w:r>
        <w:separator/>
      </w:r>
    </w:p>
  </w:footnote>
  <w:footnote w:type="continuationSeparator" w:id="0">
    <w:p w14:paraId="276CC687" w14:textId="77777777" w:rsidR="003B2CD6" w:rsidRDefault="003B2CD6" w:rsidP="00DE0109">
      <w:pPr>
        <w:spacing w:after="0" w:line="240" w:lineRule="auto"/>
      </w:pPr>
      <w:r>
        <w:continuationSeparator/>
      </w:r>
    </w:p>
  </w:footnote>
  <w:footnote w:type="continuationNotice" w:id="1">
    <w:p w14:paraId="56E6A1A4" w14:textId="77777777" w:rsidR="003B2CD6" w:rsidRDefault="003B2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73831"/>
      <w:docPartObj>
        <w:docPartGallery w:val="Page Numbers (Top of Page)"/>
        <w:docPartUnique/>
      </w:docPartObj>
    </w:sdtPr>
    <w:sdtEndPr>
      <w:rPr>
        <w:noProof/>
      </w:rPr>
    </w:sdtEndPr>
    <w:sdtContent>
      <w:p w14:paraId="6DF53A81" w14:textId="36B87B46" w:rsidR="003B2CD6" w:rsidRDefault="003B2CD6">
        <w:pPr>
          <w:pStyle w:val="Header"/>
          <w:jc w:val="center"/>
        </w:pPr>
        <w:r>
          <w:fldChar w:fldCharType="begin"/>
        </w:r>
        <w:r>
          <w:instrText xml:space="preserve"> PAGE   \* MERGEFORMAT </w:instrText>
        </w:r>
        <w:r>
          <w:fldChar w:fldCharType="separate"/>
        </w:r>
        <w:r w:rsidR="004330A9">
          <w:rPr>
            <w:noProof/>
          </w:rPr>
          <w:t>10</w:t>
        </w:r>
        <w:r>
          <w:rPr>
            <w:noProof/>
          </w:rPr>
          <w:fldChar w:fldCharType="end"/>
        </w:r>
      </w:p>
    </w:sdtContent>
  </w:sdt>
  <w:p w14:paraId="73D2615E" w14:textId="77777777" w:rsidR="003B2CD6" w:rsidRDefault="003B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811"/>
    <w:multiLevelType w:val="hybridMultilevel"/>
    <w:tmpl w:val="54C681D6"/>
    <w:lvl w:ilvl="0" w:tplc="841A419C">
      <w:start w:val="1"/>
      <w:numFmt w:val="decimal"/>
      <w:lvlText w:val="%1)"/>
      <w:lvlJc w:val="left"/>
      <w:pPr>
        <w:ind w:left="785" w:hanging="360"/>
      </w:pPr>
      <w:rPr>
        <w:rFonts w:ascii="Times New Roman" w:eastAsia="Calibri" w:hAnsi="Times New Roman" w:cs="Times New Roman"/>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30A8640B"/>
    <w:multiLevelType w:val="multilevel"/>
    <w:tmpl w:val="23BEAFEE"/>
    <w:lvl w:ilvl="0">
      <w:start w:val="1"/>
      <w:numFmt w:val="lowerLetter"/>
      <w:lvlText w:val="%1)"/>
      <w:lvlJc w:val="left"/>
      <w:pPr>
        <w:ind w:left="360" w:hanging="360"/>
      </w:pPr>
      <w:rPr>
        <w:rFonts w:ascii="Times New Roman" w:eastAsiaTheme="minorHAnsi" w:hAnsi="Times New Roman" w:cs="Times New Roman"/>
        <w:sz w:val="24"/>
      </w:rPr>
    </w:lvl>
    <w:lvl w:ilvl="1">
      <w:start w:val="1"/>
      <w:numFmt w:val="lowerLetter"/>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D3412E8"/>
    <w:multiLevelType w:val="multilevel"/>
    <w:tmpl w:val="23BEAFEE"/>
    <w:lvl w:ilvl="0">
      <w:start w:val="1"/>
      <w:numFmt w:val="lowerLetter"/>
      <w:lvlText w:val="%1)"/>
      <w:lvlJc w:val="left"/>
      <w:pPr>
        <w:ind w:left="360" w:hanging="360"/>
      </w:pPr>
      <w:rPr>
        <w:rFonts w:ascii="Times New Roman" w:eastAsiaTheme="minorHAnsi" w:hAnsi="Times New Roman" w:cs="Times New Roman"/>
        <w:sz w:val="24"/>
      </w:rPr>
    </w:lvl>
    <w:lvl w:ilvl="1">
      <w:start w:val="1"/>
      <w:numFmt w:val="lowerLetter"/>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F7455A1"/>
    <w:multiLevelType w:val="multilevel"/>
    <w:tmpl w:val="23BEAFEE"/>
    <w:lvl w:ilvl="0">
      <w:start w:val="1"/>
      <w:numFmt w:val="lowerLetter"/>
      <w:lvlText w:val="%1)"/>
      <w:lvlJc w:val="left"/>
      <w:pPr>
        <w:ind w:left="360" w:hanging="360"/>
      </w:pPr>
      <w:rPr>
        <w:rFonts w:ascii="Times New Roman" w:eastAsiaTheme="minorHAnsi" w:hAnsi="Times New Roman" w:cs="Times New Roman"/>
        <w:sz w:val="24"/>
      </w:rPr>
    </w:lvl>
    <w:lvl w:ilvl="1">
      <w:start w:val="1"/>
      <w:numFmt w:val="lowerLetter"/>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BD"/>
    <w:rsid w:val="00001BCE"/>
    <w:rsid w:val="000059B3"/>
    <w:rsid w:val="00012C2E"/>
    <w:rsid w:val="00021C1F"/>
    <w:rsid w:val="00024E96"/>
    <w:rsid w:val="00031BDE"/>
    <w:rsid w:val="000352A6"/>
    <w:rsid w:val="00035EC5"/>
    <w:rsid w:val="000368A2"/>
    <w:rsid w:val="00037185"/>
    <w:rsid w:val="000407FD"/>
    <w:rsid w:val="000425FD"/>
    <w:rsid w:val="00045761"/>
    <w:rsid w:val="00052162"/>
    <w:rsid w:val="00055443"/>
    <w:rsid w:val="000577A9"/>
    <w:rsid w:val="00060153"/>
    <w:rsid w:val="000615D6"/>
    <w:rsid w:val="00063CAE"/>
    <w:rsid w:val="00067925"/>
    <w:rsid w:val="0007687C"/>
    <w:rsid w:val="000801C8"/>
    <w:rsid w:val="000919DC"/>
    <w:rsid w:val="0009337C"/>
    <w:rsid w:val="000A2756"/>
    <w:rsid w:val="000A6B47"/>
    <w:rsid w:val="000B0920"/>
    <w:rsid w:val="000B182E"/>
    <w:rsid w:val="000B5002"/>
    <w:rsid w:val="000B709A"/>
    <w:rsid w:val="000C19DD"/>
    <w:rsid w:val="000D6A5B"/>
    <w:rsid w:val="000E5114"/>
    <w:rsid w:val="000E6860"/>
    <w:rsid w:val="000F1969"/>
    <w:rsid w:val="000F41AE"/>
    <w:rsid w:val="00100760"/>
    <w:rsid w:val="00107B32"/>
    <w:rsid w:val="00111640"/>
    <w:rsid w:val="001155D0"/>
    <w:rsid w:val="001361E8"/>
    <w:rsid w:val="001448A0"/>
    <w:rsid w:val="001450BD"/>
    <w:rsid w:val="001500DD"/>
    <w:rsid w:val="001526F5"/>
    <w:rsid w:val="00152F6D"/>
    <w:rsid w:val="001609B8"/>
    <w:rsid w:val="001643BC"/>
    <w:rsid w:val="0017726F"/>
    <w:rsid w:val="00177622"/>
    <w:rsid w:val="0018406A"/>
    <w:rsid w:val="00184FD4"/>
    <w:rsid w:val="00191F46"/>
    <w:rsid w:val="00193B9D"/>
    <w:rsid w:val="001962BD"/>
    <w:rsid w:val="001969CE"/>
    <w:rsid w:val="001A7404"/>
    <w:rsid w:val="001B0A32"/>
    <w:rsid w:val="001B3343"/>
    <w:rsid w:val="001B7213"/>
    <w:rsid w:val="001C13B5"/>
    <w:rsid w:val="001C1BAF"/>
    <w:rsid w:val="001C2503"/>
    <w:rsid w:val="001C61DD"/>
    <w:rsid w:val="001D5548"/>
    <w:rsid w:val="001F309C"/>
    <w:rsid w:val="001F417E"/>
    <w:rsid w:val="001F4D59"/>
    <w:rsid w:val="001F52E8"/>
    <w:rsid w:val="00202A7A"/>
    <w:rsid w:val="00206BF8"/>
    <w:rsid w:val="0021177A"/>
    <w:rsid w:val="00211B44"/>
    <w:rsid w:val="002124CB"/>
    <w:rsid w:val="00220D26"/>
    <w:rsid w:val="0022157C"/>
    <w:rsid w:val="0022420F"/>
    <w:rsid w:val="002326B3"/>
    <w:rsid w:val="00236FD4"/>
    <w:rsid w:val="0024162F"/>
    <w:rsid w:val="00241E22"/>
    <w:rsid w:val="002450A3"/>
    <w:rsid w:val="002569E2"/>
    <w:rsid w:val="00263336"/>
    <w:rsid w:val="00264AE7"/>
    <w:rsid w:val="00266C7F"/>
    <w:rsid w:val="00271A53"/>
    <w:rsid w:val="00276DD9"/>
    <w:rsid w:val="00282A81"/>
    <w:rsid w:val="00285408"/>
    <w:rsid w:val="00294D45"/>
    <w:rsid w:val="002A1D4E"/>
    <w:rsid w:val="002A36D5"/>
    <w:rsid w:val="002A46DC"/>
    <w:rsid w:val="002A490A"/>
    <w:rsid w:val="002A4AFA"/>
    <w:rsid w:val="002A57F1"/>
    <w:rsid w:val="002A75DC"/>
    <w:rsid w:val="002B2208"/>
    <w:rsid w:val="002B3E55"/>
    <w:rsid w:val="002C0998"/>
    <w:rsid w:val="002C22CA"/>
    <w:rsid w:val="002C5BAD"/>
    <w:rsid w:val="002D0FC7"/>
    <w:rsid w:val="002D1863"/>
    <w:rsid w:val="002D2A2A"/>
    <w:rsid w:val="002D566A"/>
    <w:rsid w:val="002D6682"/>
    <w:rsid w:val="002D68D0"/>
    <w:rsid w:val="002D7311"/>
    <w:rsid w:val="002D7B3E"/>
    <w:rsid w:val="002E1C2B"/>
    <w:rsid w:val="002E38E1"/>
    <w:rsid w:val="002E569C"/>
    <w:rsid w:val="002F24E3"/>
    <w:rsid w:val="002F3598"/>
    <w:rsid w:val="00311329"/>
    <w:rsid w:val="00313AB4"/>
    <w:rsid w:val="00317CB7"/>
    <w:rsid w:val="00324A1B"/>
    <w:rsid w:val="0032536D"/>
    <w:rsid w:val="0032762E"/>
    <w:rsid w:val="00330B38"/>
    <w:rsid w:val="00331619"/>
    <w:rsid w:val="003322DB"/>
    <w:rsid w:val="003352AD"/>
    <w:rsid w:val="00335624"/>
    <w:rsid w:val="00337F09"/>
    <w:rsid w:val="003406DC"/>
    <w:rsid w:val="0034240B"/>
    <w:rsid w:val="00343512"/>
    <w:rsid w:val="00344E56"/>
    <w:rsid w:val="0035705F"/>
    <w:rsid w:val="00360671"/>
    <w:rsid w:val="003606AA"/>
    <w:rsid w:val="00376B8E"/>
    <w:rsid w:val="0038234B"/>
    <w:rsid w:val="00394BE2"/>
    <w:rsid w:val="003A023A"/>
    <w:rsid w:val="003A262E"/>
    <w:rsid w:val="003A6EEB"/>
    <w:rsid w:val="003B26C0"/>
    <w:rsid w:val="003B2AE1"/>
    <w:rsid w:val="003B2CD6"/>
    <w:rsid w:val="003B4377"/>
    <w:rsid w:val="003B495A"/>
    <w:rsid w:val="003C01DC"/>
    <w:rsid w:val="003C2122"/>
    <w:rsid w:val="003E1533"/>
    <w:rsid w:val="003F5C99"/>
    <w:rsid w:val="003F7E8D"/>
    <w:rsid w:val="004008B8"/>
    <w:rsid w:val="0040437D"/>
    <w:rsid w:val="00404FD0"/>
    <w:rsid w:val="004061CE"/>
    <w:rsid w:val="00414658"/>
    <w:rsid w:val="00415A16"/>
    <w:rsid w:val="0041600B"/>
    <w:rsid w:val="0041739A"/>
    <w:rsid w:val="00424A54"/>
    <w:rsid w:val="0042515A"/>
    <w:rsid w:val="0042565F"/>
    <w:rsid w:val="00425AEC"/>
    <w:rsid w:val="00427955"/>
    <w:rsid w:val="004330A9"/>
    <w:rsid w:val="004431E1"/>
    <w:rsid w:val="00446E7E"/>
    <w:rsid w:val="00447247"/>
    <w:rsid w:val="004568D8"/>
    <w:rsid w:val="00466F96"/>
    <w:rsid w:val="004670AE"/>
    <w:rsid w:val="00470EFA"/>
    <w:rsid w:val="004722A2"/>
    <w:rsid w:val="004761B4"/>
    <w:rsid w:val="004779A3"/>
    <w:rsid w:val="00477FE2"/>
    <w:rsid w:val="00495106"/>
    <w:rsid w:val="004A25D2"/>
    <w:rsid w:val="004A2B39"/>
    <w:rsid w:val="004B6367"/>
    <w:rsid w:val="004B7E36"/>
    <w:rsid w:val="004C223E"/>
    <w:rsid w:val="004D24B7"/>
    <w:rsid w:val="004D3280"/>
    <w:rsid w:val="004D43CB"/>
    <w:rsid w:val="004D6AA8"/>
    <w:rsid w:val="004D741F"/>
    <w:rsid w:val="004E2847"/>
    <w:rsid w:val="004E5E9C"/>
    <w:rsid w:val="004F2F51"/>
    <w:rsid w:val="004F33E4"/>
    <w:rsid w:val="005006BA"/>
    <w:rsid w:val="00501F13"/>
    <w:rsid w:val="00504846"/>
    <w:rsid w:val="00505AEA"/>
    <w:rsid w:val="00512FEC"/>
    <w:rsid w:val="00514F62"/>
    <w:rsid w:val="00515932"/>
    <w:rsid w:val="00525394"/>
    <w:rsid w:val="0052611F"/>
    <w:rsid w:val="00526818"/>
    <w:rsid w:val="00532F18"/>
    <w:rsid w:val="0053418E"/>
    <w:rsid w:val="0053635C"/>
    <w:rsid w:val="005377ED"/>
    <w:rsid w:val="0054032E"/>
    <w:rsid w:val="00540800"/>
    <w:rsid w:val="0054092E"/>
    <w:rsid w:val="00541F89"/>
    <w:rsid w:val="005432E7"/>
    <w:rsid w:val="00543BA5"/>
    <w:rsid w:val="0054770B"/>
    <w:rsid w:val="00551399"/>
    <w:rsid w:val="005522BF"/>
    <w:rsid w:val="00552C37"/>
    <w:rsid w:val="00554A43"/>
    <w:rsid w:val="00554A9D"/>
    <w:rsid w:val="00565988"/>
    <w:rsid w:val="005665BD"/>
    <w:rsid w:val="00571BC8"/>
    <w:rsid w:val="00574B7A"/>
    <w:rsid w:val="00574E12"/>
    <w:rsid w:val="00575D78"/>
    <w:rsid w:val="005769D4"/>
    <w:rsid w:val="005804A8"/>
    <w:rsid w:val="00580752"/>
    <w:rsid w:val="005840F3"/>
    <w:rsid w:val="0058518B"/>
    <w:rsid w:val="005860DF"/>
    <w:rsid w:val="005947E2"/>
    <w:rsid w:val="005A01F5"/>
    <w:rsid w:val="005A6692"/>
    <w:rsid w:val="005B4BD0"/>
    <w:rsid w:val="005B7515"/>
    <w:rsid w:val="005C1E10"/>
    <w:rsid w:val="005C4572"/>
    <w:rsid w:val="005C7B91"/>
    <w:rsid w:val="005E175D"/>
    <w:rsid w:val="005E224A"/>
    <w:rsid w:val="005F290E"/>
    <w:rsid w:val="005F2ACE"/>
    <w:rsid w:val="005F3A31"/>
    <w:rsid w:val="00605F2C"/>
    <w:rsid w:val="006104D9"/>
    <w:rsid w:val="006138DC"/>
    <w:rsid w:val="0061454A"/>
    <w:rsid w:val="00625836"/>
    <w:rsid w:val="00635BF8"/>
    <w:rsid w:val="00636119"/>
    <w:rsid w:val="00641D65"/>
    <w:rsid w:val="0064209D"/>
    <w:rsid w:val="006436F8"/>
    <w:rsid w:val="00644947"/>
    <w:rsid w:val="00645096"/>
    <w:rsid w:val="0065058A"/>
    <w:rsid w:val="00655667"/>
    <w:rsid w:val="00656698"/>
    <w:rsid w:val="00656B6C"/>
    <w:rsid w:val="00660DBF"/>
    <w:rsid w:val="00663A35"/>
    <w:rsid w:val="00672BA7"/>
    <w:rsid w:val="006746B8"/>
    <w:rsid w:val="006759F3"/>
    <w:rsid w:val="00676BD8"/>
    <w:rsid w:val="00684FC4"/>
    <w:rsid w:val="00685B03"/>
    <w:rsid w:val="0068716C"/>
    <w:rsid w:val="006911CB"/>
    <w:rsid w:val="0069378C"/>
    <w:rsid w:val="006A26E7"/>
    <w:rsid w:val="006A4538"/>
    <w:rsid w:val="006B4888"/>
    <w:rsid w:val="006C018A"/>
    <w:rsid w:val="006C353D"/>
    <w:rsid w:val="006C630D"/>
    <w:rsid w:val="006D33AB"/>
    <w:rsid w:val="006E4ABC"/>
    <w:rsid w:val="006F1756"/>
    <w:rsid w:val="006F3039"/>
    <w:rsid w:val="006F39A0"/>
    <w:rsid w:val="006F6651"/>
    <w:rsid w:val="00701244"/>
    <w:rsid w:val="00702B8F"/>
    <w:rsid w:val="007039D5"/>
    <w:rsid w:val="007073FD"/>
    <w:rsid w:val="0071031A"/>
    <w:rsid w:val="00710DAA"/>
    <w:rsid w:val="007130E1"/>
    <w:rsid w:val="00722908"/>
    <w:rsid w:val="00726E4C"/>
    <w:rsid w:val="00727B06"/>
    <w:rsid w:val="00733D3E"/>
    <w:rsid w:val="007422AF"/>
    <w:rsid w:val="0074504D"/>
    <w:rsid w:val="00757104"/>
    <w:rsid w:val="007677AA"/>
    <w:rsid w:val="007702CF"/>
    <w:rsid w:val="00770FC6"/>
    <w:rsid w:val="00775AAF"/>
    <w:rsid w:val="00776FAC"/>
    <w:rsid w:val="00780ED8"/>
    <w:rsid w:val="007810A9"/>
    <w:rsid w:val="00787920"/>
    <w:rsid w:val="00791849"/>
    <w:rsid w:val="007A4822"/>
    <w:rsid w:val="007A68FE"/>
    <w:rsid w:val="007B517D"/>
    <w:rsid w:val="007B6B9D"/>
    <w:rsid w:val="007C08AD"/>
    <w:rsid w:val="007C0EC9"/>
    <w:rsid w:val="007C2698"/>
    <w:rsid w:val="007C4EEA"/>
    <w:rsid w:val="007C52CA"/>
    <w:rsid w:val="007D1C2A"/>
    <w:rsid w:val="007D4D7A"/>
    <w:rsid w:val="007D641F"/>
    <w:rsid w:val="007E1C0C"/>
    <w:rsid w:val="007E3EA0"/>
    <w:rsid w:val="007F09FD"/>
    <w:rsid w:val="007F420B"/>
    <w:rsid w:val="007F54EB"/>
    <w:rsid w:val="007F5CF9"/>
    <w:rsid w:val="007F73D2"/>
    <w:rsid w:val="00802BFE"/>
    <w:rsid w:val="008120AC"/>
    <w:rsid w:val="00822B87"/>
    <w:rsid w:val="00824707"/>
    <w:rsid w:val="00825523"/>
    <w:rsid w:val="00825AE3"/>
    <w:rsid w:val="00837CC6"/>
    <w:rsid w:val="00840913"/>
    <w:rsid w:val="00842622"/>
    <w:rsid w:val="008467CF"/>
    <w:rsid w:val="00854BAC"/>
    <w:rsid w:val="00855BBF"/>
    <w:rsid w:val="00856539"/>
    <w:rsid w:val="0085736A"/>
    <w:rsid w:val="008577A4"/>
    <w:rsid w:val="00860D6E"/>
    <w:rsid w:val="00863D64"/>
    <w:rsid w:val="008661B2"/>
    <w:rsid w:val="00870209"/>
    <w:rsid w:val="00871013"/>
    <w:rsid w:val="00873C86"/>
    <w:rsid w:val="0087569B"/>
    <w:rsid w:val="00885ADF"/>
    <w:rsid w:val="008863BE"/>
    <w:rsid w:val="008903E9"/>
    <w:rsid w:val="00896265"/>
    <w:rsid w:val="00897E10"/>
    <w:rsid w:val="008B3121"/>
    <w:rsid w:val="008B5117"/>
    <w:rsid w:val="008B68AE"/>
    <w:rsid w:val="008B6B13"/>
    <w:rsid w:val="008C22B8"/>
    <w:rsid w:val="008D2E3D"/>
    <w:rsid w:val="008D4C52"/>
    <w:rsid w:val="008D578C"/>
    <w:rsid w:val="008E299E"/>
    <w:rsid w:val="008F1166"/>
    <w:rsid w:val="008F30FF"/>
    <w:rsid w:val="008F3D65"/>
    <w:rsid w:val="0090379A"/>
    <w:rsid w:val="009071E6"/>
    <w:rsid w:val="009120A2"/>
    <w:rsid w:val="0091304B"/>
    <w:rsid w:val="00932D84"/>
    <w:rsid w:val="009335C2"/>
    <w:rsid w:val="00936057"/>
    <w:rsid w:val="00936FA2"/>
    <w:rsid w:val="009404A6"/>
    <w:rsid w:val="00942E89"/>
    <w:rsid w:val="00957DCE"/>
    <w:rsid w:val="00972D93"/>
    <w:rsid w:val="00980952"/>
    <w:rsid w:val="00982DA3"/>
    <w:rsid w:val="009871FC"/>
    <w:rsid w:val="00992C25"/>
    <w:rsid w:val="00995E38"/>
    <w:rsid w:val="009A0805"/>
    <w:rsid w:val="009A6F8B"/>
    <w:rsid w:val="009B0DE6"/>
    <w:rsid w:val="009B1D51"/>
    <w:rsid w:val="009B4B2E"/>
    <w:rsid w:val="009B4D32"/>
    <w:rsid w:val="009B6926"/>
    <w:rsid w:val="009C7DB2"/>
    <w:rsid w:val="009D4B1A"/>
    <w:rsid w:val="009F5310"/>
    <w:rsid w:val="00A01B9F"/>
    <w:rsid w:val="00A0247D"/>
    <w:rsid w:val="00A02AD7"/>
    <w:rsid w:val="00A14480"/>
    <w:rsid w:val="00A168FD"/>
    <w:rsid w:val="00A16957"/>
    <w:rsid w:val="00A326E4"/>
    <w:rsid w:val="00A354E2"/>
    <w:rsid w:val="00A35D76"/>
    <w:rsid w:val="00A408F2"/>
    <w:rsid w:val="00A41E96"/>
    <w:rsid w:val="00A43367"/>
    <w:rsid w:val="00A61D75"/>
    <w:rsid w:val="00A62ADF"/>
    <w:rsid w:val="00A67D8A"/>
    <w:rsid w:val="00A70F48"/>
    <w:rsid w:val="00A72AD1"/>
    <w:rsid w:val="00A72D47"/>
    <w:rsid w:val="00A744E9"/>
    <w:rsid w:val="00A81807"/>
    <w:rsid w:val="00A821D5"/>
    <w:rsid w:val="00A829CF"/>
    <w:rsid w:val="00A84625"/>
    <w:rsid w:val="00A856B8"/>
    <w:rsid w:val="00A8631F"/>
    <w:rsid w:val="00A86C66"/>
    <w:rsid w:val="00A873BA"/>
    <w:rsid w:val="00A87DFB"/>
    <w:rsid w:val="00A94315"/>
    <w:rsid w:val="00A9676A"/>
    <w:rsid w:val="00AA26DF"/>
    <w:rsid w:val="00AA4075"/>
    <w:rsid w:val="00AA5E99"/>
    <w:rsid w:val="00AB18A4"/>
    <w:rsid w:val="00AB7A11"/>
    <w:rsid w:val="00AC2AE2"/>
    <w:rsid w:val="00AC2C90"/>
    <w:rsid w:val="00AD039A"/>
    <w:rsid w:val="00AD1C2E"/>
    <w:rsid w:val="00AD607B"/>
    <w:rsid w:val="00AE1A14"/>
    <w:rsid w:val="00AE3493"/>
    <w:rsid w:val="00AF151E"/>
    <w:rsid w:val="00AF2877"/>
    <w:rsid w:val="00AF50D3"/>
    <w:rsid w:val="00AF50D4"/>
    <w:rsid w:val="00B05EE6"/>
    <w:rsid w:val="00B065DE"/>
    <w:rsid w:val="00B13455"/>
    <w:rsid w:val="00B14079"/>
    <w:rsid w:val="00B30C23"/>
    <w:rsid w:val="00B43DC9"/>
    <w:rsid w:val="00B45F92"/>
    <w:rsid w:val="00B4748A"/>
    <w:rsid w:val="00B47E4A"/>
    <w:rsid w:val="00B50B5C"/>
    <w:rsid w:val="00B54167"/>
    <w:rsid w:val="00B601EC"/>
    <w:rsid w:val="00B6160A"/>
    <w:rsid w:val="00B73B50"/>
    <w:rsid w:val="00B807A9"/>
    <w:rsid w:val="00B83B21"/>
    <w:rsid w:val="00B87236"/>
    <w:rsid w:val="00B901BD"/>
    <w:rsid w:val="00B90870"/>
    <w:rsid w:val="00B94157"/>
    <w:rsid w:val="00B95C63"/>
    <w:rsid w:val="00BA2D3C"/>
    <w:rsid w:val="00BC2097"/>
    <w:rsid w:val="00BD1F7F"/>
    <w:rsid w:val="00BD291B"/>
    <w:rsid w:val="00BD3159"/>
    <w:rsid w:val="00BE021F"/>
    <w:rsid w:val="00BE1DBB"/>
    <w:rsid w:val="00BE38FC"/>
    <w:rsid w:val="00BF0891"/>
    <w:rsid w:val="00C004DE"/>
    <w:rsid w:val="00C0072D"/>
    <w:rsid w:val="00C008C0"/>
    <w:rsid w:val="00C00EB7"/>
    <w:rsid w:val="00C02187"/>
    <w:rsid w:val="00C06E7D"/>
    <w:rsid w:val="00C22108"/>
    <w:rsid w:val="00C22255"/>
    <w:rsid w:val="00C2731C"/>
    <w:rsid w:val="00C32727"/>
    <w:rsid w:val="00C32D2C"/>
    <w:rsid w:val="00C37FA2"/>
    <w:rsid w:val="00C40292"/>
    <w:rsid w:val="00C42196"/>
    <w:rsid w:val="00C4522A"/>
    <w:rsid w:val="00C579BA"/>
    <w:rsid w:val="00C612B8"/>
    <w:rsid w:val="00C82B88"/>
    <w:rsid w:val="00C83CDB"/>
    <w:rsid w:val="00C84456"/>
    <w:rsid w:val="00C8622D"/>
    <w:rsid w:val="00C90E38"/>
    <w:rsid w:val="00C92107"/>
    <w:rsid w:val="00C92633"/>
    <w:rsid w:val="00C97FBD"/>
    <w:rsid w:val="00CA21A9"/>
    <w:rsid w:val="00CA76F2"/>
    <w:rsid w:val="00CB2C0C"/>
    <w:rsid w:val="00CC0E27"/>
    <w:rsid w:val="00CC4241"/>
    <w:rsid w:val="00CD440E"/>
    <w:rsid w:val="00CD4AF3"/>
    <w:rsid w:val="00CD668D"/>
    <w:rsid w:val="00CD6E16"/>
    <w:rsid w:val="00CE163A"/>
    <w:rsid w:val="00CE48EC"/>
    <w:rsid w:val="00CF281A"/>
    <w:rsid w:val="00CF6268"/>
    <w:rsid w:val="00D02E76"/>
    <w:rsid w:val="00D03BA2"/>
    <w:rsid w:val="00D06531"/>
    <w:rsid w:val="00D06CF6"/>
    <w:rsid w:val="00D10CDF"/>
    <w:rsid w:val="00D10E49"/>
    <w:rsid w:val="00D11F25"/>
    <w:rsid w:val="00D20FF2"/>
    <w:rsid w:val="00D21106"/>
    <w:rsid w:val="00D214BB"/>
    <w:rsid w:val="00D2331C"/>
    <w:rsid w:val="00D245AA"/>
    <w:rsid w:val="00D357BA"/>
    <w:rsid w:val="00D3742F"/>
    <w:rsid w:val="00D41E51"/>
    <w:rsid w:val="00D42054"/>
    <w:rsid w:val="00D42BC0"/>
    <w:rsid w:val="00D463FC"/>
    <w:rsid w:val="00D56592"/>
    <w:rsid w:val="00D6395A"/>
    <w:rsid w:val="00D65FF3"/>
    <w:rsid w:val="00D6798E"/>
    <w:rsid w:val="00D753BA"/>
    <w:rsid w:val="00D76125"/>
    <w:rsid w:val="00D83BE0"/>
    <w:rsid w:val="00D8622C"/>
    <w:rsid w:val="00D90F84"/>
    <w:rsid w:val="00D93ADF"/>
    <w:rsid w:val="00D93B09"/>
    <w:rsid w:val="00D94151"/>
    <w:rsid w:val="00DA2A7B"/>
    <w:rsid w:val="00DA4B43"/>
    <w:rsid w:val="00DA6D41"/>
    <w:rsid w:val="00DA74D0"/>
    <w:rsid w:val="00DB07BF"/>
    <w:rsid w:val="00DB18BB"/>
    <w:rsid w:val="00DB7991"/>
    <w:rsid w:val="00DC6F7F"/>
    <w:rsid w:val="00DD5FC9"/>
    <w:rsid w:val="00DE0109"/>
    <w:rsid w:val="00DE076B"/>
    <w:rsid w:val="00DE1377"/>
    <w:rsid w:val="00DE2CD3"/>
    <w:rsid w:val="00DE5029"/>
    <w:rsid w:val="00DE69C8"/>
    <w:rsid w:val="00DE6BA4"/>
    <w:rsid w:val="00DF1460"/>
    <w:rsid w:val="00DF1556"/>
    <w:rsid w:val="00DF1E55"/>
    <w:rsid w:val="00DF2235"/>
    <w:rsid w:val="00DF354C"/>
    <w:rsid w:val="00DF5FFF"/>
    <w:rsid w:val="00DF6902"/>
    <w:rsid w:val="00E02A9F"/>
    <w:rsid w:val="00E02D46"/>
    <w:rsid w:val="00E04270"/>
    <w:rsid w:val="00E06285"/>
    <w:rsid w:val="00E0775E"/>
    <w:rsid w:val="00E137B4"/>
    <w:rsid w:val="00E26822"/>
    <w:rsid w:val="00E3219B"/>
    <w:rsid w:val="00E321D4"/>
    <w:rsid w:val="00E3505C"/>
    <w:rsid w:val="00E413C6"/>
    <w:rsid w:val="00E43A4A"/>
    <w:rsid w:val="00E44CBF"/>
    <w:rsid w:val="00E47029"/>
    <w:rsid w:val="00E475A0"/>
    <w:rsid w:val="00E47BC6"/>
    <w:rsid w:val="00E52C89"/>
    <w:rsid w:val="00E54301"/>
    <w:rsid w:val="00E61A18"/>
    <w:rsid w:val="00E66A28"/>
    <w:rsid w:val="00E722F6"/>
    <w:rsid w:val="00E743B7"/>
    <w:rsid w:val="00E75CC6"/>
    <w:rsid w:val="00E8287D"/>
    <w:rsid w:val="00E93364"/>
    <w:rsid w:val="00E9420D"/>
    <w:rsid w:val="00E94846"/>
    <w:rsid w:val="00E96CBA"/>
    <w:rsid w:val="00E96EC1"/>
    <w:rsid w:val="00E978A0"/>
    <w:rsid w:val="00EA113F"/>
    <w:rsid w:val="00EA5136"/>
    <w:rsid w:val="00EA61B4"/>
    <w:rsid w:val="00EB1D82"/>
    <w:rsid w:val="00EB3346"/>
    <w:rsid w:val="00EC10A2"/>
    <w:rsid w:val="00EC2346"/>
    <w:rsid w:val="00EC35B9"/>
    <w:rsid w:val="00EC4E78"/>
    <w:rsid w:val="00EC5747"/>
    <w:rsid w:val="00ED15D6"/>
    <w:rsid w:val="00EF0826"/>
    <w:rsid w:val="00EF0C19"/>
    <w:rsid w:val="00EF53B2"/>
    <w:rsid w:val="00EF5537"/>
    <w:rsid w:val="00EF5C09"/>
    <w:rsid w:val="00F016D8"/>
    <w:rsid w:val="00F020BA"/>
    <w:rsid w:val="00F03E62"/>
    <w:rsid w:val="00F04B2C"/>
    <w:rsid w:val="00F04C5B"/>
    <w:rsid w:val="00F100A1"/>
    <w:rsid w:val="00F22950"/>
    <w:rsid w:val="00F25AEB"/>
    <w:rsid w:val="00F26908"/>
    <w:rsid w:val="00F31839"/>
    <w:rsid w:val="00F36645"/>
    <w:rsid w:val="00F3758E"/>
    <w:rsid w:val="00F40C4C"/>
    <w:rsid w:val="00F4622F"/>
    <w:rsid w:val="00F46865"/>
    <w:rsid w:val="00F62DE5"/>
    <w:rsid w:val="00F63869"/>
    <w:rsid w:val="00F659DA"/>
    <w:rsid w:val="00F66909"/>
    <w:rsid w:val="00F672D7"/>
    <w:rsid w:val="00F73EBB"/>
    <w:rsid w:val="00F753BC"/>
    <w:rsid w:val="00F803FF"/>
    <w:rsid w:val="00F84903"/>
    <w:rsid w:val="00F855A3"/>
    <w:rsid w:val="00F8720E"/>
    <w:rsid w:val="00F9639C"/>
    <w:rsid w:val="00F96B76"/>
    <w:rsid w:val="00FA34E3"/>
    <w:rsid w:val="00FA5C8C"/>
    <w:rsid w:val="00FA7CD8"/>
    <w:rsid w:val="00FB65CA"/>
    <w:rsid w:val="00FB69C9"/>
    <w:rsid w:val="00FC6426"/>
    <w:rsid w:val="00FD477C"/>
    <w:rsid w:val="00FD5896"/>
    <w:rsid w:val="00FD7E4F"/>
    <w:rsid w:val="00FE135D"/>
    <w:rsid w:val="00FE15F0"/>
    <w:rsid w:val="00FE322F"/>
    <w:rsid w:val="00FE5339"/>
    <w:rsid w:val="00FF157D"/>
    <w:rsid w:val="00FF74D3"/>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B39E90"/>
  <w15:docId w15:val="{F351D55B-0572-455A-AF61-DED7EAE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aliases w:val="2"/>
    <w:basedOn w:val="Normal"/>
    <w:link w:val="ListParagraphChar"/>
    <w:uiPriority w:val="34"/>
    <w:qFormat/>
    <w:rsid w:val="00495106"/>
    <w:pPr>
      <w:ind w:left="720"/>
      <w:contextualSpacing/>
    </w:pPr>
  </w:style>
  <w:style w:type="table" w:styleId="TableGrid">
    <w:name w:val="Table Grid"/>
    <w:basedOn w:val="TableNormal"/>
    <w:uiPriority w:val="39"/>
    <w:rsid w:val="005769D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58E"/>
    <w:rPr>
      <w:color w:val="800080" w:themeColor="followedHyperlink"/>
      <w:u w:val="single"/>
    </w:rPr>
  </w:style>
  <w:style w:type="paragraph" w:customStyle="1" w:styleId="tv213">
    <w:name w:val="tv213"/>
    <w:basedOn w:val="Normal"/>
    <w:rsid w:val="00FE32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A1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611">
      <w:bodyDiv w:val="1"/>
      <w:marLeft w:val="0"/>
      <w:marRight w:val="0"/>
      <w:marTop w:val="0"/>
      <w:marBottom w:val="0"/>
      <w:divBdr>
        <w:top w:val="none" w:sz="0" w:space="0" w:color="auto"/>
        <w:left w:val="none" w:sz="0" w:space="0" w:color="auto"/>
        <w:bottom w:val="none" w:sz="0" w:space="0" w:color="auto"/>
        <w:right w:val="none" w:sz="0" w:space="0" w:color="auto"/>
      </w:divBdr>
    </w:div>
    <w:div w:id="125857491">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225383579">
      <w:bodyDiv w:val="1"/>
      <w:marLeft w:val="0"/>
      <w:marRight w:val="0"/>
      <w:marTop w:val="0"/>
      <w:marBottom w:val="0"/>
      <w:divBdr>
        <w:top w:val="none" w:sz="0" w:space="0" w:color="auto"/>
        <w:left w:val="none" w:sz="0" w:space="0" w:color="auto"/>
        <w:bottom w:val="none" w:sz="0" w:space="0" w:color="auto"/>
        <w:right w:val="none" w:sz="0" w:space="0" w:color="auto"/>
      </w:divBdr>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05983058">
      <w:bodyDiv w:val="1"/>
      <w:marLeft w:val="0"/>
      <w:marRight w:val="0"/>
      <w:marTop w:val="0"/>
      <w:marBottom w:val="0"/>
      <w:divBdr>
        <w:top w:val="none" w:sz="0" w:space="0" w:color="auto"/>
        <w:left w:val="none" w:sz="0" w:space="0" w:color="auto"/>
        <w:bottom w:val="none" w:sz="0" w:space="0" w:color="auto"/>
        <w:right w:val="none" w:sz="0" w:space="0" w:color="auto"/>
      </w:divBdr>
    </w:div>
    <w:div w:id="1066761909">
      <w:bodyDiv w:val="1"/>
      <w:marLeft w:val="0"/>
      <w:marRight w:val="0"/>
      <w:marTop w:val="0"/>
      <w:marBottom w:val="0"/>
      <w:divBdr>
        <w:top w:val="none" w:sz="0" w:space="0" w:color="auto"/>
        <w:left w:val="none" w:sz="0" w:space="0" w:color="auto"/>
        <w:bottom w:val="none" w:sz="0" w:space="0" w:color="auto"/>
        <w:right w:val="none" w:sz="0" w:space="0" w:color="auto"/>
      </w:divBdr>
    </w:div>
    <w:div w:id="1979988331">
      <w:bodyDiv w:val="1"/>
      <w:marLeft w:val="0"/>
      <w:marRight w:val="0"/>
      <w:marTop w:val="0"/>
      <w:marBottom w:val="0"/>
      <w:divBdr>
        <w:top w:val="none" w:sz="0" w:space="0" w:color="auto"/>
        <w:left w:val="none" w:sz="0" w:space="0" w:color="auto"/>
        <w:bottom w:val="none" w:sz="0" w:space="0" w:color="auto"/>
        <w:right w:val="none" w:sz="0" w:space="0" w:color="auto"/>
      </w:divBdr>
    </w:div>
    <w:div w:id="1990360433">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C811-136B-4905-99B3-21B5A406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86418-6CEC-40F9-9BAE-E5509817CF4A}">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048371a-c377-4617-a558-28bad1ac8a64"/>
    <ds:schemaRef ds:uri="http://www.w3.org/XML/1998/namespace"/>
    <ds:schemaRef ds:uri="http://purl.org/dc/elements/1.1/"/>
  </ds:schemaRefs>
</ds:datastoreItem>
</file>

<file path=customXml/itemProps3.xml><?xml version="1.0" encoding="utf-8"?>
<ds:datastoreItem xmlns:ds="http://schemas.openxmlformats.org/officeDocument/2006/customXml" ds:itemID="{6DF17B0B-C0E9-4C85-8694-A56D1037DE74}">
  <ds:schemaRefs>
    <ds:schemaRef ds:uri="http://schemas.microsoft.com/sharepoint/v3/contenttype/forms"/>
  </ds:schemaRefs>
</ds:datastoreItem>
</file>

<file path=customXml/itemProps4.xml><?xml version="1.0" encoding="utf-8"?>
<ds:datastoreItem xmlns:ds="http://schemas.openxmlformats.org/officeDocument/2006/customXml" ds:itemID="{BFF2B2D2-542B-452C-A6C6-D28C5AE2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16312</Words>
  <Characters>9298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Nr.386 "Kārtība, kādā Valsts kase nodrošina elektronisko informācijas apmaiņu” sākotnējās ietekmes novērtējuma ziņojums (anotācija)</dc:title>
  <dc:subject>Anotācija</dc:subject>
  <dc:creator>Kurmis</dc:creator>
  <dc:description>martins.prikulis@kase.gov.lv; 67094291</dc:description>
  <cp:lastModifiedBy>Aiva Capa</cp:lastModifiedBy>
  <cp:revision>4</cp:revision>
  <cp:lastPrinted>2019-08-14T08:51:00Z</cp:lastPrinted>
  <dcterms:created xsi:type="dcterms:W3CDTF">2019-12-02T12:02:00Z</dcterms:created>
  <dcterms:modified xsi:type="dcterms:W3CDTF">2019-12-02T14:27:00Z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