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62620" w14:textId="77777777" w:rsidR="00245B02" w:rsidRPr="00427742" w:rsidRDefault="00245B02" w:rsidP="00373597">
      <w:pPr>
        <w:pStyle w:val="Heading2"/>
        <w:spacing w:before="0" w:after="0"/>
        <w:ind w:right="-108"/>
        <w:jc w:val="center"/>
        <w:rPr>
          <w:rFonts w:ascii="Times New Roman" w:hAnsi="Times New Roman"/>
          <w:bCs w:val="0"/>
          <w:i w:val="0"/>
          <w:sz w:val="26"/>
          <w:szCs w:val="26"/>
          <w:lang w:eastAsia="lv-LV"/>
        </w:rPr>
      </w:pPr>
      <w:r w:rsidRPr="00427742">
        <w:rPr>
          <w:rFonts w:ascii="Times New Roman" w:hAnsi="Times New Roman"/>
          <w:bCs w:val="0"/>
          <w:i w:val="0"/>
          <w:sz w:val="26"/>
          <w:szCs w:val="26"/>
          <w:lang w:eastAsia="lv-LV"/>
        </w:rPr>
        <w:t xml:space="preserve">Ministru kabineta noteikumu projekta </w:t>
      </w:r>
    </w:p>
    <w:p w14:paraId="7EB1903C" w14:textId="77777777" w:rsidR="00245B02" w:rsidRPr="00427742" w:rsidRDefault="00245B02" w:rsidP="00245B02">
      <w:pPr>
        <w:pStyle w:val="Heading2"/>
        <w:spacing w:before="0" w:after="0"/>
        <w:ind w:right="-108"/>
        <w:jc w:val="center"/>
        <w:rPr>
          <w:rFonts w:ascii="Times New Roman" w:hAnsi="Times New Roman"/>
          <w:bCs w:val="0"/>
          <w:i w:val="0"/>
          <w:sz w:val="26"/>
          <w:szCs w:val="26"/>
          <w:lang w:eastAsia="lv-LV"/>
        </w:rPr>
      </w:pPr>
      <w:r w:rsidRPr="00427742">
        <w:rPr>
          <w:rFonts w:ascii="Times New Roman" w:hAnsi="Times New Roman"/>
          <w:bCs w:val="0"/>
          <w:i w:val="0"/>
          <w:sz w:val="26"/>
          <w:szCs w:val="26"/>
          <w:lang w:eastAsia="lv-LV"/>
        </w:rPr>
        <w:t>„Noteikumi par pašvald</w:t>
      </w:r>
      <w:r w:rsidR="00373597">
        <w:rPr>
          <w:rFonts w:ascii="Times New Roman" w:hAnsi="Times New Roman"/>
          <w:bCs w:val="0"/>
          <w:i w:val="0"/>
          <w:sz w:val="26"/>
          <w:szCs w:val="26"/>
          <w:lang w:eastAsia="lv-LV"/>
        </w:rPr>
        <w:t>ību aizņēmumiem un galvojumiem”</w:t>
      </w:r>
    </w:p>
    <w:p w14:paraId="7CF73C3D" w14:textId="77777777" w:rsidR="00245B02" w:rsidRPr="00427742" w:rsidRDefault="00245B02" w:rsidP="00245B02">
      <w:pPr>
        <w:pStyle w:val="Heading2"/>
        <w:spacing w:before="0" w:after="0"/>
        <w:ind w:right="-108"/>
        <w:jc w:val="center"/>
        <w:rPr>
          <w:rFonts w:ascii="Times New Roman" w:hAnsi="Times New Roman"/>
          <w:i w:val="0"/>
          <w:sz w:val="26"/>
          <w:szCs w:val="26"/>
        </w:rPr>
      </w:pPr>
      <w:r w:rsidRPr="00427742">
        <w:rPr>
          <w:rFonts w:ascii="Times New Roman" w:hAnsi="Times New Roman"/>
          <w:i w:val="0"/>
          <w:sz w:val="26"/>
          <w:szCs w:val="26"/>
        </w:rPr>
        <w:t>sākotnējās ietekmes novērtējuma ziņojums (anotācija)</w:t>
      </w:r>
    </w:p>
    <w:p w14:paraId="33CEE679" w14:textId="77777777" w:rsidR="0009476E" w:rsidRDefault="0009476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A1C5F" w:rsidRPr="00EA1C5F" w14:paraId="14DB3533" w14:textId="77777777" w:rsidTr="00EA1C5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829B" w14:textId="77777777" w:rsidR="00EA1C5F" w:rsidRPr="00EA1C5F" w:rsidRDefault="00EA1C5F" w:rsidP="00EA1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A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A1C5F" w:rsidRPr="00EA1C5F" w14:paraId="30DEB00D" w14:textId="77777777" w:rsidTr="00EA1C5F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A48B" w14:textId="77777777" w:rsidR="00EA1C5F" w:rsidRPr="00EA1C5F" w:rsidRDefault="00EA1C5F" w:rsidP="00D109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A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9391F" w14:textId="6160EDBA" w:rsidR="005A3A05" w:rsidRDefault="00556AF4" w:rsidP="003746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projekts </w:t>
            </w:r>
            <w:r w:rsidR="00C12355" w:rsidRPr="00C123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„Noteikumi par pašvald</w:t>
            </w:r>
            <w:r w:rsidR="00B30F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ību aizņēmumiem un galvojumiem”</w:t>
            </w:r>
            <w:r w:rsidR="00A62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n</w:t>
            </w: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projekts) </w:t>
            </w:r>
            <w:r w:rsidR="00C12355" w:rsidRPr="00C123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izstrādāts pēc Finanšu ministrijas iniciatīvas, lai</w:t>
            </w:r>
            <w:r w:rsid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: </w:t>
            </w:r>
          </w:p>
          <w:p w14:paraId="29AA5922" w14:textId="2A91E575" w:rsidR="00D73A63" w:rsidRDefault="00C12355" w:rsidP="0097399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samazinātu administratīvo slogu </w:t>
            </w:r>
            <w:r w:rsidR="00ED7998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pašvaldībām </w:t>
            </w:r>
            <w:r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</w:t>
            </w:r>
            <w:r w:rsidR="00ED7998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nodrošinātu </w:t>
            </w:r>
            <w:r w:rsidR="00C140A1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operatīvu aizņēmumu un galvojumu dokumentu iesniegšanu</w:t>
            </w:r>
            <w:r w:rsidR="005A3A05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izskatīšanu</w:t>
            </w:r>
            <w:r w:rsidR="00C140A1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izmantojot </w:t>
            </w:r>
            <w:r w:rsidR="004A3D4F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kases </w:t>
            </w:r>
            <w:r w:rsidR="00DD0ED4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e-pakalpojumu (</w:t>
            </w:r>
            <w:proofErr w:type="spellStart"/>
            <w:r w:rsidR="00DD0ED4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eAizņēmumi</w:t>
            </w:r>
            <w:proofErr w:type="spellEnd"/>
            <w:r w:rsidR="001B7303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287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tādējādi nodrošinot</w:t>
            </w:r>
            <w:r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140A1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iesniedzamās informācijas (datu) automatizēšanu</w:t>
            </w:r>
            <w:r w:rsidR="00857873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ED7998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datu kvalitātes</w:t>
            </w:r>
            <w:r w:rsidR="00287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analīzes iespēju</w:t>
            </w:r>
            <w:r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paaugstināšanu </w:t>
            </w:r>
            <w:r w:rsidR="00E43EA2" w:rsidRPr="005A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287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</w:t>
            </w:r>
            <w:r w:rsidR="009739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rba efektivitātes palielināšanu;</w:t>
            </w:r>
            <w:r w:rsidR="00287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8A21827" w14:textId="77777777" w:rsidR="00973998" w:rsidRPr="005A0B52" w:rsidRDefault="00973998" w:rsidP="0097399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0B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ņemtu vērā Valsts kontroles ieteikto par izmaiņu iniciēšanu normatīvajos aktos, kas ļauj gūt pārliecību, ka pašvaldības ir izvērtējušas projektu ekonomiskumu, efektivitāti un aizņēmuma pieteikums atbilst pašvaldības apstiprinātajiem attīstības plānošanas dokumentiem.  </w:t>
            </w:r>
          </w:p>
          <w:p w14:paraId="34AF0980" w14:textId="77777777" w:rsidR="00D73A63" w:rsidRPr="00D73A63" w:rsidRDefault="00D73A63" w:rsidP="00D73A63">
            <w:pPr>
              <w:shd w:val="clear" w:color="auto" w:fill="FFFFFF"/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F3434EA" w14:textId="58B33270" w:rsidR="00EA1C5F" w:rsidRPr="006E2E59" w:rsidRDefault="00B3760D" w:rsidP="006E2E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projekts stāsies spēkā </w:t>
            </w:r>
            <w:r w:rsidR="007F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vispārējā kārtībā.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14:paraId="6A14C1A8" w14:textId="77777777" w:rsidR="00517482" w:rsidRPr="00746E69" w:rsidRDefault="0051748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208"/>
        <w:gridCol w:w="5429"/>
      </w:tblGrid>
      <w:tr w:rsidR="00E5323B" w:rsidRPr="00746E69" w14:paraId="39770A81" w14:textId="77777777" w:rsidTr="005A0B52">
        <w:trPr>
          <w:tblCellSpacing w:w="15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62931" w14:textId="77777777" w:rsidR="00655F2C" w:rsidRPr="00746E69" w:rsidRDefault="00E5323B" w:rsidP="007E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74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746E69" w14:paraId="57DAED1B" w14:textId="77777777" w:rsidTr="005A0B52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AB834" w14:textId="77777777" w:rsidR="00655F2C" w:rsidRPr="00746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9655A" w14:textId="77777777" w:rsidR="00E5323B" w:rsidRPr="00746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5B4F6" w14:textId="77777777" w:rsidR="00943A9A" w:rsidRPr="00CD2C4D" w:rsidRDefault="00E43EA2" w:rsidP="00E86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C140A1"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5A0B52"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C140A1"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5A0B52"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 w:rsidR="00C140A1"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A0B52"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septembra</w:t>
            </w:r>
            <w:r w:rsidR="002903E4"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</w:t>
            </w:r>
            <w:r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5A0B52"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430</w:t>
            </w:r>
            <w:r w:rsidRPr="009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„</w:t>
            </w:r>
            <w:r w:rsidR="005A0B52" w:rsidRPr="00943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Kārtība, kādā nodrošina informācijas apriti, izmantojot </w:t>
            </w:r>
            <w:r w:rsidR="005A0B52" w:rsidRPr="00CD2C4D">
              <w:rPr>
                <w:rFonts w:ascii="Times New Roman" w:hAnsi="Times New Roman" w:cs="Times New Roman"/>
                <w:bCs/>
                <w:sz w:val="24"/>
                <w:szCs w:val="24"/>
              </w:rPr>
              <w:t>Valsts kases e-pakalpojumus</w:t>
            </w:r>
            <w:r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5A0B52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A3A05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A0B52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.5</w:t>
            </w:r>
            <w:r w:rsidR="005A3A05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A0B52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</w:t>
            </w:r>
            <w:r w:rsidR="005A3A05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  <w:r w:rsidR="00943A9A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paredz</w:t>
            </w:r>
            <w:r w:rsidR="00943A9A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aizņēmumu pieteikšanai un pārvaldībai izmantot</w:t>
            </w:r>
            <w:r w:rsidR="00943A9A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43A9A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Valsts kases e-pakalpojumu (</w:t>
            </w:r>
            <w:proofErr w:type="spellStart"/>
            <w:r w:rsidR="00943A9A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eAizņēmumi</w:t>
            </w:r>
            <w:proofErr w:type="spellEnd"/>
            <w:r w:rsidR="00943A9A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(turpmāk - </w:t>
            </w:r>
            <w:r w:rsidR="00943A9A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noteikumi Nr.430).  </w:t>
            </w:r>
            <w:r w:rsidR="00943A9A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F13F3E" w14:textId="77777777" w:rsidR="00943A9A" w:rsidRPr="00CD2C4D" w:rsidRDefault="00943A9A" w:rsidP="00E865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</w:p>
          <w:p w14:paraId="1AEBE53E" w14:textId="224B667D" w:rsidR="00836965" w:rsidRPr="005A0B52" w:rsidRDefault="005A3A05" w:rsidP="005A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</w:t>
            </w:r>
            <w:r w:rsidR="00A623CE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īvā sloga </w:t>
            </w:r>
            <w:r w:rsidR="00836965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amazināšana</w:t>
            </w:r>
            <w:r w:rsidRPr="005A0B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A0B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pašvaldībām, Finanšu ministrijai un Pašvaldību aizņēmumu un galvojumu kontroles un pārraudzības padomei</w:t>
            </w:r>
            <w:r w:rsidR="00BE3CC7" w:rsidRPr="005A0B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padome)</w:t>
            </w:r>
            <w:r w:rsidRPr="005A0B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66C63750" w14:textId="77777777" w:rsidR="00836965" w:rsidRPr="005A0B52" w:rsidRDefault="00836965" w:rsidP="005A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9AA5DBD" w14:textId="53BC32CD" w:rsidR="00E5323B" w:rsidRPr="005A0B52" w:rsidRDefault="00836965" w:rsidP="00B027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0B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Pilnveidot aizņēmuma, galvojuma </w:t>
            </w:r>
            <w:r w:rsidR="00D73A63" w:rsidRPr="005A0B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iesniedzamos dokumentus </w:t>
            </w:r>
            <w:r w:rsidRPr="005A0B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labākas finanšu pārvaldības nodrošināšanai pašvaldībās un </w:t>
            </w:r>
            <w:r w:rsidRPr="00B50C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ņemt vērā </w:t>
            </w:r>
            <w:r w:rsidR="00973998" w:rsidRPr="00B50C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kontroles ieteikumu par izmaiņu iniciēšanu normatīvajos aktos, kas ļauj gūt pārliecību, ka pašvaldības ir izvērtējušas projektu ekonomiskumu, efektivitāti un aizņēmuma pieteikums atbilst pašvaldības apstiprinātajiem attīstības plānošanas dokumentiem.</w:t>
            </w:r>
            <w:r w:rsidR="00973998" w:rsidRPr="005A0B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421D88" w:rsidRPr="00746E69" w14:paraId="6C10A457" w14:textId="77777777" w:rsidTr="005A0B52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70FA9" w14:textId="77777777" w:rsidR="00421D88" w:rsidRPr="00746E69" w:rsidRDefault="00421D88" w:rsidP="00421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07A9E" w14:textId="77777777" w:rsidR="00421D88" w:rsidRDefault="00421D88" w:rsidP="00421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Pašreizējā situācija un problēmas, kuru risināšanai tiesību akta projekts izstrādāts, </w:t>
            </w: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tiesiskā regulējuma mērķis un būtība</w:t>
            </w:r>
          </w:p>
          <w:p w14:paraId="045CF065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7F02DE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9DF6FC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18F098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D2E943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4B7458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BB5F57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453A62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DDC121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46EEAD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3F149A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0622CC" w14:textId="77777777" w:rsidR="00421D88" w:rsidRPr="00F74886" w:rsidRDefault="00421D88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71D78F" w14:textId="77777777" w:rsidR="00252196" w:rsidRDefault="00252196" w:rsidP="00421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674E90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3D93F9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6290FF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6179CE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8A8E47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812DB5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C35284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418304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4C3454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80485D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650D6C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C0C8D2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E4D8EE" w14:textId="77777777" w:rsidR="00252196" w:rsidRPr="00252196" w:rsidRDefault="00252196" w:rsidP="002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632EF4" w14:textId="6ED325E9" w:rsidR="003E0F12" w:rsidRDefault="003E0F12" w:rsidP="002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4290AB" w14:textId="77777777" w:rsidR="003E0F12" w:rsidRPr="003E0F12" w:rsidRDefault="003E0F12" w:rsidP="003E0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C239EB" w14:textId="77777777" w:rsidR="003E0F12" w:rsidRPr="003E0F12" w:rsidRDefault="003E0F12" w:rsidP="003E0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623F60" w14:textId="21B4EBAE" w:rsidR="00421D88" w:rsidRPr="003E0F12" w:rsidRDefault="00421D88" w:rsidP="003E0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1A860" w14:textId="3E8BA277" w:rsidR="00836965" w:rsidRDefault="00421D88" w:rsidP="003746FC">
            <w:pPr>
              <w:spacing w:after="0" w:line="240" w:lineRule="auto"/>
              <w:ind w:right="5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Ministru kabine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ta </w:t>
            </w:r>
            <w:r w:rsidR="006B3655" w:rsidRPr="006B3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2008.g</w:t>
            </w:r>
            <w:r w:rsidR="006B3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ada 25.marta noteikumi</w:t>
            </w:r>
            <w:r w:rsidR="006B3655" w:rsidRPr="006B3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Nr.196 „Noteikumi par pašvaldību aizņēmumiem un galvojumiem”</w:t>
            </w:r>
            <w:r w:rsidR="00D13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</w:t>
            </w:r>
            <w:r w:rsidR="00750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13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 noteikumi)</w:t>
            </w:r>
            <w:r w:rsidR="006B3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62B1A" w:rsidRPr="00F62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nosaka kārtību, </w:t>
            </w:r>
            <w:r w:rsidR="00F62B1A" w:rsidRPr="00F62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kādā pašvaldības var ņemt aizņēmumus un sniegt galvojumus.</w:t>
            </w:r>
            <w:r w:rsidR="00A62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36965" w:rsidRPr="00836965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lv-LV"/>
              </w:rPr>
              <w:t>Noteikumos ir norādīti konkrēti iesniedzamie dokumenti</w:t>
            </w:r>
            <w:r w:rsidR="00836965" w:rsidRPr="008369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lv-LV"/>
              </w:rPr>
              <w:t>, tajā skaitā konkrētas veidlapu formas (aizņēmuma/galvojuma iesniegumam, aizņēm</w:t>
            </w:r>
            <w:r w:rsidR="00A623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lv-LV"/>
              </w:rPr>
              <w:t>uma ekonomiskajam pamatojumam</w:t>
            </w:r>
            <w:r w:rsidR="00750C3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lv-LV"/>
              </w:rPr>
              <w:t xml:space="preserve"> u.c.</w:t>
            </w:r>
            <w:r w:rsidR="00A623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lv-LV"/>
              </w:rPr>
              <w:t>)</w:t>
            </w:r>
            <w:r w:rsidR="007978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lv-LV"/>
              </w:rPr>
              <w:t>, kas pašvaldībām ir jāaizpilda un jāiesniedz padomei aizņēmuma, galvojuma pieprasījuma izskatīšanai</w:t>
            </w:r>
            <w:r w:rsidR="00A623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14:paraId="0DE48E8B" w14:textId="77777777" w:rsidR="00750C34" w:rsidRPr="00A623CE" w:rsidRDefault="00750C34" w:rsidP="003746FC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2D5373B" w14:textId="77777777" w:rsidR="00836965" w:rsidRDefault="00836965" w:rsidP="00836965">
            <w:pPr>
              <w:spacing w:after="0" w:line="240" w:lineRule="auto"/>
              <w:ind w:left="108" w:right="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Pašreizējā situācija:</w:t>
            </w:r>
          </w:p>
          <w:p w14:paraId="18B4896F" w14:textId="0B34A2DE" w:rsidR="00E23C43" w:rsidRPr="00E23C43" w:rsidRDefault="00E23C43" w:rsidP="008369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E23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atru gadu pieaug pašvaldību pieprasījumi pēc aizņēmumiem un galvojumiem</w:t>
            </w:r>
            <w:r w:rsidR="0079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109273D" w14:textId="77777777" w:rsidR="00836965" w:rsidRPr="001B7303" w:rsidRDefault="00836965" w:rsidP="008369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</w:t>
            </w:r>
            <w:r w:rsidRPr="001B730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ieprasījumi tiek iesniegti pa pastu papīra formā vai elektroniski ar e-parakstu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373326AD" w14:textId="1629094A" w:rsidR="00836965" w:rsidRDefault="00836965" w:rsidP="008369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1B7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audzos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gadījumos dokumenti ir kļūdaini</w:t>
            </w:r>
            <w:r w:rsidR="0079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nepilnīgi</w:t>
            </w:r>
            <w:r w:rsidRPr="001B7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netiek iesniegti visi nepieciešamie dokumenti, lai pieprasījumus būtu iespējams izvērtēt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405F9AAE" w14:textId="6125A1A5" w:rsidR="00836965" w:rsidRDefault="00836965" w:rsidP="008369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dokumentu labošana/precizēšana un papildus informācijas sniegšana ir lai</w:t>
            </w:r>
            <w:r w:rsidR="0079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kietilpīgs process, līdz ar to 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adome netiek operatīvi nodrošināta ar visu nepieciešamo informāciju;</w:t>
            </w:r>
          </w:p>
          <w:p w14:paraId="2EBDEB44" w14:textId="77777777" w:rsidR="00836965" w:rsidRDefault="00836965" w:rsidP="008369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sniegti lieki, nevajadzīgi liela apjoma dokumenti;</w:t>
            </w:r>
          </w:p>
          <w:p w14:paraId="61F1ED69" w14:textId="77777777" w:rsidR="007978E2" w:rsidRDefault="00836965" w:rsidP="008369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kapitālsabiedrību atsevišķu iesniedzamo dokum</w:t>
            </w:r>
            <w:r w:rsidR="0079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entu dublēšana Valsts kasei un 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adomei</w:t>
            </w:r>
            <w:r w:rsidR="0079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191DB343" w14:textId="78E7741C" w:rsidR="00836965" w:rsidRPr="007978E2" w:rsidRDefault="007978E2" w:rsidP="007978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lieks administratīvais slogs.</w:t>
            </w:r>
            <w:r w:rsidR="00836965" w:rsidRPr="0079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372CFE8" w14:textId="77777777" w:rsidR="00E86539" w:rsidRPr="009C1385" w:rsidRDefault="00E86539" w:rsidP="00E23C43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69EC476" w14:textId="0FDED048" w:rsidR="00E86539" w:rsidRPr="009C1385" w:rsidRDefault="00943A9A" w:rsidP="00E86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Atbilstoši </w:t>
            </w:r>
            <w:r w:rsidR="00EE2346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="00DD306A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oteikumu</w:t>
            </w:r>
            <w:r w:rsidR="00E86539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50CB7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Nr.430</w:t>
            </w:r>
            <w:r w:rsidR="00DD306A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50CB7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2.5</w:t>
            </w:r>
            <w:r w:rsidR="00DD306A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50CB7"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</w:t>
            </w:r>
            <w:r w:rsidRPr="00CD2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noteiktajam </w:t>
            </w:r>
            <w:r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Valsts kases e-pakalpojums (</w:t>
            </w:r>
            <w:proofErr w:type="spellStart"/>
            <w:r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eAizņēmumi</w:t>
            </w:r>
            <w:proofErr w:type="spellEnd"/>
            <w:r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paredzēts </w:t>
            </w:r>
            <w:r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aizņēmumu pieteikšanai un pārvaldībai</w:t>
            </w:r>
            <w:r w:rsidR="009C1385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saskaņā ar normatīvajiem aktiem</w:t>
            </w:r>
            <w:r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Saskaņ</w:t>
            </w:r>
            <w:r w:rsidR="009C1385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 ar L</w:t>
            </w:r>
            <w:r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ikum</w:t>
            </w:r>
            <w:r w:rsidR="00EE2346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 b</w:t>
            </w:r>
            <w:r w:rsidR="009C1385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udžetu un finanšu vadību 36.pantu aizdevumus var izsniegt gan pašvaldībām, gan pašvaldību kapitālsabiedrībām, ja</w:t>
            </w:r>
            <w:r w:rsidR="00FE590C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kapitālsabiedrības aizņēmumam </w:t>
            </w:r>
            <w:r w:rsidR="009C1385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sniegts nodrošinājums</w:t>
            </w:r>
            <w:r w:rsidR="00510A4D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1385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pašvaldības galvojums.</w:t>
            </w:r>
            <w:r w:rsidR="00FE590C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1385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FE590C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Līdz ar to pašvaldības galvojums ir viens no pašvaldības kapitālsabiedrības aizņēmuma sastāvdaļām</w:t>
            </w:r>
            <w:r w:rsidR="00510A4D" w:rsidRPr="00CD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Tāpēc </w:t>
            </w:r>
            <w:r w:rsidR="00FE590C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Valsts kases e</w:t>
            </w:r>
            <w:r w:rsidR="00EE2346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-pakalpojuma</w:t>
            </w:r>
            <w:r w:rsidR="00FE590C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FE590C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eAizņēmumi</w:t>
            </w:r>
            <w:proofErr w:type="spellEnd"/>
            <w:r w:rsidR="00FE590C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</w:t>
            </w:r>
            <w:r w:rsidR="00510A4D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sistēma </w:t>
            </w:r>
            <w:r w:rsidR="00FE590C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aptver arī</w:t>
            </w:r>
            <w:r w:rsidR="00510A4D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E590C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pašvaldības kapitālsabiedrības </w:t>
            </w:r>
            <w:r w:rsidR="00510A4D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aizņēmumus</w:t>
            </w:r>
            <w:r w:rsidR="00FE590C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kam</w:t>
            </w:r>
            <w:r w:rsidR="00510A4D" w:rsidRPr="00C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nepieciešams saņemt pašvaldības galvojumu ievērojot noteikumu projektā  noteikto kārtību.</w:t>
            </w:r>
            <w:r w:rsidR="00510A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3E399CB" w14:textId="77777777" w:rsidR="00E86539" w:rsidRDefault="00E86539" w:rsidP="00E23C43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9AE578C" w14:textId="022C5BA4" w:rsidR="00B50CB7" w:rsidRDefault="00DD306A" w:rsidP="00B02769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Vienlaikus Valsts kontrole</w:t>
            </w:r>
            <w:r w:rsidR="00E23C43" w:rsidRPr="00E23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likumības (atbilstības) revīzijas “Pašvaldību infrastruktūras objektu un projektu finansēšanas sistēmas, procesa un kritēriju atbilstība racionālas finanšu līdzekļu izlietošanas, efektivitātes un ilgtspējas principiem”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r</w:t>
            </w:r>
            <w:r w:rsidR="00682D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evīzija) </w:t>
            </w:r>
            <w:r w:rsidR="00E23C43" w:rsidRPr="00E23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86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ietvaros</w:t>
            </w:r>
            <w:r w:rsidR="00E23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ir  vērtējusi </w:t>
            </w:r>
            <w:r w:rsidR="00287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pašvaldību īstenotos projektus</w:t>
            </w:r>
            <w:r w:rsidR="00E86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87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projektu v</w:t>
            </w:r>
            <w:r w:rsidR="00E23C43" w:rsidRPr="00E23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</w:t>
            </w:r>
            <w:r w:rsidR="00287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īb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 labās prakses kritērijam un </w:t>
            </w:r>
            <w:r w:rsidR="00E86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norādīju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</w:t>
            </w:r>
            <w:r w:rsidR="00D73A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pašvaldībām </w:t>
            </w:r>
            <w:r w:rsidR="00DE2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aizņēmumi  </w:t>
            </w:r>
            <w:r w:rsidR="00DE2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projektiem atbilst pašvaldības apstiprinātajiem </w:t>
            </w:r>
            <w:r w:rsidR="00287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attīstības </w:t>
            </w:r>
            <w:r w:rsidR="00DE2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plānošanas</w:t>
            </w:r>
            <w:r w:rsidR="00D73A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E2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dokumentiem. </w:t>
            </w:r>
            <w:r w:rsidR="00D73A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7AC45FDE" w14:textId="77777777" w:rsidR="00B02769" w:rsidRPr="00B02769" w:rsidRDefault="00B02769" w:rsidP="00B02769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6862784" w14:textId="4151BDC3" w:rsidR="00E86539" w:rsidRDefault="002B2AD6" w:rsidP="00DD306A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ind w:left="3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2AD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lv-LV"/>
              </w:rPr>
              <w:t xml:space="preserve">Līdz ar to Finanšu ministrija ir izstrādājusi noteikumu </w:t>
            </w:r>
            <w:r w:rsidRPr="00CF48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projektu, </w:t>
            </w:r>
            <w:r w:rsidR="00CF48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kas</w:t>
            </w:r>
            <w:r w:rsidRPr="00CF48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paredz pašvaldības aizņēmumu un </w:t>
            </w:r>
            <w:r w:rsidR="00B027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kapitālsabiedrības aizņēmumu ar pašvaldības</w:t>
            </w:r>
            <w:r w:rsidR="00B02769" w:rsidRPr="00E865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galvojumu </w:t>
            </w:r>
            <w:r w:rsidR="00CF48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pieprasījumu</w:t>
            </w:r>
            <w:r w:rsidRPr="00CF48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iesniegšanu elektroniski Valsts kases e-pakalpojumu informācijas sistēmā (</w:t>
            </w:r>
            <w:proofErr w:type="spellStart"/>
            <w:r w:rsidRPr="00CF48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eAizņēmumi</w:t>
            </w:r>
            <w:proofErr w:type="spellEnd"/>
            <w:r w:rsidRPr="00CF48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), tādejādi </w:t>
            </w:r>
            <w:r w:rsidR="00CF4829" w:rsidRPr="00CF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nodrošinot efektīvāku dokumentu iesniegšanas un analizēšanas procesu (</w:t>
            </w:r>
            <w:r w:rsidR="00CF4829" w:rsidRPr="00CF4829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informācijas (datu) automatizēšana, datu kvalitātes uzlabošana, manuālā darba novirzīšanu uz analītisko darbu</w:t>
            </w:r>
            <w:r w:rsidR="00CF4829" w:rsidRPr="00CF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DD30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CF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optimizējot pašvaldību un </w:t>
            </w:r>
            <w:r w:rsidR="00CF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ministrijas </w:t>
            </w:r>
            <w:r w:rsidR="00CF4829" w:rsidRPr="00CF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darbu. </w:t>
            </w:r>
          </w:p>
          <w:p w14:paraId="60A6BDF1" w14:textId="512B9F03" w:rsidR="00522C58" w:rsidRPr="00B02769" w:rsidRDefault="00A52F29" w:rsidP="00B0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vienlaikus paredz būtiski samazināt iesniedzamo dokumentu </w:t>
            </w:r>
            <w:r w:rsidR="00E22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apjomu un izslēgt normatīvo aktu normu dublēšanu, kas ir noteiktas likumā “Par pašvaldību budžetiem”,</w:t>
            </w:r>
            <w:r w:rsidR="00A402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Likumā par </w:t>
            </w:r>
            <w:r w:rsidR="00A402C0" w:rsidRPr="001A6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budžetu un finanšu vadību</w:t>
            </w:r>
            <w:r w:rsidR="00E222A7" w:rsidRPr="001A6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402C0" w:rsidRPr="001A6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Ministru kabineta 201</w:t>
            </w:r>
            <w:r w:rsidR="001A60B0" w:rsidRPr="001A6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A402C0" w:rsidRPr="001A6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1A60B0" w:rsidRPr="001A6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13.augusta</w:t>
            </w:r>
            <w:r w:rsidR="00A402C0" w:rsidRPr="001A6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noteikumos Nr.36</w:t>
            </w:r>
            <w:r w:rsidR="001A60B0" w:rsidRPr="001A6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A402C0" w:rsidRPr="001A6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„</w:t>
            </w:r>
            <w:r w:rsidR="001A60B0" w:rsidRPr="001A6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Kārtība, kādā ministrijas un citas centrālās valsts iestādes iekļauj gadskārtējā valsts budžeta likumprojektā valsts aizdevumu pieprasījumus, un valsts aizdevumu izsniegšanas un apkalpošanas kārtība</w:t>
            </w:r>
            <w:r w:rsidR="00A402C0" w:rsidRPr="001A6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762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77D1BD29" w14:textId="40CD1588" w:rsidR="000E4EA7" w:rsidRDefault="004552DF" w:rsidP="003746FC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 uz</w:t>
            </w:r>
            <w:r w:rsidR="00B250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iepriekš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minēto</w:t>
            </w:r>
            <w:r w:rsidR="00DA4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</w:t>
            </w:r>
            <w:r w:rsid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 mazinātu administratīvo slogu</w:t>
            </w:r>
            <w:r w:rsidR="00AF60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pašvaldībām</w:t>
            </w:r>
            <w:r w:rsid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D91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</w:t>
            </w:r>
            <w:r w:rsidR="00E115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projekts paredz</w:t>
            </w:r>
            <w:r w:rsid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: </w:t>
            </w:r>
          </w:p>
          <w:p w14:paraId="4452BC57" w14:textId="48F5AD0F" w:rsidR="007036DB" w:rsidRDefault="007036DB" w:rsidP="007036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pašvaldības domes lēmumam sagatavoto aizņēmuma iesniegumu apvienot ar aiz</w:t>
            </w:r>
            <w:r w:rsidR="00D91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ņēmuma ekonomisko pamatojumu – 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projekta “</w:t>
            </w:r>
            <w:r w:rsidR="00E86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aizņēmuma pieprasījuma </w:t>
            </w:r>
            <w:r w:rsidRPr="00703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ekonomiskais pamatojums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(1.pielikums);</w:t>
            </w:r>
          </w:p>
          <w:p w14:paraId="3510258E" w14:textId="6C09384C" w:rsidR="00375027" w:rsidRPr="00375027" w:rsidRDefault="00375027" w:rsidP="003750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atbilstoši pašvaldības domes lēmumam sagatavoto galvojumu iesniegumu apvienot ar </w:t>
            </w:r>
            <w:r w:rsidR="00E86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galvojuma </w:t>
            </w:r>
            <w:r w:rsidR="00D91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ekonomisko pamatojumu – 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projekta “galvojuma</w:t>
            </w:r>
            <w:r w:rsidR="00E86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pieprasījuma </w:t>
            </w:r>
            <w:r w:rsidRPr="00703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ekonomiskais pamatojums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(4.pielikums);</w:t>
            </w:r>
          </w:p>
          <w:p w14:paraId="477D8B28" w14:textId="77777777" w:rsidR="000E4EA7" w:rsidRDefault="00A03241" w:rsidP="000E4E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pašvaldībai nebūs jā</w:t>
            </w:r>
            <w:r w:rsidR="000F2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sniedz izziņa par pašvaldības kreditoru un debitoru parādiem</w:t>
            </w:r>
            <w:r w:rsidR="00A279BB" w:rsidRP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minētā</w:t>
            </w:r>
            <w:r w:rsidR="00A279BB" w:rsidRP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informācija </w:t>
            </w:r>
            <w:r w:rsidR="00EC3F62" w:rsidRP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ministrijai ir pieejama</w:t>
            </w:r>
            <w:r w:rsidR="00A279BB" w:rsidRP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F1816" w:rsidRP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kases</w:t>
            </w:r>
            <w:r w:rsidR="00EC3F62" w:rsidRP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C3F62" w:rsidRP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ePārskatu</w:t>
            </w:r>
            <w:proofErr w:type="spellEnd"/>
            <w:r w:rsidR="00EC3F62" w:rsidRP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informācijas sistēmā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AF1816" w:rsidRP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oficiālajos </w:t>
            </w:r>
            <w:r w:rsidR="00EC3F62" w:rsidRP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pašvaldību iesniegtajos ceturkšņa</w:t>
            </w:r>
            <w:r w:rsidR="000E4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pārskatos;</w:t>
            </w:r>
          </w:p>
          <w:p w14:paraId="36505DD1" w14:textId="67BF566B" w:rsidR="007036DB" w:rsidRDefault="00A03241" w:rsidP="007036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pašvaldībai nebūs jā</w:t>
            </w:r>
            <w:r w:rsidR="000F2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sniedz tāme un/vai pieprasījums par būvdarbu veikšanu, pakalpojumiem</w:t>
            </w:r>
            <w:r w:rsidR="00703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jo informācija par p</w:t>
            </w:r>
            <w:r w:rsidR="00D91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rojekta izmaksām tiks norādīta n</w:t>
            </w:r>
            <w:r w:rsidR="00703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projekta </w:t>
            </w:r>
            <w:r w:rsidR="00707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1.pielikuma </w:t>
            </w:r>
            <w:r w:rsidR="00703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sadaļā “</w:t>
            </w:r>
            <w:r w:rsidR="007036DB" w:rsidRPr="00703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 par projekta faktiskajām izmaksām pēc iepirkuma </w:t>
            </w:r>
            <w:r w:rsidR="007036DB" w:rsidRPr="00703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procedūras vai līguma noslēgšanas un veiktajiem maksājumiem</w:t>
            </w:r>
            <w:r w:rsidR="00703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07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="00703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42BDE10" w14:textId="77777777" w:rsidR="00AF6066" w:rsidRPr="007134C1" w:rsidRDefault="000F2BF0" w:rsidP="00B27EDD">
            <w:pPr>
              <w:numPr>
                <w:ilvl w:val="0"/>
                <w:numId w:val="9"/>
              </w:numPr>
              <w:spacing w:after="0" w:line="240" w:lineRule="auto"/>
              <w:ind w:right="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pašvaldībai nebūs jāiesniedz noslēgtais</w:t>
            </w:r>
            <w:r w:rsidR="00B27EDD" w:rsidRPr="00B2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līgums par Eiropas Savienības fonda projekta īstenošanu (kopiju), jo Finanšu ministrijas pārstāvjiem tiks nodrošināta piekļuves tiesības </w:t>
            </w:r>
            <w:r w:rsidR="00B27EDD" w:rsidRPr="00713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Kohēzijas politikas fondu vadības informācijas sistēmai;</w:t>
            </w:r>
          </w:p>
          <w:p w14:paraId="61F2DC0F" w14:textId="77777777" w:rsidR="000E4EA7" w:rsidRPr="001A30D6" w:rsidRDefault="000F2BF0" w:rsidP="000E4E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3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plānojot ņemt vidēja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termiņa aizņēmumu, pašvaldībai domes lēmumā nebūs obligāti jānorāda plānoto aizņēmumu sadalījumā pa gadiem</w:t>
            </w:r>
            <w:r w:rsidR="000E4EA7" w:rsidRPr="001A3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jo informācija par aizņēmuma summas izņemšanas sadalījumu pa gadiem atbilstoši apstiprinātajam projekta ieviešanas grafikam tiek norādīta ai</w:t>
            </w:r>
            <w:r w:rsidR="00B27EDD" w:rsidRPr="001A3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zņēmuma</w:t>
            </w:r>
            <w:r w:rsidR="00E86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pieprasījuma </w:t>
            </w:r>
            <w:r w:rsidR="00B27EDD" w:rsidRPr="001A3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ekonomiskajā pamatojumā</w:t>
            </w:r>
            <w:r w:rsidR="00C61D1D" w:rsidRPr="001A3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(1.pielikums)</w:t>
            </w:r>
            <w:r w:rsidR="00B27EDD" w:rsidRPr="001A3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3CF119E5" w14:textId="220A271A" w:rsidR="00B27EDD" w:rsidRPr="00624172" w:rsidRDefault="000F2BF0" w:rsidP="00B27EDD">
            <w:pPr>
              <w:numPr>
                <w:ilvl w:val="0"/>
                <w:numId w:val="9"/>
              </w:numPr>
              <w:spacing w:after="0" w:line="240" w:lineRule="auto"/>
              <w:ind w:right="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tiks </w:t>
            </w:r>
            <w:r w:rsidR="00B27EDD" w:rsidRPr="00B2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svītrot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B27EDD" w:rsidRPr="00B2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punkts, kas nosaka, ka pašvaldībai pēc galvojuma līguma noslēgšanas</w:t>
            </w:r>
            <w:r w:rsidR="002442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442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jānosūta</w:t>
            </w:r>
            <w:proofErr w:type="spellEnd"/>
            <w:r w:rsidR="002442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informācija Iepirkumu uzraudzības birojam iekļaušanai pasūtītāju reģistrā</w:t>
            </w:r>
            <w:r w:rsidR="00B27EDD" w:rsidRPr="00B2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B2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jo atbilstoši Iepirkumu uzraudzības biroja sniegtajai informācijai </w:t>
            </w:r>
            <w:r w:rsidR="002442D5">
              <w:rPr>
                <w:rFonts w:ascii="Times New Roman" w:hAnsi="Times New Roman"/>
                <w:sz w:val="24"/>
                <w:szCs w:val="24"/>
              </w:rPr>
              <w:t>minētā</w:t>
            </w:r>
            <w:r w:rsidR="00B27EDD" w:rsidRPr="00AB4520">
              <w:rPr>
                <w:rFonts w:ascii="Times New Roman" w:hAnsi="Times New Roman"/>
                <w:sz w:val="24"/>
                <w:szCs w:val="24"/>
              </w:rPr>
              <w:t> </w:t>
            </w:r>
            <w:r w:rsidR="00B27EDD">
              <w:rPr>
                <w:rFonts w:ascii="Times New Roman" w:hAnsi="Times New Roman"/>
                <w:sz w:val="24"/>
                <w:szCs w:val="24"/>
              </w:rPr>
              <w:t>punkta norma saglabājusies</w:t>
            </w:r>
            <w:r w:rsidR="00B27EDD" w:rsidRPr="00AB4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EDD">
              <w:rPr>
                <w:rFonts w:ascii="Times New Roman" w:hAnsi="Times New Roman"/>
                <w:sz w:val="24"/>
                <w:szCs w:val="24"/>
              </w:rPr>
              <w:t>vēsturiski no publisko iepirkumu regulējuma, kurš bija spēkā līdz 2006.gada 30.aprīlim</w:t>
            </w:r>
            <w:r w:rsidR="00B2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B27EDD">
              <w:rPr>
                <w:rFonts w:ascii="Times New Roman" w:hAnsi="Times New Roman"/>
                <w:sz w:val="24"/>
                <w:szCs w:val="24"/>
              </w:rPr>
              <w:t>Pašreiz spēkā esošais publisko iepirkumu regulējums pasūtītāja statusa iegūšanu, ja saņemts valsts vai pašvaldības galvots kredīts, neparedz.</w:t>
            </w:r>
          </w:p>
          <w:p w14:paraId="087B35FE" w14:textId="77777777" w:rsidR="00E61D4D" w:rsidRDefault="00E61D4D" w:rsidP="00E61D4D">
            <w:pPr>
              <w:spacing w:after="0" w:line="240" w:lineRule="auto"/>
              <w:ind w:righ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D315E8" w14:textId="77777777" w:rsidR="004A278D" w:rsidRDefault="006B2102" w:rsidP="003746FC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 iesniedzamos dokumentus ir papildinājusi </w:t>
            </w:r>
            <w:r w:rsidR="004A2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pilnveidojusi pēc to būtības:</w:t>
            </w:r>
          </w:p>
          <w:p w14:paraId="24FC9C27" w14:textId="77777777" w:rsidR="003365A1" w:rsidRDefault="00E86539" w:rsidP="003365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86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aizņēmuma pieprasījuma </w:t>
            </w:r>
            <w:r w:rsidR="006B2102" w:rsidRPr="00E86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ekonomisko pamatojumu</w:t>
            </w:r>
            <w:r w:rsidR="006B2102" w:rsidRPr="00E86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sadaļu “Pašvaldības attīstības </w:t>
            </w:r>
            <w:r w:rsidR="00DE2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plānošanas </w:t>
            </w:r>
            <w:r w:rsidR="006B2102" w:rsidRPr="00E86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dokuments, kas paredz projekta </w:t>
            </w:r>
            <w:r w:rsidR="006B2102" w:rsidRPr="00443D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īstenošanu”, ņemot vērā Valsts kontroles</w:t>
            </w:r>
            <w:r w:rsidR="00707D26" w:rsidRPr="00443D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revīzijas</w:t>
            </w:r>
            <w:r w:rsidRPr="00443D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ietvaros</w:t>
            </w:r>
            <w:r w:rsidR="00682DE8" w:rsidRPr="00443D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ieteikto par projekta atbilstību pašvaldību attīstības prioritātēm</w:t>
            </w:r>
            <w:r w:rsidR="00A11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FE99715" w14:textId="06099FE4" w:rsidR="005D67B6" w:rsidRPr="00E64439" w:rsidRDefault="004A278D" w:rsidP="005D67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4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aizņēmuma, galvojuma pieteikuma iesniedzamos </w:t>
            </w:r>
            <w:r w:rsidR="00441782" w:rsidRPr="00E64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dokumentus ar </w:t>
            </w:r>
            <w:r w:rsidR="00E64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pašvaldības </w:t>
            </w:r>
            <w:r w:rsidR="00441782" w:rsidRPr="00E64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priekšsēdētāja</w:t>
            </w:r>
            <w:r w:rsidR="00DE2589" w:rsidRPr="00E64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apliecinājumiem, lai </w:t>
            </w:r>
            <w:r w:rsidRPr="00E64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gūtu lielāku pārliecību par labāku aizņēmumu, ga</w:t>
            </w:r>
            <w:r w:rsidR="00682DE8" w:rsidRPr="00E64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DE2589" w:rsidRPr="00E64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vojumu pārvaldību  pašvaldībās, </w:t>
            </w:r>
            <w:r w:rsidR="005D67B6" w:rsidRPr="00E64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tajā skaitā, </w:t>
            </w:r>
            <w:r w:rsidR="005D67B6" w:rsidRPr="00E64439">
              <w:rPr>
                <w:rFonts w:ascii="Times New Roman" w:hAnsi="Times New Roman" w:cs="Times New Roman"/>
                <w:sz w:val="24"/>
                <w:szCs w:val="24"/>
              </w:rPr>
              <w:t>lai gūtu lielāku pārliecību, ka pašvaldības kā kapitāla daļu turētāj</w:t>
            </w:r>
            <w:r w:rsidR="006E2E59" w:rsidRPr="00E644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67B6" w:rsidRPr="00E64439">
              <w:rPr>
                <w:rFonts w:ascii="Times New Roman" w:hAnsi="Times New Roman" w:cs="Times New Roman"/>
                <w:sz w:val="24"/>
                <w:szCs w:val="24"/>
              </w:rPr>
              <w:t>s nodrošina savas kapitālsabiedrības finansiālās darbības uzraudzību atbilstoši labas korporatīvās pārvaldības principiem,  atbilstoši Publiskas personas kapitāla daļu un kapitā</w:t>
            </w:r>
            <w:r w:rsidR="0077628E" w:rsidRPr="00E64439">
              <w:rPr>
                <w:rFonts w:ascii="Times New Roman" w:hAnsi="Times New Roman" w:cs="Times New Roman"/>
                <w:sz w:val="24"/>
                <w:szCs w:val="24"/>
              </w:rPr>
              <w:t xml:space="preserve">lsabiedrību pārvaldības likumā </w:t>
            </w:r>
            <w:r w:rsidR="005D67B6" w:rsidRPr="00E64439">
              <w:rPr>
                <w:rFonts w:ascii="Times New Roman" w:hAnsi="Times New Roman" w:cs="Times New Roman"/>
                <w:sz w:val="24"/>
                <w:szCs w:val="24"/>
              </w:rPr>
              <w:t>un likuma “Par pašvaldību budžetiem” 25.panta trešajā</w:t>
            </w:r>
            <w:r w:rsidR="00E64439">
              <w:rPr>
                <w:rFonts w:ascii="Times New Roman" w:hAnsi="Times New Roman" w:cs="Times New Roman"/>
                <w:sz w:val="24"/>
                <w:szCs w:val="24"/>
              </w:rPr>
              <w:t xml:space="preserve"> daļā noteiktajai  kompetencei.</w:t>
            </w:r>
            <w:r w:rsidR="0077628E" w:rsidRPr="00E6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B6" w:rsidRPr="00E64439">
              <w:rPr>
                <w:rFonts w:ascii="Times New Roman" w:hAnsi="Times New Roman" w:cs="Times New Roman"/>
                <w:sz w:val="24"/>
                <w:szCs w:val="24"/>
              </w:rPr>
              <w:t xml:space="preserve">Līdz ar to, lai mazinātu </w:t>
            </w:r>
            <w:r w:rsidR="005D67B6" w:rsidRPr="00E6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administratīvo slogu, atsevišķs kapitālsabiedrības valdes priekšsēdētāja apliecinājums </w:t>
            </w:r>
            <w:r w:rsidR="0077628E" w:rsidRPr="00E64439">
              <w:rPr>
                <w:rFonts w:ascii="Times New Roman" w:hAnsi="Times New Roman" w:cs="Times New Roman"/>
                <w:sz w:val="24"/>
                <w:szCs w:val="24"/>
              </w:rPr>
              <w:t xml:space="preserve">pie pašvaldības galvojuma pieprasījuma </w:t>
            </w:r>
            <w:r w:rsidR="005D67B6" w:rsidRPr="00E64439">
              <w:rPr>
                <w:rFonts w:ascii="Times New Roman" w:hAnsi="Times New Roman" w:cs="Times New Roman"/>
                <w:sz w:val="24"/>
                <w:szCs w:val="24"/>
              </w:rPr>
              <w:t xml:space="preserve">par kapitālsabiedrības finanšu stāvokli, nav nepieciešams. </w:t>
            </w:r>
          </w:p>
          <w:p w14:paraId="7A119F01" w14:textId="77068C64" w:rsidR="006D0592" w:rsidRPr="006E2E59" w:rsidRDefault="006C4846" w:rsidP="006D05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4439">
              <w:rPr>
                <w:rFonts w:ascii="Times New Roman" w:hAnsi="Times New Roman"/>
                <w:sz w:val="24"/>
                <w:szCs w:val="24"/>
              </w:rPr>
              <w:t>aizņēmuma iesniedzamie dokumenti papildināti</w:t>
            </w:r>
            <w:r w:rsidR="00E61D4D" w:rsidRPr="00E64439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E64439">
              <w:rPr>
                <w:rFonts w:ascii="Times New Roman" w:hAnsi="Times New Roman"/>
                <w:sz w:val="24"/>
                <w:szCs w:val="24"/>
              </w:rPr>
              <w:t xml:space="preserve">jaunu obligāti </w:t>
            </w:r>
            <w:r w:rsidR="00E61D4D" w:rsidRPr="00E64439">
              <w:rPr>
                <w:rFonts w:ascii="Times New Roman" w:hAnsi="Times New Roman"/>
                <w:sz w:val="24"/>
                <w:szCs w:val="24"/>
              </w:rPr>
              <w:t>iesniedzamo dokumentu “</w:t>
            </w:r>
            <w:r w:rsidR="00A63FE9" w:rsidRPr="00E64439">
              <w:rPr>
                <w:rFonts w:ascii="Times New Roman" w:hAnsi="Times New Roman"/>
                <w:sz w:val="24"/>
                <w:szCs w:val="24"/>
              </w:rPr>
              <w:t>projekta īstenošanas naudas plūsma atbilstoši darbu izpildes grafikam</w:t>
            </w:r>
            <w:r w:rsidR="00E61D4D" w:rsidRPr="00E64439">
              <w:rPr>
                <w:rFonts w:ascii="Times New Roman" w:hAnsi="Times New Roman"/>
                <w:sz w:val="24"/>
                <w:szCs w:val="24"/>
              </w:rPr>
              <w:t>”</w:t>
            </w:r>
            <w:r w:rsidR="008835E5" w:rsidRPr="00E644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4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apliecinātu, ka aizņēmums tiks </w:t>
            </w:r>
            <w:r w:rsidRPr="00E64439">
              <w:rPr>
                <w:rFonts w:ascii="Times New Roman" w:hAnsi="Times New Roman"/>
                <w:sz w:val="24"/>
                <w:szCs w:val="24"/>
              </w:rPr>
              <w:t xml:space="preserve">plānots atbilstoši veicamo darbu laika grafikam un netiktu nepamatoti rezervēts aizņēmuma  </w:t>
            </w:r>
            <w:r w:rsidRPr="005C1862">
              <w:rPr>
                <w:rFonts w:ascii="Times New Roman" w:hAnsi="Times New Roman"/>
                <w:sz w:val="24"/>
                <w:szCs w:val="24"/>
              </w:rPr>
              <w:t xml:space="preserve">apmērs attiecīgajā gadā. </w:t>
            </w:r>
          </w:p>
          <w:p w14:paraId="5144DA7A" w14:textId="77777777" w:rsidR="006E2E59" w:rsidRPr="005C1862" w:rsidRDefault="006E2E59" w:rsidP="006E2E59">
            <w:pPr>
              <w:pStyle w:val="ListParagraph"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088F1A7" w14:textId="691884CA" w:rsidR="006C4846" w:rsidRDefault="006D0592" w:rsidP="006D0592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62">
              <w:rPr>
                <w:rFonts w:ascii="Times New Roman" w:hAnsi="Times New Roman"/>
                <w:sz w:val="24"/>
                <w:szCs w:val="24"/>
              </w:rPr>
              <w:t>Padome izstrādās vadlīnijas (</w:t>
            </w:r>
            <w:r w:rsidR="005C1862">
              <w:rPr>
                <w:rFonts w:ascii="Times New Roman" w:hAnsi="Times New Roman"/>
                <w:sz w:val="24"/>
                <w:szCs w:val="24"/>
              </w:rPr>
              <w:t>metodisko materiālu) iesniedzamā</w:t>
            </w:r>
            <w:r w:rsidRPr="005C1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862" w:rsidRPr="005C1862">
              <w:rPr>
                <w:rFonts w:ascii="Times New Roman" w:hAnsi="Times New Roman"/>
                <w:sz w:val="24"/>
                <w:szCs w:val="24"/>
              </w:rPr>
              <w:t>aizņēmuma/galvojuma ekonomiskā pamatojuma</w:t>
            </w:r>
            <w:r w:rsidRPr="005C1862">
              <w:rPr>
                <w:rFonts w:ascii="Times New Roman" w:hAnsi="Times New Roman"/>
                <w:sz w:val="24"/>
                <w:szCs w:val="24"/>
              </w:rPr>
              <w:t xml:space="preserve"> aizpildīšanai, kas tiks publicētas Finanšu ministrijas</w:t>
            </w:r>
            <w:r w:rsidR="0016469D" w:rsidRPr="005C1862">
              <w:rPr>
                <w:rFonts w:ascii="Times New Roman" w:hAnsi="Times New Roman"/>
                <w:sz w:val="24"/>
                <w:szCs w:val="24"/>
              </w:rPr>
              <w:t xml:space="preserve"> oficiālajā</w:t>
            </w:r>
            <w:r w:rsidRPr="005C1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D" w:rsidRPr="005C1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tīmekļvietnē</w:t>
            </w:r>
            <w:r w:rsidR="0016469D" w:rsidRPr="005C1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16469D" w:rsidRPr="005C18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www.fm.gov.lv</w:t>
              </w:r>
            </w:hyperlink>
          </w:p>
          <w:p w14:paraId="50AB80D6" w14:textId="77777777" w:rsidR="006C4846" w:rsidRPr="006C4846" w:rsidRDefault="006C4846" w:rsidP="006C4846">
            <w:pPr>
              <w:pStyle w:val="ListParagraph"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E7A849B" w14:textId="36449604" w:rsidR="006C4846" w:rsidRPr="006C4846" w:rsidRDefault="00707D26" w:rsidP="006C4846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Vienlaikus n</w:t>
            </w:r>
            <w:r w:rsidR="006C4846" w:rsidRPr="007134C1">
              <w:rPr>
                <w:rFonts w:ascii="Times New Roman" w:hAnsi="Times New Roman" w:cs="Times New Roman"/>
                <w:sz w:val="24"/>
                <w:szCs w:val="24"/>
              </w:rPr>
              <w:t>oteikumu projekts papildināts ar jaunu punktu (</w:t>
            </w:r>
            <w:r w:rsidR="00443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35E5" w:rsidRPr="007134C1">
              <w:rPr>
                <w:rFonts w:ascii="Times New Roman" w:hAnsi="Times New Roman" w:cs="Times New Roman"/>
                <w:sz w:val="24"/>
                <w:szCs w:val="24"/>
              </w:rPr>
              <w:t>.punkts</w:t>
            </w:r>
            <w:r w:rsidR="006C4846" w:rsidRPr="007134C1">
              <w:rPr>
                <w:rFonts w:ascii="Times New Roman" w:hAnsi="Times New Roman" w:cs="Times New Roman"/>
                <w:sz w:val="24"/>
                <w:szCs w:val="24"/>
              </w:rPr>
              <w:t>), kas</w:t>
            </w:r>
            <w:r w:rsidR="008835E5" w:rsidRPr="007134C1">
              <w:rPr>
                <w:rFonts w:ascii="Times New Roman" w:hAnsi="Times New Roman" w:cs="Times New Roman"/>
                <w:sz w:val="24"/>
                <w:szCs w:val="24"/>
              </w:rPr>
              <w:t xml:space="preserve"> nosaka, ka gadījumā, ja projekta īstenošanai nebūs nepieciešama visa saimnieciskajā gadā piešķirtā</w:t>
            </w:r>
            <w:r w:rsidR="008835E5" w:rsidRPr="006C4846">
              <w:rPr>
                <w:rFonts w:ascii="Times New Roman" w:hAnsi="Times New Roman" w:cs="Times New Roman"/>
                <w:sz w:val="24"/>
                <w:szCs w:val="24"/>
              </w:rPr>
              <w:t xml:space="preserve"> aizņēmuma summa atbilstoši noslēgtajam aizdevuma līgumam ar Valsts kasi, </w:t>
            </w:r>
            <w:r w:rsidR="00C56CF7" w:rsidRPr="006C4846">
              <w:rPr>
                <w:rFonts w:ascii="Times New Roman" w:hAnsi="Times New Roman" w:cs="Times New Roman"/>
                <w:sz w:val="24"/>
                <w:szCs w:val="24"/>
              </w:rPr>
              <w:t>pašvaldībai līdz kārtējā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gada 1.oktobrim ir jāiesniedz </w:t>
            </w:r>
            <w:r w:rsidR="00C56CF7" w:rsidRPr="006C4846">
              <w:rPr>
                <w:rFonts w:ascii="Times New Roman" w:hAnsi="Times New Roman" w:cs="Times New Roman"/>
                <w:sz w:val="24"/>
                <w:szCs w:val="24"/>
              </w:rPr>
              <w:t>padomē  inform</w:t>
            </w:r>
            <w:r w:rsidR="00A63FE9" w:rsidRPr="006C4846">
              <w:rPr>
                <w:rFonts w:ascii="Times New Roman" w:hAnsi="Times New Roman" w:cs="Times New Roman"/>
                <w:sz w:val="24"/>
                <w:szCs w:val="24"/>
              </w:rPr>
              <w:t>ācija</w:t>
            </w:r>
            <w:r w:rsidR="00C56CF7" w:rsidRPr="006C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FE9" w:rsidRPr="006C4846">
              <w:rPr>
                <w:rFonts w:ascii="Times New Roman" w:hAnsi="Times New Roman" w:cs="Times New Roman"/>
                <w:sz w:val="24"/>
                <w:szCs w:val="24"/>
              </w:rPr>
              <w:t xml:space="preserve">par neapgūtā aizņēmuma apmēru un </w:t>
            </w:r>
            <w:r w:rsidR="003B7043">
              <w:rPr>
                <w:rFonts w:ascii="Times New Roman" w:hAnsi="Times New Roman" w:cs="Times New Roman"/>
                <w:sz w:val="24"/>
                <w:szCs w:val="24"/>
              </w:rPr>
              <w:t xml:space="preserve">tā </w:t>
            </w:r>
            <w:r w:rsidR="003B7043" w:rsidRPr="00893996">
              <w:rPr>
                <w:rFonts w:ascii="Times New Roman" w:hAnsi="Times New Roman" w:cs="Times New Roman"/>
                <w:sz w:val="24"/>
                <w:szCs w:val="24"/>
              </w:rPr>
              <w:t xml:space="preserve">pamatojumu, lai </w:t>
            </w:r>
            <w:r w:rsidR="00893996" w:rsidRPr="00893996">
              <w:rPr>
                <w:rFonts w:ascii="Times New Roman" w:hAnsi="Times New Roman" w:cs="Times New Roman"/>
                <w:sz w:val="24"/>
                <w:szCs w:val="24"/>
              </w:rPr>
              <w:t xml:space="preserve">būtu iespējams </w:t>
            </w:r>
            <w:r w:rsidR="00893996" w:rsidRPr="00893996">
              <w:rPr>
                <w:rFonts w:ascii="Times New Roman" w:hAnsi="Times New Roman" w:cs="Times New Roman"/>
                <w:bCs/>
                <w:sz w:val="24"/>
                <w:szCs w:val="24"/>
              </w:rPr>
              <w:t>identificēt</w:t>
            </w:r>
            <w:r w:rsidR="003B7043" w:rsidRPr="00893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3996" w:rsidRPr="00893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analizēt aizņēmuma nepagūšanas </w:t>
            </w:r>
            <w:r w:rsidR="003B7043" w:rsidRPr="00893996">
              <w:rPr>
                <w:rFonts w:ascii="Times New Roman" w:hAnsi="Times New Roman" w:cs="Times New Roman"/>
                <w:bCs/>
                <w:sz w:val="24"/>
                <w:szCs w:val="24"/>
              </w:rPr>
              <w:t>iemeslus.</w:t>
            </w:r>
            <w:r w:rsidR="003B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3E199C" w14:textId="77777777" w:rsidR="006C4846" w:rsidRPr="006C4846" w:rsidRDefault="006C4846" w:rsidP="006C4846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  <w:p w14:paraId="597AB9C4" w14:textId="58E6BDE3" w:rsidR="00C06EF0" w:rsidRPr="001619E4" w:rsidRDefault="00707D26" w:rsidP="00C06EF0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 to, ka p</w:t>
            </w:r>
            <w:r w:rsidR="00FC7321"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adomes darba tehniskos/ organizatoriskos jautājumus nosaka</w:t>
            </w:r>
            <w:r w:rsidR="00666DED"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2018.gada 25.jūlija Pašvaldību aizņēmumu un galvojumu kontroles un pārraudzības</w:t>
            </w:r>
            <w:r w:rsidR="00FC7321"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FC7321"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adomes reglaments</w:t>
            </w:r>
            <w:r w:rsidR="00666DED"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Nr.12-4/10</w:t>
            </w:r>
            <w:r w:rsidR="00AD3E0E"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(tiks </w:t>
            </w:r>
            <w:proofErr w:type="spellStart"/>
            <w:r w:rsidR="00AD3E0E"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pārizdots</w:t>
            </w:r>
            <w:proofErr w:type="spellEnd"/>
            <w:r w:rsidR="00AD3E0E"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pēc šo noteikumu spēkā stāšanās)</w:t>
            </w:r>
            <w:r w:rsidR="00C06EF0"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noteikumu projektā šāda informācija nav iekļauta.  </w:t>
            </w:r>
          </w:p>
          <w:p w14:paraId="079AB338" w14:textId="734DFF78" w:rsidR="00AD3E0E" w:rsidRDefault="00AD3E0E" w:rsidP="00C06EF0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24E9642" w14:textId="51EC3505" w:rsidR="00AD3E0E" w:rsidRPr="00AD3E0E" w:rsidRDefault="00AD3E0E" w:rsidP="00C06EF0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D3E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 par padomes kārtējās sēdes, kas notiek ne retāk kā reizi mēnesī, datumu tiek publicēta Finanšu ministrijas </w:t>
            </w:r>
            <w:r w:rsidR="00164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oficiālajā </w:t>
            </w:r>
            <w:r w:rsidRPr="00AD3E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tīmekļvietnē:</w:t>
            </w:r>
          </w:p>
          <w:p w14:paraId="1BC957E1" w14:textId="116E0120" w:rsidR="00AD3E0E" w:rsidRPr="00AD3E0E" w:rsidRDefault="003161FA" w:rsidP="00C06EF0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hyperlink r:id="rId9" w:history="1">
              <w:r w:rsidR="00AD3E0E" w:rsidRPr="00AD3E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https://www.fm.gov.lv/lv/sadalas/pasvaldibu_finansu_uzraudziba/pasvaldibu_aiznemumu_un_galvojumu_kontroles_un_parraudzibas_padome/</w:t>
              </w:r>
            </w:hyperlink>
          </w:p>
          <w:p w14:paraId="462A5346" w14:textId="0547728B" w:rsidR="003B7043" w:rsidRDefault="003B7043" w:rsidP="006C4846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5ABD44A" w14:textId="749E12E1" w:rsidR="0046262D" w:rsidRPr="00624172" w:rsidRDefault="0046262D" w:rsidP="004626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2">
              <w:rPr>
                <w:rFonts w:ascii="Times New Roman" w:hAnsi="Times New Roman" w:cs="Times New Roman"/>
                <w:sz w:val="24"/>
                <w:szCs w:val="24"/>
              </w:rPr>
              <w:t>Gadījumā, ja tehnisku iemeslu dēļ nav pieejams Valsts kases e-pakalpojums (</w:t>
            </w:r>
            <w:proofErr w:type="spellStart"/>
            <w:r w:rsidRPr="00624172">
              <w:rPr>
                <w:rFonts w:ascii="Times New Roman" w:hAnsi="Times New Roman" w:cs="Times New Roman"/>
                <w:sz w:val="24"/>
                <w:szCs w:val="24"/>
              </w:rPr>
              <w:t>eAizņēmumi</w:t>
            </w:r>
            <w:proofErr w:type="spellEnd"/>
            <w:r w:rsidRPr="00624172">
              <w:rPr>
                <w:rFonts w:ascii="Times New Roman" w:hAnsi="Times New Roman" w:cs="Times New Roman"/>
                <w:sz w:val="24"/>
                <w:szCs w:val="24"/>
              </w:rPr>
              <w:t xml:space="preserve">), dokumentu aprite tiek nodrošināta, izmantojot drošu elektronisko parakstu, informāciju sūtot uz Finanšu ministrijas oficiālo e-adresi. </w:t>
            </w:r>
          </w:p>
          <w:p w14:paraId="5E8813BC" w14:textId="533D4033" w:rsidR="00E1158F" w:rsidRDefault="00E1158F" w:rsidP="00707D26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4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vienlaikus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 tehniskus grozījumus, lai netiktu dublētas Finanšu ministrijas un Valsts kases funkcijas:</w:t>
            </w:r>
          </w:p>
          <w:p w14:paraId="256A0471" w14:textId="0A73CADC" w:rsidR="00A835C5" w:rsidRPr="007134C1" w:rsidRDefault="00A835C5" w:rsidP="00A835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sniedzot galvojumu kapitālsabiedrībai nebūs jāiesniedz kapitālsabiedrības finanšu pārskats, kas atbilstoši</w:t>
            </w:r>
            <w:r w:rsidR="00E1158F" w:rsidRPr="00A835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1158F" w:rsidRPr="00713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</w:t>
            </w:r>
            <w:r w:rsidR="00666D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9.gada 13</w:t>
            </w:r>
            <w:r w:rsid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666D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</w:t>
            </w:r>
            <w:r w:rsidR="00E1158F" w:rsidRPr="00713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noteikumos Nr.36</w:t>
            </w:r>
            <w:r w:rsidR="002A4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E1158F" w:rsidRPr="00713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“Kārtība, kādā ministrijas un citas centrālās valsts iestādes iekļauj gadskārtējā valsts budžeta likumprojektā valsts aizdevumu pieprasījumus, un valsts aizdevumu izsniegšanas un apkalpošanas kārtība”</w:t>
            </w:r>
            <w:r w:rsidRPr="00713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tiek iesniegts Valsts kasē;</w:t>
            </w:r>
          </w:p>
          <w:p w14:paraId="6F39212A" w14:textId="086098B4" w:rsidR="000956CF" w:rsidRDefault="00EB50D4" w:rsidP="00A835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5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 par saimnieciskā gadā piešķirtā vidēja termiņa aizņēmumu ir pieejama Valsts kases </w:t>
            </w:r>
            <w:proofErr w:type="spellStart"/>
            <w:r w:rsidRPr="00A835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ePārskatu</w:t>
            </w:r>
            <w:proofErr w:type="spellEnd"/>
            <w:r w:rsidRPr="00A835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informācijas sistēmā </w:t>
            </w:r>
            <w:r w:rsidRPr="00682D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oficiālajos pašvaldību iesniegtajos mēneša pārskatos. </w:t>
            </w:r>
          </w:p>
          <w:p w14:paraId="7CCEF50C" w14:textId="77777777" w:rsidR="006E2E59" w:rsidRPr="00682DE8" w:rsidRDefault="006E2E59" w:rsidP="006E2E59">
            <w:pPr>
              <w:pStyle w:val="ListParagraph"/>
              <w:spacing w:after="0" w:line="240" w:lineRule="auto"/>
              <w:ind w:left="828"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DBA3859" w14:textId="51D00015" w:rsidR="00421D88" w:rsidRPr="00746E69" w:rsidRDefault="00421D88" w:rsidP="00707D26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2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Pašvaldības </w:t>
            </w:r>
            <w:r w:rsidR="006E349B" w:rsidRPr="00682DE8">
              <w:rPr>
                <w:rFonts w:ascii="Times New Roman" w:eastAsia="Calibri" w:hAnsi="Times New Roman" w:cs="Times New Roman"/>
                <w:sz w:val="24"/>
                <w:szCs w:val="24"/>
              </w:rPr>
              <w:t>e-pakalpojumu (</w:t>
            </w:r>
            <w:proofErr w:type="spellStart"/>
            <w:r w:rsidR="006E349B" w:rsidRPr="00682D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eAizņēmumi</w:t>
            </w:r>
            <w:proofErr w:type="spellEnd"/>
            <w:r w:rsidR="006E349B" w:rsidRPr="00682D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="008A39FA" w:rsidRPr="00682D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sāks lietot</w:t>
            </w:r>
            <w:r w:rsidR="00707D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pēc n</w:t>
            </w:r>
            <w:r w:rsidR="00682DE8" w:rsidRPr="00682D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oteikumu projekta pieņemšanas Ministru kabinetā.</w:t>
            </w:r>
          </w:p>
        </w:tc>
      </w:tr>
      <w:tr w:rsidR="00421D88" w:rsidRPr="00746E69" w14:paraId="69EC3B74" w14:textId="77777777" w:rsidTr="005A0B52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A11B" w14:textId="77777777" w:rsidR="00421D88" w:rsidRPr="00746E69" w:rsidRDefault="00421D88" w:rsidP="00421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A5A41" w14:textId="77777777" w:rsidR="00421D88" w:rsidRPr="00746E69" w:rsidRDefault="00421D88" w:rsidP="00421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55A75" w14:textId="77777777" w:rsidR="00421D88" w:rsidRPr="00746E69" w:rsidRDefault="00682DE8" w:rsidP="00707D26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</w:p>
        </w:tc>
      </w:tr>
      <w:tr w:rsidR="00421D88" w:rsidRPr="00746E69" w14:paraId="1483C95D" w14:textId="77777777" w:rsidTr="005A0B52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1C236" w14:textId="77777777" w:rsidR="00421D88" w:rsidRPr="00746E69" w:rsidRDefault="00421D88" w:rsidP="00421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48C5" w14:textId="77777777" w:rsidR="00421D88" w:rsidRPr="00746E69" w:rsidRDefault="00421D88" w:rsidP="00421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8550D" w14:textId="77777777" w:rsidR="00421D88" w:rsidRPr="00746E69" w:rsidRDefault="00D23645" w:rsidP="00707D26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236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 to, ka tiek veiktas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apjomīgas</w:t>
            </w:r>
            <w:r w:rsidRPr="00D236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izmaiņas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aizņēmumu un galvojumu iesniegšanas kārtībā</w:t>
            </w:r>
            <w:r w:rsidRPr="00D236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vienlaicīgi būtiski samazinot iesniedzamo dokumentu apjomu, nepieciešama jaunu</w:t>
            </w:r>
            <w:r w:rsidRPr="00D236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Pr="00D236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izstrāde, attiecīgi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nosakot</w:t>
            </w:r>
            <w:r w:rsidRPr="00D236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 spēku zaudē Ministru kabineta 2008.gada 25.marta noteikumi Nr.196 „Noteikumi par pašvaldību aizņēmumiem un galvojumiem”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ED0AF02" w14:textId="77777777" w:rsidR="00E5323B" w:rsidRPr="00746E6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46E6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46E69" w14:paraId="31A05AA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985F" w14:textId="77777777" w:rsidR="00655F2C" w:rsidRPr="00746E69" w:rsidRDefault="00E5323B" w:rsidP="007E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746E69" w14:paraId="4B075490" w14:textId="77777777" w:rsidTr="009F07F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0F28" w14:textId="77777777" w:rsidR="00655F2C" w:rsidRPr="00746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C599C" w14:textId="77777777" w:rsidR="00E5323B" w:rsidRPr="00746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674AF" w14:textId="77777777" w:rsidR="006D17C5" w:rsidRPr="00746E69" w:rsidRDefault="009F07F9" w:rsidP="005514B5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tiesiskais regulējums attiecināms uz pašvaldībām</w:t>
            </w:r>
            <w:r w:rsidR="003E7F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46E69" w:rsidRPr="00746E69" w14:paraId="1BAC1080" w14:textId="77777777" w:rsidTr="009F07F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F3F2" w14:textId="77777777" w:rsidR="009F07F9" w:rsidRPr="00746E69" w:rsidRDefault="009F07F9" w:rsidP="009F07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290BD" w14:textId="77777777" w:rsidR="009F07F9" w:rsidRPr="00746E69" w:rsidRDefault="009F07F9" w:rsidP="009F07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76605" w14:textId="77777777" w:rsidR="00A050D7" w:rsidRDefault="00112E9F" w:rsidP="00F5269C">
            <w:pPr>
              <w:pStyle w:val="naiskr"/>
              <w:spacing w:before="0" w:after="0"/>
              <w:ind w:right="57"/>
              <w:jc w:val="both"/>
            </w:pPr>
            <w:r>
              <w:t>Pašvaldībām</w:t>
            </w:r>
            <w:r w:rsidR="009F07F9" w:rsidRPr="00746E69">
              <w:t xml:space="preserve"> projekta tiesiskais regulējums</w:t>
            </w:r>
            <w:r w:rsidR="00577BE3">
              <w:t xml:space="preserve"> nemaina tiesības un pienākumus</w:t>
            </w:r>
            <w:r w:rsidR="00F26F4C">
              <w:t>.</w:t>
            </w:r>
            <w:r w:rsidR="00C22AF7">
              <w:t xml:space="preserve"> </w:t>
            </w:r>
          </w:p>
          <w:p w14:paraId="6501B2F8" w14:textId="0EE55600" w:rsidR="005A0EBE" w:rsidRDefault="00F26F4C" w:rsidP="00F5269C">
            <w:pPr>
              <w:pStyle w:val="naiskr"/>
              <w:spacing w:before="0" w:after="0"/>
              <w:ind w:right="57"/>
              <w:jc w:val="both"/>
              <w:rPr>
                <w:iCs/>
              </w:rPr>
            </w:pPr>
            <w:r>
              <w:t>P</w:t>
            </w:r>
            <w:r>
              <w:rPr>
                <w:iCs/>
              </w:rPr>
              <w:t>ašvaldības</w:t>
            </w:r>
            <w:r w:rsidR="005A0EBE" w:rsidRPr="000F6630">
              <w:rPr>
                <w:iCs/>
              </w:rPr>
              <w:t xml:space="preserve"> </w:t>
            </w:r>
            <w:r>
              <w:rPr>
                <w:iCs/>
              </w:rPr>
              <w:t>turpmāk aiz</w:t>
            </w:r>
            <w:r w:rsidR="003B7043">
              <w:rPr>
                <w:iCs/>
              </w:rPr>
              <w:t xml:space="preserve">ņēmuma un galvojuma pieprasījumus </w:t>
            </w:r>
            <w:r>
              <w:rPr>
                <w:iCs/>
              </w:rPr>
              <w:t xml:space="preserve">iesniegs </w:t>
            </w:r>
            <w:r w:rsidR="00F5269C">
              <w:rPr>
                <w:iCs/>
              </w:rPr>
              <w:t>p</w:t>
            </w:r>
            <w:r>
              <w:rPr>
                <w:iCs/>
              </w:rPr>
              <w:t xml:space="preserve">adomei izskatīšanai </w:t>
            </w:r>
            <w:r w:rsidRPr="00F26F4C">
              <w:rPr>
                <w:iCs/>
              </w:rPr>
              <w:t>Valsts kases e-pakalpojumu informācijas sistēmā (</w:t>
            </w:r>
            <w:proofErr w:type="spellStart"/>
            <w:r w:rsidRPr="00F26F4C">
              <w:rPr>
                <w:iCs/>
              </w:rPr>
              <w:t>eAizņēmumi</w:t>
            </w:r>
            <w:proofErr w:type="spellEnd"/>
            <w:r w:rsidRPr="00F26F4C">
              <w:rPr>
                <w:iCs/>
              </w:rPr>
              <w:t>)</w:t>
            </w:r>
            <w:r>
              <w:rPr>
                <w:iCs/>
              </w:rPr>
              <w:t>.</w:t>
            </w:r>
          </w:p>
          <w:p w14:paraId="0D3BB62E" w14:textId="77777777" w:rsidR="00A050D7" w:rsidRDefault="00DA1BBF" w:rsidP="00F5269C">
            <w:pPr>
              <w:pStyle w:val="naiskr"/>
              <w:spacing w:before="0" w:after="0"/>
              <w:ind w:right="5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</w:t>
            </w:r>
            <w:r w:rsidR="007E0B29" w:rsidRPr="007E0B29">
              <w:rPr>
                <w:bCs/>
                <w:iCs/>
              </w:rPr>
              <w:t>aredzot, ka pašvaldības izmanto</w:t>
            </w:r>
            <w:r>
              <w:rPr>
                <w:bCs/>
                <w:iCs/>
              </w:rPr>
              <w:t xml:space="preserve">s </w:t>
            </w:r>
            <w:proofErr w:type="spellStart"/>
            <w:r>
              <w:rPr>
                <w:bCs/>
                <w:iCs/>
              </w:rPr>
              <w:t>e</w:t>
            </w:r>
            <w:r w:rsidR="00F26F4C">
              <w:rPr>
                <w:bCs/>
                <w:iCs/>
              </w:rPr>
              <w:t>Aizņēmumu</w:t>
            </w:r>
            <w:proofErr w:type="spellEnd"/>
            <w:r>
              <w:rPr>
                <w:bCs/>
                <w:iCs/>
              </w:rPr>
              <w:t xml:space="preserve"> sistēmu, ti</w:t>
            </w:r>
            <w:r w:rsidR="007E0B29" w:rsidRPr="007E0B29">
              <w:rPr>
                <w:bCs/>
                <w:iCs/>
              </w:rPr>
              <w:t>k</w:t>
            </w:r>
            <w:r>
              <w:rPr>
                <w:bCs/>
                <w:iCs/>
              </w:rPr>
              <w:t>s</w:t>
            </w:r>
            <w:r w:rsidR="00F26F4C">
              <w:rPr>
                <w:bCs/>
                <w:iCs/>
              </w:rPr>
              <w:t xml:space="preserve"> samazināts administratīvais</w:t>
            </w:r>
            <w:r w:rsidR="00A050D7">
              <w:rPr>
                <w:bCs/>
                <w:iCs/>
              </w:rPr>
              <w:t xml:space="preserve"> slogs pašvaldībām, tiks nodrošināta operatīva informācijas aprite un</w:t>
            </w:r>
            <w:r w:rsidR="007E0B29" w:rsidRPr="007E0B29">
              <w:rPr>
                <w:bCs/>
                <w:iCs/>
              </w:rPr>
              <w:t xml:space="preserve"> vienkāršots informācijas iesniegšanas, saņemšanas un </w:t>
            </w:r>
            <w:r w:rsidR="00F26F4C">
              <w:rPr>
                <w:bCs/>
                <w:iCs/>
              </w:rPr>
              <w:t>izskatīšanas</w:t>
            </w:r>
            <w:r w:rsidR="007E0B29" w:rsidRPr="007E0B29">
              <w:rPr>
                <w:bCs/>
                <w:iCs/>
              </w:rPr>
              <w:t xml:space="preserve"> process. Līdz šim informācija tika iesniegta papīra formātā</w:t>
            </w:r>
            <w:r w:rsidR="00F26F4C">
              <w:rPr>
                <w:bCs/>
                <w:iCs/>
              </w:rPr>
              <w:t xml:space="preserve"> vai elektroniski izmantojot elektronisko parakstu</w:t>
            </w:r>
            <w:r w:rsidR="007E0B29" w:rsidRPr="007E0B29">
              <w:rPr>
                <w:bCs/>
                <w:iCs/>
              </w:rPr>
              <w:t xml:space="preserve">, kas prasīja papildus darbu datu apstrādei. </w:t>
            </w:r>
          </w:p>
          <w:p w14:paraId="46C8AD45" w14:textId="77777777" w:rsidR="007E0B29" w:rsidRPr="00746E69" w:rsidRDefault="00A050D7" w:rsidP="00F5269C">
            <w:pPr>
              <w:pStyle w:val="naiskr"/>
              <w:spacing w:before="0" w:after="0"/>
              <w:ind w:right="57"/>
              <w:jc w:val="both"/>
            </w:pPr>
            <w:r>
              <w:rPr>
                <w:bCs/>
                <w:iCs/>
              </w:rPr>
              <w:lastRenderedPageBreak/>
              <w:t>Noteikumu projekts ir izstrādāts, lai mazinātu tehnisko darbu</w:t>
            </w:r>
            <w:r w:rsidR="00682DE8">
              <w:rPr>
                <w:bCs/>
                <w:iCs/>
              </w:rPr>
              <w:t xml:space="preserve"> un pilnveidotu analītiskās iespējas, gūtu lielāku pārliecību </w:t>
            </w:r>
            <w:r w:rsidR="006C4846">
              <w:rPr>
                <w:bCs/>
                <w:iCs/>
              </w:rPr>
              <w:t xml:space="preserve">par </w:t>
            </w:r>
            <w:r w:rsidR="00682DE8">
              <w:rPr>
                <w:bCs/>
                <w:iCs/>
              </w:rPr>
              <w:t xml:space="preserve">aizņēmumu, galvojumu </w:t>
            </w:r>
            <w:r w:rsidR="006C4846">
              <w:rPr>
                <w:bCs/>
                <w:iCs/>
              </w:rPr>
              <w:t xml:space="preserve">labu </w:t>
            </w:r>
            <w:r w:rsidR="00682DE8">
              <w:rPr>
                <w:bCs/>
                <w:iCs/>
              </w:rPr>
              <w:t xml:space="preserve">pārvaldības nodrošināšanu pašvaldībās. </w:t>
            </w:r>
          </w:p>
        </w:tc>
      </w:tr>
      <w:tr w:rsidR="009F07F9" w:rsidRPr="00746E69" w14:paraId="280EC594" w14:textId="77777777" w:rsidTr="009F07F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1CF93" w14:textId="77777777" w:rsidR="009F07F9" w:rsidRPr="00746E69" w:rsidRDefault="009F07F9" w:rsidP="009F07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50268" w14:textId="77777777" w:rsidR="009F07F9" w:rsidRPr="00746E69" w:rsidRDefault="009F07F9" w:rsidP="009F07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A3EF9" w14:textId="050C24B7" w:rsidR="009F07F9" w:rsidRPr="00746E69" w:rsidRDefault="00FD6538" w:rsidP="00F5269C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9F07F9" w:rsidRPr="00746E69" w14:paraId="6A7C0DD1" w14:textId="77777777" w:rsidTr="009F07F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E80A0" w14:textId="77777777" w:rsidR="009F07F9" w:rsidRPr="00746E69" w:rsidRDefault="009F07F9" w:rsidP="009F07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96D5D" w14:textId="77777777" w:rsidR="009F07F9" w:rsidRPr="00746E69" w:rsidRDefault="009F07F9" w:rsidP="009F07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7090" w14:textId="37D9BFE6" w:rsidR="009F07F9" w:rsidRPr="00746E69" w:rsidRDefault="00FD6538" w:rsidP="00F5269C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D65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F07F9" w:rsidRPr="00746E69" w14:paraId="5B33373F" w14:textId="77777777" w:rsidTr="009F07F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EC09" w14:textId="77777777" w:rsidR="009F07F9" w:rsidRPr="00746E69" w:rsidRDefault="009F07F9" w:rsidP="009F07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DD854" w14:textId="77777777" w:rsidR="009F07F9" w:rsidRPr="00746E69" w:rsidRDefault="009F07F9" w:rsidP="009F07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0FE29" w14:textId="77777777" w:rsidR="009F07F9" w:rsidRPr="00746E69" w:rsidRDefault="00BC1126" w:rsidP="00F5269C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169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A9E7298" w14:textId="3A124D1E" w:rsidR="004C3FA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46E6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C3FAE" w:rsidRPr="00F54C25" w14:paraId="0637643F" w14:textId="77777777" w:rsidTr="00215D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E5DE" w14:textId="77777777" w:rsidR="004C3FAE" w:rsidRPr="0052581E" w:rsidRDefault="004C3FAE" w:rsidP="002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58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C3FAE" w:rsidRPr="00F54C25" w14:paraId="1E64D2BC" w14:textId="77777777" w:rsidTr="00215D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7C43" w14:textId="5933A698" w:rsidR="004C3FAE" w:rsidRPr="0052581E" w:rsidRDefault="004C3FAE" w:rsidP="002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258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6EE431C" w14:textId="77777777" w:rsidR="004C3FAE" w:rsidRPr="00746E69" w:rsidRDefault="004C3FA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46E69" w:rsidRPr="00746E69" w14:paraId="359495D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729D" w14:textId="77777777" w:rsidR="00655F2C" w:rsidRPr="00746E69" w:rsidRDefault="00E5323B" w:rsidP="007E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46E69" w:rsidRPr="00746E69" w14:paraId="03D2732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4A09D" w14:textId="0E05022B" w:rsidR="00746E69" w:rsidRPr="00746E69" w:rsidRDefault="00746E69" w:rsidP="0074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FD65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B98DAB7" w14:textId="77777777" w:rsidR="00E5323B" w:rsidRPr="00746E6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46E6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46E69" w:rsidRPr="00746E69" w14:paraId="3B0B6AD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6AC1" w14:textId="77777777" w:rsidR="00655F2C" w:rsidRPr="00746E69" w:rsidRDefault="00E5323B" w:rsidP="007E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46E69" w:rsidRPr="00746E69" w14:paraId="350AD05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FB11F" w14:textId="7751CB36" w:rsidR="00746E69" w:rsidRPr="00746E69" w:rsidRDefault="00746E69" w:rsidP="0074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FD65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AE8ABBE" w14:textId="77777777" w:rsidR="00CC2B8C" w:rsidRDefault="00746E69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3159"/>
        <w:gridCol w:w="5491"/>
      </w:tblGrid>
      <w:tr w:rsidR="00B00D37" w:rsidRPr="00B00D37" w14:paraId="7C4363D0" w14:textId="77777777" w:rsidTr="00DC0403">
        <w:trPr>
          <w:tblCellSpacing w:w="15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1930E" w14:textId="77777777" w:rsidR="00B00D37" w:rsidRPr="00B00D37" w:rsidRDefault="00B00D37" w:rsidP="00B0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B00D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00D37" w:rsidRPr="00B00D37" w14:paraId="601AF4AC" w14:textId="77777777" w:rsidTr="00DC0403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919B3" w14:textId="77777777" w:rsidR="00B00D37" w:rsidRPr="00B00D37" w:rsidRDefault="00B00D37" w:rsidP="00B00D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0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BBAAD" w14:textId="77777777" w:rsidR="00B00D37" w:rsidRPr="00B00D37" w:rsidRDefault="00B00D37" w:rsidP="00B00D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0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53442" w14:textId="77777777" w:rsidR="00B00D37" w:rsidRPr="004D7582" w:rsidRDefault="00B00D37" w:rsidP="0011652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A3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</w:t>
            </w:r>
            <w:r w:rsidR="00B64FCC" w:rsidRPr="001A3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Pr="001A3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saskaņots ar Latvijas Pašvaldību s</w:t>
            </w:r>
            <w:r w:rsidRPr="004D75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avienību.</w:t>
            </w:r>
          </w:p>
          <w:p w14:paraId="4F753FBC" w14:textId="28219A11" w:rsidR="004D7582" w:rsidRPr="001A30D6" w:rsidRDefault="004D7582" w:rsidP="004D7582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7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Informācija par projekta izstrādi ir publicēta Finanšu ministrijas tīmekļvietnē sadaļā “Sabiedrības līdzdalība” – “Tiesību aktu projekti” – “Pašvaldību finanšu uzraudzības politika”. </w:t>
            </w:r>
            <w:r w:rsidRPr="004D758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Tāpat sabiedrības pārstāvji varēs sniegt viedokļus par projektu pēc tā izsludināšanas Valsts sekretāru sanāksmē.</w:t>
            </w:r>
          </w:p>
        </w:tc>
      </w:tr>
      <w:tr w:rsidR="00B00D37" w:rsidRPr="00B00D37" w14:paraId="64BB4818" w14:textId="77777777" w:rsidTr="00DC0403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96179" w14:textId="77777777" w:rsidR="00B00D37" w:rsidRPr="00B00D37" w:rsidRDefault="00B00D37" w:rsidP="00B00D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0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D2385" w14:textId="77777777" w:rsidR="00B00D37" w:rsidRPr="00B00D37" w:rsidRDefault="00B00D37" w:rsidP="00B00D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0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772C5" w14:textId="77777777" w:rsidR="00DC0403" w:rsidRDefault="00DC0403" w:rsidP="004D7582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Sabiedrības pārstāvji varēja līdzdarboties projekta izstrādē, </w:t>
            </w:r>
            <w:proofErr w:type="spellStart"/>
            <w:r w:rsidRPr="00DC040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rakstveidā</w:t>
            </w:r>
            <w:proofErr w:type="spellEnd"/>
            <w:r w:rsidRPr="00DC040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sniedzot viedokļus par projektu, kas </w:t>
            </w:r>
            <w:r w:rsidRPr="00DC0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2019.gada </w:t>
            </w:r>
            <w:r w:rsidRPr="00DC04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5.augustā</w:t>
            </w:r>
            <w:r w:rsidRPr="00DC0403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lv-LV"/>
              </w:rPr>
              <w:t xml:space="preserve"> </w:t>
            </w:r>
            <w:r w:rsidRPr="00DC0403">
              <w:rPr>
                <w:rFonts w:ascii="Times New Roman" w:hAnsi="Times New Roman" w:cs="Times New Roman"/>
                <w:iCs/>
                <w:sz w:val="24"/>
                <w:szCs w:val="24"/>
              </w:rPr>
              <w:t>publicēts Finanšu ministrijas tīmekļvietnē sadaļā “Sabiedrības līdzdalība”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C0403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C0403">
              <w:rPr>
                <w:rFonts w:ascii="Times New Roman" w:hAnsi="Times New Roman" w:cs="Times New Roman"/>
                <w:iCs/>
                <w:sz w:val="24"/>
                <w:szCs w:val="24"/>
              </w:rPr>
              <w:t>“Tiesību aktu projekti”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C0403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C0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“Pašvaldību finanšu uzraudzības </w:t>
            </w:r>
            <w:proofErr w:type="spellStart"/>
            <w:r w:rsidRPr="00DC0403">
              <w:rPr>
                <w:rFonts w:ascii="Times New Roman" w:hAnsi="Times New Roman" w:cs="Times New Roman"/>
                <w:iCs/>
                <w:sz w:val="24"/>
                <w:szCs w:val="24"/>
              </w:rPr>
              <w:t>politika”,adrese</w:t>
            </w:r>
            <w:proofErr w:type="spellEnd"/>
            <w:r w:rsidRPr="00DC040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0" w:anchor="project587" w:history="1">
              <w:r w:rsidR="00B250E4" w:rsidRPr="001619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https://www.fm.gov.lv/lv/sabiedribas_lidzdaliba/tiesibu_aktu_projekti/pasvaldibu_finansu_uzraudzibas_politika#project587</w:t>
              </w:r>
            </w:hyperlink>
            <w:r w:rsidR="00B250E4" w:rsidRPr="0016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11051B" w14:textId="77777777" w:rsidR="004D7582" w:rsidRPr="004D7582" w:rsidRDefault="00DC0403" w:rsidP="004D7582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582">
              <w:rPr>
                <w:rFonts w:ascii="Times New Roman" w:hAnsi="Times New Roman" w:cs="Times New Roman"/>
                <w:iCs/>
                <w:sz w:val="24"/>
                <w:szCs w:val="24"/>
              </w:rPr>
              <w:t>un Ministru kabineta tīmekļvietnē sadaļā “Valsts kanceleja” – “Sabiedrības līdzdalība</w:t>
            </w:r>
            <w:r w:rsidRPr="004D75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D7582" w:rsidRPr="004D7582">
              <w:rPr>
                <w:rFonts w:ascii="Times New Roman" w:hAnsi="Times New Roman" w:cs="Times New Roman"/>
                <w:sz w:val="24"/>
                <w:szCs w:val="24"/>
              </w:rPr>
              <w:t xml:space="preserve"> – “Ministru kabineta diskusijas dokumenti”</w:t>
            </w:r>
            <w:r w:rsidRPr="004D7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582">
              <w:rPr>
                <w:rFonts w:ascii="Times New Roman" w:hAnsi="Times New Roman" w:cs="Times New Roman"/>
                <w:iCs/>
                <w:sz w:val="24"/>
                <w:szCs w:val="24"/>
              </w:rPr>
              <w:t>adrese</w:t>
            </w:r>
            <w:r w:rsidR="004D7582" w:rsidRPr="004D75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04986084" w14:textId="2DEB4DBA" w:rsidR="00B00D37" w:rsidRPr="001619E4" w:rsidRDefault="003161FA" w:rsidP="004D7582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7582" w:rsidRPr="004D75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https://mk.gov.lv/content/ministru-kabineta-diskusiju-dokumenti</w:t>
              </w:r>
            </w:hyperlink>
            <w:r w:rsidR="00DC0403" w:rsidRPr="0016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00D37" w:rsidRPr="00B00D37" w14:paraId="05BD0840" w14:textId="77777777" w:rsidTr="00DC0403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9BDFF" w14:textId="77777777" w:rsidR="00B00D37" w:rsidRPr="00B00D37" w:rsidRDefault="00B00D37" w:rsidP="00B00D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0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AD472" w14:textId="77777777" w:rsidR="00B00D37" w:rsidRPr="00B00D37" w:rsidRDefault="00B00D37" w:rsidP="00B00D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0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52082" w14:textId="6B88B5CD" w:rsidR="00B00D37" w:rsidRPr="00DC0403" w:rsidRDefault="00DC0403" w:rsidP="0011652B">
            <w:pPr>
              <w:ind w:right="54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C0403">
              <w:rPr>
                <w:rFonts w:ascii="Times New Roman" w:hAnsi="Times New Roman" w:cs="Times New Roman"/>
                <w:iCs/>
                <w:sz w:val="24"/>
                <w:szCs w:val="24"/>
              </w:rPr>
              <w:t>Sabiedrības pārstāvju iebildumi un priekšlikumi nav saņemti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00D37" w:rsidRPr="00B00D37" w14:paraId="39A9970A" w14:textId="77777777" w:rsidTr="00DC0403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23DBE" w14:textId="77777777" w:rsidR="00B00D37" w:rsidRPr="00B00D37" w:rsidRDefault="00B00D37" w:rsidP="00B00D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0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683B" w14:textId="77777777" w:rsidR="00B00D37" w:rsidRPr="00B00D37" w:rsidRDefault="00B00D37" w:rsidP="00B00D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0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680D8" w14:textId="77777777" w:rsidR="00B00D37" w:rsidRPr="00B00D37" w:rsidRDefault="00B00D37" w:rsidP="0011652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0D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A1439CB" w14:textId="77777777" w:rsidR="00B00D37" w:rsidRDefault="00B00D37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46E69" w14:paraId="733D731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9EE73" w14:textId="77777777" w:rsidR="00655F2C" w:rsidRPr="00746E69" w:rsidRDefault="00E5323B" w:rsidP="007E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74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746E69" w14:paraId="02532CEC" w14:textId="77777777" w:rsidTr="001619E4">
        <w:trPr>
          <w:trHeight w:val="601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6085D" w14:textId="77777777" w:rsidR="00655F2C" w:rsidRPr="00746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B8FC2" w14:textId="77777777" w:rsidR="00E5323B" w:rsidRPr="00746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6D340" w14:textId="77777777" w:rsidR="00E5323B" w:rsidRPr="00746E69" w:rsidRDefault="00746E69" w:rsidP="001165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ministrija, </w:t>
            </w:r>
            <w:r w:rsidR="00112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kase, </w:t>
            </w:r>
            <w:r w:rsidR="00E4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Pašvaldību savienība, </w:t>
            </w:r>
            <w:r w:rsidRPr="00746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pašvaldības.</w:t>
            </w:r>
          </w:p>
        </w:tc>
      </w:tr>
      <w:tr w:rsidR="00E5323B" w:rsidRPr="00746E69" w14:paraId="24BAA218" w14:textId="77777777" w:rsidTr="001619E4">
        <w:trPr>
          <w:trHeight w:val="2142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F1826" w14:textId="77777777" w:rsidR="00655F2C" w:rsidRPr="00746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E4F69" w14:textId="77777777" w:rsidR="00E5323B" w:rsidRPr="00746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E2B98" w14:textId="44199035" w:rsidR="00093D78" w:rsidRDefault="001A60B0" w:rsidP="00093D7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</w:t>
            </w:r>
            <w:r w:rsidR="00746E69" w:rsidRPr="007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esaistītās institūcijas noteikumu projekta izpildi nodrošin</w:t>
            </w:r>
            <w:r w:rsidR="00112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 to esošo funkciju un uzdevumu</w:t>
            </w:r>
            <w:r w:rsidR="00746E69" w:rsidRPr="007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ietvaros.</w:t>
            </w:r>
          </w:p>
          <w:p w14:paraId="28A2FA38" w14:textId="5D2F416F" w:rsidR="00093D78" w:rsidRPr="00093D78" w:rsidRDefault="00FD6538" w:rsidP="00093D7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D65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Funkcijas un uzdevumi netiek grozīti. Jaunu institūciju izveide, esošo institūciju likvidācija vai reorganizācija netiek paredzēta.</w:t>
            </w:r>
          </w:p>
          <w:p w14:paraId="64A4E38E" w14:textId="13FCBE05" w:rsidR="00E5323B" w:rsidRPr="00746E69" w:rsidRDefault="00FD6538" w:rsidP="00666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D65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tiks realizēts esošo resursu ietvaros.</w:t>
            </w:r>
          </w:p>
        </w:tc>
      </w:tr>
      <w:tr w:rsidR="00E5323B" w:rsidRPr="00746E69" w14:paraId="032B214A" w14:textId="77777777" w:rsidTr="00B00D3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92E97" w14:textId="77777777" w:rsidR="00655F2C" w:rsidRPr="00746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D0F5A" w14:textId="77777777" w:rsidR="00E5323B" w:rsidRPr="00746E6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6E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C7E3" w14:textId="4110BB34" w:rsidR="00E5323B" w:rsidRPr="00746E69" w:rsidRDefault="00666DED" w:rsidP="00666D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7134C1">
              <w:rPr>
                <w:rFonts w:ascii="Times New Roman" w:hAnsi="Times New Roman" w:cs="Times New Roman"/>
                <w:iCs/>
                <w:sz w:val="24"/>
                <w:szCs w:val="24"/>
              </w:rPr>
              <w:t>eAizņēmumu</w:t>
            </w:r>
            <w:proofErr w:type="spellEnd"/>
            <w:r w:rsidRPr="007134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stēmas izveide tika nodrošināta Valsts kases apakšprogrammai</w:t>
            </w:r>
            <w:r w:rsidRPr="007134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31.01.00 “Budžeta izpilde” paredzētā finansējuma informācijas sistēmu izveidei,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uzturēšanai un pilnveidošanai ietvaros.</w:t>
            </w:r>
          </w:p>
        </w:tc>
      </w:tr>
    </w:tbl>
    <w:p w14:paraId="28A8D4D9" w14:textId="245F76AD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88A4F" w14:textId="1AFA4D5C" w:rsidR="000F6737" w:rsidRDefault="000F6737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675AD" w14:textId="5BBD3A37" w:rsidR="000F6737" w:rsidRDefault="000F6737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F2B3F" w14:textId="77777777" w:rsidR="000F6737" w:rsidRPr="00746E69" w:rsidRDefault="000F6737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B6E1B" w14:textId="261C2D33" w:rsidR="0011652B" w:rsidRDefault="0011652B" w:rsidP="001165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7DD30" w14:textId="439BC6EE" w:rsidR="00894C55" w:rsidRPr="00746E69" w:rsidRDefault="008E6709" w:rsidP="001165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 ministrs</w:t>
      </w:r>
      <w:r w:rsidR="00746E69">
        <w:rPr>
          <w:rFonts w:ascii="Times New Roman" w:hAnsi="Times New Roman" w:cs="Times New Roman"/>
          <w:sz w:val="24"/>
          <w:szCs w:val="24"/>
        </w:rPr>
        <w:tab/>
      </w:r>
      <w:r w:rsidR="00894C55" w:rsidRPr="00746E69">
        <w:rPr>
          <w:rFonts w:ascii="Times New Roman" w:hAnsi="Times New Roman" w:cs="Times New Roman"/>
          <w:sz w:val="24"/>
          <w:szCs w:val="24"/>
        </w:rPr>
        <w:tab/>
      </w:r>
      <w:r w:rsidR="00B250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J.Reirs</w:t>
      </w:r>
      <w:proofErr w:type="spellEnd"/>
      <w:r w:rsidR="00746E69" w:rsidRPr="00746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7FBC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FA2E88" w14:textId="77777777" w:rsidR="00B3187F" w:rsidRDefault="00B3187F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D7EC14" w14:textId="4D1F2290" w:rsidR="00B3187F" w:rsidRDefault="00B3187F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7DCEF8" w14:textId="44A6AD99" w:rsidR="000F6737" w:rsidRDefault="000F673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5E921C" w14:textId="38E1DDDC" w:rsidR="000F6737" w:rsidRDefault="000F673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09154A" w14:textId="7FD1DB5C" w:rsidR="000F6737" w:rsidRDefault="000F673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0D94A17" w14:textId="398AA4A6" w:rsidR="000F6737" w:rsidRDefault="000F673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DB54D1" w14:textId="1E068FB7" w:rsidR="000F6737" w:rsidRDefault="000F673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C42802" w14:textId="6FDF2EBB" w:rsidR="000F6737" w:rsidRDefault="000F673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10B4F1" w14:textId="77777777" w:rsidR="000F6737" w:rsidRDefault="000F673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88787C" w14:textId="174BDC64" w:rsidR="00B3187F" w:rsidRDefault="00B3187F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452B069" w14:textId="77777777" w:rsidR="000F6737" w:rsidRDefault="000F673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CB68FAB" w14:textId="3EA17D38" w:rsidR="00B3187F" w:rsidRPr="00746E69" w:rsidRDefault="00B3187F" w:rsidP="00093D7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2212D" w14:textId="77777777" w:rsidR="000F6737" w:rsidRDefault="00A63FE9" w:rsidP="00045A65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Novika</w:t>
      </w:r>
      <w:r w:rsidR="00045A65" w:rsidRPr="00045A65">
        <w:rPr>
          <w:rFonts w:ascii="Times New Roman" w:hAnsi="Times New Roman" w:cs="Times New Roman"/>
          <w:sz w:val="20"/>
          <w:szCs w:val="20"/>
        </w:rPr>
        <w:t xml:space="preserve"> 670</w:t>
      </w:r>
      <w:r w:rsidR="009B0D5A">
        <w:rPr>
          <w:rFonts w:ascii="Times New Roman" w:hAnsi="Times New Roman" w:cs="Times New Roman"/>
          <w:sz w:val="20"/>
          <w:szCs w:val="20"/>
        </w:rPr>
        <w:t>954</w:t>
      </w:r>
      <w:r>
        <w:rPr>
          <w:rFonts w:ascii="Times New Roman" w:hAnsi="Times New Roman" w:cs="Times New Roman"/>
          <w:sz w:val="20"/>
          <w:szCs w:val="20"/>
        </w:rPr>
        <w:t>20</w:t>
      </w:r>
    </w:p>
    <w:p w14:paraId="060FFCD2" w14:textId="34897283" w:rsidR="00045A65" w:rsidRPr="00045A65" w:rsidRDefault="000F6737" w:rsidP="00045A65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jelena.n</w:t>
      </w:r>
      <w:r w:rsidR="00A63FE9">
        <w:rPr>
          <w:rFonts w:ascii="Times New Roman" w:hAnsi="Times New Roman" w:cs="Times New Roman"/>
          <w:sz w:val="20"/>
          <w:szCs w:val="20"/>
        </w:rPr>
        <w:t>ov</w:t>
      </w:r>
      <w:bookmarkStart w:id="0" w:name="_GoBack"/>
      <w:bookmarkEnd w:id="0"/>
      <w:r w:rsidR="00A63FE9">
        <w:rPr>
          <w:rFonts w:ascii="Times New Roman" w:hAnsi="Times New Roman" w:cs="Times New Roman"/>
          <w:sz w:val="20"/>
          <w:szCs w:val="20"/>
        </w:rPr>
        <w:t>ika</w:t>
      </w:r>
      <w:r w:rsidR="00045A65" w:rsidRPr="00045A65">
        <w:rPr>
          <w:rFonts w:ascii="Times New Roman" w:hAnsi="Times New Roman" w:cs="Times New Roman"/>
          <w:sz w:val="20"/>
          <w:szCs w:val="20"/>
        </w:rPr>
        <w:t>@fm.gov.lv</w:t>
      </w:r>
    </w:p>
    <w:sectPr w:rsidR="00045A65" w:rsidRPr="00045A65" w:rsidSect="008259FE">
      <w:headerReference w:type="default" r:id="rId12"/>
      <w:footerReference w:type="default" r:id="rId13"/>
      <w:footerReference w:type="first" r:id="rId14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F708C" w14:textId="77777777" w:rsidR="000A0C11" w:rsidRDefault="000A0C11" w:rsidP="00894C55">
      <w:pPr>
        <w:spacing w:after="0" w:line="240" w:lineRule="auto"/>
      </w:pPr>
      <w:r>
        <w:separator/>
      </w:r>
    </w:p>
  </w:endnote>
  <w:endnote w:type="continuationSeparator" w:id="0">
    <w:p w14:paraId="46CC0140" w14:textId="77777777" w:rsidR="000A0C11" w:rsidRDefault="000A0C11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AFD8" w14:textId="29A9DD33" w:rsidR="00652110" w:rsidRPr="00C41121" w:rsidRDefault="003161FA" w:rsidP="00C41121">
    <w:pPr>
      <w:pStyle w:val="Footer"/>
    </w:pPr>
    <w:r w:rsidRPr="003161FA">
      <w:rPr>
        <w:rFonts w:ascii="Times New Roman" w:hAnsi="Times New Roman" w:cs="Times New Roman"/>
        <w:sz w:val="20"/>
        <w:szCs w:val="20"/>
      </w:rPr>
      <w:t>FMAnot_201119_aiznemumi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F02A" w14:textId="057B050F" w:rsidR="00652110" w:rsidRPr="009A2654" w:rsidRDefault="003161F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</w:t>
    </w:r>
    <w:r w:rsidR="00652110">
      <w:rPr>
        <w:rFonts w:ascii="Times New Roman" w:hAnsi="Times New Roman" w:cs="Times New Roman"/>
        <w:sz w:val="20"/>
        <w:szCs w:val="20"/>
      </w:rPr>
      <w:t>not_</w:t>
    </w:r>
    <w:r w:rsidR="00B02A37">
      <w:rPr>
        <w:rFonts w:ascii="Times New Roman" w:hAnsi="Times New Roman" w:cs="Times New Roman"/>
        <w:sz w:val="20"/>
        <w:szCs w:val="20"/>
      </w:rPr>
      <w:t>20</w:t>
    </w:r>
    <w:r w:rsidR="006E2E59">
      <w:rPr>
        <w:rFonts w:ascii="Times New Roman" w:hAnsi="Times New Roman" w:cs="Times New Roman"/>
        <w:sz w:val="20"/>
        <w:szCs w:val="20"/>
      </w:rPr>
      <w:t>11</w:t>
    </w:r>
    <w:r w:rsidR="00C41121">
      <w:rPr>
        <w:rFonts w:ascii="Times New Roman" w:hAnsi="Times New Roman" w:cs="Times New Roman"/>
        <w:sz w:val="20"/>
        <w:szCs w:val="20"/>
      </w:rPr>
      <w:t>19</w:t>
    </w:r>
    <w:r w:rsidR="0071271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aiznemumi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3B3E9" w14:textId="77777777" w:rsidR="000A0C11" w:rsidRDefault="000A0C11" w:rsidP="00894C55">
      <w:pPr>
        <w:spacing w:after="0" w:line="240" w:lineRule="auto"/>
      </w:pPr>
      <w:r>
        <w:separator/>
      </w:r>
    </w:p>
  </w:footnote>
  <w:footnote w:type="continuationSeparator" w:id="0">
    <w:p w14:paraId="76ADD2C7" w14:textId="77777777" w:rsidR="000A0C11" w:rsidRDefault="000A0C11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2D68F23" w14:textId="2B31E276" w:rsidR="00652110" w:rsidRPr="00C25B49" w:rsidRDefault="0065211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161FA">
          <w:rPr>
            <w:rFonts w:ascii="Times New Roman" w:hAnsi="Times New Roman" w:cs="Times New Roman"/>
            <w:noProof/>
            <w:sz w:val="24"/>
            <w:szCs w:val="20"/>
          </w:rPr>
          <w:t>8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90C"/>
    <w:multiLevelType w:val="hybridMultilevel"/>
    <w:tmpl w:val="3E00DE60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E9C22ED"/>
    <w:multiLevelType w:val="hybridMultilevel"/>
    <w:tmpl w:val="39562338"/>
    <w:lvl w:ilvl="0" w:tplc="D380500C">
      <w:start w:val="1"/>
      <w:numFmt w:val="bullet"/>
      <w:lvlText w:val="-"/>
      <w:lvlJc w:val="left"/>
      <w:pPr>
        <w:ind w:left="82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312526F"/>
    <w:multiLevelType w:val="hybridMultilevel"/>
    <w:tmpl w:val="8CD0AACE"/>
    <w:lvl w:ilvl="0" w:tplc="7DE2E9B4">
      <w:start w:val="1"/>
      <w:numFmt w:val="bullet"/>
      <w:lvlText w:val=""/>
      <w:lvlJc w:val="left"/>
      <w:pPr>
        <w:ind w:left="9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66F"/>
    <w:multiLevelType w:val="hybridMultilevel"/>
    <w:tmpl w:val="5E705BFA"/>
    <w:lvl w:ilvl="0" w:tplc="F8A4657C">
      <w:numFmt w:val="bullet"/>
      <w:lvlText w:val="-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4A50"/>
    <w:multiLevelType w:val="hybridMultilevel"/>
    <w:tmpl w:val="BF28EB26"/>
    <w:lvl w:ilvl="0" w:tplc="F8A4657C">
      <w:numFmt w:val="bullet"/>
      <w:lvlText w:val="-"/>
      <w:lvlJc w:val="left"/>
      <w:pPr>
        <w:ind w:left="6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5" w15:restartNumberingAfterBreak="0">
    <w:nsid w:val="307F4454"/>
    <w:multiLevelType w:val="hybridMultilevel"/>
    <w:tmpl w:val="BC7089C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DB7"/>
    <w:multiLevelType w:val="hybridMultilevel"/>
    <w:tmpl w:val="10AE273E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4F18141B"/>
    <w:multiLevelType w:val="hybridMultilevel"/>
    <w:tmpl w:val="1B26057C"/>
    <w:lvl w:ilvl="0" w:tplc="94945584">
      <w:start w:val="3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0476B27"/>
    <w:multiLevelType w:val="hybridMultilevel"/>
    <w:tmpl w:val="E684FC4E"/>
    <w:lvl w:ilvl="0" w:tplc="042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56C871D2"/>
    <w:multiLevelType w:val="hybridMultilevel"/>
    <w:tmpl w:val="B8A4E15A"/>
    <w:lvl w:ilvl="0" w:tplc="1974D298">
      <w:numFmt w:val="bullet"/>
      <w:lvlText w:val="-"/>
      <w:lvlJc w:val="left"/>
      <w:pPr>
        <w:ind w:left="5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10" w15:restartNumberingAfterBreak="0">
    <w:nsid w:val="589D43D5"/>
    <w:multiLevelType w:val="hybridMultilevel"/>
    <w:tmpl w:val="FE303E3E"/>
    <w:lvl w:ilvl="0" w:tplc="94945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39E5"/>
    <w:multiLevelType w:val="hybridMultilevel"/>
    <w:tmpl w:val="1BAACDC4"/>
    <w:lvl w:ilvl="0" w:tplc="94945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74987"/>
    <w:multiLevelType w:val="hybridMultilevel"/>
    <w:tmpl w:val="1D2A309C"/>
    <w:lvl w:ilvl="0" w:tplc="042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7C6A54A0"/>
    <w:multiLevelType w:val="hybridMultilevel"/>
    <w:tmpl w:val="D400A98C"/>
    <w:lvl w:ilvl="0" w:tplc="F8A4657C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0FEE"/>
    <w:rsid w:val="000169B0"/>
    <w:rsid w:val="000178F5"/>
    <w:rsid w:val="00023028"/>
    <w:rsid w:val="0003323A"/>
    <w:rsid w:val="000410B3"/>
    <w:rsid w:val="00045A65"/>
    <w:rsid w:val="0006403D"/>
    <w:rsid w:val="00071FBB"/>
    <w:rsid w:val="00080C00"/>
    <w:rsid w:val="000814F1"/>
    <w:rsid w:val="00092A3E"/>
    <w:rsid w:val="00093D78"/>
    <w:rsid w:val="0009476E"/>
    <w:rsid w:val="000956CF"/>
    <w:rsid w:val="000A0C11"/>
    <w:rsid w:val="000A2D87"/>
    <w:rsid w:val="000A3D2B"/>
    <w:rsid w:val="000C0B5D"/>
    <w:rsid w:val="000C0D60"/>
    <w:rsid w:val="000C62BB"/>
    <w:rsid w:val="000D7657"/>
    <w:rsid w:val="000E4EA7"/>
    <w:rsid w:val="000F2BF0"/>
    <w:rsid w:val="000F6630"/>
    <w:rsid w:val="000F6737"/>
    <w:rsid w:val="001020B8"/>
    <w:rsid w:val="001074C3"/>
    <w:rsid w:val="00112E9F"/>
    <w:rsid w:val="00115E92"/>
    <w:rsid w:val="0011652B"/>
    <w:rsid w:val="00135EE4"/>
    <w:rsid w:val="0013662A"/>
    <w:rsid w:val="00151401"/>
    <w:rsid w:val="001619E4"/>
    <w:rsid w:val="00164413"/>
    <w:rsid w:val="0016469D"/>
    <w:rsid w:val="00165A91"/>
    <w:rsid w:val="00194E0C"/>
    <w:rsid w:val="001A2ADC"/>
    <w:rsid w:val="001A30D6"/>
    <w:rsid w:val="001A4CF3"/>
    <w:rsid w:val="001A60B0"/>
    <w:rsid w:val="001A6318"/>
    <w:rsid w:val="001B7303"/>
    <w:rsid w:val="001D1BEC"/>
    <w:rsid w:val="001D7517"/>
    <w:rsid w:val="001E1311"/>
    <w:rsid w:val="001E2A73"/>
    <w:rsid w:val="001F2F02"/>
    <w:rsid w:val="00211E71"/>
    <w:rsid w:val="002317A8"/>
    <w:rsid w:val="00232922"/>
    <w:rsid w:val="00243426"/>
    <w:rsid w:val="00243B39"/>
    <w:rsid w:val="002442D5"/>
    <w:rsid w:val="00245B02"/>
    <w:rsid w:val="00247FB4"/>
    <w:rsid w:val="00252196"/>
    <w:rsid w:val="00255136"/>
    <w:rsid w:val="00261405"/>
    <w:rsid w:val="00264A3F"/>
    <w:rsid w:val="00267B8C"/>
    <w:rsid w:val="0027130E"/>
    <w:rsid w:val="002872C3"/>
    <w:rsid w:val="002903E4"/>
    <w:rsid w:val="00292060"/>
    <w:rsid w:val="002A49C5"/>
    <w:rsid w:val="002A516C"/>
    <w:rsid w:val="002B2AD6"/>
    <w:rsid w:val="002C08DA"/>
    <w:rsid w:val="002C4927"/>
    <w:rsid w:val="002D72A2"/>
    <w:rsid w:val="002E1C05"/>
    <w:rsid w:val="002E2FE3"/>
    <w:rsid w:val="003161FA"/>
    <w:rsid w:val="003365A1"/>
    <w:rsid w:val="00340D27"/>
    <w:rsid w:val="003413FF"/>
    <w:rsid w:val="00344B1C"/>
    <w:rsid w:val="00346F7D"/>
    <w:rsid w:val="003650B5"/>
    <w:rsid w:val="00373597"/>
    <w:rsid w:val="00374204"/>
    <w:rsid w:val="003746FC"/>
    <w:rsid w:val="00375027"/>
    <w:rsid w:val="00377B46"/>
    <w:rsid w:val="0039008A"/>
    <w:rsid w:val="00394C81"/>
    <w:rsid w:val="003A41AC"/>
    <w:rsid w:val="003B0BF9"/>
    <w:rsid w:val="003B4CE9"/>
    <w:rsid w:val="003B7043"/>
    <w:rsid w:val="003D4510"/>
    <w:rsid w:val="003E0791"/>
    <w:rsid w:val="003E0F12"/>
    <w:rsid w:val="003E7FF2"/>
    <w:rsid w:val="003F28AC"/>
    <w:rsid w:val="003F2CD6"/>
    <w:rsid w:val="003F61CD"/>
    <w:rsid w:val="00403907"/>
    <w:rsid w:val="00415929"/>
    <w:rsid w:val="00421719"/>
    <w:rsid w:val="00421D88"/>
    <w:rsid w:val="00423A7F"/>
    <w:rsid w:val="004377E1"/>
    <w:rsid w:val="00440524"/>
    <w:rsid w:val="00441782"/>
    <w:rsid w:val="00443D7A"/>
    <w:rsid w:val="004454FE"/>
    <w:rsid w:val="004507D0"/>
    <w:rsid w:val="004552DF"/>
    <w:rsid w:val="00456E40"/>
    <w:rsid w:val="0046262D"/>
    <w:rsid w:val="00471F27"/>
    <w:rsid w:val="0048660E"/>
    <w:rsid w:val="004A278D"/>
    <w:rsid w:val="004A3D4F"/>
    <w:rsid w:val="004A4BBC"/>
    <w:rsid w:val="004A5CBF"/>
    <w:rsid w:val="004A68FC"/>
    <w:rsid w:val="004B0197"/>
    <w:rsid w:val="004C3FAE"/>
    <w:rsid w:val="004C4812"/>
    <w:rsid w:val="004C7894"/>
    <w:rsid w:val="004D43BA"/>
    <w:rsid w:val="004D7582"/>
    <w:rsid w:val="004E0B75"/>
    <w:rsid w:val="004F5ADE"/>
    <w:rsid w:val="0050178F"/>
    <w:rsid w:val="00510A4D"/>
    <w:rsid w:val="00511B82"/>
    <w:rsid w:val="00517482"/>
    <w:rsid w:val="00520D6A"/>
    <w:rsid w:val="00522137"/>
    <w:rsid w:val="00522C58"/>
    <w:rsid w:val="0052581E"/>
    <w:rsid w:val="00533C96"/>
    <w:rsid w:val="00535A4E"/>
    <w:rsid w:val="00537F8F"/>
    <w:rsid w:val="005514B5"/>
    <w:rsid w:val="00556AF4"/>
    <w:rsid w:val="00577BE3"/>
    <w:rsid w:val="005A0B52"/>
    <w:rsid w:val="005A0EBE"/>
    <w:rsid w:val="005A3A05"/>
    <w:rsid w:val="005B1FCF"/>
    <w:rsid w:val="005C1862"/>
    <w:rsid w:val="005C2FF2"/>
    <w:rsid w:val="005C4565"/>
    <w:rsid w:val="005C4733"/>
    <w:rsid w:val="005C615C"/>
    <w:rsid w:val="005D38D2"/>
    <w:rsid w:val="005D67B6"/>
    <w:rsid w:val="005E78FD"/>
    <w:rsid w:val="00601F12"/>
    <w:rsid w:val="0060297C"/>
    <w:rsid w:val="0060678D"/>
    <w:rsid w:val="006160AC"/>
    <w:rsid w:val="00624172"/>
    <w:rsid w:val="00630978"/>
    <w:rsid w:val="00631FB0"/>
    <w:rsid w:val="00645C1B"/>
    <w:rsid w:val="00646119"/>
    <w:rsid w:val="00652110"/>
    <w:rsid w:val="00652729"/>
    <w:rsid w:val="006549CA"/>
    <w:rsid w:val="00655F2C"/>
    <w:rsid w:val="00663131"/>
    <w:rsid w:val="00664E6E"/>
    <w:rsid w:val="00666DED"/>
    <w:rsid w:val="00667E98"/>
    <w:rsid w:val="00682DE8"/>
    <w:rsid w:val="006A2806"/>
    <w:rsid w:val="006A4F37"/>
    <w:rsid w:val="006B2102"/>
    <w:rsid w:val="006B346E"/>
    <w:rsid w:val="006B3655"/>
    <w:rsid w:val="006C4846"/>
    <w:rsid w:val="006C5A3F"/>
    <w:rsid w:val="006D0165"/>
    <w:rsid w:val="006D0592"/>
    <w:rsid w:val="006D17C5"/>
    <w:rsid w:val="006E1081"/>
    <w:rsid w:val="006E2E59"/>
    <w:rsid w:val="006E349B"/>
    <w:rsid w:val="007036DB"/>
    <w:rsid w:val="00707D26"/>
    <w:rsid w:val="00711757"/>
    <w:rsid w:val="00712714"/>
    <w:rsid w:val="007134C1"/>
    <w:rsid w:val="00720585"/>
    <w:rsid w:val="007233B8"/>
    <w:rsid w:val="007308F2"/>
    <w:rsid w:val="00732AD6"/>
    <w:rsid w:val="00746E69"/>
    <w:rsid w:val="007472E6"/>
    <w:rsid w:val="00750C34"/>
    <w:rsid w:val="00752755"/>
    <w:rsid w:val="00761B5D"/>
    <w:rsid w:val="00770158"/>
    <w:rsid w:val="00773AF6"/>
    <w:rsid w:val="0077628E"/>
    <w:rsid w:val="007772BC"/>
    <w:rsid w:val="0078677D"/>
    <w:rsid w:val="00795F71"/>
    <w:rsid w:val="007962E8"/>
    <w:rsid w:val="007978E2"/>
    <w:rsid w:val="007B7BC4"/>
    <w:rsid w:val="007E0B29"/>
    <w:rsid w:val="007E143D"/>
    <w:rsid w:val="007E383F"/>
    <w:rsid w:val="007E535B"/>
    <w:rsid w:val="007E5F7A"/>
    <w:rsid w:val="007E73AB"/>
    <w:rsid w:val="007F1342"/>
    <w:rsid w:val="00802C09"/>
    <w:rsid w:val="00804D4E"/>
    <w:rsid w:val="00816C11"/>
    <w:rsid w:val="008259FE"/>
    <w:rsid w:val="00836965"/>
    <w:rsid w:val="00857873"/>
    <w:rsid w:val="008826C2"/>
    <w:rsid w:val="008835E5"/>
    <w:rsid w:val="00887190"/>
    <w:rsid w:val="00887C66"/>
    <w:rsid w:val="00893996"/>
    <w:rsid w:val="00894C55"/>
    <w:rsid w:val="008A2FF2"/>
    <w:rsid w:val="008A32DD"/>
    <w:rsid w:val="008A39FA"/>
    <w:rsid w:val="008D3E4D"/>
    <w:rsid w:val="008E6709"/>
    <w:rsid w:val="008E7FB7"/>
    <w:rsid w:val="008F263D"/>
    <w:rsid w:val="008F3AAC"/>
    <w:rsid w:val="0090032A"/>
    <w:rsid w:val="0090460A"/>
    <w:rsid w:val="0090728C"/>
    <w:rsid w:val="00914758"/>
    <w:rsid w:val="0092621E"/>
    <w:rsid w:val="009346EB"/>
    <w:rsid w:val="00942ED9"/>
    <w:rsid w:val="00943A9A"/>
    <w:rsid w:val="009454E9"/>
    <w:rsid w:val="00952120"/>
    <w:rsid w:val="00954B3A"/>
    <w:rsid w:val="0096147C"/>
    <w:rsid w:val="009715D1"/>
    <w:rsid w:val="00973998"/>
    <w:rsid w:val="009771CB"/>
    <w:rsid w:val="00984203"/>
    <w:rsid w:val="00991EFC"/>
    <w:rsid w:val="009923DB"/>
    <w:rsid w:val="0099460C"/>
    <w:rsid w:val="009A2654"/>
    <w:rsid w:val="009A645E"/>
    <w:rsid w:val="009B0D5A"/>
    <w:rsid w:val="009C1385"/>
    <w:rsid w:val="009D36C3"/>
    <w:rsid w:val="009D60BB"/>
    <w:rsid w:val="009E74B6"/>
    <w:rsid w:val="009F07F9"/>
    <w:rsid w:val="009F162D"/>
    <w:rsid w:val="009F5863"/>
    <w:rsid w:val="009F6D1D"/>
    <w:rsid w:val="00A03241"/>
    <w:rsid w:val="00A050D7"/>
    <w:rsid w:val="00A10FC3"/>
    <w:rsid w:val="00A11D4D"/>
    <w:rsid w:val="00A16EB8"/>
    <w:rsid w:val="00A279BB"/>
    <w:rsid w:val="00A32284"/>
    <w:rsid w:val="00A33B1D"/>
    <w:rsid w:val="00A402C0"/>
    <w:rsid w:val="00A52F29"/>
    <w:rsid w:val="00A6073E"/>
    <w:rsid w:val="00A623CE"/>
    <w:rsid w:val="00A6365F"/>
    <w:rsid w:val="00A63FE9"/>
    <w:rsid w:val="00A835C5"/>
    <w:rsid w:val="00AB44BB"/>
    <w:rsid w:val="00AB761E"/>
    <w:rsid w:val="00AC42BF"/>
    <w:rsid w:val="00AD3E0E"/>
    <w:rsid w:val="00AE4CB6"/>
    <w:rsid w:val="00AE5567"/>
    <w:rsid w:val="00AE5B8B"/>
    <w:rsid w:val="00AF1239"/>
    <w:rsid w:val="00AF1816"/>
    <w:rsid w:val="00AF4976"/>
    <w:rsid w:val="00AF6066"/>
    <w:rsid w:val="00AF6190"/>
    <w:rsid w:val="00B00D37"/>
    <w:rsid w:val="00B02769"/>
    <w:rsid w:val="00B02A37"/>
    <w:rsid w:val="00B06769"/>
    <w:rsid w:val="00B06E72"/>
    <w:rsid w:val="00B0702F"/>
    <w:rsid w:val="00B16480"/>
    <w:rsid w:val="00B2165C"/>
    <w:rsid w:val="00B22204"/>
    <w:rsid w:val="00B250E4"/>
    <w:rsid w:val="00B27EDD"/>
    <w:rsid w:val="00B30F1D"/>
    <w:rsid w:val="00B3187F"/>
    <w:rsid w:val="00B3760D"/>
    <w:rsid w:val="00B40CE6"/>
    <w:rsid w:val="00B41DD0"/>
    <w:rsid w:val="00B50CB7"/>
    <w:rsid w:val="00B64FCC"/>
    <w:rsid w:val="00B652E1"/>
    <w:rsid w:val="00B660AF"/>
    <w:rsid w:val="00B713F9"/>
    <w:rsid w:val="00BA20AA"/>
    <w:rsid w:val="00BB1A79"/>
    <w:rsid w:val="00BB5527"/>
    <w:rsid w:val="00BC1126"/>
    <w:rsid w:val="00BC37BF"/>
    <w:rsid w:val="00BD4425"/>
    <w:rsid w:val="00BE3CC7"/>
    <w:rsid w:val="00BE477B"/>
    <w:rsid w:val="00BE6EE8"/>
    <w:rsid w:val="00BF6FE0"/>
    <w:rsid w:val="00C06EF0"/>
    <w:rsid w:val="00C0725F"/>
    <w:rsid w:val="00C07808"/>
    <w:rsid w:val="00C12355"/>
    <w:rsid w:val="00C140A1"/>
    <w:rsid w:val="00C20919"/>
    <w:rsid w:val="00C22704"/>
    <w:rsid w:val="00C22AF7"/>
    <w:rsid w:val="00C25B49"/>
    <w:rsid w:val="00C40A37"/>
    <w:rsid w:val="00C41121"/>
    <w:rsid w:val="00C56CF7"/>
    <w:rsid w:val="00C575B8"/>
    <w:rsid w:val="00C61D1D"/>
    <w:rsid w:val="00C73C7E"/>
    <w:rsid w:val="00C8041F"/>
    <w:rsid w:val="00C94301"/>
    <w:rsid w:val="00CA4DF0"/>
    <w:rsid w:val="00CB4397"/>
    <w:rsid w:val="00CC0D2D"/>
    <w:rsid w:val="00CC2B8C"/>
    <w:rsid w:val="00CD2C4D"/>
    <w:rsid w:val="00CD4341"/>
    <w:rsid w:val="00CE0A4E"/>
    <w:rsid w:val="00CE5657"/>
    <w:rsid w:val="00CE5C6D"/>
    <w:rsid w:val="00CF4829"/>
    <w:rsid w:val="00D0454A"/>
    <w:rsid w:val="00D078E5"/>
    <w:rsid w:val="00D109A0"/>
    <w:rsid w:val="00D120A8"/>
    <w:rsid w:val="00D133F8"/>
    <w:rsid w:val="00D13F98"/>
    <w:rsid w:val="00D14A3E"/>
    <w:rsid w:val="00D23645"/>
    <w:rsid w:val="00D5013B"/>
    <w:rsid w:val="00D51ABB"/>
    <w:rsid w:val="00D73A63"/>
    <w:rsid w:val="00D82242"/>
    <w:rsid w:val="00D91886"/>
    <w:rsid w:val="00DA0E02"/>
    <w:rsid w:val="00DA1BBF"/>
    <w:rsid w:val="00DA4849"/>
    <w:rsid w:val="00DC0403"/>
    <w:rsid w:val="00DD0ED4"/>
    <w:rsid w:val="00DD0FE2"/>
    <w:rsid w:val="00DD306A"/>
    <w:rsid w:val="00DE2589"/>
    <w:rsid w:val="00DF1D40"/>
    <w:rsid w:val="00E01C7E"/>
    <w:rsid w:val="00E1158F"/>
    <w:rsid w:val="00E2185F"/>
    <w:rsid w:val="00E222A7"/>
    <w:rsid w:val="00E222BF"/>
    <w:rsid w:val="00E23C43"/>
    <w:rsid w:val="00E3716B"/>
    <w:rsid w:val="00E42EA0"/>
    <w:rsid w:val="00E43EA2"/>
    <w:rsid w:val="00E51830"/>
    <w:rsid w:val="00E5323B"/>
    <w:rsid w:val="00E61D4D"/>
    <w:rsid w:val="00E64439"/>
    <w:rsid w:val="00E717B4"/>
    <w:rsid w:val="00E77D43"/>
    <w:rsid w:val="00E81076"/>
    <w:rsid w:val="00E86539"/>
    <w:rsid w:val="00E8749E"/>
    <w:rsid w:val="00E90C01"/>
    <w:rsid w:val="00EA1C5F"/>
    <w:rsid w:val="00EA486E"/>
    <w:rsid w:val="00EB3456"/>
    <w:rsid w:val="00EB50D4"/>
    <w:rsid w:val="00EC07A9"/>
    <w:rsid w:val="00EC3F62"/>
    <w:rsid w:val="00EC6E2D"/>
    <w:rsid w:val="00ED7998"/>
    <w:rsid w:val="00EE2346"/>
    <w:rsid w:val="00EE36DA"/>
    <w:rsid w:val="00F13C54"/>
    <w:rsid w:val="00F2512C"/>
    <w:rsid w:val="00F26F4C"/>
    <w:rsid w:val="00F27F4B"/>
    <w:rsid w:val="00F345B8"/>
    <w:rsid w:val="00F34D34"/>
    <w:rsid w:val="00F364FF"/>
    <w:rsid w:val="00F4456E"/>
    <w:rsid w:val="00F5269C"/>
    <w:rsid w:val="00F558E3"/>
    <w:rsid w:val="00F56563"/>
    <w:rsid w:val="00F56C17"/>
    <w:rsid w:val="00F57B0C"/>
    <w:rsid w:val="00F62B1A"/>
    <w:rsid w:val="00F65650"/>
    <w:rsid w:val="00F74886"/>
    <w:rsid w:val="00F80267"/>
    <w:rsid w:val="00F858E8"/>
    <w:rsid w:val="00FA2720"/>
    <w:rsid w:val="00FC7321"/>
    <w:rsid w:val="00FD6538"/>
    <w:rsid w:val="00FE590C"/>
    <w:rsid w:val="00FF1DDC"/>
    <w:rsid w:val="00FF3E59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475CD"/>
  <w15:docId w15:val="{625EE961-9D97-4D45-987D-DF5D4590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45B02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9F07F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46E69"/>
    <w:pPr>
      <w:ind w:left="720"/>
      <w:contextualSpacing/>
    </w:pPr>
  </w:style>
  <w:style w:type="table" w:styleId="TableGrid">
    <w:name w:val="Table Grid"/>
    <w:basedOn w:val="TableNormal"/>
    <w:uiPriority w:val="39"/>
    <w:rsid w:val="0061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45B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B36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6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655"/>
    <w:rPr>
      <w:rFonts w:ascii="Times New Roman" w:hAnsi="Times New Roman"/>
      <w:sz w:val="20"/>
      <w:szCs w:val="20"/>
    </w:rPr>
  </w:style>
  <w:style w:type="paragraph" w:customStyle="1" w:styleId="EYBodyTextChar">
    <w:name w:val="EY Body Text Char"/>
    <w:basedOn w:val="Normal"/>
    <w:link w:val="EYBodyTextCharChar"/>
    <w:rsid w:val="00836965"/>
    <w:p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">
    <w:name w:val="EY Body Text Char Char"/>
    <w:link w:val="EYBodyTextChar"/>
    <w:locked/>
    <w:rsid w:val="00836965"/>
    <w:rPr>
      <w:rFonts w:ascii="Times New Roman" w:eastAsia="MS Mincho" w:hAnsi="Times New Roman" w:cs="Arial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6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2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9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.gov.lv/content/ministru-kabineta-diskusiju-dokumen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m.gov.lv/lv/sabiedribas_lidzdaliba/tiesibu_aktu_projekti/pasvaldibu_finansu_uzraudzibas_poli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.gov.lv/lv/sadalas/pasvaldibu_finansu_uzraudziba/pasvaldibu_aiznemumu_un_galvojumu_kontroles_un_parraudzibas_padom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1FC4-27E7-43DD-B3DA-45B63BB1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10252</Words>
  <Characters>5845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"Noteikumi par pašvaldību aizņēmumiem un galvojumiem" anotācija</vt:lpstr>
    </vt:vector>
  </TitlesOfParts>
  <Company>FM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"Noteikumi par pašvaldību aizņēmumiem un galvojumiem" anotācija</dc:title>
  <dc:subject>Anotācija</dc:subject>
  <dc:creator>jelena.novika@fm.gov.lv</dc:creator>
  <dc:description>67095420, jelena.novika@fm.gov.lv</dc:description>
  <cp:lastModifiedBy>Ivars Pauska</cp:lastModifiedBy>
  <cp:revision>21</cp:revision>
  <cp:lastPrinted>2019-07-12T12:11:00Z</cp:lastPrinted>
  <dcterms:created xsi:type="dcterms:W3CDTF">2019-10-23T11:18:00Z</dcterms:created>
  <dcterms:modified xsi:type="dcterms:W3CDTF">2019-11-20T08:55:00Z</dcterms:modified>
  <cp:category/>
</cp:coreProperties>
</file>