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2235" w14:textId="38F7601A" w:rsidR="00BD5588" w:rsidRPr="00C17043" w:rsidRDefault="00E56C0F" w:rsidP="00DD0091">
      <w:pPr>
        <w:pStyle w:val="Title"/>
        <w:spacing w:before="130"/>
        <w:ind w:firstLine="539"/>
        <w:rPr>
          <w:b/>
          <w:bCs/>
          <w:sz w:val="22"/>
          <w:szCs w:val="22"/>
          <w:lang w:eastAsia="lv-LV"/>
        </w:rPr>
      </w:pPr>
      <w:r w:rsidRPr="00C17043">
        <w:rPr>
          <w:b/>
          <w:bCs/>
          <w:sz w:val="22"/>
          <w:szCs w:val="22"/>
          <w:lang w:eastAsia="lv-LV"/>
        </w:rPr>
        <w:t>Ministru kabineta rīkojuma projekta</w:t>
      </w:r>
      <w:r w:rsidR="002925BA" w:rsidRPr="00C17043">
        <w:rPr>
          <w:b/>
          <w:bCs/>
          <w:sz w:val="22"/>
          <w:szCs w:val="22"/>
          <w:lang w:eastAsia="lv-LV"/>
        </w:rPr>
        <w:t xml:space="preserve"> </w:t>
      </w:r>
      <w:r w:rsidRPr="00C17043">
        <w:rPr>
          <w:b/>
          <w:bCs/>
          <w:sz w:val="22"/>
          <w:szCs w:val="22"/>
          <w:lang w:eastAsia="lv-LV"/>
        </w:rPr>
        <w:t>“Grozījumi Eiropas Savienības struktūrfondu un Kohēzijas fonda</w:t>
      </w:r>
      <w:r w:rsidR="002925BA" w:rsidRPr="00C17043">
        <w:rPr>
          <w:sz w:val="22"/>
          <w:szCs w:val="22"/>
        </w:rPr>
        <w:t xml:space="preserve"> </w:t>
      </w:r>
      <w:r w:rsidRPr="00C17043">
        <w:rPr>
          <w:b/>
          <w:bCs/>
          <w:sz w:val="22"/>
          <w:szCs w:val="22"/>
          <w:lang w:eastAsia="lv-LV"/>
        </w:rPr>
        <w:t>2014.–</w:t>
      </w:r>
      <w:r w:rsidR="002925BA" w:rsidRPr="00C17043">
        <w:rPr>
          <w:sz w:val="22"/>
          <w:szCs w:val="22"/>
        </w:rPr>
        <w:t> </w:t>
      </w:r>
      <w:r w:rsidR="002925BA" w:rsidRPr="00C17043">
        <w:rPr>
          <w:b/>
          <w:bCs/>
          <w:sz w:val="22"/>
          <w:szCs w:val="22"/>
          <w:lang w:eastAsia="lv-LV"/>
        </w:rPr>
        <w:t>2020.</w:t>
      </w:r>
      <w:r w:rsidR="00862131">
        <w:t> </w:t>
      </w:r>
      <w:r w:rsidR="002925BA" w:rsidRPr="00C17043">
        <w:rPr>
          <w:b/>
          <w:bCs/>
          <w:sz w:val="22"/>
          <w:szCs w:val="22"/>
          <w:lang w:eastAsia="lv-LV"/>
        </w:rPr>
        <w:t>gada</w:t>
      </w:r>
      <w:r w:rsidR="002925BA" w:rsidRPr="00C17043">
        <w:rPr>
          <w:sz w:val="22"/>
          <w:szCs w:val="22"/>
        </w:rPr>
        <w:t> </w:t>
      </w:r>
      <w:r w:rsidRPr="00C17043">
        <w:rPr>
          <w:b/>
          <w:bCs/>
          <w:sz w:val="22"/>
          <w:szCs w:val="22"/>
          <w:lang w:eastAsia="lv-LV"/>
        </w:rPr>
        <w:t>plānošanas perioda darbības programmā “Izaugsme un nodarbinātība”” sākotnējās ietekmes novērtējuma ziņojums (anotācija)</w:t>
      </w:r>
    </w:p>
    <w:p w14:paraId="2C75337B" w14:textId="77777777" w:rsidR="00E56C0F" w:rsidRPr="00C17043" w:rsidRDefault="00E56C0F" w:rsidP="00DD0091">
      <w:pPr>
        <w:pStyle w:val="Title"/>
        <w:spacing w:before="130"/>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37"/>
        <w:gridCol w:w="5824"/>
      </w:tblGrid>
      <w:tr w:rsidR="00BD5588" w:rsidRPr="00917588" w14:paraId="13E8CFBA" w14:textId="77777777" w:rsidTr="009E0502">
        <w:trPr>
          <w:cantSplit/>
        </w:trPr>
        <w:tc>
          <w:tcPr>
            <w:tcW w:w="9581" w:type="dxa"/>
            <w:gridSpan w:val="2"/>
            <w:shd w:val="clear" w:color="auto" w:fill="FFFFFF"/>
            <w:vAlign w:val="center"/>
            <w:hideMark/>
          </w:tcPr>
          <w:p w14:paraId="2744C290" w14:textId="77777777" w:rsidR="00BD5588" w:rsidRPr="00917588" w:rsidRDefault="00BD5588" w:rsidP="00BA0575">
            <w:pPr>
              <w:jc w:val="center"/>
              <w:rPr>
                <w:b/>
                <w:iCs/>
                <w:sz w:val="22"/>
                <w:szCs w:val="22"/>
                <w:lang w:eastAsia="en-US"/>
              </w:rPr>
            </w:pPr>
            <w:r w:rsidRPr="00917588">
              <w:rPr>
                <w:b/>
                <w:iCs/>
                <w:sz w:val="22"/>
                <w:szCs w:val="22"/>
                <w:lang w:eastAsia="en-US"/>
              </w:rPr>
              <w:t>Tiesību akta projekta anotācijas kopsavilkums</w:t>
            </w:r>
          </w:p>
        </w:tc>
      </w:tr>
      <w:tr w:rsidR="00BD5588" w:rsidRPr="00917588" w14:paraId="280F1A43" w14:textId="77777777" w:rsidTr="00E356D4">
        <w:trPr>
          <w:cantSplit/>
          <w:trHeight w:val="42"/>
        </w:trPr>
        <w:tc>
          <w:tcPr>
            <w:tcW w:w="3430" w:type="dxa"/>
            <w:shd w:val="clear" w:color="auto" w:fill="auto"/>
            <w:hideMark/>
          </w:tcPr>
          <w:p w14:paraId="6575DC00" w14:textId="77777777" w:rsidR="00BD5588" w:rsidRPr="00917588" w:rsidRDefault="00BD5588" w:rsidP="00DD0091">
            <w:pPr>
              <w:rPr>
                <w:iCs/>
                <w:sz w:val="22"/>
                <w:szCs w:val="22"/>
                <w:lang w:eastAsia="en-US"/>
              </w:rPr>
            </w:pPr>
            <w:r w:rsidRPr="00917588">
              <w:rPr>
                <w:iCs/>
                <w:sz w:val="22"/>
                <w:szCs w:val="22"/>
                <w:lang w:eastAsia="en-US"/>
              </w:rPr>
              <w:t>Mērķis, risinājums un projekta spēkā stāšanās laiks (500 zīmes bez atstarpēm)</w:t>
            </w:r>
          </w:p>
        </w:tc>
        <w:tc>
          <w:tcPr>
            <w:tcW w:w="6151" w:type="dxa"/>
            <w:shd w:val="clear" w:color="auto" w:fill="auto"/>
            <w:hideMark/>
          </w:tcPr>
          <w:p w14:paraId="7585C623" w14:textId="50D8C27F" w:rsidR="00BD5588" w:rsidRPr="00917588" w:rsidRDefault="00A02E1E" w:rsidP="00DA6303">
            <w:pPr>
              <w:jc w:val="both"/>
              <w:rPr>
                <w:sz w:val="22"/>
                <w:szCs w:val="22"/>
              </w:rPr>
            </w:pPr>
            <w:r w:rsidRPr="00917588">
              <w:rPr>
                <w:sz w:val="22"/>
                <w:szCs w:val="22"/>
              </w:rPr>
              <w:t xml:space="preserve">Eiropas Savienības struktūrfondu un Kohēzijas </w:t>
            </w:r>
            <w:r w:rsidR="005A527F" w:rsidRPr="00917588">
              <w:rPr>
                <w:sz w:val="22"/>
                <w:szCs w:val="22"/>
              </w:rPr>
              <w:t xml:space="preserve">fonda </w:t>
            </w:r>
            <w:r w:rsidR="00D6302F" w:rsidRPr="00917588">
              <w:rPr>
                <w:sz w:val="22"/>
                <w:szCs w:val="22"/>
              </w:rPr>
              <w:br/>
            </w:r>
            <w:r w:rsidR="005A527F" w:rsidRPr="00917588">
              <w:rPr>
                <w:sz w:val="22"/>
                <w:szCs w:val="22"/>
              </w:rPr>
              <w:t xml:space="preserve">(turpmāk – ES fondi) </w:t>
            </w:r>
            <w:r w:rsidRPr="00917588">
              <w:rPr>
                <w:sz w:val="22"/>
                <w:szCs w:val="22"/>
              </w:rPr>
              <w:t>2014.–2020. gada plānošanas perioda darbības programma</w:t>
            </w:r>
            <w:r w:rsidR="005A527F" w:rsidRPr="00917588">
              <w:rPr>
                <w:sz w:val="22"/>
                <w:szCs w:val="22"/>
              </w:rPr>
              <w:t>s</w:t>
            </w:r>
            <w:r w:rsidRPr="00917588">
              <w:rPr>
                <w:sz w:val="22"/>
                <w:szCs w:val="22"/>
              </w:rPr>
              <w:t xml:space="preserve"> “Izaugsme un nodarbinātība” </w:t>
            </w:r>
            <w:r w:rsidR="00D6302F" w:rsidRPr="00917588">
              <w:rPr>
                <w:sz w:val="22"/>
                <w:szCs w:val="22"/>
              </w:rPr>
              <w:br/>
            </w:r>
            <w:r w:rsidR="005A527F" w:rsidRPr="00917588">
              <w:rPr>
                <w:sz w:val="22"/>
                <w:szCs w:val="22"/>
              </w:rPr>
              <w:t xml:space="preserve">(turpmāk – darbības programma) </w:t>
            </w:r>
            <w:r w:rsidRPr="00917588">
              <w:rPr>
                <w:sz w:val="22"/>
                <w:szCs w:val="22"/>
              </w:rPr>
              <w:t>grozījumi sagatavoti, lai darbības programmas līmenī nostiprinātu līdz šim pieņemtos Ministru kabineta lēmumus par izmaiņām ES fondu finansējuma sadalījumā, paredzot finansējuma pārdales nacionāli stratēģiski nozīmīgiem projektiem (Paula Stradiņa klīniskās universitātes slimnīcas</w:t>
            </w:r>
            <w:r w:rsidR="005A527F" w:rsidRPr="00917588">
              <w:rPr>
                <w:sz w:val="22"/>
                <w:szCs w:val="22"/>
              </w:rPr>
              <w:t xml:space="preserve"> (turpmāk – PSKUS)</w:t>
            </w:r>
            <w:r w:rsidRPr="00917588">
              <w:rPr>
                <w:sz w:val="22"/>
                <w:szCs w:val="22"/>
              </w:rPr>
              <w:t xml:space="preserve"> projektam, elektrovilcienu iegādei un </w:t>
            </w:r>
            <w:proofErr w:type="spellStart"/>
            <w:r w:rsidRPr="00917588">
              <w:rPr>
                <w:sz w:val="22"/>
                <w:szCs w:val="22"/>
              </w:rPr>
              <w:t>deinstitucionalizācijas</w:t>
            </w:r>
            <w:proofErr w:type="spellEnd"/>
            <w:r w:rsidRPr="00917588">
              <w:rPr>
                <w:sz w:val="22"/>
                <w:szCs w:val="22"/>
              </w:rPr>
              <w:t xml:space="preserve"> infrastruktūras projektiem), vienlaikus atbrīvojot fiskālo telpu.</w:t>
            </w:r>
            <w:r w:rsidR="005C7412" w:rsidRPr="00917588">
              <w:rPr>
                <w:sz w:val="22"/>
                <w:szCs w:val="22"/>
              </w:rPr>
              <w:t xml:space="preserve"> Rīkojuma projekts stāsies spēkā</w:t>
            </w:r>
            <w:r w:rsidR="00DA6303" w:rsidRPr="00917588">
              <w:rPr>
                <w:sz w:val="22"/>
                <w:szCs w:val="22"/>
              </w:rPr>
              <w:t xml:space="preserve"> pēc apstiprināšanas Ministru kabinetā</w:t>
            </w:r>
            <w:r w:rsidR="005A527F" w:rsidRPr="00917588">
              <w:rPr>
                <w:sz w:val="22"/>
                <w:szCs w:val="22"/>
              </w:rPr>
              <w:t xml:space="preserve"> (turpmāk – MK)</w:t>
            </w:r>
            <w:r w:rsidR="005C7412" w:rsidRPr="00917588">
              <w:rPr>
                <w:sz w:val="22"/>
                <w:szCs w:val="22"/>
              </w:rPr>
              <w:t xml:space="preserve">. </w:t>
            </w:r>
          </w:p>
        </w:tc>
      </w:tr>
    </w:tbl>
    <w:p w14:paraId="666F4565" w14:textId="77777777" w:rsidR="00BD5588" w:rsidRPr="00917588" w:rsidRDefault="00BD5588" w:rsidP="00DD0091">
      <w:pPr>
        <w:pStyle w:val="Title"/>
        <w:spacing w:before="130"/>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917588" w14:paraId="2A94857C" w14:textId="77777777" w:rsidTr="00163248">
        <w:tc>
          <w:tcPr>
            <w:tcW w:w="5000" w:type="pct"/>
            <w:gridSpan w:val="3"/>
            <w:vAlign w:val="center"/>
            <w:hideMark/>
          </w:tcPr>
          <w:p w14:paraId="256C9E3A" w14:textId="38241350" w:rsidR="00BD5588" w:rsidRPr="00917588" w:rsidRDefault="00BD5588" w:rsidP="00DD0091">
            <w:pPr>
              <w:jc w:val="center"/>
              <w:rPr>
                <w:b/>
                <w:bCs/>
                <w:sz w:val="22"/>
                <w:szCs w:val="22"/>
              </w:rPr>
            </w:pPr>
            <w:r w:rsidRPr="00917588">
              <w:rPr>
                <w:b/>
                <w:bCs/>
                <w:sz w:val="22"/>
                <w:szCs w:val="22"/>
              </w:rPr>
              <w:t>I. Tiesību akta projekta izstrādes nepieciešamība</w:t>
            </w:r>
          </w:p>
        </w:tc>
      </w:tr>
      <w:tr w:rsidR="00BD5588" w:rsidRPr="00917588" w14:paraId="5E08886C" w14:textId="77777777" w:rsidTr="00163248">
        <w:tc>
          <w:tcPr>
            <w:tcW w:w="311" w:type="pct"/>
            <w:hideMark/>
          </w:tcPr>
          <w:p w14:paraId="1ED1AD15" w14:textId="77777777" w:rsidR="00BD5588" w:rsidRPr="00917588" w:rsidRDefault="00BD5588" w:rsidP="00DD0091">
            <w:pPr>
              <w:jc w:val="center"/>
              <w:rPr>
                <w:sz w:val="22"/>
                <w:szCs w:val="22"/>
              </w:rPr>
            </w:pPr>
            <w:r w:rsidRPr="00917588">
              <w:rPr>
                <w:sz w:val="22"/>
                <w:szCs w:val="22"/>
              </w:rPr>
              <w:t>1.</w:t>
            </w:r>
          </w:p>
        </w:tc>
        <w:tc>
          <w:tcPr>
            <w:tcW w:w="1479" w:type="pct"/>
            <w:hideMark/>
          </w:tcPr>
          <w:p w14:paraId="6CE9B998" w14:textId="589AC483" w:rsidR="00517EBA" w:rsidRPr="00917588" w:rsidRDefault="00BD5588" w:rsidP="00DD0091">
            <w:pPr>
              <w:rPr>
                <w:sz w:val="22"/>
                <w:szCs w:val="22"/>
              </w:rPr>
            </w:pPr>
            <w:r w:rsidRPr="00917588">
              <w:rPr>
                <w:sz w:val="22"/>
                <w:szCs w:val="22"/>
              </w:rPr>
              <w:t>Pamatojums</w:t>
            </w:r>
          </w:p>
          <w:p w14:paraId="324E811C" w14:textId="08BBD90E" w:rsidR="00BD5588" w:rsidRPr="00917588" w:rsidRDefault="00BD5588" w:rsidP="00DD0091">
            <w:pPr>
              <w:rPr>
                <w:sz w:val="22"/>
                <w:szCs w:val="22"/>
              </w:rPr>
            </w:pPr>
          </w:p>
        </w:tc>
        <w:tc>
          <w:tcPr>
            <w:tcW w:w="3210" w:type="pct"/>
            <w:hideMark/>
          </w:tcPr>
          <w:p w14:paraId="5D81FA8C" w14:textId="5295BEF2" w:rsidR="00BD5588" w:rsidRPr="00917588" w:rsidRDefault="00E56C0F" w:rsidP="00DD0091">
            <w:pPr>
              <w:jc w:val="both"/>
              <w:rPr>
                <w:sz w:val="22"/>
                <w:szCs w:val="22"/>
              </w:rPr>
            </w:pPr>
            <w:r w:rsidRPr="00917588">
              <w:rPr>
                <w:sz w:val="22"/>
                <w:szCs w:val="22"/>
              </w:rPr>
              <w:t>ES fond</w:t>
            </w:r>
            <w:r w:rsidR="005A527F" w:rsidRPr="00917588">
              <w:rPr>
                <w:sz w:val="22"/>
                <w:szCs w:val="22"/>
              </w:rPr>
              <w:t>u</w:t>
            </w:r>
            <w:r w:rsidRPr="00917588">
              <w:rPr>
                <w:sz w:val="22"/>
                <w:szCs w:val="22"/>
              </w:rPr>
              <w:t xml:space="preserve"> 2014.–2020.</w:t>
            </w:r>
            <w:r w:rsidR="00862131" w:rsidRPr="00917588">
              <w:rPr>
                <w:sz w:val="22"/>
                <w:szCs w:val="22"/>
              </w:rPr>
              <w:t> </w:t>
            </w:r>
            <w:r w:rsidRPr="00917588">
              <w:rPr>
                <w:sz w:val="22"/>
                <w:szCs w:val="22"/>
              </w:rPr>
              <w:t xml:space="preserve">gada plānošanas perioda darbības programma ir apstiprināta ar </w:t>
            </w:r>
            <w:r w:rsidR="00E972A0" w:rsidRPr="00917588">
              <w:rPr>
                <w:sz w:val="22"/>
                <w:szCs w:val="22"/>
              </w:rPr>
              <w:t>MK</w:t>
            </w:r>
            <w:r w:rsidRPr="00917588">
              <w:rPr>
                <w:sz w:val="22"/>
                <w:szCs w:val="22"/>
              </w:rPr>
              <w:t xml:space="preserve"> 2015.</w:t>
            </w:r>
            <w:r w:rsidR="00873ED0" w:rsidRPr="00917588">
              <w:rPr>
                <w:sz w:val="22"/>
                <w:szCs w:val="22"/>
              </w:rPr>
              <w:t> </w:t>
            </w:r>
            <w:r w:rsidRPr="00917588">
              <w:rPr>
                <w:sz w:val="22"/>
                <w:szCs w:val="22"/>
              </w:rPr>
              <w:t>gada 4.</w:t>
            </w:r>
            <w:r w:rsidR="00873ED0" w:rsidRPr="00917588">
              <w:rPr>
                <w:sz w:val="22"/>
                <w:szCs w:val="22"/>
              </w:rPr>
              <w:t> </w:t>
            </w:r>
            <w:r w:rsidRPr="00917588">
              <w:rPr>
                <w:sz w:val="22"/>
                <w:szCs w:val="22"/>
              </w:rPr>
              <w:t xml:space="preserve">februāra rīkojumu </w:t>
            </w:r>
            <w:r w:rsidR="00D92D7D" w:rsidRPr="00917588">
              <w:rPr>
                <w:sz w:val="22"/>
                <w:szCs w:val="22"/>
              </w:rPr>
              <w:t xml:space="preserve"> </w:t>
            </w:r>
            <w:r w:rsidRPr="00917588">
              <w:rPr>
                <w:sz w:val="22"/>
                <w:szCs w:val="22"/>
              </w:rPr>
              <w:t>Nr.</w:t>
            </w:r>
            <w:r w:rsidR="00873ED0" w:rsidRPr="00917588">
              <w:rPr>
                <w:sz w:val="22"/>
                <w:szCs w:val="22"/>
              </w:rPr>
              <w:t> </w:t>
            </w:r>
            <w:r w:rsidRPr="00917588">
              <w:rPr>
                <w:sz w:val="22"/>
                <w:szCs w:val="22"/>
              </w:rPr>
              <w:t xml:space="preserve">62 “Par Eiropas Savienības struktūrfondu un Kohēzijas fonda </w:t>
            </w:r>
            <w:r w:rsidR="00950370" w:rsidRPr="00917588">
              <w:rPr>
                <w:sz w:val="22"/>
                <w:szCs w:val="22"/>
              </w:rPr>
              <w:br/>
            </w:r>
            <w:r w:rsidRPr="00917588">
              <w:rPr>
                <w:sz w:val="22"/>
                <w:szCs w:val="22"/>
              </w:rPr>
              <w:t>2014.–2020.</w:t>
            </w:r>
            <w:r w:rsidR="00862131" w:rsidRPr="00917588">
              <w:rPr>
                <w:sz w:val="22"/>
                <w:szCs w:val="22"/>
              </w:rPr>
              <w:t> </w:t>
            </w:r>
            <w:r w:rsidRPr="00917588">
              <w:rPr>
                <w:sz w:val="22"/>
                <w:szCs w:val="22"/>
              </w:rPr>
              <w:t>gada plānošanas perioda darbības programmu “Izaugsme un nodarbinātība””.</w:t>
            </w:r>
          </w:p>
          <w:p w14:paraId="63F8E225" w14:textId="0CF6A216" w:rsidR="00084E41" w:rsidRPr="00917588" w:rsidRDefault="000F2CBB" w:rsidP="00DD0091">
            <w:pPr>
              <w:jc w:val="both"/>
              <w:rPr>
                <w:sz w:val="22"/>
                <w:szCs w:val="22"/>
              </w:rPr>
            </w:pPr>
            <w:r w:rsidRPr="00917588">
              <w:rPr>
                <w:sz w:val="22"/>
                <w:szCs w:val="22"/>
              </w:rPr>
              <w:t>Darbības programma izstrādāta saskaņā ar Eiropas Parlamenta un Padomes 2013.</w:t>
            </w:r>
            <w:r w:rsidR="00873ED0" w:rsidRPr="00917588">
              <w:rPr>
                <w:sz w:val="22"/>
                <w:szCs w:val="22"/>
              </w:rPr>
              <w:t> </w:t>
            </w:r>
            <w:r w:rsidRPr="00917588">
              <w:rPr>
                <w:sz w:val="22"/>
                <w:szCs w:val="22"/>
              </w:rPr>
              <w:t>gada 17.</w:t>
            </w:r>
            <w:r w:rsidR="00873ED0" w:rsidRPr="00917588">
              <w:rPr>
                <w:sz w:val="22"/>
                <w:szCs w:val="22"/>
              </w:rPr>
              <w:t> </w:t>
            </w:r>
            <w:r w:rsidRPr="00917588">
              <w:rPr>
                <w:sz w:val="22"/>
                <w:szCs w:val="22"/>
              </w:rPr>
              <w:t>decembr</w:t>
            </w:r>
            <w:r w:rsidR="00862131" w:rsidRPr="00917588">
              <w:rPr>
                <w:sz w:val="22"/>
                <w:szCs w:val="22"/>
              </w:rPr>
              <w:t>a</w:t>
            </w:r>
            <w:r w:rsidRPr="00917588">
              <w:rPr>
                <w:sz w:val="22"/>
                <w:szCs w:val="22"/>
              </w:rPr>
              <w:t xml:space="preserve">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w:t>
            </w:r>
            <w:r w:rsidR="00862131" w:rsidRPr="00917588">
              <w:rPr>
                <w:sz w:val="22"/>
                <w:szCs w:val="22"/>
              </w:rPr>
              <w:t xml:space="preserve"> fondu un atceļ Regulu (EK) Nr. 1083/2006 (turpmāk – Regula Nr. </w:t>
            </w:r>
            <w:r w:rsidRPr="00917588">
              <w:rPr>
                <w:sz w:val="22"/>
                <w:szCs w:val="22"/>
              </w:rPr>
              <w:t>1303/2013)</w:t>
            </w:r>
            <w:r w:rsidR="00D92D7D" w:rsidRPr="00917588">
              <w:rPr>
                <w:sz w:val="22"/>
                <w:szCs w:val="22"/>
              </w:rPr>
              <w:t>. S</w:t>
            </w:r>
            <w:r w:rsidRPr="00917588">
              <w:rPr>
                <w:sz w:val="22"/>
                <w:szCs w:val="22"/>
              </w:rPr>
              <w:t>askaņā ar Regulas Nr.</w:t>
            </w:r>
            <w:r w:rsidR="00862131" w:rsidRPr="00917588">
              <w:rPr>
                <w:sz w:val="22"/>
                <w:szCs w:val="22"/>
              </w:rPr>
              <w:t> </w:t>
            </w:r>
            <w:r w:rsidRPr="00917588">
              <w:rPr>
                <w:sz w:val="22"/>
                <w:szCs w:val="22"/>
              </w:rPr>
              <w:t>1303/2013 30.</w:t>
            </w:r>
            <w:r w:rsidR="00862131" w:rsidRPr="00917588">
              <w:rPr>
                <w:sz w:val="22"/>
                <w:szCs w:val="22"/>
              </w:rPr>
              <w:t> </w:t>
            </w:r>
            <w:r w:rsidRPr="00917588">
              <w:rPr>
                <w:sz w:val="22"/>
                <w:szCs w:val="22"/>
              </w:rPr>
              <w:t>panta 1. un 2.</w:t>
            </w:r>
            <w:r w:rsidR="00862131" w:rsidRPr="00917588">
              <w:rPr>
                <w:sz w:val="22"/>
                <w:szCs w:val="22"/>
              </w:rPr>
              <w:t> </w:t>
            </w:r>
            <w:r w:rsidRPr="00917588">
              <w:rPr>
                <w:sz w:val="22"/>
                <w:szCs w:val="22"/>
              </w:rPr>
              <w:t>punktu dalībvalstij ir ties</w:t>
            </w:r>
            <w:r w:rsidR="00862131" w:rsidRPr="00917588">
              <w:rPr>
                <w:sz w:val="22"/>
                <w:szCs w:val="22"/>
              </w:rPr>
              <w:t>ības iesniegt Eiropas Komisijai</w:t>
            </w:r>
            <w:r w:rsidR="00862131" w:rsidRPr="00917588">
              <w:rPr>
                <w:sz w:val="22"/>
                <w:szCs w:val="22"/>
              </w:rPr>
              <w:br/>
            </w:r>
            <w:r w:rsidRPr="00917588">
              <w:rPr>
                <w:sz w:val="22"/>
                <w:szCs w:val="22"/>
              </w:rPr>
              <w:t>(turpmāk – EK) pienācīgi pamatotu prasību veikt grozījumus darbības programmā, par kuriem EK attiecīgi nepieciešamības gadījumā sniedz savus apsvērumus.</w:t>
            </w:r>
          </w:p>
        </w:tc>
      </w:tr>
      <w:tr w:rsidR="008F0C62" w:rsidRPr="00917588" w14:paraId="4E67868D" w14:textId="77777777" w:rsidTr="00163248">
        <w:tc>
          <w:tcPr>
            <w:tcW w:w="311" w:type="pct"/>
          </w:tcPr>
          <w:p w14:paraId="3CFF0902" w14:textId="4BFD79EF" w:rsidR="008F0C62" w:rsidRPr="00917588" w:rsidRDefault="008F0C62" w:rsidP="00DD0091">
            <w:pPr>
              <w:jc w:val="center"/>
              <w:rPr>
                <w:sz w:val="22"/>
                <w:szCs w:val="22"/>
              </w:rPr>
            </w:pPr>
            <w:r w:rsidRPr="00917588">
              <w:rPr>
                <w:sz w:val="22"/>
                <w:szCs w:val="22"/>
              </w:rPr>
              <w:t>2.</w:t>
            </w:r>
          </w:p>
        </w:tc>
        <w:tc>
          <w:tcPr>
            <w:tcW w:w="1479" w:type="pct"/>
          </w:tcPr>
          <w:p w14:paraId="1F097289" w14:textId="563B970C" w:rsidR="008F0C62" w:rsidRPr="00917588" w:rsidRDefault="008F0C62" w:rsidP="00DD0091">
            <w:pPr>
              <w:rPr>
                <w:sz w:val="22"/>
                <w:szCs w:val="22"/>
              </w:rPr>
            </w:pPr>
            <w:r w:rsidRPr="00917588">
              <w:rPr>
                <w:sz w:val="22"/>
                <w:szCs w:val="22"/>
              </w:rPr>
              <w:t>Pašreizējā situācija un problēmas, kuru risināšanai tiesību akta projekts izstrādāts, tiesiskā regulējuma mērķis un būtība</w:t>
            </w:r>
          </w:p>
        </w:tc>
        <w:tc>
          <w:tcPr>
            <w:tcW w:w="3210" w:type="pct"/>
          </w:tcPr>
          <w:p w14:paraId="52518F20" w14:textId="77777777" w:rsidR="00787E34" w:rsidRPr="00917588" w:rsidRDefault="00787E34" w:rsidP="00DD0091">
            <w:pPr>
              <w:jc w:val="both"/>
              <w:rPr>
                <w:sz w:val="22"/>
                <w:szCs w:val="22"/>
              </w:rPr>
            </w:pPr>
            <w:r w:rsidRPr="00917588">
              <w:rPr>
                <w:sz w:val="22"/>
                <w:szCs w:val="22"/>
              </w:rPr>
              <w:t>Darbības programmas grozījumi sagatavoti, lai darbības programmas līmenī nostiprinātu līdz šim pieņemtos MK lēmumus par izmaiņām ES fondu finansējuma sadalījumā, paredzot vairākas finansējuma pārdales nacionāli stratēģiski nozīmīgiem projektiem, vienlaikus atbrīvojot fiskālo telpu.</w:t>
            </w:r>
          </w:p>
          <w:p w14:paraId="3CE4A4F5" w14:textId="1C9013C4" w:rsidR="00787E34" w:rsidRPr="00917588" w:rsidRDefault="00787E34" w:rsidP="00DD0091">
            <w:pPr>
              <w:jc w:val="both"/>
              <w:rPr>
                <w:sz w:val="22"/>
                <w:szCs w:val="22"/>
              </w:rPr>
            </w:pPr>
            <w:r w:rsidRPr="00917588">
              <w:rPr>
                <w:sz w:val="22"/>
                <w:szCs w:val="22"/>
              </w:rPr>
              <w:t>MK 2019. gada 13. septembra sēd</w:t>
            </w:r>
            <w:r w:rsidR="00686470" w:rsidRPr="00917588">
              <w:rPr>
                <w:sz w:val="22"/>
                <w:szCs w:val="22"/>
              </w:rPr>
              <w:t>ē (</w:t>
            </w:r>
            <w:proofErr w:type="spellStart"/>
            <w:r w:rsidR="00686470" w:rsidRPr="00917588">
              <w:rPr>
                <w:sz w:val="22"/>
                <w:szCs w:val="22"/>
              </w:rPr>
              <w:t>protokollēmums</w:t>
            </w:r>
            <w:proofErr w:type="spellEnd"/>
            <w:r w:rsidRPr="00917588">
              <w:rPr>
                <w:sz w:val="22"/>
                <w:szCs w:val="22"/>
              </w:rPr>
              <w:t xml:space="preserve"> Nr. 41 1. § “Informatīvais ziņojums “Par fiskālās telpas pasākumiem un izdevumiem prioritārajiem pasākumiem valsts budžetam 2020. gadam un ietvaram 2020.–2022. gadam””</w:t>
            </w:r>
            <w:r w:rsidR="00686470" w:rsidRPr="00917588">
              <w:rPr>
                <w:sz w:val="22"/>
                <w:szCs w:val="22"/>
              </w:rPr>
              <w:t>)</w:t>
            </w:r>
            <w:r w:rsidRPr="00917588">
              <w:rPr>
                <w:sz w:val="22"/>
                <w:szCs w:val="22"/>
              </w:rPr>
              <w:t xml:space="preserve"> </w:t>
            </w:r>
            <w:r w:rsidR="00D6302F" w:rsidRPr="00917588">
              <w:rPr>
                <w:sz w:val="22"/>
                <w:szCs w:val="22"/>
              </w:rPr>
              <w:br/>
            </w:r>
            <w:r w:rsidR="00C47C70" w:rsidRPr="00917588">
              <w:rPr>
                <w:sz w:val="22"/>
                <w:szCs w:val="22"/>
              </w:rPr>
              <w:t xml:space="preserve">(turpmāk – </w:t>
            </w:r>
            <w:r w:rsidR="0095680A" w:rsidRPr="00917588">
              <w:rPr>
                <w:sz w:val="22"/>
                <w:szCs w:val="22"/>
              </w:rPr>
              <w:t xml:space="preserve">MK </w:t>
            </w:r>
            <w:r w:rsidR="00D6302F" w:rsidRPr="00917588">
              <w:rPr>
                <w:sz w:val="22"/>
                <w:szCs w:val="22"/>
              </w:rPr>
              <w:t>2019. gada 13. </w:t>
            </w:r>
            <w:r w:rsidR="00C47C70" w:rsidRPr="00917588">
              <w:rPr>
                <w:sz w:val="22"/>
                <w:szCs w:val="22"/>
              </w:rPr>
              <w:t xml:space="preserve">septembra lēmums) </w:t>
            </w:r>
            <w:r w:rsidRPr="00917588">
              <w:rPr>
                <w:sz w:val="22"/>
                <w:szCs w:val="22"/>
              </w:rPr>
              <w:t>MK atbalstīja konceptuālas finansējuma</w:t>
            </w:r>
            <w:r w:rsidR="00AD3E41" w:rsidRPr="00917588">
              <w:rPr>
                <w:sz w:val="22"/>
                <w:szCs w:val="22"/>
              </w:rPr>
              <w:t xml:space="preserve"> </w:t>
            </w:r>
            <w:r w:rsidRPr="00917588">
              <w:rPr>
                <w:sz w:val="22"/>
                <w:szCs w:val="22"/>
              </w:rPr>
              <w:t>pārdales, atslogojo</w:t>
            </w:r>
            <w:r w:rsidR="00101650" w:rsidRPr="00917588">
              <w:rPr>
                <w:sz w:val="22"/>
                <w:szCs w:val="22"/>
              </w:rPr>
              <w:t xml:space="preserve">t valsts budžeta fiskālo telpu – </w:t>
            </w:r>
            <w:r w:rsidRPr="00917588">
              <w:rPr>
                <w:sz w:val="22"/>
                <w:szCs w:val="22"/>
              </w:rPr>
              <w:t>paredzot papildu finansējumu PS</w:t>
            </w:r>
            <w:r w:rsidR="00B81827" w:rsidRPr="00917588">
              <w:rPr>
                <w:sz w:val="22"/>
                <w:szCs w:val="22"/>
              </w:rPr>
              <w:t xml:space="preserve">KUS </w:t>
            </w:r>
            <w:r w:rsidRPr="00917588">
              <w:rPr>
                <w:sz w:val="22"/>
                <w:szCs w:val="22"/>
              </w:rPr>
              <w:t>lielajam projektam</w:t>
            </w:r>
            <w:r w:rsidR="00101650" w:rsidRPr="00917588">
              <w:rPr>
                <w:sz w:val="22"/>
                <w:szCs w:val="22"/>
              </w:rPr>
              <w:t xml:space="preserve">, kā arī novirzot finansējumu jauna Rīgas un Pierīgas pasažieru pārvadājumu nodrošināšanai nepieciešamo elektrovilcienu iegādes projekta īstenošanai (t. sk. novirzot </w:t>
            </w:r>
            <w:r w:rsidR="00101650" w:rsidRPr="00917588">
              <w:rPr>
                <w:sz w:val="22"/>
                <w:szCs w:val="22"/>
              </w:rPr>
              <w:lastRenderedPageBreak/>
              <w:t>pārtrauktā lielā projekta “Rīgas tramvaja infrastruktūras attīstība” finansējumu)</w:t>
            </w:r>
            <w:r w:rsidRPr="00917588">
              <w:rPr>
                <w:sz w:val="22"/>
                <w:szCs w:val="22"/>
              </w:rPr>
              <w:t>.</w:t>
            </w:r>
          </w:p>
          <w:p w14:paraId="691661A4" w14:textId="54552E79" w:rsidR="007309EF" w:rsidRPr="00917588" w:rsidRDefault="000E4152" w:rsidP="00DD0091">
            <w:pPr>
              <w:jc w:val="both"/>
              <w:rPr>
                <w:sz w:val="22"/>
                <w:szCs w:val="22"/>
              </w:rPr>
            </w:pPr>
            <w:r w:rsidRPr="00917588">
              <w:rPr>
                <w:sz w:val="22"/>
                <w:szCs w:val="22"/>
              </w:rPr>
              <w:t>MK 2019.</w:t>
            </w:r>
            <w:r w:rsidR="007309EF" w:rsidRPr="00917588">
              <w:rPr>
                <w:sz w:val="22"/>
                <w:szCs w:val="22"/>
              </w:rPr>
              <w:t> </w:t>
            </w:r>
            <w:r w:rsidRPr="00917588">
              <w:rPr>
                <w:sz w:val="22"/>
                <w:szCs w:val="22"/>
              </w:rPr>
              <w:t>gada 11.</w:t>
            </w:r>
            <w:r w:rsidR="007309EF" w:rsidRPr="00917588">
              <w:rPr>
                <w:sz w:val="22"/>
                <w:szCs w:val="22"/>
              </w:rPr>
              <w:t> </w:t>
            </w:r>
            <w:r w:rsidRPr="00917588">
              <w:rPr>
                <w:sz w:val="22"/>
                <w:szCs w:val="22"/>
              </w:rPr>
              <w:t>oktobra sēdē (</w:t>
            </w:r>
            <w:proofErr w:type="spellStart"/>
            <w:r w:rsidRPr="00917588">
              <w:rPr>
                <w:sz w:val="22"/>
                <w:szCs w:val="22"/>
              </w:rPr>
              <w:t>protokollēmum</w:t>
            </w:r>
            <w:r w:rsidR="00D92D7D" w:rsidRPr="00917588">
              <w:rPr>
                <w:sz w:val="22"/>
                <w:szCs w:val="22"/>
              </w:rPr>
              <w:t>s</w:t>
            </w:r>
            <w:proofErr w:type="spellEnd"/>
            <w:r w:rsidRPr="00917588">
              <w:rPr>
                <w:sz w:val="22"/>
                <w:szCs w:val="22"/>
              </w:rPr>
              <w:t xml:space="preserve"> Nr.</w:t>
            </w:r>
            <w:r w:rsidR="00E678AB" w:rsidRPr="00917588">
              <w:rPr>
                <w:sz w:val="22"/>
                <w:szCs w:val="22"/>
              </w:rPr>
              <w:t> </w:t>
            </w:r>
            <w:r w:rsidRPr="00917588">
              <w:rPr>
                <w:sz w:val="22"/>
                <w:szCs w:val="22"/>
              </w:rPr>
              <w:t>47 3.§ “Informatīvais ziņojums “Par Eiropas Savienības struktūrfondu un Kohēzijas fonda 2014.–2020.</w:t>
            </w:r>
            <w:r w:rsidR="007309EF" w:rsidRPr="00917588">
              <w:rPr>
                <w:sz w:val="22"/>
                <w:szCs w:val="22"/>
              </w:rPr>
              <w:t> </w:t>
            </w:r>
            <w:r w:rsidRPr="00917588">
              <w:rPr>
                <w:sz w:val="22"/>
                <w:szCs w:val="22"/>
              </w:rPr>
              <w:t>gada plānošanas perioda darbības programmas “Izaugsme un nodarbinātība” snieguma ietvarā noteikto mērķu sasniegšanas progresu un snieguma rezerves finansējuma tālāku izmantošanu””</w:t>
            </w:r>
            <w:r w:rsidR="00A30BEB" w:rsidRPr="00917588">
              <w:rPr>
                <w:sz w:val="22"/>
                <w:szCs w:val="22"/>
              </w:rPr>
              <w:t xml:space="preserve"> </w:t>
            </w:r>
            <w:r w:rsidR="00D6302F" w:rsidRPr="00917588">
              <w:rPr>
                <w:sz w:val="22"/>
                <w:szCs w:val="22"/>
              </w:rPr>
              <w:br/>
            </w:r>
            <w:r w:rsidR="00A30BEB" w:rsidRPr="00917588">
              <w:rPr>
                <w:sz w:val="22"/>
                <w:szCs w:val="22"/>
              </w:rPr>
              <w:t>(turpmāk – MK 2019. gada 11. oktobra lēmums</w:t>
            </w:r>
            <w:r w:rsidRPr="00917588">
              <w:rPr>
                <w:sz w:val="22"/>
                <w:szCs w:val="22"/>
              </w:rPr>
              <w:t>)</w:t>
            </w:r>
            <w:r w:rsidR="000A2A68" w:rsidRPr="00917588">
              <w:rPr>
                <w:sz w:val="22"/>
                <w:szCs w:val="22"/>
              </w:rPr>
              <w:t xml:space="preserve"> tika izskatīts Finanšu ministrijas (turpmāk – FM) sagatavotais informatīvais zi</w:t>
            </w:r>
            <w:r w:rsidR="00686470" w:rsidRPr="00917588">
              <w:rPr>
                <w:sz w:val="22"/>
                <w:szCs w:val="22"/>
              </w:rPr>
              <w:t xml:space="preserve">ņojums ar priekšlikumiem ES fondu snieguma rezerves un finansējuma atlikumu izmantošanai, paredzot papildu finansējumu </w:t>
            </w:r>
            <w:r w:rsidR="00FE2C35" w:rsidRPr="00917588">
              <w:rPr>
                <w:sz w:val="22"/>
                <w:szCs w:val="22"/>
              </w:rPr>
              <w:t xml:space="preserve">arī </w:t>
            </w:r>
            <w:proofErr w:type="spellStart"/>
            <w:r w:rsidR="00686470" w:rsidRPr="00917588">
              <w:rPr>
                <w:sz w:val="22"/>
                <w:szCs w:val="22"/>
              </w:rPr>
              <w:t>deinstitucionalizācijas</w:t>
            </w:r>
            <w:proofErr w:type="spellEnd"/>
            <w:r w:rsidR="00686470" w:rsidRPr="00917588">
              <w:rPr>
                <w:sz w:val="22"/>
                <w:szCs w:val="22"/>
              </w:rPr>
              <w:t xml:space="preserve"> infrastruktūras projektiem, </w:t>
            </w:r>
            <w:r w:rsidR="00340E81" w:rsidRPr="00917588">
              <w:rPr>
                <w:sz w:val="22"/>
                <w:szCs w:val="22"/>
              </w:rPr>
              <w:t>savukārt</w:t>
            </w:r>
            <w:r w:rsidR="00686470" w:rsidRPr="00917588">
              <w:rPr>
                <w:sz w:val="22"/>
                <w:szCs w:val="22"/>
              </w:rPr>
              <w:t xml:space="preserve"> pārējos gadījumos atļaujot ES fondu atbildīgām iestādēm novirzīt finansējumu atbilstoši aktuālajām nozares vajadzībām sava finansējuma ietvaros.</w:t>
            </w:r>
            <w:r w:rsidR="007309EF" w:rsidRPr="00917588">
              <w:rPr>
                <w:sz w:val="22"/>
                <w:szCs w:val="22"/>
              </w:rPr>
              <w:t xml:space="preserve"> </w:t>
            </w:r>
          </w:p>
          <w:p w14:paraId="52C0EDD1" w14:textId="602DE76B" w:rsidR="000E4152" w:rsidRPr="00917588" w:rsidRDefault="00A30BEB" w:rsidP="00DD0091">
            <w:pPr>
              <w:jc w:val="both"/>
              <w:rPr>
                <w:sz w:val="22"/>
                <w:szCs w:val="22"/>
              </w:rPr>
            </w:pPr>
            <w:r w:rsidRPr="00917588">
              <w:rPr>
                <w:sz w:val="22"/>
                <w:szCs w:val="22"/>
              </w:rPr>
              <w:t>Tā kā</w:t>
            </w:r>
            <w:r w:rsidR="006C0B34" w:rsidRPr="00917588">
              <w:rPr>
                <w:sz w:val="22"/>
                <w:szCs w:val="22"/>
              </w:rPr>
              <w:t xml:space="preserve"> </w:t>
            </w:r>
            <w:r w:rsidR="00FE2C35" w:rsidRPr="00917588">
              <w:rPr>
                <w:sz w:val="22"/>
                <w:szCs w:val="22"/>
              </w:rPr>
              <w:t xml:space="preserve">minētās </w:t>
            </w:r>
            <w:r w:rsidR="006C0B34" w:rsidRPr="00917588">
              <w:rPr>
                <w:sz w:val="22"/>
                <w:szCs w:val="22"/>
              </w:rPr>
              <w:t>finansējuma pārdales skar darbības programmas prioritāro virzienu</w:t>
            </w:r>
            <w:r w:rsidR="00BA0575" w:rsidRPr="00917588">
              <w:rPr>
                <w:sz w:val="22"/>
                <w:szCs w:val="22"/>
              </w:rPr>
              <w:t xml:space="preserve"> (turpmāk – PV)</w:t>
            </w:r>
            <w:r w:rsidR="006C0B34" w:rsidRPr="00917588">
              <w:rPr>
                <w:sz w:val="22"/>
                <w:szCs w:val="22"/>
              </w:rPr>
              <w:t xml:space="preserve"> finansējuma sadalījumu,</w:t>
            </w:r>
            <w:r w:rsidR="00686470" w:rsidRPr="00917588">
              <w:rPr>
                <w:sz w:val="22"/>
                <w:szCs w:val="22"/>
              </w:rPr>
              <w:t xml:space="preserve"> kā arī atsevišķos gadījumos ES fondu atbildīg</w:t>
            </w:r>
            <w:r w:rsidR="00DD0091" w:rsidRPr="00917588">
              <w:rPr>
                <w:sz w:val="22"/>
                <w:szCs w:val="22"/>
              </w:rPr>
              <w:t>o</w:t>
            </w:r>
            <w:r w:rsidR="00686470" w:rsidRPr="00917588">
              <w:rPr>
                <w:sz w:val="22"/>
                <w:szCs w:val="22"/>
              </w:rPr>
              <w:t xml:space="preserve"> iestāžu paredzētie finansējuma novirzīšanas risinājumi</w:t>
            </w:r>
            <w:r w:rsidR="006C0B34" w:rsidRPr="00917588">
              <w:rPr>
                <w:sz w:val="22"/>
                <w:szCs w:val="22"/>
              </w:rPr>
              <w:t xml:space="preserve"> </w:t>
            </w:r>
            <w:r w:rsidR="00686470" w:rsidRPr="00917588">
              <w:rPr>
                <w:sz w:val="22"/>
                <w:szCs w:val="22"/>
              </w:rPr>
              <w:t xml:space="preserve">prasa izmaiņas darbības programmā definētajos nosacījumos, </w:t>
            </w:r>
            <w:r w:rsidR="006C0B34" w:rsidRPr="00917588">
              <w:rPr>
                <w:sz w:val="22"/>
                <w:szCs w:val="22"/>
              </w:rPr>
              <w:t xml:space="preserve">MK uzdeva </w:t>
            </w:r>
            <w:r w:rsidR="00D92D7D" w:rsidRPr="00917588">
              <w:rPr>
                <w:sz w:val="22"/>
                <w:szCs w:val="22"/>
              </w:rPr>
              <w:t>FM</w:t>
            </w:r>
            <w:r w:rsidR="006C0B34" w:rsidRPr="00917588">
              <w:rPr>
                <w:sz w:val="22"/>
                <w:szCs w:val="22"/>
              </w:rPr>
              <w:t>,</w:t>
            </w:r>
            <w:r w:rsidR="000E4152" w:rsidRPr="00917588">
              <w:rPr>
                <w:sz w:val="22"/>
                <w:szCs w:val="22"/>
              </w:rPr>
              <w:t xml:space="preserve"> pamatojoties uz ES fondu atbildīgo iestāžu sniegto informāciju, sagatavot un steidzamības kārtā viena mēneša laikā iesniegt apstiprināšanai MK </w:t>
            </w:r>
            <w:r w:rsidR="00787E34" w:rsidRPr="00917588">
              <w:rPr>
                <w:sz w:val="22"/>
                <w:szCs w:val="22"/>
              </w:rPr>
              <w:t xml:space="preserve">attiecīgus </w:t>
            </w:r>
            <w:r w:rsidR="000E4152" w:rsidRPr="00917588">
              <w:rPr>
                <w:sz w:val="22"/>
                <w:szCs w:val="22"/>
              </w:rPr>
              <w:t xml:space="preserve">grozījumus darbības programmā </w:t>
            </w:r>
            <w:r w:rsidR="006C0B34" w:rsidRPr="00917588">
              <w:rPr>
                <w:sz w:val="22"/>
                <w:szCs w:val="22"/>
              </w:rPr>
              <w:t xml:space="preserve"> (MK 2019. gada 11. oktobra lēmuma 10.</w:t>
            </w:r>
            <w:r w:rsidRPr="00917588">
              <w:rPr>
                <w:sz w:val="22"/>
                <w:szCs w:val="22"/>
              </w:rPr>
              <w:t> </w:t>
            </w:r>
            <w:r w:rsidR="006C0B34" w:rsidRPr="00917588">
              <w:rPr>
                <w:sz w:val="22"/>
                <w:szCs w:val="22"/>
              </w:rPr>
              <w:t>punkts).</w:t>
            </w:r>
          </w:p>
          <w:p w14:paraId="57114FC2" w14:textId="5C13DD25" w:rsidR="00BB69EE" w:rsidRPr="00917588" w:rsidRDefault="00686470" w:rsidP="00DD0091">
            <w:pPr>
              <w:jc w:val="both"/>
              <w:rPr>
                <w:sz w:val="22"/>
                <w:szCs w:val="22"/>
              </w:rPr>
            </w:pPr>
            <w:r w:rsidRPr="00917588">
              <w:rPr>
                <w:sz w:val="22"/>
                <w:szCs w:val="22"/>
              </w:rPr>
              <w:t>Ņemot vērā minēto, d</w:t>
            </w:r>
            <w:r w:rsidR="00BB69EE" w:rsidRPr="00917588">
              <w:rPr>
                <w:sz w:val="22"/>
                <w:szCs w:val="22"/>
              </w:rPr>
              <w:t xml:space="preserve">arbības programmas grozījumi </w:t>
            </w:r>
            <w:r w:rsidRPr="00917588">
              <w:rPr>
                <w:sz w:val="22"/>
                <w:szCs w:val="22"/>
              </w:rPr>
              <w:t xml:space="preserve">paredz </w:t>
            </w:r>
            <w:r w:rsidR="008F5498" w:rsidRPr="00917588">
              <w:rPr>
                <w:sz w:val="22"/>
                <w:szCs w:val="22"/>
              </w:rPr>
              <w:t xml:space="preserve">kompleksas </w:t>
            </w:r>
            <w:r w:rsidRPr="00917588">
              <w:rPr>
                <w:sz w:val="22"/>
                <w:szCs w:val="22"/>
              </w:rPr>
              <w:t>izmaiņas darbības programmā definētajos nosacījumos</w:t>
            </w:r>
            <w:r w:rsidR="008F5498" w:rsidRPr="00917588">
              <w:rPr>
                <w:sz w:val="22"/>
                <w:szCs w:val="22"/>
              </w:rPr>
              <w:t xml:space="preserve"> (t.sk</w:t>
            </w:r>
            <w:r w:rsidR="00DE2DD1" w:rsidRPr="00917588">
              <w:rPr>
                <w:sz w:val="22"/>
                <w:szCs w:val="22"/>
              </w:rPr>
              <w:t>.</w:t>
            </w:r>
            <w:r w:rsidR="008F5498" w:rsidRPr="00917588">
              <w:rPr>
                <w:sz w:val="22"/>
                <w:szCs w:val="22"/>
              </w:rPr>
              <w:t xml:space="preserve"> izmaiņas finansējuma sadalījumā, saistīto specifisko atbalsta mērķu</w:t>
            </w:r>
            <w:r w:rsidR="00BA0575" w:rsidRPr="00917588">
              <w:rPr>
                <w:sz w:val="22"/>
                <w:szCs w:val="22"/>
              </w:rPr>
              <w:t xml:space="preserve"> (turpmāk – SAM)</w:t>
            </w:r>
            <w:r w:rsidR="008F5498" w:rsidRPr="00917588">
              <w:rPr>
                <w:sz w:val="22"/>
                <w:szCs w:val="22"/>
              </w:rPr>
              <w:t xml:space="preserve"> rādītājos, atbalstāmajās darbībās utt.), lai nostiprinātu minētās finansējuma pārdales un citus MK atbalstītos</w:t>
            </w:r>
            <w:r w:rsidR="00A30BEB" w:rsidRPr="00917588">
              <w:rPr>
                <w:sz w:val="22"/>
                <w:szCs w:val="22"/>
              </w:rPr>
              <w:t xml:space="preserve"> ES fondu</w:t>
            </w:r>
            <w:r w:rsidR="008F5498" w:rsidRPr="00917588">
              <w:rPr>
                <w:sz w:val="22"/>
                <w:szCs w:val="22"/>
              </w:rPr>
              <w:t xml:space="preserve"> finansējuma turpmākas izmantošanas risinājumus</w:t>
            </w:r>
            <w:r w:rsidRPr="00917588">
              <w:rPr>
                <w:sz w:val="22"/>
                <w:szCs w:val="22"/>
              </w:rPr>
              <w:t>.</w:t>
            </w:r>
          </w:p>
          <w:p w14:paraId="34B5C2BE" w14:textId="39D78F0C" w:rsidR="00BA0575" w:rsidRPr="00917588" w:rsidRDefault="00686470" w:rsidP="00DD0091">
            <w:pPr>
              <w:jc w:val="both"/>
              <w:rPr>
                <w:sz w:val="22"/>
                <w:szCs w:val="22"/>
              </w:rPr>
            </w:pPr>
            <w:r w:rsidRPr="00917588">
              <w:rPr>
                <w:sz w:val="22"/>
                <w:szCs w:val="22"/>
              </w:rPr>
              <w:t xml:space="preserve">1) Grozījumi </w:t>
            </w:r>
            <w:r w:rsidRPr="00917588">
              <w:rPr>
                <w:b/>
                <w:sz w:val="22"/>
                <w:szCs w:val="22"/>
              </w:rPr>
              <w:t>Rīgas un Pierīgas pasažieru pārvadājumu nodrošināšanai nepieciešamo elektrovilcienu iegādes projekta ietverš</w:t>
            </w:r>
            <w:r w:rsidR="008F5498" w:rsidRPr="00917588">
              <w:rPr>
                <w:b/>
                <w:sz w:val="22"/>
                <w:szCs w:val="22"/>
              </w:rPr>
              <w:t>anai</w:t>
            </w:r>
            <w:r w:rsidRPr="00917588">
              <w:rPr>
                <w:b/>
                <w:sz w:val="22"/>
                <w:szCs w:val="22"/>
              </w:rPr>
              <w:t xml:space="preserve"> darbības programm</w:t>
            </w:r>
            <w:r w:rsidR="00BA0575" w:rsidRPr="00917588">
              <w:rPr>
                <w:b/>
                <w:sz w:val="22"/>
                <w:szCs w:val="22"/>
              </w:rPr>
              <w:t>ā</w:t>
            </w:r>
            <w:r w:rsidR="004E5FF0" w:rsidRPr="00917588">
              <w:rPr>
                <w:b/>
                <w:sz w:val="22"/>
                <w:szCs w:val="22"/>
              </w:rPr>
              <w:t xml:space="preserve"> </w:t>
            </w:r>
            <w:r w:rsidR="004E5FF0" w:rsidRPr="00917588">
              <w:rPr>
                <w:sz w:val="22"/>
                <w:szCs w:val="22"/>
              </w:rPr>
              <w:t xml:space="preserve">(plānots īstenot </w:t>
            </w:r>
            <w:r w:rsidR="00C415E5" w:rsidRPr="00917588">
              <w:rPr>
                <w:sz w:val="22"/>
                <w:szCs w:val="22"/>
              </w:rPr>
              <w:t>esošā</w:t>
            </w:r>
            <w:r w:rsidR="004E5FF0" w:rsidRPr="00917588">
              <w:rPr>
                <w:sz w:val="22"/>
                <w:szCs w:val="22"/>
              </w:rPr>
              <w:t xml:space="preserve"> </w:t>
            </w:r>
            <w:r w:rsidR="00126F28" w:rsidRPr="00917588">
              <w:rPr>
                <w:sz w:val="22"/>
                <w:szCs w:val="22"/>
              </w:rPr>
              <w:t>videi draudzīga sabiedriskā transporta</w:t>
            </w:r>
            <w:r w:rsidR="00126F28" w:rsidRPr="00917588" w:rsidDel="00126F28">
              <w:rPr>
                <w:sz w:val="22"/>
                <w:szCs w:val="22"/>
              </w:rPr>
              <w:t xml:space="preserve"> </w:t>
            </w:r>
            <w:r w:rsidR="004E5FF0" w:rsidRPr="00917588">
              <w:rPr>
                <w:sz w:val="22"/>
                <w:szCs w:val="22"/>
              </w:rPr>
              <w:t>SAM ietvaros)</w:t>
            </w:r>
            <w:r w:rsidR="00BA0575" w:rsidRPr="00917588">
              <w:rPr>
                <w:sz w:val="22"/>
                <w:szCs w:val="22"/>
              </w:rPr>
              <w:t>:</w:t>
            </w:r>
          </w:p>
          <w:p w14:paraId="60EFD2CF" w14:textId="04B4B3E0" w:rsidR="00686470" w:rsidRPr="00917588" w:rsidRDefault="00BA0575" w:rsidP="0086139A">
            <w:pPr>
              <w:pStyle w:val="ListParagraph"/>
              <w:numPr>
                <w:ilvl w:val="0"/>
                <w:numId w:val="8"/>
              </w:numPr>
              <w:spacing w:line="240" w:lineRule="auto"/>
              <w:ind w:left="405" w:hanging="284"/>
              <w:jc w:val="both"/>
              <w:rPr>
                <w:rFonts w:ascii="Times New Roman" w:eastAsia="Times New Roman" w:hAnsi="Times New Roman" w:cs="Times New Roman"/>
                <w:lang w:eastAsia="lv-LV"/>
              </w:rPr>
            </w:pPr>
            <w:r w:rsidRPr="00917588">
              <w:rPr>
                <w:rFonts w:ascii="Times New Roman" w:eastAsia="Times New Roman" w:hAnsi="Times New Roman" w:cs="Times New Roman"/>
                <w:lang w:eastAsia="lv-LV"/>
              </w:rPr>
              <w:t>papildinot 4.</w:t>
            </w:r>
            <w:r w:rsidR="00E678AB" w:rsidRPr="00917588">
              <w:rPr>
                <w:rFonts w:ascii="Times New Roman" w:eastAsia="Times New Roman" w:hAnsi="Times New Roman" w:cs="Times New Roman"/>
                <w:lang w:eastAsia="lv-LV"/>
              </w:rPr>
              <w:t> </w:t>
            </w:r>
            <w:r w:rsidRPr="00917588">
              <w:rPr>
                <w:rFonts w:ascii="Times New Roman" w:eastAsia="Times New Roman" w:hAnsi="Times New Roman" w:cs="Times New Roman"/>
                <w:lang w:eastAsia="lv-LV"/>
              </w:rPr>
              <w:t>PV “Pāreja uz ekonomiku ar zemu oglekļa emisijas līmeni visās nozarēs”</w:t>
            </w:r>
            <w:r w:rsidR="00A30BEB" w:rsidRPr="00917588">
              <w:rPr>
                <w:rFonts w:ascii="Times New Roman" w:eastAsia="Times New Roman" w:hAnsi="Times New Roman" w:cs="Times New Roman"/>
                <w:lang w:eastAsia="lv-LV"/>
              </w:rPr>
              <w:t xml:space="preserve"> (turpmāk – 4. PV)</w:t>
            </w:r>
            <w:r w:rsidRPr="00917588">
              <w:rPr>
                <w:rFonts w:ascii="Times New Roman" w:eastAsia="Times New Roman" w:hAnsi="Times New Roman" w:cs="Times New Roman"/>
                <w:lang w:eastAsia="lv-LV"/>
              </w:rPr>
              <w:t xml:space="preserve"> </w:t>
            </w:r>
            <w:r w:rsidR="00126F28" w:rsidRPr="00917588">
              <w:rPr>
                <w:rFonts w:ascii="Times New Roman" w:eastAsia="Times New Roman" w:hAnsi="Times New Roman" w:cs="Times New Roman"/>
                <w:lang w:eastAsia="lv-LV"/>
              </w:rPr>
              <w:t>videi draudzīga sabiedriskā transporta SAM</w:t>
            </w:r>
            <w:r w:rsidR="00126F28" w:rsidRPr="00917588" w:rsidDel="00DE2DD1">
              <w:rPr>
                <w:rFonts w:ascii="Times New Roman" w:eastAsia="Times New Roman" w:hAnsi="Times New Roman" w:cs="Times New Roman"/>
                <w:lang w:eastAsia="lv-LV"/>
              </w:rPr>
              <w:t xml:space="preserve"> </w:t>
            </w:r>
            <w:r w:rsidRPr="00917588">
              <w:rPr>
                <w:rFonts w:ascii="Times New Roman" w:eastAsia="Times New Roman" w:hAnsi="Times New Roman" w:cs="Times New Roman"/>
                <w:lang w:eastAsia="lv-LV"/>
              </w:rPr>
              <w:t>atbalstāmās darbības, precizējot rādītāju sasniedzamās vērtības</w:t>
            </w:r>
            <w:r w:rsidR="005B3B08" w:rsidRPr="00917588">
              <w:rPr>
                <w:rFonts w:ascii="Times New Roman" w:eastAsia="Times New Roman" w:hAnsi="Times New Roman" w:cs="Times New Roman"/>
                <w:lang w:eastAsia="lv-LV"/>
              </w:rPr>
              <w:t xml:space="preserve"> un </w:t>
            </w:r>
            <w:r w:rsidRPr="00917588">
              <w:rPr>
                <w:rFonts w:ascii="Times New Roman" w:eastAsia="Times New Roman" w:hAnsi="Times New Roman" w:cs="Times New Roman"/>
                <w:lang w:eastAsia="lv-LV"/>
              </w:rPr>
              <w:t>intervences kodus, kā arī papildinot darbības programmas 3.</w:t>
            </w:r>
            <w:r w:rsidR="00D6302F" w:rsidRPr="00917588">
              <w:rPr>
                <w:rFonts w:ascii="Times New Roman" w:eastAsia="Times New Roman" w:hAnsi="Times New Roman" w:cs="Times New Roman"/>
                <w:lang w:eastAsia="lv-LV"/>
              </w:rPr>
              <w:t> </w:t>
            </w:r>
            <w:r w:rsidRPr="00917588">
              <w:rPr>
                <w:rFonts w:ascii="Times New Roman" w:eastAsia="Times New Roman" w:hAnsi="Times New Roman" w:cs="Times New Roman"/>
                <w:lang w:eastAsia="lv-LV"/>
              </w:rPr>
              <w:t>pielikumu “Lielo projektu saraksts” ar jaun</w:t>
            </w:r>
            <w:r w:rsidR="006E4F4E" w:rsidRPr="00917588">
              <w:rPr>
                <w:rFonts w:ascii="Times New Roman" w:eastAsia="Times New Roman" w:hAnsi="Times New Roman" w:cs="Times New Roman"/>
                <w:lang w:eastAsia="lv-LV"/>
              </w:rPr>
              <w:t>u</w:t>
            </w:r>
            <w:r w:rsidRPr="00917588">
              <w:rPr>
                <w:rFonts w:ascii="Times New Roman" w:eastAsia="Times New Roman" w:hAnsi="Times New Roman" w:cs="Times New Roman"/>
                <w:lang w:eastAsia="lv-LV"/>
              </w:rPr>
              <w:t xml:space="preserve"> lielo projektu;</w:t>
            </w:r>
          </w:p>
          <w:p w14:paraId="53CDF3D9" w14:textId="45174F68" w:rsidR="00BA0575" w:rsidRPr="00917588" w:rsidRDefault="00BA0575" w:rsidP="0086139A">
            <w:pPr>
              <w:pStyle w:val="ListParagraph"/>
              <w:numPr>
                <w:ilvl w:val="0"/>
                <w:numId w:val="8"/>
              </w:numPr>
              <w:spacing w:after="0" w:line="240" w:lineRule="auto"/>
              <w:ind w:left="405" w:hanging="284"/>
              <w:jc w:val="both"/>
              <w:rPr>
                <w:rFonts w:ascii="Times New Roman" w:eastAsia="Times New Roman" w:hAnsi="Times New Roman" w:cs="Times New Roman"/>
                <w:lang w:eastAsia="lv-LV"/>
              </w:rPr>
            </w:pPr>
            <w:r w:rsidRPr="00917588">
              <w:rPr>
                <w:rFonts w:ascii="Times New Roman" w:eastAsia="Times New Roman" w:hAnsi="Times New Roman" w:cs="Times New Roman"/>
                <w:lang w:eastAsia="lv-LV"/>
              </w:rPr>
              <w:t>precizējot darbības programmas finansējuma plānu, ņemot vēr</w:t>
            </w:r>
            <w:r w:rsidR="004E5FF0" w:rsidRPr="00917588">
              <w:rPr>
                <w:rFonts w:ascii="Times New Roman" w:eastAsia="Times New Roman" w:hAnsi="Times New Roman" w:cs="Times New Roman"/>
                <w:lang w:eastAsia="lv-LV"/>
              </w:rPr>
              <w:t>ā, ka minētā p</w:t>
            </w:r>
            <w:r w:rsidRPr="00917588">
              <w:rPr>
                <w:rFonts w:ascii="Times New Roman" w:eastAsia="Times New Roman" w:hAnsi="Times New Roman" w:cs="Times New Roman"/>
                <w:lang w:eastAsia="lv-LV"/>
              </w:rPr>
              <w:t>rojekta īstenošanai tika lemts pie</w:t>
            </w:r>
            <w:r w:rsidR="00D6302F" w:rsidRPr="00917588">
              <w:rPr>
                <w:rFonts w:ascii="Times New Roman" w:eastAsia="Times New Roman" w:hAnsi="Times New Roman" w:cs="Times New Roman"/>
                <w:lang w:eastAsia="lv-LV"/>
              </w:rPr>
              <w:t>šķirt papildu finansējumu no 2. </w:t>
            </w:r>
            <w:r w:rsidRPr="00917588">
              <w:rPr>
                <w:rFonts w:ascii="Times New Roman" w:eastAsia="Times New Roman" w:hAnsi="Times New Roman" w:cs="Times New Roman"/>
                <w:lang w:eastAsia="lv-LV"/>
              </w:rPr>
              <w:t>PV “IKT pieejamība, e-pārvalde un pakalpojumi”</w:t>
            </w:r>
            <w:r w:rsidR="00775A7C" w:rsidRPr="00917588">
              <w:rPr>
                <w:rFonts w:ascii="Times New Roman" w:eastAsia="Times New Roman" w:hAnsi="Times New Roman" w:cs="Times New Roman"/>
                <w:lang w:eastAsia="lv-LV"/>
              </w:rPr>
              <w:t xml:space="preserve"> platjoslu infrastruktūras attīstības</w:t>
            </w:r>
            <w:r w:rsidR="00E87A55" w:rsidRPr="00917588">
              <w:rPr>
                <w:rFonts w:ascii="Times New Roman" w:eastAsia="Times New Roman" w:hAnsi="Times New Roman" w:cs="Times New Roman"/>
                <w:lang w:eastAsia="lv-LV"/>
              </w:rPr>
              <w:t xml:space="preserve"> </w:t>
            </w:r>
            <w:r w:rsidRPr="00917588">
              <w:rPr>
                <w:rFonts w:ascii="Times New Roman" w:eastAsia="Times New Roman" w:hAnsi="Times New Roman" w:cs="Times New Roman"/>
                <w:lang w:eastAsia="lv-LV"/>
              </w:rPr>
              <w:t>un 6.</w:t>
            </w:r>
            <w:r w:rsidR="00E678AB" w:rsidRPr="00917588">
              <w:rPr>
                <w:rFonts w:ascii="Times New Roman" w:eastAsia="Times New Roman" w:hAnsi="Times New Roman" w:cs="Times New Roman"/>
                <w:lang w:eastAsia="lv-LV"/>
              </w:rPr>
              <w:t> </w:t>
            </w:r>
            <w:r w:rsidRPr="00917588">
              <w:rPr>
                <w:rFonts w:ascii="Times New Roman" w:eastAsia="Times New Roman" w:hAnsi="Times New Roman" w:cs="Times New Roman"/>
                <w:lang w:eastAsia="lv-LV"/>
              </w:rPr>
              <w:t>PV “Ilgtspējīga transporta sistēma”</w:t>
            </w:r>
            <w:r w:rsidR="00A30BEB" w:rsidRPr="00917588">
              <w:rPr>
                <w:rFonts w:ascii="Times New Roman" w:eastAsia="Times New Roman" w:hAnsi="Times New Roman" w:cs="Times New Roman"/>
                <w:lang w:eastAsia="lv-LV"/>
              </w:rPr>
              <w:t xml:space="preserve"> (turpmāk – 6. PV)</w:t>
            </w:r>
            <w:r w:rsidR="004E5FF0" w:rsidRPr="00917588">
              <w:rPr>
                <w:rFonts w:ascii="Times New Roman" w:eastAsia="Times New Roman" w:hAnsi="Times New Roman" w:cs="Times New Roman"/>
                <w:lang w:eastAsia="lv-LV"/>
              </w:rPr>
              <w:t>, attiecīgi precizējot arī saistīto SAM rādītājus</w:t>
            </w:r>
            <w:r w:rsidRPr="00917588">
              <w:rPr>
                <w:rFonts w:ascii="Times New Roman" w:eastAsia="Times New Roman" w:hAnsi="Times New Roman" w:cs="Times New Roman"/>
                <w:lang w:eastAsia="lv-LV"/>
              </w:rPr>
              <w:t>.</w:t>
            </w:r>
          </w:p>
          <w:p w14:paraId="05521D74" w14:textId="1CE43E5A" w:rsidR="004E5FF0" w:rsidRPr="00917588" w:rsidRDefault="00686470" w:rsidP="00D6302F">
            <w:pPr>
              <w:jc w:val="both"/>
              <w:rPr>
                <w:sz w:val="22"/>
                <w:szCs w:val="22"/>
              </w:rPr>
            </w:pPr>
            <w:r w:rsidRPr="00917588">
              <w:rPr>
                <w:sz w:val="22"/>
                <w:szCs w:val="22"/>
              </w:rPr>
              <w:t xml:space="preserve">2) Grozījumi attiecībā uz </w:t>
            </w:r>
            <w:r w:rsidR="00A66329" w:rsidRPr="00917588">
              <w:rPr>
                <w:b/>
                <w:sz w:val="22"/>
                <w:szCs w:val="22"/>
              </w:rPr>
              <w:t>PSKUS</w:t>
            </w:r>
            <w:r w:rsidR="00775A7C" w:rsidRPr="00917588">
              <w:rPr>
                <w:b/>
                <w:sz w:val="22"/>
                <w:szCs w:val="22"/>
              </w:rPr>
              <w:t xml:space="preserve"> </w:t>
            </w:r>
            <w:r w:rsidR="008F5498" w:rsidRPr="00917588">
              <w:rPr>
                <w:b/>
                <w:sz w:val="22"/>
                <w:szCs w:val="22"/>
              </w:rPr>
              <w:t>lielo projektu</w:t>
            </w:r>
            <w:r w:rsidR="004E5FF0" w:rsidRPr="00917588">
              <w:rPr>
                <w:b/>
                <w:sz w:val="22"/>
                <w:szCs w:val="22"/>
              </w:rPr>
              <w:t xml:space="preserve"> </w:t>
            </w:r>
            <w:r w:rsidR="004E5FF0" w:rsidRPr="00917588">
              <w:rPr>
                <w:sz w:val="22"/>
                <w:szCs w:val="22"/>
              </w:rPr>
              <w:t>(tiek īstenots</w:t>
            </w:r>
            <w:r w:rsidR="004E5FF0" w:rsidRPr="00917588">
              <w:rPr>
                <w:b/>
                <w:sz w:val="22"/>
                <w:szCs w:val="22"/>
              </w:rPr>
              <w:t xml:space="preserve"> </w:t>
            </w:r>
            <w:r w:rsidR="004E5FF0" w:rsidRPr="00917588">
              <w:rPr>
                <w:sz w:val="22"/>
                <w:szCs w:val="22"/>
              </w:rPr>
              <w:t>9.3.2.</w:t>
            </w:r>
            <w:r w:rsidR="00E678AB" w:rsidRPr="00917588">
              <w:rPr>
                <w:sz w:val="22"/>
                <w:szCs w:val="22"/>
              </w:rPr>
              <w:t> </w:t>
            </w:r>
            <w:r w:rsidR="004E5FF0" w:rsidRPr="00917588">
              <w:rPr>
                <w:sz w:val="22"/>
                <w:szCs w:val="22"/>
              </w:rPr>
              <w:t xml:space="preserve">SAM “Uzlabot kvalitatīvu veselības aprūpes pakalpojumu pieejamību, jo īpaši sociālās, teritoriālās atstumtības un nabadzības riskam pakļautajiem iedzīvotājiem, attīstot veselības aprūpes infrastruktūru” </w:t>
            </w:r>
            <w:r w:rsidR="002B0FB2" w:rsidRPr="00917588">
              <w:rPr>
                <w:sz w:val="22"/>
                <w:szCs w:val="22"/>
              </w:rPr>
              <w:t xml:space="preserve">otrās projektu iesniegumu atlases </w:t>
            </w:r>
            <w:r w:rsidR="004E5FF0" w:rsidRPr="00917588">
              <w:rPr>
                <w:sz w:val="22"/>
                <w:szCs w:val="22"/>
              </w:rPr>
              <w:t>ietvaros)</w:t>
            </w:r>
            <w:r w:rsidR="00A66329" w:rsidRPr="00917588">
              <w:rPr>
                <w:sz w:val="22"/>
                <w:szCs w:val="22"/>
              </w:rPr>
              <w:t xml:space="preserve">, </w:t>
            </w:r>
            <w:r w:rsidR="004E5FF0" w:rsidRPr="00917588">
              <w:rPr>
                <w:sz w:val="22"/>
                <w:szCs w:val="22"/>
              </w:rPr>
              <w:t>precizējot darbības programmas finansējuma plānu, ņemot vērā, ka projekta īstenošanai tika lemts piešķirt papildu</w:t>
            </w:r>
            <w:r w:rsidR="008A2DE4" w:rsidRPr="00917588">
              <w:rPr>
                <w:sz w:val="22"/>
                <w:szCs w:val="22"/>
              </w:rPr>
              <w:t xml:space="preserve"> </w:t>
            </w:r>
            <w:r w:rsidR="004E5FF0" w:rsidRPr="00917588">
              <w:rPr>
                <w:sz w:val="22"/>
                <w:szCs w:val="22"/>
              </w:rPr>
              <w:t>finansējumu no 5.</w:t>
            </w:r>
            <w:r w:rsidR="00E678AB" w:rsidRPr="00917588">
              <w:rPr>
                <w:sz w:val="22"/>
                <w:szCs w:val="22"/>
              </w:rPr>
              <w:t> </w:t>
            </w:r>
            <w:r w:rsidR="004E5FF0" w:rsidRPr="00917588">
              <w:rPr>
                <w:sz w:val="22"/>
                <w:szCs w:val="22"/>
              </w:rPr>
              <w:t>PV “Vides aizsardzība un resurs</w:t>
            </w:r>
            <w:r w:rsidR="00185BF4" w:rsidRPr="00917588">
              <w:rPr>
                <w:sz w:val="22"/>
                <w:szCs w:val="22"/>
              </w:rPr>
              <w:t xml:space="preserve">u izmantošanas </w:t>
            </w:r>
            <w:r w:rsidR="00185BF4" w:rsidRPr="00917588">
              <w:rPr>
                <w:sz w:val="22"/>
                <w:szCs w:val="22"/>
              </w:rPr>
              <w:lastRenderedPageBreak/>
              <w:t>efektivitāte” (turpmāk – 5. PV) un</w:t>
            </w:r>
            <w:r w:rsidR="00B6767C" w:rsidRPr="00917588">
              <w:rPr>
                <w:sz w:val="22"/>
                <w:szCs w:val="22"/>
              </w:rPr>
              <w:t xml:space="preserve"> papildu</w:t>
            </w:r>
            <w:r w:rsidR="008A2DE4" w:rsidRPr="00917588">
              <w:rPr>
                <w:sz w:val="22"/>
                <w:szCs w:val="22"/>
              </w:rPr>
              <w:t xml:space="preserve"> finansējumu no 9.</w:t>
            </w:r>
            <w:r w:rsidR="00E678AB" w:rsidRPr="00917588">
              <w:rPr>
                <w:sz w:val="22"/>
                <w:szCs w:val="22"/>
              </w:rPr>
              <w:t> </w:t>
            </w:r>
            <w:r w:rsidR="008A2DE4" w:rsidRPr="00917588">
              <w:rPr>
                <w:sz w:val="22"/>
                <w:szCs w:val="22"/>
              </w:rPr>
              <w:t>PV “Sociālā iekļaušana un nabadzības apkarošana</w:t>
            </w:r>
            <w:r w:rsidR="00B6767C" w:rsidRPr="00917588">
              <w:rPr>
                <w:sz w:val="22"/>
                <w:szCs w:val="22"/>
              </w:rPr>
              <w:t>”</w:t>
            </w:r>
            <w:r w:rsidR="009937F3" w:rsidRPr="00917588">
              <w:rPr>
                <w:sz w:val="22"/>
                <w:szCs w:val="22"/>
              </w:rPr>
              <w:t xml:space="preserve"> (turpmāk – 9. PV)</w:t>
            </w:r>
            <w:r w:rsidR="007819FF" w:rsidRPr="00917588">
              <w:rPr>
                <w:sz w:val="22"/>
                <w:szCs w:val="22"/>
              </w:rPr>
              <w:t>, attiecīgi precizējot intervences kodus.</w:t>
            </w:r>
          </w:p>
          <w:p w14:paraId="356DF97E" w14:textId="18EF6BC3" w:rsidR="00A66329" w:rsidRPr="00917588" w:rsidRDefault="00A66329" w:rsidP="00D6302F">
            <w:pPr>
              <w:jc w:val="both"/>
              <w:rPr>
                <w:sz w:val="22"/>
                <w:szCs w:val="22"/>
              </w:rPr>
            </w:pPr>
            <w:r w:rsidRPr="00917588">
              <w:rPr>
                <w:sz w:val="22"/>
                <w:szCs w:val="22"/>
              </w:rPr>
              <w:t>Vienlaikus</w:t>
            </w:r>
            <w:r w:rsidR="00F81DCA" w:rsidRPr="00917588">
              <w:rPr>
                <w:sz w:val="22"/>
                <w:szCs w:val="22"/>
              </w:rPr>
              <w:t xml:space="preserve"> darbības programmas grozījumiem pievienotais MK </w:t>
            </w:r>
            <w:proofErr w:type="spellStart"/>
            <w:r w:rsidR="00F81DCA" w:rsidRPr="00917588">
              <w:rPr>
                <w:sz w:val="22"/>
                <w:szCs w:val="22"/>
              </w:rPr>
              <w:t>protokollēmuma</w:t>
            </w:r>
            <w:proofErr w:type="spellEnd"/>
            <w:r w:rsidR="00F81DCA" w:rsidRPr="00917588">
              <w:rPr>
                <w:sz w:val="22"/>
                <w:szCs w:val="22"/>
              </w:rPr>
              <w:t xml:space="preserve"> projekts paredz atzīt par aktualitāti zaudējušu</w:t>
            </w:r>
            <w:r w:rsidRPr="00917588">
              <w:rPr>
                <w:sz w:val="22"/>
                <w:szCs w:val="22"/>
              </w:rPr>
              <w:t xml:space="preserve"> </w:t>
            </w:r>
            <w:r w:rsidR="00F81DCA" w:rsidRPr="00917588">
              <w:rPr>
                <w:sz w:val="22"/>
                <w:szCs w:val="22"/>
              </w:rPr>
              <w:t xml:space="preserve">MK 2019. gada </w:t>
            </w:r>
            <w:r w:rsidR="00E24E3B" w:rsidRPr="00917588">
              <w:rPr>
                <w:sz w:val="22"/>
                <w:szCs w:val="22"/>
              </w:rPr>
              <w:t>13</w:t>
            </w:r>
            <w:r w:rsidR="00F81DCA" w:rsidRPr="00917588">
              <w:rPr>
                <w:sz w:val="22"/>
                <w:szCs w:val="22"/>
              </w:rPr>
              <w:t>. </w:t>
            </w:r>
            <w:r w:rsidR="00E24E3B" w:rsidRPr="00917588">
              <w:rPr>
                <w:sz w:val="22"/>
                <w:szCs w:val="22"/>
              </w:rPr>
              <w:t>septembra</w:t>
            </w:r>
            <w:r w:rsidR="00F81DCA" w:rsidRPr="00917588">
              <w:rPr>
                <w:sz w:val="22"/>
                <w:szCs w:val="22"/>
              </w:rPr>
              <w:t xml:space="preserve"> lēmuma 3.3. apakšpunktu un attiecīgi </w:t>
            </w:r>
            <w:r w:rsidRPr="00917588">
              <w:rPr>
                <w:sz w:val="22"/>
                <w:szCs w:val="22"/>
              </w:rPr>
              <w:t>precizēt</w:t>
            </w:r>
            <w:r w:rsidR="00F81DCA" w:rsidRPr="00917588">
              <w:rPr>
                <w:sz w:val="22"/>
                <w:szCs w:val="22"/>
              </w:rPr>
              <w:t xml:space="preserve"> </w:t>
            </w:r>
            <w:r w:rsidRPr="00917588">
              <w:rPr>
                <w:sz w:val="22"/>
                <w:szCs w:val="22"/>
              </w:rPr>
              <w:t>PSKUS projektam paredzēt</w:t>
            </w:r>
            <w:r w:rsidR="00F81DCA" w:rsidRPr="00917588">
              <w:rPr>
                <w:sz w:val="22"/>
                <w:szCs w:val="22"/>
              </w:rPr>
              <w:t>os</w:t>
            </w:r>
            <w:r w:rsidRPr="00917588">
              <w:rPr>
                <w:sz w:val="22"/>
                <w:szCs w:val="22"/>
              </w:rPr>
              <w:t xml:space="preserve"> finansējuma avot</w:t>
            </w:r>
            <w:r w:rsidR="00F81DCA" w:rsidRPr="00917588">
              <w:rPr>
                <w:sz w:val="22"/>
                <w:szCs w:val="22"/>
              </w:rPr>
              <w:t>us</w:t>
            </w:r>
            <w:r w:rsidR="002E38A6" w:rsidRPr="00917588">
              <w:rPr>
                <w:sz w:val="22"/>
                <w:szCs w:val="22"/>
              </w:rPr>
              <w:t xml:space="preserve">, </w:t>
            </w:r>
            <w:r w:rsidR="002E6DDA" w:rsidRPr="00917588">
              <w:rPr>
                <w:sz w:val="22"/>
                <w:szCs w:val="22"/>
              </w:rPr>
              <w:t>līdztekus</w:t>
            </w:r>
            <w:r w:rsidR="002E38A6" w:rsidRPr="00917588">
              <w:rPr>
                <w:sz w:val="22"/>
                <w:szCs w:val="22"/>
              </w:rPr>
              <w:t xml:space="preserve"> saglabājot projektam plānoto novirzāmo finansējumu 29,4 milj. EUR apmērā</w:t>
            </w:r>
            <w:r w:rsidRPr="00917588">
              <w:rPr>
                <w:sz w:val="22"/>
                <w:szCs w:val="22"/>
              </w:rPr>
              <w:t xml:space="preserve">, </w:t>
            </w:r>
            <w:r w:rsidR="00C47C70" w:rsidRPr="00917588">
              <w:rPr>
                <w:sz w:val="22"/>
                <w:szCs w:val="22"/>
              </w:rPr>
              <w:t xml:space="preserve">lai nodrošinātu Regulas </w:t>
            </w:r>
            <w:r w:rsidR="005A527F" w:rsidRPr="00917588">
              <w:rPr>
                <w:sz w:val="22"/>
                <w:szCs w:val="22"/>
              </w:rPr>
              <w:t xml:space="preserve">Nr. 1303/2013 </w:t>
            </w:r>
            <w:r w:rsidR="00C47C70" w:rsidRPr="00917588">
              <w:rPr>
                <w:sz w:val="22"/>
                <w:szCs w:val="22"/>
              </w:rPr>
              <w:t>92.</w:t>
            </w:r>
            <w:r w:rsidR="00F81DCA" w:rsidRPr="00917588">
              <w:rPr>
                <w:sz w:val="22"/>
                <w:szCs w:val="22"/>
              </w:rPr>
              <w:t> </w:t>
            </w:r>
            <w:r w:rsidR="00C47C70" w:rsidRPr="00917588">
              <w:rPr>
                <w:sz w:val="22"/>
                <w:szCs w:val="22"/>
              </w:rPr>
              <w:t>panta 4.</w:t>
            </w:r>
            <w:r w:rsidR="00F81DCA" w:rsidRPr="00917588">
              <w:rPr>
                <w:sz w:val="22"/>
                <w:szCs w:val="22"/>
              </w:rPr>
              <w:t> </w:t>
            </w:r>
            <w:r w:rsidR="00C47C70" w:rsidRPr="00917588">
              <w:rPr>
                <w:sz w:val="22"/>
                <w:szCs w:val="22"/>
              </w:rPr>
              <w:t xml:space="preserve">punktā noteikto minimālo </w:t>
            </w:r>
            <w:r w:rsidRPr="00917588">
              <w:rPr>
                <w:sz w:val="22"/>
                <w:szCs w:val="22"/>
              </w:rPr>
              <w:t>Eiropas Sociālā fonda (turpmāk – ESF)</w:t>
            </w:r>
            <w:r w:rsidR="00C47C70" w:rsidRPr="00917588">
              <w:rPr>
                <w:sz w:val="22"/>
                <w:szCs w:val="22"/>
              </w:rPr>
              <w:t xml:space="preserve"> finansējuma apmēru, proti</w:t>
            </w:r>
            <w:r w:rsidR="00F81DCA" w:rsidRPr="00917588">
              <w:rPr>
                <w:sz w:val="22"/>
                <w:szCs w:val="22"/>
              </w:rPr>
              <w:t>,</w:t>
            </w:r>
            <w:r w:rsidR="00C47C70" w:rsidRPr="00917588">
              <w:rPr>
                <w:sz w:val="22"/>
                <w:szCs w:val="22"/>
              </w:rPr>
              <w:t xml:space="preserve"> ESF finansējumu iespējams samazināt tikai par</w:t>
            </w:r>
            <w:r w:rsidR="00D6302F" w:rsidRPr="00917588">
              <w:rPr>
                <w:sz w:val="22"/>
                <w:szCs w:val="22"/>
              </w:rPr>
              <w:t xml:space="preserve"> 9 315 197 </w:t>
            </w:r>
            <w:r w:rsidRPr="00917588">
              <w:rPr>
                <w:sz w:val="22"/>
                <w:szCs w:val="22"/>
              </w:rPr>
              <w:t>EUR (</w:t>
            </w:r>
            <w:r w:rsidR="00C47C70" w:rsidRPr="00917588">
              <w:rPr>
                <w:sz w:val="22"/>
                <w:szCs w:val="22"/>
              </w:rPr>
              <w:t xml:space="preserve">savukārt </w:t>
            </w:r>
            <w:r w:rsidRPr="00917588">
              <w:rPr>
                <w:sz w:val="22"/>
                <w:szCs w:val="22"/>
              </w:rPr>
              <w:t>MK 2019.</w:t>
            </w:r>
            <w:r w:rsidR="00650A48" w:rsidRPr="00917588">
              <w:rPr>
                <w:sz w:val="22"/>
                <w:szCs w:val="22"/>
              </w:rPr>
              <w:t> </w:t>
            </w:r>
            <w:r w:rsidRPr="00917588">
              <w:rPr>
                <w:sz w:val="22"/>
                <w:szCs w:val="22"/>
              </w:rPr>
              <w:t xml:space="preserve">gada </w:t>
            </w:r>
            <w:r w:rsidR="00C47C70" w:rsidRPr="00917588">
              <w:rPr>
                <w:sz w:val="22"/>
                <w:szCs w:val="22"/>
              </w:rPr>
              <w:t>13.</w:t>
            </w:r>
            <w:r w:rsidR="00650A48" w:rsidRPr="00917588">
              <w:rPr>
                <w:sz w:val="22"/>
                <w:szCs w:val="22"/>
              </w:rPr>
              <w:t> </w:t>
            </w:r>
            <w:r w:rsidR="00C47C70" w:rsidRPr="00917588">
              <w:rPr>
                <w:sz w:val="22"/>
                <w:szCs w:val="22"/>
              </w:rPr>
              <w:t xml:space="preserve">septembra un </w:t>
            </w:r>
            <w:r w:rsidR="00650A48" w:rsidRPr="00917588">
              <w:rPr>
                <w:sz w:val="22"/>
                <w:szCs w:val="22"/>
              </w:rPr>
              <w:t xml:space="preserve">MK 2019. gada </w:t>
            </w:r>
            <w:r w:rsidR="00C47C70" w:rsidRPr="00917588">
              <w:rPr>
                <w:sz w:val="22"/>
                <w:szCs w:val="22"/>
              </w:rPr>
              <w:t>11.</w:t>
            </w:r>
            <w:r w:rsidR="00650A48" w:rsidRPr="00917588">
              <w:rPr>
                <w:sz w:val="22"/>
                <w:szCs w:val="22"/>
              </w:rPr>
              <w:t> </w:t>
            </w:r>
            <w:r w:rsidR="00C47C70" w:rsidRPr="00917588">
              <w:rPr>
                <w:sz w:val="22"/>
                <w:szCs w:val="22"/>
              </w:rPr>
              <w:t>oktobra lēmumi</w:t>
            </w:r>
            <w:r w:rsidRPr="00917588">
              <w:rPr>
                <w:sz w:val="22"/>
                <w:szCs w:val="22"/>
              </w:rPr>
              <w:t xml:space="preserve"> paredzēja uz </w:t>
            </w:r>
            <w:r w:rsidR="00C47C70" w:rsidRPr="00917588">
              <w:rPr>
                <w:sz w:val="22"/>
                <w:szCs w:val="22"/>
              </w:rPr>
              <w:t xml:space="preserve">Eiropas Reģionālās attīstības fonda </w:t>
            </w:r>
            <w:r w:rsidR="0086139A" w:rsidRPr="00917588">
              <w:rPr>
                <w:sz w:val="22"/>
                <w:szCs w:val="22"/>
              </w:rPr>
              <w:t xml:space="preserve">(turpmāk – ERAF) </w:t>
            </w:r>
            <w:r w:rsidR="00650A48" w:rsidRPr="00917588">
              <w:rPr>
                <w:sz w:val="22"/>
                <w:szCs w:val="22"/>
              </w:rPr>
              <w:t xml:space="preserve">investīciju </w:t>
            </w:r>
            <w:r w:rsidR="00C47C70" w:rsidRPr="00917588">
              <w:rPr>
                <w:sz w:val="22"/>
                <w:szCs w:val="22"/>
              </w:rPr>
              <w:t xml:space="preserve">pasākumiem </w:t>
            </w:r>
            <w:r w:rsidR="00D6302F" w:rsidRPr="00917588">
              <w:rPr>
                <w:sz w:val="22"/>
                <w:szCs w:val="22"/>
              </w:rPr>
              <w:t>novirzāmo ESF finansējumu 17 371 257 </w:t>
            </w:r>
            <w:r w:rsidRPr="00917588">
              <w:rPr>
                <w:sz w:val="22"/>
                <w:szCs w:val="22"/>
              </w:rPr>
              <w:t>EUR apmērā).</w:t>
            </w:r>
          </w:p>
          <w:p w14:paraId="2EB611BF" w14:textId="25EA9F47" w:rsidR="00023AE2" w:rsidRPr="00917588" w:rsidRDefault="002E6DDA" w:rsidP="00D6302F">
            <w:pPr>
              <w:jc w:val="both"/>
              <w:rPr>
                <w:sz w:val="22"/>
                <w:szCs w:val="22"/>
              </w:rPr>
            </w:pPr>
            <w:r w:rsidRPr="00917588">
              <w:rPr>
                <w:sz w:val="22"/>
                <w:szCs w:val="22"/>
              </w:rPr>
              <w:t xml:space="preserve">Papildus, ņemot vērā MK </w:t>
            </w:r>
            <w:proofErr w:type="spellStart"/>
            <w:r w:rsidRPr="00917588">
              <w:rPr>
                <w:sz w:val="22"/>
                <w:szCs w:val="22"/>
              </w:rPr>
              <w:t>protokollēmuma</w:t>
            </w:r>
            <w:proofErr w:type="spellEnd"/>
            <w:r w:rsidRPr="00917588">
              <w:rPr>
                <w:sz w:val="22"/>
                <w:szCs w:val="22"/>
              </w:rPr>
              <w:t xml:space="preserve"> projekta 6.4. un 6.5.</w:t>
            </w:r>
            <w:r w:rsidR="00D6302F" w:rsidRPr="00917588">
              <w:rPr>
                <w:sz w:val="22"/>
                <w:szCs w:val="22"/>
              </w:rPr>
              <w:t> </w:t>
            </w:r>
            <w:r w:rsidRPr="00917588">
              <w:rPr>
                <w:sz w:val="22"/>
                <w:szCs w:val="22"/>
              </w:rPr>
              <w:t>apakšpunktā plānotas finansējuma pārdales, Finanšu ministrija</w:t>
            </w:r>
            <w:r w:rsidR="000F3167" w:rsidRPr="00917588">
              <w:rPr>
                <w:sz w:val="22"/>
                <w:szCs w:val="22"/>
              </w:rPr>
              <w:t>, ņemot vērā darbības programmā ierosināto finansējumā pārdaļu saskaņošanas procesu ar Eiropas Komisiju</w:t>
            </w:r>
            <w:r w:rsidR="00D6302F" w:rsidRPr="00917588">
              <w:rPr>
                <w:sz w:val="22"/>
                <w:szCs w:val="22"/>
              </w:rPr>
              <w:t>, izpildot MK 2019. </w:t>
            </w:r>
            <w:r w:rsidRPr="00917588">
              <w:rPr>
                <w:sz w:val="22"/>
                <w:szCs w:val="22"/>
              </w:rPr>
              <w:t>gada 11.</w:t>
            </w:r>
            <w:r w:rsidR="00D6302F" w:rsidRPr="00917588">
              <w:rPr>
                <w:sz w:val="22"/>
                <w:szCs w:val="22"/>
              </w:rPr>
              <w:t> </w:t>
            </w:r>
            <w:r w:rsidRPr="00917588">
              <w:rPr>
                <w:sz w:val="22"/>
                <w:szCs w:val="22"/>
              </w:rPr>
              <w:t>oktobra lēmuma 4.</w:t>
            </w:r>
            <w:r w:rsidR="00D6302F" w:rsidRPr="00917588">
              <w:rPr>
                <w:sz w:val="22"/>
                <w:szCs w:val="22"/>
              </w:rPr>
              <w:t> </w:t>
            </w:r>
            <w:r w:rsidRPr="00917588">
              <w:rPr>
                <w:sz w:val="22"/>
                <w:szCs w:val="22"/>
              </w:rPr>
              <w:t xml:space="preserve">punktā noteikto, pārskatīs </w:t>
            </w:r>
            <w:r w:rsidR="00D6302F" w:rsidRPr="00917588">
              <w:rPr>
                <w:sz w:val="22"/>
                <w:szCs w:val="22"/>
              </w:rPr>
              <w:t>MK 2019. </w:t>
            </w:r>
            <w:r w:rsidRPr="00917588">
              <w:rPr>
                <w:sz w:val="22"/>
                <w:szCs w:val="22"/>
              </w:rPr>
              <w:t>gada 11.</w:t>
            </w:r>
            <w:r w:rsidR="00D6302F" w:rsidRPr="00917588">
              <w:rPr>
                <w:sz w:val="22"/>
                <w:szCs w:val="22"/>
              </w:rPr>
              <w:t> </w:t>
            </w:r>
            <w:r w:rsidRPr="00917588">
              <w:rPr>
                <w:sz w:val="22"/>
                <w:szCs w:val="22"/>
              </w:rPr>
              <w:t>oktobra lēmuma 2.</w:t>
            </w:r>
            <w:r w:rsidR="00D6302F" w:rsidRPr="00917588">
              <w:rPr>
                <w:sz w:val="22"/>
                <w:szCs w:val="22"/>
              </w:rPr>
              <w:t> </w:t>
            </w:r>
            <w:r w:rsidRPr="00917588">
              <w:rPr>
                <w:sz w:val="22"/>
                <w:szCs w:val="22"/>
              </w:rPr>
              <w:t xml:space="preserve">punktā </w:t>
            </w:r>
            <w:r w:rsidR="0097576B" w:rsidRPr="00917588">
              <w:rPr>
                <w:sz w:val="22"/>
                <w:szCs w:val="22"/>
              </w:rPr>
              <w:t xml:space="preserve">noteikto uzņemto </w:t>
            </w:r>
            <w:proofErr w:type="spellStart"/>
            <w:r w:rsidR="0097576B" w:rsidRPr="00917588">
              <w:rPr>
                <w:sz w:val="22"/>
                <w:szCs w:val="22"/>
              </w:rPr>
              <w:t>virssaistību</w:t>
            </w:r>
            <w:proofErr w:type="spellEnd"/>
            <w:r w:rsidR="0097576B" w:rsidRPr="00917588">
              <w:rPr>
                <w:sz w:val="22"/>
                <w:szCs w:val="22"/>
              </w:rPr>
              <w:t xml:space="preserve"> kompensēšanas mehānismu, t.sk. MK 2019.</w:t>
            </w:r>
            <w:r w:rsidR="00D6302F" w:rsidRPr="00917588">
              <w:rPr>
                <w:sz w:val="22"/>
                <w:szCs w:val="22"/>
              </w:rPr>
              <w:t> </w:t>
            </w:r>
            <w:r w:rsidR="0097576B" w:rsidRPr="00917588">
              <w:rPr>
                <w:sz w:val="22"/>
                <w:szCs w:val="22"/>
              </w:rPr>
              <w:t>gada 11.</w:t>
            </w:r>
            <w:r w:rsidR="00D6302F" w:rsidRPr="00917588">
              <w:rPr>
                <w:sz w:val="22"/>
                <w:szCs w:val="22"/>
              </w:rPr>
              <w:t> </w:t>
            </w:r>
            <w:r w:rsidR="0097576B" w:rsidRPr="00917588">
              <w:rPr>
                <w:sz w:val="22"/>
                <w:szCs w:val="22"/>
              </w:rPr>
              <w:t>oktobra lēmuma 2.5.</w:t>
            </w:r>
            <w:r w:rsidR="00D6302F" w:rsidRPr="00917588">
              <w:rPr>
                <w:sz w:val="22"/>
                <w:szCs w:val="22"/>
              </w:rPr>
              <w:t> </w:t>
            </w:r>
            <w:r w:rsidR="0097576B" w:rsidRPr="00917588">
              <w:rPr>
                <w:sz w:val="22"/>
                <w:szCs w:val="22"/>
              </w:rPr>
              <w:t>apakšpunktā noteikto.</w:t>
            </w:r>
          </w:p>
          <w:p w14:paraId="3DC712B8" w14:textId="6CA2D20D" w:rsidR="004E5FF0" w:rsidRPr="00917588" w:rsidRDefault="004E5FF0" w:rsidP="00D6302F">
            <w:pPr>
              <w:jc w:val="both"/>
              <w:rPr>
                <w:sz w:val="22"/>
                <w:szCs w:val="22"/>
              </w:rPr>
            </w:pPr>
            <w:r w:rsidRPr="00917588">
              <w:rPr>
                <w:sz w:val="22"/>
                <w:szCs w:val="22"/>
              </w:rPr>
              <w:t xml:space="preserve">3) </w:t>
            </w:r>
            <w:r w:rsidR="008F5498" w:rsidRPr="00917588">
              <w:rPr>
                <w:sz w:val="22"/>
                <w:szCs w:val="22"/>
              </w:rPr>
              <w:t xml:space="preserve">Grozījumi attiecībā uz </w:t>
            </w:r>
            <w:r w:rsidR="008F5498" w:rsidRPr="00917588">
              <w:rPr>
                <w:b/>
                <w:sz w:val="22"/>
                <w:szCs w:val="22"/>
              </w:rPr>
              <w:t xml:space="preserve">papildu finansējumu </w:t>
            </w:r>
            <w:proofErr w:type="spellStart"/>
            <w:r w:rsidR="008F5498" w:rsidRPr="00917588">
              <w:rPr>
                <w:b/>
                <w:sz w:val="22"/>
                <w:szCs w:val="22"/>
              </w:rPr>
              <w:t>deinstitucionalizācijas</w:t>
            </w:r>
            <w:proofErr w:type="spellEnd"/>
            <w:r w:rsidR="008F5498" w:rsidRPr="00917588">
              <w:rPr>
                <w:b/>
                <w:sz w:val="22"/>
                <w:szCs w:val="22"/>
              </w:rPr>
              <w:t xml:space="preserve"> projektiem</w:t>
            </w:r>
            <w:r w:rsidRPr="00917588">
              <w:rPr>
                <w:b/>
                <w:sz w:val="22"/>
                <w:szCs w:val="22"/>
              </w:rPr>
              <w:t xml:space="preserve"> </w:t>
            </w:r>
            <w:r w:rsidRPr="00917588">
              <w:rPr>
                <w:sz w:val="22"/>
                <w:szCs w:val="22"/>
              </w:rPr>
              <w:t>(tiek īstenoti</w:t>
            </w:r>
            <w:r w:rsidRPr="00917588">
              <w:rPr>
                <w:b/>
                <w:sz w:val="22"/>
                <w:szCs w:val="22"/>
              </w:rPr>
              <w:t xml:space="preserve"> </w:t>
            </w:r>
            <w:r w:rsidRPr="00917588">
              <w:rPr>
                <w:sz w:val="22"/>
                <w:szCs w:val="22"/>
              </w:rPr>
              <w:t xml:space="preserve">9.3.1.1. pasākuma “Pakalpojumu infrastruktūras attīstība </w:t>
            </w:r>
            <w:proofErr w:type="spellStart"/>
            <w:r w:rsidRPr="00917588">
              <w:rPr>
                <w:sz w:val="22"/>
                <w:szCs w:val="22"/>
              </w:rPr>
              <w:t>deinstitucionalizācijas</w:t>
            </w:r>
            <w:proofErr w:type="spellEnd"/>
            <w:r w:rsidRPr="00917588">
              <w:rPr>
                <w:sz w:val="22"/>
                <w:szCs w:val="22"/>
              </w:rPr>
              <w:t xml:space="preserve"> plānu īstenošana” ietvaros)</w:t>
            </w:r>
            <w:r w:rsidR="002051D6" w:rsidRPr="00917588">
              <w:rPr>
                <w:sz w:val="22"/>
                <w:szCs w:val="22"/>
              </w:rPr>
              <w:t xml:space="preserve">, </w:t>
            </w:r>
            <w:r w:rsidRPr="00917588">
              <w:rPr>
                <w:sz w:val="22"/>
                <w:szCs w:val="22"/>
              </w:rPr>
              <w:t xml:space="preserve">precizējot darbības programmas finansējuma plānu, ņemot vērā, ka projekta īstenošanai tika lemts piešķirt papildu </w:t>
            </w:r>
            <w:r w:rsidR="00B6767C" w:rsidRPr="00917588">
              <w:rPr>
                <w:sz w:val="22"/>
                <w:szCs w:val="22"/>
              </w:rPr>
              <w:t xml:space="preserve">ERAF </w:t>
            </w:r>
            <w:r w:rsidR="00185BF4" w:rsidRPr="00917588">
              <w:rPr>
                <w:sz w:val="22"/>
                <w:szCs w:val="22"/>
              </w:rPr>
              <w:t>finansējumu no 5.</w:t>
            </w:r>
            <w:r w:rsidR="00E678AB" w:rsidRPr="00917588">
              <w:rPr>
                <w:sz w:val="22"/>
                <w:szCs w:val="22"/>
              </w:rPr>
              <w:t> </w:t>
            </w:r>
            <w:r w:rsidR="00185BF4" w:rsidRPr="00917588">
              <w:rPr>
                <w:sz w:val="22"/>
                <w:szCs w:val="22"/>
              </w:rPr>
              <w:t>PV</w:t>
            </w:r>
            <w:r w:rsidR="00A30BEB" w:rsidRPr="00917588">
              <w:rPr>
                <w:sz w:val="22"/>
                <w:szCs w:val="22"/>
              </w:rPr>
              <w:t xml:space="preserve"> un</w:t>
            </w:r>
            <w:r w:rsidR="00B6767C" w:rsidRPr="00917588">
              <w:rPr>
                <w:sz w:val="22"/>
                <w:szCs w:val="22"/>
              </w:rPr>
              <w:t xml:space="preserve"> ESF finansējumu </w:t>
            </w:r>
            <w:r w:rsidR="00A30BEB" w:rsidRPr="00917588">
              <w:rPr>
                <w:sz w:val="22"/>
                <w:szCs w:val="22"/>
              </w:rPr>
              <w:t xml:space="preserve">no </w:t>
            </w:r>
            <w:r w:rsidR="00B6767C" w:rsidRPr="00917588">
              <w:rPr>
                <w:sz w:val="22"/>
                <w:szCs w:val="22"/>
              </w:rPr>
              <w:t>7.</w:t>
            </w:r>
            <w:r w:rsidR="00185BF4" w:rsidRPr="00917588">
              <w:rPr>
                <w:sz w:val="22"/>
                <w:szCs w:val="22"/>
              </w:rPr>
              <w:t> </w:t>
            </w:r>
            <w:r w:rsidR="00B6767C" w:rsidRPr="00917588">
              <w:rPr>
                <w:sz w:val="22"/>
                <w:szCs w:val="22"/>
              </w:rPr>
              <w:t>PV “Nodarbinātība un darba spēka mobilitāte”</w:t>
            </w:r>
            <w:r w:rsidR="00A30BEB" w:rsidRPr="00917588">
              <w:rPr>
                <w:sz w:val="22"/>
                <w:szCs w:val="22"/>
              </w:rPr>
              <w:t xml:space="preserve"> (turpmāk – 7. PV)</w:t>
            </w:r>
            <w:r w:rsidR="00B6767C" w:rsidRPr="00917588">
              <w:rPr>
                <w:sz w:val="22"/>
                <w:szCs w:val="22"/>
              </w:rPr>
              <w:t>, attiecīgi precizējot atbalstāmās darbības</w:t>
            </w:r>
            <w:r w:rsidR="007819FF" w:rsidRPr="00917588">
              <w:rPr>
                <w:sz w:val="22"/>
                <w:szCs w:val="22"/>
              </w:rPr>
              <w:t>, rādītājus un intervences kodus.</w:t>
            </w:r>
          </w:p>
          <w:p w14:paraId="6FC0BFE9" w14:textId="71218353" w:rsidR="00EF60EF" w:rsidRPr="00917588" w:rsidRDefault="004E5FF0" w:rsidP="00DD0091">
            <w:pPr>
              <w:jc w:val="both"/>
              <w:rPr>
                <w:rFonts w:eastAsiaTheme="minorHAnsi"/>
                <w:sz w:val="22"/>
                <w:szCs w:val="22"/>
                <w:lang w:eastAsia="en-US"/>
              </w:rPr>
            </w:pPr>
            <w:r w:rsidRPr="00917588">
              <w:rPr>
                <w:sz w:val="22"/>
                <w:szCs w:val="22"/>
              </w:rPr>
              <w:t xml:space="preserve">4) Grozījumi </w:t>
            </w:r>
            <w:r w:rsidR="006770C7" w:rsidRPr="00917588">
              <w:rPr>
                <w:sz w:val="22"/>
                <w:szCs w:val="22"/>
              </w:rPr>
              <w:t xml:space="preserve">Satiksmes ministrijas ierosinātajai </w:t>
            </w:r>
            <w:r w:rsidRPr="00917588">
              <w:rPr>
                <w:sz w:val="22"/>
                <w:szCs w:val="22"/>
              </w:rPr>
              <w:t>finansēj</w:t>
            </w:r>
            <w:r w:rsidR="00A30BEB" w:rsidRPr="00917588">
              <w:rPr>
                <w:sz w:val="22"/>
                <w:szCs w:val="22"/>
              </w:rPr>
              <w:t>uma atlikumu novirzīšanai 6.</w:t>
            </w:r>
            <w:r w:rsidR="00E678AB" w:rsidRPr="00917588">
              <w:rPr>
                <w:sz w:val="22"/>
                <w:szCs w:val="22"/>
              </w:rPr>
              <w:t> </w:t>
            </w:r>
            <w:r w:rsidR="00A30BEB" w:rsidRPr="00917588">
              <w:rPr>
                <w:sz w:val="22"/>
                <w:szCs w:val="22"/>
              </w:rPr>
              <w:t>PV</w:t>
            </w:r>
            <w:r w:rsidR="00EF60EF" w:rsidRPr="00917588">
              <w:rPr>
                <w:rFonts w:eastAsiaTheme="minorHAnsi"/>
                <w:sz w:val="22"/>
                <w:szCs w:val="22"/>
                <w:lang w:eastAsia="en-US"/>
              </w:rPr>
              <w:t xml:space="preserve">, ņemot vērā </w:t>
            </w:r>
            <w:r w:rsidR="00126F28" w:rsidRPr="00917588">
              <w:rPr>
                <w:rFonts w:eastAsiaTheme="minorHAnsi"/>
                <w:sz w:val="22"/>
                <w:szCs w:val="22"/>
                <w:lang w:eastAsia="en-US"/>
              </w:rPr>
              <w:t xml:space="preserve">dzelzceļa infrastruktūras pasākumā </w:t>
            </w:r>
            <w:r w:rsidR="00EF60EF" w:rsidRPr="00917588">
              <w:rPr>
                <w:rFonts w:eastAsiaTheme="minorHAnsi"/>
                <w:sz w:val="22"/>
                <w:szCs w:val="22"/>
                <w:lang w:eastAsia="en-US"/>
              </w:rPr>
              <w:t>pārtrau</w:t>
            </w:r>
            <w:r w:rsidR="00A30BEB" w:rsidRPr="00917588">
              <w:rPr>
                <w:rFonts w:eastAsiaTheme="minorHAnsi"/>
                <w:sz w:val="22"/>
                <w:szCs w:val="22"/>
                <w:lang w:eastAsia="en-US"/>
              </w:rPr>
              <w:t>ktos projektus</w:t>
            </w:r>
            <w:r w:rsidR="00EF60EF" w:rsidRPr="00917588">
              <w:rPr>
                <w:rFonts w:eastAsiaTheme="minorHAnsi"/>
                <w:sz w:val="22"/>
                <w:szCs w:val="22"/>
                <w:lang w:eastAsia="en-US"/>
              </w:rPr>
              <w:t>:</w:t>
            </w:r>
          </w:p>
          <w:p w14:paraId="1A4C9427" w14:textId="4A4DF71B" w:rsidR="00EF60EF" w:rsidRPr="00917588" w:rsidRDefault="00EF60EF" w:rsidP="0086139A">
            <w:pPr>
              <w:pStyle w:val="ListParagraph"/>
              <w:numPr>
                <w:ilvl w:val="0"/>
                <w:numId w:val="9"/>
              </w:numPr>
              <w:spacing w:line="240" w:lineRule="auto"/>
              <w:ind w:left="405" w:hanging="284"/>
              <w:jc w:val="both"/>
              <w:rPr>
                <w:rFonts w:ascii="Times New Roman" w:hAnsi="Times New Roman" w:cs="Times New Roman"/>
              </w:rPr>
            </w:pPr>
            <w:r w:rsidRPr="00917588">
              <w:rPr>
                <w:rFonts w:ascii="Times New Roman" w:eastAsia="Times New Roman" w:hAnsi="Times New Roman" w:cs="Times New Roman"/>
                <w:lang w:eastAsia="lv-LV"/>
              </w:rPr>
              <w:t>precizējot darbības programmas finansējuma plānu, ņemot vērā, ka daļu no atbrīvotā finansējuma paredzēts novirzīt 4.</w:t>
            </w:r>
            <w:r w:rsidR="00E678AB" w:rsidRPr="00917588">
              <w:rPr>
                <w:rFonts w:ascii="Times New Roman" w:eastAsia="Times New Roman" w:hAnsi="Times New Roman" w:cs="Times New Roman"/>
                <w:lang w:eastAsia="lv-LV"/>
              </w:rPr>
              <w:t> </w:t>
            </w:r>
            <w:r w:rsidRPr="00917588">
              <w:rPr>
                <w:rFonts w:ascii="Times New Roman" w:eastAsia="Times New Roman" w:hAnsi="Times New Roman" w:cs="Times New Roman"/>
                <w:lang w:eastAsia="lv-LV"/>
              </w:rPr>
              <w:t>PV tramvaju infrastruktūras projektiem;</w:t>
            </w:r>
          </w:p>
          <w:p w14:paraId="1C81ACFB" w14:textId="3705D047" w:rsidR="008F0C62" w:rsidRPr="00917588" w:rsidRDefault="00EF60EF" w:rsidP="0086139A">
            <w:pPr>
              <w:pStyle w:val="ListParagraph"/>
              <w:numPr>
                <w:ilvl w:val="0"/>
                <w:numId w:val="9"/>
              </w:numPr>
              <w:spacing w:after="0" w:line="240" w:lineRule="auto"/>
              <w:ind w:left="405" w:hanging="284"/>
              <w:jc w:val="both"/>
            </w:pPr>
            <w:r w:rsidRPr="00917588">
              <w:rPr>
                <w:rFonts w:ascii="Times New Roman" w:eastAsia="Times New Roman" w:hAnsi="Times New Roman" w:cs="Times New Roman"/>
                <w:lang w:eastAsia="lv-LV"/>
              </w:rPr>
              <w:t xml:space="preserve">papildinot </w:t>
            </w:r>
            <w:r w:rsidRPr="00917588">
              <w:rPr>
                <w:rFonts w:ascii="Times New Roman" w:hAnsi="Times New Roman" w:cs="Times New Roman"/>
              </w:rPr>
              <w:t>6.</w:t>
            </w:r>
            <w:r w:rsidR="00E678AB" w:rsidRPr="00917588">
              <w:rPr>
                <w:rFonts w:ascii="Times New Roman" w:hAnsi="Times New Roman" w:cs="Times New Roman"/>
              </w:rPr>
              <w:t> </w:t>
            </w:r>
            <w:r w:rsidRPr="00917588">
              <w:rPr>
                <w:rFonts w:ascii="Times New Roman" w:hAnsi="Times New Roman" w:cs="Times New Roman"/>
              </w:rPr>
              <w:t>PV SAM aprakstus, rādītājus, intervences kodus, ņemot vērā jaunas plānotās atbalstāmās darbības bezpilota gaisa kuģu reģistrācijas informācijas sistēmas izveidei lidostā “Rīga” un transporta nozares informācijas nacionālā piekļuves punkta izveidei.</w:t>
            </w:r>
          </w:p>
          <w:p w14:paraId="4A143FC8" w14:textId="77777777" w:rsidR="00723484" w:rsidRPr="00917588" w:rsidRDefault="006770C7" w:rsidP="006770C7">
            <w:pPr>
              <w:jc w:val="both"/>
              <w:rPr>
                <w:sz w:val="22"/>
                <w:szCs w:val="22"/>
              </w:rPr>
            </w:pPr>
            <w:r w:rsidRPr="00917588">
              <w:rPr>
                <w:sz w:val="22"/>
                <w:szCs w:val="22"/>
              </w:rPr>
              <w:t>5)</w:t>
            </w:r>
            <w:r w:rsidR="007819FF" w:rsidRPr="00917588">
              <w:rPr>
                <w:sz w:val="22"/>
                <w:szCs w:val="22"/>
              </w:rPr>
              <w:t xml:space="preserve"> Grozījumi</w:t>
            </w:r>
            <w:r w:rsidR="002444DB" w:rsidRPr="00917588">
              <w:rPr>
                <w:sz w:val="22"/>
                <w:szCs w:val="22"/>
              </w:rPr>
              <w:t xml:space="preserve"> attiecībā uz izmaiņām Labklājības ministrijas pārziņā esošo SAM un pasākumu ietvaros:</w:t>
            </w:r>
          </w:p>
          <w:p w14:paraId="24DAFB06" w14:textId="30C63D0D" w:rsidR="004A6D1B" w:rsidRPr="00917588" w:rsidRDefault="007819FF" w:rsidP="00723484">
            <w:pPr>
              <w:pStyle w:val="ListParagraph"/>
              <w:numPr>
                <w:ilvl w:val="0"/>
                <w:numId w:val="12"/>
              </w:numPr>
              <w:spacing w:after="0" w:line="240" w:lineRule="auto"/>
              <w:ind w:left="405" w:hanging="284"/>
              <w:jc w:val="both"/>
              <w:rPr>
                <w:rFonts w:ascii="Times New Roman" w:hAnsi="Times New Roman" w:cs="Times New Roman"/>
              </w:rPr>
            </w:pPr>
            <w:r w:rsidRPr="00917588">
              <w:rPr>
                <w:rFonts w:ascii="Times New Roman" w:hAnsi="Times New Roman" w:cs="Times New Roman"/>
              </w:rPr>
              <w:t>precizē</w:t>
            </w:r>
            <w:r w:rsidR="00776DED" w:rsidRPr="00917588">
              <w:rPr>
                <w:rFonts w:ascii="Times New Roman" w:hAnsi="Times New Roman" w:cs="Times New Roman"/>
              </w:rPr>
              <w:t>jo</w:t>
            </w:r>
            <w:r w:rsidRPr="00917588">
              <w:rPr>
                <w:rFonts w:ascii="Times New Roman" w:hAnsi="Times New Roman" w:cs="Times New Roman"/>
              </w:rPr>
              <w:t>t</w:t>
            </w:r>
            <w:r w:rsidR="00776DED" w:rsidRPr="00917588">
              <w:rPr>
                <w:rFonts w:ascii="Times New Roman" w:hAnsi="Times New Roman" w:cs="Times New Roman"/>
              </w:rPr>
              <w:t xml:space="preserve"> 7.</w:t>
            </w:r>
            <w:r w:rsidR="00E678AB" w:rsidRPr="00917588">
              <w:rPr>
                <w:rFonts w:ascii="Times New Roman" w:hAnsi="Times New Roman" w:cs="Times New Roman"/>
              </w:rPr>
              <w:t> </w:t>
            </w:r>
            <w:r w:rsidR="00776DED" w:rsidRPr="00917588">
              <w:rPr>
                <w:rFonts w:ascii="Times New Roman" w:hAnsi="Times New Roman" w:cs="Times New Roman"/>
              </w:rPr>
              <w:t>PV SAM</w:t>
            </w:r>
            <w:r w:rsidRPr="00917588">
              <w:rPr>
                <w:rFonts w:ascii="Times New Roman" w:hAnsi="Times New Roman" w:cs="Times New Roman"/>
              </w:rPr>
              <w:t xml:space="preserve"> atbalstāmās darbības</w:t>
            </w:r>
            <w:r w:rsidR="005222DB" w:rsidRPr="00917588">
              <w:rPr>
                <w:rFonts w:ascii="Times New Roman" w:hAnsi="Times New Roman" w:cs="Times New Roman"/>
              </w:rPr>
              <w:t xml:space="preserve"> </w:t>
            </w:r>
            <w:r w:rsidR="00A30BEB" w:rsidRPr="00917588">
              <w:rPr>
                <w:rFonts w:ascii="Times New Roman" w:hAnsi="Times New Roman" w:cs="Times New Roman"/>
              </w:rPr>
              <w:t>un rādītājus</w:t>
            </w:r>
            <w:r w:rsidR="005222DB" w:rsidRPr="00917588">
              <w:rPr>
                <w:rFonts w:ascii="Times New Roman" w:hAnsi="Times New Roman" w:cs="Times New Roman"/>
              </w:rPr>
              <w:t xml:space="preserve"> attiecībā uz darba tirgus prognozēšanas sistēmu</w:t>
            </w:r>
            <w:r w:rsidR="00A30BEB" w:rsidRPr="00917588">
              <w:rPr>
                <w:rFonts w:ascii="Times New Roman" w:hAnsi="Times New Roman" w:cs="Times New Roman"/>
              </w:rPr>
              <w:t xml:space="preserve">, </w:t>
            </w:r>
            <w:r w:rsidR="005222DB" w:rsidRPr="00917588">
              <w:rPr>
                <w:rFonts w:ascii="Times New Roman" w:hAnsi="Times New Roman" w:cs="Times New Roman"/>
              </w:rPr>
              <w:t xml:space="preserve">EURES tīkla darbību Latvijā, </w:t>
            </w:r>
            <w:r w:rsidR="00790E82" w:rsidRPr="00917588">
              <w:rPr>
                <w:rFonts w:ascii="Times New Roman" w:hAnsi="Times New Roman" w:cs="Times New Roman"/>
              </w:rPr>
              <w:t>j</w:t>
            </w:r>
            <w:r w:rsidR="00126F28" w:rsidRPr="00917588">
              <w:rPr>
                <w:rFonts w:ascii="Times New Roman" w:hAnsi="Times New Roman" w:cs="Times New Roman"/>
              </w:rPr>
              <w:t>auniešu integrāciju</w:t>
            </w:r>
            <w:r w:rsidR="00790E82" w:rsidRPr="00917588">
              <w:rPr>
                <w:rFonts w:ascii="Times New Roman" w:hAnsi="Times New Roman" w:cs="Times New Roman"/>
              </w:rPr>
              <w:t xml:space="preserve"> darba tirgū, </w:t>
            </w:r>
            <w:r w:rsidR="00A30BEB" w:rsidRPr="00917588">
              <w:rPr>
                <w:rFonts w:ascii="Times New Roman" w:hAnsi="Times New Roman" w:cs="Times New Roman"/>
              </w:rPr>
              <w:t xml:space="preserve">ņemot vērā </w:t>
            </w:r>
            <w:r w:rsidR="00776DED" w:rsidRPr="00917588">
              <w:rPr>
                <w:rFonts w:ascii="Times New Roman" w:hAnsi="Times New Roman" w:cs="Times New Roman"/>
              </w:rPr>
              <w:t xml:space="preserve">iekšējās finansējuma pārdales </w:t>
            </w:r>
            <w:r w:rsidR="00A30BEB" w:rsidRPr="00917588">
              <w:rPr>
                <w:rFonts w:ascii="Times New Roman" w:hAnsi="Times New Roman" w:cs="Times New Roman"/>
              </w:rPr>
              <w:t>7.</w:t>
            </w:r>
            <w:r w:rsidR="00E678AB" w:rsidRPr="00917588">
              <w:rPr>
                <w:rFonts w:ascii="Times New Roman" w:hAnsi="Times New Roman" w:cs="Times New Roman"/>
              </w:rPr>
              <w:t> </w:t>
            </w:r>
            <w:r w:rsidR="00A30BEB" w:rsidRPr="00917588">
              <w:rPr>
                <w:rFonts w:ascii="Times New Roman" w:hAnsi="Times New Roman" w:cs="Times New Roman"/>
              </w:rPr>
              <w:t>PV</w:t>
            </w:r>
            <w:r w:rsidR="00776DED" w:rsidRPr="00917588">
              <w:rPr>
                <w:rFonts w:ascii="Times New Roman" w:hAnsi="Times New Roman" w:cs="Times New Roman"/>
              </w:rPr>
              <w:t>, t.sk.</w:t>
            </w:r>
            <w:r w:rsidR="005222DB" w:rsidRPr="00917588">
              <w:rPr>
                <w:rFonts w:ascii="Times New Roman" w:hAnsi="Times New Roman" w:cs="Times New Roman"/>
              </w:rPr>
              <w:t xml:space="preserve"> </w:t>
            </w:r>
            <w:r w:rsidR="00776DED" w:rsidRPr="00917588">
              <w:rPr>
                <w:rFonts w:ascii="Times New Roman" w:hAnsi="Times New Roman" w:cs="Times New Roman"/>
              </w:rPr>
              <w:t>maksimāli izmantojot Latvijai pieejamo Jauniešu nodarbinātības iniciatīvas piešķīrumu;</w:t>
            </w:r>
            <w:r w:rsidRPr="00917588">
              <w:rPr>
                <w:rFonts w:ascii="Times New Roman" w:hAnsi="Times New Roman" w:cs="Times New Roman"/>
              </w:rPr>
              <w:t xml:space="preserve"> </w:t>
            </w:r>
          </w:p>
          <w:p w14:paraId="5B92AD23" w14:textId="17AF52BF" w:rsidR="00615CF8" w:rsidRPr="00917588" w:rsidRDefault="00776DED" w:rsidP="0060247F">
            <w:pPr>
              <w:pStyle w:val="ListParagraph"/>
              <w:numPr>
                <w:ilvl w:val="0"/>
                <w:numId w:val="12"/>
              </w:numPr>
              <w:spacing w:after="0" w:line="240" w:lineRule="auto"/>
              <w:ind w:left="403" w:hanging="284"/>
              <w:jc w:val="both"/>
            </w:pPr>
            <w:r w:rsidRPr="00917588">
              <w:rPr>
                <w:rFonts w:ascii="Times New Roman" w:hAnsi="Times New Roman" w:cs="Times New Roman"/>
              </w:rPr>
              <w:t xml:space="preserve">precizējot </w:t>
            </w:r>
            <w:r w:rsidR="007020C8" w:rsidRPr="00917588">
              <w:rPr>
                <w:rFonts w:ascii="Times New Roman" w:hAnsi="Times New Roman" w:cs="Times New Roman"/>
              </w:rPr>
              <w:t>9.</w:t>
            </w:r>
            <w:r w:rsidR="00E678AB" w:rsidRPr="00917588">
              <w:rPr>
                <w:rFonts w:ascii="Times New Roman" w:hAnsi="Times New Roman" w:cs="Times New Roman"/>
              </w:rPr>
              <w:t> </w:t>
            </w:r>
            <w:r w:rsidR="007020C8" w:rsidRPr="00917588">
              <w:rPr>
                <w:rFonts w:ascii="Times New Roman" w:hAnsi="Times New Roman" w:cs="Times New Roman"/>
              </w:rPr>
              <w:t>PV SAM</w:t>
            </w:r>
            <w:r w:rsidR="00DA2536" w:rsidRPr="00917588">
              <w:rPr>
                <w:rFonts w:ascii="Times New Roman" w:hAnsi="Times New Roman" w:cs="Times New Roman"/>
                <w:iCs/>
              </w:rPr>
              <w:t xml:space="preserve"> </w:t>
            </w:r>
            <w:r w:rsidR="007020C8" w:rsidRPr="00917588">
              <w:rPr>
                <w:rFonts w:ascii="Times New Roman" w:hAnsi="Times New Roman" w:cs="Times New Roman"/>
                <w:iCs/>
              </w:rPr>
              <w:t xml:space="preserve">atbalstāmās </w:t>
            </w:r>
            <w:r w:rsidR="00DA2536" w:rsidRPr="00917588">
              <w:rPr>
                <w:rFonts w:ascii="Times New Roman" w:hAnsi="Times New Roman" w:cs="Times New Roman"/>
                <w:iCs/>
              </w:rPr>
              <w:t>darbīb</w:t>
            </w:r>
            <w:r w:rsidR="00CE3A2F" w:rsidRPr="00917588">
              <w:rPr>
                <w:rFonts w:ascii="Times New Roman" w:hAnsi="Times New Roman" w:cs="Times New Roman"/>
                <w:iCs/>
              </w:rPr>
              <w:t>as</w:t>
            </w:r>
            <w:r w:rsidR="00B43DEA" w:rsidRPr="00917588">
              <w:rPr>
                <w:rFonts w:ascii="Times New Roman" w:hAnsi="Times New Roman" w:cs="Times New Roman"/>
                <w:iCs/>
              </w:rPr>
              <w:t xml:space="preserve"> </w:t>
            </w:r>
            <w:r w:rsidR="00B43DEA" w:rsidRPr="00917588">
              <w:rPr>
                <w:rFonts w:ascii="Times New Roman" w:hAnsi="Times New Roman" w:cs="Times New Roman"/>
              </w:rPr>
              <w:t>attiecībā uz funkcionēšanas novērtēšanas un tehnisko palīglīdzekļu apmaiņas sistēmas izveidi</w:t>
            </w:r>
            <w:r w:rsidR="00B43DEA" w:rsidRPr="00917588">
              <w:rPr>
                <w:rFonts w:ascii="Times New Roman" w:hAnsi="Times New Roman" w:cs="Times New Roman"/>
                <w:iCs/>
              </w:rPr>
              <w:t xml:space="preserve"> un infrastruktūru funkcionalitātes </w:t>
            </w:r>
            <w:r w:rsidR="00B43DEA" w:rsidRPr="00917588">
              <w:rPr>
                <w:rFonts w:ascii="Times New Roman" w:hAnsi="Times New Roman" w:cs="Times New Roman"/>
                <w:iCs/>
              </w:rPr>
              <w:lastRenderedPageBreak/>
              <w:t xml:space="preserve">novērtēšanai un tehnisko palīglīdzekļu apmaiņas fonda izveidei, </w:t>
            </w:r>
            <w:r w:rsidR="000729B6" w:rsidRPr="00917588">
              <w:rPr>
                <w:rFonts w:ascii="Times New Roman" w:hAnsi="Times New Roman" w:cs="Times New Roman"/>
              </w:rPr>
              <w:t>ņemot vērā iekšējās finansējuma pārdales 9.</w:t>
            </w:r>
            <w:r w:rsidR="00E678AB" w:rsidRPr="00917588">
              <w:rPr>
                <w:rFonts w:ascii="Times New Roman" w:hAnsi="Times New Roman" w:cs="Times New Roman"/>
              </w:rPr>
              <w:t> </w:t>
            </w:r>
            <w:r w:rsidR="000729B6" w:rsidRPr="00917588">
              <w:rPr>
                <w:rFonts w:ascii="Times New Roman" w:hAnsi="Times New Roman" w:cs="Times New Roman"/>
              </w:rPr>
              <w:t>PV,</w:t>
            </w:r>
            <w:r w:rsidR="000729B6" w:rsidRPr="00917588">
              <w:rPr>
                <w:rFonts w:ascii="Times New Roman" w:hAnsi="Times New Roman" w:cs="Times New Roman"/>
                <w:iCs/>
              </w:rPr>
              <w:t xml:space="preserve"> </w:t>
            </w:r>
            <w:r w:rsidR="00B43DEA" w:rsidRPr="00917588">
              <w:rPr>
                <w:rFonts w:ascii="Times New Roman" w:hAnsi="Times New Roman" w:cs="Times New Roman"/>
                <w:iCs/>
              </w:rPr>
              <w:t>kā arī</w:t>
            </w:r>
            <w:r w:rsidR="00491B3E" w:rsidRPr="00917588">
              <w:rPr>
                <w:rFonts w:ascii="Times New Roman" w:hAnsi="Times New Roman" w:cs="Times New Roman"/>
                <w:iCs/>
              </w:rPr>
              <w:t xml:space="preserve"> </w:t>
            </w:r>
            <w:r w:rsidR="00B43DEA" w:rsidRPr="00917588">
              <w:rPr>
                <w:rFonts w:ascii="Times New Roman" w:hAnsi="Times New Roman" w:cs="Times New Roman"/>
                <w:iCs/>
              </w:rPr>
              <w:t>precizējot</w:t>
            </w:r>
            <w:r w:rsidR="00286728" w:rsidRPr="00917588">
              <w:rPr>
                <w:rFonts w:ascii="Times New Roman" w:hAnsi="Times New Roman" w:cs="Times New Roman"/>
                <w:iCs/>
              </w:rPr>
              <w:t xml:space="preserve"> </w:t>
            </w:r>
            <w:r w:rsidR="00CE3A2F" w:rsidRPr="00917588">
              <w:rPr>
                <w:rFonts w:ascii="Times New Roman" w:hAnsi="Times New Roman" w:cs="Times New Roman"/>
                <w:iCs/>
              </w:rPr>
              <w:t>SAM</w:t>
            </w:r>
            <w:r w:rsidR="00431873" w:rsidRPr="00917588">
              <w:rPr>
                <w:rFonts w:ascii="Times New Roman" w:hAnsi="Times New Roman" w:cs="Times New Roman"/>
                <w:iCs/>
              </w:rPr>
              <w:t xml:space="preserve"> ietekmi uz horizontālo principu “Vienlīdzīgas iespējas”</w:t>
            </w:r>
            <w:r w:rsidR="00E3516C" w:rsidRPr="00917588">
              <w:rPr>
                <w:rFonts w:ascii="Times New Roman" w:hAnsi="Times New Roman" w:cs="Times New Roman"/>
                <w:iCs/>
              </w:rPr>
              <w:t xml:space="preserve">. Tāpat grozījumi paredz rādītāju izmaiņas attiecībā uz </w:t>
            </w:r>
            <w:proofErr w:type="spellStart"/>
            <w:r w:rsidR="00E3516C" w:rsidRPr="00917588">
              <w:rPr>
                <w:rFonts w:ascii="Times New Roman" w:hAnsi="Times New Roman" w:cs="Times New Roman"/>
                <w:iCs/>
              </w:rPr>
              <w:t>deinstitucionalizācijas</w:t>
            </w:r>
            <w:proofErr w:type="spellEnd"/>
            <w:r w:rsidR="00E3516C" w:rsidRPr="00917588">
              <w:rPr>
                <w:rFonts w:ascii="Times New Roman" w:hAnsi="Times New Roman" w:cs="Times New Roman"/>
                <w:iCs/>
              </w:rPr>
              <w:t xml:space="preserve"> īstenošanu, ņemot vērā arvien pieaugošo sociālo aprūpes pakalpojumu pieprasījumu bērniem ar funkcionāliem traucējumiem.</w:t>
            </w:r>
          </w:p>
          <w:p w14:paraId="24F2E907" w14:textId="7EF2E917" w:rsidR="00DB4FB6" w:rsidRPr="00917588" w:rsidRDefault="00836F27" w:rsidP="00DB4FB6">
            <w:pPr>
              <w:pStyle w:val="NormalWeb"/>
              <w:shd w:val="clear" w:color="auto" w:fill="FFFFFF"/>
              <w:spacing w:before="0" w:beforeAutospacing="0" w:after="0" w:afterAutospacing="0"/>
              <w:jc w:val="both"/>
              <w:rPr>
                <w:color w:val="000000"/>
                <w:sz w:val="22"/>
                <w:szCs w:val="22"/>
              </w:rPr>
            </w:pPr>
            <w:r w:rsidRPr="00917588">
              <w:rPr>
                <w:sz w:val="22"/>
                <w:szCs w:val="22"/>
              </w:rPr>
              <w:t>6</w:t>
            </w:r>
            <w:r w:rsidR="00615CF8" w:rsidRPr="00917588">
              <w:rPr>
                <w:sz w:val="22"/>
                <w:szCs w:val="22"/>
              </w:rPr>
              <w:t xml:space="preserve">) </w:t>
            </w:r>
            <w:r w:rsidR="00AC515A" w:rsidRPr="00917588">
              <w:rPr>
                <w:sz w:val="22"/>
                <w:szCs w:val="22"/>
              </w:rPr>
              <w:t>Grozījumi attiecīb</w:t>
            </w:r>
            <w:r w:rsidR="00942876" w:rsidRPr="00917588">
              <w:rPr>
                <w:sz w:val="22"/>
                <w:szCs w:val="22"/>
              </w:rPr>
              <w:t>ā</w:t>
            </w:r>
            <w:r w:rsidR="00AC515A" w:rsidRPr="00917588">
              <w:rPr>
                <w:sz w:val="22"/>
                <w:szCs w:val="22"/>
              </w:rPr>
              <w:t xml:space="preserve"> uz </w:t>
            </w:r>
            <w:r w:rsidR="006B129A" w:rsidRPr="00917588">
              <w:rPr>
                <w:sz w:val="22"/>
                <w:szCs w:val="22"/>
              </w:rPr>
              <w:t>Veselības ministrijas</w:t>
            </w:r>
            <w:r w:rsidR="00717721" w:rsidRPr="00917588">
              <w:rPr>
                <w:sz w:val="22"/>
                <w:szCs w:val="22"/>
              </w:rPr>
              <w:t xml:space="preserve"> pārziņā esošo</w:t>
            </w:r>
            <w:r w:rsidR="006B129A" w:rsidRPr="00917588">
              <w:rPr>
                <w:sz w:val="22"/>
                <w:szCs w:val="22"/>
              </w:rPr>
              <w:t xml:space="preserve"> </w:t>
            </w:r>
            <w:r w:rsidR="00AC515A" w:rsidRPr="00917588">
              <w:rPr>
                <w:sz w:val="22"/>
                <w:szCs w:val="22"/>
              </w:rPr>
              <w:t xml:space="preserve">SAM </w:t>
            </w:r>
            <w:r w:rsidR="006C4725" w:rsidRPr="00917588">
              <w:rPr>
                <w:sz w:val="22"/>
                <w:szCs w:val="22"/>
              </w:rPr>
              <w:t>veselības veicināšanai</w:t>
            </w:r>
            <w:r w:rsidR="00717721" w:rsidRPr="00917588">
              <w:rPr>
                <w:sz w:val="22"/>
                <w:szCs w:val="22"/>
              </w:rPr>
              <w:t xml:space="preserve"> un slimību profilakse</w:t>
            </w:r>
            <w:r w:rsidR="006C4725" w:rsidRPr="00917588">
              <w:rPr>
                <w:sz w:val="22"/>
                <w:szCs w:val="22"/>
              </w:rPr>
              <w:t>i, precizējot</w:t>
            </w:r>
            <w:r w:rsidR="00717721" w:rsidRPr="00917588">
              <w:rPr>
                <w:sz w:val="22"/>
                <w:szCs w:val="22"/>
              </w:rPr>
              <w:t xml:space="preserve"> </w:t>
            </w:r>
            <w:r w:rsidR="006C4725" w:rsidRPr="00917588">
              <w:rPr>
                <w:sz w:val="22"/>
                <w:szCs w:val="22"/>
              </w:rPr>
              <w:t>esošo</w:t>
            </w:r>
            <w:r w:rsidR="00D54A70" w:rsidRPr="00917588">
              <w:rPr>
                <w:sz w:val="22"/>
                <w:szCs w:val="22"/>
              </w:rPr>
              <w:t>s</w:t>
            </w:r>
            <w:r w:rsidR="006C4725" w:rsidRPr="00917588">
              <w:rPr>
                <w:sz w:val="22"/>
                <w:szCs w:val="22"/>
              </w:rPr>
              <w:t xml:space="preserve"> </w:t>
            </w:r>
            <w:r w:rsidR="00DB4FB6" w:rsidRPr="00917588">
              <w:rPr>
                <w:bCs/>
                <w:sz w:val="22"/>
                <w:szCs w:val="22"/>
                <w:shd w:val="clear" w:color="auto" w:fill="FFFFFF"/>
              </w:rPr>
              <w:t>rādītājus</w:t>
            </w:r>
            <w:r w:rsidR="006C4725" w:rsidRPr="00917588">
              <w:rPr>
                <w:bCs/>
                <w:sz w:val="22"/>
                <w:szCs w:val="22"/>
                <w:shd w:val="clear" w:color="auto" w:fill="FFFFFF"/>
              </w:rPr>
              <w:t xml:space="preserve"> un to </w:t>
            </w:r>
            <w:r w:rsidR="00DB4FB6" w:rsidRPr="00917588">
              <w:rPr>
                <w:bCs/>
                <w:sz w:val="22"/>
                <w:szCs w:val="22"/>
                <w:shd w:val="clear" w:color="auto" w:fill="FFFFFF"/>
              </w:rPr>
              <w:t>mērķa vērtības, kā arī papildin</w:t>
            </w:r>
            <w:r w:rsidR="006C4725" w:rsidRPr="00917588">
              <w:rPr>
                <w:bCs/>
                <w:sz w:val="22"/>
                <w:szCs w:val="22"/>
                <w:shd w:val="clear" w:color="auto" w:fill="FFFFFF"/>
              </w:rPr>
              <w:t>o</w:t>
            </w:r>
            <w:r w:rsidR="00DB4FB6" w:rsidRPr="00917588">
              <w:rPr>
                <w:bCs/>
                <w:sz w:val="22"/>
                <w:szCs w:val="22"/>
                <w:shd w:val="clear" w:color="auto" w:fill="FFFFFF"/>
              </w:rPr>
              <w:t>t ar jauniem rādītājiem, tādejādi nodrošinot</w:t>
            </w:r>
            <w:r w:rsidR="006C4725" w:rsidRPr="00917588">
              <w:rPr>
                <w:bCs/>
                <w:sz w:val="22"/>
                <w:szCs w:val="22"/>
                <w:shd w:val="clear" w:color="auto" w:fill="FFFFFF"/>
              </w:rPr>
              <w:t xml:space="preserve">, ka </w:t>
            </w:r>
            <w:r w:rsidR="00DB4FB6" w:rsidRPr="00917588">
              <w:rPr>
                <w:bCs/>
                <w:sz w:val="22"/>
                <w:szCs w:val="22"/>
                <w:shd w:val="clear" w:color="auto" w:fill="FFFFFF"/>
              </w:rPr>
              <w:t xml:space="preserve">rādītāji atspoguļo faktisko ieguldījumu apjomu un </w:t>
            </w:r>
            <w:r w:rsidR="00402708" w:rsidRPr="00917588">
              <w:rPr>
                <w:bCs/>
                <w:sz w:val="22"/>
                <w:szCs w:val="22"/>
                <w:shd w:val="clear" w:color="auto" w:fill="FFFFFF"/>
              </w:rPr>
              <w:t>paredz iespēju</w:t>
            </w:r>
            <w:r w:rsidR="00DB4FB6" w:rsidRPr="00917588">
              <w:rPr>
                <w:bCs/>
                <w:sz w:val="22"/>
                <w:szCs w:val="22"/>
                <w:shd w:val="clear" w:color="auto" w:fill="FFFFFF"/>
              </w:rPr>
              <w:t xml:space="preserve"> pasākumos iesaistīt pēc iespējas plašāku </w:t>
            </w:r>
            <w:r w:rsidR="00402708" w:rsidRPr="00917588">
              <w:rPr>
                <w:bCs/>
                <w:sz w:val="22"/>
                <w:szCs w:val="22"/>
                <w:shd w:val="clear" w:color="auto" w:fill="FFFFFF"/>
              </w:rPr>
              <w:t xml:space="preserve">ar </w:t>
            </w:r>
            <w:r w:rsidR="00DB4FB6" w:rsidRPr="00917588">
              <w:rPr>
                <w:bCs/>
                <w:sz w:val="22"/>
                <w:szCs w:val="22"/>
                <w:shd w:val="clear" w:color="auto" w:fill="FFFFFF"/>
              </w:rPr>
              <w:t>dažādiem atstumtības riskiem pakļauto iedzīvotāju loku.</w:t>
            </w:r>
            <w:r w:rsidR="00DB4FB6" w:rsidRPr="00917588">
              <w:rPr>
                <w:color w:val="000000"/>
                <w:sz w:val="22"/>
                <w:szCs w:val="22"/>
              </w:rPr>
              <w:t xml:space="preserve"> </w:t>
            </w:r>
          </w:p>
          <w:p w14:paraId="470427BF" w14:textId="3D613150" w:rsidR="00A30BEB" w:rsidRPr="00917588" w:rsidRDefault="00836F27" w:rsidP="009937F3">
            <w:pPr>
              <w:jc w:val="both"/>
              <w:rPr>
                <w:sz w:val="22"/>
                <w:szCs w:val="22"/>
              </w:rPr>
            </w:pPr>
            <w:r w:rsidRPr="00917588">
              <w:rPr>
                <w:sz w:val="22"/>
                <w:szCs w:val="22"/>
              </w:rPr>
              <w:t>7</w:t>
            </w:r>
            <w:r w:rsidR="00A30BEB" w:rsidRPr="00917588">
              <w:rPr>
                <w:sz w:val="22"/>
                <w:szCs w:val="22"/>
              </w:rPr>
              <w:t xml:space="preserve">) Grozījumi, kas paredz </w:t>
            </w:r>
            <w:r w:rsidR="00FC14DC" w:rsidRPr="00917588">
              <w:rPr>
                <w:sz w:val="22"/>
                <w:szCs w:val="22"/>
              </w:rPr>
              <w:t>pārskatīt</w:t>
            </w:r>
            <w:r w:rsidR="00A30BEB" w:rsidRPr="00917588">
              <w:rPr>
                <w:sz w:val="22"/>
                <w:szCs w:val="22"/>
              </w:rPr>
              <w:t xml:space="preserve"> vair</w:t>
            </w:r>
            <w:r w:rsidR="00FC14DC" w:rsidRPr="00917588">
              <w:rPr>
                <w:sz w:val="22"/>
                <w:szCs w:val="22"/>
              </w:rPr>
              <w:t>āku</w:t>
            </w:r>
            <w:r w:rsidR="00A30BEB" w:rsidRPr="00917588">
              <w:rPr>
                <w:sz w:val="22"/>
                <w:szCs w:val="22"/>
              </w:rPr>
              <w:t xml:space="preserve"> rādītāju vērtības,</w:t>
            </w:r>
            <w:r w:rsidR="00637116" w:rsidRPr="00917588">
              <w:rPr>
                <w:sz w:val="22"/>
                <w:szCs w:val="22"/>
              </w:rPr>
              <w:t xml:space="preserve"> precizēt nosaukumus, rādītāju informācijas iegūšanas biežumu,</w:t>
            </w:r>
            <w:r w:rsidR="00A30BEB" w:rsidRPr="00917588">
              <w:rPr>
                <w:sz w:val="22"/>
                <w:szCs w:val="22"/>
              </w:rPr>
              <w:t xml:space="preserve"> kā arī finansējuma sadalījumu pa intervences kodiem 1. PV “Pētniecība, tehnoloģiju attīstība un inovācijas”, 3. PV “</w:t>
            </w:r>
            <w:r w:rsidR="00D54A70" w:rsidRPr="00917588">
              <w:rPr>
                <w:sz w:val="22"/>
                <w:szCs w:val="22"/>
              </w:rPr>
              <w:t>M</w:t>
            </w:r>
            <w:r w:rsidR="00A30BEB" w:rsidRPr="00917588">
              <w:rPr>
                <w:sz w:val="22"/>
                <w:szCs w:val="22"/>
              </w:rPr>
              <w:t xml:space="preserve">azo un vidējo komersantu konkurētspēja”, 4. PV, </w:t>
            </w:r>
            <w:r w:rsidR="00637116" w:rsidRPr="00917588">
              <w:rPr>
                <w:sz w:val="22"/>
                <w:szCs w:val="22"/>
              </w:rPr>
              <w:t xml:space="preserve">5. PV, </w:t>
            </w:r>
            <w:r w:rsidR="00A30BEB" w:rsidRPr="00917588">
              <w:rPr>
                <w:sz w:val="22"/>
                <w:szCs w:val="22"/>
              </w:rPr>
              <w:t>8. PV “Izglītība, prasmes un mūžizglītība”</w:t>
            </w:r>
            <w:r w:rsidR="00C763AA" w:rsidRPr="00917588">
              <w:rPr>
                <w:sz w:val="22"/>
                <w:szCs w:val="22"/>
              </w:rPr>
              <w:t xml:space="preserve"> un</w:t>
            </w:r>
            <w:r w:rsidR="009937F3" w:rsidRPr="00917588">
              <w:rPr>
                <w:sz w:val="22"/>
                <w:szCs w:val="22"/>
              </w:rPr>
              <w:t xml:space="preserve"> 9. PV</w:t>
            </w:r>
            <w:r w:rsidR="00C763AA" w:rsidRPr="00917588">
              <w:rPr>
                <w:sz w:val="22"/>
                <w:szCs w:val="22"/>
              </w:rPr>
              <w:t>,</w:t>
            </w:r>
            <w:r w:rsidR="00A30BEB" w:rsidRPr="00917588">
              <w:rPr>
                <w:sz w:val="22"/>
                <w:szCs w:val="22"/>
              </w:rPr>
              <w:t xml:space="preserve"> ņemot vērā </w:t>
            </w:r>
            <w:r w:rsidR="009937F3" w:rsidRPr="00917588">
              <w:rPr>
                <w:sz w:val="22"/>
                <w:szCs w:val="22"/>
              </w:rPr>
              <w:t xml:space="preserve">iepriekš veiktās finansējuma pārdales starp SAM, </w:t>
            </w:r>
            <w:r w:rsidR="00A30BEB" w:rsidRPr="00917588">
              <w:rPr>
                <w:sz w:val="22"/>
                <w:szCs w:val="22"/>
              </w:rPr>
              <w:t xml:space="preserve">metodoloģijas maiņu rādītāju aprēķināšanā, </w:t>
            </w:r>
            <w:r w:rsidR="00FC14DC" w:rsidRPr="00917588">
              <w:rPr>
                <w:sz w:val="22"/>
                <w:szCs w:val="22"/>
              </w:rPr>
              <w:t>faktisko ieviešanas progresu.</w:t>
            </w:r>
          </w:p>
          <w:p w14:paraId="546D95EF" w14:textId="05706A4F" w:rsidR="00942876" w:rsidRPr="00917588" w:rsidRDefault="00615CF8" w:rsidP="009937F3">
            <w:pPr>
              <w:jc w:val="both"/>
              <w:rPr>
                <w:sz w:val="22"/>
                <w:szCs w:val="22"/>
              </w:rPr>
            </w:pPr>
            <w:r w:rsidRPr="00917588">
              <w:rPr>
                <w:sz w:val="22"/>
                <w:szCs w:val="22"/>
              </w:rPr>
              <w:t>9</w:t>
            </w:r>
            <w:r w:rsidR="00942876" w:rsidRPr="00917588">
              <w:rPr>
                <w:sz w:val="22"/>
                <w:szCs w:val="22"/>
              </w:rPr>
              <w:t>) Tehniski precizējumi rādītāju kodos, lai varētu korekti ziņot EK par vairākiem kopējiem iznākuma un rezultāta rādītājiem atbilstoši Eiropas Parlamenta un Padomes 2013.</w:t>
            </w:r>
            <w:r w:rsidR="00E678AB" w:rsidRPr="00917588">
              <w:rPr>
                <w:sz w:val="22"/>
                <w:szCs w:val="22"/>
              </w:rPr>
              <w:t> </w:t>
            </w:r>
            <w:r w:rsidR="00942876" w:rsidRPr="00917588">
              <w:rPr>
                <w:sz w:val="22"/>
                <w:szCs w:val="22"/>
              </w:rPr>
              <w:t>gada 17.</w:t>
            </w:r>
            <w:r w:rsidR="00E678AB" w:rsidRPr="00917588">
              <w:rPr>
                <w:sz w:val="22"/>
                <w:szCs w:val="22"/>
              </w:rPr>
              <w:t> </w:t>
            </w:r>
            <w:r w:rsidR="00942876" w:rsidRPr="00917588">
              <w:rPr>
                <w:sz w:val="22"/>
                <w:szCs w:val="22"/>
              </w:rPr>
              <w:t>decembra Regulas (ES) Nr.</w:t>
            </w:r>
            <w:r w:rsidR="00E678AB" w:rsidRPr="00917588">
              <w:rPr>
                <w:sz w:val="22"/>
                <w:szCs w:val="22"/>
              </w:rPr>
              <w:t> </w:t>
            </w:r>
            <w:r w:rsidR="00942876" w:rsidRPr="00917588">
              <w:rPr>
                <w:sz w:val="22"/>
                <w:szCs w:val="22"/>
              </w:rPr>
              <w:t>1304/2013 par Eiropas Sociālo fondu un ar ko atceļ Padomes Regulu (EK) Nr.</w:t>
            </w:r>
            <w:r w:rsidR="00E678AB" w:rsidRPr="00917588">
              <w:rPr>
                <w:sz w:val="22"/>
                <w:szCs w:val="22"/>
              </w:rPr>
              <w:t> </w:t>
            </w:r>
            <w:r w:rsidR="00942876" w:rsidRPr="00917588">
              <w:rPr>
                <w:sz w:val="22"/>
                <w:szCs w:val="22"/>
              </w:rPr>
              <w:t>1081/2006 I pielikumam “Kopējie iznākuma un rezultātu rādītāji ESF investīcijām”.</w:t>
            </w:r>
          </w:p>
        </w:tc>
      </w:tr>
      <w:tr w:rsidR="008F0C62" w:rsidRPr="00917588" w14:paraId="04B45F8A" w14:textId="77777777" w:rsidTr="00163248">
        <w:tc>
          <w:tcPr>
            <w:tcW w:w="311" w:type="pct"/>
            <w:hideMark/>
          </w:tcPr>
          <w:p w14:paraId="30AA7E86" w14:textId="77777777" w:rsidR="008F0C62" w:rsidRPr="00917588" w:rsidRDefault="008F0C62" w:rsidP="00BA0575">
            <w:pPr>
              <w:jc w:val="center"/>
              <w:rPr>
                <w:sz w:val="22"/>
                <w:szCs w:val="22"/>
              </w:rPr>
            </w:pPr>
            <w:r w:rsidRPr="00917588">
              <w:rPr>
                <w:sz w:val="22"/>
                <w:szCs w:val="22"/>
              </w:rPr>
              <w:lastRenderedPageBreak/>
              <w:t>3.</w:t>
            </w:r>
          </w:p>
        </w:tc>
        <w:tc>
          <w:tcPr>
            <w:tcW w:w="1479" w:type="pct"/>
            <w:hideMark/>
          </w:tcPr>
          <w:p w14:paraId="17C4B50C" w14:textId="77777777" w:rsidR="008F0C62" w:rsidRPr="00917588" w:rsidRDefault="008F0C62" w:rsidP="00BA0575">
            <w:pPr>
              <w:rPr>
                <w:sz w:val="22"/>
                <w:szCs w:val="22"/>
              </w:rPr>
            </w:pPr>
            <w:r w:rsidRPr="00917588">
              <w:rPr>
                <w:sz w:val="22"/>
                <w:szCs w:val="22"/>
              </w:rPr>
              <w:t>Projekta izstrādē iesaistītās institūcijas un publiskas personas kapitālsabiedrības</w:t>
            </w:r>
          </w:p>
        </w:tc>
        <w:tc>
          <w:tcPr>
            <w:tcW w:w="3210" w:type="pct"/>
            <w:hideMark/>
          </w:tcPr>
          <w:p w14:paraId="70624315" w14:textId="5BD50E23" w:rsidR="008F0C62" w:rsidRPr="00917588" w:rsidRDefault="00862131" w:rsidP="00570DB8">
            <w:pPr>
              <w:jc w:val="both"/>
              <w:rPr>
                <w:sz w:val="22"/>
                <w:szCs w:val="22"/>
                <w:highlight w:val="yellow"/>
              </w:rPr>
            </w:pPr>
            <w:r w:rsidRPr="00917588">
              <w:rPr>
                <w:bCs/>
                <w:sz w:val="22"/>
                <w:szCs w:val="22"/>
              </w:rPr>
              <w:t xml:space="preserve">Darbības </w:t>
            </w:r>
            <w:r w:rsidR="00BD0ADB" w:rsidRPr="00917588">
              <w:rPr>
                <w:bCs/>
                <w:sz w:val="22"/>
                <w:szCs w:val="22"/>
              </w:rPr>
              <w:t>programmas grozījumu izstrādē iesaistīta</w:t>
            </w:r>
            <w:r w:rsidR="004104EA" w:rsidRPr="00917588">
              <w:rPr>
                <w:bCs/>
                <w:sz w:val="22"/>
                <w:szCs w:val="22"/>
              </w:rPr>
              <w:t xml:space="preserve"> Satiksmes ministrija,</w:t>
            </w:r>
            <w:r w:rsidR="00BD0ADB" w:rsidRPr="00917588">
              <w:rPr>
                <w:bCs/>
                <w:sz w:val="22"/>
                <w:szCs w:val="22"/>
              </w:rPr>
              <w:t xml:space="preserve"> Ekonomikas ministrija</w:t>
            </w:r>
            <w:r w:rsidR="00CF4EC3" w:rsidRPr="00917588">
              <w:rPr>
                <w:bCs/>
                <w:sz w:val="22"/>
                <w:szCs w:val="22"/>
              </w:rPr>
              <w:t>,</w:t>
            </w:r>
            <w:r w:rsidR="00703E95" w:rsidRPr="00917588">
              <w:rPr>
                <w:bCs/>
                <w:sz w:val="22"/>
                <w:szCs w:val="22"/>
              </w:rPr>
              <w:t xml:space="preserve"> Labklājības ministrija,</w:t>
            </w:r>
            <w:r w:rsidR="00CF4EC3" w:rsidRPr="00917588">
              <w:rPr>
                <w:bCs/>
                <w:sz w:val="22"/>
                <w:szCs w:val="22"/>
              </w:rPr>
              <w:t xml:space="preserve"> </w:t>
            </w:r>
            <w:r w:rsidR="00BD0ADB" w:rsidRPr="00917588">
              <w:rPr>
                <w:bCs/>
                <w:sz w:val="22"/>
                <w:szCs w:val="22"/>
              </w:rPr>
              <w:t>Vides aizsardzības un re</w:t>
            </w:r>
            <w:r w:rsidR="00CF4EC3" w:rsidRPr="00917588">
              <w:rPr>
                <w:bCs/>
                <w:sz w:val="22"/>
                <w:szCs w:val="22"/>
              </w:rPr>
              <w:t>ģionālās attīstības ministrija</w:t>
            </w:r>
            <w:r w:rsidR="003C4F2B" w:rsidRPr="00917588">
              <w:rPr>
                <w:bCs/>
                <w:sz w:val="22"/>
                <w:szCs w:val="22"/>
              </w:rPr>
              <w:t>, Veselības ministrija</w:t>
            </w:r>
            <w:r w:rsidRPr="00917588">
              <w:rPr>
                <w:bCs/>
                <w:sz w:val="22"/>
                <w:szCs w:val="22"/>
              </w:rPr>
              <w:t>,</w:t>
            </w:r>
            <w:r w:rsidR="003C4F2B" w:rsidRPr="00917588">
              <w:rPr>
                <w:bCs/>
                <w:sz w:val="22"/>
                <w:szCs w:val="22"/>
              </w:rPr>
              <w:t xml:space="preserve"> Kultūras ministrija,</w:t>
            </w:r>
            <w:r w:rsidR="00C65F83" w:rsidRPr="00917588">
              <w:rPr>
                <w:bCs/>
                <w:sz w:val="22"/>
                <w:szCs w:val="22"/>
              </w:rPr>
              <w:t xml:space="preserve"> Izglītības un zinātnes ministrija, </w:t>
            </w:r>
            <w:r w:rsidR="00A30BEB" w:rsidRPr="00917588">
              <w:rPr>
                <w:bCs/>
                <w:sz w:val="22"/>
                <w:szCs w:val="22"/>
              </w:rPr>
              <w:t xml:space="preserve">Zemkopības ministrija, </w:t>
            </w:r>
            <w:r w:rsidR="00BD0ADB" w:rsidRPr="00917588">
              <w:rPr>
                <w:bCs/>
                <w:sz w:val="22"/>
                <w:szCs w:val="22"/>
              </w:rPr>
              <w:t>kā arī Tieslietu ministrij</w:t>
            </w:r>
            <w:r w:rsidR="000E3C5D" w:rsidRPr="00917588">
              <w:rPr>
                <w:bCs/>
                <w:sz w:val="22"/>
                <w:szCs w:val="22"/>
              </w:rPr>
              <w:t>a</w:t>
            </w:r>
            <w:r w:rsidR="00BD0ADB" w:rsidRPr="00917588">
              <w:rPr>
                <w:bCs/>
                <w:sz w:val="22"/>
                <w:szCs w:val="22"/>
              </w:rPr>
              <w:t>.</w:t>
            </w:r>
          </w:p>
        </w:tc>
      </w:tr>
      <w:tr w:rsidR="008F0C62" w:rsidRPr="00917588" w14:paraId="735EFA50" w14:textId="77777777" w:rsidTr="00163248">
        <w:tc>
          <w:tcPr>
            <w:tcW w:w="311" w:type="pct"/>
            <w:hideMark/>
          </w:tcPr>
          <w:p w14:paraId="16C1DB9F" w14:textId="77777777" w:rsidR="008F0C62" w:rsidRPr="00917588" w:rsidRDefault="008F0C62" w:rsidP="00BA0575">
            <w:pPr>
              <w:jc w:val="center"/>
              <w:rPr>
                <w:sz w:val="22"/>
                <w:szCs w:val="22"/>
              </w:rPr>
            </w:pPr>
            <w:r w:rsidRPr="00917588">
              <w:rPr>
                <w:sz w:val="22"/>
                <w:szCs w:val="22"/>
              </w:rPr>
              <w:t>4.</w:t>
            </w:r>
          </w:p>
        </w:tc>
        <w:tc>
          <w:tcPr>
            <w:tcW w:w="1479" w:type="pct"/>
            <w:hideMark/>
          </w:tcPr>
          <w:p w14:paraId="261315DD" w14:textId="77777777" w:rsidR="008F0C62" w:rsidRPr="00917588" w:rsidRDefault="008F0C62" w:rsidP="00BA0575">
            <w:pPr>
              <w:rPr>
                <w:sz w:val="22"/>
                <w:szCs w:val="22"/>
              </w:rPr>
            </w:pPr>
            <w:r w:rsidRPr="00917588">
              <w:rPr>
                <w:sz w:val="22"/>
                <w:szCs w:val="22"/>
              </w:rPr>
              <w:t>Cita informācija</w:t>
            </w:r>
          </w:p>
        </w:tc>
        <w:tc>
          <w:tcPr>
            <w:tcW w:w="3210" w:type="pct"/>
            <w:hideMark/>
          </w:tcPr>
          <w:p w14:paraId="453A947B" w14:textId="252546DF" w:rsidR="008F0C62" w:rsidRPr="00917588" w:rsidRDefault="008F0C62" w:rsidP="004E5FF0">
            <w:pPr>
              <w:rPr>
                <w:sz w:val="22"/>
                <w:szCs w:val="22"/>
              </w:rPr>
            </w:pPr>
            <w:r w:rsidRPr="00917588">
              <w:rPr>
                <w:sz w:val="22"/>
                <w:szCs w:val="22"/>
              </w:rPr>
              <w:t>Nav.</w:t>
            </w:r>
          </w:p>
        </w:tc>
      </w:tr>
      <w:tr w:rsidR="00BD5588" w:rsidRPr="00917588" w14:paraId="51D5E8D1" w14:textId="77777777" w:rsidTr="009E0502">
        <w:trPr>
          <w:cantSplit/>
        </w:trPr>
        <w:tc>
          <w:tcPr>
            <w:tcW w:w="5000" w:type="pct"/>
            <w:gridSpan w:val="3"/>
            <w:vAlign w:val="center"/>
            <w:hideMark/>
          </w:tcPr>
          <w:p w14:paraId="60D7CCBA" w14:textId="77777777" w:rsidR="00BD5588" w:rsidRPr="00917588" w:rsidRDefault="00BD5588" w:rsidP="00BA0575">
            <w:pPr>
              <w:jc w:val="center"/>
              <w:rPr>
                <w:b/>
                <w:bCs/>
                <w:sz w:val="22"/>
                <w:szCs w:val="22"/>
              </w:rPr>
            </w:pPr>
            <w:r w:rsidRPr="00917588">
              <w:rPr>
                <w:b/>
                <w:bCs/>
                <w:sz w:val="22"/>
                <w:szCs w:val="22"/>
              </w:rPr>
              <w:t>II. Tiesību akta projekta ietekme uz sabiedrību, tautsaimniecības attīstību un administratīvo slogu</w:t>
            </w:r>
          </w:p>
        </w:tc>
      </w:tr>
      <w:tr w:rsidR="00BD5588" w:rsidRPr="00917588" w14:paraId="671EACFD" w14:textId="77777777" w:rsidTr="009E0502">
        <w:trPr>
          <w:cantSplit/>
        </w:trPr>
        <w:tc>
          <w:tcPr>
            <w:tcW w:w="311" w:type="pct"/>
            <w:hideMark/>
          </w:tcPr>
          <w:p w14:paraId="16516D53" w14:textId="77777777" w:rsidR="00BD5588" w:rsidRPr="00917588" w:rsidRDefault="00BD5588" w:rsidP="00BA0575">
            <w:pPr>
              <w:jc w:val="center"/>
              <w:rPr>
                <w:sz w:val="22"/>
                <w:szCs w:val="22"/>
              </w:rPr>
            </w:pPr>
            <w:r w:rsidRPr="00917588">
              <w:rPr>
                <w:sz w:val="22"/>
                <w:szCs w:val="22"/>
              </w:rPr>
              <w:t>1.</w:t>
            </w:r>
          </w:p>
        </w:tc>
        <w:tc>
          <w:tcPr>
            <w:tcW w:w="1479" w:type="pct"/>
            <w:hideMark/>
          </w:tcPr>
          <w:p w14:paraId="4CDBC2FF" w14:textId="77777777" w:rsidR="00BD5588" w:rsidRPr="00917588" w:rsidRDefault="00BD5588" w:rsidP="00BA0575">
            <w:pPr>
              <w:rPr>
                <w:sz w:val="22"/>
                <w:szCs w:val="22"/>
              </w:rPr>
            </w:pPr>
            <w:r w:rsidRPr="00917588">
              <w:rPr>
                <w:sz w:val="22"/>
                <w:szCs w:val="22"/>
              </w:rPr>
              <w:t xml:space="preserve">Sabiedrības </w:t>
            </w:r>
            <w:proofErr w:type="spellStart"/>
            <w:r w:rsidRPr="00917588">
              <w:rPr>
                <w:sz w:val="22"/>
                <w:szCs w:val="22"/>
              </w:rPr>
              <w:t>mērķgrupas</w:t>
            </w:r>
            <w:proofErr w:type="spellEnd"/>
            <w:r w:rsidRPr="00917588">
              <w:rPr>
                <w:sz w:val="22"/>
                <w:szCs w:val="22"/>
              </w:rPr>
              <w:t>, kuras tiesiskais regulējums ietekmē vai varētu ietekmēt</w:t>
            </w:r>
          </w:p>
        </w:tc>
        <w:tc>
          <w:tcPr>
            <w:tcW w:w="3210" w:type="pct"/>
            <w:hideMark/>
          </w:tcPr>
          <w:p w14:paraId="25D4932B" w14:textId="77777777" w:rsidR="00BD5588" w:rsidRPr="00917588" w:rsidRDefault="00461626" w:rsidP="004E5FF0">
            <w:pPr>
              <w:jc w:val="both"/>
              <w:rPr>
                <w:sz w:val="22"/>
                <w:szCs w:val="22"/>
              </w:rPr>
            </w:pPr>
            <w:r w:rsidRPr="00917588">
              <w:rPr>
                <w:sz w:val="22"/>
                <w:szCs w:val="22"/>
              </w:rPr>
              <w:t>Potenciālie ES fondu finansējuma saņēmēji, to sadarbības partneri un gala labuma guvēji.</w:t>
            </w:r>
          </w:p>
        </w:tc>
      </w:tr>
      <w:tr w:rsidR="00BD5588" w:rsidRPr="00917588" w14:paraId="437BF462" w14:textId="77777777" w:rsidTr="009E0502">
        <w:trPr>
          <w:cantSplit/>
        </w:trPr>
        <w:tc>
          <w:tcPr>
            <w:tcW w:w="311" w:type="pct"/>
            <w:hideMark/>
          </w:tcPr>
          <w:p w14:paraId="1EDF53FB" w14:textId="77777777" w:rsidR="00BD5588" w:rsidRPr="00917588" w:rsidRDefault="00BD5588" w:rsidP="00BA0575">
            <w:pPr>
              <w:jc w:val="center"/>
              <w:rPr>
                <w:sz w:val="22"/>
                <w:szCs w:val="22"/>
              </w:rPr>
            </w:pPr>
            <w:r w:rsidRPr="00917588">
              <w:rPr>
                <w:sz w:val="22"/>
                <w:szCs w:val="22"/>
              </w:rPr>
              <w:t>2.</w:t>
            </w:r>
          </w:p>
        </w:tc>
        <w:tc>
          <w:tcPr>
            <w:tcW w:w="1479" w:type="pct"/>
            <w:hideMark/>
          </w:tcPr>
          <w:p w14:paraId="78A59780" w14:textId="77777777" w:rsidR="00BD5588" w:rsidRPr="00917588" w:rsidRDefault="00BD5588" w:rsidP="00BA0575">
            <w:pPr>
              <w:rPr>
                <w:sz w:val="22"/>
                <w:szCs w:val="22"/>
              </w:rPr>
            </w:pPr>
            <w:r w:rsidRPr="00917588">
              <w:rPr>
                <w:sz w:val="22"/>
                <w:szCs w:val="22"/>
              </w:rPr>
              <w:t>Tiesiskā regulējuma ietekme uz tautsaimniecību un administratīvo slogu</w:t>
            </w:r>
          </w:p>
        </w:tc>
        <w:tc>
          <w:tcPr>
            <w:tcW w:w="3210" w:type="pct"/>
            <w:hideMark/>
          </w:tcPr>
          <w:p w14:paraId="03B2091B" w14:textId="77777777" w:rsidR="00461626" w:rsidRPr="00917588" w:rsidRDefault="00461626" w:rsidP="004E5FF0">
            <w:pPr>
              <w:shd w:val="clear" w:color="auto" w:fill="FFFFFF"/>
              <w:jc w:val="both"/>
              <w:rPr>
                <w:sz w:val="22"/>
                <w:szCs w:val="22"/>
              </w:rPr>
            </w:pPr>
            <w:r w:rsidRPr="00917588">
              <w:rPr>
                <w:sz w:val="22"/>
                <w:szCs w:val="22"/>
              </w:rPr>
              <w:t xml:space="preserve">Darbības programma kopumā pozitīvi ietekmē visas tautsaimniecības jomas. </w:t>
            </w:r>
          </w:p>
          <w:p w14:paraId="6014112C" w14:textId="77777777" w:rsidR="00461626" w:rsidRPr="00917588" w:rsidRDefault="00461626" w:rsidP="00DD0091">
            <w:pPr>
              <w:shd w:val="clear" w:color="auto" w:fill="FFFFFF"/>
              <w:jc w:val="both"/>
              <w:rPr>
                <w:sz w:val="22"/>
                <w:szCs w:val="22"/>
              </w:rPr>
            </w:pPr>
            <w:r w:rsidRPr="00917588">
              <w:rPr>
                <w:sz w:val="22"/>
                <w:szCs w:val="22"/>
              </w:rPr>
              <w:t xml:space="preserve">Detalizētāki nosacījumi tiks ietverti attiecīgajos MK noteikumos par SAM un pasākumu īstenošanu, kurus skars rīkojuma projektā ietvertie grozījumi. </w:t>
            </w:r>
          </w:p>
          <w:p w14:paraId="7CE39FF2" w14:textId="77777777" w:rsidR="00BD5588" w:rsidRPr="00917588" w:rsidRDefault="00461626" w:rsidP="00DD0091">
            <w:pPr>
              <w:jc w:val="both"/>
              <w:rPr>
                <w:sz w:val="22"/>
                <w:szCs w:val="22"/>
              </w:rPr>
            </w:pPr>
            <w:r w:rsidRPr="00917588">
              <w:rPr>
                <w:sz w:val="22"/>
                <w:szCs w:val="22"/>
              </w:rPr>
              <w:t>Sabiedrības grupām un institūcijām projekta tiesiskais regulējums nemaina tiesības un pienākumus, kā arī veicamās darbības.</w:t>
            </w:r>
          </w:p>
        </w:tc>
      </w:tr>
      <w:tr w:rsidR="00BD5588" w:rsidRPr="00917588" w14:paraId="6C6D2E24" w14:textId="77777777" w:rsidTr="009E0502">
        <w:trPr>
          <w:cantSplit/>
        </w:trPr>
        <w:tc>
          <w:tcPr>
            <w:tcW w:w="311" w:type="pct"/>
            <w:hideMark/>
          </w:tcPr>
          <w:p w14:paraId="055B3BFB" w14:textId="77777777" w:rsidR="00BD5588" w:rsidRPr="00917588" w:rsidRDefault="00BD5588" w:rsidP="00BA0575">
            <w:pPr>
              <w:jc w:val="center"/>
              <w:rPr>
                <w:sz w:val="22"/>
                <w:szCs w:val="22"/>
              </w:rPr>
            </w:pPr>
            <w:r w:rsidRPr="00917588">
              <w:rPr>
                <w:sz w:val="22"/>
                <w:szCs w:val="22"/>
              </w:rPr>
              <w:t>3.</w:t>
            </w:r>
          </w:p>
        </w:tc>
        <w:tc>
          <w:tcPr>
            <w:tcW w:w="1479" w:type="pct"/>
            <w:hideMark/>
          </w:tcPr>
          <w:p w14:paraId="1818C0A3" w14:textId="77777777" w:rsidR="00BD5588" w:rsidRPr="00917588" w:rsidRDefault="00BD5588" w:rsidP="00BA0575">
            <w:pPr>
              <w:rPr>
                <w:sz w:val="22"/>
                <w:szCs w:val="22"/>
              </w:rPr>
            </w:pPr>
            <w:r w:rsidRPr="00917588">
              <w:rPr>
                <w:sz w:val="22"/>
                <w:szCs w:val="22"/>
              </w:rPr>
              <w:t>Administratīvo izmaksu monetārs novērtējums</w:t>
            </w:r>
          </w:p>
        </w:tc>
        <w:tc>
          <w:tcPr>
            <w:tcW w:w="3210" w:type="pct"/>
            <w:hideMark/>
          </w:tcPr>
          <w:p w14:paraId="08A2E664" w14:textId="77777777" w:rsidR="00BD5588" w:rsidRPr="00917588" w:rsidRDefault="00461626" w:rsidP="004E5FF0">
            <w:pPr>
              <w:rPr>
                <w:sz w:val="22"/>
                <w:szCs w:val="22"/>
              </w:rPr>
            </w:pPr>
            <w:r w:rsidRPr="00917588">
              <w:rPr>
                <w:sz w:val="22"/>
                <w:szCs w:val="22"/>
              </w:rPr>
              <w:t>Projekts šo jomu neskar.</w:t>
            </w:r>
          </w:p>
        </w:tc>
      </w:tr>
      <w:tr w:rsidR="00BD5588" w:rsidRPr="00917588" w14:paraId="0F183BA7" w14:textId="77777777" w:rsidTr="009E0502">
        <w:trPr>
          <w:cantSplit/>
        </w:trPr>
        <w:tc>
          <w:tcPr>
            <w:tcW w:w="311" w:type="pct"/>
            <w:hideMark/>
          </w:tcPr>
          <w:p w14:paraId="3390148A" w14:textId="77777777" w:rsidR="00BD5588" w:rsidRPr="00917588" w:rsidRDefault="00BD5588" w:rsidP="00BA0575">
            <w:pPr>
              <w:jc w:val="center"/>
              <w:rPr>
                <w:sz w:val="22"/>
                <w:szCs w:val="22"/>
              </w:rPr>
            </w:pPr>
            <w:r w:rsidRPr="00917588">
              <w:rPr>
                <w:sz w:val="22"/>
                <w:szCs w:val="22"/>
              </w:rPr>
              <w:t>4.</w:t>
            </w:r>
          </w:p>
        </w:tc>
        <w:tc>
          <w:tcPr>
            <w:tcW w:w="1479" w:type="pct"/>
            <w:hideMark/>
          </w:tcPr>
          <w:p w14:paraId="3970B68B" w14:textId="77777777" w:rsidR="00BD5588" w:rsidRPr="00917588" w:rsidRDefault="00BD5588" w:rsidP="00BA0575">
            <w:pPr>
              <w:rPr>
                <w:sz w:val="22"/>
                <w:szCs w:val="22"/>
              </w:rPr>
            </w:pPr>
            <w:r w:rsidRPr="00917588">
              <w:rPr>
                <w:sz w:val="22"/>
                <w:szCs w:val="22"/>
              </w:rPr>
              <w:t>Atbilstības izmaksu monetārs novērtējums</w:t>
            </w:r>
          </w:p>
        </w:tc>
        <w:tc>
          <w:tcPr>
            <w:tcW w:w="3210" w:type="pct"/>
            <w:hideMark/>
          </w:tcPr>
          <w:p w14:paraId="3417C61E" w14:textId="7CB220A1" w:rsidR="00BD5588" w:rsidRPr="00917588" w:rsidRDefault="001B562B" w:rsidP="004E5FF0">
            <w:pPr>
              <w:rPr>
                <w:sz w:val="22"/>
                <w:szCs w:val="22"/>
                <w:highlight w:val="yellow"/>
              </w:rPr>
            </w:pPr>
            <w:r w:rsidRPr="00917588">
              <w:rPr>
                <w:sz w:val="22"/>
                <w:szCs w:val="22"/>
              </w:rPr>
              <w:t>Projekts šo jomu neskar.</w:t>
            </w:r>
          </w:p>
        </w:tc>
      </w:tr>
      <w:tr w:rsidR="00BD5588" w:rsidRPr="00917588" w14:paraId="50BF9763" w14:textId="77777777" w:rsidTr="009E0502">
        <w:trPr>
          <w:cantSplit/>
        </w:trPr>
        <w:tc>
          <w:tcPr>
            <w:tcW w:w="311" w:type="pct"/>
            <w:hideMark/>
          </w:tcPr>
          <w:p w14:paraId="2FB52579" w14:textId="77777777" w:rsidR="00BD5588" w:rsidRPr="00917588" w:rsidRDefault="00BD5588" w:rsidP="00BA0575">
            <w:pPr>
              <w:jc w:val="center"/>
              <w:rPr>
                <w:sz w:val="22"/>
                <w:szCs w:val="22"/>
              </w:rPr>
            </w:pPr>
            <w:r w:rsidRPr="00917588">
              <w:rPr>
                <w:sz w:val="22"/>
                <w:szCs w:val="22"/>
              </w:rPr>
              <w:t>5.</w:t>
            </w:r>
          </w:p>
        </w:tc>
        <w:tc>
          <w:tcPr>
            <w:tcW w:w="1479" w:type="pct"/>
            <w:hideMark/>
          </w:tcPr>
          <w:p w14:paraId="536B6873" w14:textId="77777777" w:rsidR="00BD5588" w:rsidRPr="00917588" w:rsidRDefault="00BD5588" w:rsidP="00BA0575">
            <w:pPr>
              <w:rPr>
                <w:sz w:val="22"/>
                <w:szCs w:val="22"/>
              </w:rPr>
            </w:pPr>
            <w:r w:rsidRPr="00917588">
              <w:rPr>
                <w:sz w:val="22"/>
                <w:szCs w:val="22"/>
              </w:rPr>
              <w:t>Cita informācija</w:t>
            </w:r>
          </w:p>
        </w:tc>
        <w:tc>
          <w:tcPr>
            <w:tcW w:w="3210" w:type="pct"/>
            <w:hideMark/>
          </w:tcPr>
          <w:p w14:paraId="5A92E748" w14:textId="77777777" w:rsidR="00BD5588" w:rsidRPr="00917588" w:rsidRDefault="00461626" w:rsidP="00BA0575">
            <w:pPr>
              <w:rPr>
                <w:sz w:val="22"/>
                <w:szCs w:val="22"/>
              </w:rPr>
            </w:pPr>
            <w:r w:rsidRPr="00917588">
              <w:rPr>
                <w:sz w:val="22"/>
                <w:szCs w:val="22"/>
              </w:rPr>
              <w:t>Nav.</w:t>
            </w:r>
          </w:p>
        </w:tc>
      </w:tr>
    </w:tbl>
    <w:p w14:paraId="611F8FD3" w14:textId="77777777" w:rsidR="00BD5588" w:rsidRPr="00917588" w:rsidRDefault="00BD5588" w:rsidP="00DD0091">
      <w:pPr>
        <w:pStyle w:val="Title"/>
        <w:spacing w:before="130"/>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917588" w14:paraId="4CFEDF35" w14:textId="77777777" w:rsidTr="0083707D">
        <w:trPr>
          <w:cantSplit/>
        </w:trPr>
        <w:tc>
          <w:tcPr>
            <w:tcW w:w="8299" w:type="dxa"/>
            <w:shd w:val="clear" w:color="auto" w:fill="auto"/>
            <w:vAlign w:val="center"/>
            <w:hideMark/>
          </w:tcPr>
          <w:p w14:paraId="5332554A" w14:textId="77777777" w:rsidR="00BD5588" w:rsidRPr="00917588" w:rsidRDefault="00BD5588" w:rsidP="00BA0575">
            <w:pPr>
              <w:jc w:val="center"/>
              <w:rPr>
                <w:b/>
                <w:bCs/>
                <w:sz w:val="22"/>
                <w:szCs w:val="22"/>
                <w:lang w:eastAsia="en-US"/>
              </w:rPr>
            </w:pPr>
            <w:r w:rsidRPr="00917588">
              <w:rPr>
                <w:b/>
                <w:bCs/>
                <w:sz w:val="22"/>
                <w:szCs w:val="22"/>
                <w:lang w:eastAsia="en-US"/>
              </w:rPr>
              <w:lastRenderedPageBreak/>
              <w:t>III. Tiesību akta projekta ietekme uz valsts budžetu un pašvaldību budžetiem</w:t>
            </w:r>
          </w:p>
        </w:tc>
      </w:tr>
      <w:tr w:rsidR="0083707D" w:rsidRPr="00917588" w14:paraId="0A464073" w14:textId="77777777" w:rsidTr="009778EB">
        <w:tblPrEx>
          <w:tblCellMar>
            <w:top w:w="30" w:type="dxa"/>
            <w:left w:w="30" w:type="dxa"/>
            <w:bottom w:w="30" w:type="dxa"/>
            <w:right w:w="30" w:type="dxa"/>
          </w:tblCellMar>
        </w:tblPrEx>
        <w:trPr>
          <w:cantSplit/>
        </w:trPr>
        <w:tc>
          <w:tcPr>
            <w:tcW w:w="8299" w:type="dxa"/>
            <w:hideMark/>
          </w:tcPr>
          <w:p w14:paraId="68C5E099" w14:textId="2AAEE8B5" w:rsidR="0083707D" w:rsidRPr="00917588" w:rsidRDefault="0083707D" w:rsidP="00BA0575">
            <w:pPr>
              <w:jc w:val="both"/>
              <w:rPr>
                <w:sz w:val="22"/>
                <w:szCs w:val="22"/>
              </w:rPr>
            </w:pPr>
            <w:r w:rsidRPr="00917588">
              <w:rPr>
                <w:sz w:val="22"/>
                <w:szCs w:val="22"/>
              </w:rPr>
              <w:t xml:space="preserve">Tieša ietekme uz valsts un pašvaldību budžetiem tiks vērtēta, izstrādājot vai nepieciešamības gadījumā precizējot MK noteikumus par </w:t>
            </w:r>
            <w:r w:rsidR="005E61EE" w:rsidRPr="00917588">
              <w:rPr>
                <w:sz w:val="22"/>
                <w:szCs w:val="22"/>
              </w:rPr>
              <w:t>SAM</w:t>
            </w:r>
            <w:r w:rsidRPr="00917588">
              <w:rPr>
                <w:sz w:val="22"/>
                <w:szCs w:val="22"/>
              </w:rPr>
              <w:t xml:space="preserve"> vai to pasākumu īstenošanu, kurus skars grozījumi darbības programmā. </w:t>
            </w:r>
          </w:p>
        </w:tc>
      </w:tr>
    </w:tbl>
    <w:p w14:paraId="442340B6" w14:textId="77777777" w:rsidR="00BD5588" w:rsidRPr="00917588" w:rsidRDefault="00BD5588" w:rsidP="00DD0091">
      <w:pPr>
        <w:pStyle w:val="Title"/>
        <w:spacing w:before="130"/>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83707D" w:rsidRPr="00917588" w14:paraId="33ED046F" w14:textId="77777777" w:rsidTr="00255CA2">
        <w:tc>
          <w:tcPr>
            <w:tcW w:w="8299" w:type="dxa"/>
            <w:gridSpan w:val="3"/>
            <w:vAlign w:val="center"/>
            <w:hideMark/>
          </w:tcPr>
          <w:p w14:paraId="17766428" w14:textId="77777777" w:rsidR="0083707D" w:rsidRPr="00917588" w:rsidRDefault="0083707D" w:rsidP="00BA0575">
            <w:pPr>
              <w:jc w:val="center"/>
              <w:rPr>
                <w:b/>
                <w:bCs/>
                <w:sz w:val="22"/>
                <w:szCs w:val="22"/>
              </w:rPr>
            </w:pPr>
            <w:r w:rsidRPr="00917588">
              <w:rPr>
                <w:b/>
                <w:bCs/>
                <w:sz w:val="22"/>
                <w:szCs w:val="22"/>
              </w:rPr>
              <w:t>IV. Tiesību akta projekta ietekme uz spēkā esošo tiesību normu sistēmu</w:t>
            </w:r>
          </w:p>
        </w:tc>
      </w:tr>
      <w:tr w:rsidR="0083707D" w:rsidRPr="00917588" w14:paraId="484F5995" w14:textId="77777777" w:rsidTr="00255CA2">
        <w:tc>
          <w:tcPr>
            <w:tcW w:w="524" w:type="dxa"/>
            <w:hideMark/>
          </w:tcPr>
          <w:p w14:paraId="26CFEF1E" w14:textId="77777777" w:rsidR="0083707D" w:rsidRPr="00917588" w:rsidRDefault="0083707D" w:rsidP="00BA0575">
            <w:pPr>
              <w:jc w:val="center"/>
              <w:rPr>
                <w:sz w:val="22"/>
                <w:szCs w:val="22"/>
              </w:rPr>
            </w:pPr>
            <w:r w:rsidRPr="00917588">
              <w:rPr>
                <w:sz w:val="22"/>
                <w:szCs w:val="22"/>
              </w:rPr>
              <w:t>1.</w:t>
            </w:r>
          </w:p>
        </w:tc>
        <w:tc>
          <w:tcPr>
            <w:tcW w:w="2441" w:type="dxa"/>
            <w:hideMark/>
          </w:tcPr>
          <w:p w14:paraId="12150EBE" w14:textId="77777777" w:rsidR="0083707D" w:rsidRPr="00917588" w:rsidRDefault="0083707D" w:rsidP="004E5FF0">
            <w:pPr>
              <w:rPr>
                <w:sz w:val="22"/>
                <w:szCs w:val="22"/>
              </w:rPr>
            </w:pPr>
            <w:r w:rsidRPr="00917588">
              <w:rPr>
                <w:sz w:val="22"/>
                <w:szCs w:val="22"/>
              </w:rPr>
              <w:t>Saistītie tiesību aktu projekti</w:t>
            </w:r>
          </w:p>
        </w:tc>
        <w:tc>
          <w:tcPr>
            <w:tcW w:w="5334" w:type="dxa"/>
            <w:hideMark/>
          </w:tcPr>
          <w:p w14:paraId="4CE35561" w14:textId="4C0BDB55" w:rsidR="00DC055D" w:rsidRPr="00917588" w:rsidRDefault="00A74089" w:rsidP="00B5642A">
            <w:pPr>
              <w:ind w:right="44"/>
              <w:jc w:val="both"/>
              <w:rPr>
                <w:sz w:val="22"/>
                <w:szCs w:val="22"/>
              </w:rPr>
            </w:pPr>
            <w:r w:rsidRPr="00917588">
              <w:rPr>
                <w:sz w:val="22"/>
                <w:szCs w:val="22"/>
              </w:rPr>
              <w:t xml:space="preserve">Ņemot vērā darbības programmā ierosinātās izmaiņas, pēc to iesniegšanas un saskaņošanas EK attiecīgas izmaiņas būs veicamas arī MK noteikumos par SAM un pasākumu īstenošanu, kurus skars grozījumi darbības programmā, attiecīgi atbildīgajām institūcijām veicot </w:t>
            </w:r>
            <w:r w:rsidR="00235BB5" w:rsidRPr="00917588">
              <w:rPr>
                <w:sz w:val="22"/>
                <w:szCs w:val="22"/>
              </w:rPr>
              <w:t>izrieto</w:t>
            </w:r>
            <w:r w:rsidR="00A85168" w:rsidRPr="00917588">
              <w:rPr>
                <w:sz w:val="22"/>
                <w:szCs w:val="22"/>
              </w:rPr>
              <w:t>šu</w:t>
            </w:r>
            <w:r w:rsidR="00235BB5" w:rsidRPr="00917588">
              <w:rPr>
                <w:sz w:val="22"/>
                <w:szCs w:val="22"/>
              </w:rPr>
              <w:t xml:space="preserve">s </w:t>
            </w:r>
            <w:r w:rsidRPr="00917588">
              <w:rPr>
                <w:sz w:val="22"/>
                <w:szCs w:val="22"/>
              </w:rPr>
              <w:t>grozījumus MK noteikumos par SAM un pasākumu īstenošanu</w:t>
            </w:r>
            <w:r w:rsidR="00235BB5" w:rsidRPr="00917588">
              <w:rPr>
                <w:sz w:val="22"/>
                <w:szCs w:val="22"/>
              </w:rPr>
              <w:t>.</w:t>
            </w:r>
          </w:p>
        </w:tc>
      </w:tr>
      <w:tr w:rsidR="0083707D" w:rsidRPr="00917588" w14:paraId="68406200" w14:textId="77777777" w:rsidTr="00255CA2">
        <w:tc>
          <w:tcPr>
            <w:tcW w:w="524" w:type="dxa"/>
            <w:hideMark/>
          </w:tcPr>
          <w:p w14:paraId="272C7FD3" w14:textId="77777777" w:rsidR="0083707D" w:rsidRPr="00917588" w:rsidRDefault="0083707D" w:rsidP="00BA0575">
            <w:pPr>
              <w:jc w:val="center"/>
              <w:rPr>
                <w:sz w:val="22"/>
                <w:szCs w:val="22"/>
              </w:rPr>
            </w:pPr>
            <w:r w:rsidRPr="00917588">
              <w:rPr>
                <w:sz w:val="22"/>
                <w:szCs w:val="22"/>
              </w:rPr>
              <w:t>2.</w:t>
            </w:r>
          </w:p>
        </w:tc>
        <w:tc>
          <w:tcPr>
            <w:tcW w:w="2441" w:type="dxa"/>
            <w:hideMark/>
          </w:tcPr>
          <w:p w14:paraId="71307B32" w14:textId="77777777" w:rsidR="0083707D" w:rsidRPr="00917588" w:rsidRDefault="0083707D" w:rsidP="004E5FF0">
            <w:pPr>
              <w:rPr>
                <w:sz w:val="22"/>
                <w:szCs w:val="22"/>
              </w:rPr>
            </w:pPr>
            <w:r w:rsidRPr="00917588">
              <w:rPr>
                <w:sz w:val="22"/>
                <w:szCs w:val="22"/>
              </w:rPr>
              <w:t>Atbildīgā institūcija</w:t>
            </w:r>
          </w:p>
        </w:tc>
        <w:tc>
          <w:tcPr>
            <w:tcW w:w="5334" w:type="dxa"/>
            <w:hideMark/>
          </w:tcPr>
          <w:p w14:paraId="6BF31A2F" w14:textId="0B2BA9FF" w:rsidR="0083707D" w:rsidRPr="00917588" w:rsidRDefault="0083707D" w:rsidP="00DD0091">
            <w:pPr>
              <w:rPr>
                <w:sz w:val="22"/>
                <w:szCs w:val="22"/>
              </w:rPr>
            </w:pPr>
            <w:r w:rsidRPr="00917588">
              <w:rPr>
                <w:sz w:val="22"/>
                <w:szCs w:val="22"/>
              </w:rPr>
              <w:t>Finanšu ministr</w:t>
            </w:r>
            <w:r w:rsidR="00B44450" w:rsidRPr="00917588">
              <w:rPr>
                <w:sz w:val="22"/>
                <w:szCs w:val="22"/>
              </w:rPr>
              <w:t>ija</w:t>
            </w:r>
            <w:r w:rsidR="000A1590" w:rsidRPr="00917588">
              <w:rPr>
                <w:sz w:val="22"/>
                <w:szCs w:val="22"/>
              </w:rPr>
              <w:t>.</w:t>
            </w:r>
          </w:p>
        </w:tc>
      </w:tr>
      <w:tr w:rsidR="0083707D" w:rsidRPr="00917588" w14:paraId="3A5C3C8D" w14:textId="77777777" w:rsidTr="00255CA2">
        <w:tc>
          <w:tcPr>
            <w:tcW w:w="524" w:type="dxa"/>
            <w:hideMark/>
          </w:tcPr>
          <w:p w14:paraId="08FC8D9E" w14:textId="77777777" w:rsidR="0083707D" w:rsidRPr="00917588" w:rsidRDefault="0083707D" w:rsidP="00BA0575">
            <w:pPr>
              <w:jc w:val="center"/>
              <w:rPr>
                <w:sz w:val="22"/>
                <w:szCs w:val="22"/>
              </w:rPr>
            </w:pPr>
            <w:r w:rsidRPr="00917588">
              <w:rPr>
                <w:sz w:val="22"/>
                <w:szCs w:val="22"/>
              </w:rPr>
              <w:t>3.</w:t>
            </w:r>
          </w:p>
        </w:tc>
        <w:tc>
          <w:tcPr>
            <w:tcW w:w="2441" w:type="dxa"/>
            <w:hideMark/>
          </w:tcPr>
          <w:p w14:paraId="5BD1A44A" w14:textId="77777777" w:rsidR="0083707D" w:rsidRPr="00917588" w:rsidRDefault="0083707D" w:rsidP="004E5FF0">
            <w:pPr>
              <w:rPr>
                <w:sz w:val="22"/>
                <w:szCs w:val="22"/>
              </w:rPr>
            </w:pPr>
            <w:r w:rsidRPr="00917588">
              <w:rPr>
                <w:sz w:val="22"/>
                <w:szCs w:val="22"/>
              </w:rPr>
              <w:t>Cita informācija</w:t>
            </w:r>
          </w:p>
        </w:tc>
        <w:tc>
          <w:tcPr>
            <w:tcW w:w="5334" w:type="dxa"/>
            <w:hideMark/>
          </w:tcPr>
          <w:p w14:paraId="14988613" w14:textId="5B4BEF64" w:rsidR="0083707D" w:rsidRPr="00917588" w:rsidRDefault="00B44450" w:rsidP="00DD0091">
            <w:pPr>
              <w:rPr>
                <w:sz w:val="22"/>
                <w:szCs w:val="22"/>
              </w:rPr>
            </w:pPr>
            <w:r w:rsidRPr="00917588">
              <w:rPr>
                <w:sz w:val="22"/>
                <w:szCs w:val="22"/>
              </w:rPr>
              <w:t>Nav</w:t>
            </w:r>
            <w:r w:rsidR="000A1590" w:rsidRPr="00917588">
              <w:rPr>
                <w:sz w:val="22"/>
                <w:szCs w:val="22"/>
              </w:rPr>
              <w:t>.</w:t>
            </w:r>
          </w:p>
        </w:tc>
      </w:tr>
    </w:tbl>
    <w:p w14:paraId="59CB1822" w14:textId="49B2DC23" w:rsidR="00BD5588" w:rsidRPr="00917588" w:rsidRDefault="00BD5588" w:rsidP="00DD0091">
      <w:pPr>
        <w:pStyle w:val="Title"/>
        <w:spacing w:before="130"/>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B4398" w:rsidRPr="00917588" w14:paraId="0AF3C2DD" w14:textId="77777777" w:rsidTr="003B7782">
        <w:trPr>
          <w:cantSplit/>
        </w:trPr>
        <w:tc>
          <w:tcPr>
            <w:tcW w:w="8296" w:type="dxa"/>
            <w:vAlign w:val="center"/>
            <w:hideMark/>
          </w:tcPr>
          <w:p w14:paraId="0705F77A" w14:textId="77777777" w:rsidR="006B4398" w:rsidRPr="00917588" w:rsidRDefault="006B4398" w:rsidP="00BA0575">
            <w:pPr>
              <w:jc w:val="center"/>
              <w:rPr>
                <w:b/>
                <w:bCs/>
                <w:sz w:val="22"/>
                <w:szCs w:val="22"/>
              </w:rPr>
            </w:pPr>
            <w:r w:rsidRPr="00917588">
              <w:rPr>
                <w:b/>
                <w:bCs/>
                <w:sz w:val="22"/>
                <w:szCs w:val="22"/>
              </w:rPr>
              <w:t>V. Tiesību akta projekta atbilstība Latvijas Republikas starptautiskajām saistībām</w:t>
            </w:r>
          </w:p>
        </w:tc>
      </w:tr>
      <w:tr w:rsidR="006B4398" w:rsidRPr="00917588" w14:paraId="15A04772" w14:textId="77777777" w:rsidTr="003B7782">
        <w:trPr>
          <w:cantSplit/>
        </w:trPr>
        <w:tc>
          <w:tcPr>
            <w:tcW w:w="8296" w:type="dxa"/>
            <w:hideMark/>
          </w:tcPr>
          <w:p w14:paraId="44874CF6" w14:textId="74DF9953" w:rsidR="006B4398" w:rsidRPr="00917588" w:rsidRDefault="006B4398" w:rsidP="00BA0575">
            <w:pPr>
              <w:jc w:val="center"/>
              <w:rPr>
                <w:sz w:val="22"/>
                <w:szCs w:val="22"/>
              </w:rPr>
            </w:pPr>
            <w:r w:rsidRPr="00917588">
              <w:rPr>
                <w:sz w:val="22"/>
                <w:szCs w:val="22"/>
              </w:rPr>
              <w:t>Projekts šo jomu neskar</w:t>
            </w:r>
            <w:r w:rsidR="00004842">
              <w:rPr>
                <w:sz w:val="22"/>
                <w:szCs w:val="22"/>
              </w:rPr>
              <w:t>.</w:t>
            </w:r>
          </w:p>
        </w:tc>
      </w:tr>
    </w:tbl>
    <w:p w14:paraId="6DB3F92A" w14:textId="27F0CFAC" w:rsidR="006B4398" w:rsidRPr="00917588" w:rsidRDefault="006B4398" w:rsidP="00DD0091">
      <w:pPr>
        <w:pStyle w:val="Title"/>
        <w:spacing w:before="130"/>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917588" w14:paraId="76C3A82A" w14:textId="77777777" w:rsidTr="009E0502">
        <w:trPr>
          <w:cantSplit/>
        </w:trPr>
        <w:tc>
          <w:tcPr>
            <w:tcW w:w="5000" w:type="pct"/>
            <w:gridSpan w:val="3"/>
            <w:vAlign w:val="center"/>
            <w:hideMark/>
          </w:tcPr>
          <w:p w14:paraId="5F69BEA5" w14:textId="77777777" w:rsidR="00BD5588" w:rsidRPr="00917588" w:rsidRDefault="00BD5588" w:rsidP="00BA0575">
            <w:pPr>
              <w:jc w:val="center"/>
              <w:rPr>
                <w:b/>
                <w:bCs/>
                <w:sz w:val="22"/>
                <w:szCs w:val="22"/>
                <w:highlight w:val="yellow"/>
              </w:rPr>
            </w:pPr>
            <w:r w:rsidRPr="00917588">
              <w:rPr>
                <w:b/>
                <w:bCs/>
                <w:sz w:val="22"/>
                <w:szCs w:val="22"/>
              </w:rPr>
              <w:t>VI. Sabiedrības līdzdalība un komunikācijas aktivitātes</w:t>
            </w:r>
          </w:p>
        </w:tc>
      </w:tr>
      <w:tr w:rsidR="00BD5588" w:rsidRPr="00917588" w14:paraId="7B12AD9B" w14:textId="77777777" w:rsidTr="00641154">
        <w:trPr>
          <w:cantSplit/>
        </w:trPr>
        <w:tc>
          <w:tcPr>
            <w:tcW w:w="311" w:type="pct"/>
            <w:hideMark/>
          </w:tcPr>
          <w:p w14:paraId="4B17467F" w14:textId="77777777" w:rsidR="00BD5588" w:rsidRPr="00917588" w:rsidRDefault="00BD5588" w:rsidP="00BA0575">
            <w:pPr>
              <w:jc w:val="center"/>
              <w:rPr>
                <w:sz w:val="22"/>
                <w:szCs w:val="22"/>
              </w:rPr>
            </w:pPr>
            <w:r w:rsidRPr="00917588">
              <w:rPr>
                <w:sz w:val="22"/>
                <w:szCs w:val="22"/>
              </w:rPr>
              <w:t>1.</w:t>
            </w:r>
          </w:p>
        </w:tc>
        <w:tc>
          <w:tcPr>
            <w:tcW w:w="1479" w:type="pct"/>
            <w:shd w:val="clear" w:color="auto" w:fill="auto"/>
            <w:hideMark/>
          </w:tcPr>
          <w:p w14:paraId="56F85E10" w14:textId="77777777" w:rsidR="00BD5588" w:rsidRPr="00917588" w:rsidRDefault="00BD5588" w:rsidP="004E5FF0">
            <w:pPr>
              <w:rPr>
                <w:sz w:val="22"/>
                <w:szCs w:val="22"/>
              </w:rPr>
            </w:pPr>
            <w:r w:rsidRPr="00917588">
              <w:rPr>
                <w:sz w:val="22"/>
                <w:szCs w:val="22"/>
              </w:rPr>
              <w:t>Plānotās sabiedrības līdzdalības un komunikācijas aktivitātes saistībā ar projektu</w:t>
            </w:r>
          </w:p>
        </w:tc>
        <w:tc>
          <w:tcPr>
            <w:tcW w:w="3210" w:type="pct"/>
            <w:shd w:val="clear" w:color="auto" w:fill="auto"/>
            <w:hideMark/>
          </w:tcPr>
          <w:p w14:paraId="4CBE9DB4" w14:textId="77777777" w:rsidR="0084702D" w:rsidRPr="00917588" w:rsidRDefault="0084702D" w:rsidP="00DD0091">
            <w:pPr>
              <w:pStyle w:val="ListParagraph"/>
              <w:numPr>
                <w:ilvl w:val="0"/>
                <w:numId w:val="5"/>
              </w:numPr>
              <w:spacing w:after="0" w:line="240" w:lineRule="auto"/>
              <w:ind w:left="394"/>
              <w:jc w:val="both"/>
              <w:rPr>
                <w:rFonts w:ascii="Times New Roman" w:hAnsi="Times New Roman" w:cs="Times New Roman"/>
              </w:rPr>
            </w:pPr>
            <w:r w:rsidRPr="00917588">
              <w:rPr>
                <w:rFonts w:ascii="Times New Roman" w:eastAsia="Times New Roman" w:hAnsi="Times New Roman" w:cs="Times New Roman"/>
              </w:rPr>
              <w:t xml:space="preserve">MK rīkojuma projekts publicēs tīmekļa vietnē </w:t>
            </w:r>
            <w:hyperlink r:id="rId8" w:history="1">
              <w:r w:rsidRPr="00917588">
                <w:rPr>
                  <w:rStyle w:val="Hyperlink"/>
                  <w:rFonts w:ascii="Times New Roman" w:eastAsia="Times New Roman" w:hAnsi="Times New Roman" w:cs="Times New Roman"/>
                </w:rPr>
                <w:t>www.esfondi.lv</w:t>
              </w:r>
            </w:hyperlink>
            <w:r w:rsidRPr="00917588">
              <w:rPr>
                <w:rFonts w:ascii="Times New Roman" w:eastAsia="Times New Roman" w:hAnsi="Times New Roman" w:cs="Times New Roman"/>
              </w:rPr>
              <w:t xml:space="preserve">. </w:t>
            </w:r>
          </w:p>
          <w:p w14:paraId="113D632F" w14:textId="54AD95D0" w:rsidR="00BD5588" w:rsidRPr="00917588" w:rsidRDefault="0084702D">
            <w:pPr>
              <w:pStyle w:val="ListParagraph"/>
              <w:numPr>
                <w:ilvl w:val="0"/>
                <w:numId w:val="5"/>
              </w:numPr>
              <w:spacing w:after="0" w:line="240" w:lineRule="auto"/>
              <w:ind w:left="394"/>
              <w:jc w:val="both"/>
              <w:rPr>
                <w:rFonts w:ascii="Times New Roman" w:hAnsi="Times New Roman" w:cs="Times New Roman"/>
              </w:rPr>
            </w:pPr>
            <w:r w:rsidRPr="00917588">
              <w:rPr>
                <w:rFonts w:ascii="Times New Roman" w:hAnsi="Times New Roman" w:cs="Times New Roman"/>
              </w:rPr>
              <w:t>D</w:t>
            </w:r>
            <w:r w:rsidR="00DD0091" w:rsidRPr="00917588">
              <w:rPr>
                <w:rFonts w:ascii="Times New Roman" w:hAnsi="Times New Roman" w:cs="Times New Roman"/>
              </w:rPr>
              <w:t>arbības programmas grozījum</w:t>
            </w:r>
            <w:r w:rsidRPr="00917588">
              <w:rPr>
                <w:rFonts w:ascii="Times New Roman" w:hAnsi="Times New Roman" w:cs="Times New Roman"/>
              </w:rPr>
              <w:t xml:space="preserve">i saskaņoti </w:t>
            </w:r>
            <w:r w:rsidR="00AE3564" w:rsidRPr="00917588">
              <w:rPr>
                <w:rFonts w:ascii="Times New Roman" w:hAnsi="Times New Roman" w:cs="Times New Roman"/>
              </w:rPr>
              <w:t>ES fondu 2014.–2020. gada plānošanas perioda uzraudzības</w:t>
            </w:r>
            <w:r w:rsidR="002F5146" w:rsidRPr="00917588">
              <w:rPr>
                <w:rFonts w:ascii="Times New Roman" w:hAnsi="Times New Roman" w:cs="Times New Roman"/>
              </w:rPr>
              <w:t xml:space="preserve"> komitejas rakstisk</w:t>
            </w:r>
            <w:r w:rsidR="00641154" w:rsidRPr="00917588">
              <w:rPr>
                <w:rFonts w:ascii="Times New Roman" w:hAnsi="Times New Roman" w:cs="Times New Roman"/>
              </w:rPr>
              <w:t>ā</w:t>
            </w:r>
            <w:r w:rsidR="002F5146" w:rsidRPr="00917588">
              <w:rPr>
                <w:rFonts w:ascii="Times New Roman" w:hAnsi="Times New Roman" w:cs="Times New Roman"/>
              </w:rPr>
              <w:t>s</w:t>
            </w:r>
            <w:r w:rsidR="00641154" w:rsidRPr="00917588">
              <w:rPr>
                <w:rFonts w:ascii="Times New Roman" w:hAnsi="Times New Roman" w:cs="Times New Roman"/>
              </w:rPr>
              <w:t xml:space="preserve"> procedūras ietvaros</w:t>
            </w:r>
            <w:r w:rsidR="007A743E" w:rsidRPr="00917588">
              <w:rPr>
                <w:rFonts w:ascii="Times New Roman" w:hAnsi="Times New Roman" w:cs="Times New Roman"/>
              </w:rPr>
              <w:t xml:space="preserve">, </w:t>
            </w:r>
            <w:r w:rsidR="00DD0091" w:rsidRPr="00917588">
              <w:rPr>
                <w:rFonts w:ascii="Times New Roman" w:hAnsi="Times New Roman" w:cs="Times New Roman"/>
              </w:rPr>
              <w:t xml:space="preserve">t. sk. </w:t>
            </w:r>
            <w:r w:rsidR="007A743E" w:rsidRPr="00917588">
              <w:rPr>
                <w:rFonts w:ascii="Times New Roman" w:hAnsi="Times New Roman" w:cs="Times New Roman"/>
              </w:rPr>
              <w:t>publicējot grozījumu pr</w:t>
            </w:r>
            <w:r w:rsidR="00862131" w:rsidRPr="00917588">
              <w:rPr>
                <w:rFonts w:ascii="Times New Roman" w:hAnsi="Times New Roman" w:cs="Times New Roman"/>
              </w:rPr>
              <w:t>iekšlikumu ES fondu 2014.–2020. </w:t>
            </w:r>
            <w:r w:rsidR="007A743E" w:rsidRPr="00917588">
              <w:rPr>
                <w:rFonts w:ascii="Times New Roman" w:hAnsi="Times New Roman" w:cs="Times New Roman"/>
              </w:rPr>
              <w:t xml:space="preserve">gada plānošanas perioda uzraudzības komitejas tīmekļa vietnē </w:t>
            </w:r>
            <w:hyperlink r:id="rId9" w:history="1">
              <w:r w:rsidR="007A743E" w:rsidRPr="00917588">
                <w:rPr>
                  <w:rStyle w:val="Hyperlink"/>
                  <w:rFonts w:ascii="Times New Roman" w:hAnsi="Times New Roman" w:cs="Times New Roman"/>
                </w:rPr>
                <w:t>https://komitejas.esfondi.lv</w:t>
              </w:r>
            </w:hyperlink>
            <w:r w:rsidRPr="00917588">
              <w:t>.</w:t>
            </w:r>
          </w:p>
        </w:tc>
      </w:tr>
      <w:tr w:rsidR="00641154" w:rsidRPr="00917588" w14:paraId="132D14B3" w14:textId="77777777" w:rsidTr="002D1644">
        <w:trPr>
          <w:cantSplit/>
        </w:trPr>
        <w:tc>
          <w:tcPr>
            <w:tcW w:w="311" w:type="pct"/>
            <w:shd w:val="clear" w:color="auto" w:fill="auto"/>
            <w:hideMark/>
          </w:tcPr>
          <w:p w14:paraId="169B019B" w14:textId="77777777" w:rsidR="00641154" w:rsidRPr="00917588" w:rsidRDefault="00641154" w:rsidP="00BA0575">
            <w:pPr>
              <w:jc w:val="center"/>
              <w:rPr>
                <w:sz w:val="22"/>
                <w:szCs w:val="22"/>
              </w:rPr>
            </w:pPr>
            <w:r w:rsidRPr="00917588">
              <w:rPr>
                <w:sz w:val="22"/>
                <w:szCs w:val="22"/>
              </w:rPr>
              <w:t>2.</w:t>
            </w:r>
          </w:p>
        </w:tc>
        <w:tc>
          <w:tcPr>
            <w:tcW w:w="1479" w:type="pct"/>
            <w:shd w:val="clear" w:color="auto" w:fill="auto"/>
            <w:hideMark/>
          </w:tcPr>
          <w:p w14:paraId="5399592B" w14:textId="77777777" w:rsidR="00641154" w:rsidRPr="00917588" w:rsidRDefault="00641154" w:rsidP="004E5FF0">
            <w:pPr>
              <w:rPr>
                <w:sz w:val="22"/>
                <w:szCs w:val="22"/>
              </w:rPr>
            </w:pPr>
            <w:r w:rsidRPr="00917588">
              <w:rPr>
                <w:sz w:val="22"/>
                <w:szCs w:val="22"/>
              </w:rPr>
              <w:t>Sabiedrības līdzdalība projekta izstrādē</w:t>
            </w:r>
          </w:p>
        </w:tc>
        <w:tc>
          <w:tcPr>
            <w:tcW w:w="3210" w:type="pct"/>
            <w:shd w:val="clear" w:color="auto" w:fill="auto"/>
            <w:hideMark/>
          </w:tcPr>
          <w:p w14:paraId="0D81F4FF" w14:textId="59C39B2B" w:rsidR="00DD0091" w:rsidRPr="00917588" w:rsidRDefault="00641154" w:rsidP="00DD0091">
            <w:pPr>
              <w:ind w:right="44"/>
              <w:jc w:val="both"/>
              <w:rPr>
                <w:sz w:val="22"/>
                <w:szCs w:val="22"/>
              </w:rPr>
            </w:pPr>
            <w:r w:rsidRPr="00917588">
              <w:rPr>
                <w:sz w:val="22"/>
                <w:szCs w:val="22"/>
              </w:rPr>
              <w:t xml:space="preserve">Sabiedrības līdzdalība </w:t>
            </w:r>
            <w:r w:rsidR="00DD0091" w:rsidRPr="00917588">
              <w:rPr>
                <w:sz w:val="22"/>
                <w:szCs w:val="22"/>
              </w:rPr>
              <w:t xml:space="preserve">tika </w:t>
            </w:r>
            <w:r w:rsidRPr="00917588">
              <w:rPr>
                <w:sz w:val="22"/>
                <w:szCs w:val="22"/>
              </w:rPr>
              <w:t>nodrošināta</w:t>
            </w:r>
            <w:r w:rsidR="007A743E" w:rsidRPr="00917588">
              <w:rPr>
                <w:sz w:val="22"/>
                <w:szCs w:val="22"/>
              </w:rPr>
              <w:t>,</w:t>
            </w:r>
            <w:r w:rsidRPr="00917588">
              <w:rPr>
                <w:sz w:val="22"/>
                <w:szCs w:val="22"/>
              </w:rPr>
              <w:t xml:space="preserve"> </w:t>
            </w:r>
            <w:r w:rsidR="007A743E" w:rsidRPr="00917588">
              <w:rPr>
                <w:sz w:val="22"/>
                <w:szCs w:val="22"/>
              </w:rPr>
              <w:t xml:space="preserve">saskaņojot </w:t>
            </w:r>
            <w:r w:rsidR="00DD0091" w:rsidRPr="00917588">
              <w:rPr>
                <w:sz w:val="22"/>
                <w:szCs w:val="22"/>
              </w:rPr>
              <w:t xml:space="preserve">darbības programmas </w:t>
            </w:r>
            <w:r w:rsidR="007A743E" w:rsidRPr="00917588">
              <w:rPr>
                <w:sz w:val="22"/>
                <w:szCs w:val="22"/>
              </w:rPr>
              <w:t xml:space="preserve">grozījumu priekšlikumu </w:t>
            </w:r>
            <w:r w:rsidR="00862131" w:rsidRPr="00917588">
              <w:rPr>
                <w:sz w:val="22"/>
                <w:szCs w:val="22"/>
              </w:rPr>
              <w:t>ES fondu</w:t>
            </w:r>
            <w:r w:rsidR="00DD0091" w:rsidRPr="00917588">
              <w:rPr>
                <w:sz w:val="22"/>
                <w:szCs w:val="22"/>
              </w:rPr>
              <w:t xml:space="preserve"> </w:t>
            </w:r>
            <w:r w:rsidR="00862131" w:rsidRPr="00917588">
              <w:rPr>
                <w:sz w:val="22"/>
                <w:szCs w:val="22"/>
              </w:rPr>
              <w:t>2014.–2020. </w:t>
            </w:r>
            <w:r w:rsidRPr="00917588">
              <w:rPr>
                <w:sz w:val="22"/>
                <w:szCs w:val="22"/>
              </w:rPr>
              <w:t>gada plānošanas perioda uzraudzības komitej</w:t>
            </w:r>
            <w:r w:rsidR="007A743E" w:rsidRPr="00917588">
              <w:rPr>
                <w:sz w:val="22"/>
                <w:szCs w:val="22"/>
              </w:rPr>
              <w:t>ā</w:t>
            </w:r>
            <w:r w:rsidR="000C3C66" w:rsidRPr="00917588">
              <w:rPr>
                <w:sz w:val="22"/>
                <w:szCs w:val="22"/>
              </w:rPr>
              <w:t>, kur pārstāvētas gan  nozares ministrijas, gan sociālie un sadarbības partneri,</w:t>
            </w:r>
            <w:r w:rsidR="007A743E" w:rsidRPr="00917588">
              <w:rPr>
                <w:sz w:val="22"/>
                <w:szCs w:val="22"/>
              </w:rPr>
              <w:t xml:space="preserve"> rakstisk</w:t>
            </w:r>
            <w:r w:rsidRPr="00917588">
              <w:rPr>
                <w:sz w:val="22"/>
                <w:szCs w:val="22"/>
              </w:rPr>
              <w:t>ā</w:t>
            </w:r>
            <w:r w:rsidR="007A743E" w:rsidRPr="00917588">
              <w:rPr>
                <w:sz w:val="22"/>
                <w:szCs w:val="22"/>
              </w:rPr>
              <w:t>s procedūras ietvaros</w:t>
            </w:r>
            <w:r w:rsidR="00DD0091" w:rsidRPr="00917588">
              <w:rPr>
                <w:sz w:val="22"/>
                <w:szCs w:val="22"/>
              </w:rPr>
              <w:t>. Rakstiskā procedūra</w:t>
            </w:r>
            <w:r w:rsidRPr="00917588">
              <w:rPr>
                <w:sz w:val="22"/>
                <w:szCs w:val="22"/>
              </w:rPr>
              <w:t xml:space="preserve"> tika uzsākta 201</w:t>
            </w:r>
            <w:r w:rsidR="00CF3941" w:rsidRPr="00917588">
              <w:rPr>
                <w:sz w:val="22"/>
                <w:szCs w:val="22"/>
              </w:rPr>
              <w:t>9</w:t>
            </w:r>
            <w:r w:rsidR="00862131" w:rsidRPr="00917588">
              <w:rPr>
                <w:sz w:val="22"/>
                <w:szCs w:val="22"/>
              </w:rPr>
              <w:t>. </w:t>
            </w:r>
            <w:r w:rsidRPr="00917588">
              <w:rPr>
                <w:sz w:val="22"/>
                <w:szCs w:val="22"/>
              </w:rPr>
              <w:t>gad</w:t>
            </w:r>
            <w:r w:rsidR="00DE23FF" w:rsidRPr="00917588">
              <w:rPr>
                <w:sz w:val="22"/>
                <w:szCs w:val="22"/>
              </w:rPr>
              <w:t xml:space="preserve">a </w:t>
            </w:r>
            <w:r w:rsidR="0067246D" w:rsidRPr="00917588">
              <w:rPr>
                <w:sz w:val="22"/>
                <w:szCs w:val="22"/>
              </w:rPr>
              <w:t>6</w:t>
            </w:r>
            <w:r w:rsidR="00DE23FF" w:rsidRPr="00917588">
              <w:rPr>
                <w:sz w:val="22"/>
                <w:szCs w:val="22"/>
              </w:rPr>
              <w:t>.</w:t>
            </w:r>
            <w:r w:rsidR="008C18E8" w:rsidRPr="00917588">
              <w:rPr>
                <w:sz w:val="22"/>
                <w:szCs w:val="22"/>
              </w:rPr>
              <w:t> </w:t>
            </w:r>
            <w:r w:rsidR="00AD4574" w:rsidRPr="00917588">
              <w:rPr>
                <w:sz w:val="22"/>
                <w:szCs w:val="22"/>
              </w:rPr>
              <w:t>novembrī</w:t>
            </w:r>
            <w:r w:rsidR="00CB30A4">
              <w:rPr>
                <w:sz w:val="22"/>
                <w:szCs w:val="22"/>
              </w:rPr>
              <w:t xml:space="preserve"> (lēmums par grozījumu apstiprināšanu tika pieņemts 2019.</w:t>
            </w:r>
            <w:r w:rsidR="00D92EC2">
              <w:rPr>
                <w:sz w:val="22"/>
                <w:szCs w:val="22"/>
              </w:rPr>
              <w:t> </w:t>
            </w:r>
            <w:r w:rsidR="00CB30A4">
              <w:rPr>
                <w:sz w:val="22"/>
                <w:szCs w:val="22"/>
              </w:rPr>
              <w:t>gada 21.</w:t>
            </w:r>
            <w:r w:rsidR="00D92EC2">
              <w:rPr>
                <w:sz w:val="22"/>
                <w:szCs w:val="22"/>
              </w:rPr>
              <w:t> </w:t>
            </w:r>
            <w:bookmarkStart w:id="0" w:name="_GoBack"/>
            <w:bookmarkEnd w:id="0"/>
            <w:r w:rsidR="00CB30A4">
              <w:rPr>
                <w:sz w:val="22"/>
                <w:szCs w:val="22"/>
              </w:rPr>
              <w:t>novembrī)</w:t>
            </w:r>
            <w:r w:rsidR="00AD4574" w:rsidRPr="00917588">
              <w:rPr>
                <w:sz w:val="22"/>
                <w:szCs w:val="22"/>
              </w:rPr>
              <w:t>.</w:t>
            </w:r>
          </w:p>
          <w:p w14:paraId="3CFEB9DC" w14:textId="1F78E6EB" w:rsidR="00641154" w:rsidRPr="00917588" w:rsidRDefault="00DE23FF" w:rsidP="0067246D">
            <w:pPr>
              <w:ind w:right="44"/>
              <w:jc w:val="both"/>
              <w:rPr>
                <w:sz w:val="22"/>
                <w:szCs w:val="22"/>
              </w:rPr>
            </w:pPr>
            <w:r w:rsidRPr="00917588">
              <w:rPr>
                <w:sz w:val="22"/>
                <w:szCs w:val="22"/>
              </w:rPr>
              <w:t>201</w:t>
            </w:r>
            <w:r w:rsidR="00CF3941" w:rsidRPr="00917588">
              <w:rPr>
                <w:sz w:val="22"/>
                <w:szCs w:val="22"/>
              </w:rPr>
              <w:t>9</w:t>
            </w:r>
            <w:r w:rsidR="004D6FE4" w:rsidRPr="00917588">
              <w:rPr>
                <w:sz w:val="22"/>
                <w:szCs w:val="22"/>
              </w:rPr>
              <w:t>.</w:t>
            </w:r>
            <w:r w:rsidRPr="00917588">
              <w:rPr>
                <w:sz w:val="22"/>
                <w:szCs w:val="22"/>
              </w:rPr>
              <w:t> </w:t>
            </w:r>
            <w:r w:rsidR="004D6FE4" w:rsidRPr="00917588">
              <w:rPr>
                <w:sz w:val="22"/>
                <w:szCs w:val="22"/>
              </w:rPr>
              <w:t xml:space="preserve">gada </w:t>
            </w:r>
            <w:r w:rsidR="0067246D" w:rsidRPr="00917588">
              <w:rPr>
                <w:sz w:val="22"/>
                <w:szCs w:val="22"/>
              </w:rPr>
              <w:t>6</w:t>
            </w:r>
            <w:r w:rsidR="0060482C" w:rsidRPr="00917588">
              <w:rPr>
                <w:sz w:val="22"/>
                <w:szCs w:val="22"/>
              </w:rPr>
              <w:t>.</w:t>
            </w:r>
            <w:r w:rsidR="00862131" w:rsidRPr="00917588">
              <w:rPr>
                <w:sz w:val="22"/>
                <w:szCs w:val="22"/>
              </w:rPr>
              <w:t> </w:t>
            </w:r>
            <w:r w:rsidR="00AD4574" w:rsidRPr="00917588">
              <w:rPr>
                <w:sz w:val="22"/>
                <w:szCs w:val="22"/>
              </w:rPr>
              <w:t xml:space="preserve">novembrī </w:t>
            </w:r>
            <w:r w:rsidR="00DD0091" w:rsidRPr="00917588">
              <w:rPr>
                <w:sz w:val="22"/>
                <w:szCs w:val="22"/>
              </w:rPr>
              <w:t xml:space="preserve">darbības programmas </w:t>
            </w:r>
            <w:r w:rsidR="00641154" w:rsidRPr="00917588">
              <w:rPr>
                <w:sz w:val="22"/>
                <w:szCs w:val="22"/>
              </w:rPr>
              <w:t>grozījumu priekšlikum</w:t>
            </w:r>
            <w:r w:rsidR="00DD0091" w:rsidRPr="00917588">
              <w:rPr>
                <w:sz w:val="22"/>
                <w:szCs w:val="22"/>
              </w:rPr>
              <w:t>s tika publicēts un bija publiski pieejams arī</w:t>
            </w:r>
            <w:r w:rsidR="00862131" w:rsidRPr="00917588">
              <w:rPr>
                <w:sz w:val="22"/>
                <w:szCs w:val="22"/>
              </w:rPr>
              <w:t xml:space="preserve"> </w:t>
            </w:r>
            <w:r w:rsidR="00641154" w:rsidRPr="00917588">
              <w:rPr>
                <w:sz w:val="22"/>
                <w:szCs w:val="22"/>
              </w:rPr>
              <w:t xml:space="preserve">tīmekļa vietnē </w:t>
            </w:r>
            <w:hyperlink r:id="rId10" w:history="1">
              <w:r w:rsidR="007A743E" w:rsidRPr="00917588">
                <w:rPr>
                  <w:rStyle w:val="Hyperlink"/>
                  <w:sz w:val="22"/>
                  <w:szCs w:val="22"/>
                </w:rPr>
                <w:t>www.esfondi.lv</w:t>
              </w:r>
            </w:hyperlink>
            <w:r w:rsidR="00641154" w:rsidRPr="00917588">
              <w:rPr>
                <w:sz w:val="22"/>
                <w:szCs w:val="22"/>
              </w:rPr>
              <w:t>.</w:t>
            </w:r>
          </w:p>
        </w:tc>
      </w:tr>
      <w:tr w:rsidR="00641154" w:rsidRPr="00917588" w14:paraId="388BC388" w14:textId="77777777" w:rsidTr="002D1644">
        <w:trPr>
          <w:cantSplit/>
        </w:trPr>
        <w:tc>
          <w:tcPr>
            <w:tcW w:w="311" w:type="pct"/>
            <w:shd w:val="clear" w:color="auto" w:fill="auto"/>
            <w:hideMark/>
          </w:tcPr>
          <w:p w14:paraId="437FE075" w14:textId="77777777" w:rsidR="00641154" w:rsidRPr="00917588" w:rsidRDefault="00641154" w:rsidP="00BA0575">
            <w:pPr>
              <w:jc w:val="center"/>
              <w:rPr>
                <w:sz w:val="22"/>
                <w:szCs w:val="22"/>
              </w:rPr>
            </w:pPr>
            <w:r w:rsidRPr="00917588">
              <w:rPr>
                <w:sz w:val="22"/>
                <w:szCs w:val="22"/>
              </w:rPr>
              <w:t>3.</w:t>
            </w:r>
          </w:p>
        </w:tc>
        <w:tc>
          <w:tcPr>
            <w:tcW w:w="1479" w:type="pct"/>
            <w:shd w:val="clear" w:color="auto" w:fill="auto"/>
            <w:hideMark/>
          </w:tcPr>
          <w:p w14:paraId="1BD2C2A5" w14:textId="77777777" w:rsidR="00641154" w:rsidRPr="00917588" w:rsidRDefault="00641154" w:rsidP="004E5FF0">
            <w:pPr>
              <w:rPr>
                <w:sz w:val="22"/>
                <w:szCs w:val="22"/>
              </w:rPr>
            </w:pPr>
            <w:r w:rsidRPr="00917588">
              <w:rPr>
                <w:sz w:val="22"/>
                <w:szCs w:val="22"/>
              </w:rPr>
              <w:t>Sabiedrības līdzdalības rezultāti</w:t>
            </w:r>
          </w:p>
        </w:tc>
        <w:tc>
          <w:tcPr>
            <w:tcW w:w="3210" w:type="pct"/>
            <w:shd w:val="clear" w:color="auto" w:fill="auto"/>
            <w:hideMark/>
          </w:tcPr>
          <w:p w14:paraId="7F81FB1F" w14:textId="22593EE8" w:rsidR="00641154" w:rsidRPr="00917588" w:rsidRDefault="00E262DB" w:rsidP="00DD0091">
            <w:pPr>
              <w:rPr>
                <w:sz w:val="22"/>
                <w:szCs w:val="22"/>
              </w:rPr>
            </w:pPr>
            <w:r w:rsidRPr="00917588">
              <w:rPr>
                <w:sz w:val="22"/>
                <w:szCs w:val="22"/>
              </w:rPr>
              <w:t>Sabiedrības pārstāvju i</w:t>
            </w:r>
            <w:r w:rsidR="00641154" w:rsidRPr="00917588">
              <w:rPr>
                <w:sz w:val="22"/>
                <w:szCs w:val="22"/>
              </w:rPr>
              <w:t>ebildumi un priekšlikumi nav saņemti.</w:t>
            </w:r>
          </w:p>
        </w:tc>
      </w:tr>
      <w:tr w:rsidR="00641154" w:rsidRPr="00917588" w14:paraId="28A6D3BD" w14:textId="77777777" w:rsidTr="002D1644">
        <w:trPr>
          <w:cantSplit/>
        </w:trPr>
        <w:tc>
          <w:tcPr>
            <w:tcW w:w="311" w:type="pct"/>
            <w:shd w:val="clear" w:color="auto" w:fill="auto"/>
            <w:hideMark/>
          </w:tcPr>
          <w:p w14:paraId="64D90834" w14:textId="77777777" w:rsidR="00641154" w:rsidRPr="00917588" w:rsidRDefault="00641154" w:rsidP="00BA0575">
            <w:pPr>
              <w:jc w:val="center"/>
              <w:rPr>
                <w:sz w:val="22"/>
                <w:szCs w:val="22"/>
              </w:rPr>
            </w:pPr>
            <w:r w:rsidRPr="00917588">
              <w:rPr>
                <w:sz w:val="22"/>
                <w:szCs w:val="22"/>
              </w:rPr>
              <w:t>4.</w:t>
            </w:r>
          </w:p>
        </w:tc>
        <w:tc>
          <w:tcPr>
            <w:tcW w:w="1479" w:type="pct"/>
            <w:shd w:val="clear" w:color="auto" w:fill="auto"/>
            <w:hideMark/>
          </w:tcPr>
          <w:p w14:paraId="751C9DE3" w14:textId="77777777" w:rsidR="00641154" w:rsidRPr="00917588" w:rsidRDefault="00641154" w:rsidP="004E5FF0">
            <w:pPr>
              <w:rPr>
                <w:sz w:val="22"/>
                <w:szCs w:val="22"/>
              </w:rPr>
            </w:pPr>
            <w:r w:rsidRPr="00917588">
              <w:rPr>
                <w:sz w:val="22"/>
                <w:szCs w:val="22"/>
              </w:rPr>
              <w:t>Cita informācija</w:t>
            </w:r>
          </w:p>
        </w:tc>
        <w:tc>
          <w:tcPr>
            <w:tcW w:w="3210" w:type="pct"/>
            <w:shd w:val="clear" w:color="auto" w:fill="auto"/>
            <w:hideMark/>
          </w:tcPr>
          <w:p w14:paraId="65E1F5FD" w14:textId="1C2712B8" w:rsidR="00641154" w:rsidRPr="00917588" w:rsidRDefault="00641154" w:rsidP="00DD0091">
            <w:pPr>
              <w:rPr>
                <w:sz w:val="22"/>
                <w:szCs w:val="22"/>
              </w:rPr>
            </w:pPr>
            <w:r w:rsidRPr="00917588">
              <w:rPr>
                <w:sz w:val="22"/>
                <w:szCs w:val="22"/>
              </w:rPr>
              <w:t>Nav.</w:t>
            </w:r>
          </w:p>
        </w:tc>
      </w:tr>
    </w:tbl>
    <w:p w14:paraId="71BA30F9" w14:textId="77777777" w:rsidR="001B1A3C" w:rsidRPr="00917588" w:rsidRDefault="001B1A3C" w:rsidP="00DD0091">
      <w:pPr>
        <w:pStyle w:val="Title"/>
        <w:spacing w:before="130"/>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917588" w14:paraId="2903BBE8" w14:textId="77777777" w:rsidTr="009E0502">
        <w:trPr>
          <w:cantSplit/>
        </w:trPr>
        <w:tc>
          <w:tcPr>
            <w:tcW w:w="5000" w:type="pct"/>
            <w:gridSpan w:val="3"/>
            <w:vAlign w:val="center"/>
            <w:hideMark/>
          </w:tcPr>
          <w:p w14:paraId="124981C2" w14:textId="77777777" w:rsidR="00BD5588" w:rsidRPr="00917588" w:rsidRDefault="00BD5588" w:rsidP="00BA0575">
            <w:pPr>
              <w:jc w:val="center"/>
              <w:rPr>
                <w:b/>
                <w:bCs/>
                <w:sz w:val="22"/>
                <w:szCs w:val="22"/>
              </w:rPr>
            </w:pPr>
            <w:r w:rsidRPr="00917588">
              <w:rPr>
                <w:b/>
                <w:bCs/>
                <w:sz w:val="22"/>
                <w:szCs w:val="22"/>
              </w:rPr>
              <w:t>VII. Tiesību akta projekta izpildes nodrošināšana un tās ietekme uz institūcijām</w:t>
            </w:r>
          </w:p>
        </w:tc>
      </w:tr>
      <w:tr w:rsidR="00BD5588" w:rsidRPr="00917588" w14:paraId="6A94A9C7" w14:textId="77777777" w:rsidTr="009E0502">
        <w:trPr>
          <w:cantSplit/>
        </w:trPr>
        <w:tc>
          <w:tcPr>
            <w:tcW w:w="311" w:type="pct"/>
            <w:hideMark/>
          </w:tcPr>
          <w:p w14:paraId="0F4C7140" w14:textId="77777777" w:rsidR="00BD5588" w:rsidRPr="00917588" w:rsidRDefault="00BD5588" w:rsidP="00BA0575">
            <w:pPr>
              <w:jc w:val="center"/>
              <w:rPr>
                <w:sz w:val="22"/>
                <w:szCs w:val="22"/>
              </w:rPr>
            </w:pPr>
            <w:r w:rsidRPr="00917588">
              <w:rPr>
                <w:sz w:val="22"/>
                <w:szCs w:val="22"/>
              </w:rPr>
              <w:t>1.</w:t>
            </w:r>
          </w:p>
        </w:tc>
        <w:tc>
          <w:tcPr>
            <w:tcW w:w="1479" w:type="pct"/>
            <w:hideMark/>
          </w:tcPr>
          <w:p w14:paraId="02A1600C" w14:textId="77777777" w:rsidR="00BD5588" w:rsidRPr="00917588" w:rsidRDefault="00BD5588" w:rsidP="004E5FF0">
            <w:pPr>
              <w:rPr>
                <w:sz w:val="22"/>
                <w:szCs w:val="22"/>
              </w:rPr>
            </w:pPr>
            <w:r w:rsidRPr="00917588">
              <w:rPr>
                <w:sz w:val="22"/>
                <w:szCs w:val="22"/>
              </w:rPr>
              <w:t>Projekta izpildē iesaistītās institūcijas</w:t>
            </w:r>
          </w:p>
        </w:tc>
        <w:tc>
          <w:tcPr>
            <w:tcW w:w="3210" w:type="pct"/>
            <w:hideMark/>
          </w:tcPr>
          <w:p w14:paraId="03EE5DE4" w14:textId="0FB2ACC2" w:rsidR="00BD5588" w:rsidRPr="00917588" w:rsidRDefault="006B5440" w:rsidP="00DD0091">
            <w:pPr>
              <w:jc w:val="both"/>
              <w:rPr>
                <w:sz w:val="22"/>
                <w:szCs w:val="22"/>
              </w:rPr>
            </w:pPr>
            <w:r w:rsidRPr="00917588">
              <w:rPr>
                <w:sz w:val="22"/>
                <w:szCs w:val="22"/>
              </w:rPr>
              <w:t xml:space="preserve">ES fondu vadībā iesaistītās institūcijas saskaņā ar </w:t>
            </w:r>
            <w:r w:rsidR="00DD0091" w:rsidRPr="00917588">
              <w:rPr>
                <w:sz w:val="22"/>
                <w:szCs w:val="22"/>
              </w:rPr>
              <w:t>Eiropas Savienības struktūrfondu un Kohēzijas fonda 2014.–2020. gada plānošanas perioda vadības likumā</w:t>
            </w:r>
            <w:r w:rsidR="00DD0091" w:rsidRPr="00917588" w:rsidDel="00DD0091">
              <w:rPr>
                <w:sz w:val="22"/>
                <w:szCs w:val="22"/>
              </w:rPr>
              <w:t xml:space="preserve"> </w:t>
            </w:r>
            <w:r w:rsidRPr="00917588">
              <w:rPr>
                <w:sz w:val="22"/>
                <w:szCs w:val="22"/>
              </w:rPr>
              <w:t>noteikto.</w:t>
            </w:r>
          </w:p>
        </w:tc>
      </w:tr>
      <w:tr w:rsidR="006B5440" w:rsidRPr="00917588" w14:paraId="293D4712" w14:textId="77777777" w:rsidTr="009E0502">
        <w:trPr>
          <w:cantSplit/>
        </w:trPr>
        <w:tc>
          <w:tcPr>
            <w:tcW w:w="311" w:type="pct"/>
            <w:hideMark/>
          </w:tcPr>
          <w:p w14:paraId="64421FBB" w14:textId="77777777" w:rsidR="006B5440" w:rsidRPr="00917588" w:rsidRDefault="006B5440" w:rsidP="00BA0575">
            <w:pPr>
              <w:jc w:val="center"/>
              <w:rPr>
                <w:sz w:val="22"/>
                <w:szCs w:val="22"/>
              </w:rPr>
            </w:pPr>
            <w:r w:rsidRPr="00917588">
              <w:rPr>
                <w:sz w:val="22"/>
                <w:szCs w:val="22"/>
              </w:rPr>
              <w:lastRenderedPageBreak/>
              <w:t>2.</w:t>
            </w:r>
          </w:p>
        </w:tc>
        <w:tc>
          <w:tcPr>
            <w:tcW w:w="1479" w:type="pct"/>
            <w:hideMark/>
          </w:tcPr>
          <w:p w14:paraId="57C841CB" w14:textId="77777777" w:rsidR="006B5440" w:rsidRPr="00917588" w:rsidRDefault="006B5440" w:rsidP="004E5FF0">
            <w:pPr>
              <w:rPr>
                <w:sz w:val="22"/>
                <w:szCs w:val="22"/>
              </w:rPr>
            </w:pPr>
            <w:r w:rsidRPr="00917588">
              <w:rPr>
                <w:sz w:val="22"/>
                <w:szCs w:val="22"/>
              </w:rPr>
              <w:t>Projekta izpildes ietekme uz pārvaldes funkcijām un institucionālo struktūru.</w:t>
            </w:r>
            <w:r w:rsidRPr="00917588">
              <w:rPr>
                <w:sz w:val="22"/>
                <w:szCs w:val="22"/>
              </w:rPr>
              <w:br/>
              <w:t>Jaunu institūciju izveide, esošu institūciju likvidācija vai reorganizācija, to ietekme uz institūcijas cilvēkresursiem</w:t>
            </w:r>
          </w:p>
        </w:tc>
        <w:tc>
          <w:tcPr>
            <w:tcW w:w="3210" w:type="pct"/>
            <w:hideMark/>
          </w:tcPr>
          <w:p w14:paraId="36EB483A" w14:textId="77777777" w:rsidR="000949A9" w:rsidRPr="00917588" w:rsidRDefault="000949A9" w:rsidP="000949A9">
            <w:pPr>
              <w:jc w:val="both"/>
              <w:rPr>
                <w:sz w:val="22"/>
                <w:szCs w:val="22"/>
              </w:rPr>
            </w:pPr>
            <w:r w:rsidRPr="00917588">
              <w:rPr>
                <w:sz w:val="22"/>
                <w:szCs w:val="22"/>
              </w:rPr>
              <w:t>Iesaistītās institūcijas noteikumu projekta izpildi nodrošina to esošo funkciju un uzdevumu ietvaros.</w:t>
            </w:r>
          </w:p>
          <w:p w14:paraId="7B3E9C81" w14:textId="77777777" w:rsidR="000949A9" w:rsidRPr="00917588" w:rsidRDefault="000949A9" w:rsidP="000949A9">
            <w:pPr>
              <w:jc w:val="both"/>
              <w:rPr>
                <w:sz w:val="22"/>
                <w:szCs w:val="22"/>
              </w:rPr>
            </w:pPr>
            <w:r w:rsidRPr="00917588">
              <w:rPr>
                <w:sz w:val="22"/>
                <w:szCs w:val="22"/>
              </w:rPr>
              <w:t>Funkcijas un uzdevumi netiek grozīti. Jaunu institūciju izveide, esošo institūciju likvidācija vai reorganizācija netiek paredzēta.</w:t>
            </w:r>
          </w:p>
          <w:p w14:paraId="3890E210" w14:textId="27C51049" w:rsidR="006B5440" w:rsidRPr="00917588" w:rsidRDefault="000949A9" w:rsidP="000949A9">
            <w:pPr>
              <w:pStyle w:val="ListParagraph"/>
              <w:shd w:val="clear" w:color="auto" w:fill="FFFFFF"/>
              <w:spacing w:after="0" w:line="240" w:lineRule="auto"/>
              <w:ind w:left="0" w:right="57"/>
              <w:contextualSpacing w:val="0"/>
              <w:jc w:val="both"/>
              <w:rPr>
                <w:rFonts w:ascii="Times New Roman" w:hAnsi="Times New Roman" w:cs="Times New Roman"/>
              </w:rPr>
            </w:pPr>
            <w:r w:rsidRPr="00917588">
              <w:rPr>
                <w:rFonts w:ascii="Times New Roman" w:hAnsi="Times New Roman" w:cs="Times New Roman"/>
                <w:lang w:eastAsia="lv-LV"/>
              </w:rPr>
              <w:t>Rīkojuma projekts tiks realizēts esošo resursu ietvaros.</w:t>
            </w:r>
          </w:p>
        </w:tc>
      </w:tr>
      <w:tr w:rsidR="006B5440" w:rsidRPr="00917588" w14:paraId="3F0C0D87" w14:textId="77777777" w:rsidTr="009E0502">
        <w:trPr>
          <w:cantSplit/>
        </w:trPr>
        <w:tc>
          <w:tcPr>
            <w:tcW w:w="311" w:type="pct"/>
            <w:hideMark/>
          </w:tcPr>
          <w:p w14:paraId="2EDC4D6A" w14:textId="77777777" w:rsidR="006B5440" w:rsidRPr="00917588" w:rsidRDefault="006B5440" w:rsidP="00BA0575">
            <w:pPr>
              <w:jc w:val="center"/>
              <w:rPr>
                <w:sz w:val="22"/>
                <w:szCs w:val="22"/>
              </w:rPr>
            </w:pPr>
            <w:r w:rsidRPr="00917588">
              <w:rPr>
                <w:sz w:val="22"/>
                <w:szCs w:val="22"/>
              </w:rPr>
              <w:t>3.</w:t>
            </w:r>
          </w:p>
        </w:tc>
        <w:tc>
          <w:tcPr>
            <w:tcW w:w="1479" w:type="pct"/>
            <w:hideMark/>
          </w:tcPr>
          <w:p w14:paraId="5492A71C" w14:textId="77777777" w:rsidR="006B5440" w:rsidRPr="00917588" w:rsidRDefault="006B5440" w:rsidP="004E5FF0">
            <w:pPr>
              <w:rPr>
                <w:sz w:val="22"/>
                <w:szCs w:val="22"/>
              </w:rPr>
            </w:pPr>
            <w:r w:rsidRPr="00917588">
              <w:rPr>
                <w:sz w:val="22"/>
                <w:szCs w:val="22"/>
              </w:rPr>
              <w:t>Cita informācija</w:t>
            </w:r>
          </w:p>
        </w:tc>
        <w:tc>
          <w:tcPr>
            <w:tcW w:w="3210" w:type="pct"/>
            <w:hideMark/>
          </w:tcPr>
          <w:p w14:paraId="1921C194" w14:textId="77777777" w:rsidR="006B5440" w:rsidRPr="00917588" w:rsidRDefault="006B5440" w:rsidP="00DD0091">
            <w:pPr>
              <w:rPr>
                <w:sz w:val="22"/>
                <w:szCs w:val="22"/>
              </w:rPr>
            </w:pPr>
            <w:r w:rsidRPr="00917588">
              <w:rPr>
                <w:sz w:val="22"/>
                <w:szCs w:val="22"/>
              </w:rPr>
              <w:t>Nav.</w:t>
            </w:r>
          </w:p>
        </w:tc>
      </w:tr>
    </w:tbl>
    <w:p w14:paraId="7AB693BB" w14:textId="77777777" w:rsidR="00EE7372" w:rsidRDefault="00EE7372" w:rsidP="00BA0575">
      <w:pPr>
        <w:tabs>
          <w:tab w:val="left" w:pos="4680"/>
        </w:tabs>
        <w:ind w:left="567"/>
        <w:rPr>
          <w:szCs w:val="22"/>
        </w:rPr>
      </w:pPr>
    </w:p>
    <w:p w14:paraId="5F9B5699" w14:textId="77777777" w:rsidR="00EE7372" w:rsidRDefault="00EE7372" w:rsidP="004E5FF0">
      <w:pPr>
        <w:tabs>
          <w:tab w:val="left" w:pos="4680"/>
        </w:tabs>
        <w:ind w:left="567"/>
        <w:rPr>
          <w:szCs w:val="22"/>
        </w:rPr>
      </w:pPr>
    </w:p>
    <w:p w14:paraId="5876CECE" w14:textId="7516FA25" w:rsidR="00EE7372" w:rsidRPr="005D5A02" w:rsidRDefault="00EE7372" w:rsidP="00DD0091">
      <w:pPr>
        <w:tabs>
          <w:tab w:val="left" w:pos="4680"/>
        </w:tabs>
        <w:ind w:left="567"/>
        <w:rPr>
          <w:sz w:val="22"/>
          <w:szCs w:val="22"/>
        </w:rPr>
      </w:pPr>
      <w:r w:rsidRPr="007B07DF">
        <w:rPr>
          <w:szCs w:val="22"/>
        </w:rPr>
        <w:t>Finanšu ministr</w:t>
      </w:r>
      <w:r w:rsidR="005D5A02">
        <w:rPr>
          <w:szCs w:val="22"/>
        </w:rPr>
        <w:t>s</w:t>
      </w:r>
      <w:r w:rsidRPr="007B07DF">
        <w:rPr>
          <w:szCs w:val="22"/>
        </w:rPr>
        <w:tab/>
      </w:r>
      <w:r w:rsidRPr="007B07DF">
        <w:rPr>
          <w:szCs w:val="22"/>
        </w:rPr>
        <w:tab/>
      </w:r>
      <w:r w:rsidRPr="007B07DF">
        <w:rPr>
          <w:szCs w:val="22"/>
        </w:rPr>
        <w:tab/>
      </w:r>
      <w:r w:rsidR="005D5A02">
        <w:rPr>
          <w:sz w:val="26"/>
          <w:szCs w:val="26"/>
        </w:rPr>
        <w:t xml:space="preserve">                                </w:t>
      </w:r>
      <w:proofErr w:type="spellStart"/>
      <w:r w:rsidR="005D5A02" w:rsidRPr="005D5A02">
        <w:rPr>
          <w:szCs w:val="26"/>
        </w:rPr>
        <w:t>J.Reirs</w:t>
      </w:r>
      <w:proofErr w:type="spellEnd"/>
    </w:p>
    <w:p w14:paraId="60E89D6F" w14:textId="77777777" w:rsidR="00EE7372" w:rsidRPr="00C17043" w:rsidRDefault="00EE7372" w:rsidP="00DD0091">
      <w:pPr>
        <w:tabs>
          <w:tab w:val="left" w:pos="4680"/>
        </w:tabs>
        <w:rPr>
          <w:sz w:val="22"/>
          <w:szCs w:val="22"/>
        </w:rPr>
      </w:pPr>
    </w:p>
    <w:p w14:paraId="56EC9B0B" w14:textId="65560D23" w:rsidR="00EE7372" w:rsidRDefault="00EE7372" w:rsidP="00DD0091">
      <w:pPr>
        <w:tabs>
          <w:tab w:val="left" w:pos="4680"/>
        </w:tabs>
        <w:rPr>
          <w:sz w:val="22"/>
          <w:szCs w:val="22"/>
        </w:rPr>
      </w:pPr>
    </w:p>
    <w:p w14:paraId="3D92A1A5" w14:textId="77777777" w:rsidR="002F322D" w:rsidRPr="002F322D" w:rsidRDefault="002F322D" w:rsidP="00DD0091">
      <w:pPr>
        <w:rPr>
          <w:sz w:val="20"/>
          <w:szCs w:val="20"/>
        </w:rPr>
      </w:pPr>
      <w:r w:rsidRPr="002F322D">
        <w:rPr>
          <w:sz w:val="20"/>
          <w:szCs w:val="20"/>
        </w:rPr>
        <w:t>Baldunčika, 67095479</w:t>
      </w:r>
      <w:r w:rsidRPr="002F322D">
        <w:rPr>
          <w:sz w:val="20"/>
          <w:szCs w:val="20"/>
        </w:rPr>
        <w:tab/>
      </w:r>
    </w:p>
    <w:p w14:paraId="2BE00842" w14:textId="3D501188" w:rsidR="006B5440" w:rsidRPr="00C17043" w:rsidRDefault="002F322D" w:rsidP="00DD0091">
      <w:pPr>
        <w:rPr>
          <w:sz w:val="20"/>
          <w:szCs w:val="22"/>
        </w:rPr>
      </w:pPr>
      <w:r w:rsidRPr="002F322D">
        <w:rPr>
          <w:sz w:val="20"/>
          <w:szCs w:val="20"/>
        </w:rPr>
        <w:t>Jolanta.Balduncika@fm.gov.lv</w:t>
      </w:r>
    </w:p>
    <w:sectPr w:rsidR="006B5440" w:rsidRPr="00C17043" w:rsidSect="002646C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3BF9" w14:textId="77777777" w:rsidR="00A96BDE" w:rsidRDefault="00A96BDE" w:rsidP="00A96BDE">
      <w:r>
        <w:separator/>
      </w:r>
    </w:p>
  </w:endnote>
  <w:endnote w:type="continuationSeparator" w:id="0">
    <w:p w14:paraId="7EAB077B" w14:textId="77777777" w:rsidR="00A96BDE" w:rsidRDefault="00A96BDE" w:rsidP="00A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C454" w14:textId="75F6CFCC" w:rsidR="00583CE4" w:rsidRPr="005526F0" w:rsidRDefault="00BC0631">
    <w:pPr>
      <w:pStyle w:val="Footer"/>
      <w:rPr>
        <w:noProof/>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A66329">
      <w:rPr>
        <w:noProof/>
        <w:sz w:val="20"/>
        <w:szCs w:val="20"/>
      </w:rPr>
      <w:t>FMAnot_</w:t>
    </w:r>
    <w:r w:rsidR="00917588">
      <w:rPr>
        <w:noProof/>
        <w:sz w:val="20"/>
        <w:szCs w:val="20"/>
      </w:rPr>
      <w:t>21</w:t>
    </w:r>
    <w:r w:rsidR="00A66329">
      <w:rPr>
        <w:noProof/>
        <w:sz w:val="20"/>
        <w:szCs w:val="20"/>
      </w:rPr>
      <w:t>1119_DP.docx</w:t>
    </w:r>
    <w:r w:rsidRPr="00861BA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39E" w14:textId="7075929B" w:rsidR="00BC0631" w:rsidRDefault="00BC0631">
    <w:pPr>
      <w:pStyle w:val="Foo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A66329">
      <w:rPr>
        <w:noProof/>
        <w:sz w:val="20"/>
        <w:szCs w:val="20"/>
      </w:rPr>
      <w:t>FMAnot_</w:t>
    </w:r>
    <w:r w:rsidR="00917588">
      <w:rPr>
        <w:noProof/>
        <w:sz w:val="20"/>
        <w:szCs w:val="20"/>
      </w:rPr>
      <w:t>21</w:t>
    </w:r>
    <w:r w:rsidR="00A66329">
      <w:rPr>
        <w:noProof/>
        <w:sz w:val="20"/>
        <w:szCs w:val="20"/>
      </w:rPr>
      <w:t>1119_DP.docx</w:t>
    </w:r>
    <w:r w:rsidRPr="00861BA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BB34" w14:textId="77777777" w:rsidR="00A96BDE" w:rsidRDefault="00A96BDE" w:rsidP="00A96BDE">
      <w:r>
        <w:separator/>
      </w:r>
    </w:p>
  </w:footnote>
  <w:footnote w:type="continuationSeparator" w:id="0">
    <w:p w14:paraId="7E01B3B9" w14:textId="77777777" w:rsidR="00A96BDE" w:rsidRDefault="00A96BDE" w:rsidP="00A9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52DA61A3" w14:textId="5EE46A16" w:rsidR="006B4A4B" w:rsidRDefault="006B4A4B">
        <w:pPr>
          <w:pStyle w:val="Header"/>
          <w:jc w:val="center"/>
        </w:pPr>
        <w:r>
          <w:fldChar w:fldCharType="begin"/>
        </w:r>
        <w:r>
          <w:instrText xml:space="preserve"> PAGE   \* MERGEFORMAT </w:instrText>
        </w:r>
        <w:r>
          <w:fldChar w:fldCharType="separate"/>
        </w:r>
        <w:r w:rsidR="00D92EC2">
          <w:rPr>
            <w:noProof/>
          </w:rPr>
          <w:t>6</w:t>
        </w:r>
        <w:r>
          <w:rPr>
            <w:noProof/>
          </w:rPr>
          <w:fldChar w:fldCharType="end"/>
        </w:r>
      </w:p>
    </w:sdtContent>
  </w:sdt>
  <w:p w14:paraId="39CCD10C" w14:textId="77777777" w:rsidR="006B4A4B" w:rsidRDefault="006B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061B60"/>
    <w:multiLevelType w:val="hybridMultilevel"/>
    <w:tmpl w:val="6696F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10422C"/>
    <w:multiLevelType w:val="hybridMultilevel"/>
    <w:tmpl w:val="C48CC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7458B0"/>
    <w:multiLevelType w:val="hybridMultilevel"/>
    <w:tmpl w:val="5C14D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731988"/>
    <w:multiLevelType w:val="hybridMultilevel"/>
    <w:tmpl w:val="6C8EF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35B338E"/>
    <w:multiLevelType w:val="hybridMultilevel"/>
    <w:tmpl w:val="49BE8800"/>
    <w:lvl w:ilvl="0" w:tplc="341211C0">
      <w:start w:val="18"/>
      <w:numFmt w:val="bullet"/>
      <w:lvlText w:val="-"/>
      <w:lvlJc w:val="left"/>
      <w:pPr>
        <w:ind w:left="1080" w:hanging="360"/>
      </w:pPr>
      <w:rPr>
        <w:rFonts w:ascii="Calibri" w:eastAsia="Times New Roman"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760D2179"/>
    <w:multiLevelType w:val="hybridMultilevel"/>
    <w:tmpl w:val="7BBAF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2"/>
  </w:num>
  <w:num w:numId="6">
    <w:abstractNumId w:val="9"/>
  </w:num>
  <w:num w:numId="7">
    <w:abstractNumId w:val="1"/>
  </w:num>
  <w:num w:numId="8">
    <w:abstractNumId w:val="3"/>
  </w:num>
  <w:num w:numId="9">
    <w:abstractNumId w:val="11"/>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4842"/>
    <w:rsid w:val="00005ED3"/>
    <w:rsid w:val="00013E3B"/>
    <w:rsid w:val="0001610B"/>
    <w:rsid w:val="000229A9"/>
    <w:rsid w:val="00023AE2"/>
    <w:rsid w:val="0002725B"/>
    <w:rsid w:val="000304C5"/>
    <w:rsid w:val="00031D14"/>
    <w:rsid w:val="0003733B"/>
    <w:rsid w:val="0004687A"/>
    <w:rsid w:val="00055004"/>
    <w:rsid w:val="00056D2E"/>
    <w:rsid w:val="00067EF3"/>
    <w:rsid w:val="00072315"/>
    <w:rsid w:val="000729B6"/>
    <w:rsid w:val="0007343C"/>
    <w:rsid w:val="00080225"/>
    <w:rsid w:val="00084E41"/>
    <w:rsid w:val="00087CF0"/>
    <w:rsid w:val="00091C77"/>
    <w:rsid w:val="000949A9"/>
    <w:rsid w:val="000956DE"/>
    <w:rsid w:val="00096A3E"/>
    <w:rsid w:val="000A0D0D"/>
    <w:rsid w:val="000A1590"/>
    <w:rsid w:val="000A27BD"/>
    <w:rsid w:val="000A2A68"/>
    <w:rsid w:val="000A439C"/>
    <w:rsid w:val="000A7B17"/>
    <w:rsid w:val="000C3671"/>
    <w:rsid w:val="000C3C66"/>
    <w:rsid w:val="000D7381"/>
    <w:rsid w:val="000E3C5D"/>
    <w:rsid w:val="000E4152"/>
    <w:rsid w:val="000F2CBB"/>
    <w:rsid w:val="000F3167"/>
    <w:rsid w:val="000F791A"/>
    <w:rsid w:val="001001FF"/>
    <w:rsid w:val="00100A3D"/>
    <w:rsid w:val="00101650"/>
    <w:rsid w:val="00126F28"/>
    <w:rsid w:val="00132E08"/>
    <w:rsid w:val="001359BC"/>
    <w:rsid w:val="001377AB"/>
    <w:rsid w:val="00137C0D"/>
    <w:rsid w:val="00137E58"/>
    <w:rsid w:val="00150801"/>
    <w:rsid w:val="00152BF3"/>
    <w:rsid w:val="00156EE9"/>
    <w:rsid w:val="0015763F"/>
    <w:rsid w:val="00157ADF"/>
    <w:rsid w:val="001602A6"/>
    <w:rsid w:val="00163248"/>
    <w:rsid w:val="001657C7"/>
    <w:rsid w:val="001775A7"/>
    <w:rsid w:val="00185BF4"/>
    <w:rsid w:val="0018727B"/>
    <w:rsid w:val="00190650"/>
    <w:rsid w:val="0019538F"/>
    <w:rsid w:val="001B1A3C"/>
    <w:rsid w:val="001B45C9"/>
    <w:rsid w:val="001B562B"/>
    <w:rsid w:val="001C320F"/>
    <w:rsid w:val="001C652D"/>
    <w:rsid w:val="001D0F9F"/>
    <w:rsid w:val="001E379D"/>
    <w:rsid w:val="001E5033"/>
    <w:rsid w:val="001F621E"/>
    <w:rsid w:val="002017BB"/>
    <w:rsid w:val="0020465A"/>
    <w:rsid w:val="002051D6"/>
    <w:rsid w:val="00211BD4"/>
    <w:rsid w:val="00217C8D"/>
    <w:rsid w:val="00235BB5"/>
    <w:rsid w:val="00243A03"/>
    <w:rsid w:val="002444DB"/>
    <w:rsid w:val="00255CA2"/>
    <w:rsid w:val="0026071B"/>
    <w:rsid w:val="002646C7"/>
    <w:rsid w:val="00267FE8"/>
    <w:rsid w:val="002778AA"/>
    <w:rsid w:val="00286728"/>
    <w:rsid w:val="002925BA"/>
    <w:rsid w:val="0029576A"/>
    <w:rsid w:val="002B001C"/>
    <w:rsid w:val="002B0936"/>
    <w:rsid w:val="002B0FB2"/>
    <w:rsid w:val="002C516B"/>
    <w:rsid w:val="002D1644"/>
    <w:rsid w:val="002E38A6"/>
    <w:rsid w:val="002E6DDA"/>
    <w:rsid w:val="002E76F7"/>
    <w:rsid w:val="002F322D"/>
    <w:rsid w:val="002F5146"/>
    <w:rsid w:val="00307DB3"/>
    <w:rsid w:val="00317B85"/>
    <w:rsid w:val="0032113F"/>
    <w:rsid w:val="00323163"/>
    <w:rsid w:val="00340A01"/>
    <w:rsid w:val="00340E81"/>
    <w:rsid w:val="0034112A"/>
    <w:rsid w:val="00353989"/>
    <w:rsid w:val="00354BD1"/>
    <w:rsid w:val="00376C5F"/>
    <w:rsid w:val="003822D6"/>
    <w:rsid w:val="003903AE"/>
    <w:rsid w:val="003A6690"/>
    <w:rsid w:val="003C47D9"/>
    <w:rsid w:val="003C4F2B"/>
    <w:rsid w:val="003D46CC"/>
    <w:rsid w:val="003D4BED"/>
    <w:rsid w:val="003E3888"/>
    <w:rsid w:val="003E5B87"/>
    <w:rsid w:val="00402708"/>
    <w:rsid w:val="004104EA"/>
    <w:rsid w:val="00414D90"/>
    <w:rsid w:val="00427428"/>
    <w:rsid w:val="00430D1F"/>
    <w:rsid w:val="00431873"/>
    <w:rsid w:val="004361DA"/>
    <w:rsid w:val="00437194"/>
    <w:rsid w:val="0044456F"/>
    <w:rsid w:val="00444AD0"/>
    <w:rsid w:val="004545FC"/>
    <w:rsid w:val="00461626"/>
    <w:rsid w:val="00470256"/>
    <w:rsid w:val="004712B7"/>
    <w:rsid w:val="0047379C"/>
    <w:rsid w:val="00477B6D"/>
    <w:rsid w:val="00477E32"/>
    <w:rsid w:val="004831FA"/>
    <w:rsid w:val="00485365"/>
    <w:rsid w:val="00491B3E"/>
    <w:rsid w:val="004A08B8"/>
    <w:rsid w:val="004A6D1B"/>
    <w:rsid w:val="004B329D"/>
    <w:rsid w:val="004B3303"/>
    <w:rsid w:val="004D6FE4"/>
    <w:rsid w:val="004E2C4B"/>
    <w:rsid w:val="004E2E22"/>
    <w:rsid w:val="004E30E1"/>
    <w:rsid w:val="004E5504"/>
    <w:rsid w:val="004E5FF0"/>
    <w:rsid w:val="004E6FE9"/>
    <w:rsid w:val="00505A76"/>
    <w:rsid w:val="005136E6"/>
    <w:rsid w:val="00514158"/>
    <w:rsid w:val="00517EBA"/>
    <w:rsid w:val="0052095C"/>
    <w:rsid w:val="005222DB"/>
    <w:rsid w:val="0052542E"/>
    <w:rsid w:val="00526B31"/>
    <w:rsid w:val="00526EBB"/>
    <w:rsid w:val="00530E9C"/>
    <w:rsid w:val="0054503A"/>
    <w:rsid w:val="00546403"/>
    <w:rsid w:val="005526F0"/>
    <w:rsid w:val="00570DB8"/>
    <w:rsid w:val="00583CE4"/>
    <w:rsid w:val="005871AF"/>
    <w:rsid w:val="0059043C"/>
    <w:rsid w:val="005940B8"/>
    <w:rsid w:val="005A4042"/>
    <w:rsid w:val="005A527F"/>
    <w:rsid w:val="005B2F11"/>
    <w:rsid w:val="005B3B08"/>
    <w:rsid w:val="005B3B1C"/>
    <w:rsid w:val="005B79B1"/>
    <w:rsid w:val="005C7412"/>
    <w:rsid w:val="005D5A02"/>
    <w:rsid w:val="005E28E2"/>
    <w:rsid w:val="005E3FD6"/>
    <w:rsid w:val="005E61EE"/>
    <w:rsid w:val="005E655B"/>
    <w:rsid w:val="005F20A4"/>
    <w:rsid w:val="0060247F"/>
    <w:rsid w:val="00603DF9"/>
    <w:rsid w:val="0060482C"/>
    <w:rsid w:val="00615CF8"/>
    <w:rsid w:val="00617008"/>
    <w:rsid w:val="00617C19"/>
    <w:rsid w:val="00637116"/>
    <w:rsid w:val="00641154"/>
    <w:rsid w:val="00650A48"/>
    <w:rsid w:val="00655341"/>
    <w:rsid w:val="0067246D"/>
    <w:rsid w:val="006770C7"/>
    <w:rsid w:val="0068625B"/>
    <w:rsid w:val="00686470"/>
    <w:rsid w:val="006903B6"/>
    <w:rsid w:val="00695EB6"/>
    <w:rsid w:val="006A6BA0"/>
    <w:rsid w:val="006B129A"/>
    <w:rsid w:val="006B17A1"/>
    <w:rsid w:val="006B35BE"/>
    <w:rsid w:val="006B4398"/>
    <w:rsid w:val="006B4A4B"/>
    <w:rsid w:val="006B5440"/>
    <w:rsid w:val="006C0B34"/>
    <w:rsid w:val="006C1B63"/>
    <w:rsid w:val="006C4725"/>
    <w:rsid w:val="006D011B"/>
    <w:rsid w:val="006D31F5"/>
    <w:rsid w:val="006D69D6"/>
    <w:rsid w:val="006E4F4E"/>
    <w:rsid w:val="006F36DE"/>
    <w:rsid w:val="006F4812"/>
    <w:rsid w:val="006F6A9E"/>
    <w:rsid w:val="007020C8"/>
    <w:rsid w:val="00703E95"/>
    <w:rsid w:val="00705807"/>
    <w:rsid w:val="0070580D"/>
    <w:rsid w:val="00714274"/>
    <w:rsid w:val="00716FB2"/>
    <w:rsid w:val="00717721"/>
    <w:rsid w:val="00723484"/>
    <w:rsid w:val="00724035"/>
    <w:rsid w:val="007309EF"/>
    <w:rsid w:val="00731D96"/>
    <w:rsid w:val="0073274A"/>
    <w:rsid w:val="007339C4"/>
    <w:rsid w:val="00736BD6"/>
    <w:rsid w:val="007539EB"/>
    <w:rsid w:val="00756BBA"/>
    <w:rsid w:val="007574D5"/>
    <w:rsid w:val="007576F2"/>
    <w:rsid w:val="00775A7C"/>
    <w:rsid w:val="00776DED"/>
    <w:rsid w:val="00776DFF"/>
    <w:rsid w:val="00777D1D"/>
    <w:rsid w:val="00780656"/>
    <w:rsid w:val="007819FF"/>
    <w:rsid w:val="00787E34"/>
    <w:rsid w:val="00790E82"/>
    <w:rsid w:val="007927ED"/>
    <w:rsid w:val="00794022"/>
    <w:rsid w:val="007A3276"/>
    <w:rsid w:val="007A4F99"/>
    <w:rsid w:val="007A743E"/>
    <w:rsid w:val="007C1625"/>
    <w:rsid w:val="007C27F7"/>
    <w:rsid w:val="007C2BF6"/>
    <w:rsid w:val="007D3362"/>
    <w:rsid w:val="007F55F8"/>
    <w:rsid w:val="008104F1"/>
    <w:rsid w:val="0081609B"/>
    <w:rsid w:val="0083277E"/>
    <w:rsid w:val="008352AF"/>
    <w:rsid w:val="00835AE7"/>
    <w:rsid w:val="00836F27"/>
    <w:rsid w:val="0083707D"/>
    <w:rsid w:val="00837261"/>
    <w:rsid w:val="00842473"/>
    <w:rsid w:val="0084438F"/>
    <w:rsid w:val="0084551B"/>
    <w:rsid w:val="0084702D"/>
    <w:rsid w:val="0086139A"/>
    <w:rsid w:val="00862131"/>
    <w:rsid w:val="008621AA"/>
    <w:rsid w:val="0087357A"/>
    <w:rsid w:val="00873ED0"/>
    <w:rsid w:val="00880692"/>
    <w:rsid w:val="00887D70"/>
    <w:rsid w:val="0089473B"/>
    <w:rsid w:val="00895AC1"/>
    <w:rsid w:val="008A1EDA"/>
    <w:rsid w:val="008A2DE4"/>
    <w:rsid w:val="008C18E8"/>
    <w:rsid w:val="008C2DA3"/>
    <w:rsid w:val="008C3CBB"/>
    <w:rsid w:val="008C3F35"/>
    <w:rsid w:val="008C4A73"/>
    <w:rsid w:val="008D04B5"/>
    <w:rsid w:val="008E74C3"/>
    <w:rsid w:val="008F0C62"/>
    <w:rsid w:val="008F5498"/>
    <w:rsid w:val="00915BC9"/>
    <w:rsid w:val="00917588"/>
    <w:rsid w:val="0092501B"/>
    <w:rsid w:val="0092615C"/>
    <w:rsid w:val="00926603"/>
    <w:rsid w:val="00932C51"/>
    <w:rsid w:val="00942876"/>
    <w:rsid w:val="00950370"/>
    <w:rsid w:val="0095680A"/>
    <w:rsid w:val="0095693B"/>
    <w:rsid w:val="009652CA"/>
    <w:rsid w:val="00966A2A"/>
    <w:rsid w:val="0097576B"/>
    <w:rsid w:val="00986F45"/>
    <w:rsid w:val="009937F3"/>
    <w:rsid w:val="00994652"/>
    <w:rsid w:val="009A133A"/>
    <w:rsid w:val="009A7203"/>
    <w:rsid w:val="009A7816"/>
    <w:rsid w:val="009B5669"/>
    <w:rsid w:val="009E5FD5"/>
    <w:rsid w:val="00A02E1E"/>
    <w:rsid w:val="00A04E5D"/>
    <w:rsid w:val="00A123BD"/>
    <w:rsid w:val="00A30BEB"/>
    <w:rsid w:val="00A30E20"/>
    <w:rsid w:val="00A31E28"/>
    <w:rsid w:val="00A35883"/>
    <w:rsid w:val="00A40FAE"/>
    <w:rsid w:val="00A460B1"/>
    <w:rsid w:val="00A47D1B"/>
    <w:rsid w:val="00A558DD"/>
    <w:rsid w:val="00A66329"/>
    <w:rsid w:val="00A70351"/>
    <w:rsid w:val="00A74089"/>
    <w:rsid w:val="00A75802"/>
    <w:rsid w:val="00A81A85"/>
    <w:rsid w:val="00A83064"/>
    <w:rsid w:val="00A8361A"/>
    <w:rsid w:val="00A8366C"/>
    <w:rsid w:val="00A85168"/>
    <w:rsid w:val="00A96BDE"/>
    <w:rsid w:val="00AB164A"/>
    <w:rsid w:val="00AB3DD3"/>
    <w:rsid w:val="00AC3F11"/>
    <w:rsid w:val="00AC3F60"/>
    <w:rsid w:val="00AC515A"/>
    <w:rsid w:val="00AD3E41"/>
    <w:rsid w:val="00AD4574"/>
    <w:rsid w:val="00AD6A66"/>
    <w:rsid w:val="00AE3564"/>
    <w:rsid w:val="00B03B13"/>
    <w:rsid w:val="00B16124"/>
    <w:rsid w:val="00B17241"/>
    <w:rsid w:val="00B17CE5"/>
    <w:rsid w:val="00B307F2"/>
    <w:rsid w:val="00B3232E"/>
    <w:rsid w:val="00B32380"/>
    <w:rsid w:val="00B361FC"/>
    <w:rsid w:val="00B40AA2"/>
    <w:rsid w:val="00B40CC2"/>
    <w:rsid w:val="00B43DEA"/>
    <w:rsid w:val="00B44450"/>
    <w:rsid w:val="00B5642A"/>
    <w:rsid w:val="00B56B32"/>
    <w:rsid w:val="00B609FD"/>
    <w:rsid w:val="00B617ED"/>
    <w:rsid w:val="00B619E7"/>
    <w:rsid w:val="00B6767C"/>
    <w:rsid w:val="00B81827"/>
    <w:rsid w:val="00B82ECD"/>
    <w:rsid w:val="00B94112"/>
    <w:rsid w:val="00B953FD"/>
    <w:rsid w:val="00BA0575"/>
    <w:rsid w:val="00BB47F6"/>
    <w:rsid w:val="00BB69EE"/>
    <w:rsid w:val="00BC0631"/>
    <w:rsid w:val="00BC2166"/>
    <w:rsid w:val="00BC3431"/>
    <w:rsid w:val="00BC67BD"/>
    <w:rsid w:val="00BD0ADB"/>
    <w:rsid w:val="00BD4388"/>
    <w:rsid w:val="00BD5588"/>
    <w:rsid w:val="00C17043"/>
    <w:rsid w:val="00C22361"/>
    <w:rsid w:val="00C27877"/>
    <w:rsid w:val="00C33E71"/>
    <w:rsid w:val="00C35E3B"/>
    <w:rsid w:val="00C415E5"/>
    <w:rsid w:val="00C430B2"/>
    <w:rsid w:val="00C4507B"/>
    <w:rsid w:val="00C47C70"/>
    <w:rsid w:val="00C65F83"/>
    <w:rsid w:val="00C763AA"/>
    <w:rsid w:val="00C842DE"/>
    <w:rsid w:val="00C94C05"/>
    <w:rsid w:val="00CB30A4"/>
    <w:rsid w:val="00CB6784"/>
    <w:rsid w:val="00CC041F"/>
    <w:rsid w:val="00CD1692"/>
    <w:rsid w:val="00CE08B9"/>
    <w:rsid w:val="00CE3A2F"/>
    <w:rsid w:val="00CF3941"/>
    <w:rsid w:val="00CF3D4E"/>
    <w:rsid w:val="00CF4EC3"/>
    <w:rsid w:val="00D00965"/>
    <w:rsid w:val="00D0550B"/>
    <w:rsid w:val="00D15DD1"/>
    <w:rsid w:val="00D202B6"/>
    <w:rsid w:val="00D22E41"/>
    <w:rsid w:val="00D247A1"/>
    <w:rsid w:val="00D31FAA"/>
    <w:rsid w:val="00D4711C"/>
    <w:rsid w:val="00D54A70"/>
    <w:rsid w:val="00D57787"/>
    <w:rsid w:val="00D6302F"/>
    <w:rsid w:val="00D655B9"/>
    <w:rsid w:val="00D67EE1"/>
    <w:rsid w:val="00D77E29"/>
    <w:rsid w:val="00D92D7D"/>
    <w:rsid w:val="00D92EC2"/>
    <w:rsid w:val="00DA2536"/>
    <w:rsid w:val="00DA6303"/>
    <w:rsid w:val="00DA6A88"/>
    <w:rsid w:val="00DA6E54"/>
    <w:rsid w:val="00DB2CE0"/>
    <w:rsid w:val="00DB4FB6"/>
    <w:rsid w:val="00DB6F38"/>
    <w:rsid w:val="00DB70D3"/>
    <w:rsid w:val="00DC055D"/>
    <w:rsid w:val="00DC6B00"/>
    <w:rsid w:val="00DD0091"/>
    <w:rsid w:val="00DD07BA"/>
    <w:rsid w:val="00DD1254"/>
    <w:rsid w:val="00DD15C5"/>
    <w:rsid w:val="00DD19BB"/>
    <w:rsid w:val="00DE23FF"/>
    <w:rsid w:val="00DE2BEF"/>
    <w:rsid w:val="00DE2DD1"/>
    <w:rsid w:val="00DE5A8B"/>
    <w:rsid w:val="00E06D6C"/>
    <w:rsid w:val="00E13BBD"/>
    <w:rsid w:val="00E24E3B"/>
    <w:rsid w:val="00E262DB"/>
    <w:rsid w:val="00E3516C"/>
    <w:rsid w:val="00E3549F"/>
    <w:rsid w:val="00E356D4"/>
    <w:rsid w:val="00E43077"/>
    <w:rsid w:val="00E44472"/>
    <w:rsid w:val="00E4473F"/>
    <w:rsid w:val="00E47F91"/>
    <w:rsid w:val="00E56C0F"/>
    <w:rsid w:val="00E572C5"/>
    <w:rsid w:val="00E5799A"/>
    <w:rsid w:val="00E60EFD"/>
    <w:rsid w:val="00E633A9"/>
    <w:rsid w:val="00E678AB"/>
    <w:rsid w:val="00E70F3F"/>
    <w:rsid w:val="00E76E4F"/>
    <w:rsid w:val="00E843C4"/>
    <w:rsid w:val="00E87A55"/>
    <w:rsid w:val="00E972A0"/>
    <w:rsid w:val="00EC6B0D"/>
    <w:rsid w:val="00ED7749"/>
    <w:rsid w:val="00EE48CD"/>
    <w:rsid w:val="00EE7372"/>
    <w:rsid w:val="00EF60EF"/>
    <w:rsid w:val="00F00A8D"/>
    <w:rsid w:val="00F035D8"/>
    <w:rsid w:val="00F043C9"/>
    <w:rsid w:val="00F05CC1"/>
    <w:rsid w:val="00F0627E"/>
    <w:rsid w:val="00F25CC2"/>
    <w:rsid w:val="00F272AE"/>
    <w:rsid w:val="00F3068C"/>
    <w:rsid w:val="00F30DC3"/>
    <w:rsid w:val="00F36B98"/>
    <w:rsid w:val="00F40422"/>
    <w:rsid w:val="00F40428"/>
    <w:rsid w:val="00F405EE"/>
    <w:rsid w:val="00F42488"/>
    <w:rsid w:val="00F44FB3"/>
    <w:rsid w:val="00F560C0"/>
    <w:rsid w:val="00F601E4"/>
    <w:rsid w:val="00F60A10"/>
    <w:rsid w:val="00F64F73"/>
    <w:rsid w:val="00F67333"/>
    <w:rsid w:val="00F73541"/>
    <w:rsid w:val="00F81DCA"/>
    <w:rsid w:val="00F96A20"/>
    <w:rsid w:val="00FA1921"/>
    <w:rsid w:val="00FA3024"/>
    <w:rsid w:val="00FA56EC"/>
    <w:rsid w:val="00FA6B73"/>
    <w:rsid w:val="00FB0262"/>
    <w:rsid w:val="00FB55E3"/>
    <w:rsid w:val="00FC14DC"/>
    <w:rsid w:val="00FC4910"/>
    <w:rsid w:val="00FD01BE"/>
    <w:rsid w:val="00FE0177"/>
    <w:rsid w:val="00FE2C35"/>
    <w:rsid w:val="00FF038F"/>
    <w:rsid w:val="00FF0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Strip,H&amp;P List Paragraph,Normal bullet 2,Bullet list,Saistīto dokumentu saraksts,Syle 1,Numurets,List Paragraph11,OBC Bullet,Bullet Style,L,Akapit z listą BS,Bullet 1,Bullet Points,Dot pt,F5 List Paragraph,IFCL - List Paragraph"/>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Akapit z listą BS Char"/>
    <w:link w:val="ListParagraph"/>
    <w:uiPriority w:val="34"/>
    <w:qFormat/>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unhideWhenUsed/>
    <w:rsid w:val="0083707D"/>
    <w:rPr>
      <w:sz w:val="20"/>
      <w:szCs w:val="20"/>
    </w:rPr>
  </w:style>
  <w:style w:type="character" w:customStyle="1" w:styleId="CommentTextChar">
    <w:name w:val="Comment Text Char"/>
    <w:basedOn w:val="DefaultParagraphFont"/>
    <w:link w:val="CommentText"/>
    <w:uiPriority w:val="99"/>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DB4F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331298080">
      <w:bodyDiv w:val="1"/>
      <w:marLeft w:val="0"/>
      <w:marRight w:val="0"/>
      <w:marTop w:val="0"/>
      <w:marBottom w:val="0"/>
      <w:divBdr>
        <w:top w:val="none" w:sz="0" w:space="0" w:color="auto"/>
        <w:left w:val="none" w:sz="0" w:space="0" w:color="auto"/>
        <w:bottom w:val="none" w:sz="0" w:space="0" w:color="auto"/>
        <w:right w:val="none" w:sz="0" w:space="0" w:color="auto"/>
      </w:divBdr>
      <w:divsChild>
        <w:div w:id="2048872681">
          <w:marLeft w:val="547"/>
          <w:marRight w:val="0"/>
          <w:marTop w:val="0"/>
          <w:marBottom w:val="0"/>
          <w:divBdr>
            <w:top w:val="none" w:sz="0" w:space="0" w:color="auto"/>
            <w:left w:val="none" w:sz="0" w:space="0" w:color="auto"/>
            <w:bottom w:val="none" w:sz="0" w:space="0" w:color="auto"/>
            <w:right w:val="none" w:sz="0" w:space="0" w:color="auto"/>
          </w:divBdr>
        </w:div>
        <w:div w:id="238754658">
          <w:marLeft w:val="547"/>
          <w:marRight w:val="0"/>
          <w:marTop w:val="0"/>
          <w:marBottom w:val="0"/>
          <w:divBdr>
            <w:top w:val="none" w:sz="0" w:space="0" w:color="auto"/>
            <w:left w:val="none" w:sz="0" w:space="0" w:color="auto"/>
            <w:bottom w:val="none" w:sz="0" w:space="0" w:color="auto"/>
            <w:right w:val="none" w:sz="0" w:space="0" w:color="auto"/>
          </w:divBdr>
        </w:div>
      </w:divsChild>
    </w:div>
    <w:div w:id="1428161684">
      <w:bodyDiv w:val="1"/>
      <w:marLeft w:val="0"/>
      <w:marRight w:val="0"/>
      <w:marTop w:val="0"/>
      <w:marBottom w:val="0"/>
      <w:divBdr>
        <w:top w:val="none" w:sz="0" w:space="0" w:color="auto"/>
        <w:left w:val="none" w:sz="0" w:space="0" w:color="auto"/>
        <w:bottom w:val="none" w:sz="0" w:space="0" w:color="auto"/>
        <w:right w:val="none" w:sz="0" w:space="0" w:color="auto"/>
      </w:divBdr>
    </w:div>
    <w:div w:id="18689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s://komitejas.esfond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59D5-CC59-4B8A-BECE-A88F696E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9862</Words>
  <Characters>5622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jolanta.balduncika@fm.gov.lv</dc:creator>
  <dc:description>Tālr.: 67059479, E-pasts: jolanta.balduncika@fm.gov.lv</dc:description>
  <cp:lastModifiedBy>Finanšu ministrija</cp:lastModifiedBy>
  <cp:revision>45</cp:revision>
  <cp:lastPrinted>2019-11-20T09:45:00Z</cp:lastPrinted>
  <dcterms:created xsi:type="dcterms:W3CDTF">2019-11-06T14:02:00Z</dcterms:created>
  <dcterms:modified xsi:type="dcterms:W3CDTF">2019-11-22T08:32:00Z</dcterms:modified>
</cp:coreProperties>
</file>