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2DCB2" w14:textId="77777777" w:rsidR="00A90D8D" w:rsidRPr="00AE1DDC" w:rsidRDefault="00A90D8D" w:rsidP="00A90D8D">
      <w:pPr>
        <w:spacing w:after="0" w:line="240" w:lineRule="auto"/>
        <w:jc w:val="center"/>
        <w:outlineLvl w:val="0"/>
        <w:rPr>
          <w:b/>
          <w:sz w:val="28"/>
          <w:szCs w:val="28"/>
        </w:rPr>
      </w:pPr>
      <w:r w:rsidRPr="00AE1DDC">
        <w:rPr>
          <w:b/>
          <w:sz w:val="28"/>
          <w:szCs w:val="28"/>
        </w:rPr>
        <w:t>Informatīvais ziņojums</w:t>
      </w:r>
    </w:p>
    <w:p w14:paraId="2DB95283" w14:textId="77777777" w:rsidR="00A90D8D" w:rsidRPr="00AE1DDC" w:rsidRDefault="00A90D8D" w:rsidP="00A90D8D">
      <w:pPr>
        <w:spacing w:after="0" w:line="240" w:lineRule="auto"/>
        <w:jc w:val="center"/>
        <w:rPr>
          <w:b/>
          <w:sz w:val="28"/>
          <w:szCs w:val="28"/>
        </w:rPr>
      </w:pPr>
      <w:r w:rsidRPr="00AE1DDC">
        <w:rPr>
          <w:b/>
          <w:sz w:val="28"/>
          <w:szCs w:val="28"/>
        </w:rPr>
        <w:t xml:space="preserve">par Latvijas Republikas dalību Starptautiskās Attīstības asociācijas resursu </w:t>
      </w:r>
      <w:r>
        <w:rPr>
          <w:b/>
          <w:sz w:val="28"/>
          <w:szCs w:val="28"/>
        </w:rPr>
        <w:t>19.</w:t>
      </w:r>
      <w:r w:rsidRPr="00AE1DDC">
        <w:rPr>
          <w:b/>
          <w:sz w:val="28"/>
          <w:szCs w:val="28"/>
        </w:rPr>
        <w:t>papildināšanā</w:t>
      </w:r>
      <w:r w:rsidR="007C5555">
        <w:rPr>
          <w:b/>
          <w:sz w:val="28"/>
          <w:szCs w:val="28"/>
        </w:rPr>
        <w:t xml:space="preserve"> (IDA19)</w:t>
      </w:r>
    </w:p>
    <w:p w14:paraId="399F27C2" w14:textId="77777777" w:rsidR="00A90D8D" w:rsidRPr="00AE1DDC" w:rsidRDefault="00A90D8D" w:rsidP="009B58DE">
      <w:pPr>
        <w:spacing w:after="60" w:line="240" w:lineRule="auto"/>
        <w:rPr>
          <w:b/>
          <w:szCs w:val="24"/>
        </w:rPr>
      </w:pPr>
    </w:p>
    <w:p w14:paraId="29C511D9" w14:textId="77777777" w:rsidR="00E4631E" w:rsidRDefault="00A90D8D" w:rsidP="00AA783C">
      <w:pPr>
        <w:spacing w:after="60" w:line="240" w:lineRule="auto"/>
        <w:jc w:val="both"/>
        <w:rPr>
          <w:szCs w:val="24"/>
        </w:rPr>
      </w:pPr>
      <w:r w:rsidRPr="00AE1DDC">
        <w:rPr>
          <w:szCs w:val="24"/>
        </w:rPr>
        <w:t>Starptautiskā Attīstības asociācija</w:t>
      </w:r>
      <w:r w:rsidRPr="00AE1DDC">
        <w:rPr>
          <w:rStyle w:val="FootnoteReference"/>
          <w:szCs w:val="24"/>
        </w:rPr>
        <w:footnoteReference w:id="1"/>
      </w:r>
      <w:r w:rsidRPr="00AE1DDC">
        <w:rPr>
          <w:szCs w:val="24"/>
        </w:rPr>
        <w:t xml:space="preserve"> (</w:t>
      </w:r>
      <w:r w:rsidR="00C06C9D">
        <w:rPr>
          <w:szCs w:val="24"/>
        </w:rPr>
        <w:t>IDA</w:t>
      </w:r>
      <w:r w:rsidRPr="00AE1DDC">
        <w:rPr>
          <w:szCs w:val="24"/>
        </w:rPr>
        <w:t xml:space="preserve">) ir Pasaules Bankas institūcija, </w:t>
      </w:r>
      <w:r w:rsidR="0027391B">
        <w:rPr>
          <w:szCs w:val="24"/>
        </w:rPr>
        <w:t xml:space="preserve">izveidota 1960.gadā, </w:t>
      </w:r>
      <w:r w:rsidR="00150D14">
        <w:rPr>
          <w:szCs w:val="24"/>
        </w:rPr>
        <w:t>kuras</w:t>
      </w:r>
      <w:r w:rsidRPr="00AE1DDC">
        <w:rPr>
          <w:szCs w:val="24"/>
        </w:rPr>
        <w:t xml:space="preserve"> </w:t>
      </w:r>
      <w:r w:rsidR="001A6CAD">
        <w:rPr>
          <w:szCs w:val="24"/>
        </w:rPr>
        <w:t xml:space="preserve">darbības </w:t>
      </w:r>
      <w:r w:rsidRPr="00AE1DDC">
        <w:rPr>
          <w:szCs w:val="24"/>
        </w:rPr>
        <w:t>mērķi</w:t>
      </w:r>
      <w:r w:rsidR="00D642D5">
        <w:rPr>
          <w:szCs w:val="24"/>
        </w:rPr>
        <w:t>s ir</w:t>
      </w:r>
      <w:r w:rsidRPr="00AE1DDC">
        <w:rPr>
          <w:szCs w:val="24"/>
        </w:rPr>
        <w:t xml:space="preserve"> samazināt nabadzību, atbalstīt ekonomikas izaugsmi un uzlabot cilvēku dzīves apstākļus </w:t>
      </w:r>
      <w:r w:rsidRPr="00AE1DDC">
        <w:t xml:space="preserve">vismazāk attīstītajās </w:t>
      </w:r>
      <w:r w:rsidRPr="00AE1DDC">
        <w:rPr>
          <w:szCs w:val="24"/>
        </w:rPr>
        <w:t xml:space="preserve">pasaules valstīs. </w:t>
      </w:r>
      <w:r w:rsidR="00150D14">
        <w:rPr>
          <w:szCs w:val="24"/>
        </w:rPr>
        <w:t>IDA</w:t>
      </w:r>
      <w:r w:rsidR="00150D14" w:rsidRPr="00AE1DDC">
        <w:rPr>
          <w:szCs w:val="24"/>
        </w:rPr>
        <w:t xml:space="preserve"> ir lielākā attīstības palīdzības </w:t>
      </w:r>
      <w:r w:rsidR="00692678">
        <w:rPr>
          <w:szCs w:val="24"/>
        </w:rPr>
        <w:t>institūcija</w:t>
      </w:r>
      <w:r w:rsidR="00150D14" w:rsidRPr="00AE1DDC">
        <w:rPr>
          <w:szCs w:val="24"/>
        </w:rPr>
        <w:t xml:space="preserve"> pasaulē, kas sniedz aizdevumus uz atvieglotiem no</w:t>
      </w:r>
      <w:r w:rsidR="00150D14">
        <w:rPr>
          <w:szCs w:val="24"/>
        </w:rPr>
        <w:t>sacījumiem</w:t>
      </w:r>
      <w:r w:rsidR="00DC3ADE">
        <w:rPr>
          <w:rStyle w:val="FootnoteReference"/>
          <w:szCs w:val="24"/>
        </w:rPr>
        <w:footnoteReference w:id="2"/>
      </w:r>
      <w:r w:rsidR="00150D14">
        <w:rPr>
          <w:szCs w:val="24"/>
        </w:rPr>
        <w:t xml:space="preserve"> 76</w:t>
      </w:r>
      <w:r w:rsidR="00150D14" w:rsidRPr="00AE1DDC">
        <w:rPr>
          <w:szCs w:val="24"/>
        </w:rPr>
        <w:t> </w:t>
      </w:r>
      <w:r w:rsidR="000949AE">
        <w:t>nabadzīgākajās</w:t>
      </w:r>
      <w:r w:rsidR="00150D14" w:rsidRPr="00AE1DDC">
        <w:t xml:space="preserve"> valstīs</w:t>
      </w:r>
      <w:r w:rsidR="00150D14" w:rsidRPr="00AE1DDC">
        <w:rPr>
          <w:szCs w:val="24"/>
        </w:rPr>
        <w:t xml:space="preserve"> (</w:t>
      </w:r>
      <w:r w:rsidR="00150D14">
        <w:rPr>
          <w:szCs w:val="24"/>
        </w:rPr>
        <w:t>IDA</w:t>
      </w:r>
      <w:r w:rsidR="00150D14" w:rsidRPr="00AE1DDC">
        <w:rPr>
          <w:szCs w:val="24"/>
        </w:rPr>
        <w:t xml:space="preserve"> valstis)</w:t>
      </w:r>
      <w:r w:rsidR="00150D14">
        <w:rPr>
          <w:szCs w:val="24"/>
        </w:rPr>
        <w:t>.</w:t>
      </w:r>
      <w:r w:rsidR="00150D14" w:rsidRPr="00AE1DDC">
        <w:rPr>
          <w:rStyle w:val="FootnoteReference"/>
          <w:szCs w:val="24"/>
        </w:rPr>
        <w:footnoteReference w:id="3"/>
      </w:r>
      <w:r w:rsidR="00150D14" w:rsidRPr="00AE1DDC">
        <w:rPr>
          <w:szCs w:val="24"/>
        </w:rPr>
        <w:t xml:space="preserve"> </w:t>
      </w:r>
      <w:r w:rsidR="00DC3ADE" w:rsidRPr="00DC3ADE">
        <w:rPr>
          <w:szCs w:val="24"/>
        </w:rPr>
        <w:t>IDA ietvaros tiek īstenota arī Daudzpusējā parādu atlaišanas iniciatīva (MDRI)</w:t>
      </w:r>
      <w:r w:rsidR="00DC3ADE" w:rsidRPr="00DC3ADE">
        <w:rPr>
          <w:rStyle w:val="FootnoteReference"/>
          <w:szCs w:val="24"/>
        </w:rPr>
        <w:footnoteReference w:id="4"/>
      </w:r>
      <w:r w:rsidR="00DC3ADE" w:rsidRPr="00DC3ADE">
        <w:rPr>
          <w:szCs w:val="24"/>
        </w:rPr>
        <w:t xml:space="preserve"> un Nabadzīgo valstu ar augstu parādu slogu iniciatīva (HIPC).</w:t>
      </w:r>
      <w:r w:rsidR="00DC3ADE" w:rsidRPr="00DC3ADE">
        <w:rPr>
          <w:rStyle w:val="FootnoteReference"/>
          <w:szCs w:val="24"/>
        </w:rPr>
        <w:footnoteReference w:id="5"/>
      </w:r>
      <w:r w:rsidR="00DC3ADE">
        <w:rPr>
          <w:szCs w:val="24"/>
        </w:rPr>
        <w:t xml:space="preserve"> </w:t>
      </w:r>
    </w:p>
    <w:p w14:paraId="084A798B" w14:textId="77777777" w:rsidR="004F6016" w:rsidRDefault="004F6016" w:rsidP="0027391B">
      <w:pPr>
        <w:spacing w:after="60" w:line="240" w:lineRule="auto"/>
        <w:jc w:val="both"/>
        <w:rPr>
          <w:szCs w:val="24"/>
        </w:rPr>
      </w:pPr>
      <w:r>
        <w:rPr>
          <w:szCs w:val="24"/>
        </w:rPr>
        <w:t>IDA projektu izstrādē un izvērtēšanā piemēro Pasaules Bankas</w:t>
      </w:r>
      <w:r w:rsidR="007D7C69">
        <w:rPr>
          <w:szCs w:val="24"/>
        </w:rPr>
        <w:t xml:space="preserve"> </w:t>
      </w:r>
      <w:r>
        <w:rPr>
          <w:szCs w:val="24"/>
        </w:rPr>
        <w:t>politiku, standartus un procedūras, kā arī izmanto Pasaules Bankas re</w:t>
      </w:r>
      <w:r w:rsidR="007D7C69">
        <w:rPr>
          <w:szCs w:val="24"/>
        </w:rPr>
        <w:t>sursus, zināšanas un plašo attīstības sadarbības pieredzi</w:t>
      </w:r>
      <w:r w:rsidR="00205B01">
        <w:rPr>
          <w:szCs w:val="24"/>
        </w:rPr>
        <w:t>, tādējādi nodrošinot efektīvu resursu izlietošanu</w:t>
      </w:r>
      <w:r w:rsidR="007D7C69">
        <w:rPr>
          <w:szCs w:val="24"/>
        </w:rPr>
        <w:t xml:space="preserve">. </w:t>
      </w:r>
      <w:r>
        <w:rPr>
          <w:szCs w:val="24"/>
        </w:rPr>
        <w:t>Ņemot vērā</w:t>
      </w:r>
      <w:r w:rsidR="0027391B">
        <w:rPr>
          <w:szCs w:val="24"/>
        </w:rPr>
        <w:t xml:space="preserve"> IDA </w:t>
      </w:r>
      <w:r>
        <w:rPr>
          <w:szCs w:val="24"/>
        </w:rPr>
        <w:t xml:space="preserve">darbības modeli, kas paredz </w:t>
      </w:r>
      <w:proofErr w:type="spellStart"/>
      <w:r>
        <w:rPr>
          <w:szCs w:val="24"/>
        </w:rPr>
        <w:t>grantu</w:t>
      </w:r>
      <w:proofErr w:type="spellEnd"/>
      <w:r>
        <w:rPr>
          <w:szCs w:val="24"/>
        </w:rPr>
        <w:t xml:space="preserve"> un aizdevumu izsniegšanu</w:t>
      </w:r>
      <w:r w:rsidR="0027391B">
        <w:rPr>
          <w:szCs w:val="24"/>
        </w:rPr>
        <w:t xml:space="preserve"> uz atvieglotiem nosacījumiem, tā</w:t>
      </w:r>
      <w:r>
        <w:rPr>
          <w:szCs w:val="24"/>
        </w:rPr>
        <w:t>s</w:t>
      </w:r>
      <w:r w:rsidR="0027391B">
        <w:rPr>
          <w:szCs w:val="24"/>
        </w:rPr>
        <w:t xml:space="preserve"> </w:t>
      </w:r>
      <w:r>
        <w:rPr>
          <w:szCs w:val="24"/>
        </w:rPr>
        <w:t xml:space="preserve">darbības finansēšana tiek veikta no </w:t>
      </w:r>
      <w:r w:rsidR="007A4540">
        <w:rPr>
          <w:szCs w:val="24"/>
        </w:rPr>
        <w:t>pašu resursiem</w:t>
      </w:r>
      <w:r>
        <w:rPr>
          <w:szCs w:val="24"/>
        </w:rPr>
        <w:t xml:space="preserve">, </w:t>
      </w:r>
      <w:r w:rsidR="0027391B">
        <w:rPr>
          <w:szCs w:val="24"/>
        </w:rPr>
        <w:t>piesaist</w:t>
      </w:r>
      <w:r>
        <w:rPr>
          <w:szCs w:val="24"/>
        </w:rPr>
        <w:t>ot dalībvalstu resursus</w:t>
      </w:r>
      <w:r w:rsidR="007D7C69">
        <w:rPr>
          <w:szCs w:val="24"/>
        </w:rPr>
        <w:t xml:space="preserve"> un mobilizējot privātā sektora finansējumu</w:t>
      </w:r>
      <w:r w:rsidR="007A4540">
        <w:rPr>
          <w:szCs w:val="24"/>
        </w:rPr>
        <w:t>.</w:t>
      </w:r>
      <w:r>
        <w:rPr>
          <w:szCs w:val="24"/>
        </w:rPr>
        <w:t xml:space="preserve"> </w:t>
      </w:r>
      <w:r w:rsidR="007D7C69">
        <w:rPr>
          <w:szCs w:val="24"/>
        </w:rPr>
        <w:t xml:space="preserve">Ik pēc trim gadiem tiek īstenota </w:t>
      </w:r>
      <w:r>
        <w:rPr>
          <w:szCs w:val="24"/>
        </w:rPr>
        <w:t>IDA</w:t>
      </w:r>
      <w:r w:rsidR="007A4540">
        <w:rPr>
          <w:szCs w:val="24"/>
        </w:rPr>
        <w:t xml:space="preserve"> </w:t>
      </w:r>
      <w:r>
        <w:rPr>
          <w:szCs w:val="24"/>
        </w:rPr>
        <w:t>resursu papildināšana</w:t>
      </w:r>
      <w:r w:rsidR="007D7C69">
        <w:rPr>
          <w:szCs w:val="24"/>
        </w:rPr>
        <w:t>, kurā Pasaules Banka izvērtē IDA valstu attīstības vajadzības, nepieciešamos resursus to īstenošanai un izvirza prioritārās jomas un virzienus to piešķiršanai. P</w:t>
      </w:r>
      <w:r>
        <w:rPr>
          <w:szCs w:val="24"/>
        </w:rPr>
        <w:t xml:space="preserve">irms katras </w:t>
      </w:r>
      <w:r w:rsidR="007D7C69">
        <w:rPr>
          <w:szCs w:val="24"/>
        </w:rPr>
        <w:t xml:space="preserve">IDA </w:t>
      </w:r>
      <w:r>
        <w:rPr>
          <w:szCs w:val="24"/>
        </w:rPr>
        <w:t xml:space="preserve">resursu papildināšanas cikla uzsākšanas notiek regulāras </w:t>
      </w:r>
      <w:r w:rsidR="007D7C69">
        <w:rPr>
          <w:szCs w:val="24"/>
        </w:rPr>
        <w:t xml:space="preserve">Pasaules Bankas </w:t>
      </w:r>
      <w:r>
        <w:rPr>
          <w:szCs w:val="24"/>
        </w:rPr>
        <w:t xml:space="preserve">diskusijas ar dalībvalstīm par tematiskajām prioritātēm, kādām IDA resursi būtu </w:t>
      </w:r>
      <w:r w:rsidR="00205B01">
        <w:rPr>
          <w:szCs w:val="24"/>
        </w:rPr>
        <w:t>novirzāmi</w:t>
      </w:r>
      <w:r w:rsidR="007D7C69">
        <w:rPr>
          <w:szCs w:val="24"/>
        </w:rPr>
        <w:t>, kā arī finansējuma apjomu to realizēšanai</w:t>
      </w:r>
      <w:r w:rsidR="0027391B">
        <w:rPr>
          <w:szCs w:val="24"/>
        </w:rPr>
        <w:t>.</w:t>
      </w:r>
    </w:p>
    <w:p w14:paraId="2C257674" w14:textId="77777777" w:rsidR="000D5BC0" w:rsidRPr="00AE1DDC" w:rsidRDefault="0027391B" w:rsidP="0027391B">
      <w:pPr>
        <w:spacing w:after="60" w:line="240" w:lineRule="auto"/>
        <w:jc w:val="both"/>
        <w:rPr>
          <w:szCs w:val="24"/>
        </w:rPr>
      </w:pPr>
      <w:r>
        <w:rPr>
          <w:szCs w:val="24"/>
        </w:rPr>
        <w:t>Sarunas par IDA19 resursu papildināšanu laika posmam no 2021. līdz 2023.gadam tika uzsāktas 2019.gada aprīlī un noslēgsies š.g. decembrī.</w:t>
      </w:r>
      <w:r w:rsidR="007D7C69">
        <w:rPr>
          <w:rStyle w:val="FootnoteReference"/>
          <w:szCs w:val="24"/>
        </w:rPr>
        <w:footnoteReference w:id="6"/>
      </w:r>
      <w:r>
        <w:rPr>
          <w:szCs w:val="24"/>
        </w:rPr>
        <w:t xml:space="preserve"> </w:t>
      </w:r>
      <w:r w:rsidR="00205B01">
        <w:rPr>
          <w:szCs w:val="24"/>
        </w:rPr>
        <w:t>Ši</w:t>
      </w:r>
      <w:r>
        <w:rPr>
          <w:szCs w:val="24"/>
        </w:rPr>
        <w:t xml:space="preserve">s informatīvais ziņojums ir sagatavots, lai </w:t>
      </w:r>
      <w:r w:rsidR="00205B01">
        <w:rPr>
          <w:szCs w:val="24"/>
        </w:rPr>
        <w:t>informētu par IDA19 resursu papildināšanas</w:t>
      </w:r>
      <w:r w:rsidR="004008DE">
        <w:rPr>
          <w:szCs w:val="24"/>
        </w:rPr>
        <w:t xml:space="preserve"> procesu,</w:t>
      </w:r>
      <w:r w:rsidR="00205B01">
        <w:rPr>
          <w:szCs w:val="24"/>
        </w:rPr>
        <w:t xml:space="preserve"> mērķiem un prioritātēm</w:t>
      </w:r>
      <w:r w:rsidR="004008DE">
        <w:rPr>
          <w:szCs w:val="24"/>
        </w:rPr>
        <w:t>,</w:t>
      </w:r>
      <w:r w:rsidR="00205B01">
        <w:rPr>
          <w:szCs w:val="24"/>
        </w:rPr>
        <w:t xml:space="preserve"> un</w:t>
      </w:r>
      <w:r w:rsidR="004008DE">
        <w:rPr>
          <w:szCs w:val="24"/>
        </w:rPr>
        <w:t xml:space="preserve"> lai</w:t>
      </w:r>
      <w:r w:rsidR="00205B01">
        <w:rPr>
          <w:szCs w:val="24"/>
        </w:rPr>
        <w:t xml:space="preserve"> </w:t>
      </w:r>
      <w:r>
        <w:rPr>
          <w:szCs w:val="24"/>
        </w:rPr>
        <w:t>apstiprinātu Latvijas iemaksu apmēru</w:t>
      </w:r>
      <w:r w:rsidR="00620464">
        <w:rPr>
          <w:szCs w:val="24"/>
        </w:rPr>
        <w:t>. Š</w:t>
      </w:r>
      <w:r w:rsidR="000D5BC0" w:rsidRPr="00AE1DDC">
        <w:rPr>
          <w:szCs w:val="24"/>
        </w:rPr>
        <w:t>.g. 1</w:t>
      </w:r>
      <w:r w:rsidR="00C5001E">
        <w:rPr>
          <w:szCs w:val="24"/>
        </w:rPr>
        <w:t>1</w:t>
      </w:r>
      <w:r w:rsidR="000D5BC0" w:rsidRPr="00AE1DDC">
        <w:rPr>
          <w:szCs w:val="24"/>
        </w:rPr>
        <w:t>.</w:t>
      </w:r>
      <w:r w:rsidR="00C5001E">
        <w:rPr>
          <w:szCs w:val="24"/>
        </w:rPr>
        <w:t>–13</w:t>
      </w:r>
      <w:r w:rsidR="000D5BC0">
        <w:rPr>
          <w:szCs w:val="24"/>
        </w:rPr>
        <w:t>.</w:t>
      </w:r>
      <w:r w:rsidR="000D5BC0" w:rsidRPr="00AE1DDC">
        <w:rPr>
          <w:szCs w:val="24"/>
        </w:rPr>
        <w:t xml:space="preserve">decembrī </w:t>
      </w:r>
      <w:r w:rsidR="001A6CAD">
        <w:rPr>
          <w:szCs w:val="24"/>
        </w:rPr>
        <w:t>Stokholmā, Zviedrijā</w:t>
      </w:r>
      <w:r w:rsidR="00620464">
        <w:rPr>
          <w:szCs w:val="24"/>
        </w:rPr>
        <w:t xml:space="preserve"> notiks noslēdzošā IDA19 sanāksme, kurā dalībvalstis paziņos par plānoto iemaksu apmēru.</w:t>
      </w:r>
    </w:p>
    <w:p w14:paraId="343E1962" w14:textId="77777777" w:rsidR="00CB3DFE" w:rsidRDefault="00CB3DFE" w:rsidP="00AA783C">
      <w:pPr>
        <w:spacing w:after="60" w:line="240" w:lineRule="auto"/>
        <w:ind w:firstLine="720"/>
        <w:jc w:val="both"/>
        <w:rPr>
          <w:szCs w:val="24"/>
        </w:rPr>
      </w:pPr>
    </w:p>
    <w:p w14:paraId="4D6084E4" w14:textId="77777777" w:rsidR="004F22A2" w:rsidRPr="004F22A2" w:rsidRDefault="00620464" w:rsidP="00AA783C">
      <w:pPr>
        <w:spacing w:after="60" w:line="240" w:lineRule="auto"/>
        <w:ind w:firstLine="720"/>
        <w:jc w:val="center"/>
        <w:rPr>
          <w:b/>
          <w:szCs w:val="24"/>
        </w:rPr>
      </w:pPr>
      <w:r>
        <w:rPr>
          <w:b/>
          <w:szCs w:val="24"/>
        </w:rPr>
        <w:t>I.  Izaicinājumi</w:t>
      </w:r>
      <w:r w:rsidR="00524A17" w:rsidRPr="00524A17">
        <w:rPr>
          <w:b/>
          <w:szCs w:val="24"/>
        </w:rPr>
        <w:t xml:space="preserve"> </w:t>
      </w:r>
      <w:r>
        <w:rPr>
          <w:b/>
          <w:szCs w:val="24"/>
        </w:rPr>
        <w:t>globālās nabadzības mazināšanā un Pasaules Bankas loma to risināšanā</w:t>
      </w:r>
    </w:p>
    <w:p w14:paraId="0AD6F2D4" w14:textId="77777777" w:rsidR="00075E42" w:rsidRDefault="001C2D4E" w:rsidP="00AA783C">
      <w:pPr>
        <w:spacing w:after="60" w:line="240" w:lineRule="auto"/>
        <w:jc w:val="both"/>
      </w:pPr>
      <w:r>
        <w:t xml:space="preserve">Saskaņā ar </w:t>
      </w:r>
      <w:r w:rsidRPr="001C2D4E">
        <w:t>I</w:t>
      </w:r>
      <w:r>
        <w:t>DA19 pārstāvju ziņojuma projektu p</w:t>
      </w:r>
      <w:r w:rsidR="00BA3863">
        <w:t xml:space="preserve">ēdējo 25 gadu laikā </w:t>
      </w:r>
      <w:r w:rsidR="0086090E">
        <w:t xml:space="preserve">ir sasniegts ievērojams progress </w:t>
      </w:r>
      <w:r w:rsidR="00BA3863">
        <w:t>n</w:t>
      </w:r>
      <w:r w:rsidR="00F4389A">
        <w:t>abadzības samazināšanā un dzīves standartu uzlabošanā</w:t>
      </w:r>
      <w:r w:rsidR="0086090E">
        <w:t xml:space="preserve"> pasaulē </w:t>
      </w:r>
      <w:r w:rsidR="00F4389A">
        <w:t>–</w:t>
      </w:r>
      <w:r w:rsidR="00BA3863">
        <w:t xml:space="preserve"> </w:t>
      </w:r>
      <w:r w:rsidR="00F4389A">
        <w:t>galējās nabadzības rādītājs ir samazinājies no 36% 1990.gadā līdz aptuveni 8.6% 2018.gadā.</w:t>
      </w:r>
      <w:r w:rsidR="00F4389A">
        <w:rPr>
          <w:rStyle w:val="FootnoteReference"/>
        </w:rPr>
        <w:footnoteReference w:id="7"/>
      </w:r>
      <w:r w:rsidR="00F4389A">
        <w:t xml:space="preserve"> </w:t>
      </w:r>
      <w:r w:rsidR="00BA3863">
        <w:t>Paredzamais d</w:t>
      </w:r>
      <w:r w:rsidR="00F4389A">
        <w:t xml:space="preserve">zīves ilgums ir palielinājies par vairāk kā sešiem gadiem, </w:t>
      </w:r>
      <w:r w:rsidR="00F4389A">
        <w:lastRenderedPageBreak/>
        <w:t>bērnu īpatsvars, kas neapmeklē skolu, ir samazinājies par aptuveni pusi</w:t>
      </w:r>
      <w:r w:rsidR="00BA3863">
        <w:t>,</w:t>
      </w:r>
      <w:r w:rsidR="00F4389A">
        <w:t xml:space="preserve"> un dzemdībās mirušo sieviešu skaits sa</w:t>
      </w:r>
      <w:r w:rsidR="00BA3863">
        <w:t>mazinājies par 44%.</w:t>
      </w:r>
      <w:r w:rsidR="0086090E">
        <w:t xml:space="preserve"> </w:t>
      </w:r>
      <w:r w:rsidR="00BA3863">
        <w:t xml:space="preserve">Tai pat laikā nabadzības samazināšanās nav notikusi vienmērīgi visās valstīs un globālā līmenī nabadzības samazināšanās palēninās. 2002.-2015.gadā galēja nabadzība </w:t>
      </w:r>
      <w:r w:rsidR="007C5555">
        <w:t>IDA</w:t>
      </w:r>
      <w:r w:rsidR="00BA3863">
        <w:t xml:space="preserve"> valstīs samazinājās no 49% līdz 31%, salīdzinot ar pārējām attīstības valstīm, kur šis īpatsvars noslīdēja no 26% līdz 5.6%. </w:t>
      </w:r>
      <w:r w:rsidR="00020216">
        <w:t xml:space="preserve">Turklāt nabadzības samazināšanās temps ir palēninājies kopš 2013.gada. </w:t>
      </w:r>
      <w:r w:rsidR="009C4B99">
        <w:t>Pasaules Bankas divkāršais mērķis (</w:t>
      </w:r>
      <w:proofErr w:type="spellStart"/>
      <w:r w:rsidR="009C4B99" w:rsidRPr="00AE1DDC">
        <w:rPr>
          <w:i/>
          <w:szCs w:val="24"/>
        </w:rPr>
        <w:t>Twin</w:t>
      </w:r>
      <w:proofErr w:type="spellEnd"/>
      <w:r w:rsidR="009C4B99" w:rsidRPr="00AE1DDC">
        <w:rPr>
          <w:i/>
          <w:szCs w:val="24"/>
        </w:rPr>
        <w:t xml:space="preserve"> </w:t>
      </w:r>
      <w:proofErr w:type="spellStart"/>
      <w:r w:rsidR="009C4B99" w:rsidRPr="00AE1DDC">
        <w:rPr>
          <w:i/>
          <w:szCs w:val="24"/>
        </w:rPr>
        <w:t>Goals</w:t>
      </w:r>
      <w:proofErr w:type="spellEnd"/>
      <w:r w:rsidR="009C4B99" w:rsidRPr="00AE1DDC">
        <w:rPr>
          <w:szCs w:val="24"/>
        </w:rPr>
        <w:t xml:space="preserve">) </w:t>
      </w:r>
      <w:r w:rsidR="009C4B99">
        <w:rPr>
          <w:szCs w:val="24"/>
        </w:rPr>
        <w:t xml:space="preserve">ir </w:t>
      </w:r>
      <w:r w:rsidR="009C4B99" w:rsidRPr="00AE1DDC">
        <w:rPr>
          <w:szCs w:val="24"/>
        </w:rPr>
        <w:t xml:space="preserve"> novērst galējo</w:t>
      </w:r>
      <w:r w:rsidR="009C4B99">
        <w:rPr>
          <w:szCs w:val="24"/>
        </w:rPr>
        <w:t xml:space="preserve"> nabadzību un veicināt</w:t>
      </w:r>
      <w:r w:rsidR="009C4B99" w:rsidRPr="00AE1DDC">
        <w:rPr>
          <w:szCs w:val="24"/>
        </w:rPr>
        <w:t xml:space="preserve"> ilgtspējīgu labklājību.</w:t>
      </w:r>
      <w:r w:rsidR="009C4B99">
        <w:rPr>
          <w:szCs w:val="24"/>
        </w:rPr>
        <w:t xml:space="preserve"> Galējas nabadzības novēršanas mērķis paredz līdz 2030.gadam līdz 3% samazināt to iedzīvotāju īpatsvaru, kas dzīvo zem US$1.25 dienā, savukārt ilgtspējīgas labklājības mērķis paredz uzlabot dzīves apstākļus 40% nabadzīgākajiem iedzīvotājiem</w:t>
      </w:r>
      <w:r w:rsidR="009C4B99" w:rsidRPr="009C4B99">
        <w:rPr>
          <w:szCs w:val="24"/>
        </w:rPr>
        <w:t xml:space="preserve"> </w:t>
      </w:r>
      <w:r w:rsidR="009C4B99">
        <w:rPr>
          <w:szCs w:val="24"/>
        </w:rPr>
        <w:t>katrā valstī</w:t>
      </w:r>
      <w:r w:rsidR="009C4B99" w:rsidRPr="00814E7A">
        <w:rPr>
          <w:szCs w:val="24"/>
        </w:rPr>
        <w:t>.</w:t>
      </w:r>
      <w:r w:rsidR="00814E7A" w:rsidRPr="00814E7A">
        <w:rPr>
          <w:szCs w:val="24"/>
        </w:rPr>
        <w:t xml:space="preserve"> </w:t>
      </w:r>
      <w:r w:rsidR="00020216" w:rsidRPr="00814E7A">
        <w:t>Atbilstoši Pasaules Bankas prognozēm</w:t>
      </w:r>
      <w:r w:rsidR="009C4B99" w:rsidRPr="00814E7A">
        <w:t>, galējas nabadzības samazināšanas mērķi</w:t>
      </w:r>
      <w:r w:rsidR="009447F9" w:rsidRPr="00814E7A">
        <w:t xml:space="preserve"> varētu sasniegt</w:t>
      </w:r>
      <w:r w:rsidR="009C4B99" w:rsidRPr="00814E7A">
        <w:t>,</w:t>
      </w:r>
      <w:r w:rsidR="009447F9" w:rsidRPr="00814E7A">
        <w:t xml:space="preserve"> ja</w:t>
      </w:r>
      <w:r w:rsidR="009C4B99" w:rsidRPr="00814E7A">
        <w:t xml:space="preserve"> </w:t>
      </w:r>
      <w:r w:rsidR="00020216" w:rsidRPr="00814E7A">
        <w:t>visu valstu iek</w:t>
      </w:r>
      <w:r w:rsidR="009447F9" w:rsidRPr="00814E7A">
        <w:t>šzemes</w:t>
      </w:r>
      <w:r w:rsidR="009C4B99" w:rsidRPr="00814E7A">
        <w:t xml:space="preserve"> kopprodukt</w:t>
      </w:r>
      <w:r w:rsidR="009447F9" w:rsidRPr="00814E7A">
        <w:t>s</w:t>
      </w:r>
      <w:r w:rsidR="009C4B99" w:rsidRPr="00814E7A">
        <w:t xml:space="preserve"> (IKP) </w:t>
      </w:r>
      <w:r w:rsidR="00020216" w:rsidRPr="00814E7A">
        <w:t xml:space="preserve">uz vienu iedzīvotāju </w:t>
      </w:r>
      <w:r w:rsidR="009447F9" w:rsidRPr="00814E7A">
        <w:t xml:space="preserve">pieaugtu </w:t>
      </w:r>
      <w:r w:rsidR="009C4B99" w:rsidRPr="00814E7A">
        <w:t xml:space="preserve">par </w:t>
      </w:r>
      <w:r w:rsidR="00020216" w:rsidRPr="00814E7A">
        <w:t>vidēji 6% gadā</w:t>
      </w:r>
      <w:r w:rsidR="00814E7A" w:rsidRPr="00814E7A">
        <w:t>, bet</w:t>
      </w:r>
      <w:r w:rsidR="009C4B99" w:rsidRPr="00814E7A">
        <w:t xml:space="preserve"> 40% nabadzīgāko pasaules iedzīvotāju ienākumi </w:t>
      </w:r>
      <w:r w:rsidR="00814E7A" w:rsidRPr="00814E7A">
        <w:t xml:space="preserve">pieaugtu </w:t>
      </w:r>
      <w:r w:rsidR="009C4B99" w:rsidRPr="00814E7A">
        <w:t>par 2% ātrāk nekā vidēj</w:t>
      </w:r>
      <w:r w:rsidR="00814E7A" w:rsidRPr="00814E7A">
        <w:t>i. Šo</w:t>
      </w:r>
      <w:r w:rsidR="00020216" w:rsidRPr="00814E7A">
        <w:t xml:space="preserve"> mērķi varētu sasniegt</w:t>
      </w:r>
      <w:r w:rsidR="00814E7A" w:rsidRPr="00814E7A">
        <w:t xml:space="preserve"> arī tad</w:t>
      </w:r>
      <w:r w:rsidR="00020216" w:rsidRPr="00814E7A">
        <w:t xml:space="preserve">, ja visu valstu izaugsmes temps pieaugtu vidēji par 8%. </w:t>
      </w:r>
      <w:r w:rsidR="00814E7A" w:rsidRPr="00814E7A">
        <w:t>Jebkurā no scenārijiem</w:t>
      </w:r>
      <w:r w:rsidR="00020216" w:rsidRPr="00814E7A">
        <w:t xml:space="preserve"> </w:t>
      </w:r>
      <w:r w:rsidR="007C5555" w:rsidRPr="00814E7A">
        <w:t>IDA</w:t>
      </w:r>
      <w:r w:rsidR="00020216" w:rsidRPr="00814E7A">
        <w:t xml:space="preserve"> valstīm būtu nepieciešams </w:t>
      </w:r>
      <w:r w:rsidR="00814E7A" w:rsidRPr="00814E7A">
        <w:t>paātrināt</w:t>
      </w:r>
      <w:r w:rsidR="00020216" w:rsidRPr="00814E7A">
        <w:t xml:space="preserve"> progresu nabadzības samazināšanā.</w:t>
      </w:r>
    </w:p>
    <w:p w14:paraId="732E53E1" w14:textId="77777777" w:rsidR="001A5A0D" w:rsidRDefault="00814E7A" w:rsidP="00AA783C">
      <w:pPr>
        <w:spacing w:after="60" w:line="240" w:lineRule="auto"/>
        <w:jc w:val="both"/>
      </w:pPr>
      <w:r>
        <w:t>Pasaules i</w:t>
      </w:r>
      <w:r w:rsidR="00A44522">
        <w:t xml:space="preserve">edzīvotāju skaits pastāvīgi pieaug un </w:t>
      </w:r>
      <w:r w:rsidR="00446894">
        <w:t xml:space="preserve">nabadzība </w:t>
      </w:r>
      <w:r w:rsidR="00A44522">
        <w:t xml:space="preserve">arvien vairāk </w:t>
      </w:r>
      <w:r w:rsidR="00446894">
        <w:t xml:space="preserve">koncentrējas tieši </w:t>
      </w:r>
      <w:r w:rsidR="007C5555">
        <w:t>IDA</w:t>
      </w:r>
      <w:r w:rsidR="00446894">
        <w:t xml:space="preserve"> valstīs. </w:t>
      </w:r>
      <w:r>
        <w:t xml:space="preserve">2000.-2018.gadā </w:t>
      </w:r>
      <w:r w:rsidR="00446894">
        <w:t>IKP izaugsme</w:t>
      </w:r>
      <w:r w:rsidR="007C5E30">
        <w:t>s īpatsvars</w:t>
      </w:r>
      <w:r w:rsidR="00446894">
        <w:t xml:space="preserve"> </w:t>
      </w:r>
      <w:r w:rsidR="007C5555">
        <w:t>IDA</w:t>
      </w:r>
      <w:r w:rsidR="00446894">
        <w:t xml:space="preserve"> valstīs </w:t>
      </w:r>
      <w:r>
        <w:t>sastādīja</w:t>
      </w:r>
      <w:r w:rsidR="007C5E30">
        <w:t xml:space="preserve"> </w:t>
      </w:r>
      <w:r w:rsidR="00446894">
        <w:t xml:space="preserve">vidēji 5.5%, kas ir gandrīz divreiz </w:t>
      </w:r>
      <w:r w:rsidR="007C5E30">
        <w:t>augstāks</w:t>
      </w:r>
      <w:r w:rsidR="00446894">
        <w:t xml:space="preserve"> par vidējo </w:t>
      </w:r>
      <w:r w:rsidR="007C5E30">
        <w:t xml:space="preserve">izaugsmes </w:t>
      </w:r>
      <w:r w:rsidR="00446894">
        <w:t>īpatsvaru pasaul</w:t>
      </w:r>
      <w:r w:rsidR="007C5E30">
        <w:t>ē</w:t>
      </w:r>
      <w:r w:rsidR="00446894">
        <w:t xml:space="preserve"> </w:t>
      </w:r>
      <w:r>
        <w:t xml:space="preserve">jeb </w:t>
      </w:r>
      <w:r w:rsidR="00446894">
        <w:t>2.9%</w:t>
      </w:r>
      <w:r>
        <w:t xml:space="preserve">, tomēr tas nav pietiekams </w:t>
      </w:r>
      <w:r w:rsidR="007C5E30">
        <w:t>galējas</w:t>
      </w:r>
      <w:r w:rsidR="00446894">
        <w:t xml:space="preserve"> nabadzīb</w:t>
      </w:r>
      <w:r>
        <w:t>as novēršanas mērķa sasniegšanai līdz 2030.gadam</w:t>
      </w:r>
      <w:r w:rsidR="00446894">
        <w:t xml:space="preserve">. Pasaulē </w:t>
      </w:r>
      <w:r>
        <w:t xml:space="preserve">kopumā </w:t>
      </w:r>
      <w:r w:rsidR="007C5E30">
        <w:t>ir</w:t>
      </w:r>
      <w:r w:rsidR="00446894">
        <w:t xml:space="preserve"> vairāk kā 730 miljonu galēji nabadzīgo iedzīvotāju, no tiem 479 miljoni dzīvo </w:t>
      </w:r>
      <w:r w:rsidR="007C5555">
        <w:t>IDA</w:t>
      </w:r>
      <w:r w:rsidR="00446894">
        <w:t xml:space="preserve"> valstīs, no kuriem savukārt 393 miljoni dzīvo </w:t>
      </w:r>
      <w:proofErr w:type="spellStart"/>
      <w:r w:rsidR="00446894">
        <w:t>Subsahāras</w:t>
      </w:r>
      <w:proofErr w:type="spellEnd"/>
      <w:r w:rsidR="00446894">
        <w:t xml:space="preserve"> Āfrikā un 171 miljons</w:t>
      </w:r>
      <w:r w:rsidR="007C5E30">
        <w:t xml:space="preserve"> </w:t>
      </w:r>
      <w:r w:rsidR="007C5555">
        <w:t>IDA</w:t>
      </w:r>
      <w:r w:rsidR="007C5E30">
        <w:t xml:space="preserve"> nestabilo</w:t>
      </w:r>
      <w:r w:rsidR="00446894">
        <w:t xml:space="preserve">s un konfliktu skartos reģionos. No pasaules 28 nabadzīgākajām valstīm 27 ir </w:t>
      </w:r>
      <w:proofErr w:type="spellStart"/>
      <w:r w:rsidR="00446894">
        <w:t>Subsahāras</w:t>
      </w:r>
      <w:proofErr w:type="spellEnd"/>
      <w:r w:rsidR="00446894">
        <w:t xml:space="preserve"> Āfrikas valstis, kurās nabadzības rādītājs pārsniedz 30%.</w:t>
      </w:r>
      <w:r w:rsidR="001A5A0D">
        <w:t xml:space="preserve"> </w:t>
      </w:r>
      <w:r>
        <w:t>Turklāt</w:t>
      </w:r>
      <w:r w:rsidR="005030CC">
        <w:t xml:space="preserve"> </w:t>
      </w:r>
      <w:r w:rsidR="007C5555">
        <w:t>IDA</w:t>
      </w:r>
      <w:r w:rsidR="00BC1CC7">
        <w:t xml:space="preserve"> valstis</w:t>
      </w:r>
      <w:r w:rsidR="005030CC">
        <w:t xml:space="preserve"> </w:t>
      </w:r>
      <w:r>
        <w:t xml:space="preserve">neuzrāda pietiekamu </w:t>
      </w:r>
      <w:r w:rsidR="005030CC">
        <w:t>progres</w:t>
      </w:r>
      <w:r>
        <w:t>u</w:t>
      </w:r>
      <w:r w:rsidR="005030CC">
        <w:t xml:space="preserve"> ilgtspējīg</w:t>
      </w:r>
      <w:r>
        <w:t>as attīstības mērķu sasniegšanā –</w:t>
      </w:r>
      <w:r w:rsidR="005030CC">
        <w:t xml:space="preserve"> </w:t>
      </w:r>
      <w:r>
        <w:t>t</w:t>
      </w:r>
      <w:r w:rsidR="005030CC">
        <w:t>ikai</w:t>
      </w:r>
      <w:r>
        <w:t xml:space="preserve"> </w:t>
      </w:r>
      <w:r w:rsidR="005030CC">
        <w:t xml:space="preserve">trim no pieciem </w:t>
      </w:r>
      <w:r w:rsidR="007C5555">
        <w:t>IDA</w:t>
      </w:r>
      <w:r w:rsidR="005030CC">
        <w:t xml:space="preserve"> valstu iedzīvotājiem ir pieejama elektrība, divi</w:t>
      </w:r>
      <w:r w:rsidR="00CB729D">
        <w:t>em no trim cilvēkiem ir pieejams</w:t>
      </w:r>
      <w:r>
        <w:t xml:space="preserve"> dzeram</w:t>
      </w:r>
      <w:r w:rsidR="00CB729D">
        <w:t>ais</w:t>
      </w:r>
      <w:r>
        <w:t xml:space="preserve"> ūdens</w:t>
      </w:r>
      <w:r w:rsidR="00BC1CC7">
        <w:t>,</w:t>
      </w:r>
      <w:r w:rsidR="005030CC">
        <w:t xml:space="preserve"> </w:t>
      </w:r>
      <w:r w:rsidR="00BC1CC7">
        <w:t>m</w:t>
      </w:r>
      <w:r w:rsidR="005030CC">
        <w:t xml:space="preserve">azāk kā pusei </w:t>
      </w:r>
      <w:r w:rsidR="00E4631E">
        <w:t xml:space="preserve">no </w:t>
      </w:r>
      <w:r w:rsidR="007C5555">
        <w:t>IDA</w:t>
      </w:r>
      <w:r w:rsidR="005030CC">
        <w:t xml:space="preserve"> </w:t>
      </w:r>
      <w:r w:rsidR="00BC1CC7">
        <w:t xml:space="preserve">valstu </w:t>
      </w:r>
      <w:r w:rsidR="005030CC">
        <w:t>iedzīvotāj</w:t>
      </w:r>
      <w:r w:rsidR="00E4631E">
        <w:t>iem</w:t>
      </w:r>
      <w:r w:rsidR="005030CC">
        <w:t xml:space="preserve"> ir pieejami pamat</w:t>
      </w:r>
      <w:r w:rsidR="00E4631E">
        <w:t>a</w:t>
      </w:r>
      <w:r w:rsidR="005030CC">
        <w:t xml:space="preserve"> sanitārijas pakalpojumi, salīdzinot ar </w:t>
      </w:r>
      <w:r w:rsidR="00E4631E">
        <w:t xml:space="preserve">75% </w:t>
      </w:r>
      <w:r w:rsidR="00CB729D">
        <w:t>vidējo pasaules rādītāju</w:t>
      </w:r>
      <w:r w:rsidR="005030CC">
        <w:t xml:space="preserve">. </w:t>
      </w:r>
      <w:r w:rsidR="00BC1CC7">
        <w:t>Vienai piektdaļai</w:t>
      </w:r>
      <w:r w:rsidR="005030CC">
        <w:t xml:space="preserve"> </w:t>
      </w:r>
      <w:r w:rsidR="007C5555">
        <w:t>IDA</w:t>
      </w:r>
      <w:r w:rsidR="00BC1CC7">
        <w:t xml:space="preserve"> valstu iedzīvotāju</w:t>
      </w:r>
      <w:r w:rsidR="005030CC">
        <w:t xml:space="preserve"> ir nepietiekams uzturs </w:t>
      </w:r>
      <w:r w:rsidR="00BC1CC7">
        <w:t>un</w:t>
      </w:r>
      <w:r w:rsidR="005030CC">
        <w:t xml:space="preserve"> šis rādītājs nav mazinājies pēdējo 10 gadu laikā. Sieviešu lasītprasmes rādītājs </w:t>
      </w:r>
      <w:r w:rsidR="007C5555">
        <w:t>IDA</w:t>
      </w:r>
      <w:r w:rsidR="005030CC">
        <w:t xml:space="preserve"> valstī</w:t>
      </w:r>
      <w:r w:rsidR="00CB729D">
        <w:t>s ir tikai 55%, bet vīriešiem 70%</w:t>
      </w:r>
      <w:r w:rsidR="005030CC">
        <w:t>.</w:t>
      </w:r>
    </w:p>
    <w:p w14:paraId="5354C6AA" w14:textId="77777777" w:rsidR="001A5A0D" w:rsidRDefault="00CB729D" w:rsidP="00AA783C">
      <w:pPr>
        <w:spacing w:after="60" w:line="240" w:lineRule="auto"/>
        <w:jc w:val="both"/>
      </w:pPr>
      <w:r>
        <w:t xml:space="preserve">Apstākļi </w:t>
      </w:r>
      <w:r w:rsidR="005030CC">
        <w:t xml:space="preserve">nestabilos un konfliktu skartos reģionos pasliktinās un tas aizkavē ilgtspējīgas attīstības mērķu sasniegšanu. </w:t>
      </w:r>
      <w:r w:rsidR="000607EE">
        <w:t>Situācija ar p</w:t>
      </w:r>
      <w:r w:rsidR="005030CC">
        <w:t>iespiedu kārtā pārvietot</w:t>
      </w:r>
      <w:r w:rsidR="000607EE">
        <w:t>iem</w:t>
      </w:r>
      <w:r w:rsidR="005030CC">
        <w:t xml:space="preserve"> iedzīvotāj</w:t>
      </w:r>
      <w:r w:rsidR="000607EE">
        <w:t>iem</w:t>
      </w:r>
      <w:r w:rsidR="005030CC">
        <w:t xml:space="preserve"> pasliktinās</w:t>
      </w:r>
      <w:r w:rsidR="000607EE">
        <w:t>,</w:t>
      </w:r>
      <w:r w:rsidR="005030CC">
        <w:t xml:space="preserve"> kļūst sarežģītāka u</w:t>
      </w:r>
      <w:r w:rsidR="000607EE">
        <w:t>n ieilgst, radot nopietnu sociāli</w:t>
      </w:r>
      <w:r w:rsidR="005030CC">
        <w:t>-ekonomisk</w:t>
      </w:r>
      <w:r w:rsidR="000607EE">
        <w:t>u</w:t>
      </w:r>
      <w:r w:rsidR="005030CC">
        <w:t xml:space="preserve"> ietekm</w:t>
      </w:r>
      <w:r w:rsidR="000607EE">
        <w:t>i</w:t>
      </w:r>
      <w:r w:rsidR="005030CC">
        <w:t xml:space="preserve"> gan uz bēgļiem, gan bēgļus uzņemošajām </w:t>
      </w:r>
      <w:r w:rsidR="001A5A0D">
        <w:t>kopienām</w:t>
      </w:r>
      <w:r w:rsidR="005030CC">
        <w:t>.</w:t>
      </w:r>
      <w:r w:rsidR="00986120">
        <w:t xml:space="preserve"> Papildus šiem izaicinājumiem aptuveni divas trešdaļas </w:t>
      </w:r>
      <w:r w:rsidR="000607EE">
        <w:t xml:space="preserve">no </w:t>
      </w:r>
      <w:r w:rsidR="00986120">
        <w:t>nestabil</w:t>
      </w:r>
      <w:r w:rsidR="000607EE">
        <w:t>ām</w:t>
      </w:r>
      <w:r w:rsidR="00986120">
        <w:t xml:space="preserve"> un konfliktu skart</w:t>
      </w:r>
      <w:r w:rsidR="000607EE">
        <w:t xml:space="preserve">ām </w:t>
      </w:r>
      <w:r w:rsidR="007C5555">
        <w:t>IDA</w:t>
      </w:r>
      <w:r w:rsidR="00986120">
        <w:t xml:space="preserve"> valst</w:t>
      </w:r>
      <w:r w:rsidR="000607EE">
        <w:t>īm</w:t>
      </w:r>
      <w:r w:rsidR="00986120">
        <w:t xml:space="preserve"> ir </w:t>
      </w:r>
      <w:r w:rsidR="000607EE">
        <w:t xml:space="preserve">ar </w:t>
      </w:r>
      <w:r w:rsidR="00986120">
        <w:t>augst</w:t>
      </w:r>
      <w:r w:rsidR="001A5A0D">
        <w:t>u parāda</w:t>
      </w:r>
      <w:r w:rsidR="00986120">
        <w:t xml:space="preserve"> risk</w:t>
      </w:r>
      <w:r w:rsidR="000607EE">
        <w:t>u</w:t>
      </w:r>
      <w:r w:rsidR="00986120">
        <w:t xml:space="preserve">, kas padara tās vēl ievainojamākas pret </w:t>
      </w:r>
      <w:r>
        <w:t>satricinājumiem</w:t>
      </w:r>
      <w:r w:rsidR="00986120">
        <w:t xml:space="preserve"> un </w:t>
      </w:r>
      <w:r w:rsidR="000607EE">
        <w:t xml:space="preserve">tādējādi </w:t>
      </w:r>
      <w:r w:rsidR="00986120">
        <w:t xml:space="preserve">vēl vairāk mazina </w:t>
      </w:r>
      <w:r w:rsidR="001A5A0D">
        <w:t>to</w:t>
      </w:r>
      <w:r w:rsidR="000607EE">
        <w:t xml:space="preserve"> </w:t>
      </w:r>
      <w:r w:rsidR="00986120">
        <w:t>iespējas ilgtspējīgi aizņemties, lai risinātu attīstības problēmas.</w:t>
      </w:r>
      <w:r w:rsidR="001A5A0D">
        <w:t xml:space="preserve"> </w:t>
      </w:r>
      <w:r w:rsidR="00986120">
        <w:t xml:space="preserve">Tāpat arī klimata pārmaiņas rada nopietnus draudus ilgtspējīgas ekonomikas attīstībai un nabadzības mazināšanai. Pasaules Bankas dati liecina, ka klimata pārmaiņas ietekmē lauksaimniecības un zivsaimniecības sistēmas, graujot iztikas iespējas </w:t>
      </w:r>
      <w:r w:rsidR="007C5555">
        <w:t>IDA</w:t>
      </w:r>
      <w:r w:rsidR="00986120">
        <w:t xml:space="preserve"> valstu iedzīvotājiem, jo īpaši tas raksturī</w:t>
      </w:r>
      <w:r w:rsidR="001A5A0D">
        <w:t>gs mazo salu valstīs. Ekstrēmie laikapstākļi</w:t>
      </w:r>
      <w:r w:rsidR="00986120">
        <w:t xml:space="preserve"> kā</w:t>
      </w:r>
      <w:r w:rsidR="001A5A0D">
        <w:t>, piemēram,</w:t>
      </w:r>
      <w:r w:rsidR="00986120">
        <w:t xml:space="preserve"> karstuma viļņi, cikloni, plūdi un sausums</w:t>
      </w:r>
      <w:r w:rsidR="001A5A0D">
        <w:t>,</w:t>
      </w:r>
      <w:r w:rsidR="00986120">
        <w:t xml:space="preserve"> nopietn</w:t>
      </w:r>
      <w:r w:rsidR="001A5A0D">
        <w:t>i</w:t>
      </w:r>
      <w:r w:rsidR="00986120">
        <w:t xml:space="preserve"> ietekm</w:t>
      </w:r>
      <w:r w:rsidR="001A5A0D">
        <w:t>ē</w:t>
      </w:r>
      <w:r w:rsidR="00986120">
        <w:t xml:space="preserve"> </w:t>
      </w:r>
      <w:r w:rsidR="007C5555">
        <w:t>IDA</w:t>
      </w:r>
      <w:r w:rsidR="001A5A0D">
        <w:t xml:space="preserve"> valstis</w:t>
      </w:r>
      <w:r w:rsidR="00986120">
        <w:t>, ņemot vērā to ierobežotos resursus</w:t>
      </w:r>
      <w:r w:rsidR="001A5A0D">
        <w:t xml:space="preserve"> </w:t>
      </w:r>
      <w:r w:rsidR="00986120">
        <w:t>pielāgoties šiem apstākļiem un tos mazināt. Tiek lēsts, ka dabas katastrofu rezultātā nabadzībā nonāk aptuve</w:t>
      </w:r>
      <w:r w:rsidR="001A5A0D">
        <w:t>ni 26 miljoni iedzīvotāju gadā.</w:t>
      </w:r>
    </w:p>
    <w:p w14:paraId="76563F32" w14:textId="77777777" w:rsidR="005874D0" w:rsidRDefault="007C5555" w:rsidP="00AA783C">
      <w:pPr>
        <w:spacing w:after="60" w:line="240" w:lineRule="auto"/>
        <w:jc w:val="both"/>
      </w:pPr>
      <w:r>
        <w:t>IDA</w:t>
      </w:r>
      <w:r w:rsidR="00524A17">
        <w:t xml:space="preserve"> valstu ekonomiskā izaugsme </w:t>
      </w:r>
      <w:r w:rsidR="00AC0E5E">
        <w:t xml:space="preserve">tiek prognozēta 4.6% apmērā, kas ir nepietiekams līmenis </w:t>
      </w:r>
      <w:r w:rsidR="00524A17">
        <w:t xml:space="preserve">nabadzības </w:t>
      </w:r>
      <w:r w:rsidR="001A5A0D">
        <w:t>sliekšņa</w:t>
      </w:r>
      <w:r w:rsidR="00AC0E5E">
        <w:t xml:space="preserve"> samazināšanai</w:t>
      </w:r>
      <w:r w:rsidR="00524A17">
        <w:t xml:space="preserve">. </w:t>
      </w:r>
      <w:r w:rsidR="00AC0E5E">
        <w:t>T</w:t>
      </w:r>
      <w:r w:rsidR="00524A17">
        <w:t>irdzniec</w:t>
      </w:r>
      <w:r w:rsidR="00AC0E5E">
        <w:t>ības saspīlējumu</w:t>
      </w:r>
      <w:r w:rsidR="00524A17">
        <w:t>,</w:t>
      </w:r>
      <w:r w:rsidR="00AC0E5E">
        <w:t xml:space="preserve"> kā arī</w:t>
      </w:r>
      <w:r w:rsidR="00524A17">
        <w:t xml:space="preserve"> </w:t>
      </w:r>
      <w:r w:rsidR="00524A17">
        <w:lastRenderedPageBreak/>
        <w:t>invest</w:t>
      </w:r>
      <w:r w:rsidR="00AC0E5E">
        <w:t>īciju un ražošanas samazināšanās rezultātā</w:t>
      </w:r>
      <w:r w:rsidR="00524A17">
        <w:t xml:space="preserve"> globālā izaugsme 2019.-2021.gadā </w:t>
      </w:r>
      <w:r w:rsidR="00AC0E5E">
        <w:t xml:space="preserve">tiek prognozēta 2.7% apmērā. </w:t>
      </w:r>
      <w:r w:rsidR="00524A17">
        <w:t xml:space="preserve">Pasaules lielāko valstu izaugsmes tempa straujais samazinājums atspoguļojas </w:t>
      </w:r>
      <w:r w:rsidR="00584F3E">
        <w:t>arī preču cenās</w:t>
      </w:r>
      <w:r w:rsidR="00524A17">
        <w:t>,</w:t>
      </w:r>
      <w:r w:rsidR="00584F3E">
        <w:t xml:space="preserve"> finanšu tirgu noskaņojuma maiņā</w:t>
      </w:r>
      <w:r w:rsidR="00524A17">
        <w:t xml:space="preserve"> </w:t>
      </w:r>
      <w:r w:rsidR="00584F3E">
        <w:t>un tirdzniecības nenoteiktībā. Ta</w:t>
      </w:r>
      <w:r w:rsidR="00CB729D">
        <w:t>s</w:t>
      </w:r>
      <w:r w:rsidR="0095679B">
        <w:t xml:space="preserve"> varētu negatīv</w:t>
      </w:r>
      <w:r w:rsidR="00CB729D">
        <w:t>i</w:t>
      </w:r>
      <w:r w:rsidR="0095679B">
        <w:t xml:space="preserve"> </w:t>
      </w:r>
      <w:r w:rsidR="00CB729D">
        <w:t xml:space="preserve">skart </w:t>
      </w:r>
      <w:r>
        <w:t>IDA</w:t>
      </w:r>
      <w:r w:rsidR="0095679B">
        <w:t xml:space="preserve"> valst</w:t>
      </w:r>
      <w:r w:rsidR="00CB729D">
        <w:t>is</w:t>
      </w:r>
      <w:r w:rsidR="00584F3E">
        <w:t>, ietekmējot investīcijas un pieprasījumu pēc IDA valstīs ražotām precēm un pakalpojumiem.</w:t>
      </w:r>
      <w:r w:rsidR="0095679B">
        <w:t xml:space="preserve"> </w:t>
      </w:r>
      <w:r>
        <w:t>IDA</w:t>
      </w:r>
      <w:r w:rsidR="0095679B">
        <w:t xml:space="preserve"> valstu ekonomiskā situācija past</w:t>
      </w:r>
      <w:r w:rsidR="00CB729D">
        <w:t xml:space="preserve">iprina nepieciešamību pēc IDA resursu </w:t>
      </w:r>
      <w:r w:rsidR="0095679B">
        <w:t>atbalsta.</w:t>
      </w:r>
    </w:p>
    <w:p w14:paraId="65C36064" w14:textId="77777777" w:rsidR="00A95F20" w:rsidRDefault="0095679B" w:rsidP="00AA783C">
      <w:pPr>
        <w:spacing w:after="60" w:line="240" w:lineRule="auto"/>
        <w:jc w:val="both"/>
      </w:pPr>
      <w:r>
        <w:t xml:space="preserve">Izaicinājumi, kas saistīti ar demogrāfiju un ekonomisko izaugsmi </w:t>
      </w:r>
      <w:r w:rsidR="007C5555">
        <w:t>IDA</w:t>
      </w:r>
      <w:r>
        <w:t xml:space="preserve"> valstīs</w:t>
      </w:r>
      <w:r w:rsidR="00615C23">
        <w:t>,</w:t>
      </w:r>
      <w:r>
        <w:t xml:space="preserve"> liecina par nepieciešamību fokusēties uz darba vietu radīšanu un ekonomikas transformāciju. Lai risinātu darba tirgus pieprasījumu, </w:t>
      </w:r>
      <w:r w:rsidR="007C5555">
        <w:t>IDA</w:t>
      </w:r>
      <w:r>
        <w:t xml:space="preserve"> valstīs turpmāko desmit gadu laikā ir nepieciešams radīt 20 miljonus darbavietu gadā. Trūkumi darba tirgū rada arī</w:t>
      </w:r>
      <w:r w:rsidR="005874D0">
        <w:t xml:space="preserve"> nopietnu migrācijas spiedienu. </w:t>
      </w:r>
      <w:r w:rsidR="00486C06">
        <w:t>Arī k</w:t>
      </w:r>
      <w:r>
        <w:t>limata pārmaiņ</w:t>
      </w:r>
      <w:r w:rsidR="00486C06">
        <w:t>ām</w:t>
      </w:r>
      <w:r>
        <w:t xml:space="preserve"> </w:t>
      </w:r>
      <w:r w:rsidR="00486C06">
        <w:t xml:space="preserve">ir </w:t>
      </w:r>
      <w:r w:rsidR="00C5001E">
        <w:t>būtiska</w:t>
      </w:r>
      <w:r w:rsidR="00486C06">
        <w:t xml:space="preserve"> </w:t>
      </w:r>
      <w:r>
        <w:t>ietekm</w:t>
      </w:r>
      <w:r w:rsidR="00486C06">
        <w:t>e uz</w:t>
      </w:r>
      <w:r>
        <w:t xml:space="preserve"> nabadzīgāk</w:t>
      </w:r>
      <w:r w:rsidR="00486C06">
        <w:t>ajām valstīm</w:t>
      </w:r>
      <w:r w:rsidR="00A95F20">
        <w:t>. Pasaules Bankas dati liecina, ka</w:t>
      </w:r>
      <w:r>
        <w:t xml:space="preserve"> politiskās rīcības trūkums</w:t>
      </w:r>
      <w:r w:rsidR="00A95F20">
        <w:t xml:space="preserve"> un</w:t>
      </w:r>
      <w:r>
        <w:t xml:space="preserve"> ārkārt</w:t>
      </w:r>
      <w:r w:rsidR="00A95F20">
        <w:t xml:space="preserve">as laikapstākļu radītie </w:t>
      </w:r>
      <w:r w:rsidR="00CB729D">
        <w:t>satricinājumi</w:t>
      </w:r>
      <w:r w:rsidR="00A95F20">
        <w:t xml:space="preserve"> līdz 2030.gadam var iedzīt galējā nabadzībā vēl 100 miljonus iedzīvotāju. </w:t>
      </w:r>
      <w:r w:rsidR="00486C06">
        <w:t>Turklāt k</w:t>
      </w:r>
      <w:r w:rsidR="00A95F20">
        <w:t>limata pārmaiņu ietekme ir viens no iekš</w:t>
      </w:r>
      <w:r w:rsidR="00486C06">
        <w:t>ējās migrācijas virzītājspēkiem –</w:t>
      </w:r>
      <w:r w:rsidR="00A95F20">
        <w:t xml:space="preserve"> līdz</w:t>
      </w:r>
      <w:r w:rsidR="00486C06">
        <w:t xml:space="preserve"> </w:t>
      </w:r>
      <w:r w:rsidR="00A95F20">
        <w:t>2050.gadam vairāk kā 143 miljonu iedzīvotāju</w:t>
      </w:r>
      <w:r w:rsidR="00A95F20">
        <w:rPr>
          <w:rStyle w:val="FootnoteReference"/>
        </w:rPr>
        <w:footnoteReference w:id="8"/>
      </w:r>
      <w:r w:rsidR="00A95F20">
        <w:t xml:space="preserve"> būs spiesti pārvietoties, lai izvairītos no klimata pārmaiņu ietekmes savā valstī. </w:t>
      </w:r>
      <w:r w:rsidR="00486C06">
        <w:t>T</w:t>
      </w:r>
      <w:r w:rsidR="00A95F20">
        <w:t>ūlītējas rīcības trūkums paaugstina nestabilitātes, konfliktu un vardarbības riskus, kas var nopietni ietekmēt 25 gadu laikā sasniegto progresu nabadz</w:t>
      </w:r>
      <w:r w:rsidR="00486C06">
        <w:t>ības mazināšanā. Pasaules Banka</w:t>
      </w:r>
      <w:r w:rsidR="00A95F20">
        <w:t xml:space="preserve"> </w:t>
      </w:r>
      <w:r w:rsidR="00486C06">
        <w:t>prognozē</w:t>
      </w:r>
      <w:r w:rsidR="00A95F20">
        <w:t>, ka līdz 2030.gadam aptuveni puse no pasaules nabadzīgajiem iedzīvotājiem dzīvos nestabilos un konfliktu skartos reģionos.</w:t>
      </w:r>
      <w:r w:rsidR="009B25AB">
        <w:t xml:space="preserve"> Saglabājoties esošajai situācijai nestabilos reģionos, nabadzīgo iedzīvotāju skaits </w:t>
      </w:r>
      <w:r w:rsidR="007C5555">
        <w:t>IDA</w:t>
      </w:r>
      <w:r w:rsidR="009B25AB">
        <w:t xml:space="preserve"> valstīs līdz 2030.gadam palielināsies par </w:t>
      </w:r>
      <w:r w:rsidR="00486C06">
        <w:t>200 miljoniem. Klimata pārmaiņām</w:t>
      </w:r>
      <w:r w:rsidR="009B25AB">
        <w:t>, demogrāfisk</w:t>
      </w:r>
      <w:r w:rsidR="00486C06">
        <w:t>ajām izmaiņām</w:t>
      </w:r>
      <w:r w:rsidR="00161698">
        <w:t>, piespiedu pārvietošanai</w:t>
      </w:r>
      <w:r w:rsidR="009B25AB">
        <w:t>, jaun</w:t>
      </w:r>
      <w:r w:rsidR="00486C06">
        <w:t>ajām tehnoloģijām</w:t>
      </w:r>
      <w:r w:rsidR="009B25AB">
        <w:t>, nelikumīg</w:t>
      </w:r>
      <w:r w:rsidR="00486C06">
        <w:t>ām</w:t>
      </w:r>
      <w:r w:rsidR="009B25AB">
        <w:t xml:space="preserve"> finanšu plūsm</w:t>
      </w:r>
      <w:r w:rsidR="00486C06">
        <w:t>ām</w:t>
      </w:r>
      <w:r w:rsidR="009B25AB">
        <w:t xml:space="preserve"> un vardarbīga</w:t>
      </w:r>
      <w:r w:rsidR="00486C06">
        <w:t>jam</w:t>
      </w:r>
      <w:r w:rsidR="009B25AB">
        <w:t xml:space="preserve"> ekstrēmism</w:t>
      </w:r>
      <w:r w:rsidR="00486C06">
        <w:t xml:space="preserve">am ir pārrobežu raksturs – tas izplatās </w:t>
      </w:r>
      <w:r w:rsidR="009B25AB">
        <w:t>reģion</w:t>
      </w:r>
      <w:r w:rsidR="00486C06">
        <w:t>āli</w:t>
      </w:r>
      <w:r w:rsidR="009B25AB">
        <w:t xml:space="preserve"> un </w:t>
      </w:r>
      <w:r w:rsidR="00486C06">
        <w:t>padziļina</w:t>
      </w:r>
      <w:r w:rsidR="009B25AB">
        <w:t xml:space="preserve"> </w:t>
      </w:r>
      <w:r w:rsidR="007C5555">
        <w:t>IDA</w:t>
      </w:r>
      <w:r w:rsidR="009B25AB">
        <w:t xml:space="preserve"> valstu ievainojamību pret </w:t>
      </w:r>
      <w:r w:rsidR="00CB729D">
        <w:t>satricinājumiem</w:t>
      </w:r>
      <w:r w:rsidR="009B25AB">
        <w:t xml:space="preserve"> un krīzēm.</w:t>
      </w:r>
    </w:p>
    <w:p w14:paraId="1355C6A8" w14:textId="77777777" w:rsidR="00CB729D" w:rsidRDefault="00CB729D" w:rsidP="00CB729D">
      <w:pPr>
        <w:spacing w:after="60" w:line="240" w:lineRule="auto"/>
        <w:jc w:val="both"/>
      </w:pPr>
      <w:r>
        <w:t xml:space="preserve">Saskaņā ar Pasaules Banka prognozēm, lai zemu un vidēju ienākumu valstis sasniegtu ilgtspējīgas </w:t>
      </w:r>
      <w:r w:rsidR="00615C23">
        <w:t>attīstības mērķus infrastruktūras</w:t>
      </w:r>
      <w:r>
        <w:t xml:space="preserve"> jomā, to investīciju vajadzības laika posmā no 2015. līdz 2030.gadam sastāda US$1.5-US$2.7 triljonus gadā. Arī Apvienoto Nāciju organizācija (ANO) norāda, ka attīstības valstīm ir nepieciešami papildus US$400 mljrd. investīcijām infrastruktūrā, veselības un izglītības sektorā. Tāpat nozīmīgs finansējums nepieciešams, lai uzlabotu publiskā sektora pakalpojumus, nodrošinātu vides aizsardzību un atjaunošanu, kā arī, lai mazinātu un pielāgotos klimata pārmaiņām.</w:t>
      </w:r>
    </w:p>
    <w:p w14:paraId="5CB2C4D7" w14:textId="77777777" w:rsidR="00CB729D" w:rsidRDefault="00CB729D" w:rsidP="00CB729D">
      <w:pPr>
        <w:spacing w:after="60" w:line="240" w:lineRule="auto"/>
        <w:jc w:val="both"/>
      </w:pPr>
      <w:r>
        <w:t xml:space="preserve">Daudzpusējās attīstības bankas spēlē nozīmīgu lomu privātā sektora investīciju mobilizēšanā, īpaši zemu ienākumu valstīs, kam ir kritiska nozīme oficiālās attīstības palīdzības (OAP) papildināšanā. OAP ir būtiskākais ārējā finansējuma avots IDA valstīm to attīstības vajadzību finansēšanai, tai pat laikā OAP apjomi samazinās, ņemot vērā </w:t>
      </w:r>
      <w:proofErr w:type="spellStart"/>
      <w:r>
        <w:t>grantu</w:t>
      </w:r>
      <w:proofErr w:type="spellEnd"/>
      <w:r>
        <w:t xml:space="preserve"> finansēšanas palielinājumu dabas katastrofu radīto seku risināšanai un humanitārās palīdzības sniegšanu bēgļiem valstīs, kas nav IDA saņēmējvalstis. Koncesijas finansējums no daudzpusējiem partneriem ir saglabājies stabils kopš 2010.gada, un IDA ir lielākais šāda finansējuma avots. Lai sasniegtu attīstības mērķus, IDA valstīm ir nepieciešams piesaistīt vairāk privātā finansējuma, OAP </w:t>
      </w:r>
      <w:proofErr w:type="spellStart"/>
      <w:r>
        <w:t>grantus</w:t>
      </w:r>
      <w:proofErr w:type="spellEnd"/>
      <w:r>
        <w:t xml:space="preserve">, kā arī palielināt koncesijas finansējumu. Pasaules Banka ir aprēķinājusi – ja visas </w:t>
      </w:r>
      <w:proofErr w:type="spellStart"/>
      <w:r>
        <w:t>donorvalstis</w:t>
      </w:r>
      <w:proofErr w:type="spellEnd"/>
      <w:r>
        <w:t xml:space="preserve"> sasniegt</w:t>
      </w:r>
      <w:r w:rsidR="00D36BEF">
        <w:t>u ANO mērķi novirzīt 0.7% no NKI</w:t>
      </w:r>
      <w:r>
        <w:t xml:space="preserve"> attīstības finansējumam jeb OAP, ilgtspējīgas attīstības mērķu sasniegšanai būtu pieejami papildus US$230 mljrd. Lai tuvinātos OAP mērķim, būtiska nozīme ir veicināt arī nodokļu ieņēmumu pieaugumu. IDA valstīs kopējie valdību ieņēmumi (izslēdzot </w:t>
      </w:r>
      <w:proofErr w:type="spellStart"/>
      <w:r>
        <w:t>grantus</w:t>
      </w:r>
      <w:proofErr w:type="spellEnd"/>
      <w:r>
        <w:t xml:space="preserve">) ir palielinājušies no 15% no IKP 2010.gadā līdz 18% no IKP 2017.gadā, un ir būtiski vēl vairāk palielināt šo </w:t>
      </w:r>
      <w:r>
        <w:lastRenderedPageBreak/>
        <w:t>īpatsvaru</w:t>
      </w:r>
      <w:r w:rsidR="00C5001E">
        <w:t>.</w:t>
      </w:r>
      <w:r>
        <w:t xml:space="preserve"> IDA turpinās sniegt atbalstu valstīm nodokļu ieņēmumu palielināšanā, kā arī korupcijas un nelikumīgi finanšu plūsmu mazināšanā.</w:t>
      </w:r>
    </w:p>
    <w:p w14:paraId="51365395" w14:textId="77777777" w:rsidR="006A2D99" w:rsidRDefault="00615C23" w:rsidP="00CB729D">
      <w:pPr>
        <w:spacing w:after="60" w:line="240" w:lineRule="auto"/>
        <w:jc w:val="both"/>
      </w:pPr>
      <w:r>
        <w:t>Daudzpusējo organizāciju darbības izvērtējuma tīkla “MOPAN”</w:t>
      </w:r>
      <w:r>
        <w:rPr>
          <w:rStyle w:val="FootnoteReference"/>
        </w:rPr>
        <w:footnoteReference w:id="9"/>
      </w:r>
      <w:r w:rsidR="00D47ACE">
        <w:t xml:space="preserve"> </w:t>
      </w:r>
      <w:r>
        <w:t xml:space="preserve">neatkarīgajā vērtējumā par Pasaules Banku norādīts, ka </w:t>
      </w:r>
      <w:r w:rsidR="006A2D99">
        <w:t>tā</w:t>
      </w:r>
      <w:r>
        <w:t xml:space="preserve"> atbilst efektīvas daudzpusējas organizācijas prasībām un ir primārais finansējuma avots attīstības valstīm, nodrošinot spēcīgu intelektuālo līderību glob</w:t>
      </w:r>
      <w:r w:rsidR="006A2D99">
        <w:t>āla līmeņa problēmu risināšanā. Pasaules Bankas salīdzinošā priekšrocība ir tās spēja sniegt pielāgotus finansējuma risinājumus saņēmējvalstīm, kas ir tās klienti. Pasaules Bankas struktūra, procesi un kārtība atbalsta pakalpojumu sniegšanu efektīvi atbilstoši tās mandātam.</w:t>
      </w:r>
      <w:r w:rsidR="00D47ACE">
        <w:t xml:space="preserve"> AAA kredītreitings apliecina Pasaules Bankas finanšu stabilitāti.</w:t>
      </w:r>
    </w:p>
    <w:p w14:paraId="2C314F0D" w14:textId="77777777" w:rsidR="00E04FCF" w:rsidRDefault="00E04FCF" w:rsidP="00CB729D">
      <w:pPr>
        <w:spacing w:after="60" w:line="240" w:lineRule="auto"/>
        <w:jc w:val="both"/>
      </w:pPr>
    </w:p>
    <w:p w14:paraId="7AB269FB" w14:textId="77777777" w:rsidR="00AE2964" w:rsidRPr="007C7890" w:rsidRDefault="00B32873" w:rsidP="00AA783C">
      <w:pPr>
        <w:spacing w:after="120" w:line="240" w:lineRule="auto"/>
        <w:jc w:val="center"/>
        <w:rPr>
          <w:rFonts w:eastAsia="Times New Roman"/>
          <w:b/>
          <w:szCs w:val="24"/>
          <w:lang w:eastAsia="lv-LV"/>
        </w:rPr>
      </w:pPr>
      <w:r>
        <w:rPr>
          <w:rFonts w:eastAsia="Times New Roman"/>
          <w:b/>
          <w:szCs w:val="24"/>
          <w:lang w:eastAsia="lv-LV"/>
        </w:rPr>
        <w:t xml:space="preserve">II. </w:t>
      </w:r>
      <w:r w:rsidR="00CB3DFE">
        <w:rPr>
          <w:rFonts w:eastAsia="Times New Roman"/>
          <w:b/>
          <w:szCs w:val="24"/>
          <w:lang w:eastAsia="lv-LV"/>
        </w:rPr>
        <w:t>IDA resursu 18.</w:t>
      </w:r>
      <w:r w:rsidR="000918EA">
        <w:rPr>
          <w:rFonts w:eastAsia="Times New Roman"/>
          <w:b/>
          <w:szCs w:val="24"/>
          <w:lang w:eastAsia="lv-LV"/>
        </w:rPr>
        <w:t>papildināšanas</w:t>
      </w:r>
      <w:r w:rsidR="00AE2964" w:rsidRPr="007C7890">
        <w:rPr>
          <w:rFonts w:eastAsia="Times New Roman"/>
          <w:b/>
          <w:szCs w:val="24"/>
          <w:lang w:eastAsia="lv-LV"/>
        </w:rPr>
        <w:t xml:space="preserve"> īstenošanas progress</w:t>
      </w:r>
    </w:p>
    <w:p w14:paraId="2998AE3B" w14:textId="77777777" w:rsidR="000216BE" w:rsidRDefault="00AE2964" w:rsidP="000216BE">
      <w:pPr>
        <w:spacing w:after="0" w:line="240" w:lineRule="auto"/>
        <w:jc w:val="both"/>
        <w:rPr>
          <w:rFonts w:eastAsia="Times New Roman"/>
          <w:szCs w:val="24"/>
          <w:lang w:eastAsia="lv-LV"/>
        </w:rPr>
      </w:pPr>
      <w:r w:rsidRPr="00316255">
        <w:rPr>
          <w:u w:val="single"/>
        </w:rPr>
        <w:t xml:space="preserve">2016.gadā tika apstiprināta </w:t>
      </w:r>
      <w:r w:rsidR="000918EA" w:rsidRPr="00316255">
        <w:rPr>
          <w:rFonts w:eastAsia="Times New Roman"/>
          <w:szCs w:val="24"/>
          <w:u w:val="single"/>
          <w:lang w:eastAsia="lv-LV"/>
        </w:rPr>
        <w:t>IDA resursu 18.papildināšana (</w:t>
      </w:r>
      <w:r w:rsidRPr="00316255">
        <w:rPr>
          <w:u w:val="single"/>
        </w:rPr>
        <w:t>IDA18</w:t>
      </w:r>
      <w:r w:rsidR="000918EA" w:rsidRPr="00316255">
        <w:rPr>
          <w:u w:val="single"/>
        </w:rPr>
        <w:t>)</w:t>
      </w:r>
      <w:r w:rsidRPr="00316255">
        <w:rPr>
          <w:u w:val="single"/>
        </w:rPr>
        <w:t xml:space="preserve"> </w:t>
      </w:r>
      <w:r w:rsidR="007B040C" w:rsidRPr="00316255">
        <w:rPr>
          <w:u w:val="single"/>
        </w:rPr>
        <w:t>2018.-</w:t>
      </w:r>
      <w:r w:rsidR="00F87237" w:rsidRPr="00316255">
        <w:rPr>
          <w:u w:val="single"/>
        </w:rPr>
        <w:t>2020.gadam</w:t>
      </w:r>
      <w:r w:rsidRPr="00316255">
        <w:rPr>
          <w:u w:val="single"/>
        </w:rPr>
        <w:t>, lai veicinātu “ANO Dienaskārtība 2030” ilgtspējības attīstības mērķu sasniegšanu</w:t>
      </w:r>
      <w:r w:rsidRPr="00316255">
        <w:rPr>
          <w:rStyle w:val="FootnoteReference"/>
          <w:u w:val="single"/>
        </w:rPr>
        <w:footnoteReference w:id="10"/>
      </w:r>
      <w:r w:rsidRPr="00316255">
        <w:rPr>
          <w:u w:val="single"/>
        </w:rPr>
        <w:t xml:space="preserve"> </w:t>
      </w:r>
      <w:r w:rsidRPr="00316255">
        <w:rPr>
          <w:szCs w:val="24"/>
          <w:u w:val="single"/>
        </w:rPr>
        <w:t xml:space="preserve">piecās prioritārās jomās: </w:t>
      </w:r>
      <w:r w:rsidR="00E54757" w:rsidRPr="00316255">
        <w:rPr>
          <w:szCs w:val="24"/>
          <w:u w:val="single"/>
        </w:rPr>
        <w:t xml:space="preserve">(1) </w:t>
      </w:r>
      <w:r w:rsidRPr="00316255">
        <w:rPr>
          <w:szCs w:val="24"/>
          <w:u w:val="single"/>
        </w:rPr>
        <w:t>darbavietu radīšana u</w:t>
      </w:r>
      <w:r w:rsidR="00E54757" w:rsidRPr="00316255">
        <w:rPr>
          <w:szCs w:val="24"/>
          <w:u w:val="single"/>
        </w:rPr>
        <w:t xml:space="preserve">n ekonomikas pārveides process; (2) </w:t>
      </w:r>
      <w:r w:rsidRPr="00316255">
        <w:rPr>
          <w:szCs w:val="24"/>
          <w:u w:val="single"/>
        </w:rPr>
        <w:t>dz</w:t>
      </w:r>
      <w:r w:rsidR="00E54757" w:rsidRPr="00316255">
        <w:rPr>
          <w:szCs w:val="24"/>
          <w:u w:val="single"/>
        </w:rPr>
        <w:t xml:space="preserve">imumu līdztiesība un attīstība; (3) klimata pārmaiņas; (4) </w:t>
      </w:r>
      <w:r w:rsidRPr="00316255">
        <w:rPr>
          <w:szCs w:val="24"/>
          <w:u w:val="single"/>
        </w:rPr>
        <w:t xml:space="preserve">atbalsts nestabilās </w:t>
      </w:r>
      <w:r w:rsidR="00E54757" w:rsidRPr="00316255">
        <w:rPr>
          <w:szCs w:val="24"/>
          <w:u w:val="single"/>
        </w:rPr>
        <w:t xml:space="preserve">un konfliktu skartajās valstīs; (5) </w:t>
      </w:r>
      <w:r w:rsidRPr="00316255">
        <w:rPr>
          <w:szCs w:val="24"/>
          <w:u w:val="single"/>
        </w:rPr>
        <w:t xml:space="preserve">saņēmējvalstu institūciju un valsts pārvaldes stiprināšana, tai skaitā </w:t>
      </w:r>
      <w:r w:rsidRPr="00316255">
        <w:rPr>
          <w:u w:val="single"/>
        </w:rPr>
        <w:t>cīņa ar korupciju un nelegālām finanšu plūsmām</w:t>
      </w:r>
      <w:r w:rsidRPr="00316255">
        <w:rPr>
          <w:szCs w:val="24"/>
          <w:u w:val="single"/>
        </w:rPr>
        <w:t>.</w:t>
      </w:r>
      <w:r w:rsidR="00E54757" w:rsidRPr="00316255">
        <w:rPr>
          <w:szCs w:val="24"/>
          <w:u w:val="single"/>
        </w:rPr>
        <w:t xml:space="preserve"> Šo p</w:t>
      </w:r>
      <w:r w:rsidRPr="00316255">
        <w:rPr>
          <w:szCs w:val="24"/>
          <w:u w:val="single"/>
        </w:rPr>
        <w:t>rioritāšu īstenošanai IDA18</w:t>
      </w:r>
      <w:r w:rsidRPr="00316255">
        <w:rPr>
          <w:u w:val="single"/>
        </w:rPr>
        <w:t xml:space="preserve"> resursu papildināšanas kopējais apjoms </w:t>
      </w:r>
      <w:r w:rsidR="00E54757" w:rsidRPr="00316255">
        <w:rPr>
          <w:u w:val="single"/>
        </w:rPr>
        <w:t xml:space="preserve">sastāda </w:t>
      </w:r>
      <w:r w:rsidRPr="00316255">
        <w:rPr>
          <w:u w:val="single"/>
        </w:rPr>
        <w:t>US$ 75 mljrd.</w:t>
      </w:r>
      <w:r w:rsidR="00CB729D" w:rsidRPr="00316255">
        <w:rPr>
          <w:u w:val="single"/>
        </w:rPr>
        <w:t>, no kuriem US$ 19.4 mljrd. tika piesaistīti no dalībvalstu resursiem.</w:t>
      </w:r>
      <w:r w:rsidRPr="00F87237">
        <w:rPr>
          <w:rStyle w:val="FootnoteReference"/>
        </w:rPr>
        <w:footnoteReference w:id="11"/>
      </w:r>
      <w:r w:rsidRPr="00F87237">
        <w:t xml:space="preserve"> </w:t>
      </w:r>
      <w:r w:rsidR="00CB3DFE">
        <w:t xml:space="preserve">IDA18 cikla </w:t>
      </w:r>
      <w:r w:rsidR="00E54757" w:rsidRPr="00F87237">
        <w:t xml:space="preserve">pirmo divu gadu laikā tika </w:t>
      </w:r>
      <w:r w:rsidR="00E54757" w:rsidRPr="00E54757">
        <w:rPr>
          <w:rFonts w:eastAsia="Times New Roman"/>
          <w:szCs w:val="24"/>
          <w:lang w:eastAsia="lv-LV"/>
        </w:rPr>
        <w:t xml:space="preserve">nodrošināti aizdevumi US$ 46.5 mljrd. apmērā, kas ir par 32% vairāk </w:t>
      </w:r>
      <w:r w:rsidR="00E54757" w:rsidRPr="007B040C">
        <w:rPr>
          <w:rFonts w:eastAsia="Times New Roman"/>
          <w:szCs w:val="24"/>
          <w:lang w:eastAsia="lv-LV"/>
        </w:rPr>
        <w:t xml:space="preserve">nekā </w:t>
      </w:r>
      <w:r w:rsidR="000918EA">
        <w:rPr>
          <w:rFonts w:eastAsia="Times New Roman"/>
          <w:szCs w:val="24"/>
          <w:lang w:eastAsia="lv-LV"/>
        </w:rPr>
        <w:t>IDA resursu 17.papildināšanas (</w:t>
      </w:r>
      <w:r w:rsidR="00E54757" w:rsidRPr="007B040C">
        <w:rPr>
          <w:rFonts w:eastAsia="Times New Roman"/>
          <w:szCs w:val="24"/>
          <w:lang w:eastAsia="lv-LV"/>
        </w:rPr>
        <w:t>IDA17</w:t>
      </w:r>
      <w:r w:rsidR="000918EA">
        <w:rPr>
          <w:rFonts w:eastAsia="Times New Roman"/>
          <w:szCs w:val="24"/>
          <w:lang w:eastAsia="lv-LV"/>
        </w:rPr>
        <w:t>)</w:t>
      </w:r>
      <w:r w:rsidR="00E54757" w:rsidRPr="007B040C">
        <w:rPr>
          <w:rFonts w:eastAsia="Times New Roman"/>
          <w:szCs w:val="24"/>
          <w:lang w:eastAsia="lv-LV"/>
        </w:rPr>
        <w:t xml:space="preserve"> cikla pirmajos divos gados. No tiem US$27.1 mljrd. jeb 59% tika novirzīti </w:t>
      </w:r>
      <w:r w:rsidR="00E54757" w:rsidRPr="007B040C">
        <w:rPr>
          <w:rFonts w:eastAsia="Times New Roman"/>
          <w:i/>
          <w:szCs w:val="24"/>
          <w:lang w:eastAsia="lv-LV"/>
        </w:rPr>
        <w:t>IDA-</w:t>
      </w:r>
      <w:proofErr w:type="spellStart"/>
      <w:r w:rsidR="00E54757" w:rsidRPr="007B040C">
        <w:rPr>
          <w:rFonts w:eastAsia="Times New Roman"/>
          <w:i/>
          <w:szCs w:val="24"/>
          <w:lang w:eastAsia="lv-LV"/>
        </w:rPr>
        <w:t>only</w:t>
      </w:r>
      <w:proofErr w:type="spellEnd"/>
      <w:r w:rsidR="007B040C" w:rsidRPr="007B040C">
        <w:rPr>
          <w:rStyle w:val="FootnoteReference"/>
          <w:rFonts w:eastAsia="Times New Roman"/>
          <w:szCs w:val="24"/>
          <w:lang w:eastAsia="lv-LV"/>
        </w:rPr>
        <w:footnoteReference w:id="12"/>
      </w:r>
      <w:r w:rsidR="00E54757" w:rsidRPr="007B040C">
        <w:rPr>
          <w:rFonts w:eastAsia="Times New Roman"/>
          <w:szCs w:val="24"/>
          <w:lang w:eastAsia="lv-LV"/>
        </w:rPr>
        <w:t xml:space="preserve"> valstīm, </w:t>
      </w:r>
      <w:proofErr w:type="spellStart"/>
      <w:r w:rsidR="00E54757" w:rsidRPr="007B040C">
        <w:rPr>
          <w:rFonts w:eastAsia="Times New Roman"/>
          <w:i/>
          <w:szCs w:val="24"/>
          <w:lang w:eastAsia="lv-LV"/>
        </w:rPr>
        <w:t>Blend</w:t>
      </w:r>
      <w:proofErr w:type="spellEnd"/>
      <w:r w:rsidR="00E54757" w:rsidRPr="007B040C">
        <w:rPr>
          <w:rFonts w:eastAsia="Times New Roman"/>
          <w:szCs w:val="24"/>
          <w:lang w:eastAsia="lv-LV"/>
        </w:rPr>
        <w:t xml:space="preserve"> valstis</w:t>
      </w:r>
      <w:r w:rsidR="007B040C" w:rsidRPr="007B040C">
        <w:rPr>
          <w:rStyle w:val="FootnoteReference"/>
          <w:rFonts w:eastAsia="Times New Roman"/>
          <w:szCs w:val="24"/>
          <w:lang w:eastAsia="lv-LV"/>
        </w:rPr>
        <w:footnoteReference w:id="13"/>
      </w:r>
      <w:r w:rsidR="00E54757" w:rsidRPr="007B040C">
        <w:rPr>
          <w:rFonts w:eastAsia="Times New Roman"/>
          <w:szCs w:val="24"/>
          <w:lang w:eastAsia="lv-LV"/>
        </w:rPr>
        <w:t xml:space="preserve"> saņēma US$10.4 mljrd. jeb 22.7%, </w:t>
      </w:r>
      <w:proofErr w:type="spellStart"/>
      <w:r w:rsidR="00E54757" w:rsidRPr="007B040C">
        <w:rPr>
          <w:rFonts w:eastAsia="Times New Roman"/>
          <w:i/>
          <w:szCs w:val="24"/>
          <w:lang w:eastAsia="lv-LV"/>
        </w:rPr>
        <w:t>Gap</w:t>
      </w:r>
      <w:proofErr w:type="spellEnd"/>
      <w:r w:rsidR="00E54757" w:rsidRPr="007B040C">
        <w:rPr>
          <w:rFonts w:eastAsia="Times New Roman"/>
          <w:szCs w:val="24"/>
          <w:lang w:eastAsia="lv-LV"/>
        </w:rPr>
        <w:t xml:space="preserve"> valstis</w:t>
      </w:r>
      <w:r w:rsidR="007B040C" w:rsidRPr="007B040C">
        <w:rPr>
          <w:rStyle w:val="FootnoteReference"/>
          <w:rFonts w:eastAsia="Times New Roman"/>
          <w:szCs w:val="24"/>
          <w:lang w:eastAsia="lv-LV"/>
        </w:rPr>
        <w:footnoteReference w:id="14"/>
      </w:r>
      <w:r w:rsidR="00E54757" w:rsidRPr="007B040C">
        <w:rPr>
          <w:rFonts w:eastAsia="Times New Roman"/>
          <w:szCs w:val="24"/>
          <w:lang w:eastAsia="lv-LV"/>
        </w:rPr>
        <w:t xml:space="preserve"> saņēma</w:t>
      </w:r>
      <w:r w:rsidR="00E54757">
        <w:rPr>
          <w:rFonts w:eastAsia="Times New Roman"/>
          <w:szCs w:val="24"/>
          <w:lang w:eastAsia="lv-LV"/>
        </w:rPr>
        <w:t xml:space="preserve"> US$6.3 mljrd. jeb 13.7%, savukārt </w:t>
      </w:r>
      <w:r w:rsidR="00E54757" w:rsidRPr="00E54757">
        <w:rPr>
          <w:rFonts w:eastAsia="Times New Roman"/>
          <w:i/>
          <w:szCs w:val="24"/>
          <w:lang w:eastAsia="lv-LV"/>
        </w:rPr>
        <w:t>IDA-</w:t>
      </w:r>
      <w:proofErr w:type="spellStart"/>
      <w:r w:rsidR="00E54757" w:rsidRPr="00E54757">
        <w:rPr>
          <w:rFonts w:eastAsia="Times New Roman"/>
          <w:i/>
          <w:szCs w:val="24"/>
          <w:lang w:eastAsia="lv-LV"/>
        </w:rPr>
        <w:t>only</w:t>
      </w:r>
      <w:proofErr w:type="spellEnd"/>
      <w:r w:rsidR="00E54757">
        <w:rPr>
          <w:rFonts w:eastAsia="Times New Roman"/>
          <w:szCs w:val="24"/>
          <w:lang w:eastAsia="lv-LV"/>
        </w:rPr>
        <w:t xml:space="preserve"> </w:t>
      </w:r>
      <w:r w:rsidR="00E54757" w:rsidRPr="00235FE3">
        <w:rPr>
          <w:rFonts w:eastAsia="Times New Roman"/>
          <w:szCs w:val="24"/>
          <w:lang w:eastAsia="lv-LV"/>
        </w:rPr>
        <w:t>neaktīvās</w:t>
      </w:r>
      <w:r w:rsidR="00E54757">
        <w:rPr>
          <w:rFonts w:eastAsia="Times New Roman"/>
          <w:szCs w:val="24"/>
          <w:lang w:eastAsia="lv-LV"/>
        </w:rPr>
        <w:t xml:space="preserve"> valstis</w:t>
      </w:r>
      <w:r w:rsidR="007B040C">
        <w:rPr>
          <w:rStyle w:val="FootnoteReference"/>
          <w:rFonts w:eastAsia="Times New Roman"/>
          <w:szCs w:val="24"/>
          <w:lang w:eastAsia="lv-LV"/>
        </w:rPr>
        <w:footnoteReference w:id="15"/>
      </w:r>
      <w:r w:rsidR="000949AE">
        <w:rPr>
          <w:rFonts w:eastAsia="Times New Roman"/>
          <w:szCs w:val="24"/>
          <w:lang w:eastAsia="lv-LV"/>
        </w:rPr>
        <w:t xml:space="preserve"> saņēma 0.2%.</w:t>
      </w:r>
    </w:p>
    <w:p w14:paraId="6160E493" w14:textId="77777777" w:rsidR="00E54757" w:rsidRDefault="00E54757" w:rsidP="00D47ACE">
      <w:pPr>
        <w:spacing w:before="60" w:after="0" w:line="240" w:lineRule="auto"/>
        <w:jc w:val="both"/>
        <w:rPr>
          <w:rFonts w:eastAsia="Times New Roman"/>
          <w:szCs w:val="24"/>
          <w:lang w:eastAsia="lv-LV"/>
        </w:rPr>
      </w:pPr>
      <w:r>
        <w:rPr>
          <w:rFonts w:eastAsia="Times New Roman"/>
          <w:szCs w:val="24"/>
          <w:lang w:eastAsia="lv-LV"/>
        </w:rPr>
        <w:t>IDA18 finansējum</w:t>
      </w:r>
      <w:r w:rsidR="000216BE">
        <w:rPr>
          <w:rFonts w:eastAsia="Times New Roman"/>
          <w:szCs w:val="24"/>
          <w:lang w:eastAsia="lv-LV"/>
        </w:rPr>
        <w:t>s dažādos reģionos ir atšķirīgs –</w:t>
      </w:r>
      <w:r>
        <w:rPr>
          <w:rFonts w:eastAsia="Times New Roman"/>
          <w:szCs w:val="24"/>
          <w:lang w:eastAsia="lv-LV"/>
        </w:rPr>
        <w:t xml:space="preserve"> lielākais</w:t>
      </w:r>
      <w:r w:rsidR="000216BE">
        <w:rPr>
          <w:rFonts w:eastAsia="Times New Roman"/>
          <w:szCs w:val="24"/>
          <w:lang w:eastAsia="lv-LV"/>
        </w:rPr>
        <w:t xml:space="preserve"> </w:t>
      </w:r>
      <w:r>
        <w:rPr>
          <w:rFonts w:eastAsia="Times New Roman"/>
          <w:szCs w:val="24"/>
          <w:lang w:eastAsia="lv-LV"/>
        </w:rPr>
        <w:t xml:space="preserve">pieprasījums ir Āfrikas reģionā (AFR) </w:t>
      </w:r>
      <w:r w:rsidR="000216BE">
        <w:rPr>
          <w:rFonts w:eastAsia="Times New Roman"/>
          <w:szCs w:val="24"/>
          <w:lang w:eastAsia="lv-LV"/>
        </w:rPr>
        <w:t xml:space="preserve">ar </w:t>
      </w:r>
      <w:r>
        <w:rPr>
          <w:rFonts w:eastAsia="Times New Roman"/>
          <w:szCs w:val="24"/>
          <w:lang w:eastAsia="lv-LV"/>
        </w:rPr>
        <w:t xml:space="preserve">65%, kam seko Dienvidāzija (SAR) ar 24%, </w:t>
      </w:r>
      <w:proofErr w:type="spellStart"/>
      <w:r>
        <w:rPr>
          <w:rFonts w:eastAsia="Times New Roman"/>
          <w:szCs w:val="24"/>
          <w:lang w:eastAsia="lv-LV"/>
        </w:rPr>
        <w:t>Austrumāzija</w:t>
      </w:r>
      <w:proofErr w:type="spellEnd"/>
      <w:r>
        <w:rPr>
          <w:rFonts w:eastAsia="Times New Roman"/>
          <w:szCs w:val="24"/>
          <w:lang w:eastAsia="lv-LV"/>
        </w:rPr>
        <w:t xml:space="preserve"> un Klusā okeāna valstis (EAP) ar 4%, </w:t>
      </w:r>
      <w:r w:rsidR="00190E6C">
        <w:rPr>
          <w:rFonts w:eastAsia="Times New Roman"/>
          <w:szCs w:val="24"/>
          <w:lang w:eastAsia="lv-LV"/>
        </w:rPr>
        <w:t>Eiropa</w:t>
      </w:r>
      <w:r>
        <w:rPr>
          <w:rFonts w:eastAsia="Times New Roman"/>
          <w:szCs w:val="24"/>
          <w:lang w:eastAsia="lv-LV"/>
        </w:rPr>
        <w:t xml:space="preserve"> un </w:t>
      </w:r>
      <w:proofErr w:type="spellStart"/>
      <w:r>
        <w:rPr>
          <w:rFonts w:eastAsia="Times New Roman"/>
          <w:szCs w:val="24"/>
          <w:lang w:eastAsia="lv-LV"/>
        </w:rPr>
        <w:t>Centrālāzija</w:t>
      </w:r>
      <w:proofErr w:type="spellEnd"/>
      <w:r>
        <w:rPr>
          <w:rFonts w:eastAsia="Times New Roman"/>
          <w:szCs w:val="24"/>
          <w:lang w:eastAsia="lv-LV"/>
        </w:rPr>
        <w:t xml:space="preserve"> (ECA) ar 3%, Vidējie Austrumi un Ziemeļāfrika (</w:t>
      </w:r>
      <w:r w:rsidR="00F87237">
        <w:rPr>
          <w:rFonts w:eastAsia="Times New Roman"/>
          <w:szCs w:val="24"/>
          <w:lang w:eastAsia="lv-LV"/>
        </w:rPr>
        <w:t>MNA</w:t>
      </w:r>
      <w:r>
        <w:rPr>
          <w:rFonts w:eastAsia="Times New Roman"/>
          <w:szCs w:val="24"/>
          <w:lang w:eastAsia="lv-LV"/>
        </w:rPr>
        <w:t xml:space="preserve">) </w:t>
      </w:r>
      <w:r w:rsidR="00F87237">
        <w:rPr>
          <w:rFonts w:eastAsia="Times New Roman"/>
          <w:szCs w:val="24"/>
          <w:lang w:eastAsia="lv-LV"/>
        </w:rPr>
        <w:t xml:space="preserve">ar 2% </w:t>
      </w:r>
      <w:r>
        <w:rPr>
          <w:rFonts w:eastAsia="Times New Roman"/>
          <w:szCs w:val="24"/>
          <w:lang w:eastAsia="lv-LV"/>
        </w:rPr>
        <w:t xml:space="preserve">un Latīņamerika un Karību jūras salas  (LCR) </w:t>
      </w:r>
      <w:r w:rsidR="00F87237">
        <w:rPr>
          <w:rFonts w:eastAsia="Times New Roman"/>
          <w:szCs w:val="24"/>
          <w:lang w:eastAsia="lv-LV"/>
        </w:rPr>
        <w:t>ar 2% (</w:t>
      </w:r>
      <w:r w:rsidR="000216BE">
        <w:rPr>
          <w:rFonts w:eastAsia="Times New Roman"/>
          <w:szCs w:val="24"/>
          <w:lang w:eastAsia="lv-LV"/>
        </w:rPr>
        <w:t>1.</w:t>
      </w:r>
      <w:r w:rsidR="00F87237">
        <w:rPr>
          <w:rFonts w:eastAsia="Times New Roman"/>
          <w:szCs w:val="24"/>
          <w:lang w:eastAsia="lv-LV"/>
        </w:rPr>
        <w:t xml:space="preserve"> </w:t>
      </w:r>
      <w:r w:rsidR="00C5001E">
        <w:rPr>
          <w:rFonts w:eastAsia="Times New Roman"/>
          <w:szCs w:val="24"/>
          <w:lang w:eastAsia="lv-LV"/>
        </w:rPr>
        <w:t>attēls</w:t>
      </w:r>
      <w:r w:rsidR="00F87237">
        <w:rPr>
          <w:rFonts w:eastAsia="Times New Roman"/>
          <w:szCs w:val="24"/>
          <w:lang w:eastAsia="lv-LV"/>
        </w:rPr>
        <w:t>).</w:t>
      </w:r>
    </w:p>
    <w:p w14:paraId="5D2DBEC1" w14:textId="77777777" w:rsidR="001C2D4E" w:rsidRDefault="001C2D4E" w:rsidP="00D47ACE">
      <w:pPr>
        <w:spacing w:before="60" w:after="0" w:line="240" w:lineRule="auto"/>
        <w:jc w:val="both"/>
        <w:rPr>
          <w:rFonts w:eastAsia="Times New Roman"/>
          <w:szCs w:val="24"/>
          <w:lang w:eastAsia="lv-LV"/>
        </w:rPr>
      </w:pPr>
    </w:p>
    <w:p w14:paraId="3EFBECC5" w14:textId="77777777" w:rsidR="001C2D4E" w:rsidRDefault="001C2D4E" w:rsidP="00D47ACE">
      <w:pPr>
        <w:spacing w:before="60" w:after="0" w:line="240" w:lineRule="auto"/>
        <w:jc w:val="both"/>
        <w:rPr>
          <w:rFonts w:eastAsia="Times New Roman"/>
          <w:szCs w:val="24"/>
          <w:lang w:eastAsia="lv-LV"/>
        </w:rPr>
      </w:pPr>
    </w:p>
    <w:p w14:paraId="61B728AA" w14:textId="77777777" w:rsidR="001C2D4E" w:rsidRDefault="001C2D4E" w:rsidP="00D47ACE">
      <w:pPr>
        <w:spacing w:before="60" w:after="0" w:line="240" w:lineRule="auto"/>
        <w:jc w:val="both"/>
        <w:rPr>
          <w:rFonts w:eastAsia="Times New Roman"/>
          <w:szCs w:val="24"/>
          <w:lang w:eastAsia="lv-LV"/>
        </w:rPr>
      </w:pPr>
    </w:p>
    <w:p w14:paraId="4A9FFF90" w14:textId="77777777" w:rsidR="001C2D4E" w:rsidRDefault="001C2D4E" w:rsidP="00D47ACE">
      <w:pPr>
        <w:spacing w:before="60" w:after="0" w:line="240" w:lineRule="auto"/>
        <w:jc w:val="both"/>
        <w:rPr>
          <w:rFonts w:eastAsia="Times New Roman"/>
          <w:szCs w:val="24"/>
          <w:lang w:eastAsia="lv-LV"/>
        </w:rPr>
      </w:pPr>
    </w:p>
    <w:p w14:paraId="771C102D" w14:textId="77777777" w:rsidR="00D47ACE" w:rsidRDefault="00D47ACE" w:rsidP="00AA783C">
      <w:pPr>
        <w:spacing w:after="0" w:line="240" w:lineRule="auto"/>
        <w:jc w:val="both"/>
        <w:rPr>
          <w:rFonts w:eastAsia="Times New Roman"/>
          <w:szCs w:val="24"/>
          <w:lang w:eastAsia="lv-LV"/>
        </w:rPr>
      </w:pPr>
    </w:p>
    <w:p w14:paraId="0AA57886" w14:textId="77777777" w:rsidR="00F87237" w:rsidRPr="00F87237" w:rsidRDefault="000216BE" w:rsidP="00F87237">
      <w:pPr>
        <w:spacing w:line="240" w:lineRule="auto"/>
        <w:jc w:val="center"/>
        <w:rPr>
          <w:rFonts w:eastAsia="Times New Roman"/>
          <w:i/>
          <w:szCs w:val="24"/>
          <w:lang w:eastAsia="lv-LV"/>
        </w:rPr>
      </w:pPr>
      <w:r>
        <w:rPr>
          <w:rFonts w:eastAsia="Times New Roman"/>
          <w:i/>
          <w:szCs w:val="24"/>
          <w:lang w:eastAsia="lv-LV"/>
        </w:rPr>
        <w:lastRenderedPageBreak/>
        <w:t>1</w:t>
      </w:r>
      <w:r w:rsidR="00F87237" w:rsidRPr="00F87237">
        <w:rPr>
          <w:rFonts w:eastAsia="Times New Roman"/>
          <w:i/>
          <w:szCs w:val="24"/>
          <w:lang w:eastAsia="lv-LV"/>
        </w:rPr>
        <w:t>.</w:t>
      </w:r>
      <w:r w:rsidR="00C5001E">
        <w:rPr>
          <w:rFonts w:eastAsia="Times New Roman"/>
          <w:i/>
          <w:szCs w:val="24"/>
          <w:lang w:eastAsia="lv-LV"/>
        </w:rPr>
        <w:t>attēls</w:t>
      </w:r>
      <w:r w:rsidR="00F87237" w:rsidRPr="00F87237">
        <w:rPr>
          <w:rFonts w:eastAsia="Times New Roman"/>
          <w:i/>
          <w:szCs w:val="24"/>
          <w:lang w:eastAsia="lv-LV"/>
        </w:rPr>
        <w:t xml:space="preserve">. IDA18 </w:t>
      </w:r>
      <w:r w:rsidR="00E04FCF">
        <w:rPr>
          <w:rFonts w:eastAsia="Times New Roman"/>
          <w:i/>
          <w:szCs w:val="24"/>
          <w:lang w:eastAsia="lv-LV"/>
        </w:rPr>
        <w:t>resursu</w:t>
      </w:r>
      <w:r w:rsidR="00F87237" w:rsidRPr="00F87237">
        <w:rPr>
          <w:rFonts w:eastAsia="Times New Roman"/>
          <w:i/>
          <w:szCs w:val="24"/>
          <w:lang w:eastAsia="lv-LV"/>
        </w:rPr>
        <w:t xml:space="preserve"> reģionālais sadalījums</w:t>
      </w:r>
    </w:p>
    <w:p w14:paraId="090D6EFF" w14:textId="77777777" w:rsidR="00AE2964" w:rsidRDefault="00AE2964" w:rsidP="00AE2964">
      <w:pPr>
        <w:pStyle w:val="Default"/>
        <w:rPr>
          <w:sz w:val="23"/>
          <w:szCs w:val="23"/>
        </w:rPr>
      </w:pPr>
    </w:p>
    <w:p w14:paraId="6367D698" w14:textId="77777777" w:rsidR="00AE2964" w:rsidRDefault="00AE2964" w:rsidP="00F87237">
      <w:pPr>
        <w:pStyle w:val="Default"/>
        <w:jc w:val="center"/>
        <w:rPr>
          <w:sz w:val="23"/>
          <w:szCs w:val="23"/>
        </w:rPr>
      </w:pPr>
      <w:r>
        <w:rPr>
          <w:noProof/>
          <w:sz w:val="23"/>
          <w:szCs w:val="23"/>
          <w:lang w:eastAsia="lv-LV"/>
        </w:rPr>
        <w:drawing>
          <wp:inline distT="0" distB="0" distL="0" distR="0" wp14:anchorId="13F2F4D8" wp14:editId="6AA7C11B">
            <wp:extent cx="3048635"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635" cy="1876425"/>
                    </a:xfrm>
                    <a:prstGeom prst="rect">
                      <a:avLst/>
                    </a:prstGeom>
                    <a:noFill/>
                  </pic:spPr>
                </pic:pic>
              </a:graphicData>
            </a:graphic>
          </wp:inline>
        </w:drawing>
      </w:r>
    </w:p>
    <w:p w14:paraId="21A07AA2" w14:textId="77777777" w:rsidR="00CB729D" w:rsidRPr="00CB729D" w:rsidRDefault="00CB729D" w:rsidP="005B10AE">
      <w:pPr>
        <w:pStyle w:val="Default"/>
        <w:spacing w:after="120"/>
        <w:jc w:val="center"/>
        <w:rPr>
          <w:i/>
          <w:sz w:val="22"/>
        </w:rPr>
      </w:pPr>
      <w:r w:rsidRPr="00CB729D">
        <w:rPr>
          <w:i/>
          <w:sz w:val="22"/>
        </w:rPr>
        <w:t>Avots: Pasaules Banka</w:t>
      </w:r>
    </w:p>
    <w:p w14:paraId="248D6488" w14:textId="77777777" w:rsidR="00AE2964" w:rsidRDefault="00F87237" w:rsidP="00AA783C">
      <w:pPr>
        <w:pStyle w:val="Default"/>
        <w:jc w:val="both"/>
        <w:rPr>
          <w:sz w:val="23"/>
          <w:szCs w:val="23"/>
        </w:rPr>
      </w:pPr>
      <w:r>
        <w:t xml:space="preserve">IDA18 </w:t>
      </w:r>
      <w:r w:rsidR="005B2BFA">
        <w:t xml:space="preserve">ietvaros </w:t>
      </w:r>
      <w:r w:rsidR="00E676EE">
        <w:t>tika</w:t>
      </w:r>
      <w:r>
        <w:t xml:space="preserve"> </w:t>
      </w:r>
      <w:r w:rsidR="005B2BFA">
        <w:t>atbalstīti projekti</w:t>
      </w:r>
      <w:r>
        <w:t xml:space="preserve"> dažādos sektoros</w:t>
      </w:r>
      <w:r w:rsidR="005B2BFA">
        <w:t xml:space="preserve"> – l</w:t>
      </w:r>
      <w:r>
        <w:t>ielākā</w:t>
      </w:r>
      <w:r w:rsidR="005B2BFA">
        <w:t xml:space="preserve"> </w:t>
      </w:r>
      <w:r>
        <w:t xml:space="preserve">finansējuma daļa ir novirzīta </w:t>
      </w:r>
      <w:r w:rsidR="005B2BFA">
        <w:t>infrastruktūras</w:t>
      </w:r>
      <w:r>
        <w:t xml:space="preserve"> projektiem (US$15.5 mljrd. jeb 34%</w:t>
      </w:r>
      <w:r w:rsidR="005B2BFA">
        <w:t>), īpaši</w:t>
      </w:r>
      <w:r>
        <w:t xml:space="preserve"> enerģētikas un ieguves rūpniecībā (US$7.5 mljrd.). Sociālā sektora projektiem tika novirzīti 28% no kopējā IDA18 finansējuma (US$12.7 mljrd.), lielāko daļu veltot izglītības projektu atbalstam (US$4.6 mljrd.), kam seko sociālās aizsardzības (US$4.3 mljrd.) un veselības projekti (US$3.8 mljrd.). IDA18 atbalsts publiska</w:t>
      </w:r>
      <w:r w:rsidR="005B2BFA">
        <w:t>ja</w:t>
      </w:r>
      <w:r>
        <w:t>m sektoram ir gandrīz divreiz lielāks nekā IDA17 ietvaros.</w:t>
      </w:r>
      <w:r w:rsidR="007B040C">
        <w:t xml:space="preserve"> </w:t>
      </w:r>
      <w:r w:rsidR="005B2BFA">
        <w:t xml:space="preserve">IDA atbalstu ir saņēmuši 35 miljoni sociālās drošības programmas </w:t>
      </w:r>
      <w:r w:rsidR="007B040C" w:rsidRPr="007B040C">
        <w:rPr>
          <w:i/>
        </w:rPr>
        <w:t>“</w:t>
      </w:r>
      <w:proofErr w:type="spellStart"/>
      <w:r w:rsidR="007B040C" w:rsidRPr="007B040C">
        <w:rPr>
          <w:i/>
        </w:rPr>
        <w:t>Social</w:t>
      </w:r>
      <w:proofErr w:type="spellEnd"/>
      <w:r w:rsidR="007B040C" w:rsidRPr="007B040C">
        <w:rPr>
          <w:i/>
        </w:rPr>
        <w:t xml:space="preserve"> </w:t>
      </w:r>
      <w:proofErr w:type="spellStart"/>
      <w:r w:rsidR="007B040C" w:rsidRPr="007B040C">
        <w:rPr>
          <w:i/>
        </w:rPr>
        <w:t>Safety</w:t>
      </w:r>
      <w:proofErr w:type="spellEnd"/>
      <w:r w:rsidR="007B040C" w:rsidRPr="007B040C">
        <w:rPr>
          <w:i/>
        </w:rPr>
        <w:t xml:space="preserve"> Net”</w:t>
      </w:r>
      <w:r w:rsidR="007B040C">
        <w:t xml:space="preserve"> </w:t>
      </w:r>
      <w:r w:rsidR="005B2BFA">
        <w:t>saņēmēji (no kuriem 15 miljoni ir sievietes), aptuveni 24 miljoni cilvēku ir saņēmuši piekļuvi vai uzlabotiem ūdens apgādes pakalpojumiem, 19 miljoni cilvēk</w:t>
      </w:r>
      <w:r w:rsidR="007B040C">
        <w:t>u</w:t>
      </w:r>
      <w:r w:rsidR="005B2BFA">
        <w:t xml:space="preserve"> </w:t>
      </w:r>
      <w:r w:rsidR="007B040C">
        <w:t>sa</w:t>
      </w:r>
      <w:r w:rsidR="00E676EE">
        <w:t>ņēmuši</w:t>
      </w:r>
      <w:r w:rsidR="005B2BFA">
        <w:t xml:space="preserve"> uzlabot</w:t>
      </w:r>
      <w:r w:rsidR="007B040C">
        <w:t>us</w:t>
      </w:r>
      <w:r w:rsidR="005B2BFA">
        <w:t xml:space="preserve"> </w:t>
      </w:r>
      <w:r w:rsidR="007B040C">
        <w:t>sanitārijas pakalpojumus, 4.4 miljoni</w:t>
      </w:r>
      <w:r w:rsidR="005B2BFA">
        <w:t xml:space="preserve"> zemnieku ir ieguvuši uzlabotas lauksaimniecības tehnoloģijas un vairāk kā 8.5 miljoni</w:t>
      </w:r>
      <w:r w:rsidR="00E676EE">
        <w:t>em</w:t>
      </w:r>
      <w:r w:rsidR="005B2BFA">
        <w:t xml:space="preserve"> cilvēku ir uzlabot</w:t>
      </w:r>
      <w:r w:rsidR="007B040C">
        <w:t>i dzīves apstākļi</w:t>
      </w:r>
      <w:r w:rsidR="005B2BFA">
        <w:t xml:space="preserve"> pilsētās. Vienlaikus</w:t>
      </w:r>
      <w:r w:rsidR="007B040C">
        <w:t>,</w:t>
      </w:r>
      <w:r w:rsidR="005B2BFA">
        <w:t xml:space="preserve"> kopš 2017.gada </w:t>
      </w:r>
      <w:r w:rsidR="00E676EE">
        <w:t xml:space="preserve">IDA valstīs ir mobilizēts </w:t>
      </w:r>
      <w:r w:rsidR="005B2BFA">
        <w:t xml:space="preserve">vairāk kā US$13.5 mljrd. privātā kapitāla un vairāk kā 40 </w:t>
      </w:r>
      <w:r w:rsidR="00E676EE">
        <w:t xml:space="preserve">IDA </w:t>
      </w:r>
      <w:r w:rsidR="005B2BFA">
        <w:t>valstis ir saņēmušas atbalstu dabas katastrofu risku mazināšanai.</w:t>
      </w:r>
      <w:r w:rsidR="00190E6C">
        <w:rPr>
          <w:rStyle w:val="FootnoteReference"/>
        </w:rPr>
        <w:footnoteReference w:id="16"/>
      </w:r>
      <w:r w:rsidR="005B2BFA">
        <w:t xml:space="preserve"> </w:t>
      </w:r>
      <w:r w:rsidR="00E676EE">
        <w:t xml:space="preserve"> </w:t>
      </w:r>
    </w:p>
    <w:p w14:paraId="5F567A6A" w14:textId="77777777" w:rsidR="00AE2964" w:rsidRPr="00E838B8" w:rsidRDefault="00AE2964" w:rsidP="00AE2964">
      <w:pPr>
        <w:spacing w:line="240" w:lineRule="auto"/>
        <w:jc w:val="both"/>
        <w:rPr>
          <w:rFonts w:eastAsia="Times New Roman"/>
          <w:szCs w:val="24"/>
          <w:lang w:eastAsia="lv-LV"/>
        </w:rPr>
      </w:pPr>
    </w:p>
    <w:p w14:paraId="13A31984" w14:textId="77777777" w:rsidR="00051DCB" w:rsidRPr="006828C3" w:rsidRDefault="00B32873" w:rsidP="005B10AE">
      <w:pPr>
        <w:spacing w:after="120" w:line="240" w:lineRule="auto"/>
        <w:jc w:val="center"/>
        <w:rPr>
          <w:b/>
        </w:rPr>
      </w:pPr>
      <w:r>
        <w:rPr>
          <w:b/>
        </w:rPr>
        <w:t xml:space="preserve">III. </w:t>
      </w:r>
      <w:r w:rsidR="00306F16">
        <w:rPr>
          <w:b/>
        </w:rPr>
        <w:t>IDA19 resursu papildināšana</w:t>
      </w:r>
    </w:p>
    <w:p w14:paraId="73168ABB" w14:textId="77777777" w:rsidR="00637117" w:rsidRDefault="00190DB6" w:rsidP="00AA783C">
      <w:pPr>
        <w:spacing w:after="60" w:line="240" w:lineRule="auto"/>
        <w:jc w:val="both"/>
      </w:pPr>
      <w:r w:rsidRPr="00316255">
        <w:rPr>
          <w:u w:val="single"/>
        </w:rPr>
        <w:t>IDA</w:t>
      </w:r>
      <w:r w:rsidR="002525BF" w:rsidRPr="00316255">
        <w:rPr>
          <w:u w:val="single"/>
        </w:rPr>
        <w:t>19 visaptveroš</w:t>
      </w:r>
      <w:r w:rsidR="00813849" w:rsidRPr="00316255">
        <w:rPr>
          <w:u w:val="single"/>
        </w:rPr>
        <w:t>ais</w:t>
      </w:r>
      <w:r w:rsidR="002525BF" w:rsidRPr="00316255">
        <w:rPr>
          <w:u w:val="single"/>
        </w:rPr>
        <w:t xml:space="preserve"> mērķis </w:t>
      </w:r>
      <w:r w:rsidRPr="00316255">
        <w:rPr>
          <w:u w:val="single"/>
        </w:rPr>
        <w:t xml:space="preserve">“Desmit gadi līdz 2030: izaugsme, cilvēki, noturība” </w:t>
      </w:r>
      <w:r w:rsidR="002525BF" w:rsidRPr="00316255">
        <w:rPr>
          <w:u w:val="single"/>
        </w:rPr>
        <w:t xml:space="preserve">sasaucas ar </w:t>
      </w:r>
      <w:r w:rsidR="00813849" w:rsidRPr="00316255">
        <w:rPr>
          <w:u w:val="single"/>
        </w:rPr>
        <w:t xml:space="preserve">Pasaules Bankas divkāršo </w:t>
      </w:r>
      <w:r w:rsidRPr="00316255">
        <w:rPr>
          <w:u w:val="single"/>
        </w:rPr>
        <w:t>mērķi samazināt</w:t>
      </w:r>
      <w:r w:rsidR="00813849" w:rsidRPr="00316255">
        <w:rPr>
          <w:u w:val="single"/>
        </w:rPr>
        <w:t xml:space="preserve"> galējo</w:t>
      </w:r>
      <w:r w:rsidRPr="00316255">
        <w:rPr>
          <w:u w:val="single"/>
        </w:rPr>
        <w:t xml:space="preserve"> nabadzī</w:t>
      </w:r>
      <w:r w:rsidR="002525BF" w:rsidRPr="00316255">
        <w:rPr>
          <w:u w:val="single"/>
        </w:rPr>
        <w:t xml:space="preserve">bu un uzlabot kopējo labklājību. Lai sasniegtu šo visaptverošo mērķi, </w:t>
      </w:r>
      <w:r w:rsidR="00813849" w:rsidRPr="00316255">
        <w:rPr>
          <w:u w:val="single"/>
        </w:rPr>
        <w:t>IDA19 resursu papild</w:t>
      </w:r>
      <w:r w:rsidR="00C5001E" w:rsidRPr="00316255">
        <w:rPr>
          <w:u w:val="single"/>
        </w:rPr>
        <w:t>ināšanas ietvaros tiks turpināt</w:t>
      </w:r>
      <w:r w:rsidR="00C75101" w:rsidRPr="00316255">
        <w:rPr>
          <w:u w:val="single"/>
        </w:rPr>
        <w:t>s atbalsts</w:t>
      </w:r>
      <w:r w:rsidR="00813849" w:rsidRPr="00316255">
        <w:rPr>
          <w:u w:val="single"/>
        </w:rPr>
        <w:t xml:space="preserve"> reform</w:t>
      </w:r>
      <w:r w:rsidR="00C75101" w:rsidRPr="00316255">
        <w:rPr>
          <w:u w:val="single"/>
        </w:rPr>
        <w:t>u īstenošanai</w:t>
      </w:r>
      <w:r w:rsidR="00813849" w:rsidRPr="00316255">
        <w:rPr>
          <w:u w:val="single"/>
        </w:rPr>
        <w:t xml:space="preserve"> piecās prioritārajās jomās, kas tika uzsāktas IDA18 ciklā.</w:t>
      </w:r>
      <w:r w:rsidR="00C75101">
        <w:t xml:space="preserve"> </w:t>
      </w:r>
      <w:r w:rsidR="00C75101" w:rsidRPr="00316255">
        <w:rPr>
          <w:u w:val="single"/>
        </w:rPr>
        <w:t>Papildus tam</w:t>
      </w:r>
      <w:r w:rsidR="00813849" w:rsidRPr="00316255">
        <w:rPr>
          <w:u w:val="single"/>
        </w:rPr>
        <w:t xml:space="preserve"> </w:t>
      </w:r>
      <w:r w:rsidR="00C75101" w:rsidRPr="00316255">
        <w:rPr>
          <w:u w:val="single"/>
        </w:rPr>
        <w:t xml:space="preserve">katrā no </w:t>
      </w:r>
      <w:r w:rsidR="002525BF" w:rsidRPr="00316255">
        <w:rPr>
          <w:u w:val="single"/>
        </w:rPr>
        <w:t xml:space="preserve">IDA19 </w:t>
      </w:r>
      <w:r w:rsidR="00C75101" w:rsidRPr="00316255">
        <w:rPr>
          <w:u w:val="single"/>
        </w:rPr>
        <w:t xml:space="preserve">prioritātēm </w:t>
      </w:r>
      <w:r w:rsidR="00D47ACE" w:rsidRPr="00316255">
        <w:rPr>
          <w:u w:val="single"/>
        </w:rPr>
        <w:t xml:space="preserve">tiks </w:t>
      </w:r>
      <w:r w:rsidR="00C75101" w:rsidRPr="00316255">
        <w:rPr>
          <w:u w:val="single"/>
        </w:rPr>
        <w:t>integrēti</w:t>
      </w:r>
      <w:r w:rsidR="00813849" w:rsidRPr="00316255">
        <w:rPr>
          <w:u w:val="single"/>
        </w:rPr>
        <w:t xml:space="preserve"> </w:t>
      </w:r>
      <w:r w:rsidR="00D47ACE" w:rsidRPr="00316255">
        <w:rPr>
          <w:u w:val="single"/>
        </w:rPr>
        <w:t xml:space="preserve">horizontāli </w:t>
      </w:r>
      <w:r w:rsidR="00C75101" w:rsidRPr="00316255">
        <w:rPr>
          <w:u w:val="single"/>
        </w:rPr>
        <w:t xml:space="preserve">politikas pasākumi </w:t>
      </w:r>
      <w:r w:rsidR="009B5AFD" w:rsidRPr="00316255">
        <w:rPr>
          <w:u w:val="single"/>
        </w:rPr>
        <w:t>četr</w:t>
      </w:r>
      <w:r w:rsidR="00C75101" w:rsidRPr="00316255">
        <w:rPr>
          <w:u w:val="single"/>
        </w:rPr>
        <w:t>ās</w:t>
      </w:r>
      <w:r w:rsidR="009B5AFD" w:rsidRPr="00316255">
        <w:rPr>
          <w:u w:val="single"/>
        </w:rPr>
        <w:t xml:space="preserve"> </w:t>
      </w:r>
      <w:r w:rsidR="00C75101" w:rsidRPr="00316255">
        <w:rPr>
          <w:u w:val="single"/>
        </w:rPr>
        <w:t xml:space="preserve">jomās </w:t>
      </w:r>
      <w:r w:rsidR="006814A9" w:rsidRPr="00316255">
        <w:rPr>
          <w:u w:val="single"/>
        </w:rPr>
        <w:t>– valsts parāds, cilvēkkapitāls, invaliditāte un tehnoloģijas</w:t>
      </w:r>
      <w:r w:rsidR="002525BF" w:rsidRPr="00316255">
        <w:rPr>
          <w:u w:val="single"/>
        </w:rPr>
        <w:t xml:space="preserve">. </w:t>
      </w:r>
      <w:r w:rsidR="00C75101" w:rsidRPr="00316255">
        <w:rPr>
          <w:u w:val="single"/>
        </w:rPr>
        <w:t>IDA19</w:t>
      </w:r>
      <w:r w:rsidR="002525BF" w:rsidRPr="00316255">
        <w:rPr>
          <w:u w:val="single"/>
        </w:rPr>
        <w:t xml:space="preserve"> </w:t>
      </w:r>
      <w:r w:rsidR="00C75101" w:rsidRPr="00316255">
        <w:rPr>
          <w:u w:val="single"/>
        </w:rPr>
        <w:t xml:space="preserve">prioritārās jomas ietvers konkrētus un </w:t>
      </w:r>
      <w:r w:rsidR="00190E6C" w:rsidRPr="00316255">
        <w:rPr>
          <w:u w:val="single"/>
        </w:rPr>
        <w:t>novērtējamus</w:t>
      </w:r>
      <w:r w:rsidR="00C75101" w:rsidRPr="00316255">
        <w:rPr>
          <w:u w:val="single"/>
        </w:rPr>
        <w:t xml:space="preserve"> politikas pasākumus, atbalstot IDA valstis</w:t>
      </w:r>
      <w:r w:rsidR="002525BF" w:rsidRPr="00316255">
        <w:rPr>
          <w:u w:val="single"/>
        </w:rPr>
        <w:t xml:space="preserve"> investēt politikas v</w:t>
      </w:r>
      <w:r w:rsidR="00C75101" w:rsidRPr="00316255">
        <w:rPr>
          <w:u w:val="single"/>
        </w:rPr>
        <w:t xml:space="preserve">eidošanā un programmu izstrādē. Tādējādi tiks </w:t>
      </w:r>
      <w:r w:rsidR="002525BF" w:rsidRPr="00316255">
        <w:rPr>
          <w:u w:val="single"/>
        </w:rPr>
        <w:t>veicin</w:t>
      </w:r>
      <w:r w:rsidR="00C75101" w:rsidRPr="00316255">
        <w:rPr>
          <w:u w:val="single"/>
        </w:rPr>
        <w:t>āta</w:t>
      </w:r>
      <w:r w:rsidR="002525BF" w:rsidRPr="00316255">
        <w:rPr>
          <w:u w:val="single"/>
        </w:rPr>
        <w:t xml:space="preserve"> spēcīgāk</w:t>
      </w:r>
      <w:r w:rsidR="00C75101" w:rsidRPr="00316255">
        <w:rPr>
          <w:u w:val="single"/>
        </w:rPr>
        <w:t>a</w:t>
      </w:r>
      <w:r w:rsidR="002525BF" w:rsidRPr="00316255">
        <w:rPr>
          <w:u w:val="single"/>
        </w:rPr>
        <w:t xml:space="preserve"> un iekļaujošāk</w:t>
      </w:r>
      <w:r w:rsidR="00C75101" w:rsidRPr="00316255">
        <w:rPr>
          <w:u w:val="single"/>
        </w:rPr>
        <w:t xml:space="preserve">a izaugsme, uzlaboti </w:t>
      </w:r>
      <w:r w:rsidR="002525BF" w:rsidRPr="00316255">
        <w:rPr>
          <w:u w:val="single"/>
        </w:rPr>
        <w:t>iedzīvotāju dzīves apstāk</w:t>
      </w:r>
      <w:r w:rsidR="00DD1535" w:rsidRPr="00316255">
        <w:rPr>
          <w:u w:val="single"/>
        </w:rPr>
        <w:t>ļ</w:t>
      </w:r>
      <w:r w:rsidR="00C75101" w:rsidRPr="00316255">
        <w:rPr>
          <w:u w:val="single"/>
        </w:rPr>
        <w:t>i</w:t>
      </w:r>
      <w:r w:rsidR="00DD1535" w:rsidRPr="00316255">
        <w:rPr>
          <w:u w:val="single"/>
        </w:rPr>
        <w:t xml:space="preserve"> un </w:t>
      </w:r>
      <w:r w:rsidR="00C75101" w:rsidRPr="00316255">
        <w:rPr>
          <w:u w:val="single"/>
        </w:rPr>
        <w:t>stiprināta IDA valstu noturība</w:t>
      </w:r>
      <w:r w:rsidR="00DD1535">
        <w:t>:</w:t>
      </w:r>
      <w:r w:rsidR="00D47ACE">
        <w:t xml:space="preserve"> </w:t>
      </w:r>
    </w:p>
    <w:p w14:paraId="42D52776" w14:textId="77777777" w:rsidR="005F421C" w:rsidRDefault="00637117" w:rsidP="00AA783C">
      <w:pPr>
        <w:spacing w:after="60" w:line="240" w:lineRule="auto"/>
        <w:jc w:val="both"/>
      </w:pPr>
      <w:r w:rsidRPr="00327E62">
        <w:rPr>
          <w:u w:val="single"/>
        </w:rPr>
        <w:t>1.prioritāte</w:t>
      </w:r>
      <w:r w:rsidRPr="00637117">
        <w:t xml:space="preserve"> “D</w:t>
      </w:r>
      <w:r w:rsidR="00DD1535" w:rsidRPr="00637117">
        <w:t>arba vietu radīšana un ekonomikas transformēšana</w:t>
      </w:r>
      <w:r w:rsidRPr="00637117">
        <w:t>”</w:t>
      </w:r>
      <w:r>
        <w:t xml:space="preserve"> </w:t>
      </w:r>
      <w:r w:rsidR="00DD1535" w:rsidRPr="00637117">
        <w:t>atbalstīs IDA</w:t>
      </w:r>
      <w:r w:rsidR="00DD1535">
        <w:t xml:space="preserve"> valstis izveidot jaunas un kvalitatīvas darbavietas, kam ir kritiska loma izaugsmes veici</w:t>
      </w:r>
      <w:r w:rsidR="009B5AFD">
        <w:t>nāšanā</w:t>
      </w:r>
      <w:r w:rsidR="00DD1535">
        <w:t xml:space="preserve"> un nabadzības m</w:t>
      </w:r>
      <w:r w:rsidR="009B5AFD">
        <w:t>azināšanā</w:t>
      </w:r>
      <w:r w:rsidR="005F421C">
        <w:t xml:space="preserve">. Šīs prioritātes īstenošanai plānots realizēt </w:t>
      </w:r>
      <w:r w:rsidR="00670CF4">
        <w:t>13</w:t>
      </w:r>
      <w:r w:rsidR="005F421C">
        <w:t xml:space="preserve"> politikas pasākumus, </w:t>
      </w:r>
      <w:r w:rsidR="00670CF4">
        <w:t>tai skaitā</w:t>
      </w:r>
      <w:r w:rsidR="005F421C">
        <w:t>:</w:t>
      </w:r>
    </w:p>
    <w:p w14:paraId="0657B9B4" w14:textId="77777777" w:rsidR="00637117" w:rsidRDefault="00533CB7" w:rsidP="00AA783C">
      <w:pPr>
        <w:pStyle w:val="ListParagraph"/>
        <w:numPr>
          <w:ilvl w:val="0"/>
          <w:numId w:val="4"/>
        </w:numPr>
        <w:spacing w:after="60"/>
        <w:contextualSpacing w:val="0"/>
        <w:jc w:val="both"/>
      </w:pPr>
      <w:r>
        <w:lastRenderedPageBreak/>
        <w:t>atbalsts 10-15 valstīm</w:t>
      </w:r>
      <w:r w:rsidR="005F421C">
        <w:t>, lai risināt</w:t>
      </w:r>
      <w:r>
        <w:t>u</w:t>
      </w:r>
      <w:r w:rsidR="005F421C">
        <w:t xml:space="preserve"> nepilnības sektoros ar augstu privātā sektora potenciālu darbavietu izveidei un ekonomikas transformācijai, piemēram, lauksaimniecībā, ražošanā u.c.;</w:t>
      </w:r>
    </w:p>
    <w:p w14:paraId="6E7BEE14" w14:textId="77777777" w:rsidR="005F421C" w:rsidRDefault="00533CB7" w:rsidP="00AA783C">
      <w:pPr>
        <w:pStyle w:val="ListParagraph"/>
        <w:numPr>
          <w:ilvl w:val="0"/>
          <w:numId w:val="4"/>
        </w:numPr>
        <w:spacing w:after="60"/>
        <w:contextualSpacing w:val="0"/>
        <w:jc w:val="both"/>
      </w:pPr>
      <w:r>
        <w:t xml:space="preserve">vismaz 66% no lauksaimniecības projektiem IDA valstīs </w:t>
      </w:r>
      <w:r w:rsidR="00E607AC">
        <w:t>ietvers</w:t>
      </w:r>
      <w:r>
        <w:t xml:space="preserve"> dalību vērtību ķēdēs</w:t>
      </w:r>
      <w:r w:rsidR="00E607AC">
        <w:t xml:space="preserve"> </w:t>
      </w:r>
      <w:r w:rsidR="00E607AC" w:rsidRPr="00D47ACE">
        <w:rPr>
          <w:i/>
        </w:rPr>
        <w:t>(</w:t>
      </w:r>
      <w:proofErr w:type="spellStart"/>
      <w:r w:rsidR="00E607AC" w:rsidRPr="00D47ACE">
        <w:rPr>
          <w:i/>
        </w:rPr>
        <w:t>value</w:t>
      </w:r>
      <w:proofErr w:type="spellEnd"/>
      <w:r w:rsidR="00E607AC" w:rsidRPr="00D47ACE">
        <w:rPr>
          <w:i/>
        </w:rPr>
        <w:t xml:space="preserve"> </w:t>
      </w:r>
      <w:proofErr w:type="spellStart"/>
      <w:r w:rsidR="00E607AC" w:rsidRPr="00D47ACE">
        <w:rPr>
          <w:i/>
        </w:rPr>
        <w:t>chains</w:t>
      </w:r>
      <w:proofErr w:type="spellEnd"/>
      <w:r w:rsidR="00E607AC" w:rsidRPr="00D47ACE">
        <w:rPr>
          <w:i/>
        </w:rPr>
        <w:t>)</w:t>
      </w:r>
      <w:r>
        <w:t xml:space="preserve"> ar augst</w:t>
      </w:r>
      <w:r w:rsidR="00E607AC">
        <w:t>u</w:t>
      </w:r>
      <w:r>
        <w:t xml:space="preserve"> potenciāl</w:t>
      </w:r>
      <w:r w:rsidR="00E607AC">
        <w:t>u</w:t>
      </w:r>
      <w:r>
        <w:t xml:space="preserve"> izaugsmes veici</w:t>
      </w:r>
      <w:r w:rsidR="00E607AC">
        <w:t>nāšanai un darbavietu radīšanai, savienojot ražotājus ar tirgiem, nodrošinot tehnisko atbalstu starptautisko standartu un regulējuma ieviešanā, moderno tehnoloģiju ieviešanā, atbalst</w:t>
      </w:r>
      <w:r w:rsidR="00C5001E">
        <w:t>u</w:t>
      </w:r>
      <w:r w:rsidR="00E607AC">
        <w:t xml:space="preserve"> loģistikā un tirdzniecības izmaksu mazināšanā;</w:t>
      </w:r>
    </w:p>
    <w:p w14:paraId="23695E3E" w14:textId="77777777" w:rsidR="00533CB7" w:rsidRDefault="00533CB7" w:rsidP="00AA783C">
      <w:pPr>
        <w:pStyle w:val="ListParagraph"/>
        <w:numPr>
          <w:ilvl w:val="0"/>
          <w:numId w:val="4"/>
        </w:numPr>
        <w:spacing w:after="60"/>
        <w:contextualSpacing w:val="0"/>
        <w:jc w:val="both"/>
      </w:pPr>
      <w:r>
        <w:t xml:space="preserve">atbalsts vismaz 15 IDA valstīm </w:t>
      </w:r>
      <w:r w:rsidR="00C95902">
        <w:t>pilsētu attīstībā ar integrētu pasākumu kopumu ilgtspējīgu, iekļaujošu un produktīvu pilsētu izveidē, fokusējoties uz attīstību klimata jomā, zemes pārvaldīšanas stiprināšanā un infrastruktūrā, tādējādi veicinot darba vietu radīšanu;</w:t>
      </w:r>
    </w:p>
    <w:p w14:paraId="1C51366F" w14:textId="77777777" w:rsidR="00533CB7" w:rsidRDefault="00533CB7" w:rsidP="00AA783C">
      <w:pPr>
        <w:pStyle w:val="ListParagraph"/>
        <w:numPr>
          <w:ilvl w:val="0"/>
          <w:numId w:val="4"/>
        </w:numPr>
        <w:spacing w:after="60"/>
        <w:contextualSpacing w:val="0"/>
        <w:jc w:val="both"/>
      </w:pPr>
      <w:r>
        <w:t>atbalsts vismaz 10 IDA valstīm reģionālās infrastruktūras attīstībā un modernizācijā un politikas reformu īstenošanā</w:t>
      </w:r>
      <w:r w:rsidRPr="00533CB7">
        <w:t xml:space="preserve"> </w:t>
      </w:r>
      <w:r>
        <w:t>eksporta veicināšanai, produktivitātes celšanai un darbaspēka mobilitātes sekmēšanai.</w:t>
      </w:r>
    </w:p>
    <w:p w14:paraId="72A205DB" w14:textId="77777777" w:rsidR="00567D25" w:rsidRDefault="00637117" w:rsidP="00AA783C">
      <w:pPr>
        <w:spacing w:after="60" w:line="240" w:lineRule="auto"/>
        <w:jc w:val="both"/>
      </w:pPr>
      <w:r w:rsidRPr="00327E62">
        <w:rPr>
          <w:u w:val="single"/>
        </w:rPr>
        <w:t>2.prioritāte</w:t>
      </w:r>
      <w:r w:rsidRPr="00637117">
        <w:t xml:space="preserve"> “D</w:t>
      </w:r>
      <w:r w:rsidR="00063A1E" w:rsidRPr="00637117">
        <w:t>zimumu līdztiesība</w:t>
      </w:r>
      <w:r w:rsidRPr="00637117">
        <w:t xml:space="preserve"> un attīstība”</w:t>
      </w:r>
      <w:r>
        <w:t xml:space="preserve"> </w:t>
      </w:r>
      <w:r w:rsidR="00063A1E" w:rsidRPr="00637117">
        <w:t xml:space="preserve">palīdzēs IDA valstīm </w:t>
      </w:r>
      <w:r w:rsidR="00C5001E">
        <w:t>palielināt</w:t>
      </w:r>
      <w:r w:rsidR="005B10AE">
        <w:t xml:space="preserve"> investīcijas cilvēkkapitālā, radīt iespējas un stiprināt noturību risinot būtiskākos attīstības trūkumus, piemēram, piekļuvi r</w:t>
      </w:r>
      <w:r w:rsidR="00C5001E">
        <w:t>eproduktīvai un pieaugušo veselī</w:t>
      </w:r>
      <w:r w:rsidR="005B10AE">
        <w:t xml:space="preserve">bas aprūpei, ekonomiskās iespējas, kā arī novērst un risināt uz dzimumu balstītu vardarbību. </w:t>
      </w:r>
      <w:r w:rsidR="00567D25">
        <w:t xml:space="preserve">Šīs prioritātes īstenošanai plānots realizēt </w:t>
      </w:r>
      <w:r w:rsidR="00291BA5">
        <w:t>sešus</w:t>
      </w:r>
      <w:r w:rsidR="00567D25">
        <w:t xml:space="preserve"> politikas pasākumus, </w:t>
      </w:r>
      <w:r w:rsidR="00291BA5">
        <w:t>tai skaitā</w:t>
      </w:r>
      <w:r w:rsidR="00567D25">
        <w:t>:</w:t>
      </w:r>
    </w:p>
    <w:p w14:paraId="4CC791FA" w14:textId="77777777" w:rsidR="00637117" w:rsidRDefault="00291BA5" w:rsidP="005A464E">
      <w:pPr>
        <w:pStyle w:val="ListParagraph"/>
        <w:numPr>
          <w:ilvl w:val="0"/>
          <w:numId w:val="4"/>
        </w:numPr>
        <w:spacing w:after="60"/>
        <w:contextualSpacing w:val="0"/>
        <w:jc w:val="both"/>
      </w:pPr>
      <w:r>
        <w:t>atbalsts iespēju radīšanai</w:t>
      </w:r>
      <w:r w:rsidR="00CE4225" w:rsidRPr="00CE4225">
        <w:t xml:space="preserve"> </w:t>
      </w:r>
      <w:r w:rsidR="003C4E96">
        <w:t>sievietēm</w:t>
      </w:r>
      <w:r>
        <w:t>, uzlabojot pieeju kvalitatīvai reproduktīvās, pieaugušo un primārās veselības aprūpei vismaz 15 no 30 valstīm, kurās ir viszemākais cilvēkkapitāla indekss;</w:t>
      </w:r>
    </w:p>
    <w:p w14:paraId="1F38018F" w14:textId="77777777" w:rsidR="00291BA5" w:rsidRDefault="00CA640D" w:rsidP="005A464E">
      <w:pPr>
        <w:pStyle w:val="ListParagraph"/>
        <w:numPr>
          <w:ilvl w:val="0"/>
          <w:numId w:val="4"/>
        </w:numPr>
        <w:spacing w:after="60"/>
        <w:contextualSpacing w:val="0"/>
        <w:jc w:val="both"/>
      </w:pPr>
      <w:r>
        <w:t xml:space="preserve">vismaz 60% no visiem IDA19 ietvaros finansētajiem projektiem, kas saistīti ar digitālo prasmju attīstību, sniegs atbalstu </w:t>
      </w:r>
      <w:r w:rsidR="00CE4225">
        <w:t>augstākas produktivitātes darbavietām</w:t>
      </w:r>
      <w:r w:rsidR="009E2E71" w:rsidRPr="009E2E71">
        <w:t xml:space="preserve"> </w:t>
      </w:r>
      <w:r w:rsidR="009E2E71">
        <w:t>sievietēm</w:t>
      </w:r>
      <w:r w:rsidR="00CE4225">
        <w:t>, tai skaitā darbam tiešsaistē</w:t>
      </w:r>
      <w:r w:rsidR="003041EF">
        <w:t>;</w:t>
      </w:r>
    </w:p>
    <w:p w14:paraId="42A08757" w14:textId="77777777" w:rsidR="00291BA5" w:rsidRDefault="00CA640D" w:rsidP="005A464E">
      <w:pPr>
        <w:pStyle w:val="ListParagraph"/>
        <w:numPr>
          <w:ilvl w:val="0"/>
          <w:numId w:val="4"/>
        </w:numPr>
        <w:spacing w:after="60"/>
        <w:contextualSpacing w:val="0"/>
        <w:jc w:val="both"/>
      </w:pPr>
      <w:r>
        <w:t>v</w:t>
      </w:r>
      <w:r w:rsidR="008B690F">
        <w:t xml:space="preserve">ismaz 30% no </w:t>
      </w:r>
      <w:r>
        <w:t xml:space="preserve">visiem </w:t>
      </w:r>
      <w:r w:rsidR="008B690F">
        <w:t xml:space="preserve">IDA19 finansētajiem infrastruktūras projektiem (transporta, enerģētikas un ūdensapgādes jomā) iekļaus pasākumus, kas </w:t>
      </w:r>
      <w:r>
        <w:t>nodrošinās</w:t>
      </w:r>
      <w:r w:rsidR="008B690F">
        <w:t xml:space="preserve"> no</w:t>
      </w:r>
      <w:r w:rsidR="00696385">
        <w:t>darbinātības iespējām sievietēm;</w:t>
      </w:r>
    </w:p>
    <w:p w14:paraId="2374FDE2" w14:textId="77777777" w:rsidR="00696385" w:rsidRDefault="00696385" w:rsidP="005A464E">
      <w:pPr>
        <w:pStyle w:val="ListParagraph"/>
        <w:numPr>
          <w:ilvl w:val="0"/>
          <w:numId w:val="4"/>
        </w:numPr>
        <w:spacing w:after="60"/>
        <w:contextualSpacing w:val="0"/>
        <w:jc w:val="both"/>
      </w:pPr>
      <w:r>
        <w:t>vismaz piecās IDA vals</w:t>
      </w:r>
      <w:r w:rsidR="00C5001E">
        <w:t>tīs ieguldīt uz dzimumu balstītas</w:t>
      </w:r>
      <w:r>
        <w:t xml:space="preserve"> vardarbības novēršanā un risināšanā, nodrošinot drošu, kvalitatīvu un iekļaujošu veselības aprūpi un citus pakalpojumus veselības jomā; piecās valstīs īstenot uz dzimumu balstītas vardarbības novēršanas un risināšanas protokolus kā daļu no drošām un iekļaujošām skolām.</w:t>
      </w:r>
    </w:p>
    <w:p w14:paraId="5A3C8272" w14:textId="77777777" w:rsidR="00B81D2F" w:rsidRDefault="00C5001E" w:rsidP="00AA783C">
      <w:pPr>
        <w:spacing w:after="60" w:line="240" w:lineRule="auto"/>
        <w:jc w:val="both"/>
      </w:pPr>
      <w:r>
        <w:rPr>
          <w:u w:val="single"/>
        </w:rPr>
        <w:t>3.priori</w:t>
      </w:r>
      <w:r w:rsidR="00637117" w:rsidRPr="00327E62">
        <w:rPr>
          <w:u w:val="single"/>
        </w:rPr>
        <w:t>tāte</w:t>
      </w:r>
      <w:r w:rsidR="00637117" w:rsidRPr="00637117">
        <w:t xml:space="preserve"> “K</w:t>
      </w:r>
      <w:r w:rsidR="00063A1E" w:rsidRPr="00637117">
        <w:t>limata pārmaiņ</w:t>
      </w:r>
      <w:r w:rsidR="00637117" w:rsidRPr="00637117">
        <w:t>as”</w:t>
      </w:r>
      <w:r w:rsidR="00063A1E">
        <w:t xml:space="preserve"> palīdzēs samazināt klimata </w:t>
      </w:r>
      <w:r w:rsidR="005A464E">
        <w:t>satricinājumu</w:t>
      </w:r>
      <w:r w:rsidR="00063A1E">
        <w:t xml:space="preserve"> ietekmi uz ekonomisko izaugsm</w:t>
      </w:r>
      <w:r w:rsidR="00B81D2F">
        <w:t>i, nabadzību un cilvēkkapitālu. Šīs prioritātes īstenošanai plānots realizēt septiņus politikas pasākumus, tai skaitā:</w:t>
      </w:r>
    </w:p>
    <w:p w14:paraId="5E6523DB" w14:textId="77777777" w:rsidR="006141B2" w:rsidRDefault="00AB773C" w:rsidP="00AA783C">
      <w:pPr>
        <w:pStyle w:val="ListParagraph"/>
        <w:numPr>
          <w:ilvl w:val="0"/>
          <w:numId w:val="4"/>
        </w:numPr>
        <w:spacing w:after="60"/>
        <w:contextualSpacing w:val="0"/>
        <w:jc w:val="both"/>
      </w:pPr>
      <w:r>
        <w:t>vismaz 30% no visiem IDA19 ietvaros finansētajiem projektiem iekļ</w:t>
      </w:r>
      <w:r w:rsidR="00D47ACE">
        <w:t>aus klimata komponenti (paredzot</w:t>
      </w:r>
      <w:r>
        <w:t xml:space="preserve"> ieguvumus klimata pārmaiņu risināšanai), no kuriem vismaz puse tiks veltīta pasākumiem, kas saistīti ar pielāgošanos klimata pārmaiņām;</w:t>
      </w:r>
    </w:p>
    <w:p w14:paraId="691D7D98" w14:textId="77777777" w:rsidR="00AB773C" w:rsidRDefault="00AB773C" w:rsidP="00AA783C">
      <w:pPr>
        <w:pStyle w:val="ListParagraph"/>
        <w:numPr>
          <w:ilvl w:val="0"/>
          <w:numId w:val="4"/>
        </w:numPr>
        <w:spacing w:after="60"/>
        <w:contextualSpacing w:val="0"/>
        <w:jc w:val="both"/>
      </w:pPr>
      <w:r>
        <w:t>atbalsts vismaz 25 valstīm mazināt klimata pārmaiņu satricinājumu rezultātā radušos nabadzības un cilvēkkapitāla riskus</w:t>
      </w:r>
      <w:r w:rsidR="00B81D2F">
        <w:t>, atbalstot programmas, kas samazina klimata pārmaiņu rezultātā radušos draudus veselībai;</w:t>
      </w:r>
    </w:p>
    <w:p w14:paraId="2B6825C8" w14:textId="77777777" w:rsidR="00B81D2F" w:rsidRDefault="00B81D2F" w:rsidP="00AA783C">
      <w:pPr>
        <w:pStyle w:val="ListParagraph"/>
        <w:numPr>
          <w:ilvl w:val="0"/>
          <w:numId w:val="4"/>
        </w:numPr>
        <w:spacing w:after="60"/>
        <w:contextualSpacing w:val="0"/>
        <w:jc w:val="both"/>
      </w:pPr>
      <w:r>
        <w:t>atbalsts vismaz 15 valstīm sistemātiski īstenot un atjaunot nacionālos rīcības plānus klimata jomā (piemēram, Nacionāli noteikto ieguldījumu – NDC) un visu IDA valstu stratēģijās noteikt ar klimatu saistītus un uz NDC balstītus mērķus un rezultātus;</w:t>
      </w:r>
    </w:p>
    <w:p w14:paraId="557E4345" w14:textId="77777777" w:rsidR="00B81D2F" w:rsidRDefault="00B81D2F" w:rsidP="00AA783C">
      <w:pPr>
        <w:pStyle w:val="ListParagraph"/>
        <w:numPr>
          <w:ilvl w:val="0"/>
          <w:numId w:val="4"/>
        </w:numPr>
        <w:spacing w:after="60"/>
        <w:contextualSpacing w:val="0"/>
        <w:jc w:val="both"/>
      </w:pPr>
      <w:r>
        <w:lastRenderedPageBreak/>
        <w:t>atbalsts vismaz 15 IDA valstīm ieviest un atjaunot Nacionālās bioloģiskās daudzveidības stratēģijas un rīcības plānus, iekļaujot sauszemes un jūras bioloģisko daudzveidību vai līdzīgu</w:t>
      </w:r>
      <w:r w:rsidR="00C5001E">
        <w:t>s</w:t>
      </w:r>
      <w:r>
        <w:t xml:space="preserve"> nacionālos rīcības plānus.</w:t>
      </w:r>
    </w:p>
    <w:p w14:paraId="67E79132" w14:textId="77777777" w:rsidR="00B81D2F" w:rsidRDefault="00637117" w:rsidP="00AA783C">
      <w:pPr>
        <w:spacing w:after="60" w:line="240" w:lineRule="auto"/>
        <w:jc w:val="both"/>
      </w:pPr>
      <w:r w:rsidRPr="00327E62">
        <w:rPr>
          <w:u w:val="single"/>
        </w:rPr>
        <w:t>4.prioritāte</w:t>
      </w:r>
      <w:r w:rsidRPr="00637117">
        <w:t xml:space="preserve"> “N</w:t>
      </w:r>
      <w:r w:rsidR="00063A1E" w:rsidRPr="00637117">
        <w:t>estabilitātes, konfliktu un vardarbība</w:t>
      </w:r>
      <w:r w:rsidRPr="00637117">
        <w:t>s mazināšana”</w:t>
      </w:r>
      <w:r w:rsidR="00063A1E" w:rsidRPr="00637117">
        <w:t xml:space="preserve"> </w:t>
      </w:r>
      <w:proofErr w:type="spellStart"/>
      <w:r w:rsidR="00063A1E" w:rsidRPr="00637117">
        <w:t>prioritizē</w:t>
      </w:r>
      <w:r w:rsidR="009B5AFD" w:rsidRPr="00637117">
        <w:t>s</w:t>
      </w:r>
      <w:proofErr w:type="spellEnd"/>
      <w:r w:rsidR="00063A1E" w:rsidRPr="00637117">
        <w:t xml:space="preserve"> šo</w:t>
      </w:r>
      <w:r w:rsidR="00063A1E">
        <w:t xml:space="preserve"> risku mazināšanu, kas ietekmē visievainojamākās iedzīvotāju grupas, atstājot </w:t>
      </w:r>
      <w:r w:rsidR="009B5AFD">
        <w:t xml:space="preserve">negatīvu </w:t>
      </w:r>
      <w:r w:rsidR="00063A1E">
        <w:t>iespaidu uz cilvēkkap</w:t>
      </w:r>
      <w:r w:rsidR="00B81D2F">
        <w:t>itālu un ekonomiskajām iespējām. Šīs prioritātes īstenošanai plānots realizēt sešus politikas pasākumus, tai skaitā:</w:t>
      </w:r>
    </w:p>
    <w:p w14:paraId="39BA10EB" w14:textId="77777777" w:rsidR="00B81D2F" w:rsidRDefault="008D4BA3" w:rsidP="00AA783C">
      <w:pPr>
        <w:pStyle w:val="ListParagraph"/>
        <w:numPr>
          <w:ilvl w:val="0"/>
          <w:numId w:val="4"/>
        </w:numPr>
        <w:spacing w:after="60"/>
        <w:contextualSpacing w:val="0"/>
        <w:jc w:val="both"/>
      </w:pPr>
      <w:r>
        <w:t xml:space="preserve">visās nestabilo un konfliktu skarto IDA valstu stratēģijās un bankas iesaistes dokumentos tiks iekļauts, kā banka sadarbībā ar iesaistītajiem partneriem risinās nestabilitātes, konfliktu un vardarbības cēloņus, balstoties uz veikto diagnostiku (piemēram, </w:t>
      </w:r>
      <w:r w:rsidR="00190E6C">
        <w:t>“</w:t>
      </w:r>
      <w:r>
        <w:t>Riska un noturības izvērtējumu</w:t>
      </w:r>
      <w:r w:rsidR="00190E6C">
        <w:t>”</w:t>
      </w:r>
      <w:r>
        <w:t>) un sniegs rekomendācijas;</w:t>
      </w:r>
    </w:p>
    <w:p w14:paraId="3227D479" w14:textId="77777777" w:rsidR="008D4BA3" w:rsidRDefault="008D4BA3" w:rsidP="00AA783C">
      <w:pPr>
        <w:pStyle w:val="ListParagraph"/>
        <w:numPr>
          <w:ilvl w:val="0"/>
          <w:numId w:val="4"/>
        </w:numPr>
        <w:spacing w:after="60"/>
        <w:contextualSpacing w:val="0"/>
        <w:jc w:val="both"/>
      </w:pPr>
      <w:r>
        <w:t xml:space="preserve">balstoties uz </w:t>
      </w:r>
      <w:r w:rsidR="00190E6C">
        <w:t>“</w:t>
      </w:r>
      <w:r>
        <w:t>Risku un noturības izvērtējumu</w:t>
      </w:r>
      <w:r w:rsidR="00190E6C">
        <w:t>”</w:t>
      </w:r>
      <w:r>
        <w:t>, tiks izveidotas un īstenotas vismaz trīs reģionālās programmas ar fokusu uz galveno nestabilitātes un drošības risku mazināšanu;</w:t>
      </w:r>
    </w:p>
    <w:p w14:paraId="3D0EFC46" w14:textId="77777777" w:rsidR="008D4BA3" w:rsidRDefault="008D4BA3" w:rsidP="00AA783C">
      <w:pPr>
        <w:pStyle w:val="ListParagraph"/>
        <w:numPr>
          <w:ilvl w:val="0"/>
          <w:numId w:val="4"/>
        </w:numPr>
        <w:spacing w:after="60"/>
        <w:contextualSpacing w:val="0"/>
        <w:jc w:val="both"/>
      </w:pPr>
      <w:r>
        <w:t>vismaz 20</w:t>
      </w:r>
      <w:r w:rsidRPr="008D4BA3">
        <w:t xml:space="preserve"> </w:t>
      </w:r>
      <w:r>
        <w:t>nestabilo un konfliktu skarto IDA valstu programmas atbalstīs sociālā sektora pakalpojumu nodrošināšanas uzlabojumus (veselības, izglītības un sociālās aizsardzības jomā) ar fokusu uz dažādiem ierobežojumiem, ar ko saskaras vīrieši, sievietes, zēni, meit</w:t>
      </w:r>
      <w:r w:rsidR="00190E6C">
        <w:t>enes un cilvēki ar invaliditāti;</w:t>
      </w:r>
    </w:p>
    <w:p w14:paraId="02F0ECDD" w14:textId="77777777" w:rsidR="008D4BA3" w:rsidRDefault="002D3C27" w:rsidP="009B58DE">
      <w:pPr>
        <w:pStyle w:val="ListParagraph"/>
        <w:numPr>
          <w:ilvl w:val="0"/>
          <w:numId w:val="4"/>
        </w:numPr>
        <w:spacing w:after="60"/>
        <w:contextualSpacing w:val="0"/>
        <w:jc w:val="both"/>
      </w:pPr>
      <w:r>
        <w:t xml:space="preserve">līdz IDA19 vidēja termiņa pārskatam IDA veiks sistēmisku bēgļu politikas un institucionālās </w:t>
      </w:r>
      <w:r w:rsidR="002F353A">
        <w:t>sistēmas</w:t>
      </w:r>
      <w:r>
        <w:t xml:space="preserve"> pārskatu valstīs, kuras kvalificējas bēgļu uzņemošo kopienu finansējuma ietvaram.</w:t>
      </w:r>
    </w:p>
    <w:p w14:paraId="6FBB8F2F" w14:textId="77777777" w:rsidR="002F353A" w:rsidRDefault="00637117" w:rsidP="00AA783C">
      <w:pPr>
        <w:spacing w:after="60" w:line="240" w:lineRule="auto"/>
        <w:jc w:val="both"/>
      </w:pPr>
      <w:r w:rsidRPr="00327E62">
        <w:rPr>
          <w:u w:val="single"/>
        </w:rPr>
        <w:t>5.prioritāte</w:t>
      </w:r>
      <w:r w:rsidRPr="00637117">
        <w:t xml:space="preserve"> “P</w:t>
      </w:r>
      <w:r w:rsidR="00063A1E" w:rsidRPr="00637117">
        <w:t xml:space="preserve">ārvaldības </w:t>
      </w:r>
      <w:r w:rsidRPr="00637117">
        <w:t>stiprināšana</w:t>
      </w:r>
      <w:r w:rsidR="00063A1E" w:rsidRPr="00637117">
        <w:t xml:space="preserve"> un spēcīgu institūciju </w:t>
      </w:r>
      <w:r w:rsidRPr="00637117">
        <w:t>izveide”</w:t>
      </w:r>
      <w:r w:rsidR="00063A1E" w:rsidRPr="00637117">
        <w:t xml:space="preserve"> </w:t>
      </w:r>
      <w:r w:rsidR="009B5AFD" w:rsidRPr="00637117">
        <w:t xml:space="preserve">palīdzēs </w:t>
      </w:r>
      <w:r w:rsidR="00063A1E" w:rsidRPr="00637117">
        <w:t>IDA</w:t>
      </w:r>
      <w:r w:rsidR="00063A1E">
        <w:t xml:space="preserve"> valst</w:t>
      </w:r>
      <w:r w:rsidR="009B5AFD">
        <w:t>īm</w:t>
      </w:r>
      <w:r w:rsidR="00063A1E">
        <w:t xml:space="preserve"> </w:t>
      </w:r>
      <w:r w:rsidR="009B5AFD">
        <w:t xml:space="preserve">transformēt </w:t>
      </w:r>
      <w:r w:rsidR="00063A1E">
        <w:t>publi</w:t>
      </w:r>
      <w:r w:rsidR="009B5AFD">
        <w:t>sko</w:t>
      </w:r>
      <w:r w:rsidR="00063A1E">
        <w:t xml:space="preserve"> sektor</w:t>
      </w:r>
      <w:r w:rsidR="009B5AFD">
        <w:t>u ar tehnoloģiju palīdzību</w:t>
      </w:r>
      <w:r w:rsidR="00063A1E">
        <w:t xml:space="preserve">, ilgtspējīgi </w:t>
      </w:r>
      <w:r w:rsidR="009B5AFD">
        <w:t>pārvaldīt valsts</w:t>
      </w:r>
      <w:r w:rsidR="00063A1E">
        <w:t xml:space="preserve"> parādu</w:t>
      </w:r>
      <w:r w:rsidR="009B5AFD">
        <w:t xml:space="preserve"> un nodrošināt</w:t>
      </w:r>
      <w:r w:rsidR="00063A1E">
        <w:t xml:space="preserve">, ka </w:t>
      </w:r>
      <w:r w:rsidR="001F7EE0">
        <w:t>reformu rezultātā papildus iegūtie</w:t>
      </w:r>
      <w:r w:rsidR="00063A1E">
        <w:t xml:space="preserve"> nodokļu ieņēmumi </w:t>
      </w:r>
      <w:r w:rsidR="001F7EE0">
        <w:t>tiek investēti cilvēkkapitālā</w:t>
      </w:r>
      <w:r w:rsidR="00063A1E">
        <w:t>.</w:t>
      </w:r>
      <w:r w:rsidR="002F353A">
        <w:t xml:space="preserve"> Šīs prioritātes īstenošanai plānots realizēt </w:t>
      </w:r>
      <w:r w:rsidR="00EE2969">
        <w:t>divpadsmit</w:t>
      </w:r>
      <w:r w:rsidR="002F353A">
        <w:t xml:space="preserve"> politikas pasākumus, tai skaitā:</w:t>
      </w:r>
    </w:p>
    <w:p w14:paraId="0970E10F" w14:textId="77777777" w:rsidR="002F353A" w:rsidRDefault="00EE2969" w:rsidP="00AA783C">
      <w:pPr>
        <w:pStyle w:val="ListParagraph"/>
        <w:numPr>
          <w:ilvl w:val="0"/>
          <w:numId w:val="4"/>
        </w:numPr>
        <w:spacing w:after="60"/>
        <w:contextualSpacing w:val="0"/>
        <w:jc w:val="both"/>
      </w:pPr>
      <w:r>
        <w:t>atbalsts vismaz 25 IDA valstīm ieviest integrētu programmas pieeju parāda caurskatāmības uzlabošanai, sekmējot parāda caurskatāmības reformu īstenošanu, tai skaitā ziņošanu par parāda apjomu;</w:t>
      </w:r>
    </w:p>
    <w:p w14:paraId="4A76C4E8" w14:textId="77777777" w:rsidR="00EE2969" w:rsidRDefault="00EE2969" w:rsidP="00AA783C">
      <w:pPr>
        <w:pStyle w:val="ListParagraph"/>
        <w:numPr>
          <w:ilvl w:val="0"/>
          <w:numId w:val="4"/>
        </w:numPr>
        <w:spacing w:after="60"/>
        <w:contextualSpacing w:val="0"/>
        <w:jc w:val="both"/>
      </w:pPr>
      <w:r>
        <w:t xml:space="preserve">atbalsts valsts programmas īstenošanā tajās IDA valstīs, kuru nodokļu ieņēmumi pastāvīgi ir zemāki par 15% no IKP, lai palielinātu šo rādītāju </w:t>
      </w:r>
      <w:r w:rsidR="00190E6C">
        <w:t xml:space="preserve">vismaz </w:t>
      </w:r>
      <w:r>
        <w:t>par 1% IDA cikla trīs gadu periodā;</w:t>
      </w:r>
    </w:p>
    <w:p w14:paraId="496CC48F" w14:textId="77777777" w:rsidR="00EE2969" w:rsidRDefault="00C44107" w:rsidP="00AA783C">
      <w:pPr>
        <w:pStyle w:val="ListParagraph"/>
        <w:numPr>
          <w:ilvl w:val="0"/>
          <w:numId w:val="4"/>
        </w:numPr>
        <w:spacing w:after="60"/>
        <w:contextualSpacing w:val="0"/>
        <w:jc w:val="both"/>
      </w:pPr>
      <w:r>
        <w:t>atbalsts vismaz 20 valstīm</w:t>
      </w:r>
      <w:r w:rsidR="00EE2969">
        <w:t xml:space="preserve"> id</w:t>
      </w:r>
      <w:r>
        <w:t>entificēt</w:t>
      </w:r>
      <w:r w:rsidR="00EE2969">
        <w:t xml:space="preserve"> trūkumus </w:t>
      </w:r>
      <w:r>
        <w:t>kvalitatīvu</w:t>
      </w:r>
      <w:r w:rsidR="00EE2969">
        <w:t xml:space="preserve"> infrastruktūras investīciju </w:t>
      </w:r>
      <w:r>
        <w:t>attīstības</w:t>
      </w:r>
      <w:r w:rsidR="00EE2969">
        <w:t>, finansēšan</w:t>
      </w:r>
      <w:r>
        <w:t>as un īstenošanas pārvaldībā ar īpašu fokusu uz projektu izstrādi, iepirkumu, vides un sociāliem apsvērumiem, atbilstību, lai informētu par atbilstošas politikas veidošanu un regulējuma izstrādi;</w:t>
      </w:r>
    </w:p>
    <w:p w14:paraId="6CBD7857" w14:textId="77777777" w:rsidR="00C44107" w:rsidRDefault="00C44107" w:rsidP="00AA783C">
      <w:pPr>
        <w:pStyle w:val="ListParagraph"/>
        <w:numPr>
          <w:ilvl w:val="0"/>
          <w:numId w:val="4"/>
        </w:numPr>
        <w:spacing w:after="60"/>
        <w:contextualSpacing w:val="0"/>
        <w:jc w:val="both"/>
      </w:pPr>
      <w:r>
        <w:t>vismaz piecās IDA valstīs veikt visaptverošu nelikumīgu finanšu plūsmu risku izvērtējumu un rīcības plānu izstrādi, kā arī atbalstīt vismaz 20 valstis īstenot pasākumus nelikumīgu finanšu plūsmu novēršanai, tai skaitā uzlabojot pieeju informācijai par patiesā labuma guvējiem un nodrošinot automātisku informācijas apmaiņu nodokļu apiešanas mazināšanai;</w:t>
      </w:r>
    </w:p>
    <w:p w14:paraId="3BBE8C01" w14:textId="77777777" w:rsidR="007711A2" w:rsidRDefault="00A14AF6" w:rsidP="00AA783C">
      <w:pPr>
        <w:pStyle w:val="ListParagraph"/>
        <w:numPr>
          <w:ilvl w:val="0"/>
          <w:numId w:val="4"/>
        </w:numPr>
        <w:spacing w:after="60"/>
        <w:contextualSpacing w:val="0"/>
        <w:jc w:val="both"/>
      </w:pPr>
      <w:r>
        <w:t>atbalsts vismaz 95% nestabilām un konfliktu skartām IDA valstīm izveidot un stiprināt valdības pamatfunkcijas nestabilitātes, konfliktu un vardarbības cēloņu novēršanai.</w:t>
      </w:r>
    </w:p>
    <w:p w14:paraId="180DD982" w14:textId="77777777" w:rsidR="00F4162C" w:rsidRDefault="00F4162C" w:rsidP="00637117">
      <w:pPr>
        <w:spacing w:after="0" w:line="240" w:lineRule="auto"/>
        <w:ind w:firstLine="360"/>
        <w:jc w:val="both"/>
      </w:pPr>
    </w:p>
    <w:p w14:paraId="665E0D37" w14:textId="77777777" w:rsidR="001C2D4E" w:rsidRDefault="001C2D4E" w:rsidP="00637117">
      <w:pPr>
        <w:spacing w:after="0" w:line="240" w:lineRule="auto"/>
        <w:ind w:firstLine="360"/>
        <w:jc w:val="both"/>
      </w:pPr>
    </w:p>
    <w:p w14:paraId="412DF1A3" w14:textId="77777777" w:rsidR="001C2D4E" w:rsidRDefault="001C2D4E" w:rsidP="00637117">
      <w:pPr>
        <w:spacing w:after="0" w:line="240" w:lineRule="auto"/>
        <w:ind w:firstLine="360"/>
        <w:jc w:val="both"/>
      </w:pPr>
    </w:p>
    <w:p w14:paraId="1A9BE152" w14:textId="77777777" w:rsidR="00327E62" w:rsidRPr="00AA783C" w:rsidRDefault="00B32873" w:rsidP="005A464E">
      <w:pPr>
        <w:spacing w:after="120" w:line="240" w:lineRule="auto"/>
        <w:ind w:firstLine="357"/>
        <w:jc w:val="center"/>
        <w:rPr>
          <w:b/>
        </w:rPr>
      </w:pPr>
      <w:r>
        <w:rPr>
          <w:b/>
        </w:rPr>
        <w:lastRenderedPageBreak/>
        <w:t xml:space="preserve">IV. </w:t>
      </w:r>
      <w:r w:rsidR="00327E62" w:rsidRPr="00327E62">
        <w:rPr>
          <w:b/>
        </w:rPr>
        <w:t>IDA19 finansēšana</w:t>
      </w:r>
      <w:r w:rsidR="00315683">
        <w:rPr>
          <w:b/>
        </w:rPr>
        <w:t>s ietvars</w:t>
      </w:r>
      <w:r w:rsidR="00086C32">
        <w:rPr>
          <w:b/>
        </w:rPr>
        <w:t xml:space="preserve"> un Latvijas </w:t>
      </w:r>
      <w:r w:rsidR="005A464E">
        <w:rPr>
          <w:b/>
        </w:rPr>
        <w:t>dalība</w:t>
      </w:r>
    </w:p>
    <w:p w14:paraId="691FB7DD" w14:textId="77777777" w:rsidR="00D17AAD" w:rsidRPr="000D69D0" w:rsidRDefault="00315683" w:rsidP="00AA783C">
      <w:pPr>
        <w:spacing w:after="60" w:line="240" w:lineRule="auto"/>
        <w:jc w:val="both"/>
      </w:pPr>
      <w:r w:rsidRPr="000D69D0">
        <w:t xml:space="preserve">Lai īstenotu IDA valstu attīstības vajadzības un sasniegtu 2030.gada ilgtspējīgas attīstības mērķus, </w:t>
      </w:r>
      <w:r w:rsidR="00D17AAD" w:rsidRPr="000D69D0">
        <w:t xml:space="preserve">Pasaules Banka izstrādāja piecus finansēšanas ietvarus – </w:t>
      </w:r>
      <w:proofErr w:type="spellStart"/>
      <w:r w:rsidR="00D17AAD" w:rsidRPr="000D69D0">
        <w:rPr>
          <w:i/>
        </w:rPr>
        <w:t>Low</w:t>
      </w:r>
      <w:proofErr w:type="spellEnd"/>
      <w:r w:rsidR="00D17AAD" w:rsidRPr="000D69D0">
        <w:rPr>
          <w:i/>
        </w:rPr>
        <w:t xml:space="preserve">, </w:t>
      </w:r>
      <w:proofErr w:type="spellStart"/>
      <w:r w:rsidR="00D17AAD" w:rsidRPr="000D69D0">
        <w:rPr>
          <w:i/>
        </w:rPr>
        <w:t>Mid-Low</w:t>
      </w:r>
      <w:proofErr w:type="spellEnd"/>
      <w:r w:rsidR="00D17AAD" w:rsidRPr="000D69D0">
        <w:rPr>
          <w:i/>
        </w:rPr>
        <w:t xml:space="preserve">, </w:t>
      </w:r>
      <w:proofErr w:type="spellStart"/>
      <w:r w:rsidR="00D17AAD" w:rsidRPr="000D69D0">
        <w:rPr>
          <w:i/>
        </w:rPr>
        <w:t>Base</w:t>
      </w:r>
      <w:proofErr w:type="spellEnd"/>
      <w:r w:rsidR="00D17AAD" w:rsidRPr="000D69D0">
        <w:rPr>
          <w:i/>
        </w:rPr>
        <w:t xml:space="preserve">, </w:t>
      </w:r>
      <w:proofErr w:type="spellStart"/>
      <w:r w:rsidR="00D17AAD" w:rsidRPr="000D69D0">
        <w:rPr>
          <w:i/>
        </w:rPr>
        <w:t>Mid-High</w:t>
      </w:r>
      <w:proofErr w:type="spellEnd"/>
      <w:r w:rsidR="00D17AAD" w:rsidRPr="000D69D0">
        <w:rPr>
          <w:i/>
        </w:rPr>
        <w:t xml:space="preserve"> </w:t>
      </w:r>
      <w:r w:rsidR="00D17AAD" w:rsidRPr="000D69D0">
        <w:t>un</w:t>
      </w:r>
      <w:r w:rsidR="00D17AAD" w:rsidRPr="000D69D0">
        <w:rPr>
          <w:i/>
        </w:rPr>
        <w:t xml:space="preserve"> </w:t>
      </w:r>
      <w:proofErr w:type="spellStart"/>
      <w:r w:rsidR="00D17AAD" w:rsidRPr="000D69D0">
        <w:rPr>
          <w:i/>
        </w:rPr>
        <w:t>High</w:t>
      </w:r>
      <w:proofErr w:type="spellEnd"/>
      <w:r w:rsidR="00F12051" w:rsidRPr="000D69D0">
        <w:rPr>
          <w:i/>
        </w:rPr>
        <w:t xml:space="preserve"> </w:t>
      </w:r>
      <w:r w:rsidR="00F12051" w:rsidRPr="000D69D0">
        <w:t>(1.tabula):</w:t>
      </w:r>
    </w:p>
    <w:p w14:paraId="00DD9884" w14:textId="77777777" w:rsidR="00F12051" w:rsidRPr="00366C52" w:rsidRDefault="00F12051" w:rsidP="000D69D0">
      <w:pPr>
        <w:spacing w:before="120" w:after="120" w:line="240" w:lineRule="auto"/>
        <w:jc w:val="center"/>
        <w:rPr>
          <w:i/>
        </w:rPr>
      </w:pPr>
      <w:r w:rsidRPr="000D69D0">
        <w:rPr>
          <w:i/>
        </w:rPr>
        <w:t>1.tabula Finansēšanas scenāriji</w:t>
      </w:r>
    </w:p>
    <w:tbl>
      <w:tblPr>
        <w:tblStyle w:val="TableGrid"/>
        <w:tblW w:w="977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7"/>
        <w:gridCol w:w="1629"/>
        <w:gridCol w:w="1731"/>
        <w:gridCol w:w="1378"/>
        <w:gridCol w:w="1613"/>
        <w:gridCol w:w="1798"/>
      </w:tblGrid>
      <w:tr w:rsidR="00F12051" w:rsidRPr="00F12051" w14:paraId="1EB5B3E1" w14:textId="77777777" w:rsidTr="00F12051">
        <w:trPr>
          <w:jc w:val="center"/>
        </w:trPr>
        <w:tc>
          <w:tcPr>
            <w:tcW w:w="1627" w:type="dxa"/>
          </w:tcPr>
          <w:p w14:paraId="5030C3C3" w14:textId="77777777" w:rsidR="00D17AAD" w:rsidRPr="00F12051" w:rsidRDefault="00D17AAD" w:rsidP="00AA783C">
            <w:pPr>
              <w:spacing w:after="60" w:line="240" w:lineRule="auto"/>
              <w:jc w:val="both"/>
              <w:rPr>
                <w:rFonts w:ascii="Arial" w:hAnsi="Arial" w:cs="Arial"/>
                <w:sz w:val="18"/>
                <w:szCs w:val="18"/>
              </w:rPr>
            </w:pPr>
          </w:p>
        </w:tc>
        <w:tc>
          <w:tcPr>
            <w:tcW w:w="1629" w:type="dxa"/>
          </w:tcPr>
          <w:p w14:paraId="79D2F870" w14:textId="77777777" w:rsidR="00D17AAD" w:rsidRPr="00F12051" w:rsidRDefault="00D17AAD" w:rsidP="00F12051">
            <w:pPr>
              <w:spacing w:after="60" w:line="240" w:lineRule="auto"/>
              <w:jc w:val="center"/>
              <w:rPr>
                <w:rFonts w:ascii="Arial" w:hAnsi="Arial" w:cs="Arial"/>
                <w:b/>
                <w:i/>
                <w:sz w:val="18"/>
                <w:szCs w:val="18"/>
              </w:rPr>
            </w:pPr>
            <w:proofErr w:type="spellStart"/>
            <w:r w:rsidRPr="00F12051">
              <w:rPr>
                <w:rFonts w:ascii="Arial" w:hAnsi="Arial" w:cs="Arial"/>
                <w:b/>
                <w:i/>
                <w:sz w:val="18"/>
                <w:szCs w:val="18"/>
              </w:rPr>
              <w:t>Low</w:t>
            </w:r>
            <w:proofErr w:type="spellEnd"/>
          </w:p>
          <w:p w14:paraId="2D91DBDF" w14:textId="77777777" w:rsidR="00D17AAD" w:rsidRPr="00F12051" w:rsidRDefault="00D17AAD" w:rsidP="00F12051">
            <w:pPr>
              <w:spacing w:after="60" w:line="240" w:lineRule="auto"/>
              <w:jc w:val="center"/>
              <w:rPr>
                <w:rFonts w:ascii="Arial" w:hAnsi="Arial" w:cs="Arial"/>
                <w:b/>
                <w:sz w:val="18"/>
                <w:szCs w:val="18"/>
              </w:rPr>
            </w:pPr>
            <w:r w:rsidRPr="00F12051">
              <w:rPr>
                <w:rFonts w:ascii="Arial" w:hAnsi="Arial" w:cs="Arial"/>
                <w:b/>
                <w:sz w:val="18"/>
                <w:szCs w:val="18"/>
              </w:rPr>
              <w:t>US$72 mljrd.</w:t>
            </w:r>
          </w:p>
        </w:tc>
        <w:tc>
          <w:tcPr>
            <w:tcW w:w="1731" w:type="dxa"/>
          </w:tcPr>
          <w:p w14:paraId="4FACC52A" w14:textId="77777777" w:rsidR="00D17AAD" w:rsidRPr="00F12051" w:rsidRDefault="00D17AAD" w:rsidP="00F12051">
            <w:pPr>
              <w:spacing w:after="60" w:line="240" w:lineRule="auto"/>
              <w:jc w:val="center"/>
              <w:rPr>
                <w:rFonts w:ascii="Arial" w:hAnsi="Arial" w:cs="Arial"/>
                <w:b/>
                <w:i/>
                <w:sz w:val="18"/>
                <w:szCs w:val="18"/>
              </w:rPr>
            </w:pPr>
            <w:proofErr w:type="spellStart"/>
            <w:r w:rsidRPr="00F12051">
              <w:rPr>
                <w:rFonts w:ascii="Arial" w:hAnsi="Arial" w:cs="Arial"/>
                <w:b/>
                <w:i/>
                <w:sz w:val="18"/>
                <w:szCs w:val="18"/>
              </w:rPr>
              <w:t>Mid-Low</w:t>
            </w:r>
            <w:proofErr w:type="spellEnd"/>
          </w:p>
          <w:p w14:paraId="3214BD37" w14:textId="77777777" w:rsidR="00D17AAD" w:rsidRPr="00F12051" w:rsidRDefault="00D17AAD" w:rsidP="00F12051">
            <w:pPr>
              <w:spacing w:after="60" w:line="240" w:lineRule="auto"/>
              <w:jc w:val="center"/>
              <w:rPr>
                <w:rFonts w:ascii="Arial" w:hAnsi="Arial" w:cs="Arial"/>
                <w:b/>
                <w:sz w:val="18"/>
                <w:szCs w:val="18"/>
              </w:rPr>
            </w:pPr>
            <w:r w:rsidRPr="00F12051">
              <w:rPr>
                <w:rFonts w:ascii="Arial" w:hAnsi="Arial" w:cs="Arial"/>
                <w:b/>
                <w:sz w:val="18"/>
                <w:szCs w:val="18"/>
              </w:rPr>
              <w:t>US$76 mljrd.</w:t>
            </w:r>
          </w:p>
        </w:tc>
        <w:tc>
          <w:tcPr>
            <w:tcW w:w="1378" w:type="dxa"/>
          </w:tcPr>
          <w:p w14:paraId="60ABC277" w14:textId="77777777" w:rsidR="00D17AAD" w:rsidRPr="00F12051" w:rsidRDefault="00D17AAD" w:rsidP="00F12051">
            <w:pPr>
              <w:spacing w:after="60" w:line="240" w:lineRule="auto"/>
              <w:jc w:val="center"/>
              <w:rPr>
                <w:rFonts w:ascii="Arial" w:hAnsi="Arial" w:cs="Arial"/>
                <w:b/>
                <w:i/>
                <w:sz w:val="18"/>
                <w:szCs w:val="18"/>
              </w:rPr>
            </w:pPr>
            <w:proofErr w:type="spellStart"/>
            <w:r w:rsidRPr="00F12051">
              <w:rPr>
                <w:rFonts w:ascii="Arial" w:hAnsi="Arial" w:cs="Arial"/>
                <w:b/>
                <w:i/>
                <w:sz w:val="18"/>
                <w:szCs w:val="18"/>
              </w:rPr>
              <w:t>Base</w:t>
            </w:r>
            <w:proofErr w:type="spellEnd"/>
          </w:p>
          <w:p w14:paraId="3850471E" w14:textId="77777777" w:rsidR="00D17AAD" w:rsidRPr="00F12051" w:rsidRDefault="00D17AAD" w:rsidP="00F12051">
            <w:pPr>
              <w:spacing w:after="60" w:line="240" w:lineRule="auto"/>
              <w:jc w:val="center"/>
              <w:rPr>
                <w:rFonts w:ascii="Arial" w:hAnsi="Arial" w:cs="Arial"/>
                <w:b/>
                <w:sz w:val="18"/>
                <w:szCs w:val="18"/>
              </w:rPr>
            </w:pPr>
            <w:r w:rsidRPr="00F12051">
              <w:rPr>
                <w:rFonts w:ascii="Arial" w:hAnsi="Arial" w:cs="Arial"/>
                <w:b/>
                <w:sz w:val="18"/>
                <w:szCs w:val="18"/>
              </w:rPr>
              <w:t>US$80 mljrd.</w:t>
            </w:r>
          </w:p>
        </w:tc>
        <w:tc>
          <w:tcPr>
            <w:tcW w:w="1613" w:type="dxa"/>
            <w:shd w:val="clear" w:color="auto" w:fill="D9D9D9" w:themeFill="background1" w:themeFillShade="D9"/>
          </w:tcPr>
          <w:p w14:paraId="7AC51559" w14:textId="77777777" w:rsidR="00D17AAD" w:rsidRPr="00F12051" w:rsidRDefault="00D17AAD" w:rsidP="00F12051">
            <w:pPr>
              <w:spacing w:after="60" w:line="240" w:lineRule="auto"/>
              <w:jc w:val="center"/>
              <w:rPr>
                <w:rFonts w:ascii="Arial" w:hAnsi="Arial" w:cs="Arial"/>
                <w:b/>
                <w:i/>
                <w:sz w:val="18"/>
                <w:szCs w:val="18"/>
              </w:rPr>
            </w:pPr>
            <w:proofErr w:type="spellStart"/>
            <w:r w:rsidRPr="00F12051">
              <w:rPr>
                <w:rFonts w:ascii="Arial" w:hAnsi="Arial" w:cs="Arial"/>
                <w:b/>
                <w:i/>
                <w:sz w:val="18"/>
                <w:szCs w:val="18"/>
              </w:rPr>
              <w:t>Mid-High</w:t>
            </w:r>
            <w:proofErr w:type="spellEnd"/>
          </w:p>
          <w:p w14:paraId="75D0F429" w14:textId="77777777" w:rsidR="00D17AAD" w:rsidRPr="00F12051" w:rsidRDefault="00D17AAD" w:rsidP="00F12051">
            <w:pPr>
              <w:spacing w:after="60" w:line="240" w:lineRule="auto"/>
              <w:jc w:val="center"/>
              <w:rPr>
                <w:rFonts w:ascii="Arial" w:hAnsi="Arial" w:cs="Arial"/>
                <w:b/>
                <w:sz w:val="18"/>
                <w:szCs w:val="18"/>
              </w:rPr>
            </w:pPr>
            <w:r w:rsidRPr="00F12051">
              <w:rPr>
                <w:rFonts w:ascii="Arial" w:hAnsi="Arial" w:cs="Arial"/>
                <w:b/>
                <w:sz w:val="18"/>
                <w:szCs w:val="18"/>
              </w:rPr>
              <w:t>US$82 mljrd.</w:t>
            </w:r>
          </w:p>
        </w:tc>
        <w:tc>
          <w:tcPr>
            <w:tcW w:w="1798" w:type="dxa"/>
          </w:tcPr>
          <w:p w14:paraId="6C33BA69" w14:textId="77777777" w:rsidR="00D17AAD" w:rsidRPr="00F12051" w:rsidRDefault="00D17AAD" w:rsidP="00F12051">
            <w:pPr>
              <w:spacing w:after="60" w:line="240" w:lineRule="auto"/>
              <w:jc w:val="center"/>
              <w:rPr>
                <w:rFonts w:ascii="Arial" w:hAnsi="Arial" w:cs="Arial"/>
                <w:b/>
                <w:i/>
                <w:sz w:val="18"/>
                <w:szCs w:val="18"/>
              </w:rPr>
            </w:pPr>
            <w:proofErr w:type="spellStart"/>
            <w:r w:rsidRPr="00F12051">
              <w:rPr>
                <w:rFonts w:ascii="Arial" w:hAnsi="Arial" w:cs="Arial"/>
                <w:b/>
                <w:i/>
                <w:sz w:val="18"/>
                <w:szCs w:val="18"/>
              </w:rPr>
              <w:t>High</w:t>
            </w:r>
            <w:proofErr w:type="spellEnd"/>
          </w:p>
          <w:p w14:paraId="17832F2E" w14:textId="77777777" w:rsidR="00D17AAD" w:rsidRPr="00F12051" w:rsidRDefault="00D17AAD" w:rsidP="00F12051">
            <w:pPr>
              <w:spacing w:after="60" w:line="240" w:lineRule="auto"/>
              <w:jc w:val="center"/>
              <w:rPr>
                <w:rFonts w:ascii="Arial" w:hAnsi="Arial" w:cs="Arial"/>
                <w:b/>
                <w:sz w:val="18"/>
                <w:szCs w:val="18"/>
              </w:rPr>
            </w:pPr>
            <w:r w:rsidRPr="00F12051">
              <w:rPr>
                <w:rFonts w:ascii="Arial" w:hAnsi="Arial" w:cs="Arial"/>
                <w:b/>
                <w:sz w:val="18"/>
                <w:szCs w:val="18"/>
              </w:rPr>
              <w:t>US$85 mljrd.</w:t>
            </w:r>
          </w:p>
        </w:tc>
      </w:tr>
      <w:tr w:rsidR="00F12051" w:rsidRPr="00F12051" w14:paraId="39C5636D" w14:textId="77777777" w:rsidTr="00F12051">
        <w:trPr>
          <w:jc w:val="center"/>
        </w:trPr>
        <w:tc>
          <w:tcPr>
            <w:tcW w:w="1627" w:type="dxa"/>
          </w:tcPr>
          <w:p w14:paraId="3BC2931C" w14:textId="77777777" w:rsidR="00D17AAD" w:rsidRPr="00F12051" w:rsidRDefault="000D69D0" w:rsidP="000D69D0">
            <w:pPr>
              <w:spacing w:after="60" w:line="240" w:lineRule="auto"/>
              <w:jc w:val="right"/>
              <w:rPr>
                <w:rFonts w:ascii="Arial" w:hAnsi="Arial" w:cs="Arial"/>
                <w:sz w:val="18"/>
                <w:szCs w:val="18"/>
              </w:rPr>
            </w:pPr>
            <w:r>
              <w:rPr>
                <w:rFonts w:ascii="Arial" w:hAnsi="Arial" w:cs="Arial"/>
                <w:sz w:val="18"/>
                <w:szCs w:val="18"/>
              </w:rPr>
              <w:t>Resursu palielināšanas a</w:t>
            </w:r>
            <w:r w:rsidR="00F12051">
              <w:rPr>
                <w:rFonts w:ascii="Arial" w:hAnsi="Arial" w:cs="Arial"/>
                <w:sz w:val="18"/>
                <w:szCs w:val="18"/>
              </w:rPr>
              <w:t>pjoms</w:t>
            </w:r>
          </w:p>
        </w:tc>
        <w:tc>
          <w:tcPr>
            <w:tcW w:w="1629" w:type="dxa"/>
          </w:tcPr>
          <w:p w14:paraId="329260E1" w14:textId="77777777" w:rsidR="00D17AAD" w:rsidRPr="00F12051" w:rsidRDefault="00F12051" w:rsidP="00F12051">
            <w:pPr>
              <w:spacing w:after="60" w:line="240" w:lineRule="auto"/>
              <w:jc w:val="center"/>
              <w:rPr>
                <w:rFonts w:ascii="Arial" w:hAnsi="Arial" w:cs="Arial"/>
                <w:sz w:val="18"/>
                <w:szCs w:val="18"/>
              </w:rPr>
            </w:pPr>
            <w:r>
              <w:rPr>
                <w:rFonts w:ascii="Arial" w:hAnsi="Arial" w:cs="Arial"/>
                <w:sz w:val="18"/>
                <w:szCs w:val="18"/>
              </w:rPr>
              <w:t xml:space="preserve">Saglabā </w:t>
            </w:r>
            <w:r w:rsidR="00D17AAD" w:rsidRPr="00F12051">
              <w:rPr>
                <w:rFonts w:ascii="Arial" w:hAnsi="Arial" w:cs="Arial"/>
                <w:sz w:val="18"/>
                <w:szCs w:val="18"/>
              </w:rPr>
              <w:t>IDA18 nominālo līmeni</w:t>
            </w:r>
          </w:p>
        </w:tc>
        <w:tc>
          <w:tcPr>
            <w:tcW w:w="1731" w:type="dxa"/>
          </w:tcPr>
          <w:p w14:paraId="349B6B0F" w14:textId="77777777" w:rsidR="00D17AAD" w:rsidRP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 xml:space="preserve">Saglabā koncesijas finansējumu IDA18 apmērā </w:t>
            </w:r>
            <w:r w:rsidR="00F12051">
              <w:rPr>
                <w:rFonts w:ascii="Arial" w:hAnsi="Arial" w:cs="Arial"/>
                <w:sz w:val="18"/>
                <w:szCs w:val="18"/>
              </w:rPr>
              <w:br/>
            </w:r>
            <w:r w:rsidRPr="00F12051">
              <w:rPr>
                <w:rFonts w:ascii="Arial" w:hAnsi="Arial" w:cs="Arial"/>
                <w:sz w:val="18"/>
                <w:szCs w:val="18"/>
              </w:rPr>
              <w:t>(ar inflāciju)</w:t>
            </w:r>
          </w:p>
        </w:tc>
        <w:tc>
          <w:tcPr>
            <w:tcW w:w="1378" w:type="dxa"/>
          </w:tcPr>
          <w:p w14:paraId="4966F7B0" w14:textId="77777777" w:rsidR="00D17AAD" w:rsidRPr="00F12051" w:rsidRDefault="00F12051" w:rsidP="00F12051">
            <w:pPr>
              <w:spacing w:after="60" w:line="240" w:lineRule="auto"/>
              <w:jc w:val="center"/>
              <w:rPr>
                <w:rFonts w:ascii="Arial" w:hAnsi="Arial" w:cs="Arial"/>
                <w:sz w:val="18"/>
                <w:szCs w:val="18"/>
              </w:rPr>
            </w:pPr>
            <w:r>
              <w:rPr>
                <w:rFonts w:ascii="Arial" w:hAnsi="Arial" w:cs="Arial"/>
                <w:sz w:val="18"/>
                <w:szCs w:val="18"/>
              </w:rPr>
              <w:t>Saglabā</w:t>
            </w:r>
            <w:r w:rsidR="00D17AAD" w:rsidRPr="00F12051">
              <w:rPr>
                <w:rFonts w:ascii="Arial" w:hAnsi="Arial" w:cs="Arial"/>
                <w:sz w:val="18"/>
                <w:szCs w:val="18"/>
              </w:rPr>
              <w:t xml:space="preserve"> kopējo IDA18 finansējumu (ar inflāciju)</w:t>
            </w:r>
          </w:p>
        </w:tc>
        <w:tc>
          <w:tcPr>
            <w:tcW w:w="1613" w:type="dxa"/>
            <w:shd w:val="clear" w:color="auto" w:fill="D9D9D9" w:themeFill="background1" w:themeFillShade="D9"/>
          </w:tcPr>
          <w:p w14:paraId="0E390198" w14:textId="77777777" w:rsidR="00D17AAD" w:rsidRP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Saglabā</w:t>
            </w:r>
            <w:r w:rsidR="00F12051">
              <w:rPr>
                <w:rFonts w:ascii="Arial" w:hAnsi="Arial" w:cs="Arial"/>
                <w:sz w:val="18"/>
                <w:szCs w:val="18"/>
              </w:rPr>
              <w:t xml:space="preserve"> </w:t>
            </w:r>
            <w:r w:rsidRPr="00F12051">
              <w:rPr>
                <w:rFonts w:ascii="Arial" w:hAnsi="Arial" w:cs="Arial"/>
                <w:sz w:val="18"/>
                <w:szCs w:val="18"/>
              </w:rPr>
              <w:t xml:space="preserve">koncesijas finansējumu IDA18 </w:t>
            </w:r>
            <w:r w:rsidRPr="00F12051">
              <w:rPr>
                <w:rFonts w:ascii="Arial" w:hAnsi="Arial" w:cs="Arial"/>
                <w:i/>
                <w:sz w:val="18"/>
                <w:szCs w:val="18"/>
              </w:rPr>
              <w:t xml:space="preserve">per </w:t>
            </w:r>
            <w:proofErr w:type="spellStart"/>
            <w:r w:rsidRPr="00F12051">
              <w:rPr>
                <w:rFonts w:ascii="Arial" w:hAnsi="Arial" w:cs="Arial"/>
                <w:i/>
                <w:sz w:val="18"/>
                <w:szCs w:val="18"/>
              </w:rPr>
              <w:t>capita</w:t>
            </w:r>
            <w:proofErr w:type="spellEnd"/>
            <w:r w:rsidRPr="00F12051">
              <w:rPr>
                <w:rFonts w:ascii="Arial" w:hAnsi="Arial" w:cs="Arial"/>
                <w:sz w:val="18"/>
                <w:szCs w:val="18"/>
              </w:rPr>
              <w:t xml:space="preserve"> līmenī </w:t>
            </w:r>
            <w:r w:rsidR="00F12051">
              <w:rPr>
                <w:rFonts w:ascii="Arial" w:hAnsi="Arial" w:cs="Arial"/>
                <w:sz w:val="18"/>
                <w:szCs w:val="18"/>
              </w:rPr>
              <w:br/>
              <w:t>(</w:t>
            </w:r>
            <w:r w:rsidRPr="00F12051">
              <w:rPr>
                <w:rFonts w:ascii="Arial" w:hAnsi="Arial" w:cs="Arial"/>
                <w:sz w:val="18"/>
                <w:szCs w:val="18"/>
              </w:rPr>
              <w:t>ar inflāciju</w:t>
            </w:r>
            <w:r w:rsidR="00F12051">
              <w:rPr>
                <w:rFonts w:ascii="Arial" w:hAnsi="Arial" w:cs="Arial"/>
                <w:sz w:val="18"/>
                <w:szCs w:val="18"/>
              </w:rPr>
              <w:t>)</w:t>
            </w:r>
          </w:p>
        </w:tc>
        <w:tc>
          <w:tcPr>
            <w:tcW w:w="1798" w:type="dxa"/>
          </w:tcPr>
          <w:p w14:paraId="3BFED1DA" w14:textId="77777777" w:rsidR="00D17AAD" w:rsidRPr="00F12051" w:rsidRDefault="00F12051" w:rsidP="00F12051">
            <w:pPr>
              <w:spacing w:after="60" w:line="240" w:lineRule="auto"/>
              <w:jc w:val="center"/>
              <w:rPr>
                <w:rFonts w:ascii="Arial" w:hAnsi="Arial" w:cs="Arial"/>
                <w:sz w:val="18"/>
                <w:szCs w:val="18"/>
              </w:rPr>
            </w:pPr>
            <w:r>
              <w:rPr>
                <w:rFonts w:ascii="Arial" w:hAnsi="Arial" w:cs="Arial"/>
                <w:sz w:val="18"/>
                <w:szCs w:val="18"/>
              </w:rPr>
              <w:t>Saglabā</w:t>
            </w:r>
            <w:r w:rsidR="00D17AAD" w:rsidRPr="00F12051">
              <w:rPr>
                <w:rFonts w:ascii="Arial" w:hAnsi="Arial" w:cs="Arial"/>
                <w:sz w:val="18"/>
                <w:szCs w:val="18"/>
              </w:rPr>
              <w:t xml:space="preserve"> kopējo IDA18 </w:t>
            </w:r>
            <w:r w:rsidR="00D17AAD" w:rsidRPr="00F12051">
              <w:rPr>
                <w:rFonts w:ascii="Arial" w:hAnsi="Arial" w:cs="Arial"/>
                <w:i/>
                <w:sz w:val="18"/>
                <w:szCs w:val="18"/>
              </w:rPr>
              <w:t xml:space="preserve">per </w:t>
            </w:r>
            <w:proofErr w:type="spellStart"/>
            <w:r w:rsidR="00D17AAD" w:rsidRPr="00F12051">
              <w:rPr>
                <w:rFonts w:ascii="Arial" w:hAnsi="Arial" w:cs="Arial"/>
                <w:i/>
                <w:sz w:val="18"/>
                <w:szCs w:val="18"/>
              </w:rPr>
              <w:t>capita</w:t>
            </w:r>
            <w:proofErr w:type="spellEnd"/>
            <w:r>
              <w:rPr>
                <w:rFonts w:ascii="Arial" w:hAnsi="Arial" w:cs="Arial"/>
                <w:sz w:val="18"/>
                <w:szCs w:val="18"/>
              </w:rPr>
              <w:t xml:space="preserve"> līmenī </w:t>
            </w:r>
            <w:r>
              <w:rPr>
                <w:rFonts w:ascii="Arial" w:hAnsi="Arial" w:cs="Arial"/>
                <w:sz w:val="18"/>
                <w:szCs w:val="18"/>
              </w:rPr>
              <w:br/>
              <w:t>(</w:t>
            </w:r>
            <w:r w:rsidR="00D17AAD" w:rsidRPr="00F12051">
              <w:rPr>
                <w:rFonts w:ascii="Arial" w:hAnsi="Arial" w:cs="Arial"/>
                <w:sz w:val="18"/>
                <w:szCs w:val="18"/>
              </w:rPr>
              <w:t>ar inflāciju</w:t>
            </w:r>
            <w:r>
              <w:rPr>
                <w:rFonts w:ascii="Arial" w:hAnsi="Arial" w:cs="Arial"/>
                <w:sz w:val="18"/>
                <w:szCs w:val="18"/>
              </w:rPr>
              <w:t>)</w:t>
            </w:r>
          </w:p>
        </w:tc>
      </w:tr>
      <w:tr w:rsidR="00F12051" w:rsidRPr="00F12051" w14:paraId="4DE2974A" w14:textId="77777777" w:rsidTr="00F12051">
        <w:trPr>
          <w:jc w:val="center"/>
        </w:trPr>
        <w:tc>
          <w:tcPr>
            <w:tcW w:w="1627" w:type="dxa"/>
          </w:tcPr>
          <w:p w14:paraId="64840E28" w14:textId="77777777" w:rsidR="00D17AAD" w:rsidRPr="00F12051" w:rsidRDefault="00D17AAD" w:rsidP="00F12051">
            <w:pPr>
              <w:spacing w:after="60" w:line="240" w:lineRule="auto"/>
              <w:jc w:val="right"/>
              <w:rPr>
                <w:rFonts w:ascii="Arial" w:hAnsi="Arial" w:cs="Arial"/>
                <w:sz w:val="18"/>
                <w:szCs w:val="18"/>
              </w:rPr>
            </w:pPr>
            <w:r w:rsidRPr="00F12051">
              <w:rPr>
                <w:rFonts w:ascii="Arial" w:hAnsi="Arial" w:cs="Arial"/>
                <w:sz w:val="18"/>
                <w:szCs w:val="18"/>
              </w:rPr>
              <w:t xml:space="preserve">Granta </w:t>
            </w:r>
            <w:r w:rsidR="00F12051" w:rsidRPr="00F12051">
              <w:rPr>
                <w:rFonts w:ascii="Arial" w:hAnsi="Arial" w:cs="Arial"/>
                <w:sz w:val="18"/>
                <w:szCs w:val="18"/>
              </w:rPr>
              <w:t>elements</w:t>
            </w:r>
            <w:r w:rsidR="00F12051">
              <w:rPr>
                <w:rFonts w:ascii="Arial" w:hAnsi="Arial" w:cs="Arial"/>
                <w:sz w:val="18"/>
                <w:szCs w:val="18"/>
              </w:rPr>
              <w:t xml:space="preserve"> (</w:t>
            </w:r>
            <w:proofErr w:type="spellStart"/>
            <w:r w:rsidR="00F12051">
              <w:rPr>
                <w:rFonts w:ascii="Arial" w:hAnsi="Arial" w:cs="Arial"/>
                <w:sz w:val="18"/>
                <w:szCs w:val="18"/>
              </w:rPr>
              <w:t>koncesionalitāte</w:t>
            </w:r>
            <w:proofErr w:type="spellEnd"/>
            <w:r w:rsidRPr="00F12051">
              <w:rPr>
                <w:rFonts w:ascii="Arial" w:hAnsi="Arial" w:cs="Arial"/>
                <w:sz w:val="18"/>
                <w:szCs w:val="18"/>
              </w:rPr>
              <w:t>)</w:t>
            </w:r>
          </w:p>
        </w:tc>
        <w:tc>
          <w:tcPr>
            <w:tcW w:w="1629" w:type="dxa"/>
          </w:tcPr>
          <w:p w14:paraId="39201243" w14:textId="77777777" w:rsidR="00D17AAD" w:rsidRPr="00F12051" w:rsidRDefault="00D17AAD" w:rsidP="00F12051">
            <w:pPr>
              <w:spacing w:after="60" w:line="240" w:lineRule="auto"/>
              <w:rPr>
                <w:rFonts w:ascii="Arial" w:hAnsi="Arial" w:cs="Arial"/>
                <w:sz w:val="18"/>
                <w:szCs w:val="18"/>
              </w:rPr>
            </w:pPr>
            <w:r w:rsidRPr="00F12051">
              <w:rPr>
                <w:rFonts w:ascii="Arial" w:hAnsi="Arial" w:cs="Arial"/>
                <w:sz w:val="18"/>
                <w:szCs w:val="18"/>
              </w:rPr>
              <w:t>US$37 mljrd.</w:t>
            </w:r>
          </w:p>
        </w:tc>
        <w:tc>
          <w:tcPr>
            <w:tcW w:w="1731" w:type="dxa"/>
          </w:tcPr>
          <w:p w14:paraId="1E69663D" w14:textId="77777777" w:rsidR="00D17AAD" w:rsidRP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US$40 mljrd.</w:t>
            </w:r>
          </w:p>
        </w:tc>
        <w:tc>
          <w:tcPr>
            <w:tcW w:w="1378" w:type="dxa"/>
          </w:tcPr>
          <w:p w14:paraId="4C83FA17" w14:textId="77777777" w:rsidR="00D17AAD" w:rsidRP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US$43 mljrd.</w:t>
            </w:r>
          </w:p>
        </w:tc>
        <w:tc>
          <w:tcPr>
            <w:tcW w:w="1613" w:type="dxa"/>
            <w:shd w:val="clear" w:color="auto" w:fill="D9D9D9" w:themeFill="background1" w:themeFillShade="D9"/>
          </w:tcPr>
          <w:p w14:paraId="7E1E2C94" w14:textId="77777777" w:rsidR="00D17AAD" w:rsidRP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US$44 mljrd.</w:t>
            </w:r>
          </w:p>
        </w:tc>
        <w:tc>
          <w:tcPr>
            <w:tcW w:w="1798" w:type="dxa"/>
          </w:tcPr>
          <w:p w14:paraId="66A11D01" w14:textId="77777777" w:rsidR="00D17AAD" w:rsidRP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US$45 mljrd.</w:t>
            </w:r>
          </w:p>
        </w:tc>
      </w:tr>
      <w:tr w:rsidR="00F12051" w:rsidRPr="00F12051" w14:paraId="5B21A634" w14:textId="77777777" w:rsidTr="00F12051">
        <w:trPr>
          <w:jc w:val="center"/>
        </w:trPr>
        <w:tc>
          <w:tcPr>
            <w:tcW w:w="1627" w:type="dxa"/>
          </w:tcPr>
          <w:p w14:paraId="08D2C941" w14:textId="77777777" w:rsidR="00D17AAD" w:rsidRPr="00F12051" w:rsidRDefault="00D17AAD" w:rsidP="00F12051">
            <w:pPr>
              <w:spacing w:after="60" w:line="240" w:lineRule="auto"/>
              <w:jc w:val="right"/>
              <w:rPr>
                <w:rFonts w:ascii="Arial" w:hAnsi="Arial" w:cs="Arial"/>
                <w:sz w:val="18"/>
                <w:szCs w:val="18"/>
              </w:rPr>
            </w:pPr>
            <w:r w:rsidRPr="00F12051">
              <w:rPr>
                <w:rFonts w:ascii="Arial" w:hAnsi="Arial" w:cs="Arial"/>
                <w:sz w:val="18"/>
                <w:szCs w:val="18"/>
              </w:rPr>
              <w:t>Iemaksa</w:t>
            </w:r>
          </w:p>
        </w:tc>
        <w:tc>
          <w:tcPr>
            <w:tcW w:w="1629" w:type="dxa"/>
          </w:tcPr>
          <w:p w14:paraId="197F6E26" w14:textId="77777777" w:rsid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 xml:space="preserve">US$19.5 mljrd. </w:t>
            </w:r>
          </w:p>
          <w:p w14:paraId="48B16FBC" w14:textId="77777777" w:rsidR="00D17AAD" w:rsidRPr="00F12051" w:rsidRDefault="00F12051" w:rsidP="000D69D0">
            <w:pPr>
              <w:spacing w:after="60" w:line="240" w:lineRule="auto"/>
              <w:jc w:val="center"/>
              <w:rPr>
                <w:rFonts w:ascii="Arial" w:hAnsi="Arial" w:cs="Arial"/>
                <w:sz w:val="18"/>
                <w:szCs w:val="18"/>
              </w:rPr>
            </w:pPr>
            <w:r>
              <w:rPr>
                <w:rFonts w:ascii="Arial" w:hAnsi="Arial" w:cs="Arial"/>
                <w:sz w:val="18"/>
                <w:szCs w:val="18"/>
              </w:rPr>
              <w:t>-</w:t>
            </w:r>
            <w:r w:rsidR="000D69D0">
              <w:rPr>
                <w:rFonts w:ascii="Arial" w:hAnsi="Arial" w:cs="Arial"/>
                <w:sz w:val="18"/>
                <w:szCs w:val="18"/>
              </w:rPr>
              <w:t>15% pret IDA18</w:t>
            </w:r>
          </w:p>
        </w:tc>
        <w:tc>
          <w:tcPr>
            <w:tcW w:w="1731" w:type="dxa"/>
          </w:tcPr>
          <w:p w14:paraId="5A186785" w14:textId="77777777" w:rsid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 xml:space="preserve">US$21 mljrd. </w:t>
            </w:r>
          </w:p>
          <w:p w14:paraId="75484C8E" w14:textId="77777777" w:rsidR="00D17AAD" w:rsidRPr="00F12051" w:rsidRDefault="00F12051" w:rsidP="00F12051">
            <w:pPr>
              <w:spacing w:after="60" w:line="240" w:lineRule="auto"/>
              <w:jc w:val="center"/>
              <w:rPr>
                <w:rFonts w:ascii="Arial" w:hAnsi="Arial" w:cs="Arial"/>
                <w:sz w:val="18"/>
                <w:szCs w:val="18"/>
              </w:rPr>
            </w:pPr>
            <w:r>
              <w:rPr>
                <w:rFonts w:ascii="Arial" w:hAnsi="Arial" w:cs="Arial"/>
                <w:sz w:val="18"/>
                <w:szCs w:val="18"/>
              </w:rPr>
              <w:t>-</w:t>
            </w:r>
            <w:r w:rsidR="000D69D0">
              <w:rPr>
                <w:rFonts w:ascii="Arial" w:hAnsi="Arial" w:cs="Arial"/>
                <w:sz w:val="18"/>
                <w:szCs w:val="18"/>
              </w:rPr>
              <w:t>7% pret IDA18</w:t>
            </w:r>
          </w:p>
        </w:tc>
        <w:tc>
          <w:tcPr>
            <w:tcW w:w="1378" w:type="dxa"/>
          </w:tcPr>
          <w:p w14:paraId="71ADCB5C" w14:textId="77777777" w:rsidR="00D17AAD" w:rsidRPr="00F12051" w:rsidRDefault="000D69D0" w:rsidP="00F12051">
            <w:pPr>
              <w:spacing w:after="60" w:line="240" w:lineRule="auto"/>
              <w:jc w:val="center"/>
              <w:rPr>
                <w:rFonts w:ascii="Arial" w:hAnsi="Arial" w:cs="Arial"/>
                <w:sz w:val="18"/>
                <w:szCs w:val="18"/>
              </w:rPr>
            </w:pPr>
            <w:r>
              <w:rPr>
                <w:rFonts w:ascii="Arial" w:hAnsi="Arial" w:cs="Arial"/>
                <w:sz w:val="18"/>
                <w:szCs w:val="18"/>
              </w:rPr>
              <w:t xml:space="preserve">US$23 mljrd. </w:t>
            </w:r>
            <w:r w:rsidR="00F12051">
              <w:rPr>
                <w:rFonts w:ascii="Arial" w:hAnsi="Arial" w:cs="Arial"/>
                <w:sz w:val="18"/>
                <w:szCs w:val="18"/>
              </w:rPr>
              <w:t>=</w:t>
            </w:r>
            <w:r>
              <w:rPr>
                <w:rFonts w:ascii="Arial" w:hAnsi="Arial" w:cs="Arial"/>
                <w:sz w:val="18"/>
                <w:szCs w:val="18"/>
              </w:rPr>
              <w:t xml:space="preserve"> IDA18</w:t>
            </w:r>
          </w:p>
        </w:tc>
        <w:tc>
          <w:tcPr>
            <w:tcW w:w="1613" w:type="dxa"/>
            <w:shd w:val="clear" w:color="auto" w:fill="D9D9D9" w:themeFill="background1" w:themeFillShade="D9"/>
          </w:tcPr>
          <w:p w14:paraId="335F784A" w14:textId="77777777" w:rsidR="00D17AAD" w:rsidRP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 xml:space="preserve">US$24 mljrd. </w:t>
            </w:r>
            <w:r w:rsidR="00F12051">
              <w:rPr>
                <w:rFonts w:ascii="Arial" w:hAnsi="Arial" w:cs="Arial"/>
                <w:sz w:val="18"/>
                <w:szCs w:val="18"/>
              </w:rPr>
              <w:br/>
              <w:t>+</w:t>
            </w:r>
            <w:r w:rsidRPr="00F12051">
              <w:rPr>
                <w:rFonts w:ascii="Arial" w:hAnsi="Arial" w:cs="Arial"/>
                <w:sz w:val="18"/>
                <w:szCs w:val="18"/>
              </w:rPr>
              <w:t xml:space="preserve">6% pret </w:t>
            </w:r>
            <w:r w:rsidR="000D69D0">
              <w:rPr>
                <w:rFonts w:ascii="Arial" w:hAnsi="Arial" w:cs="Arial"/>
                <w:sz w:val="18"/>
                <w:szCs w:val="18"/>
              </w:rPr>
              <w:t>IDA18</w:t>
            </w:r>
          </w:p>
        </w:tc>
        <w:tc>
          <w:tcPr>
            <w:tcW w:w="1798" w:type="dxa"/>
          </w:tcPr>
          <w:p w14:paraId="70969010" w14:textId="77777777" w:rsidR="00D17AAD" w:rsidRPr="00F12051" w:rsidRDefault="00D17AAD" w:rsidP="00F12051">
            <w:pPr>
              <w:spacing w:after="60" w:line="240" w:lineRule="auto"/>
              <w:jc w:val="center"/>
              <w:rPr>
                <w:rFonts w:ascii="Arial" w:hAnsi="Arial" w:cs="Arial"/>
                <w:sz w:val="18"/>
                <w:szCs w:val="18"/>
              </w:rPr>
            </w:pPr>
            <w:r w:rsidRPr="00F12051">
              <w:rPr>
                <w:rFonts w:ascii="Arial" w:hAnsi="Arial" w:cs="Arial"/>
                <w:sz w:val="18"/>
                <w:szCs w:val="18"/>
              </w:rPr>
              <w:t xml:space="preserve">US$25 mljrd. </w:t>
            </w:r>
            <w:r w:rsidR="00F12051">
              <w:rPr>
                <w:rFonts w:ascii="Arial" w:hAnsi="Arial" w:cs="Arial"/>
                <w:sz w:val="18"/>
                <w:szCs w:val="18"/>
              </w:rPr>
              <w:br/>
            </w:r>
            <w:r w:rsidR="000D69D0">
              <w:rPr>
                <w:rFonts w:ascii="Arial" w:hAnsi="Arial" w:cs="Arial"/>
                <w:sz w:val="18"/>
                <w:szCs w:val="18"/>
              </w:rPr>
              <w:t>+9% pret IDA18</w:t>
            </w:r>
          </w:p>
        </w:tc>
      </w:tr>
    </w:tbl>
    <w:p w14:paraId="34F2046A" w14:textId="77777777" w:rsidR="00D17AAD" w:rsidRDefault="00D17AAD" w:rsidP="00AA783C">
      <w:pPr>
        <w:spacing w:after="60" w:line="240" w:lineRule="auto"/>
        <w:jc w:val="both"/>
      </w:pPr>
    </w:p>
    <w:p w14:paraId="43A02316" w14:textId="07BA966A" w:rsidR="00FE512C" w:rsidRPr="00FE512C" w:rsidRDefault="000D69D0" w:rsidP="00AA783C">
      <w:pPr>
        <w:spacing w:after="60" w:line="240" w:lineRule="auto"/>
        <w:jc w:val="both"/>
        <w:rPr>
          <w:u w:val="single"/>
        </w:rPr>
      </w:pPr>
      <w:r>
        <w:t xml:space="preserve">Divi pirmie izstrādātie scenāriji – </w:t>
      </w:r>
      <w:proofErr w:type="spellStart"/>
      <w:r w:rsidRPr="000D69D0">
        <w:rPr>
          <w:i/>
        </w:rPr>
        <w:t>Low</w:t>
      </w:r>
      <w:proofErr w:type="spellEnd"/>
      <w:r>
        <w:t xml:space="preserve"> un </w:t>
      </w:r>
      <w:proofErr w:type="spellStart"/>
      <w:r w:rsidRPr="000D69D0">
        <w:rPr>
          <w:i/>
        </w:rPr>
        <w:t>Mid-Low</w:t>
      </w:r>
      <w:proofErr w:type="spellEnd"/>
      <w:r>
        <w:t xml:space="preserve"> ir ilustratīvi - </w:t>
      </w:r>
      <w:proofErr w:type="spellStart"/>
      <w:r w:rsidR="00F12051" w:rsidRPr="000D69D0">
        <w:rPr>
          <w:i/>
        </w:rPr>
        <w:t>Low</w:t>
      </w:r>
      <w:proofErr w:type="spellEnd"/>
      <w:r w:rsidR="00F12051" w:rsidRPr="000D69D0">
        <w:t xml:space="preserve"> scenārijs paredz samazinātu kopējo finansējuma apjomu par 10%, salīdzinot ar IDA18</w:t>
      </w:r>
      <w:r>
        <w:t>, s</w:t>
      </w:r>
      <w:r w:rsidR="00F12051" w:rsidRPr="000D69D0">
        <w:t xml:space="preserve">avukārt ar </w:t>
      </w:r>
      <w:proofErr w:type="spellStart"/>
      <w:r w:rsidR="00F12051" w:rsidRPr="000D69D0">
        <w:rPr>
          <w:i/>
        </w:rPr>
        <w:t>Mid-Low</w:t>
      </w:r>
      <w:proofErr w:type="spellEnd"/>
      <w:r w:rsidR="00F12051" w:rsidRPr="000D69D0">
        <w:t xml:space="preserve"> scenāriju IDA saglabātu tādu pašu koncesijas finansējuma apjomu un zemāku </w:t>
      </w:r>
      <w:proofErr w:type="spellStart"/>
      <w:r w:rsidR="00F12051" w:rsidRPr="000D69D0">
        <w:t>nekoncesijas</w:t>
      </w:r>
      <w:proofErr w:type="spellEnd"/>
      <w:r w:rsidR="00F12051" w:rsidRPr="000D69D0">
        <w:t xml:space="preserve"> finansējuma apjomu kā IDA18, taču kopējais finansējums samazinātos par 5%, salīdzinot ar IDA18. </w:t>
      </w:r>
      <w:r>
        <w:t xml:space="preserve">Ņemot vērā, ka abi šie scenāriji </w:t>
      </w:r>
      <w:r w:rsidRPr="000D69D0">
        <w:t>paredz samazinātu finansējumu, izvirzītie politikas virzieni nebūs realizējami</w:t>
      </w:r>
      <w:r>
        <w:t xml:space="preserve">, tāpēc </w:t>
      </w:r>
      <w:r w:rsidR="00F12051" w:rsidRPr="000D69D0">
        <w:t>Pasaules Banka tos nerekomendē</w:t>
      </w:r>
      <w:r w:rsidR="00F25E75">
        <w:t>ja</w:t>
      </w:r>
      <w:r w:rsidR="00F12051" w:rsidRPr="000D69D0">
        <w:t xml:space="preserve"> apsti</w:t>
      </w:r>
      <w:r>
        <w:t>prināšanai</w:t>
      </w:r>
      <w:r w:rsidR="00F12051" w:rsidRPr="000D69D0">
        <w:t xml:space="preserve">. </w:t>
      </w:r>
      <w:proofErr w:type="spellStart"/>
      <w:r w:rsidR="00F12051" w:rsidRPr="000D69D0">
        <w:rPr>
          <w:i/>
        </w:rPr>
        <w:t>Base</w:t>
      </w:r>
      <w:proofErr w:type="spellEnd"/>
      <w:r w:rsidR="00F12051" w:rsidRPr="000D69D0">
        <w:t xml:space="preserve"> scenārijs izstrādāts, pieņemot, ka IDA19 saglabās IDA18 līmeni, un tas nozī</w:t>
      </w:r>
      <w:r>
        <w:t>mē, ka dalībvalstu iemaksas tiktu</w:t>
      </w:r>
      <w:r w:rsidR="00F12051" w:rsidRPr="000D69D0">
        <w:t xml:space="preserve"> saglabātas IDA18 līmenī.  </w:t>
      </w:r>
      <w:r>
        <w:t>Pēc</w:t>
      </w:r>
      <w:r w:rsidR="00F12051" w:rsidRPr="000D69D0">
        <w:t xml:space="preserve"> IDA </w:t>
      </w:r>
      <w:proofErr w:type="spellStart"/>
      <w:r w:rsidR="00F12051" w:rsidRPr="000D69D0">
        <w:t>donorvalstu</w:t>
      </w:r>
      <w:proofErr w:type="spellEnd"/>
      <w:r w:rsidR="00F12051" w:rsidRPr="000D69D0">
        <w:t xml:space="preserve"> pieprasījuma </w:t>
      </w:r>
      <w:r w:rsidR="00793382" w:rsidRPr="000D69D0">
        <w:t xml:space="preserve">Pasaules </w:t>
      </w:r>
      <w:r w:rsidR="00F12051" w:rsidRPr="000D69D0">
        <w:t xml:space="preserve">Banka </w:t>
      </w:r>
      <w:r w:rsidR="00793382" w:rsidRPr="000D69D0">
        <w:t>izstrādāja</w:t>
      </w:r>
      <w:r w:rsidR="00F12051" w:rsidRPr="000D69D0">
        <w:t xml:space="preserve"> </w:t>
      </w:r>
      <w:proofErr w:type="spellStart"/>
      <w:r w:rsidR="00F12051" w:rsidRPr="000D69D0">
        <w:rPr>
          <w:i/>
        </w:rPr>
        <w:t>Mid-High</w:t>
      </w:r>
      <w:proofErr w:type="spellEnd"/>
      <w:r w:rsidR="00F12051" w:rsidRPr="000D69D0">
        <w:t xml:space="preserve"> scenāriju, kas paredz relatīvi nelielu – 3% finansējuma palielinājumu, salīdzinot ar </w:t>
      </w:r>
      <w:proofErr w:type="spellStart"/>
      <w:r w:rsidR="00F12051" w:rsidRPr="000D69D0">
        <w:rPr>
          <w:i/>
        </w:rPr>
        <w:t>Base</w:t>
      </w:r>
      <w:proofErr w:type="spellEnd"/>
      <w:r w:rsidR="00F12051" w:rsidRPr="000D69D0">
        <w:t xml:space="preserve"> scenāriju. Lai gan šis scenārijs ir par 6% augstāks nekā IDA18, tomēr tas dotu iespēju IDA daudz efektīvāk realizēt IDA19 politikas virzienus. Savukārt </w:t>
      </w:r>
      <w:proofErr w:type="spellStart"/>
      <w:r w:rsidR="00F12051" w:rsidRPr="000D69D0">
        <w:rPr>
          <w:i/>
        </w:rPr>
        <w:t>High</w:t>
      </w:r>
      <w:proofErr w:type="spellEnd"/>
      <w:r w:rsidR="00F12051" w:rsidRPr="000D69D0">
        <w:t xml:space="preserve"> scenārijā finansēšanas apjoms ir par 6% augstāks nekā </w:t>
      </w:r>
      <w:proofErr w:type="spellStart"/>
      <w:r w:rsidR="00F12051" w:rsidRPr="000D69D0">
        <w:rPr>
          <w:i/>
        </w:rPr>
        <w:t>Base</w:t>
      </w:r>
      <w:proofErr w:type="spellEnd"/>
      <w:r w:rsidR="00F12051" w:rsidRPr="000D69D0">
        <w:t xml:space="preserve"> scenā</w:t>
      </w:r>
      <w:r w:rsidR="00793382" w:rsidRPr="000D69D0">
        <w:t xml:space="preserve">rijā un 9% augstāks nekā IDA18. </w:t>
      </w:r>
      <w:r w:rsidR="00793382" w:rsidRPr="000D69D0">
        <w:rPr>
          <w:u w:val="single"/>
        </w:rPr>
        <w:t>Š.g. oktobra IDA sanāksmē lielākā daļa dalībvalstis</w:t>
      </w:r>
      <w:r w:rsidR="00EF76BB">
        <w:rPr>
          <w:u w:val="single"/>
        </w:rPr>
        <w:t>,</w:t>
      </w:r>
      <w:r w:rsidR="00572F40" w:rsidRPr="000D69D0">
        <w:rPr>
          <w:u w:val="single"/>
        </w:rPr>
        <w:t xml:space="preserve"> tai </w:t>
      </w:r>
      <w:r>
        <w:rPr>
          <w:u w:val="single"/>
        </w:rPr>
        <w:t>skaitā</w:t>
      </w:r>
      <w:r w:rsidR="00572F40" w:rsidRPr="000D69D0">
        <w:rPr>
          <w:u w:val="single"/>
        </w:rPr>
        <w:t xml:space="preserve"> Latvija</w:t>
      </w:r>
      <w:r w:rsidR="00EF76BB">
        <w:rPr>
          <w:u w:val="single"/>
        </w:rPr>
        <w:t>,</w:t>
      </w:r>
      <w:r w:rsidR="00793382" w:rsidRPr="000D69D0">
        <w:rPr>
          <w:u w:val="single"/>
        </w:rPr>
        <w:t xml:space="preserve"> atbalstīja </w:t>
      </w:r>
      <w:proofErr w:type="spellStart"/>
      <w:r w:rsidR="00793382" w:rsidRPr="000D69D0">
        <w:rPr>
          <w:i/>
          <w:u w:val="single"/>
        </w:rPr>
        <w:t>Mid-High</w:t>
      </w:r>
      <w:proofErr w:type="spellEnd"/>
      <w:r w:rsidR="00793382" w:rsidRPr="000D69D0">
        <w:rPr>
          <w:u w:val="single"/>
        </w:rPr>
        <w:t xml:space="preserve"> scenāriju kā optimālāko </w:t>
      </w:r>
      <w:r w:rsidR="00FE512C" w:rsidRPr="000D69D0">
        <w:rPr>
          <w:u w:val="single"/>
        </w:rPr>
        <w:t xml:space="preserve">finansēšanas ietvaru </w:t>
      </w:r>
      <w:r w:rsidR="00793382" w:rsidRPr="000D69D0">
        <w:rPr>
          <w:u w:val="single"/>
        </w:rPr>
        <w:t>IDA19 resursu papildināšanai</w:t>
      </w:r>
      <w:r w:rsidR="00FE512C" w:rsidRPr="000D69D0">
        <w:rPr>
          <w:u w:val="single"/>
        </w:rPr>
        <w:t xml:space="preserve">, </w:t>
      </w:r>
      <w:r>
        <w:rPr>
          <w:u w:val="single"/>
        </w:rPr>
        <w:t>tāpēc</w:t>
      </w:r>
      <w:r w:rsidR="00FE512C" w:rsidRPr="000D69D0">
        <w:rPr>
          <w:u w:val="single"/>
        </w:rPr>
        <w:t xml:space="preserve"> tālākā analīze par iemaksām IDA19 tiek veikta, balstoties uz šo scenāriju.</w:t>
      </w:r>
    </w:p>
    <w:p w14:paraId="716ECEE4" w14:textId="77777777" w:rsidR="002057A2" w:rsidRDefault="00FE512C" w:rsidP="00AA783C">
      <w:pPr>
        <w:spacing w:after="60" w:line="240" w:lineRule="auto"/>
        <w:jc w:val="both"/>
      </w:pPr>
      <w:proofErr w:type="spellStart"/>
      <w:r w:rsidRPr="00FE512C">
        <w:rPr>
          <w:i/>
        </w:rPr>
        <w:t>Mid-High</w:t>
      </w:r>
      <w:proofErr w:type="spellEnd"/>
      <w:r w:rsidR="00152785">
        <w:t xml:space="preserve"> f</w:t>
      </w:r>
      <w:r w:rsidR="00152785" w:rsidRPr="00086C32">
        <w:t>inansēšanas</w:t>
      </w:r>
      <w:r w:rsidR="00152785">
        <w:t xml:space="preserve"> </w:t>
      </w:r>
      <w:r>
        <w:t>ietvars</w:t>
      </w:r>
      <w:r w:rsidR="00152785">
        <w:t xml:space="preserve"> paredz par 2% augstāku</w:t>
      </w:r>
      <w:r w:rsidR="00152785" w:rsidRPr="00086C32">
        <w:t xml:space="preserve"> konc</w:t>
      </w:r>
      <w:r w:rsidR="00152785">
        <w:t xml:space="preserve">esijas finansējumu, salīdzinot ar IDA18 jeb US$74 mljrd., ņemot vērā parāda ilgtspējas pasliktināšanos vairākās IDA valstīs, un nepieciešamību vairāk koncentrēties uz valstīm, kurās parāda ilgtspēja ir visvājākā. </w:t>
      </w:r>
      <w:r w:rsidR="00086C32">
        <w:t xml:space="preserve">Turklāt </w:t>
      </w:r>
      <w:r w:rsidR="008009EB">
        <w:t>nozīmīgu</w:t>
      </w:r>
      <w:r w:rsidR="00086C32">
        <w:t xml:space="preserve"> </w:t>
      </w:r>
      <w:r w:rsidR="00152785">
        <w:t xml:space="preserve">koncesijas </w:t>
      </w:r>
      <w:r w:rsidR="00086C32">
        <w:t>finansējum</w:t>
      </w:r>
      <w:r w:rsidR="00F4162C">
        <w:t>a daļu</w:t>
      </w:r>
      <w:r w:rsidR="00086C32">
        <w:t xml:space="preserve"> </w:t>
      </w:r>
      <w:r w:rsidR="000347A7">
        <w:t xml:space="preserve">jeb </w:t>
      </w:r>
      <w:r w:rsidR="00152785">
        <w:t xml:space="preserve">US$ 19 mljrd. </w:t>
      </w:r>
      <w:r w:rsidR="00086C32">
        <w:t xml:space="preserve">plānots </w:t>
      </w:r>
      <w:r w:rsidR="00086C32" w:rsidRPr="00086C32">
        <w:t xml:space="preserve">novirzīt </w:t>
      </w:r>
      <w:r w:rsidR="002057A2">
        <w:t>projektu īstenošanai</w:t>
      </w:r>
      <w:r w:rsidR="00F4162C">
        <w:t xml:space="preserve"> nestabilos un konfliktu skart</w:t>
      </w:r>
      <w:r w:rsidR="00086C32" w:rsidRPr="00086C32">
        <w:t>os reģionos, lai risinātu bēgļu krīzes un piespiedu kārtā pārvietoto iedzīvotāju problēmu</w:t>
      </w:r>
      <w:r w:rsidR="00F4162C">
        <w:t xml:space="preserve"> </w:t>
      </w:r>
      <w:r w:rsidR="00190E6C">
        <w:t xml:space="preserve">un </w:t>
      </w:r>
      <w:r w:rsidR="00F4162C">
        <w:t>pa</w:t>
      </w:r>
      <w:r w:rsidR="006627C1">
        <w:t>lielinātu</w:t>
      </w:r>
      <w:r w:rsidR="00F4162C">
        <w:t xml:space="preserve"> Pasaules Banka</w:t>
      </w:r>
      <w:r w:rsidR="00086C32" w:rsidRPr="00086C32">
        <w:t xml:space="preserve">s darbinieku nepastarpinātu iesaisti </w:t>
      </w:r>
      <w:r w:rsidR="00086C32">
        <w:t>šajos</w:t>
      </w:r>
      <w:r w:rsidR="00152785">
        <w:t xml:space="preserve"> reģionos</w:t>
      </w:r>
      <w:r w:rsidR="00086C32" w:rsidRPr="00086C32">
        <w:t>.</w:t>
      </w:r>
      <w:r w:rsidR="00152785">
        <w:t xml:space="preserve"> Pārējās IDA valstīs, kas nekvalificējas kā nestabilās un konfliktu skartās</w:t>
      </w:r>
      <w:r w:rsidR="000347A7">
        <w:t xml:space="preserve"> valstis</w:t>
      </w:r>
      <w:r w:rsidR="00152785">
        <w:t>, tiks novirzīti US$42 mljrd.</w:t>
      </w:r>
      <w:r w:rsidR="00086C32" w:rsidRPr="00086C32">
        <w:t xml:space="preserve"> </w:t>
      </w:r>
      <w:r w:rsidR="000347A7">
        <w:t>S</w:t>
      </w:r>
      <w:r w:rsidR="00152785">
        <w:t>avukārt</w:t>
      </w:r>
      <w:r w:rsidR="000347A7">
        <w:t xml:space="preserve"> </w:t>
      </w:r>
      <w:proofErr w:type="spellStart"/>
      <w:r w:rsidR="000347A7">
        <w:t>n</w:t>
      </w:r>
      <w:r w:rsidR="00152785">
        <w:t>ekoncesijas</w:t>
      </w:r>
      <w:proofErr w:type="spellEnd"/>
      <w:r w:rsidR="00152785">
        <w:t xml:space="preserve"> finansējumam plānots novirz</w:t>
      </w:r>
      <w:r w:rsidR="000347A7">
        <w:t>īt US$5.7 mljrd</w:t>
      </w:r>
      <w:r w:rsidR="00012B8A">
        <w:t>.</w:t>
      </w:r>
      <w:r w:rsidR="000347A7">
        <w:t>, bet privātā sektora programmas finansēšanai US$2.5 mljrd.</w:t>
      </w:r>
    </w:p>
    <w:p w14:paraId="4304011B" w14:textId="77777777" w:rsidR="00212C6A" w:rsidRDefault="00EF6065" w:rsidP="00AA783C">
      <w:pPr>
        <w:spacing w:after="60" w:line="240" w:lineRule="auto"/>
        <w:jc w:val="both"/>
      </w:pPr>
      <w:r w:rsidRPr="00190E6C">
        <w:rPr>
          <w:u w:val="single"/>
        </w:rPr>
        <w:t>F</w:t>
      </w:r>
      <w:r w:rsidR="00315683" w:rsidRPr="00190E6C">
        <w:rPr>
          <w:u w:val="single"/>
        </w:rPr>
        <w:t xml:space="preserve">inansēšanas </w:t>
      </w:r>
      <w:r w:rsidR="00905AC4" w:rsidRPr="00190E6C">
        <w:rPr>
          <w:u w:val="single"/>
        </w:rPr>
        <w:t>ietvars</w:t>
      </w:r>
      <w:r w:rsidR="00315683" w:rsidRPr="00190E6C">
        <w:rPr>
          <w:u w:val="single"/>
        </w:rPr>
        <w:t xml:space="preserve"> paredz</w:t>
      </w:r>
      <w:r w:rsidR="00086C32" w:rsidRPr="00190E6C">
        <w:rPr>
          <w:u w:val="single"/>
        </w:rPr>
        <w:t>, ka</w:t>
      </w:r>
      <w:r w:rsidR="00315683" w:rsidRPr="00190E6C">
        <w:rPr>
          <w:u w:val="single"/>
        </w:rPr>
        <w:t xml:space="preserve"> </w:t>
      </w:r>
      <w:r w:rsidR="00212C6A" w:rsidRPr="00190E6C">
        <w:rPr>
          <w:u w:val="single"/>
        </w:rPr>
        <w:t xml:space="preserve">IDA19 </w:t>
      </w:r>
      <w:r w:rsidR="00086C32" w:rsidRPr="00190E6C">
        <w:rPr>
          <w:u w:val="single"/>
        </w:rPr>
        <w:t>kopējais</w:t>
      </w:r>
      <w:r w:rsidR="00315683" w:rsidRPr="00190E6C">
        <w:rPr>
          <w:u w:val="single"/>
        </w:rPr>
        <w:t xml:space="preserve"> </w:t>
      </w:r>
      <w:r w:rsidR="00086C32" w:rsidRPr="00190E6C">
        <w:rPr>
          <w:u w:val="single"/>
        </w:rPr>
        <w:t>finansējuma apmērs sastādīs</w:t>
      </w:r>
      <w:r w:rsidR="00315683" w:rsidRPr="00190E6C">
        <w:rPr>
          <w:u w:val="single"/>
        </w:rPr>
        <w:t xml:space="preserve"> US$82 mljrd., </w:t>
      </w:r>
      <w:r w:rsidR="00212C6A" w:rsidRPr="00190E6C">
        <w:rPr>
          <w:u w:val="single"/>
        </w:rPr>
        <w:t xml:space="preserve">no kuriem US$24 mljrd. </w:t>
      </w:r>
      <w:r w:rsidR="00086C32" w:rsidRPr="00190E6C">
        <w:rPr>
          <w:u w:val="single"/>
        </w:rPr>
        <w:t>plānots</w:t>
      </w:r>
      <w:r w:rsidR="00212C6A" w:rsidRPr="00190E6C">
        <w:rPr>
          <w:u w:val="single"/>
        </w:rPr>
        <w:t xml:space="preserve"> </w:t>
      </w:r>
      <w:r w:rsidR="00086C32" w:rsidRPr="00190E6C">
        <w:rPr>
          <w:u w:val="single"/>
        </w:rPr>
        <w:t>piesaistīt</w:t>
      </w:r>
      <w:r w:rsidR="00212C6A" w:rsidRPr="00190E6C">
        <w:rPr>
          <w:u w:val="single"/>
        </w:rPr>
        <w:t xml:space="preserve"> dalībvalstu iemaksu veidā</w:t>
      </w:r>
      <w:r w:rsidR="00012B8A" w:rsidRPr="00190E6C">
        <w:rPr>
          <w:u w:val="single"/>
        </w:rPr>
        <w:t xml:space="preserve"> un US$3.9 mljrd. kā iemaksas iepriekš apstiprinātajā MDRI</w:t>
      </w:r>
      <w:r w:rsidR="00086C32">
        <w:t xml:space="preserve">. </w:t>
      </w:r>
      <w:r w:rsidR="00905AC4">
        <w:t xml:space="preserve">Atbilstoši šim finansēšanas ietvaram </w:t>
      </w:r>
      <w:r w:rsidR="00086C32">
        <w:t xml:space="preserve">dalībvalstu </w:t>
      </w:r>
      <w:r w:rsidR="00212C6A">
        <w:t>iemaksu</w:t>
      </w:r>
      <w:r w:rsidR="00086C32">
        <w:t xml:space="preserve"> apmērs,</w:t>
      </w:r>
      <w:r w:rsidR="00212C6A">
        <w:t xml:space="preserve"> </w:t>
      </w:r>
      <w:r w:rsidR="00086C32">
        <w:t xml:space="preserve">salīdzinot ar IDA18 resursu palielināšanu, </w:t>
      </w:r>
      <w:r w:rsidR="00905AC4">
        <w:t>palielināsies</w:t>
      </w:r>
      <w:r w:rsidR="00212C6A">
        <w:t xml:space="preserve"> par </w:t>
      </w:r>
      <w:r w:rsidR="00315683">
        <w:t>4.5%.</w:t>
      </w:r>
      <w:r w:rsidR="00212C6A">
        <w:t xml:space="preserve"> </w:t>
      </w:r>
      <w:r w:rsidR="00117913">
        <w:t xml:space="preserve">Līdzīgi kā IDA18, dalībvalstu kopējā iemaksu apjomā </w:t>
      </w:r>
      <w:r w:rsidR="00083EFC">
        <w:t xml:space="preserve">IDA19 </w:t>
      </w:r>
      <w:r w:rsidR="00117913">
        <w:t xml:space="preserve">tiks iekļautas </w:t>
      </w:r>
      <w:r w:rsidR="00117913">
        <w:lastRenderedPageBreak/>
        <w:t>gan regulārās iemaksas, gan arī izmaksas par parāda atlaišanu HIPC iniciatīvas</w:t>
      </w:r>
      <w:r w:rsidR="00117913">
        <w:rPr>
          <w:rStyle w:val="FootnoteReference"/>
        </w:rPr>
        <w:footnoteReference w:id="17"/>
      </w:r>
      <w:r w:rsidR="00117913">
        <w:t xml:space="preserve"> un </w:t>
      </w:r>
      <w:r>
        <w:t>parāda atlikuma nomaksas</w:t>
      </w:r>
      <w:r>
        <w:rPr>
          <w:i/>
        </w:rPr>
        <w:t xml:space="preserve"> “</w:t>
      </w:r>
      <w:proofErr w:type="spellStart"/>
      <w:r w:rsidR="00117913">
        <w:rPr>
          <w:i/>
        </w:rPr>
        <w:t>A</w:t>
      </w:r>
      <w:r w:rsidR="00117913" w:rsidRPr="00C77195">
        <w:rPr>
          <w:i/>
        </w:rPr>
        <w:t>rrears</w:t>
      </w:r>
      <w:proofErr w:type="spellEnd"/>
      <w:r w:rsidR="00117913" w:rsidRPr="00C77195">
        <w:rPr>
          <w:i/>
        </w:rPr>
        <w:t xml:space="preserve"> </w:t>
      </w:r>
      <w:proofErr w:type="spellStart"/>
      <w:r w:rsidR="00117913" w:rsidRPr="00C77195">
        <w:rPr>
          <w:i/>
        </w:rPr>
        <w:t>clearance</w:t>
      </w:r>
      <w:proofErr w:type="spellEnd"/>
      <w:r>
        <w:rPr>
          <w:i/>
        </w:rPr>
        <w:t>”</w:t>
      </w:r>
      <w:r w:rsidR="00117913">
        <w:rPr>
          <w:rStyle w:val="FootnoteReference"/>
        </w:rPr>
        <w:footnoteReference w:id="18"/>
      </w:r>
      <w:r w:rsidR="00117913" w:rsidRPr="008650BF">
        <w:t xml:space="preserve"> </w:t>
      </w:r>
      <w:r w:rsidR="00117913">
        <w:t xml:space="preserve">ietvaros </w:t>
      </w:r>
      <w:r>
        <w:t xml:space="preserve">atbilstoši </w:t>
      </w:r>
      <w:r w:rsidR="00117913">
        <w:t>iepriekšējā</w:t>
      </w:r>
      <w:r>
        <w:t>s</w:t>
      </w:r>
      <w:r w:rsidR="00117913">
        <w:t xml:space="preserve"> IDA resursu papildināšanā</w:t>
      </w:r>
      <w:r w:rsidR="00083EFC">
        <w:t>s no</w:t>
      </w:r>
      <w:r>
        <w:t>lemto</w:t>
      </w:r>
      <w:r w:rsidR="00117913">
        <w:t xml:space="preserve">. </w:t>
      </w:r>
    </w:p>
    <w:p w14:paraId="0BAB4174" w14:textId="50057F97" w:rsidR="002057A2" w:rsidRPr="00905AC4" w:rsidRDefault="002057A2" w:rsidP="00AA783C">
      <w:pPr>
        <w:spacing w:after="60" w:line="240" w:lineRule="auto"/>
        <w:jc w:val="both"/>
      </w:pPr>
      <w:r>
        <w:t xml:space="preserve">IDA resursu papildināšanas iemaksas tiek veiktas kā ikgadēji maksājumi saskaņā ar iemaksu grafikā noteiktiem termiņiem. IDA regulārās iemaksas tiek </w:t>
      </w:r>
      <w:r w:rsidR="00905AC4">
        <w:t>aprēķinātas</w:t>
      </w:r>
      <w:r>
        <w:t xml:space="preserve"> </w:t>
      </w:r>
      <w:r w:rsidR="00905AC4">
        <w:t xml:space="preserve">pēc </w:t>
      </w:r>
      <w:r w:rsidR="00083EFC">
        <w:t xml:space="preserve">standarta </w:t>
      </w:r>
      <w:r w:rsidR="00905AC4">
        <w:t>deviņu gadu grafika</w:t>
      </w:r>
      <w:r w:rsidRPr="002057A2">
        <w:t xml:space="preserve">, </w:t>
      </w:r>
      <w:r>
        <w:t xml:space="preserve">savukārt iemaksas HIPC iniciatīvā un </w:t>
      </w:r>
      <w:proofErr w:type="spellStart"/>
      <w:r>
        <w:rPr>
          <w:i/>
        </w:rPr>
        <w:t>Arrears</w:t>
      </w:r>
      <w:proofErr w:type="spellEnd"/>
      <w:r>
        <w:rPr>
          <w:i/>
        </w:rPr>
        <w:t xml:space="preserve"> </w:t>
      </w:r>
      <w:proofErr w:type="spellStart"/>
      <w:r>
        <w:rPr>
          <w:i/>
        </w:rPr>
        <w:t>clearanc</w:t>
      </w:r>
      <w:r w:rsidRPr="00B72C26">
        <w:rPr>
          <w:i/>
        </w:rPr>
        <w:t>e</w:t>
      </w:r>
      <w:proofErr w:type="spellEnd"/>
      <w:r>
        <w:t xml:space="preserve"> maksājumi atbilstoši līdzšinējai praksei tiek </w:t>
      </w:r>
      <w:r w:rsidR="00905AC4">
        <w:t>noteikti</w:t>
      </w:r>
      <w:r>
        <w:t xml:space="preserve"> vienādos maksājumos trīs gadu periodā. </w:t>
      </w:r>
      <w:r w:rsidRPr="00F2265B">
        <w:t xml:space="preserve">Līdzīgi kā iepriekšējās IDA resursu papildināšanās, </w:t>
      </w:r>
      <w:r w:rsidRPr="003D18BB">
        <w:rPr>
          <w:u w:val="single"/>
        </w:rPr>
        <w:t xml:space="preserve">dalībvalstīm ir iespēja veikt </w:t>
      </w:r>
      <w:r w:rsidR="00083EFC" w:rsidRPr="003D18BB">
        <w:rPr>
          <w:u w:val="single"/>
        </w:rPr>
        <w:t xml:space="preserve">regulārās </w:t>
      </w:r>
      <w:r w:rsidRPr="003D18BB">
        <w:rPr>
          <w:u w:val="single"/>
        </w:rPr>
        <w:t>iemaksas arī saskaņā ar</w:t>
      </w:r>
      <w:r w:rsidRPr="003D18BB">
        <w:rPr>
          <w:b/>
          <w:u w:val="single"/>
        </w:rPr>
        <w:t xml:space="preserve"> </w:t>
      </w:r>
      <w:r w:rsidR="001C2D4E" w:rsidRPr="003D18BB">
        <w:rPr>
          <w:u w:val="single"/>
        </w:rPr>
        <w:t>saīsināto</w:t>
      </w:r>
      <w:r w:rsidR="001332B8" w:rsidRPr="003D18BB">
        <w:rPr>
          <w:u w:val="single"/>
        </w:rPr>
        <w:t xml:space="preserve"> </w:t>
      </w:r>
      <w:r w:rsidR="00DE0BAA">
        <w:rPr>
          <w:u w:val="single"/>
        </w:rPr>
        <w:t xml:space="preserve">trīs </w:t>
      </w:r>
      <w:r w:rsidR="001332B8" w:rsidRPr="003D18BB">
        <w:rPr>
          <w:u w:val="single"/>
        </w:rPr>
        <w:t>grafiku</w:t>
      </w:r>
      <w:r w:rsidR="00DE0BAA">
        <w:rPr>
          <w:u w:val="single"/>
        </w:rPr>
        <w:t>,</w:t>
      </w:r>
      <w:r w:rsidR="00B76D8C" w:rsidRPr="003D18BB">
        <w:rPr>
          <w:u w:val="single"/>
        </w:rPr>
        <w:t xml:space="preserve"> </w:t>
      </w:r>
      <w:r w:rsidR="001D0861" w:rsidRPr="00F137F0">
        <w:rPr>
          <w:u w:val="single"/>
        </w:rPr>
        <w:t>pretī saņemot pieskaitījumu</w:t>
      </w:r>
      <w:r w:rsidR="001D0861">
        <w:rPr>
          <w:u w:val="single"/>
        </w:rPr>
        <w:t xml:space="preserve"> (</w:t>
      </w:r>
      <w:proofErr w:type="spellStart"/>
      <w:r w:rsidR="001D0861" w:rsidRPr="003D18BB">
        <w:rPr>
          <w:i/>
          <w:u w:val="single"/>
        </w:rPr>
        <w:t>credit</w:t>
      </w:r>
      <w:proofErr w:type="spellEnd"/>
      <w:r w:rsidR="001D0861">
        <w:rPr>
          <w:u w:val="single"/>
        </w:rPr>
        <w:t>) 4.20%</w:t>
      </w:r>
      <w:r w:rsidR="00F41F19">
        <w:rPr>
          <w:u w:val="single"/>
        </w:rPr>
        <w:t xml:space="preserve"> apmērā no kopējās iemaksas</w:t>
      </w:r>
      <w:r w:rsidR="001D0861">
        <w:rPr>
          <w:u w:val="single"/>
        </w:rPr>
        <w:t>,</w:t>
      </w:r>
      <w:r w:rsidR="00F41F19">
        <w:rPr>
          <w:u w:val="single"/>
        </w:rPr>
        <w:t xml:space="preserve"> </w:t>
      </w:r>
      <w:r w:rsidRPr="003D18BB">
        <w:rPr>
          <w:u w:val="single"/>
        </w:rPr>
        <w:t>un šo papildu finansējumu izmanot, lai palielinātu regulārās iemaksas</w:t>
      </w:r>
      <w:r w:rsidR="00F41F19">
        <w:rPr>
          <w:u w:val="single"/>
        </w:rPr>
        <w:t xml:space="preserve"> IDA19</w:t>
      </w:r>
      <w:r w:rsidRPr="003D18BB">
        <w:rPr>
          <w:u w:val="single"/>
        </w:rPr>
        <w:t xml:space="preserve">, segtu MDRI izmaksas vai daļu no </w:t>
      </w:r>
      <w:r w:rsidR="001332B8" w:rsidRPr="003D18BB">
        <w:rPr>
          <w:u w:val="single"/>
        </w:rPr>
        <w:t>“</w:t>
      </w:r>
      <w:proofErr w:type="spellStart"/>
      <w:r w:rsidRPr="003D18BB">
        <w:rPr>
          <w:i/>
          <w:u w:val="single"/>
        </w:rPr>
        <w:t>Arrears</w:t>
      </w:r>
      <w:proofErr w:type="spellEnd"/>
      <w:r w:rsidRPr="003D18BB">
        <w:rPr>
          <w:i/>
          <w:u w:val="single"/>
        </w:rPr>
        <w:t xml:space="preserve"> </w:t>
      </w:r>
      <w:proofErr w:type="spellStart"/>
      <w:r w:rsidRPr="003D18BB">
        <w:rPr>
          <w:i/>
          <w:u w:val="single"/>
        </w:rPr>
        <w:t>clearance</w:t>
      </w:r>
      <w:proofErr w:type="spellEnd"/>
      <w:r w:rsidR="001332B8" w:rsidRPr="003D18BB">
        <w:rPr>
          <w:i/>
          <w:u w:val="single"/>
        </w:rPr>
        <w:t>”</w:t>
      </w:r>
      <w:r w:rsidRPr="003D18BB">
        <w:rPr>
          <w:u w:val="single"/>
        </w:rPr>
        <w:t xml:space="preserve"> maksājumiem.</w:t>
      </w:r>
      <w:r w:rsidR="005D237B">
        <w:t xml:space="preserve"> </w:t>
      </w:r>
      <w:r w:rsidR="005D237B" w:rsidRPr="001C2D4E">
        <w:rPr>
          <w:u w:val="single"/>
        </w:rPr>
        <w:t xml:space="preserve">Veicot iemaksas saskaņā ar </w:t>
      </w:r>
      <w:r w:rsidR="001C2D4E" w:rsidRPr="001C2D4E">
        <w:rPr>
          <w:u w:val="single"/>
        </w:rPr>
        <w:t xml:space="preserve">saīsināto </w:t>
      </w:r>
      <w:r w:rsidR="005D237B" w:rsidRPr="001C2D4E">
        <w:rPr>
          <w:u w:val="single"/>
        </w:rPr>
        <w:t>grafiku, dalībvalstis saņems papildu IDA parakstītās</w:t>
      </w:r>
      <w:r w:rsidR="005D237B" w:rsidRPr="005D237B">
        <w:rPr>
          <w:u w:val="single"/>
        </w:rPr>
        <w:t xml:space="preserve"> balsis (</w:t>
      </w:r>
      <w:proofErr w:type="spellStart"/>
      <w:r w:rsidR="005D237B" w:rsidRPr="005D237B">
        <w:rPr>
          <w:i/>
          <w:u w:val="single"/>
        </w:rPr>
        <w:t>Subscription</w:t>
      </w:r>
      <w:proofErr w:type="spellEnd"/>
      <w:r w:rsidR="005D237B" w:rsidRPr="005D237B">
        <w:rPr>
          <w:i/>
          <w:u w:val="single"/>
        </w:rPr>
        <w:t xml:space="preserve"> </w:t>
      </w:r>
      <w:proofErr w:type="spellStart"/>
      <w:r w:rsidR="005D237B" w:rsidRPr="005D237B">
        <w:rPr>
          <w:i/>
          <w:u w:val="single"/>
        </w:rPr>
        <w:t>votes</w:t>
      </w:r>
      <w:proofErr w:type="spellEnd"/>
      <w:r w:rsidR="005D237B" w:rsidRPr="005D237B">
        <w:rPr>
          <w:u w:val="single"/>
        </w:rPr>
        <w:t>),</w:t>
      </w:r>
      <w:r w:rsidR="005D237B" w:rsidRPr="005D237B">
        <w:rPr>
          <w:rStyle w:val="FootnoteReference"/>
          <w:u w:val="single"/>
        </w:rPr>
        <w:footnoteReference w:id="19"/>
      </w:r>
      <w:r w:rsidR="005D237B" w:rsidRPr="005D237B">
        <w:rPr>
          <w:u w:val="single"/>
        </w:rPr>
        <w:t xml:space="preserve"> tādējādi stiprinot savu pārstāvību un ietekmi Pasaules Bankā</w:t>
      </w:r>
      <w:r w:rsidR="005D237B">
        <w:t xml:space="preserve">. </w:t>
      </w:r>
      <w:r w:rsidR="005D237B" w:rsidRPr="00E9719C">
        <w:t>Dažādu finansēšanas opciju salīdzināšanai tiek izmantota nākotnes iemaksu tagadnes vērtības (</w:t>
      </w:r>
      <w:r w:rsidR="005D237B" w:rsidRPr="00E9719C">
        <w:rPr>
          <w:i/>
        </w:rPr>
        <w:t xml:space="preserve">net </w:t>
      </w:r>
      <w:proofErr w:type="spellStart"/>
      <w:r w:rsidR="005D237B" w:rsidRPr="00E9719C">
        <w:rPr>
          <w:i/>
        </w:rPr>
        <w:t>present</w:t>
      </w:r>
      <w:proofErr w:type="spellEnd"/>
      <w:r w:rsidR="005D237B" w:rsidRPr="00E9719C">
        <w:rPr>
          <w:i/>
        </w:rPr>
        <w:t xml:space="preserve"> </w:t>
      </w:r>
      <w:proofErr w:type="spellStart"/>
      <w:r w:rsidR="005D237B" w:rsidRPr="00E9719C">
        <w:rPr>
          <w:i/>
        </w:rPr>
        <w:t>value</w:t>
      </w:r>
      <w:proofErr w:type="spellEnd"/>
      <w:r w:rsidR="005D237B" w:rsidRPr="00E9719C">
        <w:t>) metodoloģija ar diskonta faktoru 1.3%.</w:t>
      </w:r>
      <w:r w:rsidRPr="00E9719C">
        <w:t xml:space="preserve"> </w:t>
      </w:r>
      <w:r w:rsidR="005D237B" w:rsidRPr="00E9719C">
        <w:t xml:space="preserve">Veicot iemaksas IDA19 saskaņā ar </w:t>
      </w:r>
      <w:r w:rsidR="001C2D4E">
        <w:t>saīsināto</w:t>
      </w:r>
      <w:r w:rsidR="005D237B" w:rsidRPr="00E9719C">
        <w:t xml:space="preserve"> grafiku, nākotnes iemaksu tagadnes vērtība būs augstāka nekā standarta deviņu gadu grafikā, sastādot 96.82% no nominālvērtības divos gados iepretim 93.60% deviņos gados.</w:t>
      </w:r>
    </w:p>
    <w:p w14:paraId="43FAAE0C" w14:textId="77777777" w:rsidR="00F07888" w:rsidRDefault="00F57419" w:rsidP="00AA783C">
      <w:pPr>
        <w:spacing w:after="60" w:line="240" w:lineRule="auto"/>
        <w:jc w:val="both"/>
      </w:pPr>
      <w:r>
        <w:t xml:space="preserve">Latvija kā Pasaules Bankas </w:t>
      </w:r>
      <w:proofErr w:type="spellStart"/>
      <w:r>
        <w:t>donorvalsts</w:t>
      </w:r>
      <w:proofErr w:type="spellEnd"/>
      <w:r>
        <w:t xml:space="preserve"> veic regulāros maksājumus IDA un </w:t>
      </w:r>
      <w:r w:rsidR="003A72FE" w:rsidRPr="00E56049">
        <w:t xml:space="preserve">MDRI </w:t>
      </w:r>
      <w:r>
        <w:t xml:space="preserve">kopš 2012.gada, kad tika īstenota IDA15 resursu papildināšana </w:t>
      </w:r>
      <w:r w:rsidR="00327E62">
        <w:t xml:space="preserve"> </w:t>
      </w:r>
      <w:r w:rsidR="000201AF">
        <w:t>(2</w:t>
      </w:r>
      <w:r w:rsidR="00F07888" w:rsidRPr="00E04FCF">
        <w:t xml:space="preserve">.tabula). </w:t>
      </w:r>
    </w:p>
    <w:p w14:paraId="02F3D0F7" w14:textId="77777777" w:rsidR="00F07888" w:rsidRDefault="000201AF" w:rsidP="00641D82">
      <w:pPr>
        <w:spacing w:before="120" w:after="120" w:line="240" w:lineRule="auto"/>
        <w:jc w:val="center"/>
        <w:rPr>
          <w:i/>
          <w:sz w:val="22"/>
        </w:rPr>
      </w:pPr>
      <w:r>
        <w:rPr>
          <w:i/>
          <w:sz w:val="22"/>
        </w:rPr>
        <w:t>2</w:t>
      </w:r>
      <w:r w:rsidR="00F07888" w:rsidRPr="00E04FCF">
        <w:rPr>
          <w:i/>
          <w:sz w:val="22"/>
        </w:rPr>
        <w:t>.tabula: Latvijas iem</w:t>
      </w:r>
      <w:r w:rsidR="00D300B0">
        <w:rPr>
          <w:i/>
          <w:sz w:val="22"/>
        </w:rPr>
        <w:t>aksas IDA resursu papildināšanā</w:t>
      </w:r>
    </w:p>
    <w:tbl>
      <w:tblPr>
        <w:tblW w:w="5665" w:type="dxa"/>
        <w:jc w:val="center"/>
        <w:tblLook w:val="04A0" w:firstRow="1" w:lastRow="0" w:firstColumn="1" w:lastColumn="0" w:noHBand="0" w:noVBand="1"/>
      </w:tblPr>
      <w:tblGrid>
        <w:gridCol w:w="3256"/>
        <w:gridCol w:w="2409"/>
      </w:tblGrid>
      <w:tr w:rsidR="00ED31FE" w:rsidRPr="00ED31FE" w14:paraId="5C4A792F" w14:textId="77777777" w:rsidTr="00ED31FE">
        <w:trPr>
          <w:trHeight w:val="221"/>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43599" w14:textId="77777777" w:rsidR="00ED31FE" w:rsidRPr="00ED31FE" w:rsidRDefault="00ED31FE" w:rsidP="0005400F">
            <w:pPr>
              <w:spacing w:after="60" w:line="240" w:lineRule="auto"/>
              <w:jc w:val="center"/>
              <w:rPr>
                <w:rFonts w:eastAsia="Times New Roman"/>
                <w:b/>
                <w:color w:val="000000"/>
                <w:sz w:val="20"/>
                <w:szCs w:val="20"/>
                <w:lang w:eastAsia="lv-LV"/>
              </w:rPr>
            </w:pPr>
            <w:r>
              <w:rPr>
                <w:rFonts w:eastAsia="Times New Roman"/>
                <w:b/>
                <w:color w:val="000000"/>
                <w:sz w:val="20"/>
                <w:szCs w:val="20"/>
                <w:lang w:eastAsia="lv-LV"/>
              </w:rPr>
              <w:t>R</w:t>
            </w:r>
            <w:r w:rsidRPr="00ED31FE">
              <w:rPr>
                <w:rFonts w:eastAsia="Times New Roman"/>
                <w:b/>
                <w:color w:val="000000"/>
                <w:sz w:val="20"/>
                <w:szCs w:val="20"/>
                <w:lang w:eastAsia="lv-LV"/>
              </w:rPr>
              <w:t>esursu papildinā</w:t>
            </w:r>
            <w:r w:rsidR="0005400F">
              <w:rPr>
                <w:rFonts w:eastAsia="Times New Roman"/>
                <w:b/>
                <w:color w:val="000000"/>
                <w:sz w:val="20"/>
                <w:szCs w:val="20"/>
                <w:lang w:eastAsia="lv-LV"/>
              </w:rPr>
              <w:t>šana</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CA90C51" w14:textId="77777777" w:rsidR="00ED31FE" w:rsidRPr="00ED31FE" w:rsidRDefault="00ED31FE" w:rsidP="00ED31FE">
            <w:pPr>
              <w:spacing w:after="60" w:line="240" w:lineRule="auto"/>
              <w:rPr>
                <w:rFonts w:eastAsia="Times New Roman"/>
                <w:b/>
                <w:color w:val="000000"/>
                <w:sz w:val="20"/>
                <w:szCs w:val="20"/>
                <w:lang w:eastAsia="lv-LV"/>
              </w:rPr>
            </w:pPr>
            <w:r>
              <w:rPr>
                <w:rFonts w:eastAsia="Times New Roman"/>
                <w:b/>
                <w:color w:val="000000"/>
                <w:sz w:val="20"/>
                <w:szCs w:val="20"/>
                <w:lang w:eastAsia="lv-LV"/>
              </w:rPr>
              <w:t xml:space="preserve">Iemaksas, </w:t>
            </w:r>
            <w:r w:rsidRPr="00ED31FE">
              <w:rPr>
                <w:rFonts w:eastAsia="Times New Roman"/>
                <w:b/>
                <w:color w:val="000000"/>
                <w:sz w:val="20"/>
                <w:szCs w:val="20"/>
                <w:lang w:eastAsia="lv-LV"/>
              </w:rPr>
              <w:t>EUR, milj.</w:t>
            </w:r>
          </w:p>
        </w:tc>
      </w:tr>
      <w:tr w:rsidR="00ED31FE" w:rsidRPr="003A72FE" w14:paraId="7967904E" w14:textId="77777777" w:rsidTr="00ED31FE">
        <w:trPr>
          <w:trHeight w:val="221"/>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7E049" w14:textId="77777777" w:rsidR="00ED31FE" w:rsidRPr="003A72FE" w:rsidRDefault="00ED31FE" w:rsidP="00ED31FE">
            <w:pPr>
              <w:spacing w:after="60" w:line="240" w:lineRule="auto"/>
              <w:jc w:val="center"/>
              <w:rPr>
                <w:rFonts w:eastAsia="Times New Roman"/>
                <w:color w:val="000000"/>
                <w:sz w:val="20"/>
                <w:szCs w:val="20"/>
                <w:lang w:eastAsia="lv-LV"/>
              </w:rPr>
            </w:pPr>
            <w:r>
              <w:rPr>
                <w:rFonts w:eastAsia="Times New Roman"/>
                <w:color w:val="000000"/>
                <w:sz w:val="20"/>
                <w:szCs w:val="20"/>
                <w:lang w:eastAsia="lv-LV"/>
              </w:rPr>
              <w:t>IDA15 (2009-2011)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F040CB0" w14:textId="77777777" w:rsidR="00ED31FE" w:rsidRPr="003A72FE" w:rsidRDefault="00ED31FE" w:rsidP="00ED31FE">
            <w:pPr>
              <w:spacing w:after="60" w:line="240" w:lineRule="auto"/>
              <w:jc w:val="center"/>
              <w:rPr>
                <w:rFonts w:eastAsia="Times New Roman"/>
                <w:color w:val="000000"/>
                <w:sz w:val="20"/>
                <w:szCs w:val="20"/>
                <w:lang w:eastAsia="lv-LV"/>
              </w:rPr>
            </w:pPr>
            <w:r>
              <w:rPr>
                <w:rFonts w:eastAsia="Times New Roman"/>
                <w:color w:val="000000"/>
                <w:sz w:val="20"/>
                <w:szCs w:val="20"/>
                <w:lang w:eastAsia="lv-LV"/>
              </w:rPr>
              <w:t>2.23</w:t>
            </w:r>
          </w:p>
        </w:tc>
      </w:tr>
      <w:tr w:rsidR="00ED31FE" w:rsidRPr="003A72FE" w14:paraId="787BA18D" w14:textId="77777777" w:rsidTr="00ED31FE">
        <w:trPr>
          <w:trHeight w:val="127"/>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517EE69" w14:textId="77777777" w:rsidR="00ED31FE" w:rsidRPr="003A72FE" w:rsidRDefault="00ED31FE" w:rsidP="00ED31FE">
            <w:pPr>
              <w:spacing w:after="60" w:line="240" w:lineRule="auto"/>
              <w:jc w:val="center"/>
              <w:rPr>
                <w:rFonts w:eastAsia="Times New Roman"/>
                <w:color w:val="000000"/>
                <w:sz w:val="20"/>
                <w:szCs w:val="20"/>
                <w:lang w:eastAsia="lv-LV"/>
              </w:rPr>
            </w:pPr>
            <w:r>
              <w:rPr>
                <w:rFonts w:eastAsia="Times New Roman"/>
                <w:color w:val="000000"/>
                <w:sz w:val="20"/>
                <w:szCs w:val="20"/>
                <w:lang w:eastAsia="lv-LV"/>
              </w:rPr>
              <w:t>IDA16 (2011-2014)</w:t>
            </w:r>
          </w:p>
        </w:tc>
        <w:tc>
          <w:tcPr>
            <w:tcW w:w="2409" w:type="dxa"/>
            <w:tcBorders>
              <w:top w:val="nil"/>
              <w:left w:val="nil"/>
              <w:bottom w:val="single" w:sz="4" w:space="0" w:color="auto"/>
              <w:right w:val="single" w:sz="4" w:space="0" w:color="auto"/>
            </w:tcBorders>
            <w:shd w:val="clear" w:color="auto" w:fill="auto"/>
            <w:noWrap/>
            <w:vAlign w:val="center"/>
            <w:hideMark/>
          </w:tcPr>
          <w:p w14:paraId="5221DF2D" w14:textId="77777777" w:rsidR="00ED31FE" w:rsidRPr="003A72FE" w:rsidRDefault="00ED31FE" w:rsidP="00ED31FE">
            <w:pPr>
              <w:spacing w:after="60" w:line="240" w:lineRule="auto"/>
              <w:jc w:val="center"/>
              <w:rPr>
                <w:rFonts w:eastAsia="Times New Roman"/>
                <w:color w:val="000000"/>
                <w:sz w:val="20"/>
                <w:szCs w:val="20"/>
                <w:lang w:eastAsia="lv-LV"/>
              </w:rPr>
            </w:pPr>
            <w:r>
              <w:rPr>
                <w:rFonts w:eastAsia="Times New Roman"/>
                <w:color w:val="000000"/>
                <w:sz w:val="20"/>
                <w:szCs w:val="20"/>
                <w:lang w:eastAsia="lv-LV"/>
              </w:rPr>
              <w:t>2.63</w:t>
            </w:r>
          </w:p>
        </w:tc>
      </w:tr>
      <w:tr w:rsidR="00ED31FE" w:rsidRPr="003A72FE" w14:paraId="02BE44A6" w14:textId="77777777" w:rsidTr="00ED31FE">
        <w:trPr>
          <w:trHeight w:val="189"/>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9F1A71E" w14:textId="77777777" w:rsidR="00ED31FE" w:rsidRPr="003A72FE" w:rsidRDefault="00ED31FE" w:rsidP="00ED31FE">
            <w:pPr>
              <w:spacing w:after="60" w:line="240" w:lineRule="auto"/>
              <w:jc w:val="center"/>
              <w:rPr>
                <w:rFonts w:eastAsia="Times New Roman"/>
                <w:color w:val="000000"/>
                <w:sz w:val="20"/>
                <w:szCs w:val="20"/>
                <w:lang w:eastAsia="lv-LV"/>
              </w:rPr>
            </w:pPr>
            <w:r>
              <w:rPr>
                <w:rFonts w:eastAsia="Times New Roman"/>
                <w:color w:val="000000"/>
                <w:sz w:val="20"/>
                <w:szCs w:val="20"/>
                <w:lang w:eastAsia="lv-LV"/>
              </w:rPr>
              <w:t>IDA17 (2014-2017)</w:t>
            </w:r>
          </w:p>
        </w:tc>
        <w:tc>
          <w:tcPr>
            <w:tcW w:w="2409" w:type="dxa"/>
            <w:tcBorders>
              <w:top w:val="nil"/>
              <w:left w:val="nil"/>
              <w:bottom w:val="single" w:sz="4" w:space="0" w:color="auto"/>
              <w:right w:val="single" w:sz="4" w:space="0" w:color="auto"/>
            </w:tcBorders>
            <w:shd w:val="clear" w:color="auto" w:fill="auto"/>
            <w:noWrap/>
            <w:vAlign w:val="center"/>
            <w:hideMark/>
          </w:tcPr>
          <w:p w14:paraId="06A4FE59" w14:textId="77777777" w:rsidR="00ED31FE" w:rsidRPr="003A72FE" w:rsidRDefault="00ED31FE" w:rsidP="00ED31FE">
            <w:pPr>
              <w:spacing w:after="60" w:line="240" w:lineRule="auto"/>
              <w:jc w:val="center"/>
              <w:rPr>
                <w:rFonts w:eastAsia="Times New Roman"/>
                <w:color w:val="000000"/>
                <w:sz w:val="20"/>
                <w:szCs w:val="20"/>
                <w:lang w:eastAsia="lv-LV"/>
              </w:rPr>
            </w:pPr>
            <w:r>
              <w:rPr>
                <w:rFonts w:eastAsia="Times New Roman"/>
                <w:color w:val="000000"/>
                <w:sz w:val="20"/>
                <w:szCs w:val="20"/>
                <w:lang w:eastAsia="lv-LV"/>
              </w:rPr>
              <w:t>2.66</w:t>
            </w:r>
          </w:p>
        </w:tc>
      </w:tr>
      <w:tr w:rsidR="00ED31FE" w:rsidRPr="003A72FE" w14:paraId="2270EB70" w14:textId="77777777" w:rsidTr="00ED31FE">
        <w:trPr>
          <w:trHeight w:val="237"/>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85C3D24" w14:textId="77777777" w:rsidR="00ED31FE" w:rsidRPr="003A72FE" w:rsidRDefault="00ED31FE" w:rsidP="00ED31FE">
            <w:pPr>
              <w:spacing w:after="60" w:line="240" w:lineRule="auto"/>
              <w:jc w:val="center"/>
              <w:rPr>
                <w:rFonts w:eastAsia="Times New Roman"/>
                <w:color w:val="000000"/>
                <w:sz w:val="20"/>
                <w:szCs w:val="20"/>
                <w:lang w:eastAsia="lv-LV"/>
              </w:rPr>
            </w:pPr>
            <w:r>
              <w:rPr>
                <w:rFonts w:eastAsia="Times New Roman"/>
                <w:color w:val="000000"/>
                <w:sz w:val="20"/>
                <w:szCs w:val="20"/>
                <w:lang w:eastAsia="lv-LV"/>
              </w:rPr>
              <w:t>IDA18 (2017-2019)</w:t>
            </w:r>
          </w:p>
        </w:tc>
        <w:tc>
          <w:tcPr>
            <w:tcW w:w="2409" w:type="dxa"/>
            <w:tcBorders>
              <w:top w:val="nil"/>
              <w:left w:val="nil"/>
              <w:bottom w:val="single" w:sz="4" w:space="0" w:color="auto"/>
              <w:right w:val="single" w:sz="4" w:space="0" w:color="auto"/>
            </w:tcBorders>
            <w:shd w:val="clear" w:color="auto" w:fill="auto"/>
            <w:noWrap/>
            <w:vAlign w:val="center"/>
            <w:hideMark/>
          </w:tcPr>
          <w:p w14:paraId="65A267B1" w14:textId="77777777" w:rsidR="00ED31FE" w:rsidRPr="003A72FE" w:rsidRDefault="00ED31FE" w:rsidP="00ED31FE">
            <w:pPr>
              <w:spacing w:after="60" w:line="240" w:lineRule="auto"/>
              <w:jc w:val="center"/>
              <w:rPr>
                <w:rFonts w:eastAsia="Times New Roman"/>
                <w:color w:val="000000"/>
                <w:sz w:val="20"/>
                <w:szCs w:val="20"/>
                <w:lang w:eastAsia="lv-LV"/>
              </w:rPr>
            </w:pPr>
            <w:r>
              <w:rPr>
                <w:rFonts w:eastAsia="Times New Roman"/>
                <w:color w:val="000000"/>
                <w:sz w:val="20"/>
                <w:szCs w:val="20"/>
                <w:lang w:eastAsia="lv-LV"/>
              </w:rPr>
              <w:t>2.66</w:t>
            </w:r>
          </w:p>
        </w:tc>
      </w:tr>
    </w:tbl>
    <w:p w14:paraId="6104DE02" w14:textId="77777777" w:rsidR="008009EB" w:rsidRPr="00B81049" w:rsidRDefault="003C79B5" w:rsidP="00905AC4">
      <w:pPr>
        <w:spacing w:before="120" w:after="60" w:line="240" w:lineRule="auto"/>
        <w:jc w:val="both"/>
        <w:rPr>
          <w:u w:val="single"/>
        </w:rPr>
      </w:pPr>
      <w:r w:rsidRPr="00B81049">
        <w:rPr>
          <w:u w:val="single"/>
        </w:rPr>
        <w:t>Ar i</w:t>
      </w:r>
      <w:r w:rsidR="00ED31FE" w:rsidRPr="00B81049">
        <w:rPr>
          <w:u w:val="single"/>
        </w:rPr>
        <w:t>em</w:t>
      </w:r>
      <w:r w:rsidR="00C02FE2" w:rsidRPr="00B81049">
        <w:rPr>
          <w:u w:val="single"/>
        </w:rPr>
        <w:t>aks</w:t>
      </w:r>
      <w:r w:rsidRPr="00B81049">
        <w:rPr>
          <w:u w:val="single"/>
        </w:rPr>
        <w:t>ām</w:t>
      </w:r>
      <w:r w:rsidR="00C02FE2" w:rsidRPr="00B81049">
        <w:rPr>
          <w:u w:val="single"/>
        </w:rPr>
        <w:t xml:space="preserve"> IDA</w:t>
      </w:r>
      <w:r w:rsidR="002D64E2" w:rsidRPr="00B81049">
        <w:rPr>
          <w:u w:val="single"/>
        </w:rPr>
        <w:t xml:space="preserve"> resursu papildināšanā</w:t>
      </w:r>
      <w:r w:rsidR="006E20CA" w:rsidRPr="00B81049">
        <w:rPr>
          <w:u w:val="single"/>
        </w:rPr>
        <w:t xml:space="preserve"> un MDRI izdevumu segšanā</w:t>
      </w:r>
      <w:r w:rsidRPr="00B81049">
        <w:rPr>
          <w:u w:val="single"/>
        </w:rPr>
        <w:t xml:space="preserve"> </w:t>
      </w:r>
      <w:r w:rsidR="00C02FE2" w:rsidRPr="00B81049">
        <w:rPr>
          <w:u w:val="single"/>
        </w:rPr>
        <w:t xml:space="preserve">Latvija </w:t>
      </w:r>
      <w:r w:rsidRPr="00B81049">
        <w:rPr>
          <w:u w:val="single"/>
        </w:rPr>
        <w:t>piedalās</w:t>
      </w:r>
      <w:r w:rsidR="00C02FE2" w:rsidRPr="00B81049">
        <w:rPr>
          <w:u w:val="single"/>
        </w:rPr>
        <w:t xml:space="preserve"> starptautisko un Eiropas Savienības attīstības palīdzības finansējuma saistību </w:t>
      </w:r>
      <w:r w:rsidRPr="00B81049">
        <w:rPr>
          <w:u w:val="single"/>
        </w:rPr>
        <w:t>īstenošanā</w:t>
      </w:r>
      <w:r w:rsidR="007C1F59">
        <w:t xml:space="preserve">. Atbilstoši </w:t>
      </w:r>
      <w:r w:rsidR="007C1F59">
        <w:rPr>
          <w:iCs/>
        </w:rPr>
        <w:t>ANO 2015.</w:t>
      </w:r>
      <w:r w:rsidR="007C1F59" w:rsidRPr="00AE1DDC">
        <w:rPr>
          <w:iCs/>
        </w:rPr>
        <w:t xml:space="preserve">gada </w:t>
      </w:r>
      <w:r w:rsidR="007C1F59">
        <w:rPr>
          <w:iCs/>
        </w:rPr>
        <w:t>Adisabebas Rīcīb</w:t>
      </w:r>
      <w:r w:rsidR="000949AE">
        <w:rPr>
          <w:iCs/>
        </w:rPr>
        <w:t>as programmai Eiropas Savienība un tās</w:t>
      </w:r>
      <w:r w:rsidR="007C1F59">
        <w:rPr>
          <w:iCs/>
        </w:rPr>
        <w:t xml:space="preserve"> dalībvalstis </w:t>
      </w:r>
      <w:r w:rsidR="000949AE">
        <w:rPr>
          <w:iCs/>
        </w:rPr>
        <w:t>ir</w:t>
      </w:r>
      <w:r w:rsidR="00600CAB">
        <w:rPr>
          <w:iCs/>
        </w:rPr>
        <w:t xml:space="preserve"> kolektīvi</w:t>
      </w:r>
      <w:r w:rsidR="007C1F59">
        <w:rPr>
          <w:iCs/>
        </w:rPr>
        <w:t xml:space="preserve"> </w:t>
      </w:r>
      <w:r w:rsidR="000949AE">
        <w:rPr>
          <w:iCs/>
        </w:rPr>
        <w:t xml:space="preserve">apņēmušās </w:t>
      </w:r>
      <w:r w:rsidR="007C1F59">
        <w:rPr>
          <w:iCs/>
        </w:rPr>
        <w:t xml:space="preserve">līdz 2030.gadam </w:t>
      </w:r>
      <w:r w:rsidR="000949AE">
        <w:rPr>
          <w:iCs/>
        </w:rPr>
        <w:t>atvēlēt</w:t>
      </w:r>
      <w:r w:rsidR="007C1F59">
        <w:rPr>
          <w:iCs/>
        </w:rPr>
        <w:t xml:space="preserve"> oficiālajai attīstības palīdzībai</w:t>
      </w:r>
      <w:r w:rsidR="00DC46A8">
        <w:rPr>
          <w:rStyle w:val="FootnoteReference"/>
          <w:iCs/>
        </w:rPr>
        <w:footnoteReference w:id="20"/>
      </w:r>
      <w:r w:rsidR="007C1F59">
        <w:rPr>
          <w:iCs/>
        </w:rPr>
        <w:t xml:space="preserve"> (OAP)</w:t>
      </w:r>
      <w:r w:rsidR="007C1F59" w:rsidRPr="007C1F59">
        <w:t xml:space="preserve"> </w:t>
      </w:r>
      <w:r w:rsidR="00600CAB">
        <w:t>0</w:t>
      </w:r>
      <w:r w:rsidR="004203B1">
        <w:t>.</w:t>
      </w:r>
      <w:r w:rsidR="00600CAB">
        <w:t>7</w:t>
      </w:r>
      <w:r w:rsidR="000949AE">
        <w:t>% no n</w:t>
      </w:r>
      <w:r w:rsidR="007C1F59" w:rsidRPr="00AE1DDC">
        <w:t>acionālā kop</w:t>
      </w:r>
      <w:r w:rsidR="00600CAB">
        <w:t>ienākuma (NKI</w:t>
      </w:r>
      <w:r w:rsidR="000949AE">
        <w:t xml:space="preserve">). Eiropas Savienības apņemšanās paredz, ka </w:t>
      </w:r>
      <w:r w:rsidR="006145D2">
        <w:t xml:space="preserve">dalībvalstis, kas pievienojās </w:t>
      </w:r>
      <w:r w:rsidR="00BB0BE6">
        <w:t>E</w:t>
      </w:r>
      <w:r w:rsidR="002B28AE">
        <w:t xml:space="preserve">iropas </w:t>
      </w:r>
      <w:r w:rsidR="00BB0BE6">
        <w:t>S</w:t>
      </w:r>
      <w:r w:rsidR="006145D2">
        <w:t xml:space="preserve">avienībai pēc 2002.gada, </w:t>
      </w:r>
      <w:r w:rsidR="000949AE">
        <w:t xml:space="preserve">tieksies </w:t>
      </w:r>
      <w:r w:rsidR="006145D2">
        <w:t>palielināt OAP līdz</w:t>
      </w:r>
      <w:r w:rsidR="00BB0BE6">
        <w:t xml:space="preserve"> 0.33%</w:t>
      </w:r>
      <w:r w:rsidR="00C40A26">
        <w:t xml:space="preserve"> no NKI</w:t>
      </w:r>
      <w:r w:rsidR="00BB0BE6">
        <w:t>,</w:t>
      </w:r>
      <w:r w:rsidR="007C1F59" w:rsidRPr="00AE1DDC">
        <w:t xml:space="preserve"> </w:t>
      </w:r>
      <w:r w:rsidR="007C1F59">
        <w:t>no kuriem</w:t>
      </w:r>
      <w:r w:rsidR="007C1F59" w:rsidRPr="00AE1DDC">
        <w:t xml:space="preserve"> 0,15-0,20% no </w:t>
      </w:r>
      <w:r w:rsidR="00600CAB">
        <w:t>NKI</w:t>
      </w:r>
      <w:r w:rsidR="001912F8">
        <w:t xml:space="preserve"> </w:t>
      </w:r>
      <w:r w:rsidR="007C1F59">
        <w:lastRenderedPageBreak/>
        <w:t>novirzīt</w:t>
      </w:r>
      <w:r w:rsidR="007C1F59" w:rsidRPr="00AE1DDC">
        <w:t xml:space="preserve"> vismazāk attīstītajām valstīm</w:t>
      </w:r>
      <w:r w:rsidR="002D64E2">
        <w:t xml:space="preserve"> (</w:t>
      </w:r>
      <w:r w:rsidR="00600CAB">
        <w:t>tai skaitā</w:t>
      </w:r>
      <w:r w:rsidR="002D64E2">
        <w:t xml:space="preserve"> IDA valstīm)</w:t>
      </w:r>
      <w:r w:rsidR="007C1F59">
        <w:t xml:space="preserve">. </w:t>
      </w:r>
      <w:r w:rsidR="00C40A26">
        <w:t xml:space="preserve">Tādējādi Latvijai līdz 2030.gadam jātiecas atvēlēt OAP līdz 0.33% no NKI. </w:t>
      </w:r>
      <w:r w:rsidR="00C40A26" w:rsidRPr="00D30C1C">
        <w:t>Šī m</w:t>
      </w:r>
      <w:r w:rsidR="00C40A26">
        <w:t xml:space="preserve">ērķa sasniegšanai Latvijas </w:t>
      </w:r>
      <w:r w:rsidR="00C40A26" w:rsidRPr="00681764">
        <w:rPr>
          <w:iCs/>
        </w:rPr>
        <w:t>Attīstības sad</w:t>
      </w:r>
      <w:r w:rsidR="00C40A26">
        <w:rPr>
          <w:iCs/>
        </w:rPr>
        <w:t>arbības politikas pamatnostādnes 2016.-2020.</w:t>
      </w:r>
      <w:r w:rsidR="00C40A26" w:rsidRPr="00681764">
        <w:rPr>
          <w:iCs/>
        </w:rPr>
        <w:t xml:space="preserve">gadam </w:t>
      </w:r>
      <w:r w:rsidR="00C40A26">
        <w:rPr>
          <w:iCs/>
        </w:rPr>
        <w:t xml:space="preserve">paredz, ka Latvija līdz 2020.gadam palielinās OAP finansējumu līdz 0.17% no </w:t>
      </w:r>
      <w:r w:rsidR="00C40A26">
        <w:t>NKI</w:t>
      </w:r>
      <w:r w:rsidR="00C40A26">
        <w:rPr>
          <w:iCs/>
        </w:rPr>
        <w:t>, tiecoties sasniegt 2030.gada mērķi</w:t>
      </w:r>
      <w:r w:rsidR="007C1F59">
        <w:rPr>
          <w:iCs/>
        </w:rPr>
        <w:t xml:space="preserve">. Kopš 2016.gada Latvija ir pakāpeniski virzījusies šī mērķa sasniegšanā - 2016. un 2017. gadā </w:t>
      </w:r>
      <w:r w:rsidR="00083EFC">
        <w:rPr>
          <w:iCs/>
        </w:rPr>
        <w:t xml:space="preserve">OAP </w:t>
      </w:r>
      <w:r w:rsidR="00600CAB">
        <w:rPr>
          <w:iCs/>
        </w:rPr>
        <w:t>bija</w:t>
      </w:r>
      <w:r w:rsidR="007C1F59">
        <w:rPr>
          <w:iCs/>
        </w:rPr>
        <w:t xml:space="preserve"> 0.11% no </w:t>
      </w:r>
      <w:r w:rsidR="00600CAB">
        <w:t>NKI</w:t>
      </w:r>
      <w:r w:rsidR="001912F8">
        <w:rPr>
          <w:iCs/>
        </w:rPr>
        <w:t xml:space="preserve"> </w:t>
      </w:r>
      <w:r w:rsidR="002D64E2">
        <w:rPr>
          <w:iCs/>
        </w:rPr>
        <w:t xml:space="preserve">(attiecīgi </w:t>
      </w:r>
      <w:r w:rsidR="00C5001E">
        <w:rPr>
          <w:iCs/>
        </w:rPr>
        <w:t>EUR 27.3 milj.</w:t>
      </w:r>
      <w:r w:rsidR="002D64E2">
        <w:rPr>
          <w:iCs/>
        </w:rPr>
        <w:t xml:space="preserve"> un </w:t>
      </w:r>
      <w:r w:rsidR="00C5001E">
        <w:rPr>
          <w:iCs/>
        </w:rPr>
        <w:t xml:space="preserve">EUR </w:t>
      </w:r>
      <w:r w:rsidR="002D64E2">
        <w:rPr>
          <w:iCs/>
        </w:rPr>
        <w:t>28.3 milj.). Savukārt</w:t>
      </w:r>
      <w:r w:rsidR="00600CAB">
        <w:rPr>
          <w:iCs/>
        </w:rPr>
        <w:t>, atbilstoši sākotnējiem datiem,</w:t>
      </w:r>
      <w:r w:rsidR="007C1F59">
        <w:rPr>
          <w:iCs/>
        </w:rPr>
        <w:t xml:space="preserve"> 2018.gadā OAP </w:t>
      </w:r>
      <w:r w:rsidR="00600CAB">
        <w:rPr>
          <w:iCs/>
        </w:rPr>
        <w:t>sastādīja</w:t>
      </w:r>
      <w:r w:rsidR="007C1F59">
        <w:rPr>
          <w:iCs/>
        </w:rPr>
        <w:t xml:space="preserve"> 0.1% no </w:t>
      </w:r>
      <w:r w:rsidR="00600CAB">
        <w:rPr>
          <w:iCs/>
        </w:rPr>
        <w:t>NKI</w:t>
      </w:r>
      <w:r w:rsidR="002D64E2">
        <w:rPr>
          <w:iCs/>
        </w:rPr>
        <w:t xml:space="preserve"> (</w:t>
      </w:r>
      <w:r w:rsidR="00C40A26">
        <w:rPr>
          <w:iCs/>
        </w:rPr>
        <w:t xml:space="preserve">aptuveni </w:t>
      </w:r>
      <w:r w:rsidR="00C5001E">
        <w:rPr>
          <w:iCs/>
        </w:rPr>
        <w:t xml:space="preserve">EUR </w:t>
      </w:r>
      <w:r w:rsidR="00C40A26">
        <w:rPr>
          <w:iCs/>
        </w:rPr>
        <w:t>29</w:t>
      </w:r>
      <w:r w:rsidR="002D64E2">
        <w:rPr>
          <w:iCs/>
        </w:rPr>
        <w:t xml:space="preserve"> milj.</w:t>
      </w:r>
      <w:r w:rsidR="00600CAB">
        <w:rPr>
          <w:rStyle w:val="FootnoteReference"/>
          <w:iCs/>
        </w:rPr>
        <w:footnoteReference w:id="21"/>
      </w:r>
      <w:r w:rsidR="002D64E2">
        <w:rPr>
          <w:iCs/>
        </w:rPr>
        <w:t>). Tādējādi starpība starp mērķa OAP un faktisko ieguldījumu 2018.gadā sastāda</w:t>
      </w:r>
      <w:r w:rsidR="00600CAB">
        <w:rPr>
          <w:iCs/>
        </w:rPr>
        <w:t xml:space="preserve"> aptuveni</w:t>
      </w:r>
      <w:r w:rsidR="002D64E2">
        <w:rPr>
          <w:iCs/>
        </w:rPr>
        <w:t xml:space="preserve"> </w:t>
      </w:r>
      <w:r w:rsidR="00083EFC">
        <w:rPr>
          <w:iCs/>
        </w:rPr>
        <w:t xml:space="preserve">mīnus </w:t>
      </w:r>
      <w:r w:rsidR="00C40A26">
        <w:rPr>
          <w:iCs/>
        </w:rPr>
        <w:t>EUR 5</w:t>
      </w:r>
      <w:r w:rsidR="00C5001E">
        <w:rPr>
          <w:iCs/>
        </w:rPr>
        <w:t xml:space="preserve"> milj</w:t>
      </w:r>
      <w:r w:rsidR="007C1F59">
        <w:rPr>
          <w:iCs/>
        </w:rPr>
        <w:t>.</w:t>
      </w:r>
      <w:r w:rsidR="002D64E2">
        <w:rPr>
          <w:iCs/>
        </w:rPr>
        <w:t xml:space="preserve"> </w:t>
      </w:r>
      <w:r w:rsidR="003C4AB7" w:rsidRPr="00534D52">
        <w:rPr>
          <w:iCs/>
        </w:rPr>
        <w:t>Lai gan Latvija ir sniegusi būtisku ieguldījumu OAP</w:t>
      </w:r>
      <w:r w:rsidR="00CC6E49" w:rsidRPr="00534D52">
        <w:rPr>
          <w:iCs/>
        </w:rPr>
        <w:t xml:space="preserve"> finansēšanā</w:t>
      </w:r>
      <w:r w:rsidR="003C4AB7" w:rsidRPr="00534D52">
        <w:rPr>
          <w:iCs/>
        </w:rPr>
        <w:t xml:space="preserve">, </w:t>
      </w:r>
      <w:r w:rsidR="002D64E2" w:rsidRPr="00B81049">
        <w:rPr>
          <w:iCs/>
          <w:u w:val="single"/>
        </w:rPr>
        <w:t xml:space="preserve">Latvija atpaliek no starptautiski </w:t>
      </w:r>
      <w:r w:rsidR="001912F8" w:rsidRPr="00B81049">
        <w:rPr>
          <w:iCs/>
          <w:u w:val="single"/>
        </w:rPr>
        <w:t xml:space="preserve">un Eiropas Savienības līmenī </w:t>
      </w:r>
      <w:r w:rsidR="002D64E2" w:rsidRPr="00B81049">
        <w:rPr>
          <w:iCs/>
          <w:u w:val="single"/>
        </w:rPr>
        <w:t xml:space="preserve">uzņemto saistību izpildes, kā rezultātā pastāv risks </w:t>
      </w:r>
      <w:r w:rsidR="003C4AB7" w:rsidRPr="00B81049">
        <w:rPr>
          <w:iCs/>
          <w:u w:val="single"/>
        </w:rPr>
        <w:t xml:space="preserve">līdz 2030.gadam nesasniegt </w:t>
      </w:r>
      <w:r w:rsidR="00CC6E49" w:rsidRPr="00B81049">
        <w:rPr>
          <w:iCs/>
          <w:u w:val="single"/>
        </w:rPr>
        <w:t>nosprausto</w:t>
      </w:r>
      <w:r w:rsidR="003C4AB7" w:rsidRPr="00B81049">
        <w:rPr>
          <w:iCs/>
          <w:u w:val="single"/>
        </w:rPr>
        <w:t xml:space="preserve"> mērķi</w:t>
      </w:r>
      <w:r w:rsidR="009F1E45" w:rsidRPr="00B81049">
        <w:rPr>
          <w:iCs/>
          <w:u w:val="single"/>
        </w:rPr>
        <w:t xml:space="preserve"> </w:t>
      </w:r>
      <w:r w:rsidR="000201AF">
        <w:rPr>
          <w:u w:val="single"/>
        </w:rPr>
        <w:t>(3</w:t>
      </w:r>
      <w:r w:rsidR="009F1E45" w:rsidRPr="00B81049">
        <w:rPr>
          <w:u w:val="single"/>
        </w:rPr>
        <w:t>.tabula).</w:t>
      </w:r>
      <w:r w:rsidR="008009EB" w:rsidRPr="00B81049">
        <w:rPr>
          <w:u w:val="single"/>
        </w:rPr>
        <w:t xml:space="preserve"> </w:t>
      </w:r>
      <w:r w:rsidR="006145D2">
        <w:rPr>
          <w:u w:val="single"/>
        </w:rPr>
        <w:t xml:space="preserve"> </w:t>
      </w:r>
    </w:p>
    <w:p w14:paraId="12C5E705" w14:textId="77777777" w:rsidR="00AA783C" w:rsidRPr="00357B29" w:rsidRDefault="000201AF" w:rsidP="00D30C1C">
      <w:pPr>
        <w:spacing w:before="240" w:after="60" w:line="240" w:lineRule="auto"/>
        <w:jc w:val="center"/>
        <w:rPr>
          <w:i/>
          <w:sz w:val="22"/>
        </w:rPr>
      </w:pPr>
      <w:r>
        <w:rPr>
          <w:i/>
          <w:sz w:val="22"/>
        </w:rPr>
        <w:t>3</w:t>
      </w:r>
      <w:r w:rsidR="009F1E45" w:rsidRPr="00357B29">
        <w:rPr>
          <w:i/>
          <w:sz w:val="22"/>
        </w:rPr>
        <w:t xml:space="preserve">.tabula: Latvijas </w:t>
      </w:r>
      <w:r w:rsidR="00CE7193">
        <w:rPr>
          <w:i/>
          <w:sz w:val="22"/>
        </w:rPr>
        <w:t>ieguldījums OAP</w:t>
      </w:r>
      <w:r w:rsidR="00C40A26">
        <w:rPr>
          <w:rStyle w:val="FootnoteReference"/>
          <w:i/>
          <w:sz w:val="22"/>
        </w:rPr>
        <w:footnoteReference w:id="22"/>
      </w:r>
    </w:p>
    <w:tbl>
      <w:tblPr>
        <w:tblW w:w="8232" w:type="dxa"/>
        <w:tblBorders>
          <w:insideH w:val="single" w:sz="4" w:space="0" w:color="auto"/>
        </w:tblBorders>
        <w:tblCellMar>
          <w:left w:w="0" w:type="dxa"/>
          <w:right w:w="0" w:type="dxa"/>
        </w:tblCellMar>
        <w:tblLook w:val="04A0" w:firstRow="1" w:lastRow="0" w:firstColumn="1" w:lastColumn="0" w:noHBand="0" w:noVBand="1"/>
      </w:tblPr>
      <w:tblGrid>
        <w:gridCol w:w="2835"/>
        <w:gridCol w:w="1113"/>
        <w:gridCol w:w="1113"/>
        <w:gridCol w:w="1127"/>
        <w:gridCol w:w="1131"/>
        <w:gridCol w:w="913"/>
      </w:tblGrid>
      <w:tr w:rsidR="007C1F59" w:rsidRPr="003A72FE" w14:paraId="70682627" w14:textId="77777777" w:rsidTr="000466F5">
        <w:tc>
          <w:tcPr>
            <w:tcW w:w="2835" w:type="dxa"/>
            <w:tcMar>
              <w:top w:w="0" w:type="dxa"/>
              <w:left w:w="108" w:type="dxa"/>
              <w:bottom w:w="0" w:type="dxa"/>
              <w:right w:w="108" w:type="dxa"/>
            </w:tcMar>
          </w:tcPr>
          <w:p w14:paraId="4D3C5AB2" w14:textId="77777777" w:rsidR="007C1F59" w:rsidRPr="003A72FE" w:rsidRDefault="007C1F59" w:rsidP="007C1F59">
            <w:pPr>
              <w:spacing w:after="0" w:line="240" w:lineRule="auto"/>
              <w:jc w:val="both"/>
              <w:rPr>
                <w:rFonts w:eastAsiaTheme="minorHAnsi"/>
                <w:b/>
                <w:bCs/>
                <w:color w:val="1B1D1F"/>
                <w:sz w:val="20"/>
                <w:szCs w:val="20"/>
              </w:rPr>
            </w:pPr>
          </w:p>
        </w:tc>
        <w:tc>
          <w:tcPr>
            <w:tcW w:w="1113" w:type="dxa"/>
            <w:tcMar>
              <w:top w:w="0" w:type="dxa"/>
              <w:left w:w="108" w:type="dxa"/>
              <w:bottom w:w="0" w:type="dxa"/>
              <w:right w:w="108" w:type="dxa"/>
            </w:tcMar>
            <w:hideMark/>
          </w:tcPr>
          <w:p w14:paraId="1F703B21" w14:textId="77777777" w:rsidR="007C1F59" w:rsidRPr="003A72FE" w:rsidRDefault="007C1F59" w:rsidP="007C1F59">
            <w:pPr>
              <w:spacing w:after="0" w:line="240" w:lineRule="auto"/>
              <w:jc w:val="both"/>
              <w:rPr>
                <w:b/>
                <w:bCs/>
                <w:color w:val="1B1D1F"/>
                <w:sz w:val="20"/>
                <w:szCs w:val="20"/>
              </w:rPr>
            </w:pPr>
            <w:r w:rsidRPr="003A72FE">
              <w:rPr>
                <w:b/>
                <w:bCs/>
                <w:color w:val="1B1D1F"/>
                <w:sz w:val="20"/>
                <w:szCs w:val="20"/>
              </w:rPr>
              <w:t>2016</w:t>
            </w:r>
          </w:p>
        </w:tc>
        <w:tc>
          <w:tcPr>
            <w:tcW w:w="1113" w:type="dxa"/>
            <w:tcMar>
              <w:top w:w="0" w:type="dxa"/>
              <w:left w:w="108" w:type="dxa"/>
              <w:bottom w:w="0" w:type="dxa"/>
              <w:right w:w="108" w:type="dxa"/>
            </w:tcMar>
            <w:hideMark/>
          </w:tcPr>
          <w:p w14:paraId="2F991A03" w14:textId="77777777" w:rsidR="007C1F59" w:rsidRPr="003A72FE" w:rsidRDefault="007C1F59" w:rsidP="007C1F59">
            <w:pPr>
              <w:spacing w:after="0" w:line="240" w:lineRule="auto"/>
              <w:jc w:val="both"/>
              <w:rPr>
                <w:b/>
                <w:bCs/>
                <w:color w:val="1B1D1F"/>
                <w:sz w:val="20"/>
                <w:szCs w:val="20"/>
              </w:rPr>
            </w:pPr>
            <w:r w:rsidRPr="003A72FE">
              <w:rPr>
                <w:b/>
                <w:bCs/>
                <w:color w:val="1B1D1F"/>
                <w:sz w:val="20"/>
                <w:szCs w:val="20"/>
              </w:rPr>
              <w:t>2017</w:t>
            </w:r>
          </w:p>
        </w:tc>
        <w:tc>
          <w:tcPr>
            <w:tcW w:w="1127" w:type="dxa"/>
            <w:shd w:val="clear" w:color="auto" w:fill="F2F2F2"/>
            <w:tcMar>
              <w:top w:w="0" w:type="dxa"/>
              <w:left w:w="108" w:type="dxa"/>
              <w:bottom w:w="0" w:type="dxa"/>
              <w:right w:w="108" w:type="dxa"/>
            </w:tcMar>
            <w:hideMark/>
          </w:tcPr>
          <w:p w14:paraId="1F87A156" w14:textId="77777777" w:rsidR="007C1F59" w:rsidRPr="003A72FE" w:rsidRDefault="007C1F59" w:rsidP="007C1F59">
            <w:pPr>
              <w:spacing w:after="0" w:line="240" w:lineRule="auto"/>
              <w:jc w:val="both"/>
              <w:rPr>
                <w:b/>
                <w:bCs/>
                <w:color w:val="1B1D1F"/>
                <w:sz w:val="20"/>
                <w:szCs w:val="20"/>
              </w:rPr>
            </w:pPr>
            <w:r w:rsidRPr="003A72FE">
              <w:rPr>
                <w:b/>
                <w:bCs/>
                <w:color w:val="1B1D1F"/>
                <w:sz w:val="20"/>
                <w:szCs w:val="20"/>
              </w:rPr>
              <w:t>2018</w:t>
            </w:r>
          </w:p>
        </w:tc>
        <w:tc>
          <w:tcPr>
            <w:tcW w:w="1131" w:type="dxa"/>
            <w:shd w:val="clear" w:color="auto" w:fill="D9D9D9"/>
            <w:tcMar>
              <w:top w:w="0" w:type="dxa"/>
              <w:left w:w="108" w:type="dxa"/>
              <w:bottom w:w="0" w:type="dxa"/>
              <w:right w:w="108" w:type="dxa"/>
            </w:tcMar>
            <w:hideMark/>
          </w:tcPr>
          <w:p w14:paraId="31451538" w14:textId="77777777" w:rsidR="007C1F59" w:rsidRPr="003A72FE" w:rsidRDefault="007C1F59" w:rsidP="007C1F59">
            <w:pPr>
              <w:spacing w:after="0" w:line="240" w:lineRule="auto"/>
              <w:jc w:val="both"/>
              <w:rPr>
                <w:b/>
                <w:bCs/>
                <w:color w:val="1B1D1F"/>
                <w:sz w:val="20"/>
                <w:szCs w:val="20"/>
              </w:rPr>
            </w:pPr>
            <w:r w:rsidRPr="003A72FE">
              <w:rPr>
                <w:b/>
                <w:bCs/>
                <w:color w:val="1B1D1F"/>
                <w:sz w:val="20"/>
                <w:szCs w:val="20"/>
              </w:rPr>
              <w:t>2019</w:t>
            </w:r>
          </w:p>
        </w:tc>
        <w:tc>
          <w:tcPr>
            <w:tcW w:w="913" w:type="dxa"/>
            <w:shd w:val="clear" w:color="auto" w:fill="D9D9D9"/>
            <w:tcMar>
              <w:top w:w="0" w:type="dxa"/>
              <w:left w:w="108" w:type="dxa"/>
              <w:bottom w:w="0" w:type="dxa"/>
              <w:right w:w="108" w:type="dxa"/>
            </w:tcMar>
            <w:hideMark/>
          </w:tcPr>
          <w:p w14:paraId="424BC8EE" w14:textId="77777777" w:rsidR="007C1F59" w:rsidRPr="003A72FE" w:rsidRDefault="007C1F59" w:rsidP="007C1F59">
            <w:pPr>
              <w:spacing w:after="0" w:line="240" w:lineRule="auto"/>
              <w:jc w:val="both"/>
              <w:rPr>
                <w:b/>
                <w:bCs/>
                <w:color w:val="1B1D1F"/>
                <w:sz w:val="20"/>
                <w:szCs w:val="20"/>
              </w:rPr>
            </w:pPr>
            <w:r w:rsidRPr="003A72FE">
              <w:rPr>
                <w:b/>
                <w:bCs/>
                <w:color w:val="1B1D1F"/>
                <w:sz w:val="20"/>
                <w:szCs w:val="20"/>
              </w:rPr>
              <w:t>2020</w:t>
            </w:r>
          </w:p>
        </w:tc>
      </w:tr>
      <w:tr w:rsidR="007C1F59" w:rsidRPr="003A72FE" w14:paraId="16E898EC" w14:textId="77777777" w:rsidTr="000466F5">
        <w:tc>
          <w:tcPr>
            <w:tcW w:w="2835" w:type="dxa"/>
            <w:tcMar>
              <w:top w:w="0" w:type="dxa"/>
              <w:left w:w="108" w:type="dxa"/>
              <w:bottom w:w="0" w:type="dxa"/>
              <w:right w:w="108" w:type="dxa"/>
            </w:tcMar>
            <w:hideMark/>
          </w:tcPr>
          <w:p w14:paraId="668CA23F" w14:textId="77777777" w:rsidR="007C1F59" w:rsidRPr="003A72FE" w:rsidRDefault="001912F8" w:rsidP="00600CAB">
            <w:pPr>
              <w:spacing w:after="0" w:line="240" w:lineRule="auto"/>
              <w:jc w:val="both"/>
              <w:rPr>
                <w:bCs/>
                <w:color w:val="1B1D1F"/>
                <w:sz w:val="20"/>
                <w:szCs w:val="20"/>
              </w:rPr>
            </w:pPr>
            <w:r w:rsidRPr="003A72FE">
              <w:rPr>
                <w:sz w:val="20"/>
                <w:szCs w:val="20"/>
              </w:rPr>
              <w:t>NK</w:t>
            </w:r>
            <w:r w:rsidR="00600CAB">
              <w:rPr>
                <w:sz w:val="20"/>
                <w:szCs w:val="20"/>
              </w:rPr>
              <w:t>I</w:t>
            </w:r>
            <w:r w:rsidR="002D64E2" w:rsidRPr="003A72FE">
              <w:rPr>
                <w:bCs/>
                <w:color w:val="1B1D1F"/>
                <w:sz w:val="20"/>
                <w:szCs w:val="20"/>
              </w:rPr>
              <w:t>, milj. EUR</w:t>
            </w:r>
          </w:p>
        </w:tc>
        <w:tc>
          <w:tcPr>
            <w:tcW w:w="1113" w:type="dxa"/>
            <w:tcMar>
              <w:top w:w="0" w:type="dxa"/>
              <w:left w:w="108" w:type="dxa"/>
              <w:bottom w:w="0" w:type="dxa"/>
              <w:right w:w="108" w:type="dxa"/>
            </w:tcMar>
            <w:hideMark/>
          </w:tcPr>
          <w:p w14:paraId="3C39434C" w14:textId="77777777" w:rsidR="007C1F59" w:rsidRPr="003A72FE" w:rsidRDefault="007C1F59" w:rsidP="007C1F59">
            <w:pPr>
              <w:spacing w:after="0" w:line="240" w:lineRule="auto"/>
              <w:jc w:val="both"/>
              <w:rPr>
                <w:color w:val="1B1D1F"/>
                <w:sz w:val="20"/>
                <w:szCs w:val="20"/>
              </w:rPr>
            </w:pPr>
            <w:r w:rsidRPr="003A72FE">
              <w:rPr>
                <w:color w:val="1B1D1F"/>
                <w:sz w:val="20"/>
                <w:szCs w:val="20"/>
              </w:rPr>
              <w:t>25 102</w:t>
            </w:r>
          </w:p>
        </w:tc>
        <w:tc>
          <w:tcPr>
            <w:tcW w:w="1113" w:type="dxa"/>
            <w:tcMar>
              <w:top w:w="0" w:type="dxa"/>
              <w:left w:w="108" w:type="dxa"/>
              <w:bottom w:w="0" w:type="dxa"/>
              <w:right w:w="108" w:type="dxa"/>
            </w:tcMar>
            <w:hideMark/>
          </w:tcPr>
          <w:p w14:paraId="7BD79079" w14:textId="77777777" w:rsidR="007C1F59" w:rsidRPr="003A72FE" w:rsidRDefault="007C1F59" w:rsidP="007C1F59">
            <w:pPr>
              <w:spacing w:after="0" w:line="240" w:lineRule="auto"/>
              <w:jc w:val="both"/>
              <w:rPr>
                <w:color w:val="1B1D1F"/>
                <w:sz w:val="20"/>
                <w:szCs w:val="20"/>
              </w:rPr>
            </w:pPr>
            <w:r w:rsidRPr="003A72FE">
              <w:rPr>
                <w:color w:val="1B1D1F"/>
                <w:sz w:val="20"/>
                <w:szCs w:val="20"/>
              </w:rPr>
              <w:t>26 846</w:t>
            </w:r>
          </w:p>
        </w:tc>
        <w:tc>
          <w:tcPr>
            <w:tcW w:w="1127" w:type="dxa"/>
            <w:shd w:val="clear" w:color="auto" w:fill="F2F2F2"/>
            <w:tcMar>
              <w:top w:w="0" w:type="dxa"/>
              <w:left w:w="108" w:type="dxa"/>
              <w:bottom w:w="0" w:type="dxa"/>
              <w:right w:w="108" w:type="dxa"/>
            </w:tcMar>
            <w:hideMark/>
          </w:tcPr>
          <w:p w14:paraId="17CE784E" w14:textId="77777777" w:rsidR="007C1F59" w:rsidRPr="003A72FE" w:rsidRDefault="007C1F59" w:rsidP="007C1F59">
            <w:pPr>
              <w:spacing w:after="0" w:line="240" w:lineRule="auto"/>
              <w:jc w:val="both"/>
              <w:rPr>
                <w:color w:val="1B1D1F"/>
                <w:sz w:val="20"/>
                <w:szCs w:val="20"/>
              </w:rPr>
            </w:pPr>
            <w:r w:rsidRPr="003A72FE">
              <w:rPr>
                <w:color w:val="1B1D1F"/>
                <w:sz w:val="20"/>
                <w:szCs w:val="20"/>
              </w:rPr>
              <w:t xml:space="preserve">28 649 </w:t>
            </w:r>
          </w:p>
        </w:tc>
        <w:tc>
          <w:tcPr>
            <w:tcW w:w="1131" w:type="dxa"/>
            <w:shd w:val="clear" w:color="auto" w:fill="D9D9D9"/>
            <w:tcMar>
              <w:top w:w="0" w:type="dxa"/>
              <w:left w:w="108" w:type="dxa"/>
              <w:bottom w:w="0" w:type="dxa"/>
              <w:right w:w="108" w:type="dxa"/>
            </w:tcMar>
            <w:hideMark/>
          </w:tcPr>
          <w:p w14:paraId="66EA1609" w14:textId="77777777" w:rsidR="007C1F59" w:rsidRPr="003A72FE" w:rsidRDefault="007C1F59" w:rsidP="00D5248F">
            <w:pPr>
              <w:spacing w:after="0" w:line="240" w:lineRule="auto"/>
              <w:jc w:val="both"/>
              <w:rPr>
                <w:i/>
                <w:iCs/>
                <w:color w:val="1B1D1F"/>
                <w:sz w:val="20"/>
                <w:szCs w:val="20"/>
              </w:rPr>
            </w:pPr>
            <w:r w:rsidRPr="003A72FE">
              <w:rPr>
                <w:i/>
                <w:iCs/>
                <w:color w:val="1B1D1F"/>
                <w:sz w:val="20"/>
                <w:szCs w:val="20"/>
              </w:rPr>
              <w:t>31 185</w:t>
            </w:r>
            <w:r w:rsidR="00D5248F" w:rsidRPr="003A72FE">
              <w:rPr>
                <w:rStyle w:val="FootnoteReference"/>
                <w:i/>
                <w:iCs/>
                <w:color w:val="1B1D1F"/>
                <w:sz w:val="20"/>
                <w:szCs w:val="20"/>
              </w:rPr>
              <w:footnoteReference w:id="23"/>
            </w:r>
          </w:p>
        </w:tc>
        <w:tc>
          <w:tcPr>
            <w:tcW w:w="913" w:type="dxa"/>
            <w:shd w:val="clear" w:color="auto" w:fill="D9D9D9"/>
            <w:tcMar>
              <w:top w:w="0" w:type="dxa"/>
              <w:left w:w="108" w:type="dxa"/>
              <w:bottom w:w="0" w:type="dxa"/>
              <w:right w:w="108" w:type="dxa"/>
            </w:tcMar>
            <w:hideMark/>
          </w:tcPr>
          <w:p w14:paraId="3D5C3EF9" w14:textId="77777777" w:rsidR="007C1F59" w:rsidRPr="003A72FE" w:rsidRDefault="007C1F59" w:rsidP="00D5248F">
            <w:pPr>
              <w:spacing w:after="0" w:line="240" w:lineRule="auto"/>
              <w:jc w:val="both"/>
              <w:rPr>
                <w:i/>
                <w:iCs/>
                <w:color w:val="1B1D1F"/>
                <w:sz w:val="20"/>
                <w:szCs w:val="20"/>
              </w:rPr>
            </w:pPr>
            <w:r w:rsidRPr="003A72FE">
              <w:rPr>
                <w:i/>
                <w:iCs/>
                <w:color w:val="1B1D1F"/>
                <w:sz w:val="20"/>
                <w:szCs w:val="20"/>
              </w:rPr>
              <w:t>32 925</w:t>
            </w:r>
            <w:r w:rsidR="00D5248F" w:rsidRPr="003A72FE">
              <w:rPr>
                <w:rStyle w:val="FootnoteReference"/>
                <w:i/>
                <w:iCs/>
                <w:color w:val="1B1D1F"/>
                <w:sz w:val="20"/>
                <w:szCs w:val="20"/>
              </w:rPr>
              <w:footnoteReference w:id="24"/>
            </w:r>
          </w:p>
        </w:tc>
      </w:tr>
      <w:tr w:rsidR="007C1F59" w:rsidRPr="003A72FE" w14:paraId="66F42F00" w14:textId="77777777" w:rsidTr="000466F5">
        <w:tc>
          <w:tcPr>
            <w:tcW w:w="2835" w:type="dxa"/>
            <w:tcMar>
              <w:top w:w="0" w:type="dxa"/>
              <w:left w:w="108" w:type="dxa"/>
              <w:bottom w:w="0" w:type="dxa"/>
              <w:right w:w="108" w:type="dxa"/>
            </w:tcMar>
            <w:hideMark/>
          </w:tcPr>
          <w:p w14:paraId="743F4DA1" w14:textId="77777777" w:rsidR="007C1F59" w:rsidRPr="003A72FE" w:rsidRDefault="007C1F59" w:rsidP="007C1F59">
            <w:pPr>
              <w:spacing w:after="0" w:line="240" w:lineRule="auto"/>
              <w:jc w:val="both"/>
              <w:rPr>
                <w:bCs/>
                <w:color w:val="1B1D1F"/>
                <w:sz w:val="20"/>
                <w:szCs w:val="20"/>
              </w:rPr>
            </w:pPr>
            <w:r w:rsidRPr="003A72FE">
              <w:rPr>
                <w:bCs/>
                <w:color w:val="1B1D1F"/>
                <w:sz w:val="20"/>
                <w:szCs w:val="20"/>
              </w:rPr>
              <w:t>0.01% izteikts milj. EUR</w:t>
            </w:r>
          </w:p>
        </w:tc>
        <w:tc>
          <w:tcPr>
            <w:tcW w:w="1113" w:type="dxa"/>
            <w:tcMar>
              <w:top w:w="0" w:type="dxa"/>
              <w:left w:w="108" w:type="dxa"/>
              <w:bottom w:w="0" w:type="dxa"/>
              <w:right w:w="108" w:type="dxa"/>
            </w:tcMar>
            <w:hideMark/>
          </w:tcPr>
          <w:p w14:paraId="3B9206A9" w14:textId="77777777" w:rsidR="007C1F59" w:rsidRPr="003A72FE" w:rsidRDefault="007C1F59" w:rsidP="007C1F59">
            <w:pPr>
              <w:spacing w:after="0" w:line="240" w:lineRule="auto"/>
              <w:jc w:val="both"/>
              <w:rPr>
                <w:color w:val="1B1D1F"/>
                <w:sz w:val="20"/>
                <w:szCs w:val="20"/>
              </w:rPr>
            </w:pPr>
            <w:r w:rsidRPr="003A72FE">
              <w:rPr>
                <w:color w:val="1B1D1F"/>
                <w:sz w:val="20"/>
                <w:szCs w:val="20"/>
              </w:rPr>
              <w:t>2,51</w:t>
            </w:r>
          </w:p>
        </w:tc>
        <w:tc>
          <w:tcPr>
            <w:tcW w:w="1113" w:type="dxa"/>
            <w:tcMar>
              <w:top w:w="0" w:type="dxa"/>
              <w:left w:w="108" w:type="dxa"/>
              <w:bottom w:w="0" w:type="dxa"/>
              <w:right w:w="108" w:type="dxa"/>
            </w:tcMar>
            <w:hideMark/>
          </w:tcPr>
          <w:p w14:paraId="6C164DE5" w14:textId="77777777" w:rsidR="007C1F59" w:rsidRPr="003A72FE" w:rsidRDefault="007C1F59" w:rsidP="007C1F59">
            <w:pPr>
              <w:spacing w:after="0" w:line="240" w:lineRule="auto"/>
              <w:jc w:val="both"/>
              <w:rPr>
                <w:color w:val="1B1D1F"/>
                <w:sz w:val="20"/>
                <w:szCs w:val="20"/>
              </w:rPr>
            </w:pPr>
            <w:r w:rsidRPr="003A72FE">
              <w:rPr>
                <w:color w:val="1B1D1F"/>
                <w:sz w:val="20"/>
                <w:szCs w:val="20"/>
              </w:rPr>
              <w:t>2,68</w:t>
            </w:r>
          </w:p>
        </w:tc>
        <w:tc>
          <w:tcPr>
            <w:tcW w:w="1127" w:type="dxa"/>
            <w:shd w:val="clear" w:color="auto" w:fill="F2F2F2"/>
            <w:tcMar>
              <w:top w:w="0" w:type="dxa"/>
              <w:left w:w="108" w:type="dxa"/>
              <w:bottom w:w="0" w:type="dxa"/>
              <w:right w:w="108" w:type="dxa"/>
            </w:tcMar>
            <w:hideMark/>
          </w:tcPr>
          <w:p w14:paraId="2EB7357D" w14:textId="77777777" w:rsidR="007C1F59" w:rsidRPr="003A72FE" w:rsidRDefault="007C1F59" w:rsidP="007C1F59">
            <w:pPr>
              <w:spacing w:after="0" w:line="240" w:lineRule="auto"/>
              <w:jc w:val="both"/>
              <w:rPr>
                <w:color w:val="1B1D1F"/>
                <w:sz w:val="20"/>
                <w:szCs w:val="20"/>
              </w:rPr>
            </w:pPr>
            <w:r w:rsidRPr="003A72FE">
              <w:rPr>
                <w:color w:val="1B1D1F"/>
                <w:sz w:val="20"/>
                <w:szCs w:val="20"/>
              </w:rPr>
              <w:t>2,86</w:t>
            </w:r>
          </w:p>
        </w:tc>
        <w:tc>
          <w:tcPr>
            <w:tcW w:w="1131" w:type="dxa"/>
            <w:shd w:val="clear" w:color="auto" w:fill="D9D9D9"/>
            <w:tcMar>
              <w:top w:w="0" w:type="dxa"/>
              <w:left w:w="108" w:type="dxa"/>
              <w:bottom w:w="0" w:type="dxa"/>
              <w:right w:w="108" w:type="dxa"/>
            </w:tcMar>
            <w:hideMark/>
          </w:tcPr>
          <w:p w14:paraId="458BDA72"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(3,12)</w:t>
            </w:r>
          </w:p>
        </w:tc>
        <w:tc>
          <w:tcPr>
            <w:tcW w:w="913" w:type="dxa"/>
            <w:shd w:val="clear" w:color="auto" w:fill="D9D9D9"/>
            <w:tcMar>
              <w:top w:w="0" w:type="dxa"/>
              <w:left w:w="108" w:type="dxa"/>
              <w:bottom w:w="0" w:type="dxa"/>
              <w:right w:w="108" w:type="dxa"/>
            </w:tcMar>
            <w:hideMark/>
          </w:tcPr>
          <w:p w14:paraId="21481FAF"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(3,29)</w:t>
            </w:r>
          </w:p>
        </w:tc>
      </w:tr>
      <w:tr w:rsidR="007C1F59" w:rsidRPr="003A72FE" w14:paraId="2770AC8D" w14:textId="77777777" w:rsidTr="000466F5">
        <w:tc>
          <w:tcPr>
            <w:tcW w:w="2835" w:type="dxa"/>
            <w:tcMar>
              <w:top w:w="0" w:type="dxa"/>
              <w:left w:w="108" w:type="dxa"/>
              <w:bottom w:w="0" w:type="dxa"/>
              <w:right w:w="108" w:type="dxa"/>
            </w:tcMar>
            <w:hideMark/>
          </w:tcPr>
          <w:p w14:paraId="40BBF635" w14:textId="77777777" w:rsidR="007C1F59" w:rsidRPr="003A72FE" w:rsidRDefault="007C1F59" w:rsidP="002D64E2">
            <w:pPr>
              <w:spacing w:after="0" w:line="240" w:lineRule="auto"/>
              <w:jc w:val="both"/>
              <w:rPr>
                <w:bCs/>
                <w:color w:val="1B1D1F"/>
                <w:sz w:val="20"/>
                <w:szCs w:val="20"/>
              </w:rPr>
            </w:pPr>
            <w:r w:rsidRPr="003A72FE">
              <w:rPr>
                <w:bCs/>
                <w:color w:val="1B1D1F"/>
                <w:sz w:val="20"/>
                <w:szCs w:val="20"/>
              </w:rPr>
              <w:t>OAP/</w:t>
            </w:r>
            <w:r w:rsidR="00600CAB">
              <w:rPr>
                <w:sz w:val="20"/>
                <w:szCs w:val="20"/>
              </w:rPr>
              <w:t xml:space="preserve"> NKI</w:t>
            </w:r>
            <w:r w:rsidR="001912F8" w:rsidRPr="003A72FE">
              <w:rPr>
                <w:bCs/>
                <w:color w:val="1B1D1F"/>
                <w:sz w:val="20"/>
                <w:szCs w:val="20"/>
              </w:rPr>
              <w:t xml:space="preserve"> </w:t>
            </w:r>
            <w:r w:rsidRPr="003A72FE">
              <w:rPr>
                <w:bCs/>
                <w:color w:val="1B1D1F"/>
                <w:sz w:val="20"/>
                <w:szCs w:val="20"/>
              </w:rPr>
              <w:t>%</w:t>
            </w:r>
            <w:r w:rsidR="00083EFC" w:rsidRPr="003A72FE">
              <w:rPr>
                <w:bCs/>
                <w:color w:val="1B1D1F"/>
                <w:sz w:val="20"/>
                <w:szCs w:val="20"/>
              </w:rPr>
              <w:t>,</w:t>
            </w:r>
            <w:r w:rsidRPr="003A72FE">
              <w:rPr>
                <w:bCs/>
                <w:color w:val="1B1D1F"/>
                <w:sz w:val="20"/>
                <w:szCs w:val="20"/>
              </w:rPr>
              <w:t xml:space="preserve"> mērķis </w:t>
            </w:r>
          </w:p>
        </w:tc>
        <w:tc>
          <w:tcPr>
            <w:tcW w:w="1113" w:type="dxa"/>
            <w:tcMar>
              <w:top w:w="0" w:type="dxa"/>
              <w:left w:w="108" w:type="dxa"/>
              <w:bottom w:w="0" w:type="dxa"/>
              <w:right w:w="108" w:type="dxa"/>
            </w:tcMar>
            <w:hideMark/>
          </w:tcPr>
          <w:p w14:paraId="05E1159E" w14:textId="77777777" w:rsidR="007C1F59" w:rsidRPr="003A72FE" w:rsidRDefault="007C1F59" w:rsidP="007C1F59">
            <w:pPr>
              <w:spacing w:after="0" w:line="240" w:lineRule="auto"/>
              <w:jc w:val="both"/>
              <w:rPr>
                <w:b/>
                <w:color w:val="1B1D1F"/>
                <w:sz w:val="20"/>
                <w:szCs w:val="20"/>
              </w:rPr>
            </w:pPr>
            <w:r w:rsidRPr="003A72FE">
              <w:rPr>
                <w:b/>
                <w:color w:val="1B1D1F"/>
                <w:sz w:val="20"/>
                <w:szCs w:val="20"/>
              </w:rPr>
              <w:t>0.09</w:t>
            </w:r>
          </w:p>
        </w:tc>
        <w:tc>
          <w:tcPr>
            <w:tcW w:w="1113" w:type="dxa"/>
            <w:tcMar>
              <w:top w:w="0" w:type="dxa"/>
              <w:left w:w="108" w:type="dxa"/>
              <w:bottom w:w="0" w:type="dxa"/>
              <w:right w:w="108" w:type="dxa"/>
            </w:tcMar>
            <w:hideMark/>
          </w:tcPr>
          <w:p w14:paraId="2706F104" w14:textId="77777777" w:rsidR="007C1F59" w:rsidRPr="003A72FE" w:rsidRDefault="007C1F59" w:rsidP="007C1F59">
            <w:pPr>
              <w:spacing w:after="0" w:line="240" w:lineRule="auto"/>
              <w:jc w:val="both"/>
              <w:rPr>
                <w:b/>
                <w:color w:val="1B1D1F"/>
                <w:sz w:val="20"/>
                <w:szCs w:val="20"/>
              </w:rPr>
            </w:pPr>
            <w:r w:rsidRPr="003A72FE">
              <w:rPr>
                <w:b/>
                <w:color w:val="1B1D1F"/>
                <w:sz w:val="20"/>
                <w:szCs w:val="20"/>
              </w:rPr>
              <w:t>0.1</w:t>
            </w:r>
          </w:p>
        </w:tc>
        <w:tc>
          <w:tcPr>
            <w:tcW w:w="1127" w:type="dxa"/>
            <w:shd w:val="clear" w:color="auto" w:fill="F2F2F2"/>
            <w:tcMar>
              <w:top w:w="0" w:type="dxa"/>
              <w:left w:w="108" w:type="dxa"/>
              <w:bottom w:w="0" w:type="dxa"/>
              <w:right w:w="108" w:type="dxa"/>
            </w:tcMar>
            <w:hideMark/>
          </w:tcPr>
          <w:p w14:paraId="5058FD25" w14:textId="77777777" w:rsidR="007C1F59" w:rsidRPr="003A72FE" w:rsidRDefault="007C1F59" w:rsidP="007C1F59">
            <w:pPr>
              <w:spacing w:after="0" w:line="240" w:lineRule="auto"/>
              <w:jc w:val="both"/>
              <w:rPr>
                <w:b/>
                <w:color w:val="1B1D1F"/>
                <w:sz w:val="20"/>
                <w:szCs w:val="20"/>
              </w:rPr>
            </w:pPr>
            <w:r w:rsidRPr="003A72FE">
              <w:rPr>
                <w:b/>
                <w:color w:val="1B1D1F"/>
                <w:sz w:val="20"/>
                <w:szCs w:val="20"/>
              </w:rPr>
              <w:t>0.12</w:t>
            </w:r>
          </w:p>
        </w:tc>
        <w:tc>
          <w:tcPr>
            <w:tcW w:w="1131" w:type="dxa"/>
            <w:shd w:val="clear" w:color="auto" w:fill="D9D9D9"/>
            <w:tcMar>
              <w:top w:w="0" w:type="dxa"/>
              <w:left w:w="108" w:type="dxa"/>
              <w:bottom w:w="0" w:type="dxa"/>
              <w:right w:w="108" w:type="dxa"/>
            </w:tcMar>
            <w:hideMark/>
          </w:tcPr>
          <w:p w14:paraId="00F4545B" w14:textId="77777777" w:rsidR="007C1F59" w:rsidRPr="003A72FE" w:rsidRDefault="007C1F59" w:rsidP="007C1F59">
            <w:pPr>
              <w:spacing w:after="0" w:line="240" w:lineRule="auto"/>
              <w:jc w:val="both"/>
              <w:rPr>
                <w:color w:val="1B1D1F"/>
                <w:sz w:val="20"/>
                <w:szCs w:val="20"/>
              </w:rPr>
            </w:pPr>
            <w:r w:rsidRPr="003A72FE">
              <w:rPr>
                <w:color w:val="1B1D1F"/>
                <w:sz w:val="20"/>
                <w:szCs w:val="20"/>
              </w:rPr>
              <w:t>0.14</w:t>
            </w:r>
          </w:p>
        </w:tc>
        <w:tc>
          <w:tcPr>
            <w:tcW w:w="913" w:type="dxa"/>
            <w:shd w:val="clear" w:color="auto" w:fill="D9D9D9"/>
            <w:tcMar>
              <w:top w:w="0" w:type="dxa"/>
              <w:left w:w="108" w:type="dxa"/>
              <w:bottom w:w="0" w:type="dxa"/>
              <w:right w:w="108" w:type="dxa"/>
            </w:tcMar>
            <w:hideMark/>
          </w:tcPr>
          <w:p w14:paraId="3854C75A" w14:textId="77777777" w:rsidR="007C1F59" w:rsidRPr="003A72FE" w:rsidRDefault="007C1F59" w:rsidP="007C1F59">
            <w:pPr>
              <w:spacing w:after="0" w:line="240" w:lineRule="auto"/>
              <w:jc w:val="both"/>
              <w:rPr>
                <w:color w:val="1B1D1F"/>
                <w:sz w:val="20"/>
                <w:szCs w:val="20"/>
              </w:rPr>
            </w:pPr>
            <w:r w:rsidRPr="003A72FE">
              <w:rPr>
                <w:color w:val="1B1D1F"/>
                <w:sz w:val="20"/>
                <w:szCs w:val="20"/>
              </w:rPr>
              <w:t>0.17</w:t>
            </w:r>
          </w:p>
        </w:tc>
      </w:tr>
      <w:tr w:rsidR="007C1F59" w:rsidRPr="003A72FE" w14:paraId="253441DD" w14:textId="77777777" w:rsidTr="000466F5">
        <w:tc>
          <w:tcPr>
            <w:tcW w:w="2835" w:type="dxa"/>
            <w:tcMar>
              <w:top w:w="0" w:type="dxa"/>
              <w:left w:w="108" w:type="dxa"/>
              <w:bottom w:w="0" w:type="dxa"/>
              <w:right w:w="108" w:type="dxa"/>
            </w:tcMar>
            <w:hideMark/>
          </w:tcPr>
          <w:p w14:paraId="28986EE5" w14:textId="77777777" w:rsidR="007C1F59" w:rsidRPr="003A72FE" w:rsidRDefault="007C1F59" w:rsidP="007C1F59">
            <w:pPr>
              <w:spacing w:after="0" w:line="240" w:lineRule="auto"/>
              <w:jc w:val="both"/>
              <w:rPr>
                <w:bCs/>
                <w:color w:val="1B1D1F"/>
                <w:sz w:val="20"/>
                <w:szCs w:val="20"/>
              </w:rPr>
            </w:pPr>
            <w:r w:rsidRPr="003A72FE">
              <w:rPr>
                <w:bCs/>
                <w:color w:val="1B1D1F"/>
                <w:sz w:val="20"/>
                <w:szCs w:val="20"/>
              </w:rPr>
              <w:t>OAP milj. EUR</w:t>
            </w:r>
            <w:r w:rsidR="00083EFC" w:rsidRPr="003A72FE">
              <w:rPr>
                <w:bCs/>
                <w:color w:val="1B1D1F"/>
                <w:sz w:val="20"/>
                <w:szCs w:val="20"/>
              </w:rPr>
              <w:t>,</w:t>
            </w:r>
            <w:r w:rsidRPr="003A72FE">
              <w:rPr>
                <w:bCs/>
                <w:color w:val="1B1D1F"/>
                <w:sz w:val="20"/>
                <w:szCs w:val="20"/>
              </w:rPr>
              <w:t xml:space="preserve"> mērķis</w:t>
            </w:r>
          </w:p>
        </w:tc>
        <w:tc>
          <w:tcPr>
            <w:tcW w:w="1113" w:type="dxa"/>
            <w:tcMar>
              <w:top w:w="0" w:type="dxa"/>
              <w:left w:w="108" w:type="dxa"/>
              <w:bottom w:w="0" w:type="dxa"/>
              <w:right w:w="108" w:type="dxa"/>
            </w:tcMar>
            <w:hideMark/>
          </w:tcPr>
          <w:p w14:paraId="7AE32094" w14:textId="77777777" w:rsidR="007C1F59" w:rsidRPr="003A72FE" w:rsidRDefault="007C1F59" w:rsidP="007C1F59">
            <w:pPr>
              <w:spacing w:after="0" w:line="240" w:lineRule="auto"/>
              <w:jc w:val="both"/>
              <w:rPr>
                <w:color w:val="1B1D1F"/>
                <w:sz w:val="20"/>
                <w:szCs w:val="20"/>
              </w:rPr>
            </w:pPr>
            <w:r w:rsidRPr="003A72FE">
              <w:rPr>
                <w:color w:val="1B1D1F"/>
                <w:sz w:val="20"/>
                <w:szCs w:val="20"/>
              </w:rPr>
              <w:t>22,59</w:t>
            </w:r>
          </w:p>
        </w:tc>
        <w:tc>
          <w:tcPr>
            <w:tcW w:w="1113" w:type="dxa"/>
            <w:tcMar>
              <w:top w:w="0" w:type="dxa"/>
              <w:left w:w="108" w:type="dxa"/>
              <w:bottom w:w="0" w:type="dxa"/>
              <w:right w:w="108" w:type="dxa"/>
            </w:tcMar>
            <w:hideMark/>
          </w:tcPr>
          <w:p w14:paraId="7665C25A" w14:textId="77777777" w:rsidR="007C1F59" w:rsidRPr="003A72FE" w:rsidRDefault="007C1F59" w:rsidP="007C1F59">
            <w:pPr>
              <w:spacing w:after="0" w:line="240" w:lineRule="auto"/>
              <w:jc w:val="both"/>
              <w:rPr>
                <w:color w:val="1B1D1F"/>
                <w:sz w:val="20"/>
                <w:szCs w:val="20"/>
              </w:rPr>
            </w:pPr>
            <w:r w:rsidRPr="003A72FE">
              <w:rPr>
                <w:color w:val="1B1D1F"/>
                <w:sz w:val="20"/>
                <w:szCs w:val="20"/>
              </w:rPr>
              <w:t>26,85</w:t>
            </w:r>
          </w:p>
        </w:tc>
        <w:tc>
          <w:tcPr>
            <w:tcW w:w="1127" w:type="dxa"/>
            <w:shd w:val="clear" w:color="auto" w:fill="F2F2F2"/>
            <w:tcMar>
              <w:top w:w="0" w:type="dxa"/>
              <w:left w:w="108" w:type="dxa"/>
              <w:bottom w:w="0" w:type="dxa"/>
              <w:right w:w="108" w:type="dxa"/>
            </w:tcMar>
            <w:hideMark/>
          </w:tcPr>
          <w:p w14:paraId="38DDE8D0"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34,38</w:t>
            </w:r>
          </w:p>
        </w:tc>
        <w:tc>
          <w:tcPr>
            <w:tcW w:w="1131" w:type="dxa"/>
            <w:shd w:val="clear" w:color="auto" w:fill="D9D9D9"/>
            <w:tcMar>
              <w:top w:w="0" w:type="dxa"/>
              <w:left w:w="108" w:type="dxa"/>
              <w:bottom w:w="0" w:type="dxa"/>
              <w:right w:w="108" w:type="dxa"/>
            </w:tcMar>
            <w:hideMark/>
          </w:tcPr>
          <w:p w14:paraId="34393F9E"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(43,66)</w:t>
            </w:r>
          </w:p>
        </w:tc>
        <w:tc>
          <w:tcPr>
            <w:tcW w:w="913" w:type="dxa"/>
            <w:shd w:val="clear" w:color="auto" w:fill="D9D9D9"/>
            <w:tcMar>
              <w:top w:w="0" w:type="dxa"/>
              <w:left w:w="108" w:type="dxa"/>
              <w:bottom w:w="0" w:type="dxa"/>
              <w:right w:w="108" w:type="dxa"/>
            </w:tcMar>
            <w:hideMark/>
          </w:tcPr>
          <w:p w14:paraId="134A51E4"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(55,97)</w:t>
            </w:r>
          </w:p>
        </w:tc>
      </w:tr>
      <w:tr w:rsidR="007C1F59" w:rsidRPr="003A72FE" w14:paraId="3DC0507E" w14:textId="77777777" w:rsidTr="000466F5">
        <w:tc>
          <w:tcPr>
            <w:tcW w:w="2835" w:type="dxa"/>
            <w:tcMar>
              <w:top w:w="0" w:type="dxa"/>
              <w:left w:w="108" w:type="dxa"/>
              <w:bottom w:w="0" w:type="dxa"/>
              <w:right w:w="108" w:type="dxa"/>
            </w:tcMar>
            <w:hideMark/>
          </w:tcPr>
          <w:p w14:paraId="60CF914D" w14:textId="77777777" w:rsidR="007C1F59" w:rsidRPr="003A72FE" w:rsidRDefault="007C1F59" w:rsidP="000466F5">
            <w:pPr>
              <w:spacing w:after="0" w:line="240" w:lineRule="auto"/>
              <w:jc w:val="both"/>
              <w:rPr>
                <w:bCs/>
                <w:color w:val="1B1D1F"/>
                <w:sz w:val="20"/>
                <w:szCs w:val="20"/>
              </w:rPr>
            </w:pPr>
            <w:r w:rsidRPr="003A72FE">
              <w:rPr>
                <w:bCs/>
                <w:color w:val="1B1D1F"/>
                <w:sz w:val="20"/>
                <w:szCs w:val="20"/>
              </w:rPr>
              <w:t>OAP/</w:t>
            </w:r>
            <w:r w:rsidR="00600CAB">
              <w:rPr>
                <w:bCs/>
                <w:color w:val="1B1D1F"/>
                <w:sz w:val="20"/>
                <w:szCs w:val="20"/>
              </w:rPr>
              <w:t xml:space="preserve">NKI </w:t>
            </w:r>
            <w:r w:rsidRPr="003A72FE">
              <w:rPr>
                <w:bCs/>
                <w:color w:val="1B1D1F"/>
                <w:sz w:val="20"/>
                <w:szCs w:val="20"/>
              </w:rPr>
              <w:t>%</w:t>
            </w:r>
            <w:r w:rsidR="00083EFC" w:rsidRPr="003A72FE">
              <w:rPr>
                <w:bCs/>
                <w:color w:val="1B1D1F"/>
                <w:sz w:val="20"/>
                <w:szCs w:val="20"/>
              </w:rPr>
              <w:t xml:space="preserve">, </w:t>
            </w:r>
            <w:r w:rsidRPr="003A72FE">
              <w:rPr>
                <w:bCs/>
                <w:color w:val="1B1D1F"/>
                <w:sz w:val="20"/>
                <w:szCs w:val="20"/>
              </w:rPr>
              <w:t>faktiskais</w:t>
            </w:r>
          </w:p>
        </w:tc>
        <w:tc>
          <w:tcPr>
            <w:tcW w:w="1113" w:type="dxa"/>
            <w:tcMar>
              <w:top w:w="0" w:type="dxa"/>
              <w:left w:w="108" w:type="dxa"/>
              <w:bottom w:w="0" w:type="dxa"/>
              <w:right w:w="108" w:type="dxa"/>
            </w:tcMar>
            <w:hideMark/>
          </w:tcPr>
          <w:p w14:paraId="160624E5" w14:textId="77777777" w:rsidR="007C1F59" w:rsidRPr="003A72FE" w:rsidRDefault="007C1F59" w:rsidP="007C1F59">
            <w:pPr>
              <w:spacing w:after="0" w:line="240" w:lineRule="auto"/>
              <w:jc w:val="both"/>
              <w:rPr>
                <w:b/>
                <w:bCs/>
                <w:color w:val="1B1D1F"/>
                <w:sz w:val="20"/>
                <w:szCs w:val="20"/>
              </w:rPr>
            </w:pPr>
            <w:r w:rsidRPr="003A72FE">
              <w:rPr>
                <w:b/>
                <w:bCs/>
                <w:color w:val="1B1D1F"/>
                <w:sz w:val="20"/>
                <w:szCs w:val="20"/>
              </w:rPr>
              <w:t>0.11</w:t>
            </w:r>
          </w:p>
        </w:tc>
        <w:tc>
          <w:tcPr>
            <w:tcW w:w="1113" w:type="dxa"/>
            <w:tcMar>
              <w:top w:w="0" w:type="dxa"/>
              <w:left w:w="108" w:type="dxa"/>
              <w:bottom w:w="0" w:type="dxa"/>
              <w:right w:w="108" w:type="dxa"/>
            </w:tcMar>
            <w:hideMark/>
          </w:tcPr>
          <w:p w14:paraId="04C22A94" w14:textId="77777777" w:rsidR="007C1F59" w:rsidRPr="003A72FE" w:rsidRDefault="007C1F59" w:rsidP="007C1F59">
            <w:pPr>
              <w:spacing w:after="0" w:line="240" w:lineRule="auto"/>
              <w:jc w:val="both"/>
              <w:rPr>
                <w:b/>
                <w:bCs/>
                <w:color w:val="1B1D1F"/>
                <w:sz w:val="20"/>
                <w:szCs w:val="20"/>
              </w:rPr>
            </w:pPr>
            <w:r w:rsidRPr="003A72FE">
              <w:rPr>
                <w:b/>
                <w:bCs/>
                <w:color w:val="1B1D1F"/>
                <w:sz w:val="20"/>
                <w:szCs w:val="20"/>
              </w:rPr>
              <w:t>0.11</w:t>
            </w:r>
          </w:p>
        </w:tc>
        <w:tc>
          <w:tcPr>
            <w:tcW w:w="1127" w:type="dxa"/>
            <w:shd w:val="clear" w:color="auto" w:fill="F2F2F2"/>
            <w:tcMar>
              <w:top w:w="0" w:type="dxa"/>
              <w:left w:w="108" w:type="dxa"/>
              <w:bottom w:w="0" w:type="dxa"/>
              <w:right w:w="108" w:type="dxa"/>
            </w:tcMar>
            <w:hideMark/>
          </w:tcPr>
          <w:p w14:paraId="27E82AE3" w14:textId="77777777" w:rsidR="007C1F59" w:rsidRPr="003A72FE" w:rsidRDefault="007C1F59" w:rsidP="007C1F59">
            <w:pPr>
              <w:spacing w:after="0" w:line="240" w:lineRule="auto"/>
              <w:jc w:val="both"/>
              <w:rPr>
                <w:b/>
                <w:bCs/>
                <w:color w:val="1B1D1F"/>
                <w:sz w:val="20"/>
                <w:szCs w:val="20"/>
              </w:rPr>
            </w:pPr>
            <w:r w:rsidRPr="003A72FE">
              <w:rPr>
                <w:b/>
                <w:bCs/>
                <w:color w:val="1B1D1F"/>
                <w:sz w:val="20"/>
                <w:szCs w:val="20"/>
              </w:rPr>
              <w:t xml:space="preserve">0.1 </w:t>
            </w:r>
          </w:p>
        </w:tc>
        <w:tc>
          <w:tcPr>
            <w:tcW w:w="1131" w:type="dxa"/>
            <w:shd w:val="clear" w:color="auto" w:fill="D9D9D9"/>
            <w:tcMar>
              <w:top w:w="0" w:type="dxa"/>
              <w:left w:w="108" w:type="dxa"/>
              <w:bottom w:w="0" w:type="dxa"/>
              <w:right w:w="108" w:type="dxa"/>
            </w:tcMar>
            <w:hideMark/>
          </w:tcPr>
          <w:p w14:paraId="10C20602"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0.096</w:t>
            </w:r>
          </w:p>
        </w:tc>
        <w:tc>
          <w:tcPr>
            <w:tcW w:w="913" w:type="dxa"/>
            <w:shd w:val="clear" w:color="auto" w:fill="D9D9D9"/>
            <w:tcMar>
              <w:top w:w="0" w:type="dxa"/>
              <w:left w:w="108" w:type="dxa"/>
              <w:bottom w:w="0" w:type="dxa"/>
              <w:right w:w="108" w:type="dxa"/>
            </w:tcMar>
            <w:hideMark/>
          </w:tcPr>
          <w:p w14:paraId="7E6D2F66"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0.094</w:t>
            </w:r>
          </w:p>
        </w:tc>
      </w:tr>
      <w:tr w:rsidR="007C1F59" w:rsidRPr="003A72FE" w14:paraId="67BC9033" w14:textId="77777777" w:rsidTr="000466F5">
        <w:tc>
          <w:tcPr>
            <w:tcW w:w="2835" w:type="dxa"/>
            <w:tcMar>
              <w:top w:w="0" w:type="dxa"/>
              <w:left w:w="108" w:type="dxa"/>
              <w:bottom w:w="0" w:type="dxa"/>
              <w:right w:w="108" w:type="dxa"/>
            </w:tcMar>
            <w:hideMark/>
          </w:tcPr>
          <w:p w14:paraId="15DCD61B" w14:textId="77777777" w:rsidR="007C1F59" w:rsidRPr="003A72FE" w:rsidRDefault="007C1F59" w:rsidP="007C1F59">
            <w:pPr>
              <w:spacing w:after="0" w:line="240" w:lineRule="auto"/>
              <w:jc w:val="both"/>
              <w:rPr>
                <w:bCs/>
                <w:color w:val="1B1D1F"/>
                <w:sz w:val="20"/>
                <w:szCs w:val="20"/>
              </w:rPr>
            </w:pPr>
            <w:r w:rsidRPr="003A72FE">
              <w:rPr>
                <w:bCs/>
                <w:color w:val="1B1D1F"/>
                <w:sz w:val="20"/>
                <w:szCs w:val="20"/>
              </w:rPr>
              <w:t>OAP milj. EUR</w:t>
            </w:r>
            <w:r w:rsidR="00083EFC" w:rsidRPr="003A72FE">
              <w:rPr>
                <w:bCs/>
                <w:color w:val="1B1D1F"/>
                <w:sz w:val="20"/>
                <w:szCs w:val="20"/>
              </w:rPr>
              <w:t>,</w:t>
            </w:r>
            <w:r w:rsidRPr="003A72FE">
              <w:rPr>
                <w:bCs/>
                <w:color w:val="1B1D1F"/>
                <w:sz w:val="20"/>
                <w:szCs w:val="20"/>
              </w:rPr>
              <w:t xml:space="preserve"> </w:t>
            </w:r>
            <w:r w:rsidR="002D64E2" w:rsidRPr="003A72FE">
              <w:rPr>
                <w:bCs/>
                <w:color w:val="1B1D1F"/>
                <w:sz w:val="20"/>
                <w:szCs w:val="20"/>
              </w:rPr>
              <w:t>faktiskais</w:t>
            </w:r>
          </w:p>
        </w:tc>
        <w:tc>
          <w:tcPr>
            <w:tcW w:w="1113" w:type="dxa"/>
            <w:tcMar>
              <w:top w:w="0" w:type="dxa"/>
              <w:left w:w="108" w:type="dxa"/>
              <w:bottom w:w="0" w:type="dxa"/>
              <w:right w:w="108" w:type="dxa"/>
            </w:tcMar>
            <w:hideMark/>
          </w:tcPr>
          <w:p w14:paraId="540E859A" w14:textId="77777777" w:rsidR="007C1F59" w:rsidRPr="003A72FE" w:rsidRDefault="007C1F59" w:rsidP="007C1F59">
            <w:pPr>
              <w:spacing w:after="0" w:line="240" w:lineRule="auto"/>
              <w:jc w:val="both"/>
              <w:rPr>
                <w:bCs/>
                <w:color w:val="1B1D1F"/>
                <w:sz w:val="20"/>
                <w:szCs w:val="20"/>
              </w:rPr>
            </w:pPr>
            <w:r w:rsidRPr="003A72FE">
              <w:rPr>
                <w:bCs/>
                <w:color w:val="1B1D1F"/>
                <w:sz w:val="20"/>
                <w:szCs w:val="20"/>
              </w:rPr>
              <w:t>27,3</w:t>
            </w:r>
          </w:p>
        </w:tc>
        <w:tc>
          <w:tcPr>
            <w:tcW w:w="1113" w:type="dxa"/>
            <w:tcMar>
              <w:top w:w="0" w:type="dxa"/>
              <w:left w:w="108" w:type="dxa"/>
              <w:bottom w:w="0" w:type="dxa"/>
              <w:right w:w="108" w:type="dxa"/>
            </w:tcMar>
            <w:hideMark/>
          </w:tcPr>
          <w:p w14:paraId="4C283CD6" w14:textId="77777777" w:rsidR="007C1F59" w:rsidRPr="003A72FE" w:rsidRDefault="007C1F59" w:rsidP="007C1F59">
            <w:pPr>
              <w:spacing w:after="0" w:line="240" w:lineRule="auto"/>
              <w:jc w:val="both"/>
              <w:rPr>
                <w:bCs/>
                <w:color w:val="1B1D1F"/>
                <w:sz w:val="20"/>
                <w:szCs w:val="20"/>
              </w:rPr>
            </w:pPr>
            <w:r w:rsidRPr="003A72FE">
              <w:rPr>
                <w:bCs/>
                <w:color w:val="1B1D1F"/>
                <w:sz w:val="20"/>
                <w:szCs w:val="20"/>
              </w:rPr>
              <w:t>28,3</w:t>
            </w:r>
          </w:p>
        </w:tc>
        <w:tc>
          <w:tcPr>
            <w:tcW w:w="1127" w:type="dxa"/>
            <w:shd w:val="clear" w:color="auto" w:fill="F2F2F2"/>
            <w:tcMar>
              <w:top w:w="0" w:type="dxa"/>
              <w:left w:w="108" w:type="dxa"/>
              <w:bottom w:w="0" w:type="dxa"/>
              <w:right w:w="108" w:type="dxa"/>
            </w:tcMar>
            <w:hideMark/>
          </w:tcPr>
          <w:p w14:paraId="3EB2BA0E" w14:textId="77777777" w:rsidR="007C1F59" w:rsidRPr="003A72FE" w:rsidRDefault="007C1F59" w:rsidP="007C1F59">
            <w:pPr>
              <w:spacing w:after="0" w:line="240" w:lineRule="auto"/>
              <w:jc w:val="both"/>
              <w:rPr>
                <w:bCs/>
                <w:color w:val="1B1D1F"/>
                <w:sz w:val="20"/>
                <w:szCs w:val="20"/>
              </w:rPr>
            </w:pPr>
            <w:r w:rsidRPr="003A72FE">
              <w:rPr>
                <w:bCs/>
                <w:color w:val="1B1D1F"/>
                <w:sz w:val="20"/>
                <w:szCs w:val="20"/>
              </w:rPr>
              <w:t>29,1</w:t>
            </w:r>
          </w:p>
        </w:tc>
        <w:tc>
          <w:tcPr>
            <w:tcW w:w="1131" w:type="dxa"/>
            <w:shd w:val="clear" w:color="auto" w:fill="D9D9D9"/>
            <w:tcMar>
              <w:top w:w="0" w:type="dxa"/>
              <w:left w:w="108" w:type="dxa"/>
              <w:bottom w:w="0" w:type="dxa"/>
              <w:right w:w="108" w:type="dxa"/>
            </w:tcMar>
            <w:hideMark/>
          </w:tcPr>
          <w:p w14:paraId="69987C88"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(30)</w:t>
            </w:r>
          </w:p>
        </w:tc>
        <w:tc>
          <w:tcPr>
            <w:tcW w:w="913" w:type="dxa"/>
            <w:shd w:val="clear" w:color="auto" w:fill="D9D9D9"/>
            <w:tcMar>
              <w:top w:w="0" w:type="dxa"/>
              <w:left w:w="108" w:type="dxa"/>
              <w:bottom w:w="0" w:type="dxa"/>
              <w:right w:w="108" w:type="dxa"/>
            </w:tcMar>
            <w:hideMark/>
          </w:tcPr>
          <w:p w14:paraId="19EE5842"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(30,9)</w:t>
            </w:r>
          </w:p>
        </w:tc>
      </w:tr>
      <w:tr w:rsidR="007C1F59" w:rsidRPr="003A72FE" w14:paraId="3792C8EA" w14:textId="77777777" w:rsidTr="000466F5">
        <w:tc>
          <w:tcPr>
            <w:tcW w:w="2835" w:type="dxa"/>
            <w:tcMar>
              <w:top w:w="0" w:type="dxa"/>
              <w:left w:w="108" w:type="dxa"/>
              <w:bottom w:w="0" w:type="dxa"/>
              <w:right w:w="108" w:type="dxa"/>
            </w:tcMar>
            <w:hideMark/>
          </w:tcPr>
          <w:p w14:paraId="47F4E585" w14:textId="77777777" w:rsidR="007C1F59" w:rsidRPr="003A72FE" w:rsidRDefault="007C1F59" w:rsidP="002D64E2">
            <w:pPr>
              <w:spacing w:after="0" w:line="240" w:lineRule="auto"/>
              <w:jc w:val="both"/>
              <w:rPr>
                <w:bCs/>
                <w:color w:val="1B1D1F"/>
                <w:sz w:val="20"/>
                <w:szCs w:val="20"/>
              </w:rPr>
            </w:pPr>
            <w:r w:rsidRPr="003A72FE">
              <w:rPr>
                <w:bCs/>
                <w:color w:val="1B1D1F"/>
                <w:sz w:val="20"/>
                <w:szCs w:val="20"/>
              </w:rPr>
              <w:t>Starpība starp mērķi un faktisko</w:t>
            </w:r>
            <w:r w:rsidR="002D64E2" w:rsidRPr="003A72FE">
              <w:rPr>
                <w:bCs/>
                <w:color w:val="1B1D1F"/>
                <w:sz w:val="20"/>
                <w:szCs w:val="20"/>
              </w:rPr>
              <w:t>,</w:t>
            </w:r>
            <w:r w:rsidRPr="003A72FE">
              <w:rPr>
                <w:bCs/>
                <w:color w:val="1B1D1F"/>
                <w:sz w:val="20"/>
                <w:szCs w:val="20"/>
              </w:rPr>
              <w:t xml:space="preserve"> </w:t>
            </w:r>
            <w:r w:rsidR="002D64E2" w:rsidRPr="003A72FE">
              <w:rPr>
                <w:bCs/>
                <w:color w:val="1B1D1F"/>
                <w:sz w:val="20"/>
                <w:szCs w:val="20"/>
              </w:rPr>
              <w:t>milj. EUR</w:t>
            </w:r>
          </w:p>
        </w:tc>
        <w:tc>
          <w:tcPr>
            <w:tcW w:w="1113" w:type="dxa"/>
            <w:tcMar>
              <w:top w:w="0" w:type="dxa"/>
              <w:left w:w="108" w:type="dxa"/>
              <w:bottom w:w="0" w:type="dxa"/>
              <w:right w:w="108" w:type="dxa"/>
            </w:tcMar>
            <w:hideMark/>
          </w:tcPr>
          <w:p w14:paraId="1915F5DC" w14:textId="77777777" w:rsidR="007C1F59" w:rsidRPr="003A72FE" w:rsidRDefault="007C1F59" w:rsidP="007C1F59">
            <w:pPr>
              <w:spacing w:after="0" w:line="240" w:lineRule="auto"/>
              <w:jc w:val="both"/>
              <w:rPr>
                <w:color w:val="1B1D1F"/>
                <w:sz w:val="20"/>
                <w:szCs w:val="20"/>
              </w:rPr>
            </w:pPr>
            <w:r w:rsidRPr="003A72FE">
              <w:rPr>
                <w:color w:val="1B1D1F"/>
                <w:sz w:val="20"/>
                <w:szCs w:val="20"/>
              </w:rPr>
              <w:t xml:space="preserve">+4,8 </w:t>
            </w:r>
          </w:p>
        </w:tc>
        <w:tc>
          <w:tcPr>
            <w:tcW w:w="1113" w:type="dxa"/>
            <w:tcMar>
              <w:top w:w="0" w:type="dxa"/>
              <w:left w:w="108" w:type="dxa"/>
              <w:bottom w:w="0" w:type="dxa"/>
              <w:right w:w="108" w:type="dxa"/>
            </w:tcMar>
            <w:hideMark/>
          </w:tcPr>
          <w:p w14:paraId="7A85CAE4" w14:textId="77777777" w:rsidR="007C1F59" w:rsidRPr="003A72FE" w:rsidRDefault="007C1F59" w:rsidP="007C1F59">
            <w:pPr>
              <w:spacing w:after="0" w:line="240" w:lineRule="auto"/>
              <w:jc w:val="both"/>
              <w:rPr>
                <w:color w:val="1B1D1F"/>
                <w:sz w:val="20"/>
                <w:szCs w:val="20"/>
              </w:rPr>
            </w:pPr>
            <w:r w:rsidRPr="003A72FE">
              <w:rPr>
                <w:color w:val="1B1D1F"/>
                <w:sz w:val="20"/>
                <w:szCs w:val="20"/>
              </w:rPr>
              <w:t>+1,3</w:t>
            </w:r>
          </w:p>
        </w:tc>
        <w:tc>
          <w:tcPr>
            <w:tcW w:w="1127" w:type="dxa"/>
            <w:shd w:val="clear" w:color="auto" w:fill="F2F2F2"/>
            <w:tcMar>
              <w:top w:w="0" w:type="dxa"/>
              <w:left w:w="108" w:type="dxa"/>
              <w:bottom w:w="0" w:type="dxa"/>
              <w:right w:w="108" w:type="dxa"/>
            </w:tcMar>
            <w:hideMark/>
          </w:tcPr>
          <w:p w14:paraId="79C58216" w14:textId="77777777" w:rsidR="007C1F59" w:rsidRPr="003A72FE" w:rsidRDefault="007C1F59" w:rsidP="007C1F59">
            <w:pPr>
              <w:spacing w:after="0" w:line="240" w:lineRule="auto"/>
              <w:jc w:val="both"/>
              <w:rPr>
                <w:color w:val="1B1D1F"/>
                <w:sz w:val="20"/>
                <w:szCs w:val="20"/>
              </w:rPr>
            </w:pPr>
            <w:r w:rsidRPr="003A72FE">
              <w:rPr>
                <w:color w:val="1B1D1F"/>
                <w:sz w:val="20"/>
                <w:szCs w:val="20"/>
              </w:rPr>
              <w:t>-5,28</w:t>
            </w:r>
          </w:p>
        </w:tc>
        <w:tc>
          <w:tcPr>
            <w:tcW w:w="1131" w:type="dxa"/>
            <w:shd w:val="clear" w:color="auto" w:fill="D9D9D9"/>
            <w:tcMar>
              <w:top w:w="0" w:type="dxa"/>
              <w:left w:w="108" w:type="dxa"/>
              <w:bottom w:w="0" w:type="dxa"/>
              <w:right w:w="108" w:type="dxa"/>
            </w:tcMar>
            <w:hideMark/>
          </w:tcPr>
          <w:p w14:paraId="291C9089"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-13,66</w:t>
            </w:r>
          </w:p>
        </w:tc>
        <w:tc>
          <w:tcPr>
            <w:tcW w:w="913" w:type="dxa"/>
            <w:shd w:val="clear" w:color="auto" w:fill="D9D9D9"/>
            <w:tcMar>
              <w:top w:w="0" w:type="dxa"/>
              <w:left w:w="108" w:type="dxa"/>
              <w:bottom w:w="0" w:type="dxa"/>
              <w:right w:w="108" w:type="dxa"/>
            </w:tcMar>
            <w:hideMark/>
          </w:tcPr>
          <w:p w14:paraId="47E1AC10" w14:textId="77777777" w:rsidR="007C1F59" w:rsidRPr="003A72FE" w:rsidRDefault="007C1F59" w:rsidP="007C1F59">
            <w:pPr>
              <w:spacing w:after="0" w:line="240" w:lineRule="auto"/>
              <w:jc w:val="both"/>
              <w:rPr>
                <w:i/>
                <w:iCs/>
                <w:color w:val="1B1D1F"/>
                <w:sz w:val="20"/>
                <w:szCs w:val="20"/>
              </w:rPr>
            </w:pPr>
            <w:r w:rsidRPr="003A72FE">
              <w:rPr>
                <w:i/>
                <w:iCs/>
                <w:color w:val="1B1D1F"/>
                <w:sz w:val="20"/>
                <w:szCs w:val="20"/>
              </w:rPr>
              <w:t>-25,07</w:t>
            </w:r>
          </w:p>
        </w:tc>
      </w:tr>
    </w:tbl>
    <w:p w14:paraId="4FDC64A4" w14:textId="77777777" w:rsidR="002C5414" w:rsidRPr="00357B29" w:rsidRDefault="000201AF" w:rsidP="00F76F55">
      <w:pPr>
        <w:spacing w:before="120" w:after="120" w:line="240" w:lineRule="auto"/>
        <w:jc w:val="center"/>
        <w:rPr>
          <w:i/>
          <w:sz w:val="22"/>
        </w:rPr>
      </w:pPr>
      <w:r>
        <w:rPr>
          <w:i/>
          <w:sz w:val="22"/>
        </w:rPr>
        <w:t>4</w:t>
      </w:r>
      <w:r w:rsidR="002C5414" w:rsidRPr="00E04FCF">
        <w:rPr>
          <w:i/>
          <w:sz w:val="22"/>
        </w:rPr>
        <w:t>.tabula:</w:t>
      </w:r>
      <w:r w:rsidR="002C5414" w:rsidRPr="00357B29">
        <w:rPr>
          <w:i/>
          <w:sz w:val="22"/>
        </w:rPr>
        <w:t xml:space="preserve"> </w:t>
      </w:r>
      <w:r w:rsidR="002C5414">
        <w:rPr>
          <w:i/>
          <w:sz w:val="22"/>
        </w:rPr>
        <w:t>Eiropas Savienības valstu OAP īpatsvars</w:t>
      </w:r>
      <w:r w:rsidR="003F30FF">
        <w:rPr>
          <w:i/>
          <w:sz w:val="22"/>
        </w:rPr>
        <w:t xml:space="preserve"> % pret NK</w:t>
      </w:r>
      <w:r w:rsidR="00D36BEF">
        <w:rPr>
          <w:i/>
          <w:sz w:val="22"/>
        </w:rPr>
        <w:t>I</w:t>
      </w:r>
      <w:r w:rsidR="002C5414">
        <w:rPr>
          <w:i/>
          <w:sz w:val="22"/>
        </w:rPr>
        <w:t>, 2018.gads</w:t>
      </w:r>
      <w:r w:rsidR="003F30FF" w:rsidRPr="003F30FF">
        <w:rPr>
          <w:rStyle w:val="FootnoteReference"/>
          <w:sz w:val="22"/>
        </w:rPr>
        <w:footnoteReference w:id="25"/>
      </w:r>
    </w:p>
    <w:p w14:paraId="550DD1C0" w14:textId="77777777" w:rsidR="002C5414" w:rsidRPr="008F4850" w:rsidRDefault="003F30FF" w:rsidP="003F30FF">
      <w:pPr>
        <w:spacing w:line="240" w:lineRule="auto"/>
        <w:jc w:val="center"/>
      </w:pPr>
      <w:r>
        <w:rPr>
          <w:noProof/>
          <w:lang w:eastAsia="lv-LV"/>
        </w:rPr>
        <w:drawing>
          <wp:inline distT="0" distB="0" distL="0" distR="0" wp14:anchorId="33FDF661" wp14:editId="48983B00">
            <wp:extent cx="5880450" cy="3142771"/>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4371" cy="3160900"/>
                    </a:xfrm>
                    <a:prstGeom prst="rect">
                      <a:avLst/>
                    </a:prstGeom>
                    <a:noFill/>
                  </pic:spPr>
                </pic:pic>
              </a:graphicData>
            </a:graphic>
          </wp:inline>
        </w:drawing>
      </w:r>
    </w:p>
    <w:p w14:paraId="0E349B5A" w14:textId="77777777" w:rsidR="001732FB" w:rsidRPr="00B301DA" w:rsidRDefault="00B301DA" w:rsidP="00382B9C">
      <w:pPr>
        <w:spacing w:after="120" w:line="240" w:lineRule="auto"/>
        <w:ind w:firstLine="357"/>
        <w:jc w:val="center"/>
        <w:rPr>
          <w:i/>
          <w:sz w:val="20"/>
        </w:rPr>
      </w:pPr>
      <w:r w:rsidRPr="00B301DA">
        <w:rPr>
          <w:i/>
          <w:sz w:val="20"/>
        </w:rPr>
        <w:t>Avots: OECD</w:t>
      </w:r>
      <w:r>
        <w:rPr>
          <w:i/>
          <w:sz w:val="20"/>
        </w:rPr>
        <w:t xml:space="preserve"> </w:t>
      </w:r>
    </w:p>
    <w:p w14:paraId="1338950E" w14:textId="77777777" w:rsidR="000201AF" w:rsidRDefault="000201AF" w:rsidP="000201AF">
      <w:pPr>
        <w:spacing w:before="60" w:after="60" w:line="240" w:lineRule="auto"/>
        <w:jc w:val="both"/>
      </w:pPr>
      <w:r>
        <w:lastRenderedPageBreak/>
        <w:t>Sākotnējie dati liecina, ka 2018.gadā Latvijas OAP īpatsvars 0.1% apmērā bija viszemākais, s</w:t>
      </w:r>
      <w:r w:rsidRPr="008F4850">
        <w:t>alīdzin</w:t>
      </w:r>
      <w:r>
        <w:t>ājumā</w:t>
      </w:r>
      <w:r w:rsidRPr="008F4850">
        <w:t xml:space="preserve"> ar </w:t>
      </w:r>
      <w:r>
        <w:t xml:space="preserve">pārējām Ziemeļu un Baltijas valstīm - Lietuvā 0.11%, Igaunijā 0.16%, Islandē 0.31%, Somijā 0.36%, Dānijā 0.72%, Norvēģijā 0.94%, Zviedrijā 1.04%. </w:t>
      </w:r>
      <w:r w:rsidRPr="00B81049">
        <w:rPr>
          <w:u w:val="single"/>
        </w:rPr>
        <w:t>Arī Eiropas Savienības valstu griezumā Latvijas OAP īpatsvars pēc daļas no NKI 2018.gadā bija viszemākais</w:t>
      </w:r>
      <w:r>
        <w:rPr>
          <w:u w:val="single"/>
        </w:rPr>
        <w:t xml:space="preserve"> (4</w:t>
      </w:r>
      <w:r w:rsidRPr="00B81049">
        <w:rPr>
          <w:u w:val="single"/>
        </w:rPr>
        <w:t>.tabula).</w:t>
      </w:r>
      <w:r w:rsidRPr="00E04FCF">
        <w:t xml:space="preserve">  </w:t>
      </w:r>
    </w:p>
    <w:p w14:paraId="7CBAE6E4" w14:textId="77777777" w:rsidR="008009EB" w:rsidRPr="00B81049" w:rsidRDefault="00B81049" w:rsidP="00B81049">
      <w:pPr>
        <w:spacing w:after="0" w:line="240" w:lineRule="auto"/>
        <w:jc w:val="both"/>
        <w:rPr>
          <w:b/>
          <w:u w:val="single"/>
        </w:rPr>
      </w:pPr>
      <w:r>
        <w:t>Pasaules Bankas piedāvātās prioritārās jomas IDA19 resursu papildināšanā</w:t>
      </w:r>
      <w:r w:rsidR="00C40A26">
        <w:t xml:space="preserve"> atbilst</w:t>
      </w:r>
      <w:r>
        <w:t xml:space="preserve"> Latvijas </w:t>
      </w:r>
      <w:r w:rsidRPr="00F60322">
        <w:t>Attīstības sadarbības politikas</w:t>
      </w:r>
      <w:r>
        <w:t xml:space="preserve"> pamatnostādnēs 2016.-2020.</w:t>
      </w:r>
      <w:r w:rsidRPr="00F60322">
        <w:t>gadam</w:t>
      </w:r>
      <w:r w:rsidR="00C40A26">
        <w:t xml:space="preserve"> </w:t>
      </w:r>
      <w:r w:rsidR="00C40A26" w:rsidRPr="00C40A26">
        <w:t>noteiktajiem horizontālajiem principiem – cilvēktiesības, demokrātija, laba pārvaldība, dzimumu līdztiesība, vides ilgtspēja un klimata pārmaiņas</w:t>
      </w:r>
      <w:r w:rsidR="00C40A26">
        <w:t>,</w:t>
      </w:r>
      <w:r w:rsidR="00C40A26" w:rsidRPr="00C40A26">
        <w:t xml:space="preserve"> </w:t>
      </w:r>
      <w:r w:rsidR="00C40A26">
        <w:t>un</w:t>
      </w:r>
      <w:r>
        <w:t xml:space="preserve"> </w:t>
      </w:r>
      <w:r w:rsidR="00C40A26">
        <w:t xml:space="preserve">ir saskaņā ar pamatnostādnēs </w:t>
      </w:r>
      <w:r>
        <w:t xml:space="preserve">izvirzītajām prioritātēm - </w:t>
      </w:r>
      <w:r w:rsidRPr="00F76F55">
        <w:t>publiskās pārvaldes attīstība un spēju stiprināšana, uzņēmējdarbības attīstība un eksportspējas stiprināšana, konfliktu novēršana un risināšana, miers un drošība, demokrātiskas līdzdalības veicināšana un pilsoniskās sabiedrības attīstība un izglītība.</w:t>
      </w:r>
      <w:r>
        <w:t xml:space="preserve"> </w:t>
      </w:r>
      <w:r w:rsidR="008009EB" w:rsidRPr="00814210">
        <w:rPr>
          <w:b/>
          <w:u w:val="single"/>
        </w:rPr>
        <w:t xml:space="preserve">Ņemot vērā, ka Latvijas </w:t>
      </w:r>
      <w:r w:rsidRPr="00814210">
        <w:rPr>
          <w:b/>
          <w:u w:val="single"/>
        </w:rPr>
        <w:t xml:space="preserve">noteiktās attīstības sadarbības politikas </w:t>
      </w:r>
      <w:r w:rsidR="00C40A26" w:rsidRPr="00814210">
        <w:rPr>
          <w:b/>
          <w:u w:val="single"/>
        </w:rPr>
        <w:t xml:space="preserve">principi un </w:t>
      </w:r>
      <w:r w:rsidRPr="00814210">
        <w:rPr>
          <w:b/>
          <w:u w:val="single"/>
        </w:rPr>
        <w:t xml:space="preserve">prioritātes </w:t>
      </w:r>
      <w:r w:rsidR="00C40A26" w:rsidRPr="00814210">
        <w:rPr>
          <w:b/>
          <w:u w:val="single"/>
        </w:rPr>
        <w:t xml:space="preserve">ir saskaņā </w:t>
      </w:r>
      <w:r w:rsidRPr="00814210">
        <w:rPr>
          <w:b/>
          <w:u w:val="single"/>
        </w:rPr>
        <w:t xml:space="preserve">ar IDA19 un to, ka </w:t>
      </w:r>
      <w:r w:rsidR="008009EB" w:rsidRPr="00814210">
        <w:rPr>
          <w:b/>
          <w:u w:val="single"/>
        </w:rPr>
        <w:t xml:space="preserve">ieguldījums OAP finansēšanā </w:t>
      </w:r>
      <w:r w:rsidRPr="00814210">
        <w:rPr>
          <w:b/>
          <w:u w:val="single"/>
        </w:rPr>
        <w:t xml:space="preserve">ir zemākais starp </w:t>
      </w:r>
      <w:r w:rsidR="008009EB" w:rsidRPr="00814210">
        <w:rPr>
          <w:b/>
          <w:u w:val="single"/>
        </w:rPr>
        <w:t>Eiropas Savienības valstīm,</w:t>
      </w:r>
      <w:r w:rsidR="008009EB" w:rsidRPr="00D30C1C">
        <w:rPr>
          <w:b/>
        </w:rPr>
        <w:t xml:space="preserve"> </w:t>
      </w:r>
      <w:r w:rsidRPr="00B81049">
        <w:rPr>
          <w:b/>
          <w:u w:val="single"/>
        </w:rPr>
        <w:t xml:space="preserve">ir nepieciešams </w:t>
      </w:r>
      <w:r w:rsidR="008009EB" w:rsidRPr="00B81049">
        <w:rPr>
          <w:b/>
          <w:u w:val="single"/>
        </w:rPr>
        <w:t xml:space="preserve">paaugstināt Latvijas iemaksu apmēru IDA19, tādējādi daļēji </w:t>
      </w:r>
      <w:r w:rsidR="00C40A26">
        <w:rPr>
          <w:b/>
          <w:u w:val="single"/>
        </w:rPr>
        <w:t>tuvojoties nacionālo un starptautiski uzņemto OAP mērķu izpildei</w:t>
      </w:r>
      <w:r w:rsidR="008009EB" w:rsidRPr="00B81049">
        <w:rPr>
          <w:b/>
          <w:u w:val="single"/>
        </w:rPr>
        <w:t>.</w:t>
      </w:r>
      <w:r w:rsidR="00B60BD9" w:rsidRPr="00B81049">
        <w:rPr>
          <w:b/>
          <w:u w:val="single"/>
        </w:rPr>
        <w:t xml:space="preserve"> Paaugstinot Latvijas iemaksu apmēru IDA19, Latvija iegūs arī papildus </w:t>
      </w:r>
      <w:r w:rsidR="00457C07" w:rsidRPr="00B81049">
        <w:rPr>
          <w:b/>
          <w:u w:val="single"/>
        </w:rPr>
        <w:t xml:space="preserve">IDA </w:t>
      </w:r>
      <w:r w:rsidR="00B60BD9" w:rsidRPr="00B81049">
        <w:rPr>
          <w:b/>
          <w:u w:val="single"/>
        </w:rPr>
        <w:t>bals</w:t>
      </w:r>
      <w:r w:rsidR="00605541" w:rsidRPr="00B81049">
        <w:rPr>
          <w:b/>
          <w:u w:val="single"/>
        </w:rPr>
        <w:t>is</w:t>
      </w:r>
      <w:r w:rsidR="00B60BD9" w:rsidRPr="00B81049">
        <w:rPr>
          <w:b/>
          <w:u w:val="single"/>
        </w:rPr>
        <w:t xml:space="preserve">, kas </w:t>
      </w:r>
      <w:r w:rsidR="00F513FE" w:rsidRPr="00B81049">
        <w:rPr>
          <w:b/>
          <w:u w:val="single"/>
        </w:rPr>
        <w:t>valstīm</w:t>
      </w:r>
      <w:r w:rsidR="00605541" w:rsidRPr="00B81049">
        <w:rPr>
          <w:b/>
          <w:u w:val="single"/>
        </w:rPr>
        <w:t xml:space="preserve"> kā akcionāriem</w:t>
      </w:r>
      <w:r w:rsidR="00F513FE" w:rsidRPr="00B81049">
        <w:rPr>
          <w:b/>
          <w:u w:val="single"/>
        </w:rPr>
        <w:t xml:space="preserve"> </w:t>
      </w:r>
      <w:r w:rsidR="00B60BD9" w:rsidRPr="00B81049">
        <w:rPr>
          <w:b/>
          <w:u w:val="single"/>
        </w:rPr>
        <w:t xml:space="preserve">tiek piešķirtas atkarībā no iemaksu apjoma. Ziemeļu un Baltijas valstu grupa Pasaules Bankā ir septītais lielākais akcionārs un </w:t>
      </w:r>
      <w:r w:rsidR="00BC5DD0" w:rsidRPr="00B81049">
        <w:rPr>
          <w:b/>
          <w:u w:val="single"/>
        </w:rPr>
        <w:t xml:space="preserve">piektā </w:t>
      </w:r>
      <w:r w:rsidR="00B60BD9" w:rsidRPr="00B81049">
        <w:rPr>
          <w:b/>
          <w:u w:val="single"/>
        </w:rPr>
        <w:t>ietekmīgākā valstu grupa</w:t>
      </w:r>
      <w:r w:rsidR="00BC5DD0" w:rsidRPr="00B81049">
        <w:rPr>
          <w:b/>
          <w:u w:val="single"/>
        </w:rPr>
        <w:t xml:space="preserve"> </w:t>
      </w:r>
      <w:r w:rsidR="0004461C" w:rsidRPr="00B81049">
        <w:rPr>
          <w:b/>
          <w:u w:val="single"/>
        </w:rPr>
        <w:t xml:space="preserve">pēc iemaksu apjoma un </w:t>
      </w:r>
      <w:r w:rsidR="00BC5DD0" w:rsidRPr="00B81049">
        <w:rPr>
          <w:b/>
          <w:u w:val="single"/>
        </w:rPr>
        <w:t>balsstiesībām IDA</w:t>
      </w:r>
      <w:r w:rsidR="00B60BD9" w:rsidRPr="00B81049">
        <w:rPr>
          <w:b/>
          <w:u w:val="single"/>
        </w:rPr>
        <w:t>.</w:t>
      </w:r>
      <w:r w:rsidR="00BC5DD0" w:rsidRPr="00B81049">
        <w:rPr>
          <w:rStyle w:val="FootnoteReference"/>
          <w:b/>
          <w:u w:val="single"/>
        </w:rPr>
        <w:footnoteReference w:id="26"/>
      </w:r>
      <w:r w:rsidR="00B60BD9" w:rsidRPr="00B81049">
        <w:rPr>
          <w:b/>
          <w:u w:val="single"/>
        </w:rPr>
        <w:t xml:space="preserve"> Tādējādi, palielinot bals</w:t>
      </w:r>
      <w:r w:rsidR="00605541" w:rsidRPr="00B81049">
        <w:rPr>
          <w:b/>
          <w:u w:val="single"/>
        </w:rPr>
        <w:t>u</w:t>
      </w:r>
      <w:r w:rsidR="00B60BD9" w:rsidRPr="00B81049">
        <w:rPr>
          <w:b/>
          <w:u w:val="single"/>
        </w:rPr>
        <w:t xml:space="preserve"> apjomu IDA, </w:t>
      </w:r>
      <w:r w:rsidR="00F513FE" w:rsidRPr="00B81049">
        <w:rPr>
          <w:b/>
          <w:u w:val="single"/>
        </w:rPr>
        <w:t xml:space="preserve">Latvija </w:t>
      </w:r>
      <w:r w:rsidRPr="00B81049">
        <w:rPr>
          <w:b/>
          <w:u w:val="single"/>
        </w:rPr>
        <w:t xml:space="preserve">palielinās ietekmi attīstības sadarbības jomā un </w:t>
      </w:r>
      <w:r w:rsidR="00F513FE" w:rsidRPr="00B81049">
        <w:rPr>
          <w:b/>
          <w:u w:val="single"/>
        </w:rPr>
        <w:t>sniegs ieguldījumu</w:t>
      </w:r>
      <w:r w:rsidR="00B60BD9" w:rsidRPr="00B81049">
        <w:rPr>
          <w:b/>
          <w:u w:val="single"/>
        </w:rPr>
        <w:t xml:space="preserve"> Ziemeļu un Baltijas valstu grupas </w:t>
      </w:r>
      <w:r w:rsidR="00F513FE" w:rsidRPr="00B81049">
        <w:rPr>
          <w:b/>
          <w:u w:val="single"/>
        </w:rPr>
        <w:t>ietekmes stiprināšanā</w:t>
      </w:r>
      <w:r w:rsidR="00B60BD9" w:rsidRPr="00B81049">
        <w:rPr>
          <w:b/>
          <w:u w:val="single"/>
        </w:rPr>
        <w:t xml:space="preserve"> </w:t>
      </w:r>
      <w:r w:rsidR="00382B9C" w:rsidRPr="00B81049">
        <w:rPr>
          <w:b/>
          <w:u w:val="single"/>
        </w:rPr>
        <w:t>Pasaules Bank</w:t>
      </w:r>
      <w:r w:rsidR="00F513FE" w:rsidRPr="00B81049">
        <w:rPr>
          <w:b/>
          <w:u w:val="single"/>
        </w:rPr>
        <w:t>as politikas veidošanā un lēmumu pieņemšanā</w:t>
      </w:r>
      <w:r w:rsidR="00B60BD9" w:rsidRPr="00B81049">
        <w:rPr>
          <w:b/>
          <w:u w:val="single"/>
        </w:rPr>
        <w:t>.</w:t>
      </w:r>
    </w:p>
    <w:p w14:paraId="2938AA7F" w14:textId="77777777" w:rsidR="002C7FD3" w:rsidRDefault="007A621C" w:rsidP="00AA783C">
      <w:pPr>
        <w:spacing w:after="60" w:line="240" w:lineRule="auto"/>
        <w:jc w:val="both"/>
      </w:pPr>
      <w:r>
        <w:t xml:space="preserve">Lai nodrošinātu Latvijas ieguldījumu starptautiskajā attīstības </w:t>
      </w:r>
      <w:r w:rsidR="006A61D9">
        <w:t>sadarbībā</w:t>
      </w:r>
      <w:r>
        <w:t xml:space="preserve"> atbilstoši </w:t>
      </w:r>
      <w:r w:rsidR="00B85C48">
        <w:t xml:space="preserve">starptautiski </w:t>
      </w:r>
      <w:r>
        <w:t>uzņemtajām saistībām</w:t>
      </w:r>
      <w:r w:rsidR="00B85C48">
        <w:t xml:space="preserve"> un lai </w:t>
      </w:r>
      <w:r>
        <w:t>stiprinātu Latvijas kā Ziemeļu un Baltijas valstu grupas dalībnieces iesaisti un ietekmi Pasaules Bankas politikas veidošanā, tika izvērtēti trīs fin</w:t>
      </w:r>
      <w:r w:rsidR="00C5001E">
        <w:t>ansēšanas scenāriji</w:t>
      </w:r>
      <w:r>
        <w:t xml:space="preserve"> dalībai IDA19 resursu papildināšanā</w:t>
      </w:r>
      <w:r w:rsidR="00B76D8C" w:rsidRPr="002C7FD3">
        <w:t>.</w:t>
      </w:r>
      <w:r w:rsidR="000972EC" w:rsidRPr="002C7FD3">
        <w:t xml:space="preserve"> </w:t>
      </w:r>
      <w:r w:rsidR="00BB0BE6">
        <w:t xml:space="preserve">Lai </w:t>
      </w:r>
      <w:r w:rsidR="009F21B7">
        <w:t xml:space="preserve">gan </w:t>
      </w:r>
      <w:r w:rsidR="00BB0BE6">
        <w:t>ekonomiski izdevīgāk</w:t>
      </w:r>
      <w:r w:rsidR="000972EC" w:rsidRPr="003D18BB">
        <w:t xml:space="preserve"> ir</w:t>
      </w:r>
      <w:r w:rsidR="00F41F19">
        <w:t xml:space="preserve"> </w:t>
      </w:r>
      <w:r w:rsidR="00BB0BE6">
        <w:t>veikt</w:t>
      </w:r>
      <w:r w:rsidR="000972EC" w:rsidRPr="003D18BB">
        <w:t xml:space="preserve"> </w:t>
      </w:r>
      <w:r w:rsidR="002C7FD3">
        <w:t>vienādas</w:t>
      </w:r>
      <w:r w:rsidR="004203B1" w:rsidRPr="003D18BB">
        <w:t xml:space="preserve"> </w:t>
      </w:r>
      <w:r w:rsidR="000972EC" w:rsidRPr="003D18BB">
        <w:t>iemaksas trīs gadu periodā 2021.-2023.gadā</w:t>
      </w:r>
      <w:r w:rsidR="00BB0BE6">
        <w:t xml:space="preserve">, </w:t>
      </w:r>
      <w:r w:rsidR="002C7FD3">
        <w:t>saņemot</w:t>
      </w:r>
      <w:r w:rsidR="004203B1" w:rsidRPr="003D18BB">
        <w:t xml:space="preserve"> </w:t>
      </w:r>
      <w:r w:rsidR="002C7FD3">
        <w:t>pieskaitījumu</w:t>
      </w:r>
      <w:r w:rsidR="004203B1" w:rsidRPr="003D18BB">
        <w:t xml:space="preserve"> 4.20% </w:t>
      </w:r>
      <w:r w:rsidR="002C7FD3">
        <w:t>apmērā</w:t>
      </w:r>
      <w:r w:rsidR="00BB0BE6">
        <w:t>,</w:t>
      </w:r>
      <w:r w:rsidR="00F634C3" w:rsidRPr="003D18BB">
        <w:t xml:space="preserve"> </w:t>
      </w:r>
      <w:r w:rsidR="002C7FD3">
        <w:t>tomēr</w:t>
      </w:r>
      <w:r w:rsidR="004203B1" w:rsidRPr="003D18BB">
        <w:t xml:space="preserve"> </w:t>
      </w:r>
      <w:r w:rsidR="00321ADD" w:rsidRPr="004053C6">
        <w:rPr>
          <w:u w:val="single"/>
        </w:rPr>
        <w:t>sagatavojot</w:t>
      </w:r>
      <w:r w:rsidR="00F634C3" w:rsidRPr="004053C6">
        <w:rPr>
          <w:u w:val="single"/>
        </w:rPr>
        <w:t xml:space="preserve"> likumprojektu “Par valsts budžetu 2020.gadam” un likumprojektu “Par vidēja termiņa budžeta ietvaru 2020., 2021. un 2022.gadam”, Ministru kabinets atbilstoši nacionālā un ES līmeņa fiskālo nosacījumu prasībām ir izlietojis pieejamos līdzekļus jaunu prioritāšu finansēšanai jeb “fiskālo telpu” 2020. un 2021.gadā, savukārt, </w:t>
      </w:r>
      <w:r w:rsidR="002C7FD3" w:rsidRPr="004053C6">
        <w:rPr>
          <w:u w:val="single"/>
        </w:rPr>
        <w:t>sākot</w:t>
      </w:r>
      <w:r w:rsidR="00F634C3" w:rsidRPr="004053C6">
        <w:rPr>
          <w:u w:val="single"/>
        </w:rPr>
        <w:t xml:space="preserve"> ar 2022.gadu </w:t>
      </w:r>
      <w:r w:rsidR="002C7FD3" w:rsidRPr="004053C6">
        <w:rPr>
          <w:u w:val="single"/>
        </w:rPr>
        <w:t>fiskālā</w:t>
      </w:r>
      <w:r w:rsidR="00F634C3" w:rsidRPr="004053C6">
        <w:rPr>
          <w:u w:val="single"/>
        </w:rPr>
        <w:t xml:space="preserve"> telpa ir pieejama. </w:t>
      </w:r>
      <w:r w:rsidR="002C7FD3" w:rsidRPr="004053C6">
        <w:rPr>
          <w:u w:val="single"/>
        </w:rPr>
        <w:t>Tādējādi</w:t>
      </w:r>
      <w:r w:rsidR="00BB0BE6" w:rsidRPr="004053C6">
        <w:rPr>
          <w:u w:val="single"/>
        </w:rPr>
        <w:t xml:space="preserve"> turpmāk aprakstītie</w:t>
      </w:r>
      <w:r w:rsidR="00F634C3" w:rsidRPr="004053C6">
        <w:rPr>
          <w:u w:val="single"/>
        </w:rPr>
        <w:t xml:space="preserve"> </w:t>
      </w:r>
      <w:r w:rsidR="000972EC" w:rsidRPr="004053C6">
        <w:rPr>
          <w:u w:val="single"/>
        </w:rPr>
        <w:t>trīs finansēšanas scenārij</w:t>
      </w:r>
      <w:r w:rsidR="00F634C3" w:rsidRPr="004053C6">
        <w:rPr>
          <w:u w:val="single"/>
        </w:rPr>
        <w:t xml:space="preserve">i </w:t>
      </w:r>
      <w:r w:rsidR="002C7FD3" w:rsidRPr="004053C6">
        <w:rPr>
          <w:u w:val="single"/>
        </w:rPr>
        <w:t>balstīti</w:t>
      </w:r>
      <w:r w:rsidR="00F634C3" w:rsidRPr="004053C6">
        <w:rPr>
          <w:u w:val="single"/>
        </w:rPr>
        <w:t xml:space="preserve"> </w:t>
      </w:r>
      <w:r w:rsidR="000972EC" w:rsidRPr="004053C6">
        <w:rPr>
          <w:u w:val="single"/>
        </w:rPr>
        <w:t>uz iemaksām di</w:t>
      </w:r>
      <w:r w:rsidR="000201AF" w:rsidRPr="004053C6">
        <w:rPr>
          <w:u w:val="single"/>
        </w:rPr>
        <w:t>vos gados, sākot no 2022.gada (5</w:t>
      </w:r>
      <w:r w:rsidR="000972EC" w:rsidRPr="004053C6">
        <w:rPr>
          <w:u w:val="single"/>
        </w:rPr>
        <w:t>.tabula)</w:t>
      </w:r>
      <w:r w:rsidR="00B76D8C" w:rsidRPr="003D18BB">
        <w:t>:</w:t>
      </w:r>
    </w:p>
    <w:p w14:paraId="7DF192BD" w14:textId="77777777" w:rsidR="00B60BD9" w:rsidRPr="00C91507" w:rsidRDefault="00EF53BC" w:rsidP="00AA783C">
      <w:pPr>
        <w:spacing w:after="60" w:line="240" w:lineRule="auto"/>
        <w:jc w:val="both"/>
      </w:pPr>
      <w:r>
        <w:rPr>
          <w:u w:val="single"/>
        </w:rPr>
        <w:t>1.scenārijs.</w:t>
      </w:r>
      <w:r w:rsidRPr="007A621C">
        <w:t xml:space="preserve"> </w:t>
      </w:r>
      <w:proofErr w:type="spellStart"/>
      <w:r w:rsidR="00FE512C" w:rsidRPr="00622EFE">
        <w:rPr>
          <w:b/>
          <w:i/>
        </w:rPr>
        <w:t>Mid-High</w:t>
      </w:r>
      <w:proofErr w:type="spellEnd"/>
      <w:r w:rsidR="00FE512C" w:rsidRPr="00622EFE">
        <w:rPr>
          <w:b/>
        </w:rPr>
        <w:t xml:space="preserve"> </w:t>
      </w:r>
      <w:r w:rsidR="00EF06D1" w:rsidRPr="00622EFE">
        <w:rPr>
          <w:b/>
        </w:rPr>
        <w:t>finansēšanas iet</w:t>
      </w:r>
      <w:r w:rsidR="00E45D6C" w:rsidRPr="00622EFE">
        <w:rPr>
          <w:b/>
        </w:rPr>
        <w:t xml:space="preserve">vars </w:t>
      </w:r>
      <w:r w:rsidR="007A621C" w:rsidRPr="00622EFE">
        <w:rPr>
          <w:b/>
        </w:rPr>
        <w:t>paredz</w:t>
      </w:r>
      <w:r w:rsidR="001732FB" w:rsidRPr="00622EFE">
        <w:rPr>
          <w:b/>
        </w:rPr>
        <w:t xml:space="preserve"> </w:t>
      </w:r>
      <w:r w:rsidR="008E16B9" w:rsidRPr="00622EFE">
        <w:rPr>
          <w:b/>
        </w:rPr>
        <w:t>Latvijas iemaks</w:t>
      </w:r>
      <w:r w:rsidR="007A621C" w:rsidRPr="00622EFE">
        <w:rPr>
          <w:b/>
        </w:rPr>
        <w:t>u</w:t>
      </w:r>
      <w:r w:rsidR="008E16B9" w:rsidRPr="00622EFE">
        <w:rPr>
          <w:b/>
        </w:rPr>
        <w:t xml:space="preserve"> </w:t>
      </w:r>
      <w:r w:rsidR="00E45D6C" w:rsidRPr="00622EFE">
        <w:rPr>
          <w:b/>
        </w:rPr>
        <w:t xml:space="preserve">IDA19 </w:t>
      </w:r>
      <w:r w:rsidR="008E16B9" w:rsidRPr="00622EFE">
        <w:rPr>
          <w:b/>
        </w:rPr>
        <w:t>EUR 2.87 milj.</w:t>
      </w:r>
      <w:r w:rsidR="00B60BD9" w:rsidRPr="00622EFE">
        <w:rPr>
          <w:b/>
        </w:rPr>
        <w:t xml:space="preserve"> </w:t>
      </w:r>
      <w:r w:rsidR="007A621C" w:rsidRPr="00622EFE">
        <w:rPr>
          <w:b/>
        </w:rPr>
        <w:t>apmērā</w:t>
      </w:r>
      <w:r w:rsidR="007A621C" w:rsidRPr="00622EFE">
        <w:t xml:space="preserve">. </w:t>
      </w:r>
      <w:r w:rsidR="005D237B" w:rsidRPr="00622EFE">
        <w:t>I</w:t>
      </w:r>
      <w:r w:rsidRPr="00622EFE">
        <w:t xml:space="preserve">zvēloties </w:t>
      </w:r>
      <w:r w:rsidR="001C2D4E" w:rsidRPr="00622EFE">
        <w:t>saīsināto</w:t>
      </w:r>
      <w:r w:rsidR="002F3030" w:rsidRPr="00622EFE">
        <w:t xml:space="preserve"> </w:t>
      </w:r>
      <w:r w:rsidRPr="00622EFE">
        <w:t xml:space="preserve">iemaksu grafiku, </w:t>
      </w:r>
      <w:r w:rsidR="00510570" w:rsidRPr="00622EFE">
        <w:t>Latvija</w:t>
      </w:r>
      <w:r w:rsidR="008E16B9" w:rsidRPr="00622EFE">
        <w:t xml:space="preserve"> saņems </w:t>
      </w:r>
      <w:r w:rsidR="005D237B" w:rsidRPr="00622EFE">
        <w:t>pieskaitījumu</w:t>
      </w:r>
      <w:r w:rsidR="008E16B9" w:rsidRPr="00622EFE">
        <w:t xml:space="preserve"> </w:t>
      </w:r>
      <w:r w:rsidR="002273E0" w:rsidRPr="00622EFE">
        <w:t>3.53</w:t>
      </w:r>
      <w:r w:rsidR="008E16B9" w:rsidRPr="00622EFE">
        <w:t>% apmērā</w:t>
      </w:r>
      <w:r w:rsidR="00EF06D1" w:rsidRPr="00622EFE">
        <w:t xml:space="preserve"> jeb EUR </w:t>
      </w:r>
      <w:r w:rsidRPr="00622EFE">
        <w:t>0.1</w:t>
      </w:r>
      <w:r w:rsidR="00807DD7" w:rsidRPr="00622EFE">
        <w:t>0</w:t>
      </w:r>
      <w:r w:rsidR="00AA5D51" w:rsidRPr="00622EFE">
        <w:t>1</w:t>
      </w:r>
      <w:r w:rsidR="007A621C" w:rsidRPr="00622EFE">
        <w:t xml:space="preserve"> milj.</w:t>
      </w:r>
      <w:r w:rsidR="008E16B9" w:rsidRPr="00622EFE">
        <w:t xml:space="preserve">, </w:t>
      </w:r>
      <w:r w:rsidR="001732FB" w:rsidRPr="00622EFE">
        <w:t>kas tiks</w:t>
      </w:r>
      <w:r w:rsidR="008E16B9" w:rsidRPr="00622EFE">
        <w:t xml:space="preserve"> novirz</w:t>
      </w:r>
      <w:r w:rsidR="001732FB" w:rsidRPr="00622EFE">
        <w:t>īts</w:t>
      </w:r>
      <w:r w:rsidR="008E16B9" w:rsidRPr="00622EFE">
        <w:t xml:space="preserve"> </w:t>
      </w:r>
      <w:r w:rsidR="001732FB" w:rsidRPr="00622EFE">
        <w:t>kā papildus finansējums</w:t>
      </w:r>
      <w:r w:rsidR="008E16B9" w:rsidRPr="00622EFE">
        <w:t xml:space="preserve"> </w:t>
      </w:r>
      <w:r w:rsidRPr="00622EFE">
        <w:t xml:space="preserve">Latvijas </w:t>
      </w:r>
      <w:r w:rsidR="008E16B9" w:rsidRPr="00622EFE">
        <w:t>regulāraj</w:t>
      </w:r>
      <w:r w:rsidR="001732FB" w:rsidRPr="00622EFE">
        <w:t>ai</w:t>
      </w:r>
      <w:r w:rsidR="008E16B9" w:rsidRPr="00622EFE">
        <w:t xml:space="preserve"> iemaks</w:t>
      </w:r>
      <w:r w:rsidR="001732FB" w:rsidRPr="00622EFE">
        <w:t>ai IDA19</w:t>
      </w:r>
      <w:r w:rsidR="00572F40" w:rsidRPr="00622EFE">
        <w:t>, k</w:t>
      </w:r>
      <w:r w:rsidR="004053C6" w:rsidRPr="00622EFE">
        <w:t>ā</w:t>
      </w:r>
      <w:r w:rsidR="00572F40" w:rsidRPr="00622EFE">
        <w:t xml:space="preserve"> </w:t>
      </w:r>
      <w:r w:rsidR="004053C6" w:rsidRPr="00622EFE">
        <w:t>rezultātā</w:t>
      </w:r>
      <w:r w:rsidR="00572F40" w:rsidRPr="00622EFE">
        <w:t xml:space="preserve"> Latvija </w:t>
      </w:r>
      <w:r w:rsidR="004053C6" w:rsidRPr="00622EFE">
        <w:t>palielinās dalību</w:t>
      </w:r>
      <w:r w:rsidR="00572F40" w:rsidRPr="00622EFE">
        <w:t xml:space="preserve"> IDA19 par </w:t>
      </w:r>
      <w:r w:rsidR="00C55740" w:rsidRPr="00E838B8">
        <w:t>3.53%</w:t>
      </w:r>
      <w:r w:rsidR="00CC71E8" w:rsidRPr="00E838B8">
        <w:t xml:space="preserve">, salīdzinot ar </w:t>
      </w:r>
      <w:proofErr w:type="spellStart"/>
      <w:r w:rsidR="00CC71E8" w:rsidRPr="00E838B8">
        <w:rPr>
          <w:i/>
        </w:rPr>
        <w:t>Mid-High</w:t>
      </w:r>
      <w:proofErr w:type="spellEnd"/>
      <w:r w:rsidR="00CC71E8" w:rsidRPr="00622EFE">
        <w:rPr>
          <w:b/>
        </w:rPr>
        <w:t xml:space="preserve"> </w:t>
      </w:r>
      <w:r w:rsidR="00CC71E8" w:rsidRPr="00E838B8">
        <w:t>standarta iemaksu grafiku,</w:t>
      </w:r>
      <w:r w:rsidR="001E52A5" w:rsidRPr="00622EFE">
        <w:t xml:space="preserve"> vai arī diskontu iemaksai 3.41% jeb EUR 0.10</w:t>
      </w:r>
      <w:r w:rsidR="00AA5D51" w:rsidRPr="00622EFE">
        <w:t>1</w:t>
      </w:r>
      <w:r w:rsidR="001E52A5" w:rsidRPr="00622EFE">
        <w:t xml:space="preserve"> milj. apmērā</w:t>
      </w:r>
      <w:r w:rsidR="001732FB" w:rsidRPr="00322D68">
        <w:t>.</w:t>
      </w:r>
      <w:r w:rsidR="00C8236E" w:rsidRPr="00322D68">
        <w:t xml:space="preserve"> </w:t>
      </w:r>
      <w:r w:rsidR="00E45D6C" w:rsidRPr="00322D68">
        <w:t>Saskaņā ar šo scenāriju Latvija saņems papild</w:t>
      </w:r>
      <w:r w:rsidR="006E20CA" w:rsidRPr="00322D68">
        <w:t xml:space="preserve">us 151 </w:t>
      </w:r>
      <w:r w:rsidR="00510570" w:rsidRPr="00322D68">
        <w:t xml:space="preserve">IDA </w:t>
      </w:r>
      <w:r w:rsidR="00C5001E">
        <w:t>parakstīto balsi</w:t>
      </w:r>
      <w:r w:rsidR="00510570" w:rsidRPr="00322D68">
        <w:t>, kas ir pieaugums par 9.42%, salīdzinot ar IDA18</w:t>
      </w:r>
      <w:r w:rsidR="00E45D6C" w:rsidRPr="00322D68">
        <w:t>.</w:t>
      </w:r>
      <w:r w:rsidR="001732FB" w:rsidRPr="00322D68">
        <w:t xml:space="preserve"> </w:t>
      </w:r>
      <w:r w:rsidR="00D40435" w:rsidRPr="00C91507">
        <w:t xml:space="preserve">Papildus tam, veicot iemaksas atbilstoši </w:t>
      </w:r>
      <w:r w:rsidR="00C726E0">
        <w:t>1</w:t>
      </w:r>
      <w:r w:rsidR="00D40435" w:rsidRPr="00C91507">
        <w:t>.scenārijam, Latv</w:t>
      </w:r>
      <w:r w:rsidR="00B81049">
        <w:t>i</w:t>
      </w:r>
      <w:r w:rsidR="005C3B93">
        <w:t>jas OAP palielināsies par aptuveni 0.004</w:t>
      </w:r>
      <w:r w:rsidR="00D40435" w:rsidRPr="00C91507">
        <w:t xml:space="preserve">% </w:t>
      </w:r>
      <w:r w:rsidR="00C40A26">
        <w:t>no</w:t>
      </w:r>
      <w:r w:rsidR="00D40435" w:rsidRPr="00C91507">
        <w:t xml:space="preserve"> NKI</w:t>
      </w:r>
      <w:r w:rsidR="0027478A">
        <w:t xml:space="preserve"> gadā.</w:t>
      </w:r>
    </w:p>
    <w:p w14:paraId="37975D3D" w14:textId="77777777" w:rsidR="00EF53BC" w:rsidRPr="00C91507" w:rsidRDefault="00EF53BC" w:rsidP="00AA783C">
      <w:pPr>
        <w:spacing w:after="60" w:line="240" w:lineRule="auto"/>
        <w:jc w:val="both"/>
      </w:pPr>
      <w:r w:rsidRPr="00C91507">
        <w:rPr>
          <w:u w:val="single"/>
        </w:rPr>
        <w:t>2.scenārijs.</w:t>
      </w:r>
      <w:r w:rsidRPr="00C91507">
        <w:t xml:space="preserve"> </w:t>
      </w:r>
      <w:r w:rsidRPr="00C91507">
        <w:rPr>
          <w:b/>
        </w:rPr>
        <w:t>P</w:t>
      </w:r>
      <w:r w:rsidR="00E45D6C" w:rsidRPr="00C91507">
        <w:rPr>
          <w:b/>
        </w:rPr>
        <w:t>alielin</w:t>
      </w:r>
      <w:r w:rsidR="00510570" w:rsidRPr="00C91507">
        <w:rPr>
          <w:b/>
        </w:rPr>
        <w:t>ot</w:t>
      </w:r>
      <w:r w:rsidR="00E45D6C" w:rsidRPr="00C91507">
        <w:rPr>
          <w:b/>
        </w:rPr>
        <w:t xml:space="preserve"> Latvijas </w:t>
      </w:r>
      <w:r w:rsidR="00322D68" w:rsidRPr="00C91507">
        <w:rPr>
          <w:b/>
        </w:rPr>
        <w:t>dalību</w:t>
      </w:r>
      <w:r w:rsidR="00EF06D1" w:rsidRPr="00C91507">
        <w:rPr>
          <w:b/>
        </w:rPr>
        <w:t xml:space="preserve"> IDA19 par 30% no </w:t>
      </w:r>
      <w:proofErr w:type="spellStart"/>
      <w:r w:rsidR="00FE512C" w:rsidRPr="00622EFE">
        <w:rPr>
          <w:b/>
          <w:i/>
        </w:rPr>
        <w:t>Mid-High</w:t>
      </w:r>
      <w:proofErr w:type="spellEnd"/>
      <w:r w:rsidR="00FE512C" w:rsidRPr="00622EFE">
        <w:rPr>
          <w:b/>
        </w:rPr>
        <w:t xml:space="preserve"> </w:t>
      </w:r>
      <w:r w:rsidR="00EF06D1" w:rsidRPr="00622EFE">
        <w:rPr>
          <w:b/>
        </w:rPr>
        <w:t xml:space="preserve">finansēšanas </w:t>
      </w:r>
      <w:r w:rsidR="00510570" w:rsidRPr="00622EFE">
        <w:rPr>
          <w:b/>
        </w:rPr>
        <w:t>ietvara</w:t>
      </w:r>
      <w:r w:rsidR="00322D68" w:rsidRPr="00622EFE">
        <w:rPr>
          <w:b/>
        </w:rPr>
        <w:t xml:space="preserve">, Latvijas iemaksas </w:t>
      </w:r>
      <w:r w:rsidR="00C40A26">
        <w:rPr>
          <w:b/>
        </w:rPr>
        <w:t>veidos</w:t>
      </w:r>
      <w:r w:rsidR="00322D68" w:rsidRPr="00622EFE">
        <w:rPr>
          <w:b/>
        </w:rPr>
        <w:t xml:space="preserve"> EUR 3.</w:t>
      </w:r>
      <w:r w:rsidR="00BD3B50" w:rsidRPr="00622EFE">
        <w:rPr>
          <w:b/>
        </w:rPr>
        <w:t>7</w:t>
      </w:r>
      <w:r w:rsidR="00F41F19" w:rsidRPr="00622EFE">
        <w:rPr>
          <w:b/>
        </w:rPr>
        <w:t>3</w:t>
      </w:r>
      <w:r w:rsidR="00322D68" w:rsidRPr="00622EFE">
        <w:rPr>
          <w:b/>
        </w:rPr>
        <w:t xml:space="preserve"> milj</w:t>
      </w:r>
      <w:r w:rsidR="00322D68" w:rsidRPr="00622EFE">
        <w:t xml:space="preserve">. </w:t>
      </w:r>
      <w:r w:rsidR="005D237B" w:rsidRPr="00622EFE">
        <w:t xml:space="preserve">Izvēloties </w:t>
      </w:r>
      <w:r w:rsidR="001C2D4E" w:rsidRPr="00622EFE">
        <w:t xml:space="preserve">saīsināto </w:t>
      </w:r>
      <w:r w:rsidR="005D237B" w:rsidRPr="00622EFE">
        <w:t xml:space="preserve">iemaksu grafiku, </w:t>
      </w:r>
      <w:r w:rsidR="006D4388" w:rsidRPr="00622EFE">
        <w:t xml:space="preserve">Latvija saņems </w:t>
      </w:r>
      <w:r w:rsidR="005D237B" w:rsidRPr="00622EFE">
        <w:t>pieskaitījumu</w:t>
      </w:r>
      <w:r w:rsidR="006D4388" w:rsidRPr="00622EFE">
        <w:t xml:space="preserve"> </w:t>
      </w:r>
      <w:r w:rsidR="00180B74" w:rsidRPr="00622EFE">
        <w:t>3.53</w:t>
      </w:r>
      <w:r w:rsidR="00E45D6C" w:rsidRPr="00622EFE">
        <w:t xml:space="preserve">% </w:t>
      </w:r>
      <w:r w:rsidR="006D4388" w:rsidRPr="00622EFE">
        <w:t xml:space="preserve">jeb </w:t>
      </w:r>
      <w:r w:rsidR="006E20CA" w:rsidRPr="00622EFE">
        <w:t xml:space="preserve">EUR </w:t>
      </w:r>
      <w:r w:rsidR="006D4388" w:rsidRPr="00622EFE">
        <w:t>0.</w:t>
      </w:r>
      <w:r w:rsidR="006E20CA" w:rsidRPr="00622EFE">
        <w:t>1</w:t>
      </w:r>
      <w:r w:rsidR="00CF5F40" w:rsidRPr="00622EFE">
        <w:t>3</w:t>
      </w:r>
      <w:r w:rsidR="00AA5D51" w:rsidRPr="00622EFE">
        <w:t>1</w:t>
      </w:r>
      <w:r w:rsidR="00322D68" w:rsidRPr="00622EFE">
        <w:t xml:space="preserve"> milj.</w:t>
      </w:r>
      <w:r w:rsidR="006D4388" w:rsidRPr="00622EFE">
        <w:t xml:space="preserve"> apmērā, kas tiks </w:t>
      </w:r>
      <w:r w:rsidR="006D4388" w:rsidRPr="00622EFE">
        <w:lastRenderedPageBreak/>
        <w:t>novirzīts kā papildus finansējums Latvijas regulārajai iemaksai IDA19</w:t>
      </w:r>
      <w:r w:rsidR="00572F40" w:rsidRPr="00622EFE">
        <w:t xml:space="preserve">, </w:t>
      </w:r>
      <w:r w:rsidR="00622EFE" w:rsidRPr="00622EFE">
        <w:t>kā rezultātā Latvija palielinās dalību IDA19</w:t>
      </w:r>
      <w:r w:rsidR="00572F40" w:rsidRPr="00622EFE">
        <w:t xml:space="preserve"> par </w:t>
      </w:r>
      <w:r w:rsidR="00572F40" w:rsidRPr="00E838B8">
        <w:t>34.5%</w:t>
      </w:r>
      <w:r w:rsidR="00CC71E8" w:rsidRPr="00E838B8">
        <w:t xml:space="preserve">, salīdzinot ar </w:t>
      </w:r>
      <w:proofErr w:type="spellStart"/>
      <w:r w:rsidR="00CC71E8" w:rsidRPr="00E838B8">
        <w:rPr>
          <w:i/>
        </w:rPr>
        <w:t>Mid-High</w:t>
      </w:r>
      <w:proofErr w:type="spellEnd"/>
      <w:r w:rsidR="00CC71E8" w:rsidRPr="00622EFE">
        <w:rPr>
          <w:b/>
        </w:rPr>
        <w:t xml:space="preserve"> </w:t>
      </w:r>
      <w:r w:rsidR="00CC71E8" w:rsidRPr="00E838B8">
        <w:t>standarta iemaksu grafiku,</w:t>
      </w:r>
      <w:r w:rsidR="001E52A5" w:rsidRPr="00622EFE">
        <w:t xml:space="preserve"> vai arī diskontu iemaksai</w:t>
      </w:r>
      <w:r w:rsidR="00AA5D51" w:rsidRPr="00622EFE">
        <w:t xml:space="preserve"> 3.41% jeb EUR 0.127</w:t>
      </w:r>
      <w:r w:rsidR="001E52A5" w:rsidRPr="00622EFE">
        <w:t xml:space="preserve"> milj. apmērā</w:t>
      </w:r>
      <w:r w:rsidR="006D4388" w:rsidRPr="00622EFE">
        <w:t>.</w:t>
      </w:r>
      <w:r w:rsidR="00E45D6C" w:rsidRPr="00622EFE">
        <w:t xml:space="preserve"> </w:t>
      </w:r>
      <w:r w:rsidR="00BE0482" w:rsidRPr="00622EFE">
        <w:t xml:space="preserve">Saskaņā ar šo scenāriju Latvija </w:t>
      </w:r>
      <w:r w:rsidR="006D4388" w:rsidRPr="00622EFE">
        <w:t>saņems</w:t>
      </w:r>
      <w:r w:rsidR="00322D68" w:rsidRPr="00C91507">
        <w:t xml:space="preserve"> </w:t>
      </w:r>
      <w:r w:rsidR="006D4388" w:rsidRPr="00C91507">
        <w:t>papildus</w:t>
      </w:r>
      <w:r w:rsidR="00BE0482" w:rsidRPr="00C91507">
        <w:t xml:space="preserve"> 208 </w:t>
      </w:r>
      <w:r w:rsidR="00510570" w:rsidRPr="00C91507">
        <w:t>IDA</w:t>
      </w:r>
      <w:r w:rsidR="006E20CA" w:rsidRPr="00C91507">
        <w:t xml:space="preserve"> parakstītās balsis</w:t>
      </w:r>
      <w:r w:rsidR="00510570" w:rsidRPr="00C91507">
        <w:t xml:space="preserve">, kas ir </w:t>
      </w:r>
      <w:r w:rsidR="0035011B" w:rsidRPr="00C91507">
        <w:t xml:space="preserve">pieaugums </w:t>
      </w:r>
      <w:r w:rsidR="00510570" w:rsidRPr="00C91507">
        <w:t>par 50.72%</w:t>
      </w:r>
      <w:r w:rsidR="0035011B" w:rsidRPr="00C91507">
        <w:t>, salīdzinot ar</w:t>
      </w:r>
      <w:r w:rsidR="00510570" w:rsidRPr="00C91507">
        <w:t xml:space="preserve"> IDA18</w:t>
      </w:r>
      <w:r w:rsidR="00BE0482" w:rsidRPr="00C91507">
        <w:t xml:space="preserve">. </w:t>
      </w:r>
      <w:r w:rsidR="00B65831" w:rsidRPr="00C91507">
        <w:t xml:space="preserve">Papildus tam, </w:t>
      </w:r>
      <w:r w:rsidR="00A00461" w:rsidRPr="00C91507">
        <w:t>veicot iemaksa</w:t>
      </w:r>
      <w:r w:rsidR="00D40435" w:rsidRPr="00C91507">
        <w:t>s atbilstoši 2.scenārijam,</w:t>
      </w:r>
      <w:r w:rsidR="00B65831" w:rsidRPr="00C91507">
        <w:t xml:space="preserve"> Latvijas OAP palielināsies par </w:t>
      </w:r>
      <w:r w:rsidR="005C3B93">
        <w:t>aptuveni 0.005</w:t>
      </w:r>
      <w:r w:rsidR="00D40435" w:rsidRPr="00C91507">
        <w:t xml:space="preserve">% </w:t>
      </w:r>
      <w:r w:rsidR="00C40A26">
        <w:t>no</w:t>
      </w:r>
      <w:r w:rsidR="00D40435" w:rsidRPr="00C91507">
        <w:t xml:space="preserve"> NKI</w:t>
      </w:r>
      <w:r w:rsidR="00CF5F40">
        <w:t xml:space="preserve"> gadā</w:t>
      </w:r>
      <w:r w:rsidR="00D40435" w:rsidRPr="00C91507">
        <w:t>.</w:t>
      </w:r>
      <w:r w:rsidR="00FE512C">
        <w:t xml:space="preserve"> </w:t>
      </w:r>
    </w:p>
    <w:p w14:paraId="44E0BB4F" w14:textId="77777777" w:rsidR="006A61D9" w:rsidRPr="006A61D9" w:rsidRDefault="00EF53BC" w:rsidP="006A61D9">
      <w:pPr>
        <w:spacing w:after="60" w:line="240" w:lineRule="auto"/>
        <w:jc w:val="both"/>
      </w:pPr>
      <w:r w:rsidRPr="00C91507">
        <w:rPr>
          <w:u w:val="single"/>
        </w:rPr>
        <w:t>3.scenārijs.</w:t>
      </w:r>
      <w:r w:rsidRPr="00C91507">
        <w:t xml:space="preserve"> </w:t>
      </w:r>
      <w:r w:rsidR="006D4388" w:rsidRPr="00C91507">
        <w:rPr>
          <w:b/>
        </w:rPr>
        <w:t xml:space="preserve">Palielinot </w:t>
      </w:r>
      <w:r w:rsidR="00510570" w:rsidRPr="00C91507">
        <w:rPr>
          <w:b/>
        </w:rPr>
        <w:t>Latvijas</w:t>
      </w:r>
      <w:r w:rsidR="00EF06D1" w:rsidRPr="00C91507">
        <w:rPr>
          <w:b/>
        </w:rPr>
        <w:t xml:space="preserve"> </w:t>
      </w:r>
      <w:r w:rsidR="00322D68" w:rsidRPr="00C91507">
        <w:rPr>
          <w:b/>
        </w:rPr>
        <w:t>dalību</w:t>
      </w:r>
      <w:r w:rsidR="006D4388" w:rsidRPr="00C91507">
        <w:rPr>
          <w:b/>
        </w:rPr>
        <w:t xml:space="preserve"> IDA19 </w:t>
      </w:r>
      <w:r w:rsidR="00510570" w:rsidRPr="00C91507">
        <w:rPr>
          <w:b/>
        </w:rPr>
        <w:t xml:space="preserve">par 50% no </w:t>
      </w:r>
      <w:proofErr w:type="spellStart"/>
      <w:r w:rsidR="00FE512C" w:rsidRPr="00622EFE">
        <w:rPr>
          <w:b/>
          <w:i/>
        </w:rPr>
        <w:t>Mid-High</w:t>
      </w:r>
      <w:proofErr w:type="spellEnd"/>
      <w:r w:rsidR="00FE512C" w:rsidRPr="00622EFE">
        <w:rPr>
          <w:b/>
        </w:rPr>
        <w:t xml:space="preserve"> </w:t>
      </w:r>
      <w:r w:rsidR="00510570" w:rsidRPr="00622EFE">
        <w:rPr>
          <w:b/>
        </w:rPr>
        <w:t xml:space="preserve">finansēšanas </w:t>
      </w:r>
      <w:r w:rsidR="00322D68" w:rsidRPr="00622EFE">
        <w:rPr>
          <w:b/>
        </w:rPr>
        <w:t xml:space="preserve">ietvara, Latvijas iemaksas </w:t>
      </w:r>
      <w:r w:rsidR="00C40A26">
        <w:rPr>
          <w:b/>
        </w:rPr>
        <w:t>veidos</w:t>
      </w:r>
      <w:r w:rsidR="006D4388" w:rsidRPr="00622EFE">
        <w:rPr>
          <w:b/>
        </w:rPr>
        <w:t xml:space="preserve"> </w:t>
      </w:r>
      <w:r w:rsidR="00322D68" w:rsidRPr="00622EFE">
        <w:rPr>
          <w:b/>
        </w:rPr>
        <w:t>EUR 4.</w:t>
      </w:r>
      <w:r w:rsidR="00F41F19" w:rsidRPr="00622EFE">
        <w:rPr>
          <w:b/>
        </w:rPr>
        <w:t>31</w:t>
      </w:r>
      <w:r w:rsidR="00322D68" w:rsidRPr="00622EFE">
        <w:rPr>
          <w:b/>
        </w:rPr>
        <w:t xml:space="preserve"> milj.</w:t>
      </w:r>
      <w:r w:rsidR="00E45D6C" w:rsidRPr="00622EFE">
        <w:t xml:space="preserve"> </w:t>
      </w:r>
      <w:r w:rsidR="005D237B" w:rsidRPr="00622EFE">
        <w:t xml:space="preserve">Izvēloties </w:t>
      </w:r>
      <w:r w:rsidR="001C2D4E" w:rsidRPr="00622EFE">
        <w:t xml:space="preserve">saīsināto </w:t>
      </w:r>
      <w:r w:rsidR="005D237B" w:rsidRPr="00622EFE">
        <w:t xml:space="preserve">iemaksu grafiku, </w:t>
      </w:r>
      <w:r w:rsidR="006D4388" w:rsidRPr="00622EFE">
        <w:t xml:space="preserve">Latvija saņems </w:t>
      </w:r>
      <w:r w:rsidR="005D237B" w:rsidRPr="00622EFE">
        <w:t>pieskaitījumu</w:t>
      </w:r>
      <w:r w:rsidR="006D4388" w:rsidRPr="00622EFE">
        <w:t xml:space="preserve"> </w:t>
      </w:r>
      <w:r w:rsidR="003F64EE" w:rsidRPr="00622EFE">
        <w:t>3.53</w:t>
      </w:r>
      <w:r w:rsidR="00E45D6C" w:rsidRPr="00622EFE">
        <w:t xml:space="preserve">% </w:t>
      </w:r>
      <w:r w:rsidR="006D4388" w:rsidRPr="00622EFE">
        <w:t>jeb</w:t>
      </w:r>
      <w:r w:rsidR="00E45D6C" w:rsidRPr="00622EFE">
        <w:t xml:space="preserve"> EU</w:t>
      </w:r>
      <w:r w:rsidR="006E20CA" w:rsidRPr="00622EFE">
        <w:t xml:space="preserve">R </w:t>
      </w:r>
      <w:r w:rsidR="006D4388" w:rsidRPr="00622EFE">
        <w:t>0.</w:t>
      </w:r>
      <w:r w:rsidR="006E20CA" w:rsidRPr="00622EFE">
        <w:t>1</w:t>
      </w:r>
      <w:r w:rsidR="009D46A9" w:rsidRPr="00622EFE">
        <w:t>5</w:t>
      </w:r>
      <w:r w:rsidR="00AA5D51" w:rsidRPr="00622EFE">
        <w:t>1</w:t>
      </w:r>
      <w:r w:rsidR="00322D68" w:rsidRPr="00622EFE">
        <w:t xml:space="preserve"> milj.</w:t>
      </w:r>
      <w:r w:rsidR="006D4388" w:rsidRPr="00622EFE">
        <w:t xml:space="preserve"> apmērā, kas tiks novirzīts kā papildus finansējums Latvijas regulārajai iemaksai IDA19</w:t>
      </w:r>
      <w:r w:rsidR="00572F40" w:rsidRPr="00622EFE">
        <w:t xml:space="preserve">, </w:t>
      </w:r>
      <w:r w:rsidR="00622EFE" w:rsidRPr="00622EFE">
        <w:t>kā rezultātā Latvija palielinās dalību IDA19</w:t>
      </w:r>
      <w:r w:rsidR="00572F40" w:rsidRPr="00622EFE">
        <w:t xml:space="preserve"> par</w:t>
      </w:r>
      <w:r w:rsidR="00622EFE" w:rsidRPr="00622EFE">
        <w:t xml:space="preserve"> </w:t>
      </w:r>
      <w:r w:rsidR="00B67CF9">
        <w:t>55.4</w:t>
      </w:r>
      <w:r w:rsidR="00622EFE" w:rsidRPr="00E838B8">
        <w:t>%</w:t>
      </w:r>
      <w:r w:rsidR="00CC71E8" w:rsidRPr="00E838B8">
        <w:t xml:space="preserve">, salīdzinot ar </w:t>
      </w:r>
      <w:proofErr w:type="spellStart"/>
      <w:r w:rsidR="00CC71E8" w:rsidRPr="00E838B8">
        <w:rPr>
          <w:i/>
        </w:rPr>
        <w:t>Mid-High</w:t>
      </w:r>
      <w:proofErr w:type="spellEnd"/>
      <w:r w:rsidR="00CC71E8" w:rsidRPr="00622EFE">
        <w:rPr>
          <w:b/>
        </w:rPr>
        <w:t xml:space="preserve"> </w:t>
      </w:r>
      <w:r w:rsidR="00CC71E8" w:rsidRPr="00E838B8">
        <w:t>standarta iemaksu grafiku,</w:t>
      </w:r>
      <w:r w:rsidR="001E52A5" w:rsidRPr="00622EFE">
        <w:t xml:space="preserve"> vai arī diskontu iemaksai</w:t>
      </w:r>
      <w:r w:rsidR="00AA5D51" w:rsidRPr="00622EFE">
        <w:t xml:space="preserve"> 3.41% jeb EUR 0.146</w:t>
      </w:r>
      <w:r w:rsidR="001E52A5" w:rsidRPr="00622EFE">
        <w:t xml:space="preserve"> milj. apmērā</w:t>
      </w:r>
      <w:r w:rsidR="006D4388" w:rsidRPr="00622EFE">
        <w:t>.</w:t>
      </w:r>
      <w:r w:rsidR="00E45D6C" w:rsidRPr="00622EFE">
        <w:t xml:space="preserve"> </w:t>
      </w:r>
      <w:r w:rsidR="006D4388" w:rsidRPr="00622EFE">
        <w:t xml:space="preserve">Saskaņā ar šo scenāriju </w:t>
      </w:r>
      <w:r w:rsidR="00BE0482" w:rsidRPr="00622EFE">
        <w:t xml:space="preserve">Latvija </w:t>
      </w:r>
      <w:r w:rsidR="006D4388" w:rsidRPr="00622EFE">
        <w:t>saņems</w:t>
      </w:r>
      <w:r w:rsidR="006D4388" w:rsidRPr="00C91507">
        <w:t xml:space="preserve"> papildus</w:t>
      </w:r>
      <w:r w:rsidR="00BE0482" w:rsidRPr="00C91507">
        <w:t xml:space="preserve"> 246 </w:t>
      </w:r>
      <w:r w:rsidR="006D4388" w:rsidRPr="00C91507">
        <w:t xml:space="preserve">IDA </w:t>
      </w:r>
      <w:r w:rsidR="006E20CA" w:rsidRPr="00C91507">
        <w:t>parakstītās balsis</w:t>
      </w:r>
      <w:r w:rsidR="0035011B" w:rsidRPr="00C91507">
        <w:t xml:space="preserve">, kas ir </w:t>
      </w:r>
      <w:r w:rsidR="006D4388" w:rsidRPr="00C91507">
        <w:t>pieaugums</w:t>
      </w:r>
      <w:r w:rsidR="0035011B" w:rsidRPr="00C91507">
        <w:t xml:space="preserve"> par 78%, salīdzinot ar IDA18</w:t>
      </w:r>
      <w:r w:rsidR="00BE0482" w:rsidRPr="00C91507">
        <w:t xml:space="preserve">. </w:t>
      </w:r>
      <w:r w:rsidR="00B65831" w:rsidRPr="00C91507">
        <w:t>Papildus tam, atbilstoši 3.scenārijam Latvijas OAP</w:t>
      </w:r>
      <w:r w:rsidR="003F64EE">
        <w:t xml:space="preserve"> </w:t>
      </w:r>
      <w:r w:rsidR="00B65831" w:rsidRPr="00C91507">
        <w:t>palielināsies</w:t>
      </w:r>
      <w:r w:rsidR="00D86A49">
        <w:t xml:space="preserve"> par </w:t>
      </w:r>
      <w:r w:rsidR="005C3B93">
        <w:t>aptuveni 0.006</w:t>
      </w:r>
      <w:r w:rsidR="00D86A49">
        <w:t xml:space="preserve">% </w:t>
      </w:r>
      <w:r w:rsidR="00C40A26">
        <w:t>no</w:t>
      </w:r>
      <w:r w:rsidR="00D86A49">
        <w:t xml:space="preserve"> NKI gadā</w:t>
      </w:r>
      <w:r w:rsidR="00B65831" w:rsidRPr="00C91507">
        <w:t>.</w:t>
      </w:r>
    </w:p>
    <w:p w14:paraId="7C7EB0D8" w14:textId="77777777" w:rsidR="006D4388" w:rsidRDefault="006D4388" w:rsidP="006D4388">
      <w:pPr>
        <w:spacing w:after="60" w:line="240" w:lineRule="auto"/>
        <w:jc w:val="both"/>
        <w:rPr>
          <w:szCs w:val="24"/>
        </w:rPr>
      </w:pPr>
      <w:r w:rsidRPr="000972EC">
        <w:rPr>
          <w:szCs w:val="24"/>
        </w:rPr>
        <w:t>IDA19 tiek plānota kā finansēšanas darījums, kam nav ietekmes uz valsts budžeta bilanci pēc nacionālās budžeta uzskaites metodoloģijas, tomēr tam ir negatīva ietekme uz vispārējās valdības budžeta bilanci atbilstoši Eiropas kontu sistēmas metodoloģijai tajos gados, kad tiek veikti maksājumi.</w:t>
      </w:r>
      <w:r w:rsidRPr="00AA783C">
        <w:rPr>
          <w:szCs w:val="24"/>
        </w:rPr>
        <w:t xml:space="preserve"> </w:t>
      </w:r>
    </w:p>
    <w:p w14:paraId="235344EF" w14:textId="35D76635" w:rsidR="00316255" w:rsidRDefault="00316255" w:rsidP="00316255">
      <w:pPr>
        <w:spacing w:before="240" w:after="120" w:line="240" w:lineRule="auto"/>
        <w:jc w:val="center"/>
        <w:rPr>
          <w:i/>
          <w:sz w:val="22"/>
        </w:rPr>
      </w:pPr>
      <w:r>
        <w:rPr>
          <w:i/>
          <w:sz w:val="22"/>
        </w:rPr>
        <w:t>5</w:t>
      </w:r>
      <w:r w:rsidRPr="00B301DA">
        <w:rPr>
          <w:i/>
          <w:sz w:val="22"/>
        </w:rPr>
        <w:t xml:space="preserve">.tabula. </w:t>
      </w:r>
      <w:r>
        <w:rPr>
          <w:i/>
          <w:sz w:val="22"/>
        </w:rPr>
        <w:t xml:space="preserve">IDA19 finansēšanas scenāriji </w:t>
      </w:r>
    </w:p>
    <w:p w14:paraId="2378D127" w14:textId="77777777" w:rsidR="00517557" w:rsidRPr="00B301DA" w:rsidRDefault="00517557" w:rsidP="00316255">
      <w:pPr>
        <w:spacing w:before="240" w:after="120" w:line="240" w:lineRule="auto"/>
        <w:jc w:val="center"/>
        <w:rPr>
          <w:i/>
          <w:sz w:val="22"/>
        </w:rPr>
      </w:pPr>
    </w:p>
    <w:tbl>
      <w:tblPr>
        <w:tblStyle w:val="TableGrid"/>
        <w:tblW w:w="85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708"/>
        <w:gridCol w:w="1326"/>
        <w:gridCol w:w="102"/>
        <w:gridCol w:w="746"/>
        <w:gridCol w:w="1436"/>
        <w:gridCol w:w="16"/>
        <w:gridCol w:w="1385"/>
        <w:gridCol w:w="1387"/>
      </w:tblGrid>
      <w:tr w:rsidR="00316255" w:rsidRPr="00740563" w14:paraId="78F13EDB" w14:textId="77777777" w:rsidTr="00DB1C4D">
        <w:trPr>
          <w:trHeight w:val="285"/>
        </w:trPr>
        <w:tc>
          <w:tcPr>
            <w:tcW w:w="1418" w:type="dxa"/>
            <w:tcBorders>
              <w:top w:val="nil"/>
              <w:bottom w:val="single" w:sz="4" w:space="0" w:color="auto"/>
            </w:tcBorders>
          </w:tcPr>
          <w:p w14:paraId="4C883F0B" w14:textId="77777777" w:rsidR="00316255" w:rsidRPr="00740563" w:rsidRDefault="00316255" w:rsidP="00DB1C4D">
            <w:pPr>
              <w:spacing w:after="0" w:line="240" w:lineRule="auto"/>
              <w:jc w:val="center"/>
              <w:rPr>
                <w:b/>
                <w:sz w:val="20"/>
                <w:szCs w:val="20"/>
              </w:rPr>
            </w:pPr>
            <w:r w:rsidRPr="00740563">
              <w:rPr>
                <w:b/>
                <w:sz w:val="20"/>
                <w:szCs w:val="20"/>
              </w:rPr>
              <w:t>Fiskālais gads</w:t>
            </w:r>
            <w:r w:rsidRPr="00740563">
              <w:rPr>
                <w:rStyle w:val="FootnoteReference"/>
                <w:sz w:val="20"/>
                <w:szCs w:val="20"/>
              </w:rPr>
              <w:footnoteReference w:id="27"/>
            </w:r>
          </w:p>
        </w:tc>
        <w:tc>
          <w:tcPr>
            <w:tcW w:w="2136" w:type="dxa"/>
            <w:gridSpan w:val="3"/>
            <w:tcBorders>
              <w:top w:val="nil"/>
              <w:bottom w:val="single" w:sz="4" w:space="0" w:color="auto"/>
            </w:tcBorders>
          </w:tcPr>
          <w:p w14:paraId="21E76802" w14:textId="77777777" w:rsidR="00316255" w:rsidRPr="00740563" w:rsidRDefault="00316255" w:rsidP="00DB1C4D">
            <w:pPr>
              <w:spacing w:after="0" w:line="240" w:lineRule="auto"/>
              <w:jc w:val="center"/>
              <w:rPr>
                <w:b/>
                <w:sz w:val="20"/>
                <w:szCs w:val="20"/>
              </w:rPr>
            </w:pPr>
            <w:proofErr w:type="spellStart"/>
            <w:r w:rsidRPr="004053C6">
              <w:rPr>
                <w:b/>
                <w:i/>
                <w:sz w:val="20"/>
                <w:szCs w:val="20"/>
              </w:rPr>
              <w:t>Mid-High</w:t>
            </w:r>
            <w:proofErr w:type="spellEnd"/>
            <w:r w:rsidRPr="00740563">
              <w:rPr>
                <w:b/>
                <w:sz w:val="20"/>
                <w:szCs w:val="20"/>
              </w:rPr>
              <w:t xml:space="preserve"> </w:t>
            </w:r>
            <w:r>
              <w:rPr>
                <w:b/>
                <w:sz w:val="20"/>
                <w:szCs w:val="20"/>
              </w:rPr>
              <w:t>finansēšanas ietvars</w:t>
            </w:r>
          </w:p>
        </w:tc>
        <w:tc>
          <w:tcPr>
            <w:tcW w:w="2178" w:type="dxa"/>
            <w:gridSpan w:val="2"/>
            <w:tcBorders>
              <w:top w:val="nil"/>
              <w:bottom w:val="single" w:sz="4" w:space="0" w:color="auto"/>
            </w:tcBorders>
          </w:tcPr>
          <w:p w14:paraId="458DD47E" w14:textId="77777777" w:rsidR="00316255" w:rsidRDefault="00316255" w:rsidP="00DB1C4D">
            <w:pPr>
              <w:spacing w:after="0" w:line="240" w:lineRule="auto"/>
              <w:jc w:val="center"/>
              <w:rPr>
                <w:b/>
                <w:sz w:val="20"/>
                <w:szCs w:val="20"/>
              </w:rPr>
            </w:pPr>
          </w:p>
          <w:p w14:paraId="6D1DAF5A" w14:textId="77777777" w:rsidR="00316255" w:rsidRPr="00740563" w:rsidRDefault="00316255" w:rsidP="00DB1C4D">
            <w:pPr>
              <w:spacing w:after="0" w:line="240" w:lineRule="auto"/>
              <w:jc w:val="center"/>
              <w:rPr>
                <w:b/>
                <w:sz w:val="20"/>
                <w:szCs w:val="20"/>
              </w:rPr>
            </w:pPr>
            <w:r>
              <w:rPr>
                <w:b/>
                <w:sz w:val="20"/>
                <w:szCs w:val="20"/>
              </w:rPr>
              <w:t>1.scenārijs</w:t>
            </w:r>
          </w:p>
        </w:tc>
        <w:tc>
          <w:tcPr>
            <w:tcW w:w="1401" w:type="dxa"/>
            <w:gridSpan w:val="2"/>
            <w:tcBorders>
              <w:top w:val="nil"/>
              <w:bottom w:val="single" w:sz="4" w:space="0" w:color="auto"/>
            </w:tcBorders>
          </w:tcPr>
          <w:p w14:paraId="26DCF7C6" w14:textId="77777777" w:rsidR="00316255" w:rsidRPr="00740563" w:rsidRDefault="00316255" w:rsidP="00DB1C4D">
            <w:pPr>
              <w:spacing w:after="0" w:line="240" w:lineRule="auto"/>
              <w:jc w:val="center"/>
              <w:rPr>
                <w:b/>
                <w:sz w:val="20"/>
                <w:szCs w:val="20"/>
              </w:rPr>
            </w:pPr>
          </w:p>
          <w:p w14:paraId="061A25F3" w14:textId="77777777" w:rsidR="00316255" w:rsidRPr="00740563" w:rsidRDefault="00316255" w:rsidP="00DB1C4D">
            <w:pPr>
              <w:spacing w:after="0" w:line="240" w:lineRule="auto"/>
              <w:jc w:val="center"/>
              <w:rPr>
                <w:b/>
                <w:sz w:val="20"/>
                <w:szCs w:val="20"/>
              </w:rPr>
            </w:pPr>
            <w:r>
              <w:rPr>
                <w:b/>
                <w:sz w:val="20"/>
                <w:szCs w:val="20"/>
              </w:rPr>
              <w:t>2.scenārijs</w:t>
            </w:r>
          </w:p>
        </w:tc>
        <w:tc>
          <w:tcPr>
            <w:tcW w:w="1387" w:type="dxa"/>
            <w:tcBorders>
              <w:top w:val="nil"/>
              <w:bottom w:val="single" w:sz="4" w:space="0" w:color="auto"/>
            </w:tcBorders>
          </w:tcPr>
          <w:p w14:paraId="342E858A" w14:textId="77777777" w:rsidR="00316255" w:rsidRPr="00740563" w:rsidRDefault="00316255" w:rsidP="00DB1C4D">
            <w:pPr>
              <w:spacing w:after="0" w:line="240" w:lineRule="auto"/>
              <w:jc w:val="center"/>
              <w:rPr>
                <w:b/>
                <w:sz w:val="20"/>
                <w:szCs w:val="20"/>
              </w:rPr>
            </w:pPr>
          </w:p>
          <w:p w14:paraId="77C5C3B0" w14:textId="77777777" w:rsidR="00316255" w:rsidRPr="00740563" w:rsidRDefault="00316255" w:rsidP="00DB1C4D">
            <w:pPr>
              <w:spacing w:after="0" w:line="240" w:lineRule="auto"/>
              <w:jc w:val="center"/>
              <w:rPr>
                <w:b/>
                <w:sz w:val="20"/>
                <w:szCs w:val="20"/>
              </w:rPr>
            </w:pPr>
            <w:r>
              <w:rPr>
                <w:b/>
                <w:sz w:val="20"/>
                <w:szCs w:val="20"/>
              </w:rPr>
              <w:t>3.scenārijs</w:t>
            </w:r>
          </w:p>
        </w:tc>
      </w:tr>
      <w:tr w:rsidR="00316255" w:rsidRPr="00740563" w14:paraId="6DA9B171" w14:textId="77777777" w:rsidTr="00DB1C4D">
        <w:tc>
          <w:tcPr>
            <w:tcW w:w="1418" w:type="dxa"/>
            <w:tcBorders>
              <w:top w:val="single" w:sz="4" w:space="0" w:color="auto"/>
              <w:bottom w:val="nil"/>
              <w:right w:val="nil"/>
            </w:tcBorders>
            <w:vAlign w:val="bottom"/>
          </w:tcPr>
          <w:p w14:paraId="5A054494" w14:textId="77777777" w:rsidR="00316255" w:rsidRPr="00740563" w:rsidRDefault="00316255" w:rsidP="00DB1C4D">
            <w:pPr>
              <w:spacing w:after="0" w:line="240" w:lineRule="auto"/>
              <w:rPr>
                <w:bCs/>
                <w:sz w:val="20"/>
                <w:szCs w:val="20"/>
              </w:rPr>
            </w:pPr>
          </w:p>
        </w:tc>
        <w:tc>
          <w:tcPr>
            <w:tcW w:w="708" w:type="dxa"/>
            <w:tcBorders>
              <w:top w:val="single" w:sz="4" w:space="0" w:color="auto"/>
              <w:left w:val="nil"/>
              <w:bottom w:val="nil"/>
              <w:right w:val="nil"/>
            </w:tcBorders>
            <w:vAlign w:val="bottom"/>
          </w:tcPr>
          <w:p w14:paraId="1724C6B2" w14:textId="77777777" w:rsidR="00316255" w:rsidRPr="00740563" w:rsidRDefault="00316255" w:rsidP="00DB1C4D">
            <w:pPr>
              <w:spacing w:after="0" w:line="240" w:lineRule="auto"/>
              <w:jc w:val="right"/>
              <w:rPr>
                <w:sz w:val="20"/>
                <w:szCs w:val="20"/>
              </w:rPr>
            </w:pPr>
            <w:r w:rsidRPr="00740563">
              <w:rPr>
                <w:sz w:val="20"/>
                <w:szCs w:val="20"/>
              </w:rPr>
              <w:t>%</w:t>
            </w:r>
          </w:p>
        </w:tc>
        <w:tc>
          <w:tcPr>
            <w:tcW w:w="1326" w:type="dxa"/>
            <w:tcBorders>
              <w:top w:val="single" w:sz="4" w:space="0" w:color="auto"/>
              <w:left w:val="nil"/>
              <w:bottom w:val="nil"/>
              <w:right w:val="nil"/>
            </w:tcBorders>
          </w:tcPr>
          <w:p w14:paraId="78E767D6" w14:textId="77777777" w:rsidR="00316255" w:rsidRPr="00740563" w:rsidRDefault="00316255" w:rsidP="00DB1C4D">
            <w:pPr>
              <w:spacing w:after="0" w:line="240" w:lineRule="auto"/>
              <w:jc w:val="right"/>
              <w:rPr>
                <w:sz w:val="20"/>
                <w:szCs w:val="20"/>
              </w:rPr>
            </w:pPr>
            <w:r w:rsidRPr="00740563">
              <w:rPr>
                <w:sz w:val="20"/>
                <w:szCs w:val="20"/>
              </w:rPr>
              <w:t>EUR</w:t>
            </w:r>
            <w:r>
              <w:rPr>
                <w:sz w:val="20"/>
                <w:szCs w:val="20"/>
              </w:rPr>
              <w:t>, m</w:t>
            </w:r>
          </w:p>
        </w:tc>
        <w:tc>
          <w:tcPr>
            <w:tcW w:w="844" w:type="dxa"/>
            <w:gridSpan w:val="2"/>
            <w:tcBorders>
              <w:top w:val="single" w:sz="4" w:space="0" w:color="auto"/>
              <w:left w:val="nil"/>
              <w:bottom w:val="nil"/>
              <w:right w:val="nil"/>
            </w:tcBorders>
          </w:tcPr>
          <w:p w14:paraId="60878064" w14:textId="77777777" w:rsidR="00316255" w:rsidRPr="00740563" w:rsidRDefault="00316255" w:rsidP="00DB1C4D">
            <w:pPr>
              <w:spacing w:after="0" w:line="240" w:lineRule="auto"/>
              <w:jc w:val="right"/>
              <w:rPr>
                <w:sz w:val="20"/>
                <w:szCs w:val="20"/>
              </w:rPr>
            </w:pPr>
            <w:r w:rsidRPr="00740563">
              <w:rPr>
                <w:sz w:val="20"/>
                <w:szCs w:val="20"/>
              </w:rPr>
              <w:t>%</w:t>
            </w:r>
          </w:p>
        </w:tc>
        <w:tc>
          <w:tcPr>
            <w:tcW w:w="1452" w:type="dxa"/>
            <w:gridSpan w:val="2"/>
            <w:tcBorders>
              <w:top w:val="single" w:sz="4" w:space="0" w:color="auto"/>
              <w:left w:val="nil"/>
              <w:bottom w:val="nil"/>
              <w:right w:val="nil"/>
            </w:tcBorders>
          </w:tcPr>
          <w:p w14:paraId="49555BB6" w14:textId="77777777" w:rsidR="00316255" w:rsidRPr="00740563" w:rsidRDefault="00316255" w:rsidP="00DB1C4D">
            <w:pPr>
              <w:spacing w:after="0" w:line="240" w:lineRule="auto"/>
              <w:jc w:val="right"/>
              <w:rPr>
                <w:sz w:val="20"/>
                <w:szCs w:val="20"/>
              </w:rPr>
            </w:pPr>
            <w:r w:rsidRPr="00740563">
              <w:rPr>
                <w:sz w:val="20"/>
                <w:szCs w:val="20"/>
              </w:rPr>
              <w:t>EUR</w:t>
            </w:r>
            <w:r>
              <w:rPr>
                <w:sz w:val="20"/>
                <w:szCs w:val="20"/>
              </w:rPr>
              <w:t>, m</w:t>
            </w:r>
          </w:p>
        </w:tc>
        <w:tc>
          <w:tcPr>
            <w:tcW w:w="1385" w:type="dxa"/>
            <w:tcBorders>
              <w:top w:val="single" w:sz="4" w:space="0" w:color="auto"/>
              <w:left w:val="nil"/>
              <w:bottom w:val="nil"/>
              <w:right w:val="nil"/>
            </w:tcBorders>
            <w:shd w:val="clear" w:color="auto" w:fill="D9D9D9" w:themeFill="background1" w:themeFillShade="D9"/>
          </w:tcPr>
          <w:p w14:paraId="6AAC37B8" w14:textId="77777777" w:rsidR="00316255" w:rsidRPr="00740563" w:rsidRDefault="00316255" w:rsidP="00DB1C4D">
            <w:pPr>
              <w:spacing w:after="0" w:line="240" w:lineRule="auto"/>
              <w:jc w:val="right"/>
              <w:rPr>
                <w:sz w:val="20"/>
                <w:szCs w:val="20"/>
              </w:rPr>
            </w:pPr>
            <w:r w:rsidRPr="00740563">
              <w:rPr>
                <w:sz w:val="20"/>
                <w:szCs w:val="20"/>
              </w:rPr>
              <w:t>EUR</w:t>
            </w:r>
            <w:r>
              <w:rPr>
                <w:sz w:val="20"/>
                <w:szCs w:val="20"/>
              </w:rPr>
              <w:t>, m</w:t>
            </w:r>
          </w:p>
        </w:tc>
        <w:tc>
          <w:tcPr>
            <w:tcW w:w="1387" w:type="dxa"/>
            <w:tcBorders>
              <w:top w:val="single" w:sz="4" w:space="0" w:color="auto"/>
              <w:left w:val="nil"/>
              <w:bottom w:val="nil"/>
              <w:right w:val="nil"/>
            </w:tcBorders>
          </w:tcPr>
          <w:p w14:paraId="6BE28F8B" w14:textId="77777777" w:rsidR="00316255" w:rsidRPr="00740563" w:rsidRDefault="00316255" w:rsidP="00DB1C4D">
            <w:pPr>
              <w:spacing w:after="0" w:line="240" w:lineRule="auto"/>
              <w:jc w:val="right"/>
              <w:rPr>
                <w:sz w:val="20"/>
                <w:szCs w:val="20"/>
              </w:rPr>
            </w:pPr>
            <w:r w:rsidRPr="00740563">
              <w:rPr>
                <w:sz w:val="20"/>
                <w:szCs w:val="20"/>
              </w:rPr>
              <w:t>EUR</w:t>
            </w:r>
            <w:r>
              <w:rPr>
                <w:sz w:val="20"/>
                <w:szCs w:val="20"/>
              </w:rPr>
              <w:t>, m</w:t>
            </w:r>
          </w:p>
        </w:tc>
      </w:tr>
      <w:tr w:rsidR="00316255" w:rsidRPr="00740563" w14:paraId="0DF8E40C" w14:textId="77777777" w:rsidTr="00DB1C4D">
        <w:tc>
          <w:tcPr>
            <w:tcW w:w="1418" w:type="dxa"/>
            <w:tcBorders>
              <w:top w:val="nil"/>
              <w:bottom w:val="nil"/>
            </w:tcBorders>
            <w:vAlign w:val="bottom"/>
          </w:tcPr>
          <w:p w14:paraId="22093643" w14:textId="77777777" w:rsidR="00316255" w:rsidRPr="00740563" w:rsidRDefault="00316255" w:rsidP="00DB1C4D">
            <w:pPr>
              <w:spacing w:after="0" w:line="240" w:lineRule="auto"/>
              <w:jc w:val="center"/>
              <w:rPr>
                <w:sz w:val="20"/>
                <w:szCs w:val="20"/>
              </w:rPr>
            </w:pPr>
            <w:r w:rsidRPr="00740563">
              <w:rPr>
                <w:bCs/>
                <w:sz w:val="20"/>
                <w:szCs w:val="20"/>
              </w:rPr>
              <w:t>2021</w:t>
            </w:r>
          </w:p>
        </w:tc>
        <w:tc>
          <w:tcPr>
            <w:tcW w:w="708" w:type="dxa"/>
            <w:tcBorders>
              <w:top w:val="nil"/>
              <w:bottom w:val="nil"/>
            </w:tcBorders>
            <w:vAlign w:val="bottom"/>
          </w:tcPr>
          <w:p w14:paraId="567365B4" w14:textId="77777777" w:rsidR="00316255" w:rsidRPr="00740563" w:rsidRDefault="00316255" w:rsidP="00DB1C4D">
            <w:pPr>
              <w:spacing w:after="0" w:line="240" w:lineRule="auto"/>
              <w:jc w:val="right"/>
              <w:rPr>
                <w:sz w:val="20"/>
                <w:szCs w:val="20"/>
              </w:rPr>
            </w:pPr>
            <w:r w:rsidRPr="00740563">
              <w:rPr>
                <w:sz w:val="20"/>
                <w:szCs w:val="20"/>
              </w:rPr>
              <w:t>3.1</w:t>
            </w:r>
          </w:p>
        </w:tc>
        <w:tc>
          <w:tcPr>
            <w:tcW w:w="1326" w:type="dxa"/>
            <w:tcBorders>
              <w:top w:val="nil"/>
              <w:bottom w:val="nil"/>
            </w:tcBorders>
          </w:tcPr>
          <w:p w14:paraId="2411A187"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0.09</w:t>
            </w:r>
            <w:r w:rsidRPr="00740563">
              <w:rPr>
                <w:sz w:val="20"/>
                <w:szCs w:val="20"/>
              </w:rPr>
              <w:t xml:space="preserve"> </w:t>
            </w:r>
          </w:p>
        </w:tc>
        <w:tc>
          <w:tcPr>
            <w:tcW w:w="844" w:type="dxa"/>
            <w:gridSpan w:val="2"/>
            <w:tcBorders>
              <w:top w:val="nil"/>
              <w:bottom w:val="nil"/>
            </w:tcBorders>
          </w:tcPr>
          <w:p w14:paraId="536E8A8A" w14:textId="77777777" w:rsidR="00316255" w:rsidRPr="00740563" w:rsidRDefault="00316255" w:rsidP="00DB1C4D">
            <w:pPr>
              <w:spacing w:after="0" w:line="240" w:lineRule="auto"/>
              <w:jc w:val="center"/>
              <w:rPr>
                <w:sz w:val="20"/>
                <w:szCs w:val="20"/>
              </w:rPr>
            </w:pPr>
          </w:p>
        </w:tc>
        <w:tc>
          <w:tcPr>
            <w:tcW w:w="1436" w:type="dxa"/>
            <w:tcBorders>
              <w:top w:val="nil"/>
              <w:bottom w:val="nil"/>
            </w:tcBorders>
          </w:tcPr>
          <w:p w14:paraId="52C5A972" w14:textId="77777777" w:rsidR="00316255" w:rsidRPr="00740563" w:rsidRDefault="00316255" w:rsidP="00DB1C4D">
            <w:pPr>
              <w:spacing w:after="0" w:line="240" w:lineRule="auto"/>
              <w:jc w:val="right"/>
              <w:rPr>
                <w:sz w:val="20"/>
                <w:szCs w:val="20"/>
              </w:rPr>
            </w:pPr>
            <w:r w:rsidRPr="00740563">
              <w:rPr>
                <w:sz w:val="20"/>
                <w:szCs w:val="20"/>
              </w:rPr>
              <w:t xml:space="preserve">  </w:t>
            </w:r>
          </w:p>
        </w:tc>
        <w:tc>
          <w:tcPr>
            <w:tcW w:w="1401" w:type="dxa"/>
            <w:gridSpan w:val="2"/>
            <w:tcBorders>
              <w:top w:val="nil"/>
              <w:bottom w:val="nil"/>
            </w:tcBorders>
            <w:shd w:val="clear" w:color="auto" w:fill="D9D9D9" w:themeFill="background1" w:themeFillShade="D9"/>
          </w:tcPr>
          <w:p w14:paraId="0402680A" w14:textId="77777777" w:rsidR="00316255" w:rsidRPr="00740563" w:rsidRDefault="00316255" w:rsidP="00DB1C4D">
            <w:pPr>
              <w:spacing w:after="0" w:line="240" w:lineRule="auto"/>
              <w:jc w:val="right"/>
              <w:rPr>
                <w:sz w:val="20"/>
                <w:szCs w:val="20"/>
              </w:rPr>
            </w:pPr>
          </w:p>
        </w:tc>
        <w:tc>
          <w:tcPr>
            <w:tcW w:w="1387" w:type="dxa"/>
            <w:tcBorders>
              <w:top w:val="nil"/>
              <w:bottom w:val="nil"/>
            </w:tcBorders>
          </w:tcPr>
          <w:p w14:paraId="6B5DF124" w14:textId="77777777" w:rsidR="00316255" w:rsidRPr="00740563" w:rsidRDefault="00316255" w:rsidP="00DB1C4D">
            <w:pPr>
              <w:spacing w:after="0" w:line="240" w:lineRule="auto"/>
              <w:jc w:val="right"/>
              <w:rPr>
                <w:sz w:val="20"/>
                <w:szCs w:val="20"/>
              </w:rPr>
            </w:pPr>
            <w:r w:rsidRPr="00740563">
              <w:rPr>
                <w:sz w:val="20"/>
                <w:szCs w:val="20"/>
              </w:rPr>
              <w:t xml:space="preserve"> </w:t>
            </w:r>
          </w:p>
        </w:tc>
      </w:tr>
      <w:tr w:rsidR="00316255" w:rsidRPr="00740563" w14:paraId="505AAE31" w14:textId="77777777" w:rsidTr="00DB1C4D">
        <w:tc>
          <w:tcPr>
            <w:tcW w:w="1418" w:type="dxa"/>
            <w:tcBorders>
              <w:top w:val="nil"/>
              <w:bottom w:val="nil"/>
            </w:tcBorders>
            <w:vAlign w:val="bottom"/>
          </w:tcPr>
          <w:p w14:paraId="20515E7A" w14:textId="77777777" w:rsidR="00316255" w:rsidRPr="00740563" w:rsidRDefault="00316255" w:rsidP="00DB1C4D">
            <w:pPr>
              <w:spacing w:after="0" w:line="240" w:lineRule="auto"/>
              <w:jc w:val="center"/>
              <w:rPr>
                <w:sz w:val="20"/>
                <w:szCs w:val="20"/>
              </w:rPr>
            </w:pPr>
            <w:r w:rsidRPr="00740563">
              <w:rPr>
                <w:bCs/>
                <w:sz w:val="20"/>
                <w:szCs w:val="20"/>
              </w:rPr>
              <w:t>2022</w:t>
            </w:r>
          </w:p>
        </w:tc>
        <w:tc>
          <w:tcPr>
            <w:tcW w:w="708" w:type="dxa"/>
            <w:tcBorders>
              <w:top w:val="nil"/>
              <w:bottom w:val="nil"/>
            </w:tcBorders>
            <w:vAlign w:val="bottom"/>
          </w:tcPr>
          <w:p w14:paraId="6CA2380C" w14:textId="77777777" w:rsidR="00316255" w:rsidRPr="00740563" w:rsidRDefault="00316255" w:rsidP="00DB1C4D">
            <w:pPr>
              <w:spacing w:after="0" w:line="240" w:lineRule="auto"/>
              <w:jc w:val="right"/>
              <w:rPr>
                <w:sz w:val="20"/>
                <w:szCs w:val="20"/>
              </w:rPr>
            </w:pPr>
            <w:r w:rsidRPr="00740563">
              <w:rPr>
                <w:sz w:val="20"/>
                <w:szCs w:val="20"/>
              </w:rPr>
              <w:t>7.7</w:t>
            </w:r>
          </w:p>
        </w:tc>
        <w:tc>
          <w:tcPr>
            <w:tcW w:w="1326" w:type="dxa"/>
            <w:tcBorders>
              <w:top w:val="nil"/>
              <w:bottom w:val="nil"/>
            </w:tcBorders>
          </w:tcPr>
          <w:p w14:paraId="264D1A60"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0.22</w:t>
            </w:r>
            <w:r w:rsidRPr="00740563">
              <w:rPr>
                <w:sz w:val="20"/>
                <w:szCs w:val="20"/>
              </w:rPr>
              <w:t xml:space="preserve"> </w:t>
            </w:r>
          </w:p>
        </w:tc>
        <w:tc>
          <w:tcPr>
            <w:tcW w:w="844" w:type="dxa"/>
            <w:gridSpan w:val="2"/>
            <w:tcBorders>
              <w:top w:val="nil"/>
              <w:bottom w:val="nil"/>
            </w:tcBorders>
          </w:tcPr>
          <w:p w14:paraId="76F98BA5" w14:textId="77777777" w:rsidR="00316255" w:rsidRPr="00740563" w:rsidRDefault="00316255" w:rsidP="00DB1C4D">
            <w:pPr>
              <w:spacing w:after="0" w:line="240" w:lineRule="auto"/>
              <w:jc w:val="right"/>
              <w:rPr>
                <w:sz w:val="20"/>
                <w:szCs w:val="20"/>
              </w:rPr>
            </w:pPr>
            <w:r>
              <w:rPr>
                <w:sz w:val="20"/>
                <w:szCs w:val="20"/>
              </w:rPr>
              <w:t>50.0</w:t>
            </w:r>
          </w:p>
        </w:tc>
        <w:tc>
          <w:tcPr>
            <w:tcW w:w="1436" w:type="dxa"/>
            <w:tcBorders>
              <w:top w:val="nil"/>
              <w:bottom w:val="nil"/>
            </w:tcBorders>
          </w:tcPr>
          <w:p w14:paraId="5E6F30AD"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1.435</w:t>
            </w:r>
            <w:r w:rsidRPr="00740563">
              <w:rPr>
                <w:sz w:val="20"/>
                <w:szCs w:val="20"/>
              </w:rPr>
              <w:t xml:space="preserve"> </w:t>
            </w:r>
          </w:p>
        </w:tc>
        <w:tc>
          <w:tcPr>
            <w:tcW w:w="1401" w:type="dxa"/>
            <w:gridSpan w:val="2"/>
            <w:tcBorders>
              <w:top w:val="nil"/>
              <w:bottom w:val="nil"/>
            </w:tcBorders>
            <w:shd w:val="clear" w:color="auto" w:fill="D9D9D9" w:themeFill="background1" w:themeFillShade="D9"/>
          </w:tcPr>
          <w:p w14:paraId="6AAB40E0" w14:textId="77777777" w:rsidR="00316255" w:rsidRPr="00740563" w:rsidRDefault="00316255" w:rsidP="00DB1C4D">
            <w:pPr>
              <w:spacing w:after="0" w:line="240" w:lineRule="auto"/>
              <w:jc w:val="right"/>
              <w:rPr>
                <w:sz w:val="20"/>
                <w:szCs w:val="20"/>
              </w:rPr>
            </w:pPr>
            <w:r>
              <w:rPr>
                <w:sz w:val="20"/>
                <w:szCs w:val="20"/>
              </w:rPr>
              <w:t>1.865</w:t>
            </w:r>
          </w:p>
        </w:tc>
        <w:tc>
          <w:tcPr>
            <w:tcW w:w="1387" w:type="dxa"/>
            <w:tcBorders>
              <w:top w:val="nil"/>
              <w:bottom w:val="nil"/>
            </w:tcBorders>
          </w:tcPr>
          <w:p w14:paraId="46E4BE05"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2.155</w:t>
            </w:r>
            <w:r w:rsidRPr="00740563">
              <w:rPr>
                <w:sz w:val="20"/>
                <w:szCs w:val="20"/>
              </w:rPr>
              <w:t xml:space="preserve"> </w:t>
            </w:r>
          </w:p>
        </w:tc>
      </w:tr>
      <w:tr w:rsidR="00316255" w:rsidRPr="00740563" w14:paraId="3D8D11DC" w14:textId="77777777" w:rsidTr="00DB1C4D">
        <w:tc>
          <w:tcPr>
            <w:tcW w:w="1418" w:type="dxa"/>
            <w:tcBorders>
              <w:top w:val="nil"/>
              <w:bottom w:val="nil"/>
            </w:tcBorders>
            <w:vAlign w:val="bottom"/>
          </w:tcPr>
          <w:p w14:paraId="41D9689D" w14:textId="77777777" w:rsidR="00316255" w:rsidRPr="00740563" w:rsidRDefault="00316255" w:rsidP="00DB1C4D">
            <w:pPr>
              <w:spacing w:after="0" w:line="240" w:lineRule="auto"/>
              <w:jc w:val="center"/>
              <w:rPr>
                <w:sz w:val="20"/>
                <w:szCs w:val="20"/>
              </w:rPr>
            </w:pPr>
            <w:r w:rsidRPr="00740563">
              <w:rPr>
                <w:bCs/>
                <w:sz w:val="20"/>
                <w:szCs w:val="20"/>
              </w:rPr>
              <w:t>2023</w:t>
            </w:r>
          </w:p>
        </w:tc>
        <w:tc>
          <w:tcPr>
            <w:tcW w:w="708" w:type="dxa"/>
            <w:tcBorders>
              <w:top w:val="nil"/>
              <w:bottom w:val="nil"/>
            </w:tcBorders>
            <w:vAlign w:val="bottom"/>
          </w:tcPr>
          <w:p w14:paraId="4C8F2E91" w14:textId="77777777" w:rsidR="00316255" w:rsidRPr="00740563" w:rsidRDefault="00316255" w:rsidP="00DB1C4D">
            <w:pPr>
              <w:spacing w:after="0" w:line="240" w:lineRule="auto"/>
              <w:jc w:val="right"/>
              <w:rPr>
                <w:sz w:val="20"/>
                <w:szCs w:val="20"/>
              </w:rPr>
            </w:pPr>
            <w:r w:rsidRPr="00740563">
              <w:rPr>
                <w:sz w:val="20"/>
                <w:szCs w:val="20"/>
              </w:rPr>
              <w:t>13.5</w:t>
            </w:r>
          </w:p>
        </w:tc>
        <w:tc>
          <w:tcPr>
            <w:tcW w:w="1326" w:type="dxa"/>
            <w:tcBorders>
              <w:top w:val="nil"/>
              <w:bottom w:val="nil"/>
            </w:tcBorders>
          </w:tcPr>
          <w:p w14:paraId="2BFA6138"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0.39</w:t>
            </w:r>
            <w:r w:rsidRPr="00740563">
              <w:rPr>
                <w:sz w:val="20"/>
                <w:szCs w:val="20"/>
              </w:rPr>
              <w:t xml:space="preserve"> </w:t>
            </w:r>
          </w:p>
        </w:tc>
        <w:tc>
          <w:tcPr>
            <w:tcW w:w="844" w:type="dxa"/>
            <w:gridSpan w:val="2"/>
            <w:tcBorders>
              <w:top w:val="nil"/>
              <w:bottom w:val="nil"/>
            </w:tcBorders>
          </w:tcPr>
          <w:p w14:paraId="3F707471" w14:textId="77777777" w:rsidR="00316255" w:rsidRPr="00740563" w:rsidRDefault="00316255" w:rsidP="00DB1C4D">
            <w:pPr>
              <w:spacing w:after="0" w:line="240" w:lineRule="auto"/>
              <w:jc w:val="right"/>
              <w:rPr>
                <w:sz w:val="20"/>
                <w:szCs w:val="20"/>
              </w:rPr>
            </w:pPr>
            <w:r>
              <w:rPr>
                <w:sz w:val="20"/>
                <w:szCs w:val="20"/>
              </w:rPr>
              <w:t>50.0</w:t>
            </w:r>
          </w:p>
        </w:tc>
        <w:tc>
          <w:tcPr>
            <w:tcW w:w="1436" w:type="dxa"/>
            <w:tcBorders>
              <w:top w:val="nil"/>
              <w:bottom w:val="nil"/>
            </w:tcBorders>
          </w:tcPr>
          <w:p w14:paraId="582FD762"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1.435</w:t>
            </w:r>
            <w:r w:rsidRPr="00740563">
              <w:rPr>
                <w:sz w:val="20"/>
                <w:szCs w:val="20"/>
              </w:rPr>
              <w:t xml:space="preserve"> </w:t>
            </w:r>
          </w:p>
        </w:tc>
        <w:tc>
          <w:tcPr>
            <w:tcW w:w="1401" w:type="dxa"/>
            <w:gridSpan w:val="2"/>
            <w:tcBorders>
              <w:top w:val="nil"/>
              <w:bottom w:val="nil"/>
            </w:tcBorders>
            <w:shd w:val="clear" w:color="auto" w:fill="D9D9D9" w:themeFill="background1" w:themeFillShade="D9"/>
          </w:tcPr>
          <w:p w14:paraId="3E66BD9E"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1.865</w:t>
            </w:r>
          </w:p>
        </w:tc>
        <w:tc>
          <w:tcPr>
            <w:tcW w:w="1387" w:type="dxa"/>
            <w:tcBorders>
              <w:top w:val="nil"/>
              <w:bottom w:val="nil"/>
            </w:tcBorders>
          </w:tcPr>
          <w:p w14:paraId="06852946"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2.155</w:t>
            </w:r>
            <w:r w:rsidRPr="00740563">
              <w:rPr>
                <w:sz w:val="20"/>
                <w:szCs w:val="20"/>
              </w:rPr>
              <w:t xml:space="preserve"> </w:t>
            </w:r>
          </w:p>
        </w:tc>
      </w:tr>
      <w:tr w:rsidR="00316255" w:rsidRPr="00740563" w14:paraId="50E49101" w14:textId="77777777" w:rsidTr="00DB1C4D">
        <w:tc>
          <w:tcPr>
            <w:tcW w:w="1418" w:type="dxa"/>
            <w:tcBorders>
              <w:top w:val="nil"/>
              <w:bottom w:val="nil"/>
            </w:tcBorders>
            <w:vAlign w:val="bottom"/>
          </w:tcPr>
          <w:p w14:paraId="67F2FDEF" w14:textId="77777777" w:rsidR="00316255" w:rsidRPr="00740563" w:rsidRDefault="00316255" w:rsidP="00DB1C4D">
            <w:pPr>
              <w:spacing w:after="0" w:line="240" w:lineRule="auto"/>
              <w:jc w:val="center"/>
              <w:rPr>
                <w:sz w:val="20"/>
                <w:szCs w:val="20"/>
              </w:rPr>
            </w:pPr>
            <w:r w:rsidRPr="00740563">
              <w:rPr>
                <w:bCs/>
                <w:sz w:val="20"/>
                <w:szCs w:val="20"/>
              </w:rPr>
              <w:t>2024</w:t>
            </w:r>
          </w:p>
        </w:tc>
        <w:tc>
          <w:tcPr>
            <w:tcW w:w="708" w:type="dxa"/>
            <w:tcBorders>
              <w:top w:val="nil"/>
              <w:bottom w:val="nil"/>
            </w:tcBorders>
            <w:vAlign w:val="bottom"/>
          </w:tcPr>
          <w:p w14:paraId="7004B1EF" w14:textId="77777777" w:rsidR="00316255" w:rsidRPr="00740563" w:rsidRDefault="00316255" w:rsidP="00DB1C4D">
            <w:pPr>
              <w:spacing w:after="0" w:line="240" w:lineRule="auto"/>
              <w:jc w:val="right"/>
              <w:rPr>
                <w:sz w:val="20"/>
                <w:szCs w:val="20"/>
              </w:rPr>
            </w:pPr>
            <w:r w:rsidRPr="00740563">
              <w:rPr>
                <w:sz w:val="20"/>
                <w:szCs w:val="20"/>
              </w:rPr>
              <w:t>15.6</w:t>
            </w:r>
          </w:p>
        </w:tc>
        <w:tc>
          <w:tcPr>
            <w:tcW w:w="1326" w:type="dxa"/>
            <w:tcBorders>
              <w:top w:val="nil"/>
              <w:bottom w:val="nil"/>
            </w:tcBorders>
          </w:tcPr>
          <w:p w14:paraId="7F2AFE2E"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0.45</w:t>
            </w:r>
            <w:r w:rsidRPr="00740563">
              <w:rPr>
                <w:sz w:val="20"/>
                <w:szCs w:val="20"/>
              </w:rPr>
              <w:t xml:space="preserve"> </w:t>
            </w:r>
          </w:p>
        </w:tc>
        <w:tc>
          <w:tcPr>
            <w:tcW w:w="844" w:type="dxa"/>
            <w:gridSpan w:val="2"/>
            <w:tcBorders>
              <w:top w:val="nil"/>
              <w:bottom w:val="nil"/>
            </w:tcBorders>
            <w:shd w:val="clear" w:color="auto" w:fill="FFFFFF" w:themeFill="background1"/>
          </w:tcPr>
          <w:p w14:paraId="2F661B54" w14:textId="77777777" w:rsidR="00316255" w:rsidRPr="00740563" w:rsidRDefault="00316255" w:rsidP="00DB1C4D">
            <w:pPr>
              <w:spacing w:after="0" w:line="240" w:lineRule="auto"/>
              <w:jc w:val="right"/>
              <w:rPr>
                <w:sz w:val="20"/>
                <w:szCs w:val="20"/>
              </w:rPr>
            </w:pPr>
          </w:p>
        </w:tc>
        <w:tc>
          <w:tcPr>
            <w:tcW w:w="1436" w:type="dxa"/>
            <w:tcBorders>
              <w:top w:val="nil"/>
              <w:bottom w:val="nil"/>
            </w:tcBorders>
            <w:shd w:val="clear" w:color="auto" w:fill="FFFFFF" w:themeFill="background1"/>
          </w:tcPr>
          <w:p w14:paraId="7B333FA7" w14:textId="77777777" w:rsidR="00316255" w:rsidRPr="00740563" w:rsidRDefault="00316255" w:rsidP="00DB1C4D">
            <w:pPr>
              <w:spacing w:after="0" w:line="240" w:lineRule="auto"/>
              <w:jc w:val="right"/>
              <w:rPr>
                <w:sz w:val="20"/>
                <w:szCs w:val="20"/>
              </w:rPr>
            </w:pPr>
          </w:p>
        </w:tc>
        <w:tc>
          <w:tcPr>
            <w:tcW w:w="1401" w:type="dxa"/>
            <w:gridSpan w:val="2"/>
            <w:tcBorders>
              <w:top w:val="nil"/>
              <w:bottom w:val="nil"/>
            </w:tcBorders>
            <w:shd w:val="clear" w:color="auto" w:fill="D9D9D9" w:themeFill="background1" w:themeFillShade="D9"/>
          </w:tcPr>
          <w:p w14:paraId="781DD736" w14:textId="77777777" w:rsidR="00316255" w:rsidRPr="00740563" w:rsidRDefault="00316255" w:rsidP="00DB1C4D">
            <w:pPr>
              <w:spacing w:after="0" w:line="240" w:lineRule="auto"/>
              <w:jc w:val="right"/>
              <w:rPr>
                <w:sz w:val="20"/>
                <w:szCs w:val="20"/>
              </w:rPr>
            </w:pPr>
          </w:p>
        </w:tc>
        <w:tc>
          <w:tcPr>
            <w:tcW w:w="1387" w:type="dxa"/>
            <w:tcBorders>
              <w:top w:val="nil"/>
              <w:bottom w:val="nil"/>
            </w:tcBorders>
            <w:shd w:val="clear" w:color="auto" w:fill="FFFFFF" w:themeFill="background1"/>
          </w:tcPr>
          <w:p w14:paraId="2BD6220A" w14:textId="77777777" w:rsidR="00316255" w:rsidRPr="00740563" w:rsidRDefault="00316255" w:rsidP="00DB1C4D">
            <w:pPr>
              <w:spacing w:after="0" w:line="240" w:lineRule="auto"/>
              <w:jc w:val="right"/>
              <w:rPr>
                <w:sz w:val="20"/>
                <w:szCs w:val="20"/>
              </w:rPr>
            </w:pPr>
          </w:p>
        </w:tc>
      </w:tr>
      <w:tr w:rsidR="00316255" w:rsidRPr="00740563" w14:paraId="52D8136D" w14:textId="77777777" w:rsidTr="00DB1C4D">
        <w:tc>
          <w:tcPr>
            <w:tcW w:w="1418" w:type="dxa"/>
            <w:tcBorders>
              <w:top w:val="nil"/>
              <w:bottom w:val="nil"/>
            </w:tcBorders>
            <w:vAlign w:val="bottom"/>
          </w:tcPr>
          <w:p w14:paraId="6B9BB61E" w14:textId="77777777" w:rsidR="00316255" w:rsidRPr="00740563" w:rsidRDefault="00316255" w:rsidP="00DB1C4D">
            <w:pPr>
              <w:spacing w:after="0" w:line="240" w:lineRule="auto"/>
              <w:jc w:val="center"/>
              <w:rPr>
                <w:sz w:val="20"/>
                <w:szCs w:val="20"/>
              </w:rPr>
            </w:pPr>
            <w:r w:rsidRPr="00740563">
              <w:rPr>
                <w:bCs/>
                <w:sz w:val="20"/>
                <w:szCs w:val="20"/>
              </w:rPr>
              <w:t>2025</w:t>
            </w:r>
          </w:p>
        </w:tc>
        <w:tc>
          <w:tcPr>
            <w:tcW w:w="708" w:type="dxa"/>
            <w:tcBorders>
              <w:top w:val="nil"/>
              <w:bottom w:val="nil"/>
            </w:tcBorders>
            <w:vAlign w:val="bottom"/>
          </w:tcPr>
          <w:p w14:paraId="4FA6862C" w14:textId="77777777" w:rsidR="00316255" w:rsidRPr="00740563" w:rsidRDefault="00316255" w:rsidP="00DB1C4D">
            <w:pPr>
              <w:spacing w:after="0" w:line="240" w:lineRule="auto"/>
              <w:jc w:val="right"/>
              <w:rPr>
                <w:sz w:val="20"/>
                <w:szCs w:val="20"/>
              </w:rPr>
            </w:pPr>
            <w:r w:rsidRPr="00740563">
              <w:rPr>
                <w:sz w:val="20"/>
                <w:szCs w:val="20"/>
              </w:rPr>
              <w:t>15.8</w:t>
            </w:r>
          </w:p>
        </w:tc>
        <w:tc>
          <w:tcPr>
            <w:tcW w:w="1326" w:type="dxa"/>
            <w:tcBorders>
              <w:top w:val="nil"/>
              <w:bottom w:val="nil"/>
            </w:tcBorders>
          </w:tcPr>
          <w:p w14:paraId="427627C4"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0.45</w:t>
            </w:r>
            <w:r w:rsidRPr="00740563">
              <w:rPr>
                <w:sz w:val="20"/>
                <w:szCs w:val="20"/>
              </w:rPr>
              <w:t xml:space="preserve"> </w:t>
            </w:r>
          </w:p>
        </w:tc>
        <w:tc>
          <w:tcPr>
            <w:tcW w:w="844" w:type="dxa"/>
            <w:gridSpan w:val="2"/>
            <w:tcBorders>
              <w:top w:val="nil"/>
              <w:bottom w:val="nil"/>
            </w:tcBorders>
            <w:shd w:val="clear" w:color="auto" w:fill="FFFFFF" w:themeFill="background1"/>
          </w:tcPr>
          <w:p w14:paraId="49E0659E" w14:textId="77777777" w:rsidR="00316255" w:rsidRPr="00740563" w:rsidRDefault="00316255" w:rsidP="00DB1C4D">
            <w:pPr>
              <w:spacing w:after="0" w:line="240" w:lineRule="auto"/>
              <w:jc w:val="right"/>
              <w:rPr>
                <w:sz w:val="20"/>
                <w:szCs w:val="20"/>
              </w:rPr>
            </w:pPr>
          </w:p>
        </w:tc>
        <w:tc>
          <w:tcPr>
            <w:tcW w:w="1436" w:type="dxa"/>
            <w:tcBorders>
              <w:top w:val="nil"/>
              <w:bottom w:val="nil"/>
            </w:tcBorders>
            <w:shd w:val="clear" w:color="auto" w:fill="FFFFFF" w:themeFill="background1"/>
          </w:tcPr>
          <w:p w14:paraId="40A728F4" w14:textId="77777777" w:rsidR="00316255" w:rsidRPr="00740563" w:rsidRDefault="00316255" w:rsidP="00DB1C4D">
            <w:pPr>
              <w:spacing w:after="0" w:line="240" w:lineRule="auto"/>
              <w:jc w:val="right"/>
              <w:rPr>
                <w:sz w:val="20"/>
                <w:szCs w:val="20"/>
              </w:rPr>
            </w:pPr>
          </w:p>
        </w:tc>
        <w:tc>
          <w:tcPr>
            <w:tcW w:w="1401" w:type="dxa"/>
            <w:gridSpan w:val="2"/>
            <w:tcBorders>
              <w:top w:val="nil"/>
              <w:bottom w:val="nil"/>
            </w:tcBorders>
            <w:shd w:val="clear" w:color="auto" w:fill="D9D9D9" w:themeFill="background1" w:themeFillShade="D9"/>
          </w:tcPr>
          <w:p w14:paraId="67DAE836" w14:textId="77777777" w:rsidR="00316255" w:rsidRPr="00740563" w:rsidRDefault="00316255" w:rsidP="00DB1C4D">
            <w:pPr>
              <w:spacing w:after="0" w:line="240" w:lineRule="auto"/>
              <w:jc w:val="right"/>
              <w:rPr>
                <w:sz w:val="20"/>
                <w:szCs w:val="20"/>
              </w:rPr>
            </w:pPr>
          </w:p>
        </w:tc>
        <w:tc>
          <w:tcPr>
            <w:tcW w:w="1387" w:type="dxa"/>
            <w:tcBorders>
              <w:top w:val="nil"/>
              <w:bottom w:val="nil"/>
            </w:tcBorders>
            <w:shd w:val="clear" w:color="auto" w:fill="FFFFFF" w:themeFill="background1"/>
          </w:tcPr>
          <w:p w14:paraId="540B5C12" w14:textId="77777777" w:rsidR="00316255" w:rsidRPr="00740563" w:rsidRDefault="00316255" w:rsidP="00DB1C4D">
            <w:pPr>
              <w:spacing w:after="0" w:line="240" w:lineRule="auto"/>
              <w:jc w:val="right"/>
              <w:rPr>
                <w:sz w:val="20"/>
                <w:szCs w:val="20"/>
              </w:rPr>
            </w:pPr>
          </w:p>
        </w:tc>
      </w:tr>
      <w:tr w:rsidR="00316255" w:rsidRPr="00740563" w14:paraId="3528DE72" w14:textId="77777777" w:rsidTr="00DB1C4D">
        <w:tc>
          <w:tcPr>
            <w:tcW w:w="1418" w:type="dxa"/>
            <w:tcBorders>
              <w:top w:val="nil"/>
              <w:bottom w:val="nil"/>
            </w:tcBorders>
            <w:vAlign w:val="bottom"/>
          </w:tcPr>
          <w:p w14:paraId="466E2439" w14:textId="77777777" w:rsidR="00316255" w:rsidRPr="00740563" w:rsidRDefault="00316255" w:rsidP="00DB1C4D">
            <w:pPr>
              <w:spacing w:after="0" w:line="240" w:lineRule="auto"/>
              <w:jc w:val="center"/>
              <w:rPr>
                <w:sz w:val="20"/>
                <w:szCs w:val="20"/>
              </w:rPr>
            </w:pPr>
            <w:r w:rsidRPr="00740563">
              <w:rPr>
                <w:bCs/>
                <w:sz w:val="20"/>
                <w:szCs w:val="20"/>
              </w:rPr>
              <w:t>2026</w:t>
            </w:r>
          </w:p>
        </w:tc>
        <w:tc>
          <w:tcPr>
            <w:tcW w:w="708" w:type="dxa"/>
            <w:tcBorders>
              <w:top w:val="nil"/>
              <w:bottom w:val="nil"/>
            </w:tcBorders>
            <w:vAlign w:val="bottom"/>
          </w:tcPr>
          <w:p w14:paraId="0A708091" w14:textId="77777777" w:rsidR="00316255" w:rsidRPr="00740563" w:rsidRDefault="00316255" w:rsidP="00DB1C4D">
            <w:pPr>
              <w:spacing w:after="0" w:line="240" w:lineRule="auto"/>
              <w:jc w:val="right"/>
              <w:rPr>
                <w:sz w:val="20"/>
                <w:szCs w:val="20"/>
              </w:rPr>
            </w:pPr>
            <w:r w:rsidRPr="00740563">
              <w:rPr>
                <w:sz w:val="20"/>
                <w:szCs w:val="20"/>
              </w:rPr>
              <w:t>14.2</w:t>
            </w:r>
          </w:p>
        </w:tc>
        <w:tc>
          <w:tcPr>
            <w:tcW w:w="1326" w:type="dxa"/>
            <w:tcBorders>
              <w:top w:val="nil"/>
              <w:bottom w:val="nil"/>
            </w:tcBorders>
          </w:tcPr>
          <w:p w14:paraId="1900F6B2"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0.41</w:t>
            </w:r>
            <w:r w:rsidRPr="00740563">
              <w:rPr>
                <w:sz w:val="20"/>
                <w:szCs w:val="20"/>
              </w:rPr>
              <w:t xml:space="preserve"> </w:t>
            </w:r>
          </w:p>
        </w:tc>
        <w:tc>
          <w:tcPr>
            <w:tcW w:w="844" w:type="dxa"/>
            <w:gridSpan w:val="2"/>
            <w:tcBorders>
              <w:top w:val="nil"/>
              <w:bottom w:val="nil"/>
            </w:tcBorders>
            <w:shd w:val="clear" w:color="auto" w:fill="FFFFFF" w:themeFill="background1"/>
          </w:tcPr>
          <w:p w14:paraId="5504D118" w14:textId="77777777" w:rsidR="00316255" w:rsidRPr="00740563" w:rsidRDefault="00316255" w:rsidP="00DB1C4D">
            <w:pPr>
              <w:spacing w:after="0" w:line="240" w:lineRule="auto"/>
              <w:jc w:val="right"/>
              <w:rPr>
                <w:sz w:val="20"/>
                <w:szCs w:val="20"/>
              </w:rPr>
            </w:pPr>
          </w:p>
        </w:tc>
        <w:tc>
          <w:tcPr>
            <w:tcW w:w="1436" w:type="dxa"/>
            <w:tcBorders>
              <w:top w:val="nil"/>
              <w:bottom w:val="nil"/>
            </w:tcBorders>
            <w:shd w:val="clear" w:color="auto" w:fill="FFFFFF" w:themeFill="background1"/>
          </w:tcPr>
          <w:p w14:paraId="34D67C08" w14:textId="77777777" w:rsidR="00316255" w:rsidRPr="00740563" w:rsidRDefault="00316255" w:rsidP="00DB1C4D">
            <w:pPr>
              <w:spacing w:after="0" w:line="240" w:lineRule="auto"/>
              <w:jc w:val="right"/>
              <w:rPr>
                <w:sz w:val="20"/>
                <w:szCs w:val="20"/>
              </w:rPr>
            </w:pPr>
          </w:p>
        </w:tc>
        <w:tc>
          <w:tcPr>
            <w:tcW w:w="1401" w:type="dxa"/>
            <w:gridSpan w:val="2"/>
            <w:tcBorders>
              <w:top w:val="nil"/>
              <w:bottom w:val="nil"/>
            </w:tcBorders>
            <w:shd w:val="clear" w:color="auto" w:fill="D9D9D9" w:themeFill="background1" w:themeFillShade="D9"/>
          </w:tcPr>
          <w:p w14:paraId="2361117B" w14:textId="77777777" w:rsidR="00316255" w:rsidRPr="00740563" w:rsidRDefault="00316255" w:rsidP="00DB1C4D">
            <w:pPr>
              <w:spacing w:after="0" w:line="240" w:lineRule="auto"/>
              <w:jc w:val="right"/>
              <w:rPr>
                <w:sz w:val="20"/>
                <w:szCs w:val="20"/>
              </w:rPr>
            </w:pPr>
          </w:p>
        </w:tc>
        <w:tc>
          <w:tcPr>
            <w:tcW w:w="1387" w:type="dxa"/>
            <w:tcBorders>
              <w:top w:val="nil"/>
              <w:bottom w:val="nil"/>
            </w:tcBorders>
            <w:shd w:val="clear" w:color="auto" w:fill="FFFFFF" w:themeFill="background1"/>
          </w:tcPr>
          <w:p w14:paraId="5DE8559A" w14:textId="77777777" w:rsidR="00316255" w:rsidRPr="00740563" w:rsidRDefault="00316255" w:rsidP="00DB1C4D">
            <w:pPr>
              <w:spacing w:after="0" w:line="240" w:lineRule="auto"/>
              <w:jc w:val="right"/>
              <w:rPr>
                <w:sz w:val="20"/>
                <w:szCs w:val="20"/>
              </w:rPr>
            </w:pPr>
          </w:p>
        </w:tc>
      </w:tr>
      <w:tr w:rsidR="00316255" w:rsidRPr="00740563" w14:paraId="5DE1358B" w14:textId="77777777" w:rsidTr="00DB1C4D">
        <w:tc>
          <w:tcPr>
            <w:tcW w:w="1418" w:type="dxa"/>
            <w:tcBorders>
              <w:top w:val="nil"/>
              <w:bottom w:val="nil"/>
            </w:tcBorders>
            <w:vAlign w:val="bottom"/>
          </w:tcPr>
          <w:p w14:paraId="7BEA8BA9" w14:textId="77777777" w:rsidR="00316255" w:rsidRPr="00740563" w:rsidRDefault="00316255" w:rsidP="00DB1C4D">
            <w:pPr>
              <w:spacing w:after="0" w:line="240" w:lineRule="auto"/>
              <w:jc w:val="center"/>
              <w:rPr>
                <w:sz w:val="20"/>
                <w:szCs w:val="20"/>
              </w:rPr>
            </w:pPr>
            <w:r w:rsidRPr="00740563">
              <w:rPr>
                <w:bCs/>
                <w:sz w:val="20"/>
                <w:szCs w:val="20"/>
              </w:rPr>
              <w:t>2027</w:t>
            </w:r>
          </w:p>
        </w:tc>
        <w:tc>
          <w:tcPr>
            <w:tcW w:w="708" w:type="dxa"/>
            <w:tcBorders>
              <w:top w:val="nil"/>
              <w:bottom w:val="nil"/>
            </w:tcBorders>
            <w:vAlign w:val="bottom"/>
          </w:tcPr>
          <w:p w14:paraId="6FFCC0D6" w14:textId="77777777" w:rsidR="00316255" w:rsidRPr="00740563" w:rsidRDefault="00316255" w:rsidP="00DB1C4D">
            <w:pPr>
              <w:spacing w:after="0" w:line="240" w:lineRule="auto"/>
              <w:jc w:val="right"/>
              <w:rPr>
                <w:sz w:val="20"/>
                <w:szCs w:val="20"/>
              </w:rPr>
            </w:pPr>
            <w:r w:rsidRPr="00740563">
              <w:rPr>
                <w:sz w:val="20"/>
                <w:szCs w:val="20"/>
              </w:rPr>
              <w:t>12.6</w:t>
            </w:r>
          </w:p>
        </w:tc>
        <w:tc>
          <w:tcPr>
            <w:tcW w:w="1326" w:type="dxa"/>
            <w:tcBorders>
              <w:top w:val="nil"/>
              <w:bottom w:val="nil"/>
            </w:tcBorders>
          </w:tcPr>
          <w:p w14:paraId="4E7EC80E"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0.36</w:t>
            </w:r>
            <w:r w:rsidRPr="00740563">
              <w:rPr>
                <w:sz w:val="20"/>
                <w:szCs w:val="20"/>
              </w:rPr>
              <w:t xml:space="preserve"> </w:t>
            </w:r>
          </w:p>
        </w:tc>
        <w:tc>
          <w:tcPr>
            <w:tcW w:w="844" w:type="dxa"/>
            <w:gridSpan w:val="2"/>
            <w:tcBorders>
              <w:top w:val="nil"/>
              <w:bottom w:val="nil"/>
            </w:tcBorders>
            <w:shd w:val="clear" w:color="auto" w:fill="FFFFFF" w:themeFill="background1"/>
          </w:tcPr>
          <w:p w14:paraId="70CD93BB" w14:textId="77777777" w:rsidR="00316255" w:rsidRPr="00740563" w:rsidRDefault="00316255" w:rsidP="00DB1C4D">
            <w:pPr>
              <w:spacing w:after="0" w:line="240" w:lineRule="auto"/>
              <w:jc w:val="right"/>
              <w:rPr>
                <w:sz w:val="20"/>
                <w:szCs w:val="20"/>
              </w:rPr>
            </w:pPr>
          </w:p>
        </w:tc>
        <w:tc>
          <w:tcPr>
            <w:tcW w:w="1436" w:type="dxa"/>
            <w:tcBorders>
              <w:top w:val="nil"/>
              <w:bottom w:val="nil"/>
            </w:tcBorders>
            <w:shd w:val="clear" w:color="auto" w:fill="FFFFFF" w:themeFill="background1"/>
          </w:tcPr>
          <w:p w14:paraId="19A95430" w14:textId="77777777" w:rsidR="00316255" w:rsidRPr="00740563" w:rsidRDefault="00316255" w:rsidP="00DB1C4D">
            <w:pPr>
              <w:spacing w:after="0" w:line="240" w:lineRule="auto"/>
              <w:jc w:val="right"/>
              <w:rPr>
                <w:sz w:val="20"/>
                <w:szCs w:val="20"/>
              </w:rPr>
            </w:pPr>
          </w:p>
        </w:tc>
        <w:tc>
          <w:tcPr>
            <w:tcW w:w="1401" w:type="dxa"/>
            <w:gridSpan w:val="2"/>
            <w:tcBorders>
              <w:top w:val="nil"/>
              <w:bottom w:val="nil"/>
            </w:tcBorders>
            <w:shd w:val="clear" w:color="auto" w:fill="D9D9D9" w:themeFill="background1" w:themeFillShade="D9"/>
          </w:tcPr>
          <w:p w14:paraId="100F749B" w14:textId="77777777" w:rsidR="00316255" w:rsidRPr="00740563" w:rsidRDefault="00316255" w:rsidP="00DB1C4D">
            <w:pPr>
              <w:spacing w:after="0" w:line="240" w:lineRule="auto"/>
              <w:jc w:val="right"/>
              <w:rPr>
                <w:sz w:val="20"/>
                <w:szCs w:val="20"/>
              </w:rPr>
            </w:pPr>
          </w:p>
        </w:tc>
        <w:tc>
          <w:tcPr>
            <w:tcW w:w="1387" w:type="dxa"/>
            <w:tcBorders>
              <w:top w:val="nil"/>
              <w:bottom w:val="nil"/>
            </w:tcBorders>
            <w:shd w:val="clear" w:color="auto" w:fill="FFFFFF" w:themeFill="background1"/>
          </w:tcPr>
          <w:p w14:paraId="3BF91681" w14:textId="77777777" w:rsidR="00316255" w:rsidRPr="00740563" w:rsidRDefault="00316255" w:rsidP="00DB1C4D">
            <w:pPr>
              <w:spacing w:after="0" w:line="240" w:lineRule="auto"/>
              <w:jc w:val="right"/>
              <w:rPr>
                <w:sz w:val="20"/>
                <w:szCs w:val="20"/>
              </w:rPr>
            </w:pPr>
          </w:p>
        </w:tc>
      </w:tr>
      <w:tr w:rsidR="00316255" w:rsidRPr="00740563" w14:paraId="15075C83" w14:textId="77777777" w:rsidTr="00DB1C4D">
        <w:tc>
          <w:tcPr>
            <w:tcW w:w="1418" w:type="dxa"/>
            <w:tcBorders>
              <w:top w:val="nil"/>
              <w:bottom w:val="nil"/>
            </w:tcBorders>
            <w:vAlign w:val="bottom"/>
          </w:tcPr>
          <w:p w14:paraId="23CFF7CE" w14:textId="77777777" w:rsidR="00316255" w:rsidRPr="00740563" w:rsidRDefault="00316255" w:rsidP="00DB1C4D">
            <w:pPr>
              <w:spacing w:after="0" w:line="240" w:lineRule="auto"/>
              <w:jc w:val="center"/>
              <w:rPr>
                <w:sz w:val="20"/>
                <w:szCs w:val="20"/>
              </w:rPr>
            </w:pPr>
            <w:r w:rsidRPr="00740563">
              <w:rPr>
                <w:bCs/>
                <w:sz w:val="20"/>
                <w:szCs w:val="20"/>
              </w:rPr>
              <w:t>2028</w:t>
            </w:r>
          </w:p>
        </w:tc>
        <w:tc>
          <w:tcPr>
            <w:tcW w:w="708" w:type="dxa"/>
            <w:tcBorders>
              <w:top w:val="nil"/>
              <w:bottom w:val="nil"/>
            </w:tcBorders>
            <w:vAlign w:val="bottom"/>
          </w:tcPr>
          <w:p w14:paraId="7C62594C" w14:textId="77777777" w:rsidR="00316255" w:rsidRPr="00740563" w:rsidRDefault="00316255" w:rsidP="00DB1C4D">
            <w:pPr>
              <w:spacing w:after="0" w:line="240" w:lineRule="auto"/>
              <w:jc w:val="right"/>
              <w:rPr>
                <w:sz w:val="20"/>
                <w:szCs w:val="20"/>
              </w:rPr>
            </w:pPr>
            <w:r w:rsidRPr="00740563">
              <w:rPr>
                <w:sz w:val="20"/>
                <w:szCs w:val="20"/>
              </w:rPr>
              <w:t>10.2</w:t>
            </w:r>
          </w:p>
        </w:tc>
        <w:tc>
          <w:tcPr>
            <w:tcW w:w="1326" w:type="dxa"/>
            <w:tcBorders>
              <w:top w:val="nil"/>
              <w:bottom w:val="nil"/>
            </w:tcBorders>
          </w:tcPr>
          <w:p w14:paraId="6408B30A"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0.29</w:t>
            </w:r>
            <w:r w:rsidRPr="00740563">
              <w:rPr>
                <w:sz w:val="20"/>
                <w:szCs w:val="20"/>
              </w:rPr>
              <w:t xml:space="preserve"> </w:t>
            </w:r>
          </w:p>
        </w:tc>
        <w:tc>
          <w:tcPr>
            <w:tcW w:w="844" w:type="dxa"/>
            <w:gridSpan w:val="2"/>
            <w:tcBorders>
              <w:top w:val="nil"/>
              <w:bottom w:val="nil"/>
            </w:tcBorders>
            <w:shd w:val="clear" w:color="auto" w:fill="FFFFFF" w:themeFill="background1"/>
          </w:tcPr>
          <w:p w14:paraId="3CC97F58" w14:textId="77777777" w:rsidR="00316255" w:rsidRPr="00740563" w:rsidRDefault="00316255" w:rsidP="00DB1C4D">
            <w:pPr>
              <w:spacing w:after="0" w:line="240" w:lineRule="auto"/>
              <w:jc w:val="right"/>
              <w:rPr>
                <w:sz w:val="20"/>
                <w:szCs w:val="20"/>
              </w:rPr>
            </w:pPr>
          </w:p>
        </w:tc>
        <w:tc>
          <w:tcPr>
            <w:tcW w:w="1436" w:type="dxa"/>
            <w:tcBorders>
              <w:top w:val="nil"/>
              <w:bottom w:val="nil"/>
            </w:tcBorders>
            <w:shd w:val="clear" w:color="auto" w:fill="FFFFFF" w:themeFill="background1"/>
          </w:tcPr>
          <w:p w14:paraId="19271E59" w14:textId="77777777" w:rsidR="00316255" w:rsidRPr="00740563" w:rsidRDefault="00316255" w:rsidP="00DB1C4D">
            <w:pPr>
              <w:spacing w:after="0" w:line="240" w:lineRule="auto"/>
              <w:jc w:val="right"/>
              <w:rPr>
                <w:sz w:val="20"/>
                <w:szCs w:val="20"/>
              </w:rPr>
            </w:pPr>
          </w:p>
        </w:tc>
        <w:tc>
          <w:tcPr>
            <w:tcW w:w="1401" w:type="dxa"/>
            <w:gridSpan w:val="2"/>
            <w:tcBorders>
              <w:top w:val="nil"/>
              <w:bottom w:val="nil"/>
            </w:tcBorders>
            <w:shd w:val="clear" w:color="auto" w:fill="D9D9D9" w:themeFill="background1" w:themeFillShade="D9"/>
          </w:tcPr>
          <w:p w14:paraId="0CC40BD6" w14:textId="77777777" w:rsidR="00316255" w:rsidRPr="00740563" w:rsidRDefault="00316255" w:rsidP="00DB1C4D">
            <w:pPr>
              <w:spacing w:after="0" w:line="240" w:lineRule="auto"/>
              <w:jc w:val="right"/>
              <w:rPr>
                <w:sz w:val="20"/>
                <w:szCs w:val="20"/>
              </w:rPr>
            </w:pPr>
          </w:p>
        </w:tc>
        <w:tc>
          <w:tcPr>
            <w:tcW w:w="1387" w:type="dxa"/>
            <w:tcBorders>
              <w:top w:val="nil"/>
              <w:bottom w:val="nil"/>
            </w:tcBorders>
            <w:shd w:val="clear" w:color="auto" w:fill="FFFFFF" w:themeFill="background1"/>
          </w:tcPr>
          <w:p w14:paraId="5806B981" w14:textId="77777777" w:rsidR="00316255" w:rsidRPr="00740563" w:rsidRDefault="00316255" w:rsidP="00DB1C4D">
            <w:pPr>
              <w:spacing w:after="0" w:line="240" w:lineRule="auto"/>
              <w:jc w:val="right"/>
              <w:rPr>
                <w:sz w:val="20"/>
                <w:szCs w:val="20"/>
              </w:rPr>
            </w:pPr>
          </w:p>
        </w:tc>
      </w:tr>
      <w:tr w:rsidR="00316255" w:rsidRPr="00740563" w14:paraId="68955FB8" w14:textId="77777777" w:rsidTr="00DB1C4D">
        <w:tc>
          <w:tcPr>
            <w:tcW w:w="1418" w:type="dxa"/>
            <w:tcBorders>
              <w:top w:val="nil"/>
              <w:bottom w:val="nil"/>
            </w:tcBorders>
            <w:vAlign w:val="bottom"/>
          </w:tcPr>
          <w:p w14:paraId="5674CE7A" w14:textId="77777777" w:rsidR="00316255" w:rsidRPr="00740563" w:rsidRDefault="00316255" w:rsidP="00DB1C4D">
            <w:pPr>
              <w:spacing w:after="0" w:line="240" w:lineRule="auto"/>
              <w:jc w:val="center"/>
              <w:rPr>
                <w:bCs/>
                <w:sz w:val="20"/>
                <w:szCs w:val="20"/>
              </w:rPr>
            </w:pPr>
            <w:r w:rsidRPr="00740563">
              <w:rPr>
                <w:bCs/>
                <w:sz w:val="20"/>
                <w:szCs w:val="20"/>
              </w:rPr>
              <w:t>2029</w:t>
            </w:r>
          </w:p>
          <w:p w14:paraId="5A2203B2" w14:textId="77777777" w:rsidR="00316255" w:rsidRPr="00740563" w:rsidRDefault="00316255" w:rsidP="00DB1C4D">
            <w:pPr>
              <w:spacing w:after="0" w:line="240" w:lineRule="auto"/>
              <w:jc w:val="center"/>
              <w:rPr>
                <w:sz w:val="20"/>
                <w:szCs w:val="20"/>
              </w:rPr>
            </w:pPr>
          </w:p>
        </w:tc>
        <w:tc>
          <w:tcPr>
            <w:tcW w:w="708" w:type="dxa"/>
            <w:tcBorders>
              <w:top w:val="nil"/>
              <w:bottom w:val="nil"/>
            </w:tcBorders>
            <w:vAlign w:val="bottom"/>
          </w:tcPr>
          <w:p w14:paraId="65F4BAA6" w14:textId="77777777" w:rsidR="00316255" w:rsidRPr="00740563" w:rsidRDefault="00316255" w:rsidP="00DB1C4D">
            <w:pPr>
              <w:spacing w:after="0" w:line="240" w:lineRule="auto"/>
              <w:jc w:val="right"/>
              <w:rPr>
                <w:sz w:val="20"/>
                <w:szCs w:val="20"/>
              </w:rPr>
            </w:pPr>
            <w:r w:rsidRPr="00740563">
              <w:rPr>
                <w:sz w:val="20"/>
                <w:szCs w:val="20"/>
              </w:rPr>
              <w:t>7.3</w:t>
            </w:r>
          </w:p>
          <w:p w14:paraId="78A95D39" w14:textId="77777777" w:rsidR="00316255" w:rsidRPr="00740563" w:rsidRDefault="00316255" w:rsidP="00DB1C4D">
            <w:pPr>
              <w:spacing w:after="0" w:line="240" w:lineRule="auto"/>
              <w:jc w:val="right"/>
              <w:rPr>
                <w:sz w:val="20"/>
                <w:szCs w:val="20"/>
              </w:rPr>
            </w:pPr>
          </w:p>
        </w:tc>
        <w:tc>
          <w:tcPr>
            <w:tcW w:w="1326" w:type="dxa"/>
            <w:tcBorders>
              <w:top w:val="nil"/>
              <w:bottom w:val="nil"/>
            </w:tcBorders>
          </w:tcPr>
          <w:p w14:paraId="146A5BA1" w14:textId="77777777" w:rsidR="00316255" w:rsidRPr="00740563" w:rsidRDefault="00316255" w:rsidP="00DB1C4D">
            <w:pPr>
              <w:spacing w:after="0" w:line="240" w:lineRule="auto"/>
              <w:jc w:val="right"/>
              <w:rPr>
                <w:sz w:val="20"/>
                <w:szCs w:val="20"/>
              </w:rPr>
            </w:pPr>
            <w:r w:rsidRPr="00740563">
              <w:rPr>
                <w:sz w:val="20"/>
                <w:szCs w:val="20"/>
              </w:rPr>
              <w:t xml:space="preserve"> </w:t>
            </w:r>
            <w:r>
              <w:rPr>
                <w:sz w:val="20"/>
                <w:szCs w:val="20"/>
              </w:rPr>
              <w:t>0.21</w:t>
            </w:r>
          </w:p>
          <w:p w14:paraId="4F49F625" w14:textId="77777777" w:rsidR="00316255" w:rsidRPr="00740563" w:rsidRDefault="00316255" w:rsidP="00DB1C4D">
            <w:pPr>
              <w:spacing w:after="0" w:line="240" w:lineRule="auto"/>
              <w:jc w:val="right"/>
              <w:rPr>
                <w:sz w:val="20"/>
                <w:szCs w:val="20"/>
              </w:rPr>
            </w:pPr>
            <w:r w:rsidRPr="00740563">
              <w:rPr>
                <w:sz w:val="20"/>
                <w:szCs w:val="20"/>
              </w:rPr>
              <w:t xml:space="preserve"> </w:t>
            </w:r>
          </w:p>
        </w:tc>
        <w:tc>
          <w:tcPr>
            <w:tcW w:w="844" w:type="dxa"/>
            <w:gridSpan w:val="2"/>
            <w:tcBorders>
              <w:top w:val="nil"/>
              <w:bottom w:val="nil"/>
            </w:tcBorders>
            <w:shd w:val="clear" w:color="auto" w:fill="FFFFFF" w:themeFill="background1"/>
          </w:tcPr>
          <w:p w14:paraId="6374CE4B" w14:textId="77777777" w:rsidR="00316255" w:rsidRPr="00740563" w:rsidRDefault="00316255" w:rsidP="00DB1C4D">
            <w:pPr>
              <w:spacing w:after="0" w:line="240" w:lineRule="auto"/>
              <w:jc w:val="right"/>
              <w:rPr>
                <w:sz w:val="20"/>
                <w:szCs w:val="20"/>
              </w:rPr>
            </w:pPr>
          </w:p>
        </w:tc>
        <w:tc>
          <w:tcPr>
            <w:tcW w:w="1436" w:type="dxa"/>
            <w:tcBorders>
              <w:top w:val="nil"/>
              <w:bottom w:val="nil"/>
            </w:tcBorders>
            <w:shd w:val="clear" w:color="auto" w:fill="FFFFFF" w:themeFill="background1"/>
          </w:tcPr>
          <w:p w14:paraId="131AFFD2" w14:textId="77777777" w:rsidR="00316255" w:rsidRPr="00740563" w:rsidRDefault="00316255" w:rsidP="00DB1C4D">
            <w:pPr>
              <w:spacing w:after="0" w:line="240" w:lineRule="auto"/>
              <w:jc w:val="right"/>
              <w:rPr>
                <w:sz w:val="20"/>
                <w:szCs w:val="20"/>
              </w:rPr>
            </w:pPr>
          </w:p>
        </w:tc>
        <w:tc>
          <w:tcPr>
            <w:tcW w:w="1401" w:type="dxa"/>
            <w:gridSpan w:val="2"/>
            <w:tcBorders>
              <w:top w:val="nil"/>
              <w:bottom w:val="nil"/>
            </w:tcBorders>
            <w:shd w:val="clear" w:color="auto" w:fill="D9D9D9" w:themeFill="background1" w:themeFillShade="D9"/>
          </w:tcPr>
          <w:p w14:paraId="0DD4D656" w14:textId="77777777" w:rsidR="00316255" w:rsidRPr="00740563" w:rsidRDefault="00316255" w:rsidP="00DB1C4D">
            <w:pPr>
              <w:spacing w:after="0" w:line="240" w:lineRule="auto"/>
              <w:jc w:val="right"/>
              <w:rPr>
                <w:sz w:val="20"/>
                <w:szCs w:val="20"/>
              </w:rPr>
            </w:pPr>
          </w:p>
        </w:tc>
        <w:tc>
          <w:tcPr>
            <w:tcW w:w="1387" w:type="dxa"/>
            <w:tcBorders>
              <w:top w:val="nil"/>
              <w:bottom w:val="nil"/>
            </w:tcBorders>
            <w:shd w:val="clear" w:color="auto" w:fill="FFFFFF" w:themeFill="background1"/>
          </w:tcPr>
          <w:p w14:paraId="392F59D0" w14:textId="77777777" w:rsidR="00316255" w:rsidRPr="00740563" w:rsidRDefault="00316255" w:rsidP="00DB1C4D">
            <w:pPr>
              <w:spacing w:after="0" w:line="240" w:lineRule="auto"/>
              <w:jc w:val="right"/>
              <w:rPr>
                <w:sz w:val="20"/>
                <w:szCs w:val="20"/>
              </w:rPr>
            </w:pPr>
          </w:p>
        </w:tc>
      </w:tr>
      <w:tr w:rsidR="00316255" w:rsidRPr="00740563" w14:paraId="60D242D9" w14:textId="77777777" w:rsidTr="00DB1C4D">
        <w:tc>
          <w:tcPr>
            <w:tcW w:w="1418" w:type="dxa"/>
            <w:tcBorders>
              <w:top w:val="nil"/>
            </w:tcBorders>
          </w:tcPr>
          <w:p w14:paraId="458609E8" w14:textId="77777777" w:rsidR="00316255" w:rsidRPr="00740563" w:rsidRDefault="00316255" w:rsidP="00DB1C4D">
            <w:pPr>
              <w:spacing w:after="0" w:line="240" w:lineRule="auto"/>
              <w:rPr>
                <w:b/>
                <w:sz w:val="20"/>
                <w:szCs w:val="20"/>
              </w:rPr>
            </w:pPr>
            <w:r w:rsidRPr="00740563">
              <w:rPr>
                <w:b/>
                <w:sz w:val="20"/>
                <w:szCs w:val="20"/>
              </w:rPr>
              <w:t>Kopā</w:t>
            </w:r>
          </w:p>
        </w:tc>
        <w:tc>
          <w:tcPr>
            <w:tcW w:w="708" w:type="dxa"/>
            <w:tcBorders>
              <w:top w:val="nil"/>
            </w:tcBorders>
          </w:tcPr>
          <w:p w14:paraId="4236F0FB" w14:textId="77777777" w:rsidR="00316255" w:rsidRPr="00740563" w:rsidRDefault="00316255" w:rsidP="00DB1C4D">
            <w:pPr>
              <w:spacing w:after="0" w:line="240" w:lineRule="auto"/>
              <w:jc w:val="right"/>
              <w:rPr>
                <w:sz w:val="20"/>
                <w:szCs w:val="20"/>
              </w:rPr>
            </w:pPr>
            <w:r w:rsidRPr="00740563">
              <w:rPr>
                <w:sz w:val="20"/>
                <w:szCs w:val="20"/>
              </w:rPr>
              <w:t>100</w:t>
            </w:r>
          </w:p>
        </w:tc>
        <w:tc>
          <w:tcPr>
            <w:tcW w:w="1326" w:type="dxa"/>
            <w:tcBorders>
              <w:top w:val="nil"/>
            </w:tcBorders>
          </w:tcPr>
          <w:p w14:paraId="50C7B602" w14:textId="77777777" w:rsidR="00316255" w:rsidRPr="00740563" w:rsidRDefault="00316255" w:rsidP="00DB1C4D">
            <w:pPr>
              <w:spacing w:after="0" w:line="240" w:lineRule="auto"/>
              <w:jc w:val="right"/>
              <w:rPr>
                <w:b/>
                <w:sz w:val="20"/>
                <w:szCs w:val="20"/>
              </w:rPr>
            </w:pPr>
            <w:r>
              <w:rPr>
                <w:b/>
                <w:sz w:val="20"/>
                <w:szCs w:val="20"/>
              </w:rPr>
              <w:t>2.87</w:t>
            </w:r>
            <w:r w:rsidRPr="00740563">
              <w:rPr>
                <w:b/>
                <w:sz w:val="20"/>
                <w:szCs w:val="20"/>
              </w:rPr>
              <w:t xml:space="preserve"> </w:t>
            </w:r>
          </w:p>
        </w:tc>
        <w:tc>
          <w:tcPr>
            <w:tcW w:w="844" w:type="dxa"/>
            <w:gridSpan w:val="2"/>
            <w:tcBorders>
              <w:top w:val="nil"/>
            </w:tcBorders>
          </w:tcPr>
          <w:p w14:paraId="189E48FD" w14:textId="77777777" w:rsidR="00316255" w:rsidRPr="00740563" w:rsidRDefault="00316255" w:rsidP="00DB1C4D">
            <w:pPr>
              <w:spacing w:after="0" w:line="240" w:lineRule="auto"/>
              <w:jc w:val="right"/>
              <w:rPr>
                <w:sz w:val="20"/>
                <w:szCs w:val="20"/>
              </w:rPr>
            </w:pPr>
            <w:r w:rsidRPr="00740563">
              <w:rPr>
                <w:sz w:val="20"/>
                <w:szCs w:val="20"/>
              </w:rPr>
              <w:t>100</w:t>
            </w:r>
          </w:p>
        </w:tc>
        <w:tc>
          <w:tcPr>
            <w:tcW w:w="1436" w:type="dxa"/>
            <w:tcBorders>
              <w:top w:val="nil"/>
            </w:tcBorders>
          </w:tcPr>
          <w:p w14:paraId="0B62D8B9" w14:textId="77777777" w:rsidR="00316255" w:rsidRPr="00740563" w:rsidRDefault="00316255" w:rsidP="00DB1C4D">
            <w:pPr>
              <w:spacing w:after="0" w:line="240" w:lineRule="auto"/>
              <w:jc w:val="right"/>
              <w:rPr>
                <w:b/>
                <w:sz w:val="20"/>
                <w:szCs w:val="20"/>
              </w:rPr>
            </w:pPr>
            <w:r>
              <w:rPr>
                <w:b/>
                <w:sz w:val="20"/>
                <w:szCs w:val="20"/>
              </w:rPr>
              <w:t>2.87</w:t>
            </w:r>
          </w:p>
        </w:tc>
        <w:tc>
          <w:tcPr>
            <w:tcW w:w="1401" w:type="dxa"/>
            <w:gridSpan w:val="2"/>
            <w:tcBorders>
              <w:top w:val="nil"/>
            </w:tcBorders>
            <w:shd w:val="clear" w:color="auto" w:fill="D9D9D9" w:themeFill="background1" w:themeFillShade="D9"/>
          </w:tcPr>
          <w:p w14:paraId="6A20D745" w14:textId="77777777" w:rsidR="00316255" w:rsidRPr="00740563" w:rsidRDefault="00316255" w:rsidP="00DB1C4D">
            <w:pPr>
              <w:spacing w:after="0" w:line="240" w:lineRule="auto"/>
              <w:jc w:val="right"/>
              <w:rPr>
                <w:b/>
                <w:sz w:val="20"/>
                <w:szCs w:val="20"/>
              </w:rPr>
            </w:pPr>
            <w:r w:rsidRPr="00740563">
              <w:rPr>
                <w:b/>
                <w:sz w:val="20"/>
                <w:szCs w:val="20"/>
              </w:rPr>
              <w:t>3</w:t>
            </w:r>
            <w:r>
              <w:rPr>
                <w:b/>
                <w:sz w:val="20"/>
                <w:szCs w:val="20"/>
              </w:rPr>
              <w:t>.73</w:t>
            </w:r>
          </w:p>
        </w:tc>
        <w:tc>
          <w:tcPr>
            <w:tcW w:w="1387" w:type="dxa"/>
            <w:tcBorders>
              <w:top w:val="nil"/>
            </w:tcBorders>
          </w:tcPr>
          <w:p w14:paraId="08EF5666" w14:textId="77777777" w:rsidR="00316255" w:rsidRPr="00740563" w:rsidRDefault="00316255" w:rsidP="00DB1C4D">
            <w:pPr>
              <w:spacing w:after="0" w:line="240" w:lineRule="auto"/>
              <w:jc w:val="right"/>
              <w:rPr>
                <w:b/>
                <w:sz w:val="20"/>
                <w:szCs w:val="20"/>
              </w:rPr>
            </w:pPr>
            <w:r w:rsidRPr="00740563">
              <w:rPr>
                <w:b/>
                <w:sz w:val="20"/>
                <w:szCs w:val="20"/>
              </w:rPr>
              <w:t>4</w:t>
            </w:r>
            <w:r>
              <w:rPr>
                <w:b/>
                <w:sz w:val="20"/>
                <w:szCs w:val="20"/>
              </w:rPr>
              <w:t>.31</w:t>
            </w:r>
          </w:p>
        </w:tc>
      </w:tr>
      <w:tr w:rsidR="00316255" w:rsidRPr="00740563" w14:paraId="6076FDBC" w14:textId="77777777" w:rsidTr="00DB1C4D">
        <w:tc>
          <w:tcPr>
            <w:tcW w:w="1418" w:type="dxa"/>
          </w:tcPr>
          <w:p w14:paraId="7D5B56B8" w14:textId="77777777" w:rsidR="00316255" w:rsidRPr="00740563" w:rsidRDefault="00316255" w:rsidP="00DB1C4D">
            <w:pPr>
              <w:spacing w:after="0" w:line="240" w:lineRule="auto"/>
              <w:rPr>
                <w:b/>
                <w:sz w:val="20"/>
                <w:szCs w:val="20"/>
              </w:rPr>
            </w:pPr>
          </w:p>
          <w:p w14:paraId="341AD385" w14:textId="77777777" w:rsidR="00316255" w:rsidRPr="00B851DC" w:rsidRDefault="00316255" w:rsidP="00DB1C4D">
            <w:pPr>
              <w:spacing w:after="0" w:line="240" w:lineRule="auto"/>
              <w:rPr>
                <w:b/>
                <w:sz w:val="20"/>
                <w:szCs w:val="20"/>
              </w:rPr>
            </w:pPr>
            <w:r w:rsidRPr="00B851DC">
              <w:rPr>
                <w:b/>
                <w:sz w:val="20"/>
                <w:szCs w:val="20"/>
              </w:rPr>
              <w:t>Diskonts</w:t>
            </w:r>
            <w:r w:rsidRPr="00BB0BE6">
              <w:rPr>
                <w:rStyle w:val="FootnoteReference"/>
                <w:sz w:val="20"/>
                <w:szCs w:val="20"/>
              </w:rPr>
              <w:footnoteReference w:id="28"/>
            </w:r>
          </w:p>
        </w:tc>
        <w:tc>
          <w:tcPr>
            <w:tcW w:w="708" w:type="dxa"/>
          </w:tcPr>
          <w:p w14:paraId="043166C4" w14:textId="77777777" w:rsidR="00316255" w:rsidRPr="00B851DC" w:rsidRDefault="00316255" w:rsidP="00DB1C4D">
            <w:pPr>
              <w:spacing w:after="0" w:line="240" w:lineRule="auto"/>
              <w:jc w:val="right"/>
              <w:rPr>
                <w:sz w:val="20"/>
                <w:szCs w:val="20"/>
              </w:rPr>
            </w:pPr>
          </w:p>
          <w:p w14:paraId="764031AF" w14:textId="77777777" w:rsidR="00316255" w:rsidRPr="00B851DC" w:rsidRDefault="00316255" w:rsidP="00DB1C4D">
            <w:pPr>
              <w:spacing w:after="0" w:line="240" w:lineRule="auto"/>
              <w:jc w:val="right"/>
              <w:rPr>
                <w:sz w:val="20"/>
                <w:szCs w:val="20"/>
              </w:rPr>
            </w:pPr>
            <w:r w:rsidRPr="00B851DC">
              <w:rPr>
                <w:sz w:val="20"/>
                <w:szCs w:val="20"/>
              </w:rPr>
              <w:t>1.3%</w:t>
            </w:r>
          </w:p>
        </w:tc>
        <w:tc>
          <w:tcPr>
            <w:tcW w:w="1326" w:type="dxa"/>
          </w:tcPr>
          <w:p w14:paraId="17BF0787" w14:textId="77777777" w:rsidR="00316255" w:rsidRPr="00B851DC" w:rsidRDefault="00316255" w:rsidP="00DB1C4D">
            <w:pPr>
              <w:spacing w:after="0" w:line="240" w:lineRule="auto"/>
              <w:jc w:val="right"/>
              <w:rPr>
                <w:sz w:val="20"/>
                <w:szCs w:val="20"/>
              </w:rPr>
            </w:pPr>
          </w:p>
          <w:p w14:paraId="169090C0" w14:textId="77777777" w:rsidR="00316255" w:rsidRPr="00B851DC" w:rsidRDefault="00316255" w:rsidP="00DB1C4D">
            <w:pPr>
              <w:spacing w:after="0" w:line="240" w:lineRule="auto"/>
              <w:jc w:val="right"/>
              <w:rPr>
                <w:sz w:val="20"/>
                <w:szCs w:val="20"/>
              </w:rPr>
            </w:pPr>
            <w:r w:rsidRPr="00B851DC">
              <w:rPr>
                <w:sz w:val="20"/>
                <w:szCs w:val="20"/>
              </w:rPr>
              <w:t>1.3%</w:t>
            </w:r>
          </w:p>
        </w:tc>
        <w:tc>
          <w:tcPr>
            <w:tcW w:w="844" w:type="dxa"/>
            <w:gridSpan w:val="2"/>
          </w:tcPr>
          <w:p w14:paraId="430DCCE6" w14:textId="77777777" w:rsidR="00316255" w:rsidRPr="00B851DC" w:rsidRDefault="00316255" w:rsidP="00DB1C4D">
            <w:pPr>
              <w:spacing w:after="0" w:line="240" w:lineRule="auto"/>
              <w:jc w:val="right"/>
              <w:rPr>
                <w:sz w:val="20"/>
                <w:szCs w:val="20"/>
              </w:rPr>
            </w:pPr>
          </w:p>
          <w:p w14:paraId="037A6169" w14:textId="77777777" w:rsidR="00316255" w:rsidRPr="00B851DC" w:rsidRDefault="00316255" w:rsidP="00DB1C4D">
            <w:pPr>
              <w:spacing w:after="0" w:line="240" w:lineRule="auto"/>
              <w:jc w:val="right"/>
              <w:rPr>
                <w:sz w:val="20"/>
                <w:szCs w:val="20"/>
              </w:rPr>
            </w:pPr>
            <w:r w:rsidRPr="00B851DC">
              <w:rPr>
                <w:sz w:val="20"/>
                <w:szCs w:val="20"/>
              </w:rPr>
              <w:t>1.3%</w:t>
            </w:r>
          </w:p>
        </w:tc>
        <w:tc>
          <w:tcPr>
            <w:tcW w:w="1436" w:type="dxa"/>
          </w:tcPr>
          <w:p w14:paraId="08F7A20F" w14:textId="77777777" w:rsidR="00316255" w:rsidRPr="00B851DC" w:rsidRDefault="00316255" w:rsidP="00DB1C4D">
            <w:pPr>
              <w:spacing w:after="0" w:line="240" w:lineRule="auto"/>
              <w:jc w:val="right"/>
              <w:rPr>
                <w:sz w:val="20"/>
                <w:szCs w:val="20"/>
              </w:rPr>
            </w:pPr>
          </w:p>
          <w:p w14:paraId="1F10D3AC" w14:textId="77777777" w:rsidR="00316255" w:rsidRPr="00B851DC" w:rsidRDefault="00316255" w:rsidP="00DB1C4D">
            <w:pPr>
              <w:spacing w:after="0" w:line="240" w:lineRule="auto"/>
              <w:jc w:val="right"/>
              <w:rPr>
                <w:sz w:val="20"/>
                <w:szCs w:val="20"/>
              </w:rPr>
            </w:pPr>
            <w:r w:rsidRPr="00B851DC">
              <w:rPr>
                <w:sz w:val="20"/>
                <w:szCs w:val="20"/>
              </w:rPr>
              <w:t>1.3%</w:t>
            </w:r>
          </w:p>
        </w:tc>
        <w:tc>
          <w:tcPr>
            <w:tcW w:w="1401" w:type="dxa"/>
            <w:gridSpan w:val="2"/>
            <w:shd w:val="clear" w:color="auto" w:fill="D9D9D9" w:themeFill="background1" w:themeFillShade="D9"/>
          </w:tcPr>
          <w:p w14:paraId="63952621" w14:textId="77777777" w:rsidR="00316255" w:rsidRPr="00B851DC" w:rsidRDefault="00316255" w:rsidP="00DB1C4D">
            <w:pPr>
              <w:spacing w:after="0" w:line="240" w:lineRule="auto"/>
              <w:jc w:val="right"/>
              <w:rPr>
                <w:sz w:val="20"/>
                <w:szCs w:val="20"/>
              </w:rPr>
            </w:pPr>
          </w:p>
          <w:p w14:paraId="6BE4A61D" w14:textId="77777777" w:rsidR="00316255" w:rsidRPr="00B851DC" w:rsidRDefault="00316255" w:rsidP="00DB1C4D">
            <w:pPr>
              <w:spacing w:after="0" w:line="240" w:lineRule="auto"/>
              <w:jc w:val="right"/>
              <w:rPr>
                <w:sz w:val="20"/>
                <w:szCs w:val="20"/>
              </w:rPr>
            </w:pPr>
            <w:r w:rsidRPr="00B851DC">
              <w:rPr>
                <w:sz w:val="20"/>
                <w:szCs w:val="20"/>
              </w:rPr>
              <w:t>1.3%</w:t>
            </w:r>
          </w:p>
        </w:tc>
        <w:tc>
          <w:tcPr>
            <w:tcW w:w="1387" w:type="dxa"/>
          </w:tcPr>
          <w:p w14:paraId="3DC5967A" w14:textId="77777777" w:rsidR="00316255" w:rsidRPr="00B851DC" w:rsidRDefault="00316255" w:rsidP="00DB1C4D">
            <w:pPr>
              <w:spacing w:after="0" w:line="240" w:lineRule="auto"/>
              <w:jc w:val="right"/>
              <w:rPr>
                <w:sz w:val="20"/>
                <w:szCs w:val="20"/>
              </w:rPr>
            </w:pPr>
          </w:p>
          <w:p w14:paraId="602AAE8B" w14:textId="77777777" w:rsidR="00316255" w:rsidRPr="00740563" w:rsidRDefault="00316255" w:rsidP="00DB1C4D">
            <w:pPr>
              <w:spacing w:after="0" w:line="240" w:lineRule="auto"/>
              <w:jc w:val="right"/>
              <w:rPr>
                <w:sz w:val="20"/>
                <w:szCs w:val="20"/>
              </w:rPr>
            </w:pPr>
            <w:r w:rsidRPr="00B851DC">
              <w:rPr>
                <w:sz w:val="20"/>
                <w:szCs w:val="20"/>
              </w:rPr>
              <w:t>1.3%</w:t>
            </w:r>
          </w:p>
        </w:tc>
      </w:tr>
      <w:tr w:rsidR="00316255" w:rsidRPr="00740563" w14:paraId="524F75C3" w14:textId="77777777" w:rsidTr="00DB1C4D">
        <w:tc>
          <w:tcPr>
            <w:tcW w:w="1418" w:type="dxa"/>
          </w:tcPr>
          <w:p w14:paraId="4FF0FD12" w14:textId="77777777" w:rsidR="00316255" w:rsidRPr="00740563" w:rsidRDefault="00316255" w:rsidP="00DB1C4D">
            <w:pPr>
              <w:spacing w:after="0" w:line="240" w:lineRule="auto"/>
              <w:rPr>
                <w:b/>
                <w:sz w:val="20"/>
                <w:szCs w:val="20"/>
              </w:rPr>
            </w:pPr>
          </w:p>
          <w:p w14:paraId="6B298B54" w14:textId="77777777" w:rsidR="00316255" w:rsidRPr="00740563" w:rsidRDefault="00316255" w:rsidP="00DB1C4D">
            <w:pPr>
              <w:spacing w:after="0" w:line="240" w:lineRule="auto"/>
              <w:rPr>
                <w:b/>
                <w:sz w:val="20"/>
                <w:szCs w:val="20"/>
              </w:rPr>
            </w:pPr>
            <w:r>
              <w:rPr>
                <w:b/>
                <w:sz w:val="20"/>
                <w:szCs w:val="20"/>
              </w:rPr>
              <w:t>Neto</w:t>
            </w:r>
            <w:r w:rsidRPr="00740563">
              <w:rPr>
                <w:b/>
                <w:sz w:val="20"/>
                <w:szCs w:val="20"/>
              </w:rPr>
              <w:t xml:space="preserve"> vērtība</w:t>
            </w:r>
          </w:p>
        </w:tc>
        <w:tc>
          <w:tcPr>
            <w:tcW w:w="708" w:type="dxa"/>
          </w:tcPr>
          <w:p w14:paraId="33D31605" w14:textId="77777777" w:rsidR="00316255" w:rsidRPr="00740563" w:rsidRDefault="00316255" w:rsidP="00DB1C4D">
            <w:pPr>
              <w:spacing w:after="0" w:line="240" w:lineRule="auto"/>
              <w:jc w:val="right"/>
              <w:rPr>
                <w:b/>
                <w:sz w:val="20"/>
                <w:szCs w:val="20"/>
              </w:rPr>
            </w:pPr>
          </w:p>
          <w:p w14:paraId="44008513" w14:textId="77777777" w:rsidR="00316255" w:rsidRPr="00740563" w:rsidRDefault="00316255" w:rsidP="00DB1C4D">
            <w:pPr>
              <w:spacing w:after="0" w:line="240" w:lineRule="auto"/>
              <w:jc w:val="right"/>
              <w:rPr>
                <w:b/>
                <w:sz w:val="20"/>
                <w:szCs w:val="20"/>
              </w:rPr>
            </w:pPr>
            <w:r w:rsidRPr="00740563">
              <w:rPr>
                <w:b/>
                <w:sz w:val="20"/>
                <w:szCs w:val="20"/>
              </w:rPr>
              <w:t>93.53</w:t>
            </w:r>
          </w:p>
        </w:tc>
        <w:tc>
          <w:tcPr>
            <w:tcW w:w="1326" w:type="dxa"/>
          </w:tcPr>
          <w:p w14:paraId="62FDF9C6" w14:textId="77777777" w:rsidR="00316255" w:rsidRPr="00740563" w:rsidRDefault="00316255" w:rsidP="00DB1C4D">
            <w:pPr>
              <w:spacing w:after="0" w:line="240" w:lineRule="auto"/>
              <w:jc w:val="right"/>
              <w:rPr>
                <w:b/>
                <w:sz w:val="20"/>
                <w:szCs w:val="20"/>
              </w:rPr>
            </w:pPr>
          </w:p>
          <w:p w14:paraId="446412E5" w14:textId="77777777" w:rsidR="00316255" w:rsidRPr="00740563" w:rsidRDefault="00316255" w:rsidP="00DB1C4D">
            <w:pPr>
              <w:spacing w:after="0" w:line="240" w:lineRule="auto"/>
              <w:jc w:val="right"/>
              <w:rPr>
                <w:b/>
                <w:sz w:val="20"/>
                <w:szCs w:val="20"/>
              </w:rPr>
            </w:pPr>
            <w:r>
              <w:rPr>
                <w:b/>
                <w:sz w:val="20"/>
                <w:szCs w:val="20"/>
              </w:rPr>
              <w:t>2.68</w:t>
            </w:r>
            <w:r w:rsidRPr="00740563">
              <w:rPr>
                <w:b/>
                <w:sz w:val="20"/>
                <w:szCs w:val="20"/>
              </w:rPr>
              <w:t xml:space="preserve"> </w:t>
            </w:r>
          </w:p>
        </w:tc>
        <w:tc>
          <w:tcPr>
            <w:tcW w:w="844" w:type="dxa"/>
            <w:gridSpan w:val="2"/>
          </w:tcPr>
          <w:p w14:paraId="4E35BF98" w14:textId="77777777" w:rsidR="00316255" w:rsidRPr="00740563" w:rsidRDefault="00316255" w:rsidP="00DB1C4D">
            <w:pPr>
              <w:spacing w:after="0" w:line="240" w:lineRule="auto"/>
              <w:jc w:val="right"/>
              <w:rPr>
                <w:b/>
                <w:sz w:val="20"/>
                <w:szCs w:val="20"/>
              </w:rPr>
            </w:pPr>
          </w:p>
          <w:p w14:paraId="7F041357" w14:textId="77777777" w:rsidR="00316255" w:rsidRPr="00740563" w:rsidRDefault="00316255" w:rsidP="00DB1C4D">
            <w:pPr>
              <w:spacing w:after="0" w:line="240" w:lineRule="auto"/>
              <w:jc w:val="right"/>
              <w:rPr>
                <w:b/>
                <w:sz w:val="20"/>
                <w:szCs w:val="20"/>
              </w:rPr>
            </w:pPr>
            <w:r w:rsidRPr="00740563">
              <w:rPr>
                <w:b/>
                <w:sz w:val="20"/>
                <w:szCs w:val="20"/>
              </w:rPr>
              <w:t>9</w:t>
            </w:r>
            <w:r>
              <w:rPr>
                <w:b/>
                <w:sz w:val="20"/>
                <w:szCs w:val="20"/>
              </w:rPr>
              <w:t>6.82</w:t>
            </w:r>
          </w:p>
        </w:tc>
        <w:tc>
          <w:tcPr>
            <w:tcW w:w="1436" w:type="dxa"/>
          </w:tcPr>
          <w:p w14:paraId="5A66EABD" w14:textId="77777777" w:rsidR="00316255" w:rsidRPr="00740563" w:rsidRDefault="00316255" w:rsidP="00DB1C4D">
            <w:pPr>
              <w:spacing w:after="0" w:line="240" w:lineRule="auto"/>
              <w:jc w:val="right"/>
              <w:rPr>
                <w:b/>
                <w:sz w:val="20"/>
                <w:szCs w:val="20"/>
              </w:rPr>
            </w:pPr>
          </w:p>
          <w:p w14:paraId="3948317F" w14:textId="77777777" w:rsidR="00316255" w:rsidRPr="00740563" w:rsidRDefault="00316255" w:rsidP="00DB1C4D">
            <w:pPr>
              <w:spacing w:after="0" w:line="240" w:lineRule="auto"/>
              <w:jc w:val="right"/>
              <w:rPr>
                <w:b/>
                <w:sz w:val="20"/>
                <w:szCs w:val="20"/>
              </w:rPr>
            </w:pPr>
            <w:r w:rsidRPr="00740563">
              <w:rPr>
                <w:b/>
                <w:sz w:val="20"/>
                <w:szCs w:val="20"/>
              </w:rPr>
              <w:t>2</w:t>
            </w:r>
            <w:r>
              <w:rPr>
                <w:b/>
                <w:sz w:val="20"/>
                <w:szCs w:val="20"/>
              </w:rPr>
              <w:t>.78</w:t>
            </w:r>
          </w:p>
        </w:tc>
        <w:tc>
          <w:tcPr>
            <w:tcW w:w="1401" w:type="dxa"/>
            <w:gridSpan w:val="2"/>
            <w:shd w:val="clear" w:color="auto" w:fill="D9D9D9" w:themeFill="background1" w:themeFillShade="D9"/>
          </w:tcPr>
          <w:p w14:paraId="219FB100" w14:textId="77777777" w:rsidR="00316255" w:rsidRPr="00740563" w:rsidRDefault="00316255" w:rsidP="00DB1C4D">
            <w:pPr>
              <w:spacing w:after="0" w:line="240" w:lineRule="auto"/>
              <w:jc w:val="right"/>
              <w:rPr>
                <w:b/>
                <w:sz w:val="20"/>
                <w:szCs w:val="20"/>
              </w:rPr>
            </w:pPr>
          </w:p>
          <w:p w14:paraId="06561B01" w14:textId="77777777" w:rsidR="00316255" w:rsidRPr="00740563" w:rsidRDefault="00316255" w:rsidP="00DB1C4D">
            <w:pPr>
              <w:spacing w:after="0" w:line="240" w:lineRule="auto"/>
              <w:jc w:val="right"/>
              <w:rPr>
                <w:b/>
                <w:sz w:val="20"/>
                <w:szCs w:val="20"/>
              </w:rPr>
            </w:pPr>
            <w:r w:rsidRPr="00740563">
              <w:rPr>
                <w:b/>
                <w:sz w:val="20"/>
                <w:szCs w:val="20"/>
              </w:rPr>
              <w:t>3</w:t>
            </w:r>
            <w:r>
              <w:rPr>
                <w:b/>
                <w:sz w:val="20"/>
                <w:szCs w:val="20"/>
              </w:rPr>
              <w:t>.61</w:t>
            </w:r>
          </w:p>
        </w:tc>
        <w:tc>
          <w:tcPr>
            <w:tcW w:w="1387" w:type="dxa"/>
          </w:tcPr>
          <w:p w14:paraId="3056AC36" w14:textId="77777777" w:rsidR="00316255" w:rsidRPr="00740563" w:rsidRDefault="00316255" w:rsidP="00DB1C4D">
            <w:pPr>
              <w:spacing w:after="0" w:line="240" w:lineRule="auto"/>
              <w:jc w:val="right"/>
              <w:rPr>
                <w:b/>
                <w:sz w:val="20"/>
                <w:szCs w:val="20"/>
              </w:rPr>
            </w:pPr>
          </w:p>
          <w:p w14:paraId="08196BF6" w14:textId="77777777" w:rsidR="00316255" w:rsidRPr="00740563" w:rsidRDefault="00316255" w:rsidP="00DB1C4D">
            <w:pPr>
              <w:spacing w:after="0" w:line="240" w:lineRule="auto"/>
              <w:jc w:val="right"/>
              <w:rPr>
                <w:b/>
                <w:sz w:val="20"/>
                <w:szCs w:val="20"/>
              </w:rPr>
            </w:pPr>
            <w:r w:rsidRPr="00740563">
              <w:rPr>
                <w:b/>
                <w:sz w:val="20"/>
                <w:szCs w:val="20"/>
              </w:rPr>
              <w:t>4</w:t>
            </w:r>
            <w:r>
              <w:rPr>
                <w:b/>
                <w:sz w:val="20"/>
                <w:szCs w:val="20"/>
              </w:rPr>
              <w:t>.17</w:t>
            </w:r>
          </w:p>
        </w:tc>
      </w:tr>
      <w:tr w:rsidR="00316255" w:rsidRPr="00740563" w14:paraId="428AB1DD" w14:textId="77777777" w:rsidTr="00DB1C4D">
        <w:tc>
          <w:tcPr>
            <w:tcW w:w="1418" w:type="dxa"/>
          </w:tcPr>
          <w:p w14:paraId="4D6598EC" w14:textId="77777777" w:rsidR="00316255" w:rsidRPr="00740563" w:rsidRDefault="00316255" w:rsidP="00DB1C4D">
            <w:pPr>
              <w:spacing w:after="0" w:line="240" w:lineRule="auto"/>
              <w:rPr>
                <w:b/>
                <w:sz w:val="20"/>
                <w:szCs w:val="20"/>
              </w:rPr>
            </w:pPr>
          </w:p>
          <w:p w14:paraId="4DA882D4" w14:textId="77777777" w:rsidR="00316255" w:rsidRPr="00740563" w:rsidRDefault="00316255" w:rsidP="00DB1C4D">
            <w:pPr>
              <w:spacing w:after="0" w:line="240" w:lineRule="auto"/>
              <w:rPr>
                <w:b/>
                <w:sz w:val="20"/>
                <w:szCs w:val="20"/>
              </w:rPr>
            </w:pPr>
            <w:r w:rsidRPr="00740563">
              <w:rPr>
                <w:b/>
                <w:sz w:val="20"/>
                <w:szCs w:val="20"/>
              </w:rPr>
              <w:t>Starpība</w:t>
            </w:r>
          </w:p>
        </w:tc>
        <w:tc>
          <w:tcPr>
            <w:tcW w:w="708" w:type="dxa"/>
          </w:tcPr>
          <w:p w14:paraId="54AFEAD6" w14:textId="77777777" w:rsidR="00316255" w:rsidRPr="00740563" w:rsidRDefault="00316255" w:rsidP="00DB1C4D">
            <w:pPr>
              <w:spacing w:after="0" w:line="240" w:lineRule="auto"/>
              <w:jc w:val="right"/>
              <w:rPr>
                <w:sz w:val="20"/>
                <w:szCs w:val="20"/>
              </w:rPr>
            </w:pPr>
          </w:p>
        </w:tc>
        <w:tc>
          <w:tcPr>
            <w:tcW w:w="1326" w:type="dxa"/>
          </w:tcPr>
          <w:p w14:paraId="7BD0FC30" w14:textId="77777777" w:rsidR="00316255" w:rsidRPr="00740563" w:rsidRDefault="00316255" w:rsidP="00DB1C4D">
            <w:pPr>
              <w:spacing w:after="0" w:line="240" w:lineRule="auto"/>
              <w:jc w:val="right"/>
              <w:rPr>
                <w:sz w:val="20"/>
                <w:szCs w:val="20"/>
              </w:rPr>
            </w:pPr>
          </w:p>
        </w:tc>
        <w:tc>
          <w:tcPr>
            <w:tcW w:w="844" w:type="dxa"/>
            <w:gridSpan w:val="2"/>
          </w:tcPr>
          <w:p w14:paraId="1B67C596" w14:textId="77777777" w:rsidR="00316255" w:rsidRPr="00740563" w:rsidRDefault="00316255" w:rsidP="00DB1C4D">
            <w:pPr>
              <w:spacing w:after="0" w:line="240" w:lineRule="auto"/>
              <w:jc w:val="right"/>
              <w:rPr>
                <w:sz w:val="20"/>
                <w:szCs w:val="20"/>
              </w:rPr>
            </w:pPr>
          </w:p>
        </w:tc>
        <w:tc>
          <w:tcPr>
            <w:tcW w:w="1436" w:type="dxa"/>
          </w:tcPr>
          <w:p w14:paraId="7713C09D" w14:textId="77777777" w:rsidR="00316255" w:rsidRPr="00740563" w:rsidRDefault="00316255" w:rsidP="00DB1C4D">
            <w:pPr>
              <w:spacing w:after="0" w:line="240" w:lineRule="auto"/>
              <w:jc w:val="right"/>
              <w:rPr>
                <w:sz w:val="20"/>
                <w:szCs w:val="20"/>
              </w:rPr>
            </w:pPr>
          </w:p>
          <w:p w14:paraId="4BD13EEC" w14:textId="77777777" w:rsidR="00316255" w:rsidRPr="00740563" w:rsidRDefault="00316255" w:rsidP="00DB1C4D">
            <w:pPr>
              <w:spacing w:after="0" w:line="240" w:lineRule="auto"/>
              <w:jc w:val="right"/>
              <w:rPr>
                <w:sz w:val="20"/>
                <w:szCs w:val="20"/>
              </w:rPr>
            </w:pPr>
            <w:r>
              <w:rPr>
                <w:sz w:val="20"/>
                <w:szCs w:val="20"/>
              </w:rPr>
              <w:t>0.09</w:t>
            </w:r>
          </w:p>
        </w:tc>
        <w:tc>
          <w:tcPr>
            <w:tcW w:w="1401" w:type="dxa"/>
            <w:gridSpan w:val="2"/>
            <w:shd w:val="clear" w:color="auto" w:fill="D9D9D9" w:themeFill="background1" w:themeFillShade="D9"/>
          </w:tcPr>
          <w:p w14:paraId="3567AF30" w14:textId="77777777" w:rsidR="00316255" w:rsidRPr="00740563" w:rsidRDefault="00316255" w:rsidP="00DB1C4D">
            <w:pPr>
              <w:spacing w:after="0" w:line="240" w:lineRule="auto"/>
              <w:jc w:val="right"/>
              <w:rPr>
                <w:sz w:val="20"/>
                <w:szCs w:val="20"/>
              </w:rPr>
            </w:pPr>
          </w:p>
          <w:p w14:paraId="65B89AE7" w14:textId="77777777" w:rsidR="00316255" w:rsidRPr="00740563" w:rsidRDefault="00316255" w:rsidP="00DB1C4D">
            <w:pPr>
              <w:spacing w:after="0" w:line="240" w:lineRule="auto"/>
              <w:jc w:val="right"/>
              <w:rPr>
                <w:sz w:val="20"/>
                <w:szCs w:val="20"/>
              </w:rPr>
            </w:pPr>
            <w:r>
              <w:rPr>
                <w:sz w:val="20"/>
                <w:szCs w:val="20"/>
              </w:rPr>
              <w:t>0.12</w:t>
            </w:r>
          </w:p>
        </w:tc>
        <w:tc>
          <w:tcPr>
            <w:tcW w:w="1387" w:type="dxa"/>
          </w:tcPr>
          <w:p w14:paraId="761B8148" w14:textId="77777777" w:rsidR="00316255" w:rsidRPr="00740563" w:rsidRDefault="00316255" w:rsidP="00DB1C4D">
            <w:pPr>
              <w:spacing w:after="0" w:line="240" w:lineRule="auto"/>
              <w:jc w:val="right"/>
              <w:rPr>
                <w:sz w:val="20"/>
                <w:szCs w:val="20"/>
              </w:rPr>
            </w:pPr>
          </w:p>
          <w:p w14:paraId="183BA08B" w14:textId="77777777" w:rsidR="00316255" w:rsidRPr="00740563" w:rsidRDefault="00316255" w:rsidP="00DB1C4D">
            <w:pPr>
              <w:spacing w:after="0" w:line="240" w:lineRule="auto"/>
              <w:jc w:val="right"/>
              <w:rPr>
                <w:sz w:val="20"/>
                <w:szCs w:val="20"/>
              </w:rPr>
            </w:pPr>
            <w:r>
              <w:rPr>
                <w:sz w:val="20"/>
                <w:szCs w:val="20"/>
              </w:rPr>
              <w:t>0.14</w:t>
            </w:r>
          </w:p>
        </w:tc>
      </w:tr>
      <w:tr w:rsidR="00316255" w:rsidRPr="00740563" w14:paraId="370C139D" w14:textId="77777777" w:rsidTr="00DB1C4D">
        <w:tc>
          <w:tcPr>
            <w:tcW w:w="1418" w:type="dxa"/>
            <w:tcBorders>
              <w:bottom w:val="single" w:sz="4" w:space="0" w:color="auto"/>
            </w:tcBorders>
          </w:tcPr>
          <w:p w14:paraId="5DD63C0E" w14:textId="77777777" w:rsidR="00316255" w:rsidRDefault="00316255" w:rsidP="00DB1C4D">
            <w:pPr>
              <w:spacing w:after="0" w:line="240" w:lineRule="auto"/>
              <w:rPr>
                <w:b/>
                <w:sz w:val="20"/>
                <w:szCs w:val="20"/>
              </w:rPr>
            </w:pPr>
          </w:p>
          <w:p w14:paraId="7ECADDF1" w14:textId="77777777" w:rsidR="00316255" w:rsidRPr="00740563" w:rsidRDefault="00316255" w:rsidP="00DB1C4D">
            <w:pPr>
              <w:spacing w:after="0" w:line="240" w:lineRule="auto"/>
              <w:rPr>
                <w:b/>
                <w:sz w:val="20"/>
                <w:szCs w:val="20"/>
              </w:rPr>
            </w:pPr>
            <w:r>
              <w:rPr>
                <w:b/>
                <w:sz w:val="20"/>
                <w:szCs w:val="20"/>
              </w:rPr>
              <w:t>Pieskaitījums</w:t>
            </w:r>
          </w:p>
        </w:tc>
        <w:tc>
          <w:tcPr>
            <w:tcW w:w="708" w:type="dxa"/>
            <w:tcBorders>
              <w:bottom w:val="single" w:sz="4" w:space="0" w:color="auto"/>
            </w:tcBorders>
          </w:tcPr>
          <w:p w14:paraId="47B1663A" w14:textId="77777777" w:rsidR="00316255" w:rsidRPr="00740563" w:rsidRDefault="00316255" w:rsidP="00DB1C4D">
            <w:pPr>
              <w:spacing w:after="0" w:line="240" w:lineRule="auto"/>
              <w:jc w:val="right"/>
              <w:rPr>
                <w:sz w:val="20"/>
                <w:szCs w:val="20"/>
              </w:rPr>
            </w:pPr>
          </w:p>
        </w:tc>
        <w:tc>
          <w:tcPr>
            <w:tcW w:w="1326" w:type="dxa"/>
            <w:tcBorders>
              <w:bottom w:val="single" w:sz="4" w:space="0" w:color="auto"/>
            </w:tcBorders>
          </w:tcPr>
          <w:p w14:paraId="7BABACB0" w14:textId="77777777" w:rsidR="00316255" w:rsidRPr="00740563" w:rsidRDefault="00316255" w:rsidP="00DB1C4D">
            <w:pPr>
              <w:spacing w:after="0" w:line="240" w:lineRule="auto"/>
              <w:jc w:val="right"/>
              <w:rPr>
                <w:sz w:val="20"/>
                <w:szCs w:val="20"/>
              </w:rPr>
            </w:pPr>
          </w:p>
        </w:tc>
        <w:tc>
          <w:tcPr>
            <w:tcW w:w="844" w:type="dxa"/>
            <w:gridSpan w:val="2"/>
            <w:tcBorders>
              <w:bottom w:val="single" w:sz="4" w:space="0" w:color="auto"/>
            </w:tcBorders>
          </w:tcPr>
          <w:p w14:paraId="040CD22E" w14:textId="77777777" w:rsidR="00316255" w:rsidRDefault="00316255" w:rsidP="00DB1C4D">
            <w:pPr>
              <w:spacing w:after="0" w:line="240" w:lineRule="auto"/>
              <w:jc w:val="right"/>
              <w:rPr>
                <w:b/>
                <w:sz w:val="20"/>
                <w:szCs w:val="20"/>
              </w:rPr>
            </w:pPr>
          </w:p>
          <w:p w14:paraId="7AE7D419" w14:textId="77777777" w:rsidR="00316255" w:rsidRPr="00740563" w:rsidRDefault="00316255" w:rsidP="00DB1C4D">
            <w:pPr>
              <w:spacing w:after="0" w:line="240" w:lineRule="auto"/>
              <w:jc w:val="right"/>
              <w:rPr>
                <w:b/>
                <w:sz w:val="20"/>
                <w:szCs w:val="20"/>
              </w:rPr>
            </w:pPr>
            <w:r>
              <w:rPr>
                <w:b/>
                <w:sz w:val="20"/>
                <w:szCs w:val="20"/>
              </w:rPr>
              <w:t>3.53</w:t>
            </w:r>
            <w:r w:rsidRPr="00740563">
              <w:rPr>
                <w:b/>
                <w:sz w:val="20"/>
                <w:szCs w:val="20"/>
              </w:rPr>
              <w:t>%</w:t>
            </w:r>
          </w:p>
        </w:tc>
        <w:tc>
          <w:tcPr>
            <w:tcW w:w="1436" w:type="dxa"/>
            <w:tcBorders>
              <w:bottom w:val="single" w:sz="4" w:space="0" w:color="auto"/>
            </w:tcBorders>
          </w:tcPr>
          <w:p w14:paraId="2AC0B56D" w14:textId="77777777" w:rsidR="00316255" w:rsidRDefault="00316255" w:rsidP="00DB1C4D">
            <w:pPr>
              <w:spacing w:after="0" w:line="240" w:lineRule="auto"/>
              <w:jc w:val="right"/>
              <w:rPr>
                <w:b/>
                <w:sz w:val="20"/>
                <w:szCs w:val="20"/>
              </w:rPr>
            </w:pPr>
          </w:p>
          <w:p w14:paraId="3DFCD144" w14:textId="77777777" w:rsidR="00316255" w:rsidRPr="00740563" w:rsidRDefault="00316255" w:rsidP="00DB1C4D">
            <w:pPr>
              <w:spacing w:after="0" w:line="240" w:lineRule="auto"/>
              <w:jc w:val="right"/>
              <w:rPr>
                <w:b/>
                <w:sz w:val="20"/>
                <w:szCs w:val="20"/>
              </w:rPr>
            </w:pPr>
            <w:r>
              <w:rPr>
                <w:b/>
                <w:sz w:val="20"/>
                <w:szCs w:val="20"/>
              </w:rPr>
              <w:t>0.10</w:t>
            </w:r>
          </w:p>
        </w:tc>
        <w:tc>
          <w:tcPr>
            <w:tcW w:w="1401" w:type="dxa"/>
            <w:gridSpan w:val="2"/>
            <w:tcBorders>
              <w:bottom w:val="single" w:sz="4" w:space="0" w:color="auto"/>
            </w:tcBorders>
            <w:shd w:val="clear" w:color="auto" w:fill="D9D9D9" w:themeFill="background1" w:themeFillShade="D9"/>
          </w:tcPr>
          <w:p w14:paraId="26F50029" w14:textId="77777777" w:rsidR="00316255" w:rsidRDefault="00316255" w:rsidP="00DB1C4D">
            <w:pPr>
              <w:spacing w:after="0" w:line="240" w:lineRule="auto"/>
              <w:jc w:val="right"/>
              <w:rPr>
                <w:b/>
                <w:sz w:val="20"/>
                <w:szCs w:val="20"/>
              </w:rPr>
            </w:pPr>
          </w:p>
          <w:p w14:paraId="2013F24C" w14:textId="77777777" w:rsidR="00316255" w:rsidRPr="00740563" w:rsidRDefault="00316255" w:rsidP="00DB1C4D">
            <w:pPr>
              <w:spacing w:after="0" w:line="240" w:lineRule="auto"/>
              <w:jc w:val="right"/>
              <w:rPr>
                <w:b/>
                <w:sz w:val="20"/>
                <w:szCs w:val="20"/>
              </w:rPr>
            </w:pPr>
            <w:r>
              <w:rPr>
                <w:b/>
                <w:sz w:val="20"/>
                <w:szCs w:val="20"/>
              </w:rPr>
              <w:t>0.13</w:t>
            </w:r>
          </w:p>
        </w:tc>
        <w:tc>
          <w:tcPr>
            <w:tcW w:w="1387" w:type="dxa"/>
            <w:tcBorders>
              <w:bottom w:val="single" w:sz="4" w:space="0" w:color="auto"/>
            </w:tcBorders>
          </w:tcPr>
          <w:p w14:paraId="38431970" w14:textId="77777777" w:rsidR="00316255" w:rsidRDefault="00316255" w:rsidP="00DB1C4D">
            <w:pPr>
              <w:spacing w:after="0" w:line="240" w:lineRule="auto"/>
              <w:jc w:val="right"/>
              <w:rPr>
                <w:b/>
                <w:sz w:val="20"/>
                <w:szCs w:val="20"/>
              </w:rPr>
            </w:pPr>
          </w:p>
          <w:p w14:paraId="0133B0A3" w14:textId="77777777" w:rsidR="00316255" w:rsidRPr="00740563" w:rsidRDefault="00316255" w:rsidP="00DB1C4D">
            <w:pPr>
              <w:spacing w:after="0" w:line="240" w:lineRule="auto"/>
              <w:jc w:val="right"/>
              <w:rPr>
                <w:b/>
                <w:sz w:val="20"/>
                <w:szCs w:val="20"/>
              </w:rPr>
            </w:pPr>
            <w:r>
              <w:rPr>
                <w:b/>
                <w:sz w:val="20"/>
                <w:szCs w:val="20"/>
              </w:rPr>
              <w:t>0.15</w:t>
            </w:r>
          </w:p>
        </w:tc>
      </w:tr>
      <w:tr w:rsidR="00316255" w:rsidRPr="00740563" w14:paraId="1F677CC5" w14:textId="77777777" w:rsidTr="00DB1C4D">
        <w:tc>
          <w:tcPr>
            <w:tcW w:w="4300" w:type="dxa"/>
            <w:gridSpan w:val="5"/>
            <w:tcBorders>
              <w:top w:val="single" w:sz="4" w:space="0" w:color="auto"/>
              <w:left w:val="nil"/>
              <w:bottom w:val="nil"/>
              <w:right w:val="nil"/>
            </w:tcBorders>
          </w:tcPr>
          <w:p w14:paraId="655942EE" w14:textId="77777777" w:rsidR="00316255" w:rsidRDefault="00316255" w:rsidP="00DB1C4D">
            <w:pPr>
              <w:spacing w:after="0" w:line="240" w:lineRule="auto"/>
              <w:rPr>
                <w:b/>
                <w:sz w:val="20"/>
                <w:szCs w:val="20"/>
              </w:rPr>
            </w:pPr>
          </w:p>
          <w:p w14:paraId="2C69820C" w14:textId="77777777" w:rsidR="00316255" w:rsidRPr="00740563" w:rsidRDefault="00316255" w:rsidP="00DB1C4D">
            <w:pPr>
              <w:spacing w:after="0" w:line="240" w:lineRule="auto"/>
              <w:jc w:val="center"/>
              <w:rPr>
                <w:b/>
                <w:sz w:val="20"/>
                <w:szCs w:val="20"/>
              </w:rPr>
            </w:pPr>
            <w:r>
              <w:rPr>
                <w:b/>
                <w:sz w:val="20"/>
                <w:szCs w:val="20"/>
              </w:rPr>
              <w:t>Latvijas balsu pieaugums IDA</w:t>
            </w:r>
            <w:r w:rsidRPr="00B851DC">
              <w:rPr>
                <w:rStyle w:val="FootnoteReference"/>
                <w:sz w:val="20"/>
                <w:szCs w:val="20"/>
              </w:rPr>
              <w:footnoteReference w:id="29"/>
            </w:r>
          </w:p>
        </w:tc>
        <w:tc>
          <w:tcPr>
            <w:tcW w:w="1436" w:type="dxa"/>
            <w:tcBorders>
              <w:top w:val="single" w:sz="4" w:space="0" w:color="auto"/>
              <w:left w:val="nil"/>
              <w:bottom w:val="nil"/>
              <w:right w:val="nil"/>
            </w:tcBorders>
          </w:tcPr>
          <w:p w14:paraId="66AEDB2D" w14:textId="77777777" w:rsidR="00316255" w:rsidRDefault="00316255" w:rsidP="00DB1C4D">
            <w:pPr>
              <w:spacing w:after="0" w:line="240" w:lineRule="auto"/>
              <w:jc w:val="right"/>
              <w:rPr>
                <w:b/>
                <w:sz w:val="20"/>
                <w:szCs w:val="20"/>
              </w:rPr>
            </w:pPr>
          </w:p>
          <w:p w14:paraId="5D1B3EDD" w14:textId="77777777" w:rsidR="00316255" w:rsidRPr="00740563" w:rsidRDefault="00316255" w:rsidP="00DB1C4D">
            <w:pPr>
              <w:spacing w:after="0" w:line="240" w:lineRule="auto"/>
              <w:jc w:val="right"/>
              <w:rPr>
                <w:b/>
                <w:sz w:val="20"/>
                <w:szCs w:val="20"/>
              </w:rPr>
            </w:pPr>
            <w:r>
              <w:rPr>
                <w:b/>
                <w:sz w:val="20"/>
                <w:szCs w:val="20"/>
              </w:rPr>
              <w:t>+9.4%</w:t>
            </w:r>
          </w:p>
        </w:tc>
        <w:tc>
          <w:tcPr>
            <w:tcW w:w="1401" w:type="dxa"/>
            <w:gridSpan w:val="2"/>
            <w:tcBorders>
              <w:top w:val="single" w:sz="4" w:space="0" w:color="auto"/>
              <w:left w:val="nil"/>
              <w:bottom w:val="nil"/>
              <w:right w:val="nil"/>
            </w:tcBorders>
            <w:shd w:val="clear" w:color="auto" w:fill="D9D9D9" w:themeFill="background1" w:themeFillShade="D9"/>
          </w:tcPr>
          <w:p w14:paraId="7947853D" w14:textId="77777777" w:rsidR="00316255" w:rsidRDefault="00316255" w:rsidP="00DB1C4D">
            <w:pPr>
              <w:spacing w:after="0" w:line="240" w:lineRule="auto"/>
              <w:jc w:val="right"/>
              <w:rPr>
                <w:b/>
                <w:sz w:val="20"/>
                <w:szCs w:val="20"/>
              </w:rPr>
            </w:pPr>
          </w:p>
          <w:p w14:paraId="47CF7703" w14:textId="4FEA58BA" w:rsidR="00316255" w:rsidRPr="00740563" w:rsidRDefault="00EF76BB" w:rsidP="00DB1C4D">
            <w:pPr>
              <w:spacing w:after="0" w:line="240" w:lineRule="auto"/>
              <w:jc w:val="right"/>
              <w:rPr>
                <w:b/>
                <w:sz w:val="20"/>
                <w:szCs w:val="20"/>
              </w:rPr>
            </w:pPr>
            <w:r>
              <w:rPr>
                <w:b/>
                <w:sz w:val="20"/>
                <w:szCs w:val="20"/>
              </w:rPr>
              <w:t>+50.7</w:t>
            </w:r>
            <w:r w:rsidR="00316255">
              <w:rPr>
                <w:b/>
                <w:sz w:val="20"/>
                <w:szCs w:val="20"/>
              </w:rPr>
              <w:t>%</w:t>
            </w:r>
          </w:p>
        </w:tc>
        <w:tc>
          <w:tcPr>
            <w:tcW w:w="1387" w:type="dxa"/>
            <w:tcBorders>
              <w:top w:val="single" w:sz="4" w:space="0" w:color="auto"/>
              <w:left w:val="nil"/>
              <w:bottom w:val="nil"/>
              <w:right w:val="nil"/>
            </w:tcBorders>
          </w:tcPr>
          <w:p w14:paraId="7D157FAF" w14:textId="77777777" w:rsidR="00316255" w:rsidRDefault="00316255" w:rsidP="00DB1C4D">
            <w:pPr>
              <w:spacing w:after="0" w:line="240" w:lineRule="auto"/>
              <w:jc w:val="right"/>
              <w:rPr>
                <w:b/>
                <w:sz w:val="20"/>
                <w:szCs w:val="20"/>
              </w:rPr>
            </w:pPr>
          </w:p>
          <w:p w14:paraId="3CD0555C" w14:textId="77777777" w:rsidR="00316255" w:rsidRPr="00740563" w:rsidRDefault="00316255" w:rsidP="00DB1C4D">
            <w:pPr>
              <w:spacing w:after="0" w:line="240" w:lineRule="auto"/>
              <w:jc w:val="right"/>
              <w:rPr>
                <w:b/>
                <w:sz w:val="20"/>
                <w:szCs w:val="20"/>
              </w:rPr>
            </w:pPr>
            <w:r>
              <w:rPr>
                <w:b/>
                <w:sz w:val="20"/>
                <w:szCs w:val="20"/>
              </w:rPr>
              <w:t>+78%</w:t>
            </w:r>
          </w:p>
        </w:tc>
      </w:tr>
    </w:tbl>
    <w:p w14:paraId="602A5CF1" w14:textId="77777777" w:rsidR="00316255" w:rsidRPr="006E20CA" w:rsidRDefault="00316255" w:rsidP="006D4388">
      <w:pPr>
        <w:spacing w:after="60" w:line="240" w:lineRule="auto"/>
        <w:jc w:val="both"/>
        <w:rPr>
          <w:b/>
        </w:rPr>
      </w:pPr>
    </w:p>
    <w:p w14:paraId="71F2A01A" w14:textId="77777777" w:rsidR="00517557" w:rsidRDefault="00517557" w:rsidP="00622EFE">
      <w:pPr>
        <w:spacing w:after="60" w:line="240" w:lineRule="auto"/>
        <w:jc w:val="both"/>
        <w:rPr>
          <w:b/>
        </w:rPr>
      </w:pPr>
    </w:p>
    <w:p w14:paraId="543C7F69" w14:textId="273CFCF2" w:rsidR="006D4388" w:rsidRPr="00622EFE" w:rsidRDefault="006D4388" w:rsidP="00622EFE">
      <w:pPr>
        <w:spacing w:after="60" w:line="240" w:lineRule="auto"/>
        <w:jc w:val="both"/>
      </w:pPr>
      <w:r w:rsidRPr="00056AF4">
        <w:rPr>
          <w:b/>
        </w:rPr>
        <w:lastRenderedPageBreak/>
        <w:t xml:space="preserve">Ņemot vērā </w:t>
      </w:r>
      <w:r w:rsidR="00622EFE">
        <w:rPr>
          <w:b/>
        </w:rPr>
        <w:t>fiskālo</w:t>
      </w:r>
      <w:r w:rsidR="000D01A9">
        <w:rPr>
          <w:b/>
        </w:rPr>
        <w:t xml:space="preserve"> telpu un </w:t>
      </w:r>
      <w:r w:rsidR="00B851DC">
        <w:rPr>
          <w:b/>
        </w:rPr>
        <w:t xml:space="preserve">finanšu </w:t>
      </w:r>
      <w:r w:rsidRPr="00056AF4">
        <w:rPr>
          <w:b/>
        </w:rPr>
        <w:t xml:space="preserve">priekšrocības, ko sniedz iemaksu veikšana </w:t>
      </w:r>
      <w:r w:rsidR="00B851DC">
        <w:rPr>
          <w:b/>
        </w:rPr>
        <w:t xml:space="preserve">IDA19 </w:t>
      </w:r>
      <w:r w:rsidR="001C2D4E">
        <w:rPr>
          <w:b/>
        </w:rPr>
        <w:t>saīsinātajā</w:t>
      </w:r>
      <w:r w:rsidR="00A668DE">
        <w:rPr>
          <w:b/>
        </w:rPr>
        <w:t xml:space="preserve"> iemaksu</w:t>
      </w:r>
      <w:r w:rsidRPr="00056AF4">
        <w:rPr>
          <w:b/>
        </w:rPr>
        <w:t xml:space="preserve"> periodā –</w:t>
      </w:r>
      <w:r w:rsidR="00F513FE">
        <w:rPr>
          <w:b/>
        </w:rPr>
        <w:t xml:space="preserve"> </w:t>
      </w:r>
      <w:r w:rsidRPr="00056AF4">
        <w:rPr>
          <w:b/>
        </w:rPr>
        <w:t xml:space="preserve">iemaksu </w:t>
      </w:r>
      <w:r w:rsidR="00F513FE">
        <w:rPr>
          <w:b/>
        </w:rPr>
        <w:t>augsto</w:t>
      </w:r>
      <w:r w:rsidR="00F513FE" w:rsidRPr="00056AF4">
        <w:rPr>
          <w:b/>
        </w:rPr>
        <w:t xml:space="preserve"> </w:t>
      </w:r>
      <w:r w:rsidR="00B851DC">
        <w:rPr>
          <w:b/>
        </w:rPr>
        <w:t xml:space="preserve">neto vērtību, </w:t>
      </w:r>
      <w:r w:rsidR="005D237B">
        <w:rPr>
          <w:b/>
        </w:rPr>
        <w:t>pieskaitījumu</w:t>
      </w:r>
      <w:r w:rsidRPr="00056AF4">
        <w:rPr>
          <w:b/>
        </w:rPr>
        <w:t xml:space="preserve"> papildus iemaksu novirzīšanai regulārajās iemaksās, </w:t>
      </w:r>
      <w:r w:rsidR="00B81049">
        <w:rPr>
          <w:b/>
        </w:rPr>
        <w:t>iespēju palielināt</w:t>
      </w:r>
      <w:r w:rsidR="00B851DC">
        <w:rPr>
          <w:b/>
        </w:rPr>
        <w:t xml:space="preserve"> valsts </w:t>
      </w:r>
      <w:r w:rsidR="00B81049">
        <w:rPr>
          <w:b/>
        </w:rPr>
        <w:t>attīstības sadarbības</w:t>
      </w:r>
      <w:r w:rsidR="00B851DC">
        <w:rPr>
          <w:b/>
        </w:rPr>
        <w:t xml:space="preserve"> ietekmi, iegūstot </w:t>
      </w:r>
      <w:r w:rsidRPr="00056AF4">
        <w:rPr>
          <w:b/>
        </w:rPr>
        <w:t>papildus balsstie</w:t>
      </w:r>
      <w:r w:rsidR="00B851DC">
        <w:rPr>
          <w:b/>
        </w:rPr>
        <w:t>sības IDA, kā arī nepieciešamību</w:t>
      </w:r>
      <w:r w:rsidRPr="00056AF4">
        <w:rPr>
          <w:b/>
        </w:rPr>
        <w:t xml:space="preserve"> </w:t>
      </w:r>
      <w:r w:rsidR="00B81049">
        <w:rPr>
          <w:b/>
        </w:rPr>
        <w:t>nodrošināt attīstības sadarbības politikas prioritāšu sasniegšanu un tuvināties OAP mērķim</w:t>
      </w:r>
      <w:r w:rsidR="00056AF4" w:rsidRPr="00056AF4">
        <w:rPr>
          <w:b/>
        </w:rPr>
        <w:t xml:space="preserve">, tādējādi realizējot Latvijas uzņemtās starptautiskās saistības attīstības finansēšanā, </w:t>
      </w:r>
      <w:r w:rsidR="006A61D9">
        <w:rPr>
          <w:b/>
          <w:u w:val="single"/>
        </w:rPr>
        <w:t>kā optimālāko finansēšanas ietvaru</w:t>
      </w:r>
      <w:r w:rsidR="006A61D9" w:rsidRPr="00B851DC">
        <w:rPr>
          <w:b/>
          <w:u w:val="single"/>
        </w:rPr>
        <w:t xml:space="preserve"> Latvijas dalībai IDA19 </w:t>
      </w:r>
      <w:r w:rsidR="006A61D9" w:rsidRPr="00622EFE">
        <w:rPr>
          <w:b/>
          <w:u w:val="single"/>
        </w:rPr>
        <w:t xml:space="preserve">resursu papildināšanā tiek </w:t>
      </w:r>
      <w:r w:rsidR="00056AF4" w:rsidRPr="00622EFE">
        <w:rPr>
          <w:b/>
          <w:u w:val="single"/>
        </w:rPr>
        <w:t>reko</w:t>
      </w:r>
      <w:r w:rsidR="006A61D9" w:rsidRPr="00622EFE">
        <w:rPr>
          <w:b/>
          <w:u w:val="single"/>
        </w:rPr>
        <w:t>mendēts</w:t>
      </w:r>
      <w:r w:rsidR="00056AF4" w:rsidRPr="00622EFE">
        <w:rPr>
          <w:b/>
          <w:u w:val="single"/>
        </w:rPr>
        <w:t xml:space="preserve"> atbalstīt 2.finansēšanas scenāriju, kas paredz Latvijas kopējo iemaksu IDA19 EUR 3.73 milj. apmērā</w:t>
      </w:r>
      <w:r w:rsidR="00B851DC" w:rsidRPr="00622EFE">
        <w:rPr>
          <w:b/>
          <w:u w:val="single"/>
        </w:rPr>
        <w:t xml:space="preserve"> </w:t>
      </w:r>
      <w:r w:rsidR="002043F5" w:rsidRPr="00622EFE">
        <w:rPr>
          <w:b/>
          <w:u w:val="single"/>
        </w:rPr>
        <w:t>divu</w:t>
      </w:r>
      <w:r w:rsidR="00B851DC" w:rsidRPr="00622EFE">
        <w:rPr>
          <w:b/>
          <w:u w:val="single"/>
        </w:rPr>
        <w:t xml:space="preserve"> gadu periodā</w:t>
      </w:r>
      <w:r w:rsidR="00D702DD" w:rsidRPr="00622EFE">
        <w:rPr>
          <w:b/>
          <w:u w:val="single"/>
        </w:rPr>
        <w:t>,</w:t>
      </w:r>
      <w:r w:rsidR="00D702DD" w:rsidRPr="00316255">
        <w:rPr>
          <w:b/>
        </w:rPr>
        <w:t xml:space="preserve"> </w:t>
      </w:r>
      <w:r w:rsidR="00D702DD" w:rsidRPr="00622EFE">
        <w:rPr>
          <w:b/>
        </w:rPr>
        <w:t>papildus saņemot pieskaitījumu EUR 0.13</w:t>
      </w:r>
      <w:r w:rsidR="00F25E75">
        <w:rPr>
          <w:b/>
        </w:rPr>
        <w:t>1</w:t>
      </w:r>
      <w:r w:rsidR="00D702DD" w:rsidRPr="00622EFE">
        <w:rPr>
          <w:b/>
        </w:rPr>
        <w:t xml:space="preserve"> milj. apmērā, kas tiks novirzīts Latvijas regul</w:t>
      </w:r>
      <w:r w:rsidR="001E52A5" w:rsidRPr="00622EFE">
        <w:rPr>
          <w:b/>
        </w:rPr>
        <w:t>ārās</w:t>
      </w:r>
      <w:r w:rsidR="00D702DD" w:rsidRPr="00622EFE">
        <w:rPr>
          <w:b/>
        </w:rPr>
        <w:t xml:space="preserve"> iemaks</w:t>
      </w:r>
      <w:r w:rsidR="001E52A5" w:rsidRPr="00622EFE">
        <w:rPr>
          <w:b/>
        </w:rPr>
        <w:t>as</w:t>
      </w:r>
      <w:r w:rsidR="00D702DD" w:rsidRPr="00622EFE">
        <w:rPr>
          <w:b/>
        </w:rPr>
        <w:t xml:space="preserve"> </w:t>
      </w:r>
      <w:r w:rsidR="00D17AAD" w:rsidRPr="00622EFE">
        <w:rPr>
          <w:b/>
        </w:rPr>
        <w:t xml:space="preserve">palielināšanai </w:t>
      </w:r>
      <w:r w:rsidR="00D702DD" w:rsidRPr="00622EFE">
        <w:rPr>
          <w:b/>
        </w:rPr>
        <w:t>IDA19</w:t>
      </w:r>
      <w:r w:rsidR="00D17AAD" w:rsidRPr="00622EFE">
        <w:rPr>
          <w:b/>
        </w:rPr>
        <w:t xml:space="preserve"> resursu papildināšanā</w:t>
      </w:r>
      <w:r w:rsidR="00D702DD" w:rsidRPr="00622EFE">
        <w:rPr>
          <w:b/>
        </w:rPr>
        <w:t xml:space="preserve">. </w:t>
      </w:r>
      <w:r w:rsidR="00FE512C" w:rsidRPr="00622EFE">
        <w:rPr>
          <w:b/>
        </w:rPr>
        <w:t>Tādējādi Latvijas iemaksa IDA19 palielin</w:t>
      </w:r>
      <w:r w:rsidR="00940FBD" w:rsidRPr="00622EFE">
        <w:rPr>
          <w:b/>
        </w:rPr>
        <w:t xml:space="preserve">āsies par </w:t>
      </w:r>
      <w:r w:rsidR="00940FBD" w:rsidRPr="00E838B8">
        <w:rPr>
          <w:b/>
        </w:rPr>
        <w:t xml:space="preserve">34.5% </w:t>
      </w:r>
      <w:r w:rsidR="000D01A9" w:rsidRPr="00E838B8">
        <w:rPr>
          <w:b/>
        </w:rPr>
        <w:t xml:space="preserve">no </w:t>
      </w:r>
      <w:proofErr w:type="spellStart"/>
      <w:r w:rsidR="00FE512C" w:rsidRPr="00E838B8">
        <w:rPr>
          <w:b/>
          <w:i/>
        </w:rPr>
        <w:t>Mid-High</w:t>
      </w:r>
      <w:proofErr w:type="spellEnd"/>
      <w:r w:rsidR="00FE512C" w:rsidRPr="00E838B8">
        <w:rPr>
          <w:b/>
        </w:rPr>
        <w:t xml:space="preserve"> </w:t>
      </w:r>
      <w:r w:rsidR="00622EFE" w:rsidRPr="00E838B8">
        <w:rPr>
          <w:b/>
        </w:rPr>
        <w:t>finansēšanas</w:t>
      </w:r>
      <w:r w:rsidR="00572F40" w:rsidRPr="00E838B8">
        <w:rPr>
          <w:b/>
        </w:rPr>
        <w:t xml:space="preserve"> ietvara </w:t>
      </w:r>
      <w:r w:rsidR="00FE512C" w:rsidRPr="00E838B8">
        <w:rPr>
          <w:b/>
        </w:rPr>
        <w:t>vai par 28.67</w:t>
      </w:r>
      <w:r w:rsidR="00940FBD" w:rsidRPr="00E838B8">
        <w:rPr>
          <w:b/>
        </w:rPr>
        <w:t>%</w:t>
      </w:r>
      <w:r w:rsidR="00FE512C" w:rsidRPr="00E838B8">
        <w:rPr>
          <w:b/>
        </w:rPr>
        <w:t xml:space="preserve"> </w:t>
      </w:r>
      <w:r w:rsidR="00572F40" w:rsidRPr="00E838B8">
        <w:rPr>
          <w:b/>
        </w:rPr>
        <w:t>no</w:t>
      </w:r>
      <w:r w:rsidR="00FE512C" w:rsidRPr="00E838B8">
        <w:rPr>
          <w:b/>
        </w:rPr>
        <w:t xml:space="preserve"> </w:t>
      </w:r>
      <w:proofErr w:type="spellStart"/>
      <w:r w:rsidR="00FE512C" w:rsidRPr="00E838B8">
        <w:rPr>
          <w:b/>
          <w:i/>
        </w:rPr>
        <w:t>High</w:t>
      </w:r>
      <w:proofErr w:type="spellEnd"/>
      <w:r w:rsidR="00FE512C" w:rsidRPr="00E838B8">
        <w:rPr>
          <w:b/>
        </w:rPr>
        <w:t xml:space="preserve"> </w:t>
      </w:r>
      <w:r w:rsidR="00622EFE" w:rsidRPr="00E838B8">
        <w:rPr>
          <w:b/>
        </w:rPr>
        <w:t>finansēšanas</w:t>
      </w:r>
      <w:r w:rsidR="00572F40" w:rsidRPr="00E838B8">
        <w:rPr>
          <w:b/>
        </w:rPr>
        <w:t xml:space="preserve"> ietvara</w:t>
      </w:r>
      <w:r w:rsidR="00FE512C" w:rsidRPr="00622EFE">
        <w:rPr>
          <w:b/>
        </w:rPr>
        <w:t>.</w:t>
      </w:r>
      <w:r w:rsidR="00940FBD" w:rsidRPr="00622EFE">
        <w:rPr>
          <w:b/>
        </w:rPr>
        <w:t xml:space="preserve"> </w:t>
      </w:r>
      <w:r w:rsidR="00316255">
        <w:rPr>
          <w:b/>
        </w:rPr>
        <w:t>Papildus tam</w:t>
      </w:r>
      <w:r w:rsidR="00D702DD" w:rsidRPr="00622EFE">
        <w:rPr>
          <w:b/>
        </w:rPr>
        <w:t xml:space="preserve"> Latvija saņems 208 IDA parakstītās balsis, tādējādi Latvijas kopējais parakstīto balsu skaits IDA </w:t>
      </w:r>
      <w:r w:rsidR="00EF76BB">
        <w:rPr>
          <w:b/>
        </w:rPr>
        <w:t xml:space="preserve">pēc iemaksu veikšanas </w:t>
      </w:r>
      <w:r w:rsidR="00D702DD" w:rsidRPr="00622EFE">
        <w:rPr>
          <w:b/>
        </w:rPr>
        <w:t xml:space="preserve">sastādīs </w:t>
      </w:r>
      <w:r w:rsidR="00EF76BB">
        <w:rPr>
          <w:b/>
        </w:rPr>
        <w:t>1213</w:t>
      </w:r>
      <w:r w:rsidR="000D01A9" w:rsidRPr="00622EFE">
        <w:rPr>
          <w:b/>
        </w:rPr>
        <w:t>, kas ir pieaugums par 50.72%, salīdzinot ar IDA18</w:t>
      </w:r>
      <w:r w:rsidR="00D702DD" w:rsidRPr="00622EFE">
        <w:rPr>
          <w:b/>
        </w:rPr>
        <w:t>.</w:t>
      </w:r>
      <w:r w:rsidR="000D01A9" w:rsidRPr="00622EFE">
        <w:rPr>
          <w:b/>
        </w:rPr>
        <w:t xml:space="preserve"> </w:t>
      </w:r>
      <w:r w:rsidR="00622EFE" w:rsidRPr="00622EFE">
        <w:rPr>
          <w:b/>
        </w:rPr>
        <w:t>Savukārt</w:t>
      </w:r>
      <w:r w:rsidR="000D01A9" w:rsidRPr="00622EFE">
        <w:rPr>
          <w:b/>
        </w:rPr>
        <w:t xml:space="preserve"> Latvijas OAP palielināsies par aptuveni 0.005% pret NKI gadā.</w:t>
      </w:r>
      <w:r w:rsidR="000D01A9">
        <w:t xml:space="preserve"> </w:t>
      </w:r>
    </w:p>
    <w:p w14:paraId="2FF0D4A2" w14:textId="77777777" w:rsidR="008A2694" w:rsidRPr="00B81049" w:rsidRDefault="003A72FE" w:rsidP="004B0C6F">
      <w:pPr>
        <w:spacing w:before="120" w:after="120" w:line="240" w:lineRule="auto"/>
        <w:jc w:val="both"/>
        <w:rPr>
          <w:u w:val="single"/>
        </w:rPr>
      </w:pPr>
      <w:r w:rsidRPr="00E56049">
        <w:t>Papildus regulārajām iemaksām IDA</w:t>
      </w:r>
      <w:r>
        <w:t>19 resursu papildināšanā</w:t>
      </w:r>
      <w:r w:rsidRPr="00E56049">
        <w:t xml:space="preserve"> paredzētas dalībvalstu iemaksas </w:t>
      </w:r>
      <w:r>
        <w:t>Pasaules Bankas d</w:t>
      </w:r>
      <w:r w:rsidRPr="00E56049">
        <w:t xml:space="preserve">audzpusējā parādu atlaišanas iniciatīvā </w:t>
      </w:r>
      <w:r>
        <w:t>(</w:t>
      </w:r>
      <w:r w:rsidRPr="00E56049">
        <w:t>MDRI) par kopējo summu US$3.9 mljrd.</w:t>
      </w:r>
      <w:r>
        <w:t xml:space="preserve"> </w:t>
      </w:r>
      <w:r w:rsidRPr="00E56049">
        <w:t>MDRI</w:t>
      </w:r>
      <w:r>
        <w:t xml:space="preserve"> iniciatīva tika izveidota IDA14 resursu papildināšanas ietvaros ar mērķi aizvietot</w:t>
      </w:r>
      <w:r w:rsidRPr="00E56049">
        <w:t xml:space="preserve"> IDA zaudēto</w:t>
      </w:r>
      <w:r w:rsidR="0045590F">
        <w:t>s</w:t>
      </w:r>
      <w:r>
        <w:t xml:space="preserve"> kredītus 2007.-2044.gadā. </w:t>
      </w:r>
      <w:r w:rsidRPr="00E56049">
        <w:t xml:space="preserve">MDRI izmaksas un ar tām saistītās </w:t>
      </w:r>
      <w:r>
        <w:t>dalībvalstu</w:t>
      </w:r>
      <w:r w:rsidRPr="00E56049">
        <w:t xml:space="preserve"> iemaksas, kā arī iemaksu grafiks</w:t>
      </w:r>
      <w:r w:rsidR="0045590F">
        <w:t>,</w:t>
      </w:r>
      <w:r w:rsidRPr="00E56049">
        <w:t xml:space="preserve"> tiek atjaunots ik pēc trim gadiem, salāgojot ar IDA resursu papildināšanas ciklu. Pēdējo reizi MDRI iemaksu grafiks tika koriģēts IDA18 resursu papildināšanas ietvaros.</w:t>
      </w:r>
      <w:r>
        <w:t xml:space="preserve"> Latvija kā Pasaules B</w:t>
      </w:r>
      <w:r w:rsidR="00A85E26">
        <w:t>ankas dalībvalsts piedalās MDRI no 2012.gada,</w:t>
      </w:r>
      <w:r>
        <w:t xml:space="preserve"> veicot regulāras iemaksas atbilstoši </w:t>
      </w:r>
      <w:r w:rsidR="00C00F50">
        <w:t xml:space="preserve">Latvijas </w:t>
      </w:r>
      <w:r>
        <w:t>apstip</w:t>
      </w:r>
      <w:r w:rsidR="00A85E26">
        <w:t>rinātajam iemaksu grafikam</w:t>
      </w:r>
      <w:r w:rsidR="00C00F50">
        <w:t xml:space="preserve"> (Ministru kabineta </w:t>
      </w:r>
      <w:r w:rsidR="00B91C78">
        <w:t>2011.gada 20.septembra protokols Nr.53, 37</w:t>
      </w:r>
      <w:r w:rsidR="00B91C78" w:rsidRPr="00B91C78">
        <w:t>.§</w:t>
      </w:r>
      <w:r w:rsidR="00B91C78">
        <w:t xml:space="preserve">, </w:t>
      </w:r>
      <w:r w:rsidR="00C00F50">
        <w:t>2016.gada 6.decembra protokols, Nr.67, 45</w:t>
      </w:r>
      <w:r w:rsidR="00C00F50" w:rsidRPr="00C00F50">
        <w:t>.§</w:t>
      </w:r>
      <w:r w:rsidR="00C00F50">
        <w:t>)</w:t>
      </w:r>
      <w:r w:rsidR="00A85E26">
        <w:t>, ko Pasaules Banka koriģē</w:t>
      </w:r>
      <w:r>
        <w:t xml:space="preserve"> katrā IDA resursu papildināšanas ciklā</w:t>
      </w:r>
      <w:r w:rsidR="00A85E26">
        <w:t xml:space="preserve">. </w:t>
      </w:r>
      <w:r w:rsidR="00A85E26" w:rsidRPr="00B81049">
        <w:rPr>
          <w:u w:val="single"/>
        </w:rPr>
        <w:t xml:space="preserve">Arī IDA19 resursu papildināšanas ietvaros Pasaules Banka ir precizējusi Latvijas MDRI iemaksu grafiku, sākot no 2025.gada, </w:t>
      </w:r>
      <w:r w:rsidR="00B91C78" w:rsidRPr="00B81049">
        <w:rPr>
          <w:u w:val="single"/>
        </w:rPr>
        <w:t>nemainot</w:t>
      </w:r>
      <w:r w:rsidR="00A85E26" w:rsidRPr="00B81049">
        <w:rPr>
          <w:u w:val="single"/>
        </w:rPr>
        <w:t xml:space="preserve"> kopējo apstiprināto iemaksu apjomu</w:t>
      </w:r>
      <w:r w:rsidR="000201AF">
        <w:rPr>
          <w:u w:val="single"/>
        </w:rPr>
        <w:t xml:space="preserve"> (6</w:t>
      </w:r>
      <w:r w:rsidR="00DB0F7B" w:rsidRPr="00B81049">
        <w:rPr>
          <w:u w:val="single"/>
        </w:rPr>
        <w:t>.tabula)</w:t>
      </w:r>
      <w:r w:rsidR="00282DC4" w:rsidRPr="00B81049">
        <w:rPr>
          <w:u w:val="single"/>
        </w:rPr>
        <w:t>.</w:t>
      </w:r>
      <w:r w:rsidR="00A85E26" w:rsidRPr="00B81049">
        <w:rPr>
          <w:u w:val="single"/>
        </w:rPr>
        <w:t xml:space="preserve">  </w:t>
      </w:r>
    </w:p>
    <w:p w14:paraId="451A1D7F" w14:textId="77777777" w:rsidR="00A35D79" w:rsidRDefault="000201AF" w:rsidP="00D30C1C">
      <w:pPr>
        <w:spacing w:before="240" w:after="120" w:line="360" w:lineRule="auto"/>
        <w:jc w:val="center"/>
        <w:rPr>
          <w:i/>
          <w:sz w:val="22"/>
        </w:rPr>
      </w:pPr>
      <w:r>
        <w:rPr>
          <w:i/>
          <w:sz w:val="22"/>
        </w:rPr>
        <w:t>6</w:t>
      </w:r>
      <w:r w:rsidR="00D300B0">
        <w:rPr>
          <w:i/>
          <w:sz w:val="22"/>
        </w:rPr>
        <w:t>.tabula: Latvijas iemaksas MDRI atbilstoši koriģētajam grafikam</w:t>
      </w:r>
    </w:p>
    <w:tbl>
      <w:tblPr>
        <w:tblW w:w="6804" w:type="dxa"/>
        <w:jc w:val="center"/>
        <w:tblBorders>
          <w:insideH w:val="single" w:sz="4" w:space="0" w:color="auto"/>
        </w:tblBorders>
        <w:tblLook w:val="04A0" w:firstRow="1" w:lastRow="0" w:firstColumn="1" w:lastColumn="0" w:noHBand="0" w:noVBand="1"/>
      </w:tblPr>
      <w:tblGrid>
        <w:gridCol w:w="904"/>
        <w:gridCol w:w="1364"/>
        <w:gridCol w:w="960"/>
        <w:gridCol w:w="1308"/>
        <w:gridCol w:w="1114"/>
        <w:gridCol w:w="1154"/>
      </w:tblGrid>
      <w:tr w:rsidR="00A35D79" w:rsidRPr="00D300B0" w14:paraId="2206F64F" w14:textId="77777777" w:rsidTr="00A35D79">
        <w:trPr>
          <w:trHeight w:val="60"/>
          <w:jc w:val="center"/>
        </w:trPr>
        <w:tc>
          <w:tcPr>
            <w:tcW w:w="904" w:type="dxa"/>
            <w:vAlign w:val="center"/>
          </w:tcPr>
          <w:p w14:paraId="15EA7864" w14:textId="77777777" w:rsidR="00A35D79" w:rsidRPr="00D300B0" w:rsidRDefault="00A35D79" w:rsidP="00A35D79">
            <w:pPr>
              <w:spacing w:after="0" w:line="240" w:lineRule="auto"/>
              <w:jc w:val="center"/>
              <w:rPr>
                <w:rFonts w:eastAsia="Times New Roman"/>
                <w:b/>
                <w:bCs/>
                <w:color w:val="000000"/>
                <w:sz w:val="20"/>
                <w:szCs w:val="20"/>
                <w:lang w:eastAsia="lv-LV"/>
              </w:rPr>
            </w:pPr>
            <w:r w:rsidRPr="00D300B0">
              <w:rPr>
                <w:rFonts w:eastAsia="Times New Roman"/>
                <w:b/>
                <w:bCs/>
                <w:color w:val="000000"/>
                <w:sz w:val="20"/>
                <w:szCs w:val="20"/>
                <w:lang w:eastAsia="lv-LV"/>
              </w:rPr>
              <w:t>Gads</w:t>
            </w:r>
          </w:p>
        </w:tc>
        <w:tc>
          <w:tcPr>
            <w:tcW w:w="1364" w:type="dxa"/>
            <w:tcBorders>
              <w:top w:val="nil"/>
              <w:bottom w:val="single" w:sz="4" w:space="0" w:color="auto"/>
              <w:right w:val="single" w:sz="4" w:space="0" w:color="auto"/>
            </w:tcBorders>
            <w:vAlign w:val="center"/>
          </w:tcPr>
          <w:p w14:paraId="5F195357" w14:textId="77777777" w:rsidR="00A35D79" w:rsidRPr="00D300B0" w:rsidRDefault="00A35D79" w:rsidP="00A35D79">
            <w:pPr>
              <w:spacing w:after="0" w:line="240" w:lineRule="auto"/>
              <w:jc w:val="center"/>
              <w:rPr>
                <w:rFonts w:eastAsia="Times New Roman"/>
                <w:b/>
                <w:bCs/>
                <w:color w:val="000000"/>
                <w:sz w:val="20"/>
                <w:szCs w:val="20"/>
                <w:lang w:eastAsia="lv-LV"/>
              </w:rPr>
            </w:pPr>
            <w:r>
              <w:rPr>
                <w:rFonts w:eastAsia="Times New Roman"/>
                <w:b/>
                <w:bCs/>
                <w:color w:val="000000"/>
                <w:sz w:val="20"/>
                <w:szCs w:val="20"/>
                <w:lang w:eastAsia="lv-LV"/>
              </w:rPr>
              <w:t>EUR</w:t>
            </w:r>
          </w:p>
        </w:tc>
        <w:tc>
          <w:tcPr>
            <w:tcW w:w="960" w:type="dxa"/>
            <w:tcBorders>
              <w:left w:val="single" w:sz="4" w:space="0" w:color="auto"/>
            </w:tcBorders>
            <w:noWrap/>
            <w:vAlign w:val="center"/>
            <w:hideMark/>
          </w:tcPr>
          <w:p w14:paraId="699F2797" w14:textId="77777777" w:rsidR="00A35D79" w:rsidRPr="00D300B0" w:rsidRDefault="00A35D79" w:rsidP="00A35D79">
            <w:pPr>
              <w:spacing w:after="0" w:line="240" w:lineRule="auto"/>
              <w:jc w:val="center"/>
              <w:rPr>
                <w:rFonts w:eastAsia="Times New Roman"/>
                <w:b/>
                <w:bCs/>
                <w:color w:val="000000"/>
                <w:sz w:val="20"/>
                <w:szCs w:val="20"/>
                <w:lang w:eastAsia="lv-LV"/>
              </w:rPr>
            </w:pPr>
            <w:r w:rsidRPr="00D300B0">
              <w:rPr>
                <w:rFonts w:eastAsia="Times New Roman"/>
                <w:b/>
                <w:bCs/>
                <w:color w:val="000000"/>
                <w:sz w:val="20"/>
                <w:szCs w:val="20"/>
                <w:lang w:eastAsia="lv-LV"/>
              </w:rPr>
              <w:t>Gads</w:t>
            </w:r>
          </w:p>
        </w:tc>
        <w:tc>
          <w:tcPr>
            <w:tcW w:w="1308" w:type="dxa"/>
            <w:tcBorders>
              <w:top w:val="nil"/>
              <w:bottom w:val="single" w:sz="4" w:space="0" w:color="auto"/>
              <w:right w:val="single" w:sz="4" w:space="0" w:color="auto"/>
            </w:tcBorders>
            <w:vAlign w:val="center"/>
            <w:hideMark/>
          </w:tcPr>
          <w:p w14:paraId="19BEB6C8" w14:textId="77777777" w:rsidR="00A35D79" w:rsidRPr="00D300B0" w:rsidRDefault="00A35D79" w:rsidP="00A35D79">
            <w:pPr>
              <w:spacing w:after="0" w:line="240" w:lineRule="auto"/>
              <w:jc w:val="center"/>
              <w:rPr>
                <w:rFonts w:eastAsia="Times New Roman"/>
                <w:b/>
                <w:bCs/>
                <w:color w:val="000000"/>
                <w:sz w:val="20"/>
                <w:szCs w:val="20"/>
                <w:lang w:eastAsia="lv-LV"/>
              </w:rPr>
            </w:pPr>
            <w:r>
              <w:rPr>
                <w:rFonts w:eastAsia="Times New Roman"/>
                <w:b/>
                <w:bCs/>
                <w:color w:val="000000"/>
                <w:sz w:val="20"/>
                <w:szCs w:val="20"/>
                <w:lang w:eastAsia="lv-LV"/>
              </w:rPr>
              <w:t>EUR</w:t>
            </w:r>
          </w:p>
        </w:tc>
        <w:tc>
          <w:tcPr>
            <w:tcW w:w="1114" w:type="dxa"/>
            <w:tcBorders>
              <w:left w:val="single" w:sz="4" w:space="0" w:color="auto"/>
            </w:tcBorders>
            <w:vAlign w:val="center"/>
          </w:tcPr>
          <w:p w14:paraId="4476D1DA"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b/>
                <w:bCs/>
                <w:color w:val="000000"/>
                <w:sz w:val="20"/>
                <w:szCs w:val="20"/>
                <w:lang w:eastAsia="lv-LV"/>
              </w:rPr>
              <w:t>Gads</w:t>
            </w:r>
          </w:p>
        </w:tc>
        <w:tc>
          <w:tcPr>
            <w:tcW w:w="1154" w:type="dxa"/>
            <w:vAlign w:val="center"/>
          </w:tcPr>
          <w:p w14:paraId="1D5D5EB5" w14:textId="77777777" w:rsidR="00A35D79" w:rsidRPr="00D300B0" w:rsidRDefault="00A35D79" w:rsidP="00A35D79">
            <w:pPr>
              <w:spacing w:after="0" w:line="240" w:lineRule="auto"/>
              <w:jc w:val="center"/>
              <w:rPr>
                <w:rFonts w:eastAsiaTheme="minorHAnsi" w:cstheme="minorBidi"/>
                <w:sz w:val="20"/>
                <w:szCs w:val="20"/>
                <w:lang w:eastAsia="lv-LV"/>
              </w:rPr>
            </w:pPr>
            <w:r>
              <w:rPr>
                <w:rFonts w:eastAsia="Times New Roman"/>
                <w:b/>
                <w:bCs/>
                <w:color w:val="000000"/>
                <w:sz w:val="20"/>
                <w:szCs w:val="20"/>
                <w:lang w:eastAsia="lv-LV"/>
              </w:rPr>
              <w:t>EUR</w:t>
            </w:r>
          </w:p>
        </w:tc>
      </w:tr>
      <w:tr w:rsidR="00A35D79" w:rsidRPr="00D300B0" w14:paraId="457A7733" w14:textId="77777777" w:rsidTr="00A35D79">
        <w:trPr>
          <w:trHeight w:val="117"/>
          <w:jc w:val="center"/>
        </w:trPr>
        <w:tc>
          <w:tcPr>
            <w:tcW w:w="904" w:type="dxa"/>
            <w:vAlign w:val="center"/>
          </w:tcPr>
          <w:p w14:paraId="00240327"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2012</w:t>
            </w:r>
          </w:p>
        </w:tc>
        <w:tc>
          <w:tcPr>
            <w:tcW w:w="1364" w:type="dxa"/>
            <w:tcBorders>
              <w:top w:val="single" w:sz="4" w:space="0" w:color="auto"/>
              <w:bottom w:val="single" w:sz="4" w:space="0" w:color="auto"/>
              <w:right w:val="single" w:sz="4" w:space="0" w:color="auto"/>
            </w:tcBorders>
            <w:vAlign w:val="center"/>
          </w:tcPr>
          <w:p w14:paraId="0099A977"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60 000</w:t>
            </w:r>
          </w:p>
        </w:tc>
        <w:tc>
          <w:tcPr>
            <w:tcW w:w="960" w:type="dxa"/>
            <w:tcBorders>
              <w:left w:val="single" w:sz="4" w:space="0" w:color="auto"/>
            </w:tcBorders>
            <w:noWrap/>
            <w:vAlign w:val="center"/>
          </w:tcPr>
          <w:p w14:paraId="2206F9D9"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2023</w:t>
            </w:r>
          </w:p>
        </w:tc>
        <w:tc>
          <w:tcPr>
            <w:tcW w:w="1308" w:type="dxa"/>
            <w:tcBorders>
              <w:top w:val="single" w:sz="4" w:space="0" w:color="auto"/>
              <w:bottom w:val="single" w:sz="4" w:space="0" w:color="auto"/>
              <w:right w:val="single" w:sz="4" w:space="0" w:color="auto"/>
            </w:tcBorders>
            <w:noWrap/>
            <w:vAlign w:val="center"/>
          </w:tcPr>
          <w:p w14:paraId="00ABC3DA"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140</w:t>
            </w:r>
            <w:r>
              <w:rPr>
                <w:rFonts w:eastAsia="Times New Roman"/>
                <w:color w:val="000000"/>
                <w:sz w:val="20"/>
                <w:szCs w:val="20"/>
                <w:lang w:eastAsia="lv-LV"/>
              </w:rPr>
              <w:t> </w:t>
            </w:r>
            <w:r w:rsidRPr="00D300B0">
              <w:rPr>
                <w:rFonts w:eastAsia="Times New Roman"/>
                <w:color w:val="000000"/>
                <w:sz w:val="20"/>
                <w:szCs w:val="20"/>
                <w:lang w:eastAsia="lv-LV"/>
              </w:rPr>
              <w:t>000</w:t>
            </w:r>
          </w:p>
        </w:tc>
        <w:tc>
          <w:tcPr>
            <w:tcW w:w="1114" w:type="dxa"/>
            <w:tcBorders>
              <w:left w:val="single" w:sz="4" w:space="0" w:color="auto"/>
            </w:tcBorders>
            <w:vAlign w:val="center"/>
          </w:tcPr>
          <w:p w14:paraId="58853BF7"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2034</w:t>
            </w:r>
          </w:p>
        </w:tc>
        <w:tc>
          <w:tcPr>
            <w:tcW w:w="1154" w:type="dxa"/>
            <w:vAlign w:val="center"/>
          </w:tcPr>
          <w:p w14:paraId="0A5A4E4C"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90 000</w:t>
            </w:r>
          </w:p>
        </w:tc>
      </w:tr>
      <w:tr w:rsidR="00A35D79" w:rsidRPr="00D300B0" w14:paraId="7AE91AD4" w14:textId="77777777" w:rsidTr="00A35D79">
        <w:trPr>
          <w:trHeight w:val="165"/>
          <w:jc w:val="center"/>
        </w:trPr>
        <w:tc>
          <w:tcPr>
            <w:tcW w:w="904" w:type="dxa"/>
            <w:vAlign w:val="center"/>
          </w:tcPr>
          <w:p w14:paraId="063BC535"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2013</w:t>
            </w:r>
          </w:p>
        </w:tc>
        <w:tc>
          <w:tcPr>
            <w:tcW w:w="1364" w:type="dxa"/>
            <w:tcBorders>
              <w:top w:val="single" w:sz="4" w:space="0" w:color="auto"/>
              <w:bottom w:val="single" w:sz="4" w:space="0" w:color="auto"/>
              <w:right w:val="single" w:sz="4" w:space="0" w:color="auto"/>
            </w:tcBorders>
            <w:vAlign w:val="center"/>
          </w:tcPr>
          <w:p w14:paraId="3E094863"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70 000</w:t>
            </w:r>
          </w:p>
        </w:tc>
        <w:tc>
          <w:tcPr>
            <w:tcW w:w="960" w:type="dxa"/>
            <w:tcBorders>
              <w:left w:val="single" w:sz="4" w:space="0" w:color="auto"/>
            </w:tcBorders>
            <w:noWrap/>
            <w:vAlign w:val="center"/>
          </w:tcPr>
          <w:p w14:paraId="052AD868"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2024</w:t>
            </w:r>
          </w:p>
        </w:tc>
        <w:tc>
          <w:tcPr>
            <w:tcW w:w="1308" w:type="dxa"/>
            <w:tcBorders>
              <w:top w:val="single" w:sz="4" w:space="0" w:color="auto"/>
              <w:bottom w:val="single" w:sz="4" w:space="0" w:color="auto"/>
              <w:right w:val="single" w:sz="4" w:space="0" w:color="auto"/>
            </w:tcBorders>
            <w:noWrap/>
            <w:vAlign w:val="center"/>
          </w:tcPr>
          <w:p w14:paraId="57BCCA79"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150 000</w:t>
            </w:r>
          </w:p>
        </w:tc>
        <w:tc>
          <w:tcPr>
            <w:tcW w:w="1114" w:type="dxa"/>
            <w:tcBorders>
              <w:left w:val="single" w:sz="4" w:space="0" w:color="auto"/>
            </w:tcBorders>
            <w:vAlign w:val="center"/>
          </w:tcPr>
          <w:p w14:paraId="00B062BF"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2035</w:t>
            </w:r>
          </w:p>
        </w:tc>
        <w:tc>
          <w:tcPr>
            <w:tcW w:w="1154" w:type="dxa"/>
            <w:vAlign w:val="center"/>
          </w:tcPr>
          <w:p w14:paraId="09C8E440"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70 000</w:t>
            </w:r>
          </w:p>
        </w:tc>
      </w:tr>
      <w:tr w:rsidR="00A35D79" w:rsidRPr="00D300B0" w14:paraId="38805D70" w14:textId="77777777" w:rsidTr="00A35D79">
        <w:trPr>
          <w:trHeight w:val="213"/>
          <w:jc w:val="center"/>
        </w:trPr>
        <w:tc>
          <w:tcPr>
            <w:tcW w:w="904" w:type="dxa"/>
            <w:vAlign w:val="center"/>
          </w:tcPr>
          <w:p w14:paraId="5BB72978"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2014</w:t>
            </w:r>
          </w:p>
        </w:tc>
        <w:tc>
          <w:tcPr>
            <w:tcW w:w="1364" w:type="dxa"/>
            <w:tcBorders>
              <w:top w:val="single" w:sz="4" w:space="0" w:color="auto"/>
              <w:bottom w:val="single" w:sz="4" w:space="0" w:color="auto"/>
              <w:right w:val="single" w:sz="4" w:space="0" w:color="auto"/>
            </w:tcBorders>
            <w:vAlign w:val="center"/>
          </w:tcPr>
          <w:p w14:paraId="1CBEB8C9"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80 000</w:t>
            </w:r>
          </w:p>
        </w:tc>
        <w:tc>
          <w:tcPr>
            <w:tcW w:w="960" w:type="dxa"/>
            <w:tcBorders>
              <w:left w:val="single" w:sz="4" w:space="0" w:color="auto"/>
            </w:tcBorders>
            <w:noWrap/>
            <w:vAlign w:val="center"/>
          </w:tcPr>
          <w:p w14:paraId="5BC3C8D7"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2025</w:t>
            </w:r>
          </w:p>
        </w:tc>
        <w:tc>
          <w:tcPr>
            <w:tcW w:w="1308" w:type="dxa"/>
            <w:tcBorders>
              <w:top w:val="single" w:sz="4" w:space="0" w:color="auto"/>
              <w:bottom w:val="single" w:sz="4" w:space="0" w:color="auto"/>
              <w:right w:val="single" w:sz="4" w:space="0" w:color="auto"/>
            </w:tcBorders>
            <w:noWrap/>
            <w:vAlign w:val="center"/>
          </w:tcPr>
          <w:p w14:paraId="00FCC770"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150 000</w:t>
            </w:r>
          </w:p>
        </w:tc>
        <w:tc>
          <w:tcPr>
            <w:tcW w:w="1114" w:type="dxa"/>
            <w:tcBorders>
              <w:left w:val="single" w:sz="4" w:space="0" w:color="auto"/>
            </w:tcBorders>
            <w:vAlign w:val="center"/>
          </w:tcPr>
          <w:p w14:paraId="7C7BB34E"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2036</w:t>
            </w:r>
          </w:p>
        </w:tc>
        <w:tc>
          <w:tcPr>
            <w:tcW w:w="1154" w:type="dxa"/>
            <w:vAlign w:val="center"/>
          </w:tcPr>
          <w:p w14:paraId="309AAA34"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60 000</w:t>
            </w:r>
          </w:p>
        </w:tc>
      </w:tr>
      <w:tr w:rsidR="00A35D79" w:rsidRPr="00D300B0" w14:paraId="111A4D07" w14:textId="77777777" w:rsidTr="00A35D79">
        <w:trPr>
          <w:trHeight w:val="133"/>
          <w:jc w:val="center"/>
        </w:trPr>
        <w:tc>
          <w:tcPr>
            <w:tcW w:w="904" w:type="dxa"/>
            <w:vAlign w:val="center"/>
          </w:tcPr>
          <w:p w14:paraId="2F8D75A5"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2015</w:t>
            </w:r>
          </w:p>
        </w:tc>
        <w:tc>
          <w:tcPr>
            <w:tcW w:w="1364" w:type="dxa"/>
            <w:tcBorders>
              <w:top w:val="single" w:sz="4" w:space="0" w:color="auto"/>
              <w:bottom w:val="single" w:sz="4" w:space="0" w:color="auto"/>
              <w:right w:val="single" w:sz="4" w:space="0" w:color="auto"/>
            </w:tcBorders>
            <w:vAlign w:val="center"/>
          </w:tcPr>
          <w:p w14:paraId="60E6FA41"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80 000</w:t>
            </w:r>
          </w:p>
        </w:tc>
        <w:tc>
          <w:tcPr>
            <w:tcW w:w="960" w:type="dxa"/>
            <w:tcBorders>
              <w:left w:val="single" w:sz="4" w:space="0" w:color="auto"/>
            </w:tcBorders>
            <w:noWrap/>
            <w:vAlign w:val="center"/>
          </w:tcPr>
          <w:p w14:paraId="181B7C1D"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2026</w:t>
            </w:r>
          </w:p>
        </w:tc>
        <w:tc>
          <w:tcPr>
            <w:tcW w:w="1308" w:type="dxa"/>
            <w:tcBorders>
              <w:top w:val="single" w:sz="4" w:space="0" w:color="auto"/>
              <w:bottom w:val="single" w:sz="4" w:space="0" w:color="auto"/>
              <w:right w:val="single" w:sz="4" w:space="0" w:color="auto"/>
            </w:tcBorders>
            <w:noWrap/>
            <w:vAlign w:val="center"/>
          </w:tcPr>
          <w:p w14:paraId="7175189C"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150 000</w:t>
            </w:r>
          </w:p>
        </w:tc>
        <w:tc>
          <w:tcPr>
            <w:tcW w:w="1114" w:type="dxa"/>
            <w:tcBorders>
              <w:left w:val="single" w:sz="4" w:space="0" w:color="auto"/>
            </w:tcBorders>
            <w:vAlign w:val="center"/>
          </w:tcPr>
          <w:p w14:paraId="343DFBBA"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2037</w:t>
            </w:r>
          </w:p>
        </w:tc>
        <w:tc>
          <w:tcPr>
            <w:tcW w:w="1154" w:type="dxa"/>
            <w:vAlign w:val="center"/>
          </w:tcPr>
          <w:p w14:paraId="48EEED81"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50 000</w:t>
            </w:r>
          </w:p>
        </w:tc>
      </w:tr>
      <w:tr w:rsidR="00A35D79" w:rsidRPr="00D300B0" w14:paraId="5C9190B6" w14:textId="77777777" w:rsidTr="00A35D79">
        <w:trPr>
          <w:trHeight w:val="181"/>
          <w:jc w:val="center"/>
        </w:trPr>
        <w:tc>
          <w:tcPr>
            <w:tcW w:w="904" w:type="dxa"/>
            <w:vAlign w:val="center"/>
          </w:tcPr>
          <w:p w14:paraId="3909ACE2"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2016</w:t>
            </w:r>
          </w:p>
        </w:tc>
        <w:tc>
          <w:tcPr>
            <w:tcW w:w="1364" w:type="dxa"/>
            <w:tcBorders>
              <w:top w:val="single" w:sz="4" w:space="0" w:color="auto"/>
              <w:bottom w:val="single" w:sz="4" w:space="0" w:color="auto"/>
              <w:right w:val="single" w:sz="4" w:space="0" w:color="auto"/>
            </w:tcBorders>
            <w:vAlign w:val="center"/>
          </w:tcPr>
          <w:p w14:paraId="433A1B70"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90 000</w:t>
            </w:r>
          </w:p>
        </w:tc>
        <w:tc>
          <w:tcPr>
            <w:tcW w:w="960" w:type="dxa"/>
            <w:tcBorders>
              <w:left w:val="single" w:sz="4" w:space="0" w:color="auto"/>
            </w:tcBorders>
            <w:noWrap/>
            <w:vAlign w:val="center"/>
          </w:tcPr>
          <w:p w14:paraId="273B8084"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2027</w:t>
            </w:r>
          </w:p>
        </w:tc>
        <w:tc>
          <w:tcPr>
            <w:tcW w:w="1308" w:type="dxa"/>
            <w:tcBorders>
              <w:top w:val="single" w:sz="4" w:space="0" w:color="auto"/>
              <w:bottom w:val="single" w:sz="4" w:space="0" w:color="auto"/>
              <w:right w:val="single" w:sz="4" w:space="0" w:color="auto"/>
            </w:tcBorders>
            <w:noWrap/>
            <w:vAlign w:val="center"/>
          </w:tcPr>
          <w:p w14:paraId="30BDFFDA"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140 000</w:t>
            </w:r>
          </w:p>
        </w:tc>
        <w:tc>
          <w:tcPr>
            <w:tcW w:w="1114" w:type="dxa"/>
            <w:tcBorders>
              <w:left w:val="single" w:sz="4" w:space="0" w:color="auto"/>
            </w:tcBorders>
            <w:vAlign w:val="center"/>
          </w:tcPr>
          <w:p w14:paraId="040D1502"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2038</w:t>
            </w:r>
          </w:p>
        </w:tc>
        <w:tc>
          <w:tcPr>
            <w:tcW w:w="1154" w:type="dxa"/>
            <w:vAlign w:val="center"/>
          </w:tcPr>
          <w:p w14:paraId="04EB93CB"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40 000</w:t>
            </w:r>
          </w:p>
        </w:tc>
      </w:tr>
      <w:tr w:rsidR="00A35D79" w:rsidRPr="00D300B0" w14:paraId="12A4C236" w14:textId="77777777" w:rsidTr="00A35D79">
        <w:trPr>
          <w:trHeight w:val="101"/>
          <w:jc w:val="center"/>
        </w:trPr>
        <w:tc>
          <w:tcPr>
            <w:tcW w:w="904" w:type="dxa"/>
            <w:vAlign w:val="center"/>
          </w:tcPr>
          <w:p w14:paraId="57697846"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2017</w:t>
            </w:r>
          </w:p>
        </w:tc>
        <w:tc>
          <w:tcPr>
            <w:tcW w:w="1364" w:type="dxa"/>
            <w:tcBorders>
              <w:top w:val="single" w:sz="4" w:space="0" w:color="auto"/>
              <w:bottom w:val="single" w:sz="4" w:space="0" w:color="auto"/>
              <w:right w:val="single" w:sz="4" w:space="0" w:color="auto"/>
            </w:tcBorders>
            <w:vAlign w:val="center"/>
          </w:tcPr>
          <w:p w14:paraId="0437ED53"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90 000</w:t>
            </w:r>
          </w:p>
        </w:tc>
        <w:tc>
          <w:tcPr>
            <w:tcW w:w="960" w:type="dxa"/>
            <w:tcBorders>
              <w:left w:val="single" w:sz="4" w:space="0" w:color="auto"/>
            </w:tcBorders>
            <w:noWrap/>
            <w:vAlign w:val="center"/>
          </w:tcPr>
          <w:p w14:paraId="70983F19"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2028</w:t>
            </w:r>
          </w:p>
        </w:tc>
        <w:tc>
          <w:tcPr>
            <w:tcW w:w="1308" w:type="dxa"/>
            <w:tcBorders>
              <w:top w:val="single" w:sz="4" w:space="0" w:color="auto"/>
              <w:bottom w:val="single" w:sz="4" w:space="0" w:color="auto"/>
              <w:right w:val="single" w:sz="4" w:space="0" w:color="auto"/>
            </w:tcBorders>
            <w:noWrap/>
            <w:vAlign w:val="center"/>
          </w:tcPr>
          <w:p w14:paraId="1BB999E5"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150 000</w:t>
            </w:r>
          </w:p>
        </w:tc>
        <w:tc>
          <w:tcPr>
            <w:tcW w:w="1114" w:type="dxa"/>
            <w:tcBorders>
              <w:left w:val="single" w:sz="4" w:space="0" w:color="auto"/>
            </w:tcBorders>
            <w:vAlign w:val="center"/>
          </w:tcPr>
          <w:p w14:paraId="3A51AAC0"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2039</w:t>
            </w:r>
          </w:p>
        </w:tc>
        <w:tc>
          <w:tcPr>
            <w:tcW w:w="1154" w:type="dxa"/>
            <w:vAlign w:val="center"/>
          </w:tcPr>
          <w:p w14:paraId="6A10694E"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20 000</w:t>
            </w:r>
          </w:p>
        </w:tc>
      </w:tr>
      <w:tr w:rsidR="00A35D79" w:rsidRPr="00D300B0" w14:paraId="788F0190" w14:textId="77777777" w:rsidTr="00A35D79">
        <w:trPr>
          <w:trHeight w:val="149"/>
          <w:jc w:val="center"/>
        </w:trPr>
        <w:tc>
          <w:tcPr>
            <w:tcW w:w="904" w:type="dxa"/>
            <w:vAlign w:val="center"/>
          </w:tcPr>
          <w:p w14:paraId="55BB422B"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2018</w:t>
            </w:r>
          </w:p>
        </w:tc>
        <w:tc>
          <w:tcPr>
            <w:tcW w:w="1364" w:type="dxa"/>
            <w:tcBorders>
              <w:top w:val="single" w:sz="4" w:space="0" w:color="auto"/>
              <w:bottom w:val="single" w:sz="4" w:space="0" w:color="auto"/>
              <w:right w:val="single" w:sz="4" w:space="0" w:color="auto"/>
            </w:tcBorders>
            <w:vAlign w:val="center"/>
          </w:tcPr>
          <w:p w14:paraId="0BE66070"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90 000</w:t>
            </w:r>
          </w:p>
        </w:tc>
        <w:tc>
          <w:tcPr>
            <w:tcW w:w="960" w:type="dxa"/>
            <w:tcBorders>
              <w:left w:val="single" w:sz="4" w:space="0" w:color="auto"/>
            </w:tcBorders>
            <w:noWrap/>
            <w:vAlign w:val="center"/>
          </w:tcPr>
          <w:p w14:paraId="200E62FC"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2029</w:t>
            </w:r>
          </w:p>
        </w:tc>
        <w:tc>
          <w:tcPr>
            <w:tcW w:w="1308" w:type="dxa"/>
            <w:tcBorders>
              <w:top w:val="single" w:sz="4" w:space="0" w:color="auto"/>
              <w:bottom w:val="single" w:sz="4" w:space="0" w:color="auto"/>
              <w:right w:val="single" w:sz="4" w:space="0" w:color="auto"/>
            </w:tcBorders>
            <w:noWrap/>
            <w:vAlign w:val="center"/>
          </w:tcPr>
          <w:p w14:paraId="62F81D29"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140 000</w:t>
            </w:r>
          </w:p>
        </w:tc>
        <w:tc>
          <w:tcPr>
            <w:tcW w:w="1114" w:type="dxa"/>
            <w:tcBorders>
              <w:left w:val="single" w:sz="4" w:space="0" w:color="auto"/>
            </w:tcBorders>
            <w:vAlign w:val="center"/>
          </w:tcPr>
          <w:p w14:paraId="63838FE6"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2040</w:t>
            </w:r>
          </w:p>
        </w:tc>
        <w:tc>
          <w:tcPr>
            <w:tcW w:w="1154" w:type="dxa"/>
            <w:vAlign w:val="center"/>
          </w:tcPr>
          <w:p w14:paraId="49345ADF"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20 000</w:t>
            </w:r>
          </w:p>
        </w:tc>
      </w:tr>
      <w:tr w:rsidR="00A35D79" w:rsidRPr="00D300B0" w14:paraId="69054DF0" w14:textId="77777777" w:rsidTr="00A35D79">
        <w:trPr>
          <w:trHeight w:val="132"/>
          <w:jc w:val="center"/>
        </w:trPr>
        <w:tc>
          <w:tcPr>
            <w:tcW w:w="904" w:type="dxa"/>
            <w:vAlign w:val="center"/>
          </w:tcPr>
          <w:p w14:paraId="213BE860"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2019</w:t>
            </w:r>
          </w:p>
        </w:tc>
        <w:tc>
          <w:tcPr>
            <w:tcW w:w="1364" w:type="dxa"/>
            <w:tcBorders>
              <w:top w:val="single" w:sz="4" w:space="0" w:color="auto"/>
              <w:bottom w:val="single" w:sz="4" w:space="0" w:color="auto"/>
              <w:right w:val="single" w:sz="4" w:space="0" w:color="auto"/>
            </w:tcBorders>
            <w:vAlign w:val="center"/>
          </w:tcPr>
          <w:p w14:paraId="124E767B"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100 000</w:t>
            </w:r>
          </w:p>
        </w:tc>
        <w:tc>
          <w:tcPr>
            <w:tcW w:w="960" w:type="dxa"/>
            <w:tcBorders>
              <w:left w:val="single" w:sz="4" w:space="0" w:color="auto"/>
            </w:tcBorders>
            <w:noWrap/>
            <w:vAlign w:val="center"/>
          </w:tcPr>
          <w:p w14:paraId="67240AB9"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2030</w:t>
            </w:r>
          </w:p>
        </w:tc>
        <w:tc>
          <w:tcPr>
            <w:tcW w:w="1308" w:type="dxa"/>
            <w:tcBorders>
              <w:top w:val="single" w:sz="4" w:space="0" w:color="auto"/>
              <w:bottom w:val="single" w:sz="4" w:space="0" w:color="auto"/>
              <w:right w:val="single" w:sz="4" w:space="0" w:color="auto"/>
            </w:tcBorders>
            <w:noWrap/>
            <w:vAlign w:val="center"/>
          </w:tcPr>
          <w:p w14:paraId="6CBC4454"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120 000</w:t>
            </w:r>
          </w:p>
        </w:tc>
        <w:tc>
          <w:tcPr>
            <w:tcW w:w="1114" w:type="dxa"/>
            <w:tcBorders>
              <w:left w:val="single" w:sz="4" w:space="0" w:color="auto"/>
            </w:tcBorders>
            <w:vAlign w:val="center"/>
          </w:tcPr>
          <w:p w14:paraId="0D9644A7"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2041</w:t>
            </w:r>
          </w:p>
        </w:tc>
        <w:tc>
          <w:tcPr>
            <w:tcW w:w="1154" w:type="dxa"/>
            <w:vAlign w:val="center"/>
          </w:tcPr>
          <w:p w14:paraId="58D47124"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10 000</w:t>
            </w:r>
          </w:p>
        </w:tc>
      </w:tr>
      <w:tr w:rsidR="00A35D79" w:rsidRPr="00D300B0" w14:paraId="7980FD63" w14:textId="77777777" w:rsidTr="00A35D79">
        <w:trPr>
          <w:trHeight w:val="194"/>
          <w:jc w:val="center"/>
        </w:trPr>
        <w:tc>
          <w:tcPr>
            <w:tcW w:w="904" w:type="dxa"/>
            <w:vAlign w:val="center"/>
          </w:tcPr>
          <w:p w14:paraId="0B8BE48E"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2020</w:t>
            </w:r>
          </w:p>
        </w:tc>
        <w:tc>
          <w:tcPr>
            <w:tcW w:w="1364" w:type="dxa"/>
            <w:tcBorders>
              <w:top w:val="single" w:sz="4" w:space="0" w:color="auto"/>
              <w:bottom w:val="single" w:sz="4" w:space="0" w:color="auto"/>
              <w:right w:val="single" w:sz="4" w:space="0" w:color="auto"/>
            </w:tcBorders>
            <w:vAlign w:val="center"/>
          </w:tcPr>
          <w:p w14:paraId="10CBD270"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Pr>
                <w:rFonts w:eastAsia="Times New Roman"/>
                <w:color w:val="000000"/>
                <w:sz w:val="20"/>
                <w:szCs w:val="20"/>
                <w:lang w:eastAsia="lv-LV"/>
              </w:rPr>
              <w:t>120 000</w:t>
            </w:r>
          </w:p>
        </w:tc>
        <w:tc>
          <w:tcPr>
            <w:tcW w:w="960" w:type="dxa"/>
            <w:tcBorders>
              <w:left w:val="single" w:sz="4" w:space="0" w:color="auto"/>
            </w:tcBorders>
            <w:noWrap/>
            <w:vAlign w:val="center"/>
          </w:tcPr>
          <w:p w14:paraId="7654C4A9"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2031</w:t>
            </w:r>
          </w:p>
        </w:tc>
        <w:tc>
          <w:tcPr>
            <w:tcW w:w="1308" w:type="dxa"/>
            <w:tcBorders>
              <w:top w:val="single" w:sz="4" w:space="0" w:color="auto"/>
              <w:bottom w:val="single" w:sz="4" w:space="0" w:color="auto"/>
              <w:right w:val="single" w:sz="4" w:space="0" w:color="auto"/>
            </w:tcBorders>
            <w:noWrap/>
            <w:vAlign w:val="center"/>
          </w:tcPr>
          <w:p w14:paraId="2D098D85"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100 000</w:t>
            </w:r>
          </w:p>
        </w:tc>
        <w:tc>
          <w:tcPr>
            <w:tcW w:w="1114" w:type="dxa"/>
            <w:tcBorders>
              <w:left w:val="single" w:sz="4" w:space="0" w:color="auto"/>
            </w:tcBorders>
            <w:vAlign w:val="center"/>
          </w:tcPr>
          <w:p w14:paraId="6286E02F"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2042</w:t>
            </w:r>
          </w:p>
        </w:tc>
        <w:tc>
          <w:tcPr>
            <w:tcW w:w="1154" w:type="dxa"/>
            <w:vAlign w:val="center"/>
          </w:tcPr>
          <w:p w14:paraId="6B53661B"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10 000</w:t>
            </w:r>
          </w:p>
        </w:tc>
      </w:tr>
      <w:tr w:rsidR="00A35D79" w:rsidRPr="00D300B0" w14:paraId="67253716" w14:textId="77777777" w:rsidTr="00A35D79">
        <w:trPr>
          <w:trHeight w:val="256"/>
          <w:jc w:val="center"/>
        </w:trPr>
        <w:tc>
          <w:tcPr>
            <w:tcW w:w="904" w:type="dxa"/>
            <w:vAlign w:val="center"/>
          </w:tcPr>
          <w:p w14:paraId="6485A83D"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2021</w:t>
            </w:r>
          </w:p>
        </w:tc>
        <w:tc>
          <w:tcPr>
            <w:tcW w:w="1364" w:type="dxa"/>
            <w:tcBorders>
              <w:top w:val="single" w:sz="4" w:space="0" w:color="auto"/>
              <w:bottom w:val="single" w:sz="4" w:space="0" w:color="auto"/>
              <w:right w:val="single" w:sz="4" w:space="0" w:color="auto"/>
            </w:tcBorders>
            <w:vAlign w:val="center"/>
          </w:tcPr>
          <w:p w14:paraId="76940DF0"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130 000</w:t>
            </w:r>
          </w:p>
        </w:tc>
        <w:tc>
          <w:tcPr>
            <w:tcW w:w="960" w:type="dxa"/>
            <w:tcBorders>
              <w:left w:val="single" w:sz="4" w:space="0" w:color="auto"/>
            </w:tcBorders>
            <w:noWrap/>
            <w:vAlign w:val="center"/>
          </w:tcPr>
          <w:p w14:paraId="28E7B1F7"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2032</w:t>
            </w:r>
          </w:p>
        </w:tc>
        <w:tc>
          <w:tcPr>
            <w:tcW w:w="1308" w:type="dxa"/>
            <w:tcBorders>
              <w:top w:val="single" w:sz="4" w:space="0" w:color="auto"/>
              <w:bottom w:val="single" w:sz="4" w:space="0" w:color="auto"/>
              <w:right w:val="single" w:sz="4" w:space="0" w:color="auto"/>
            </w:tcBorders>
            <w:noWrap/>
            <w:vAlign w:val="center"/>
          </w:tcPr>
          <w:p w14:paraId="5BA31B48"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100 000</w:t>
            </w:r>
          </w:p>
        </w:tc>
        <w:tc>
          <w:tcPr>
            <w:tcW w:w="1114" w:type="dxa"/>
            <w:tcBorders>
              <w:left w:val="single" w:sz="4" w:space="0" w:color="auto"/>
            </w:tcBorders>
            <w:vAlign w:val="center"/>
          </w:tcPr>
          <w:p w14:paraId="1B5A8F19"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2043</w:t>
            </w:r>
          </w:p>
        </w:tc>
        <w:tc>
          <w:tcPr>
            <w:tcW w:w="1154" w:type="dxa"/>
            <w:vAlign w:val="center"/>
          </w:tcPr>
          <w:p w14:paraId="7C3061CF"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0</w:t>
            </w:r>
          </w:p>
        </w:tc>
      </w:tr>
      <w:tr w:rsidR="00A35D79" w:rsidRPr="00D300B0" w14:paraId="3BBD6978" w14:textId="77777777" w:rsidTr="00A35D79">
        <w:trPr>
          <w:trHeight w:val="162"/>
          <w:jc w:val="center"/>
        </w:trPr>
        <w:tc>
          <w:tcPr>
            <w:tcW w:w="904" w:type="dxa"/>
            <w:tcBorders>
              <w:bottom w:val="nil"/>
            </w:tcBorders>
            <w:vAlign w:val="center"/>
          </w:tcPr>
          <w:p w14:paraId="19BF2E9F"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2022</w:t>
            </w:r>
          </w:p>
        </w:tc>
        <w:tc>
          <w:tcPr>
            <w:tcW w:w="1364" w:type="dxa"/>
            <w:tcBorders>
              <w:top w:val="single" w:sz="4" w:space="0" w:color="auto"/>
              <w:bottom w:val="nil"/>
              <w:right w:val="single" w:sz="4" w:space="0" w:color="auto"/>
            </w:tcBorders>
            <w:vAlign w:val="center"/>
          </w:tcPr>
          <w:p w14:paraId="566C4541"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130</w:t>
            </w:r>
            <w:r>
              <w:rPr>
                <w:rFonts w:eastAsia="Times New Roman"/>
                <w:color w:val="000000"/>
                <w:sz w:val="20"/>
                <w:szCs w:val="20"/>
                <w:lang w:eastAsia="lv-LV"/>
              </w:rPr>
              <w:t> </w:t>
            </w:r>
            <w:r w:rsidRPr="00D300B0">
              <w:rPr>
                <w:rFonts w:eastAsia="Times New Roman"/>
                <w:color w:val="000000"/>
                <w:sz w:val="20"/>
                <w:szCs w:val="20"/>
                <w:lang w:eastAsia="lv-LV"/>
              </w:rPr>
              <w:t>000</w:t>
            </w:r>
          </w:p>
        </w:tc>
        <w:tc>
          <w:tcPr>
            <w:tcW w:w="960" w:type="dxa"/>
            <w:tcBorders>
              <w:left w:val="single" w:sz="4" w:space="0" w:color="auto"/>
              <w:bottom w:val="nil"/>
            </w:tcBorders>
            <w:noWrap/>
            <w:vAlign w:val="center"/>
          </w:tcPr>
          <w:p w14:paraId="12A9B0FF"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2033</w:t>
            </w:r>
          </w:p>
        </w:tc>
        <w:tc>
          <w:tcPr>
            <w:tcW w:w="1308" w:type="dxa"/>
            <w:tcBorders>
              <w:top w:val="single" w:sz="4" w:space="0" w:color="auto"/>
              <w:bottom w:val="nil"/>
              <w:right w:val="single" w:sz="4" w:space="0" w:color="auto"/>
            </w:tcBorders>
            <w:noWrap/>
            <w:vAlign w:val="center"/>
          </w:tcPr>
          <w:p w14:paraId="12F7ED13" w14:textId="77777777" w:rsidR="00A35D79" w:rsidRPr="00D300B0" w:rsidRDefault="00A35D79" w:rsidP="00A35D79">
            <w:pPr>
              <w:spacing w:after="0" w:line="240" w:lineRule="auto"/>
              <w:contextualSpacing/>
              <w:jc w:val="center"/>
              <w:rPr>
                <w:rFonts w:eastAsia="Times New Roman"/>
                <w:color w:val="000000"/>
                <w:sz w:val="20"/>
                <w:szCs w:val="20"/>
                <w:lang w:eastAsia="lv-LV"/>
              </w:rPr>
            </w:pPr>
            <w:r w:rsidRPr="00D300B0">
              <w:rPr>
                <w:rFonts w:eastAsia="Times New Roman"/>
                <w:color w:val="000000"/>
                <w:sz w:val="20"/>
                <w:szCs w:val="20"/>
                <w:lang w:eastAsia="lv-LV"/>
              </w:rPr>
              <w:t>100 000</w:t>
            </w:r>
          </w:p>
        </w:tc>
        <w:tc>
          <w:tcPr>
            <w:tcW w:w="1114" w:type="dxa"/>
            <w:tcBorders>
              <w:left w:val="single" w:sz="4" w:space="0" w:color="auto"/>
              <w:bottom w:val="nil"/>
            </w:tcBorders>
            <w:vAlign w:val="center"/>
          </w:tcPr>
          <w:p w14:paraId="4C4E9B7D"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2044</w:t>
            </w:r>
          </w:p>
        </w:tc>
        <w:tc>
          <w:tcPr>
            <w:tcW w:w="1154" w:type="dxa"/>
            <w:tcBorders>
              <w:bottom w:val="nil"/>
            </w:tcBorders>
            <w:vAlign w:val="center"/>
          </w:tcPr>
          <w:p w14:paraId="7EAFDCFA" w14:textId="77777777" w:rsidR="00A35D79" w:rsidRPr="00D300B0" w:rsidRDefault="00A35D79" w:rsidP="00A35D79">
            <w:pPr>
              <w:spacing w:after="0" w:line="240" w:lineRule="auto"/>
              <w:jc w:val="center"/>
              <w:rPr>
                <w:rFonts w:eastAsiaTheme="minorHAnsi" w:cstheme="minorBidi"/>
                <w:sz w:val="20"/>
                <w:szCs w:val="20"/>
                <w:lang w:eastAsia="lv-LV"/>
              </w:rPr>
            </w:pPr>
            <w:r w:rsidRPr="00D300B0">
              <w:rPr>
                <w:rFonts w:eastAsia="Times New Roman"/>
                <w:color w:val="000000"/>
                <w:sz w:val="20"/>
                <w:szCs w:val="20"/>
                <w:lang w:eastAsia="lv-LV"/>
              </w:rPr>
              <w:t>0</w:t>
            </w:r>
          </w:p>
        </w:tc>
      </w:tr>
      <w:tr w:rsidR="00A35D79" w:rsidRPr="00D300B0" w14:paraId="5D60FE70" w14:textId="77777777" w:rsidTr="00A35D79">
        <w:trPr>
          <w:trHeight w:val="255"/>
          <w:jc w:val="center"/>
        </w:trPr>
        <w:tc>
          <w:tcPr>
            <w:tcW w:w="904" w:type="dxa"/>
            <w:tcBorders>
              <w:top w:val="nil"/>
              <w:bottom w:val="nil"/>
            </w:tcBorders>
          </w:tcPr>
          <w:p w14:paraId="6C83E3CD" w14:textId="77777777" w:rsidR="00A35D79" w:rsidRPr="00D300B0" w:rsidRDefault="00A35D79" w:rsidP="00A35D79">
            <w:pPr>
              <w:spacing w:after="0" w:line="240" w:lineRule="auto"/>
              <w:contextualSpacing/>
              <w:rPr>
                <w:rFonts w:eastAsia="Times New Roman"/>
                <w:b/>
                <w:bCs/>
                <w:color w:val="000000"/>
                <w:sz w:val="20"/>
                <w:szCs w:val="20"/>
                <w:lang w:eastAsia="lv-LV"/>
              </w:rPr>
            </w:pPr>
          </w:p>
        </w:tc>
        <w:tc>
          <w:tcPr>
            <w:tcW w:w="1364" w:type="dxa"/>
            <w:tcBorders>
              <w:top w:val="nil"/>
              <w:bottom w:val="nil"/>
            </w:tcBorders>
          </w:tcPr>
          <w:p w14:paraId="1AC72D0E" w14:textId="77777777" w:rsidR="00A35D79" w:rsidRPr="00D300B0" w:rsidRDefault="00A35D79" w:rsidP="00A35D79">
            <w:pPr>
              <w:spacing w:after="0" w:line="240" w:lineRule="auto"/>
              <w:contextualSpacing/>
              <w:rPr>
                <w:rFonts w:eastAsia="Times New Roman"/>
                <w:b/>
                <w:bCs/>
                <w:color w:val="000000"/>
                <w:sz w:val="20"/>
                <w:szCs w:val="20"/>
                <w:lang w:eastAsia="lv-LV"/>
              </w:rPr>
            </w:pPr>
          </w:p>
        </w:tc>
        <w:tc>
          <w:tcPr>
            <w:tcW w:w="960" w:type="dxa"/>
            <w:tcBorders>
              <w:top w:val="nil"/>
              <w:bottom w:val="nil"/>
            </w:tcBorders>
            <w:noWrap/>
            <w:vAlign w:val="center"/>
          </w:tcPr>
          <w:p w14:paraId="6618360B" w14:textId="77777777" w:rsidR="00A35D79" w:rsidRPr="00D300B0" w:rsidRDefault="00A35D79" w:rsidP="00A35D79">
            <w:pPr>
              <w:spacing w:after="0" w:line="240" w:lineRule="auto"/>
              <w:contextualSpacing/>
              <w:rPr>
                <w:rFonts w:eastAsia="Times New Roman"/>
                <w:b/>
                <w:bCs/>
                <w:color w:val="000000"/>
                <w:sz w:val="20"/>
                <w:szCs w:val="20"/>
                <w:lang w:eastAsia="lv-LV"/>
              </w:rPr>
            </w:pPr>
          </w:p>
        </w:tc>
        <w:tc>
          <w:tcPr>
            <w:tcW w:w="1308" w:type="dxa"/>
            <w:tcBorders>
              <w:top w:val="nil"/>
              <w:bottom w:val="nil"/>
            </w:tcBorders>
            <w:noWrap/>
            <w:vAlign w:val="center"/>
          </w:tcPr>
          <w:p w14:paraId="49DE3A88" w14:textId="77777777" w:rsidR="00A35D79" w:rsidRPr="00D300B0" w:rsidRDefault="00A35D79" w:rsidP="00A35D79">
            <w:pPr>
              <w:spacing w:after="0" w:line="240" w:lineRule="auto"/>
              <w:contextualSpacing/>
              <w:jc w:val="right"/>
              <w:rPr>
                <w:rFonts w:eastAsia="Times New Roman"/>
                <w:b/>
                <w:bCs/>
                <w:color w:val="000000"/>
                <w:sz w:val="20"/>
                <w:szCs w:val="20"/>
                <w:lang w:eastAsia="lv-LV"/>
              </w:rPr>
            </w:pPr>
          </w:p>
        </w:tc>
        <w:tc>
          <w:tcPr>
            <w:tcW w:w="1114" w:type="dxa"/>
            <w:tcBorders>
              <w:top w:val="nil"/>
              <w:bottom w:val="nil"/>
            </w:tcBorders>
            <w:vAlign w:val="center"/>
          </w:tcPr>
          <w:p w14:paraId="6D785AE1" w14:textId="77777777" w:rsidR="00A35D79" w:rsidRPr="00D300B0" w:rsidRDefault="00A35D79" w:rsidP="00A35D79">
            <w:pPr>
              <w:spacing w:after="0" w:line="240" w:lineRule="auto"/>
              <w:rPr>
                <w:rFonts w:eastAsia="Times New Roman"/>
                <w:color w:val="000000"/>
                <w:sz w:val="20"/>
                <w:szCs w:val="20"/>
                <w:lang w:eastAsia="lv-LV"/>
              </w:rPr>
            </w:pPr>
            <w:r w:rsidRPr="00D300B0">
              <w:rPr>
                <w:rFonts w:eastAsia="Times New Roman"/>
                <w:b/>
                <w:bCs/>
                <w:color w:val="000000"/>
                <w:sz w:val="20"/>
                <w:szCs w:val="20"/>
                <w:lang w:eastAsia="lv-LV"/>
              </w:rPr>
              <w:t>Kopā</w:t>
            </w:r>
          </w:p>
        </w:tc>
        <w:tc>
          <w:tcPr>
            <w:tcW w:w="1154" w:type="dxa"/>
            <w:tcBorders>
              <w:top w:val="nil"/>
              <w:bottom w:val="nil"/>
            </w:tcBorders>
            <w:vAlign w:val="center"/>
          </w:tcPr>
          <w:p w14:paraId="3D436406" w14:textId="77777777" w:rsidR="00A35D79" w:rsidRPr="00D300B0" w:rsidRDefault="00A35D79" w:rsidP="00A35D79">
            <w:pPr>
              <w:spacing w:after="0" w:line="240" w:lineRule="auto"/>
              <w:jc w:val="center"/>
              <w:rPr>
                <w:rFonts w:eastAsia="Times New Roman"/>
                <w:color w:val="000000"/>
                <w:sz w:val="20"/>
                <w:szCs w:val="20"/>
                <w:lang w:eastAsia="lv-LV"/>
              </w:rPr>
            </w:pPr>
            <w:r w:rsidRPr="00D300B0">
              <w:rPr>
                <w:rFonts w:eastAsia="Times New Roman"/>
                <w:b/>
                <w:bCs/>
                <w:color w:val="000000"/>
                <w:sz w:val="20"/>
                <w:szCs w:val="20"/>
                <w:lang w:eastAsia="lv-LV"/>
              </w:rPr>
              <w:t>2 850 000</w:t>
            </w:r>
          </w:p>
        </w:tc>
      </w:tr>
    </w:tbl>
    <w:p w14:paraId="6D0DFABB" w14:textId="77777777" w:rsidR="000201AF" w:rsidRDefault="000201AF" w:rsidP="00ED33EA">
      <w:pPr>
        <w:spacing w:after="120" w:line="240" w:lineRule="auto"/>
        <w:ind w:firstLine="720"/>
        <w:jc w:val="center"/>
        <w:rPr>
          <w:b/>
          <w:szCs w:val="24"/>
        </w:rPr>
      </w:pPr>
    </w:p>
    <w:p w14:paraId="4C58D54A" w14:textId="25E4F989" w:rsidR="00A62C72" w:rsidRDefault="00A62C72" w:rsidP="00ED33EA">
      <w:pPr>
        <w:spacing w:after="120" w:line="240" w:lineRule="auto"/>
        <w:ind w:firstLine="720"/>
        <w:jc w:val="center"/>
        <w:rPr>
          <w:b/>
          <w:szCs w:val="24"/>
        </w:rPr>
      </w:pPr>
    </w:p>
    <w:p w14:paraId="5C45B57D" w14:textId="50DEFD08" w:rsidR="00517557" w:rsidRDefault="00517557" w:rsidP="00ED33EA">
      <w:pPr>
        <w:spacing w:after="120" w:line="240" w:lineRule="auto"/>
        <w:ind w:firstLine="720"/>
        <w:jc w:val="center"/>
        <w:rPr>
          <w:b/>
          <w:szCs w:val="24"/>
        </w:rPr>
      </w:pPr>
    </w:p>
    <w:p w14:paraId="159DF7EC" w14:textId="77777777" w:rsidR="00517557" w:rsidRDefault="00517557" w:rsidP="00ED33EA">
      <w:pPr>
        <w:spacing w:after="120" w:line="240" w:lineRule="auto"/>
        <w:ind w:firstLine="720"/>
        <w:jc w:val="center"/>
        <w:rPr>
          <w:b/>
          <w:szCs w:val="24"/>
        </w:rPr>
      </w:pPr>
    </w:p>
    <w:p w14:paraId="06FB4D61" w14:textId="77777777" w:rsidR="008A2694" w:rsidRDefault="00C3792C" w:rsidP="00ED33EA">
      <w:pPr>
        <w:spacing w:after="120" w:line="240" w:lineRule="auto"/>
        <w:ind w:firstLine="720"/>
        <w:jc w:val="center"/>
        <w:rPr>
          <w:b/>
          <w:szCs w:val="24"/>
        </w:rPr>
      </w:pPr>
      <w:r>
        <w:rPr>
          <w:b/>
          <w:szCs w:val="24"/>
        </w:rPr>
        <w:lastRenderedPageBreak/>
        <w:t xml:space="preserve">V. </w:t>
      </w:r>
      <w:r w:rsidR="008A2694" w:rsidRPr="00AE1DDC">
        <w:rPr>
          <w:b/>
          <w:szCs w:val="24"/>
        </w:rPr>
        <w:t>Turpmākā rīcība</w:t>
      </w:r>
    </w:p>
    <w:p w14:paraId="71D43F61" w14:textId="77777777" w:rsidR="00A62C72" w:rsidRPr="00AE1DDC" w:rsidRDefault="00A62C72" w:rsidP="00ED33EA">
      <w:pPr>
        <w:spacing w:after="120" w:line="240" w:lineRule="auto"/>
        <w:ind w:firstLine="720"/>
        <w:jc w:val="center"/>
        <w:rPr>
          <w:b/>
          <w:szCs w:val="24"/>
        </w:rPr>
      </w:pPr>
    </w:p>
    <w:p w14:paraId="76904E77" w14:textId="77777777" w:rsidR="00713EC6" w:rsidRPr="00713EC6" w:rsidRDefault="00713EC6" w:rsidP="00713EC6">
      <w:pPr>
        <w:pStyle w:val="ListParagraph"/>
        <w:numPr>
          <w:ilvl w:val="0"/>
          <w:numId w:val="9"/>
        </w:numPr>
        <w:spacing w:after="120"/>
        <w:contextualSpacing w:val="0"/>
        <w:rPr>
          <w:rFonts w:eastAsia="Times New Roman" w:cs="Times New Roman"/>
          <w:szCs w:val="28"/>
          <w:lang w:eastAsia="lv-LV"/>
        </w:rPr>
      </w:pPr>
      <w:r w:rsidRPr="00713EC6">
        <w:rPr>
          <w:rFonts w:eastAsia="Times New Roman" w:cs="Times New Roman"/>
          <w:szCs w:val="28"/>
          <w:lang w:eastAsia="lv-LV"/>
        </w:rPr>
        <w:t>Pieņemt zināšanai iesniegto informatīvo ziņojumu.</w:t>
      </w:r>
    </w:p>
    <w:p w14:paraId="191F3088" w14:textId="1C67FA90" w:rsidR="0002099D" w:rsidRPr="001C32A8" w:rsidRDefault="001C32A8" w:rsidP="001C32A8">
      <w:pPr>
        <w:pStyle w:val="BlockText"/>
        <w:numPr>
          <w:ilvl w:val="0"/>
          <w:numId w:val="9"/>
        </w:numPr>
        <w:spacing w:after="120" w:line="240" w:lineRule="auto"/>
        <w:ind w:right="84"/>
        <w:jc w:val="both"/>
        <w:rPr>
          <w:szCs w:val="28"/>
        </w:rPr>
      </w:pPr>
      <w:r w:rsidRPr="001C32A8">
        <w:rPr>
          <w:szCs w:val="28"/>
        </w:rPr>
        <w:t>Atļaut Finanšu ministrijai uzņemties papildu ilgtermiņa saistības ieguldījumu veikšanai Starptautiskās Attīstības asociācijas resursu 19.papildināšanai un attiecīgi 202</w:t>
      </w:r>
      <w:r w:rsidR="00AB397F">
        <w:rPr>
          <w:szCs w:val="28"/>
        </w:rPr>
        <w:t>1</w:t>
      </w:r>
      <w:r w:rsidRPr="001C32A8">
        <w:rPr>
          <w:szCs w:val="28"/>
        </w:rPr>
        <w:t>.gada valsts budžeta sagatavošanas procesā palielināt resursus no dotācijas no vispārējiem ieņēmumiem Finanšu ministrijas budžeta apakšprogrammā 41.03.00 “Iemaksas starptautiskajās organizācijās”</w:t>
      </w:r>
      <w:r>
        <w:rPr>
          <w:szCs w:val="28"/>
        </w:rPr>
        <w:t xml:space="preserve"> </w:t>
      </w:r>
      <w:r w:rsidRPr="001C32A8">
        <w:rPr>
          <w:szCs w:val="28"/>
        </w:rPr>
        <w:t>2022.gadā par EUR 1</w:t>
      </w:r>
      <w:r w:rsidR="00E05134">
        <w:rPr>
          <w:szCs w:val="28"/>
        </w:rPr>
        <w:t> 865 0</w:t>
      </w:r>
      <w:r w:rsidR="008A6B54">
        <w:rPr>
          <w:szCs w:val="28"/>
        </w:rPr>
        <w:t>00</w:t>
      </w:r>
      <w:r w:rsidRPr="001C32A8">
        <w:rPr>
          <w:szCs w:val="28"/>
        </w:rPr>
        <w:t>,</w:t>
      </w:r>
      <w:r>
        <w:rPr>
          <w:szCs w:val="28"/>
        </w:rPr>
        <w:t xml:space="preserve"> 2023.gad</w:t>
      </w:r>
      <w:bookmarkStart w:id="0" w:name="_GoBack"/>
      <w:bookmarkEnd w:id="0"/>
      <w:r>
        <w:rPr>
          <w:szCs w:val="28"/>
        </w:rPr>
        <w:t>ā par EUR 1</w:t>
      </w:r>
      <w:r w:rsidR="00E05134">
        <w:rPr>
          <w:szCs w:val="28"/>
        </w:rPr>
        <w:t> 865 0</w:t>
      </w:r>
      <w:r w:rsidR="008A6B54">
        <w:rPr>
          <w:szCs w:val="28"/>
        </w:rPr>
        <w:t>00</w:t>
      </w:r>
      <w:r>
        <w:rPr>
          <w:szCs w:val="28"/>
        </w:rPr>
        <w:t>.</w:t>
      </w:r>
    </w:p>
    <w:p w14:paraId="5C958A47" w14:textId="77777777" w:rsidR="004B5623" w:rsidRPr="004B5623" w:rsidRDefault="0002099D" w:rsidP="00713EC6">
      <w:pPr>
        <w:pStyle w:val="ListParagraph"/>
        <w:numPr>
          <w:ilvl w:val="0"/>
          <w:numId w:val="9"/>
        </w:numPr>
        <w:spacing w:after="120"/>
        <w:contextualSpacing w:val="0"/>
        <w:jc w:val="both"/>
        <w:rPr>
          <w:rFonts w:eastAsia="Times New Roman" w:cs="Times New Roman"/>
          <w:szCs w:val="24"/>
          <w:lang w:eastAsia="lv-LV"/>
        </w:rPr>
      </w:pPr>
      <w:r w:rsidRPr="0002099D">
        <w:rPr>
          <w:szCs w:val="28"/>
        </w:rPr>
        <w:t xml:space="preserve">Pilnvarot finanšu ministru </w:t>
      </w:r>
      <w:proofErr w:type="spellStart"/>
      <w:r w:rsidRPr="0002099D">
        <w:rPr>
          <w:szCs w:val="28"/>
        </w:rPr>
        <w:t>J.Reiru</w:t>
      </w:r>
      <w:proofErr w:type="spellEnd"/>
      <w:r w:rsidRPr="0002099D">
        <w:rPr>
          <w:szCs w:val="28"/>
        </w:rPr>
        <w:t xml:space="preserve"> Latvijas Republikas valdības vārdā parakstīt Saistību apliecinājumu par Latvijas Republikas dalību Starptautiskās Attīstības asociācijas 19.resursu papildināšanā un Saistību apliecinājumu par Latvijas Republikas dalību Daudzpusējā parādu atlaišanas iniciatīvā atbilstoši koriģētajam iemaksu grafikam</w:t>
      </w:r>
      <w:r w:rsidR="004B5623" w:rsidRPr="004B5623">
        <w:rPr>
          <w:rFonts w:eastAsia="Times New Roman" w:cs="Times New Roman"/>
          <w:szCs w:val="24"/>
          <w:lang w:eastAsia="lv-LV"/>
        </w:rPr>
        <w:t>.</w:t>
      </w:r>
    </w:p>
    <w:p w14:paraId="6FE69A76" w14:textId="77777777" w:rsidR="0002099D" w:rsidRDefault="0002099D" w:rsidP="003C4E96">
      <w:pPr>
        <w:spacing w:after="0" w:line="240" w:lineRule="auto"/>
        <w:ind w:firstLine="720"/>
        <w:jc w:val="both"/>
      </w:pPr>
    </w:p>
    <w:p w14:paraId="7CC08472" w14:textId="77777777" w:rsidR="001C2D4E" w:rsidRDefault="001C2D4E" w:rsidP="003C4E96">
      <w:pPr>
        <w:spacing w:after="0" w:line="240" w:lineRule="auto"/>
        <w:ind w:firstLine="720"/>
        <w:jc w:val="both"/>
      </w:pPr>
    </w:p>
    <w:p w14:paraId="00A5F2B1" w14:textId="77777777" w:rsidR="001C2D4E" w:rsidRDefault="006A3DEF" w:rsidP="003C4E96">
      <w:pPr>
        <w:spacing w:after="0" w:line="240" w:lineRule="auto"/>
        <w:ind w:firstLine="720"/>
        <w:jc w:val="both"/>
      </w:pPr>
      <w:r>
        <w:t xml:space="preserve"> </w:t>
      </w:r>
    </w:p>
    <w:p w14:paraId="795C2BB7" w14:textId="77777777" w:rsidR="009B0808" w:rsidRDefault="009B0808" w:rsidP="003C4E96">
      <w:pPr>
        <w:spacing w:after="0" w:line="240" w:lineRule="auto"/>
        <w:ind w:firstLine="720"/>
        <w:jc w:val="both"/>
      </w:pPr>
      <w:r>
        <w:t>Finanšu ministrs</w:t>
      </w:r>
      <w:r>
        <w:tab/>
      </w:r>
      <w:r>
        <w:tab/>
      </w:r>
      <w:r>
        <w:tab/>
      </w:r>
      <w:r>
        <w:tab/>
      </w:r>
      <w:r>
        <w:tab/>
      </w:r>
      <w:r>
        <w:tab/>
      </w:r>
      <w:proofErr w:type="spellStart"/>
      <w:r>
        <w:t>J.Reirs</w:t>
      </w:r>
      <w:proofErr w:type="spellEnd"/>
    </w:p>
    <w:p w14:paraId="60060D41" w14:textId="77777777" w:rsidR="00BE0FEE" w:rsidRDefault="00BE0FEE" w:rsidP="009B0808">
      <w:pPr>
        <w:spacing w:after="0" w:line="240" w:lineRule="auto"/>
        <w:rPr>
          <w:sz w:val="20"/>
          <w:szCs w:val="20"/>
        </w:rPr>
      </w:pPr>
    </w:p>
    <w:p w14:paraId="63377311" w14:textId="77777777" w:rsidR="0002099D" w:rsidRDefault="0002099D" w:rsidP="009B0808">
      <w:pPr>
        <w:spacing w:after="0" w:line="240" w:lineRule="auto"/>
        <w:rPr>
          <w:sz w:val="20"/>
          <w:szCs w:val="20"/>
        </w:rPr>
      </w:pPr>
    </w:p>
    <w:p w14:paraId="61464810" w14:textId="77777777" w:rsidR="001C2D4E" w:rsidRDefault="001C2D4E" w:rsidP="009B0808">
      <w:pPr>
        <w:spacing w:after="0" w:line="240" w:lineRule="auto"/>
        <w:rPr>
          <w:sz w:val="20"/>
          <w:szCs w:val="20"/>
        </w:rPr>
      </w:pPr>
    </w:p>
    <w:p w14:paraId="60477570" w14:textId="77777777" w:rsidR="001C2D4E" w:rsidRDefault="001C2D4E" w:rsidP="009B0808">
      <w:pPr>
        <w:spacing w:after="0" w:line="240" w:lineRule="auto"/>
        <w:rPr>
          <w:sz w:val="20"/>
          <w:szCs w:val="20"/>
        </w:rPr>
      </w:pPr>
    </w:p>
    <w:p w14:paraId="30712B8C" w14:textId="77777777" w:rsidR="001C2D4E" w:rsidRDefault="001C2D4E" w:rsidP="009B0808">
      <w:pPr>
        <w:spacing w:after="0" w:line="240" w:lineRule="auto"/>
        <w:rPr>
          <w:sz w:val="20"/>
          <w:szCs w:val="20"/>
        </w:rPr>
      </w:pPr>
    </w:p>
    <w:p w14:paraId="00A055E2" w14:textId="77777777" w:rsidR="001C2D4E" w:rsidRDefault="001C2D4E" w:rsidP="009B0808">
      <w:pPr>
        <w:spacing w:after="0" w:line="240" w:lineRule="auto"/>
        <w:rPr>
          <w:sz w:val="20"/>
          <w:szCs w:val="20"/>
        </w:rPr>
      </w:pPr>
    </w:p>
    <w:p w14:paraId="220B5F2C" w14:textId="77777777" w:rsidR="001C2D4E" w:rsidRDefault="001C2D4E" w:rsidP="009B0808">
      <w:pPr>
        <w:spacing w:after="0" w:line="240" w:lineRule="auto"/>
        <w:rPr>
          <w:sz w:val="20"/>
          <w:szCs w:val="20"/>
        </w:rPr>
      </w:pPr>
    </w:p>
    <w:p w14:paraId="294EEAF0" w14:textId="77777777" w:rsidR="009B0808" w:rsidRPr="009B0808" w:rsidRDefault="009B0808" w:rsidP="009B0808">
      <w:pPr>
        <w:spacing w:after="0" w:line="240" w:lineRule="auto"/>
        <w:rPr>
          <w:sz w:val="20"/>
          <w:szCs w:val="20"/>
        </w:rPr>
      </w:pPr>
      <w:r w:rsidRPr="009B0808">
        <w:rPr>
          <w:sz w:val="20"/>
          <w:szCs w:val="20"/>
        </w:rPr>
        <w:t>Forda</w:t>
      </w:r>
    </w:p>
    <w:p w14:paraId="5397B0E5" w14:textId="77777777" w:rsidR="009B0808" w:rsidRPr="009B0808" w:rsidRDefault="009B0808" w:rsidP="009B0808">
      <w:pPr>
        <w:spacing w:after="0" w:line="240" w:lineRule="auto"/>
        <w:rPr>
          <w:sz w:val="20"/>
          <w:szCs w:val="20"/>
        </w:rPr>
      </w:pPr>
      <w:r w:rsidRPr="009B0808">
        <w:rPr>
          <w:sz w:val="20"/>
          <w:szCs w:val="20"/>
        </w:rPr>
        <w:t>67095585</w:t>
      </w:r>
    </w:p>
    <w:p w14:paraId="7D6A301F" w14:textId="77777777" w:rsidR="00767AF5" w:rsidRDefault="00AB397F" w:rsidP="00BE0FEE">
      <w:pPr>
        <w:spacing w:after="0" w:line="240" w:lineRule="auto"/>
      </w:pPr>
      <w:hyperlink r:id="rId10" w:history="1">
        <w:r w:rsidR="009B0808" w:rsidRPr="009B0808">
          <w:rPr>
            <w:rStyle w:val="Hyperlink"/>
            <w:sz w:val="20"/>
            <w:szCs w:val="20"/>
          </w:rPr>
          <w:t>Inga.Forda@fm.gov.lv</w:t>
        </w:r>
      </w:hyperlink>
      <w:r w:rsidR="009B0808" w:rsidRPr="009B0808">
        <w:rPr>
          <w:sz w:val="20"/>
          <w:szCs w:val="20"/>
        </w:rPr>
        <w:t xml:space="preserve"> </w:t>
      </w:r>
    </w:p>
    <w:sectPr w:rsidR="00767AF5">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2A8D" w14:textId="77777777" w:rsidR="002A0401" w:rsidRDefault="002A0401" w:rsidP="00A90D8D">
      <w:pPr>
        <w:spacing w:after="0" w:line="240" w:lineRule="auto"/>
      </w:pPr>
      <w:r>
        <w:separator/>
      </w:r>
    </w:p>
  </w:endnote>
  <w:endnote w:type="continuationSeparator" w:id="0">
    <w:p w14:paraId="753D13B2" w14:textId="77777777" w:rsidR="002A0401" w:rsidRDefault="002A0401" w:rsidP="00A9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E2A52" w14:textId="77777777" w:rsidR="00C55740" w:rsidRDefault="00C55740" w:rsidP="005C6BEF">
    <w:pPr>
      <w:jc w:val="both"/>
      <w:rPr>
        <w:sz w:val="20"/>
        <w:szCs w:val="20"/>
      </w:rPr>
    </w:pPr>
    <w:r w:rsidRPr="004C3F1A">
      <w:rPr>
        <w:sz w:val="20"/>
        <w:szCs w:val="20"/>
      </w:rPr>
      <w:t>FMZino_</w:t>
    </w:r>
    <w:r>
      <w:rPr>
        <w:sz w:val="20"/>
        <w:szCs w:val="20"/>
      </w:rPr>
      <w:t>301119</w:t>
    </w:r>
    <w:r w:rsidRPr="004C3F1A">
      <w:rPr>
        <w:sz w:val="20"/>
        <w:szCs w:val="20"/>
      </w:rPr>
      <w:t>_</w:t>
    </w:r>
    <w:r>
      <w:rPr>
        <w:sz w:val="20"/>
        <w:szCs w:val="20"/>
      </w:rPr>
      <w:t>IDA19</w:t>
    </w:r>
  </w:p>
  <w:p w14:paraId="508A8ACB" w14:textId="77777777" w:rsidR="00C55740" w:rsidRDefault="00C5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330C4" w14:textId="77777777" w:rsidR="002A0401" w:rsidRDefault="002A0401" w:rsidP="00A90D8D">
      <w:pPr>
        <w:spacing w:after="0" w:line="240" w:lineRule="auto"/>
      </w:pPr>
      <w:r>
        <w:separator/>
      </w:r>
    </w:p>
  </w:footnote>
  <w:footnote w:type="continuationSeparator" w:id="0">
    <w:p w14:paraId="0D45D677" w14:textId="77777777" w:rsidR="002A0401" w:rsidRDefault="002A0401" w:rsidP="00A90D8D">
      <w:pPr>
        <w:spacing w:after="0" w:line="240" w:lineRule="auto"/>
      </w:pPr>
      <w:r>
        <w:continuationSeparator/>
      </w:r>
    </w:p>
  </w:footnote>
  <w:footnote w:id="1">
    <w:p w14:paraId="6DC4FF35" w14:textId="77777777" w:rsidR="00C55740" w:rsidRPr="00180F16" w:rsidRDefault="00C55740" w:rsidP="005F421C">
      <w:pPr>
        <w:pStyle w:val="FootnoteText"/>
        <w:spacing w:after="0" w:line="240" w:lineRule="auto"/>
        <w:rPr>
          <w:sz w:val="18"/>
          <w:szCs w:val="18"/>
        </w:rPr>
      </w:pPr>
      <w:r w:rsidRPr="00180F16">
        <w:rPr>
          <w:rStyle w:val="FootnoteReference"/>
          <w:sz w:val="18"/>
          <w:szCs w:val="18"/>
        </w:rPr>
        <w:footnoteRef/>
      </w:r>
      <w:r w:rsidRPr="00180F16">
        <w:rPr>
          <w:sz w:val="18"/>
          <w:szCs w:val="18"/>
        </w:rPr>
        <w:t xml:space="preserve"> </w:t>
      </w:r>
      <w:proofErr w:type="spellStart"/>
      <w:r w:rsidRPr="00180F16">
        <w:rPr>
          <w:i/>
          <w:sz w:val="18"/>
          <w:szCs w:val="18"/>
        </w:rPr>
        <w:t>International</w:t>
      </w:r>
      <w:proofErr w:type="spellEnd"/>
      <w:r w:rsidRPr="00180F16">
        <w:rPr>
          <w:i/>
          <w:sz w:val="18"/>
          <w:szCs w:val="18"/>
        </w:rPr>
        <w:t xml:space="preserve"> </w:t>
      </w:r>
      <w:proofErr w:type="spellStart"/>
      <w:r w:rsidRPr="00180F16">
        <w:rPr>
          <w:i/>
          <w:sz w:val="18"/>
          <w:szCs w:val="18"/>
        </w:rPr>
        <w:t>Development</w:t>
      </w:r>
      <w:proofErr w:type="spellEnd"/>
      <w:r w:rsidRPr="00180F16">
        <w:rPr>
          <w:i/>
          <w:sz w:val="18"/>
          <w:szCs w:val="18"/>
        </w:rPr>
        <w:t xml:space="preserve"> Association</w:t>
      </w:r>
      <w:r>
        <w:rPr>
          <w:sz w:val="18"/>
          <w:szCs w:val="18"/>
        </w:rPr>
        <w:t xml:space="preserve"> (IDA).</w:t>
      </w:r>
    </w:p>
  </w:footnote>
  <w:footnote w:id="2">
    <w:p w14:paraId="397F8E76" w14:textId="77777777" w:rsidR="00C55740" w:rsidRDefault="00C55740" w:rsidP="005F421C">
      <w:pPr>
        <w:pStyle w:val="FootnoteText"/>
        <w:spacing w:after="0" w:line="240" w:lineRule="auto"/>
        <w:jc w:val="both"/>
      </w:pPr>
      <w:r>
        <w:rPr>
          <w:rStyle w:val="FootnoteReference"/>
        </w:rPr>
        <w:footnoteRef/>
      </w:r>
      <w:r>
        <w:t xml:space="preserve"> </w:t>
      </w:r>
      <w:r w:rsidRPr="00DC3ADE">
        <w:rPr>
          <w:sz w:val="18"/>
        </w:rPr>
        <w:t>IDA aizdevumiem ir nulles vai ļoti zemas procentu likmes ar 30-38 gadu ilgiem atmaksas grafikiem, kas ietver arī</w:t>
      </w:r>
      <w:r>
        <w:rPr>
          <w:sz w:val="18"/>
        </w:rPr>
        <w:t xml:space="preserve"> 5-10 gadu atvieglojuma periodu.</w:t>
      </w:r>
    </w:p>
  </w:footnote>
  <w:footnote w:id="3">
    <w:p w14:paraId="6D892898" w14:textId="77777777" w:rsidR="00C55740" w:rsidRPr="008C3254" w:rsidRDefault="00C55740" w:rsidP="00C5001E">
      <w:pPr>
        <w:pStyle w:val="FootnoteText"/>
        <w:spacing w:after="0" w:line="240" w:lineRule="auto"/>
        <w:contextualSpacing/>
        <w:jc w:val="both"/>
      </w:pPr>
      <w:r>
        <w:rPr>
          <w:rStyle w:val="FootnoteReference"/>
        </w:rPr>
        <w:footnoteRef/>
      </w:r>
      <w:r w:rsidRPr="00921D7C">
        <w:rPr>
          <w:sz w:val="18"/>
          <w:szCs w:val="18"/>
        </w:rPr>
        <w:t xml:space="preserve"> </w:t>
      </w:r>
      <w:r w:rsidRPr="004F6016">
        <w:rPr>
          <w:sz w:val="18"/>
          <w:szCs w:val="18"/>
        </w:rPr>
        <w:t>Atbilstoši Pasaules Bankas klasifikācijai IDA valstis ir tās valstis, kuru nacionālais kopprodukts (NK</w:t>
      </w:r>
      <w:r>
        <w:rPr>
          <w:sz w:val="18"/>
          <w:szCs w:val="18"/>
        </w:rPr>
        <w:t>I</w:t>
      </w:r>
      <w:r w:rsidRPr="004F6016">
        <w:rPr>
          <w:sz w:val="18"/>
          <w:szCs w:val="18"/>
        </w:rPr>
        <w:t xml:space="preserve">) </w:t>
      </w:r>
      <w:r w:rsidRPr="004F6016">
        <w:rPr>
          <w:i/>
          <w:sz w:val="18"/>
          <w:szCs w:val="18"/>
        </w:rPr>
        <w:t xml:space="preserve">per </w:t>
      </w:r>
      <w:proofErr w:type="spellStart"/>
      <w:r w:rsidRPr="004F6016">
        <w:rPr>
          <w:i/>
          <w:sz w:val="18"/>
          <w:szCs w:val="18"/>
        </w:rPr>
        <w:t>capita</w:t>
      </w:r>
      <w:proofErr w:type="spellEnd"/>
      <w:r w:rsidRPr="004F6016">
        <w:rPr>
          <w:sz w:val="18"/>
          <w:szCs w:val="18"/>
        </w:rPr>
        <w:t xml:space="preserve"> ir zem US$1,175. </w:t>
      </w:r>
      <w:r w:rsidRPr="00CB3DFE">
        <w:rPr>
          <w:sz w:val="18"/>
          <w:szCs w:val="18"/>
        </w:rPr>
        <w:t>IDA  valstis iedalās trīs grupās</w:t>
      </w:r>
      <w:r w:rsidRPr="00921D7C">
        <w:rPr>
          <w:sz w:val="18"/>
          <w:szCs w:val="18"/>
        </w:rPr>
        <w:t xml:space="preserve">: </w:t>
      </w:r>
      <w:r>
        <w:rPr>
          <w:sz w:val="18"/>
          <w:szCs w:val="18"/>
        </w:rPr>
        <w:t>(</w:t>
      </w:r>
      <w:r w:rsidRPr="00921D7C">
        <w:rPr>
          <w:sz w:val="18"/>
          <w:szCs w:val="18"/>
        </w:rPr>
        <w:t xml:space="preserve">i) valstis ar augstu parāda krīzi, kas 100% no finansējuma saņem </w:t>
      </w:r>
      <w:proofErr w:type="spellStart"/>
      <w:r w:rsidRPr="00921D7C">
        <w:rPr>
          <w:sz w:val="18"/>
          <w:szCs w:val="18"/>
        </w:rPr>
        <w:t>grantu</w:t>
      </w:r>
      <w:proofErr w:type="spellEnd"/>
      <w:r w:rsidRPr="00921D7C">
        <w:rPr>
          <w:sz w:val="18"/>
          <w:szCs w:val="18"/>
        </w:rPr>
        <w:t xml:space="preserve"> veidā; (ii) valstis ar mērenu parāda krīzes līmenī, kas 50% no finansējuma saņem </w:t>
      </w:r>
      <w:proofErr w:type="spellStart"/>
      <w:r w:rsidRPr="00921D7C">
        <w:rPr>
          <w:sz w:val="18"/>
          <w:szCs w:val="18"/>
        </w:rPr>
        <w:t>grantu</w:t>
      </w:r>
      <w:proofErr w:type="spellEnd"/>
      <w:r w:rsidRPr="00921D7C">
        <w:rPr>
          <w:sz w:val="18"/>
          <w:szCs w:val="18"/>
        </w:rPr>
        <w:t xml:space="preserve"> veidā</w:t>
      </w:r>
      <w:r>
        <w:rPr>
          <w:sz w:val="18"/>
          <w:szCs w:val="18"/>
        </w:rPr>
        <w:t>; un (iii) valstis, kas saņem</w:t>
      </w:r>
      <w:r w:rsidRPr="00921D7C">
        <w:rPr>
          <w:sz w:val="18"/>
          <w:szCs w:val="18"/>
        </w:rPr>
        <w:t xml:space="preserve"> atbalstu aizdevumu veidā </w:t>
      </w:r>
      <w:r>
        <w:rPr>
          <w:sz w:val="18"/>
          <w:szCs w:val="18"/>
        </w:rPr>
        <w:t>saskaņā ar</w:t>
      </w:r>
      <w:r w:rsidRPr="00921D7C">
        <w:rPr>
          <w:sz w:val="18"/>
          <w:szCs w:val="18"/>
        </w:rPr>
        <w:t xml:space="preserve"> IDA </w:t>
      </w:r>
      <w:r>
        <w:rPr>
          <w:sz w:val="18"/>
          <w:szCs w:val="18"/>
        </w:rPr>
        <w:t xml:space="preserve">standarta noteikumiem. </w:t>
      </w:r>
      <w:r w:rsidRPr="004F6016">
        <w:rPr>
          <w:sz w:val="18"/>
          <w:szCs w:val="18"/>
        </w:rPr>
        <w:t>IDA sniedz atbalstu arī tām valstīm</w:t>
      </w:r>
      <w:r>
        <w:rPr>
          <w:sz w:val="18"/>
          <w:szCs w:val="18"/>
        </w:rPr>
        <w:t>,</w:t>
      </w:r>
      <w:r w:rsidRPr="004F6016">
        <w:rPr>
          <w:sz w:val="18"/>
          <w:szCs w:val="18"/>
        </w:rPr>
        <w:t xml:space="preserve"> kuru NK</w:t>
      </w:r>
      <w:r>
        <w:rPr>
          <w:sz w:val="18"/>
          <w:szCs w:val="18"/>
        </w:rPr>
        <w:t>I</w:t>
      </w:r>
      <w:r w:rsidRPr="004F6016">
        <w:rPr>
          <w:sz w:val="18"/>
          <w:szCs w:val="18"/>
        </w:rPr>
        <w:t xml:space="preserve"> ir virs šī sliekšņa, taču tām nav kredītspējas, lai aizņemtos no Starptautiskās Rekonstrukcijas un attīstības bankas (IBRD).</w:t>
      </w:r>
    </w:p>
  </w:footnote>
  <w:footnote w:id="4">
    <w:p w14:paraId="41E7465B" w14:textId="77777777" w:rsidR="00C55740" w:rsidRPr="00180F16" w:rsidRDefault="00C55740" w:rsidP="005F421C">
      <w:pPr>
        <w:pStyle w:val="FootnoteText"/>
        <w:spacing w:after="0" w:line="240" w:lineRule="auto"/>
        <w:jc w:val="both"/>
        <w:rPr>
          <w:sz w:val="18"/>
        </w:rPr>
      </w:pPr>
      <w:r w:rsidRPr="00180F16">
        <w:rPr>
          <w:rStyle w:val="FootnoteReference"/>
          <w:sz w:val="18"/>
        </w:rPr>
        <w:footnoteRef/>
      </w:r>
      <w:r w:rsidRPr="00180F16">
        <w:rPr>
          <w:sz w:val="18"/>
        </w:rPr>
        <w:t xml:space="preserve"> </w:t>
      </w:r>
      <w:proofErr w:type="spellStart"/>
      <w:r w:rsidRPr="00357B29">
        <w:rPr>
          <w:i/>
          <w:sz w:val="18"/>
        </w:rPr>
        <w:t>Multilateral</w:t>
      </w:r>
      <w:proofErr w:type="spellEnd"/>
      <w:r w:rsidRPr="00357B29">
        <w:rPr>
          <w:i/>
          <w:sz w:val="18"/>
        </w:rPr>
        <w:t xml:space="preserve"> </w:t>
      </w:r>
      <w:proofErr w:type="spellStart"/>
      <w:r w:rsidRPr="00357B29">
        <w:rPr>
          <w:i/>
          <w:sz w:val="18"/>
        </w:rPr>
        <w:t>Debt</w:t>
      </w:r>
      <w:proofErr w:type="spellEnd"/>
      <w:r w:rsidRPr="00357B29">
        <w:rPr>
          <w:i/>
          <w:sz w:val="18"/>
        </w:rPr>
        <w:t xml:space="preserve"> </w:t>
      </w:r>
      <w:proofErr w:type="spellStart"/>
      <w:r w:rsidRPr="00357B29">
        <w:rPr>
          <w:i/>
          <w:sz w:val="18"/>
        </w:rPr>
        <w:t>Relief</w:t>
      </w:r>
      <w:proofErr w:type="spellEnd"/>
      <w:r w:rsidRPr="00357B29">
        <w:rPr>
          <w:i/>
          <w:sz w:val="18"/>
        </w:rPr>
        <w:t xml:space="preserve"> </w:t>
      </w:r>
      <w:proofErr w:type="spellStart"/>
      <w:r w:rsidRPr="00357B29">
        <w:rPr>
          <w:i/>
          <w:sz w:val="18"/>
        </w:rPr>
        <w:t>Initiative</w:t>
      </w:r>
      <w:proofErr w:type="spellEnd"/>
      <w:r>
        <w:rPr>
          <w:sz w:val="18"/>
        </w:rPr>
        <w:t xml:space="preserve"> (MDRI).</w:t>
      </w:r>
    </w:p>
  </w:footnote>
  <w:footnote w:id="5">
    <w:p w14:paraId="6082E3B4" w14:textId="77777777" w:rsidR="00C55740" w:rsidRDefault="00C55740" w:rsidP="005F421C">
      <w:pPr>
        <w:pStyle w:val="FootnoteText"/>
        <w:spacing w:after="0" w:line="240" w:lineRule="auto"/>
        <w:jc w:val="both"/>
      </w:pPr>
      <w:r>
        <w:rPr>
          <w:rStyle w:val="FootnoteReference"/>
        </w:rPr>
        <w:footnoteRef/>
      </w:r>
      <w:r>
        <w:t xml:space="preserve"> </w:t>
      </w:r>
      <w:proofErr w:type="spellStart"/>
      <w:r w:rsidRPr="00357B29">
        <w:rPr>
          <w:i/>
          <w:sz w:val="18"/>
          <w:szCs w:val="24"/>
        </w:rPr>
        <w:t>Initiative</w:t>
      </w:r>
      <w:proofErr w:type="spellEnd"/>
      <w:r w:rsidRPr="00357B29">
        <w:rPr>
          <w:i/>
          <w:sz w:val="18"/>
          <w:szCs w:val="24"/>
        </w:rPr>
        <w:t xml:space="preserve"> for </w:t>
      </w:r>
      <w:proofErr w:type="spellStart"/>
      <w:r w:rsidRPr="00357B29">
        <w:rPr>
          <w:i/>
          <w:sz w:val="18"/>
          <w:szCs w:val="24"/>
        </w:rPr>
        <w:t>Heavily</w:t>
      </w:r>
      <w:proofErr w:type="spellEnd"/>
      <w:r w:rsidRPr="00357B29">
        <w:rPr>
          <w:i/>
          <w:sz w:val="18"/>
          <w:szCs w:val="24"/>
        </w:rPr>
        <w:t xml:space="preserve"> </w:t>
      </w:r>
      <w:proofErr w:type="spellStart"/>
      <w:r w:rsidRPr="00357B29">
        <w:rPr>
          <w:i/>
          <w:sz w:val="18"/>
          <w:szCs w:val="24"/>
        </w:rPr>
        <w:t>Indebted</w:t>
      </w:r>
      <w:proofErr w:type="spellEnd"/>
      <w:r w:rsidRPr="00357B29">
        <w:rPr>
          <w:i/>
          <w:sz w:val="18"/>
          <w:szCs w:val="24"/>
        </w:rPr>
        <w:t xml:space="preserve"> </w:t>
      </w:r>
      <w:proofErr w:type="spellStart"/>
      <w:r w:rsidRPr="00357B29">
        <w:rPr>
          <w:i/>
          <w:sz w:val="18"/>
          <w:szCs w:val="24"/>
        </w:rPr>
        <w:t>Poor</w:t>
      </w:r>
      <w:proofErr w:type="spellEnd"/>
      <w:r w:rsidRPr="00357B29">
        <w:rPr>
          <w:i/>
          <w:sz w:val="18"/>
          <w:szCs w:val="24"/>
        </w:rPr>
        <w:t xml:space="preserve"> </w:t>
      </w:r>
      <w:proofErr w:type="spellStart"/>
      <w:r w:rsidRPr="00357B29">
        <w:rPr>
          <w:i/>
          <w:sz w:val="18"/>
          <w:szCs w:val="24"/>
        </w:rPr>
        <w:t>Countries</w:t>
      </w:r>
      <w:proofErr w:type="spellEnd"/>
      <w:r w:rsidRPr="00357B29">
        <w:rPr>
          <w:i/>
          <w:sz w:val="18"/>
          <w:szCs w:val="24"/>
        </w:rPr>
        <w:t xml:space="preserve"> </w:t>
      </w:r>
      <w:r w:rsidRPr="00692678">
        <w:rPr>
          <w:sz w:val="18"/>
          <w:szCs w:val="24"/>
        </w:rPr>
        <w:t>(HIPC).</w:t>
      </w:r>
    </w:p>
  </w:footnote>
  <w:footnote w:id="6">
    <w:p w14:paraId="186657A5" w14:textId="77777777" w:rsidR="00C55740" w:rsidRDefault="00C55740" w:rsidP="007D7C69">
      <w:pPr>
        <w:pStyle w:val="FootnoteText"/>
        <w:spacing w:after="0" w:line="240" w:lineRule="auto"/>
        <w:jc w:val="both"/>
      </w:pPr>
      <w:r>
        <w:rPr>
          <w:rStyle w:val="FootnoteReference"/>
        </w:rPr>
        <w:footnoteRef/>
      </w:r>
      <w:r>
        <w:t xml:space="preserve"> </w:t>
      </w:r>
      <w:r w:rsidRPr="007D7C69">
        <w:rPr>
          <w:sz w:val="18"/>
        </w:rPr>
        <w:t xml:space="preserve">Dalībvalstu sanāksmes par IDA19 tika noturētas 14.-15.aprīlī, 17.-20.jūnijā, 21.-22.oktobrī, papildus tam pirms katras IDA sanāksmes tiek organizētas atsevišķas IDA </w:t>
      </w:r>
      <w:proofErr w:type="spellStart"/>
      <w:r w:rsidRPr="007D7C69">
        <w:rPr>
          <w:sz w:val="18"/>
        </w:rPr>
        <w:t>donorvalstu</w:t>
      </w:r>
      <w:proofErr w:type="spellEnd"/>
      <w:r w:rsidRPr="007D7C69">
        <w:rPr>
          <w:sz w:val="18"/>
        </w:rPr>
        <w:t xml:space="preserve"> sanāksmes ar Pasaules Bankas IDA pārstāvjiem.</w:t>
      </w:r>
    </w:p>
  </w:footnote>
  <w:footnote w:id="7">
    <w:p w14:paraId="293D13F5" w14:textId="77777777" w:rsidR="00C55740" w:rsidRDefault="00C55740" w:rsidP="005F421C">
      <w:pPr>
        <w:pStyle w:val="FootnoteText"/>
        <w:spacing w:after="0" w:line="240" w:lineRule="auto"/>
      </w:pPr>
      <w:r>
        <w:rPr>
          <w:rStyle w:val="FootnoteReference"/>
        </w:rPr>
        <w:footnoteRef/>
      </w:r>
      <w:r>
        <w:t xml:space="preserve"> Šis </w:t>
      </w:r>
      <w:r w:rsidRPr="00F4389A">
        <w:rPr>
          <w:sz w:val="18"/>
        </w:rPr>
        <w:t>rādītājs tiek noteikts pēc iedzīvotāju skaita, kas dzīvo zem US$1.90 dienā</w:t>
      </w:r>
      <w:r>
        <w:rPr>
          <w:sz w:val="18"/>
        </w:rPr>
        <w:t xml:space="preserve"> saskaņā ar 2011.gada pirktspējas paritātes noteikumiem.</w:t>
      </w:r>
    </w:p>
  </w:footnote>
  <w:footnote w:id="8">
    <w:p w14:paraId="27336EA1" w14:textId="77777777" w:rsidR="00C55740" w:rsidRDefault="00C55740" w:rsidP="00E54757">
      <w:pPr>
        <w:pStyle w:val="FootnoteText"/>
        <w:spacing w:after="0" w:line="240" w:lineRule="auto"/>
        <w:jc w:val="both"/>
      </w:pPr>
      <w:r>
        <w:rPr>
          <w:rStyle w:val="FootnoteReference"/>
        </w:rPr>
        <w:footnoteRef/>
      </w:r>
      <w:r>
        <w:t xml:space="preserve"> </w:t>
      </w:r>
      <w:r w:rsidRPr="00A95F20">
        <w:rPr>
          <w:sz w:val="18"/>
        </w:rPr>
        <w:t xml:space="preserve">Pasaules Bankas </w:t>
      </w:r>
      <w:r w:rsidRPr="00A95F20">
        <w:rPr>
          <w:i/>
          <w:sz w:val="18"/>
        </w:rPr>
        <w:t>“</w:t>
      </w:r>
      <w:proofErr w:type="spellStart"/>
      <w:r w:rsidRPr="00A95F20">
        <w:rPr>
          <w:i/>
          <w:sz w:val="18"/>
        </w:rPr>
        <w:t>Groundswel</w:t>
      </w:r>
      <w:proofErr w:type="spellEnd"/>
      <w:r w:rsidRPr="00A95F20">
        <w:rPr>
          <w:i/>
          <w:sz w:val="18"/>
        </w:rPr>
        <w:t>”</w:t>
      </w:r>
      <w:r w:rsidRPr="00A95F20">
        <w:rPr>
          <w:sz w:val="18"/>
        </w:rPr>
        <w:t xml:space="preserve"> ziņojums pēta tikai trīs reģionus – </w:t>
      </w:r>
      <w:proofErr w:type="spellStart"/>
      <w:r w:rsidRPr="00A95F20">
        <w:rPr>
          <w:sz w:val="18"/>
        </w:rPr>
        <w:t>Subsahāras</w:t>
      </w:r>
      <w:proofErr w:type="spellEnd"/>
      <w:r w:rsidRPr="00A95F20">
        <w:rPr>
          <w:sz w:val="18"/>
        </w:rPr>
        <w:t xml:space="preserve"> </w:t>
      </w:r>
      <w:r>
        <w:rPr>
          <w:sz w:val="18"/>
        </w:rPr>
        <w:t>Āfriku, Dienvidā</w:t>
      </w:r>
      <w:r w:rsidRPr="00A95F20">
        <w:rPr>
          <w:sz w:val="18"/>
        </w:rPr>
        <w:t>ziju un Latīņameriku/Karību jūras reģionu, kas sastāda tikai pusi no visas pasaules attīstības</w:t>
      </w:r>
      <w:r>
        <w:rPr>
          <w:sz w:val="18"/>
        </w:rPr>
        <w:t xml:space="preserve"> valstu</w:t>
      </w:r>
      <w:r w:rsidRPr="00A95F20">
        <w:rPr>
          <w:sz w:val="18"/>
        </w:rPr>
        <w:t xml:space="preserve"> iedzīvotājiem</w:t>
      </w:r>
      <w:r>
        <w:rPr>
          <w:sz w:val="18"/>
        </w:rPr>
        <w:t>.</w:t>
      </w:r>
    </w:p>
  </w:footnote>
  <w:footnote w:id="9">
    <w:p w14:paraId="7B27DB0B" w14:textId="77777777" w:rsidR="00C55740" w:rsidRDefault="00C55740" w:rsidP="00615C23">
      <w:pPr>
        <w:pStyle w:val="FootnoteText"/>
        <w:spacing w:after="0" w:line="240" w:lineRule="auto"/>
        <w:jc w:val="both"/>
      </w:pPr>
      <w:r>
        <w:rPr>
          <w:rStyle w:val="FootnoteReference"/>
        </w:rPr>
        <w:footnoteRef/>
      </w:r>
      <w:r>
        <w:t xml:space="preserve"> </w:t>
      </w:r>
      <w:proofErr w:type="spellStart"/>
      <w:r w:rsidRPr="00DF0751">
        <w:rPr>
          <w:i/>
          <w:sz w:val="18"/>
          <w:szCs w:val="18"/>
        </w:rPr>
        <w:t>Multilateral</w:t>
      </w:r>
      <w:proofErr w:type="spellEnd"/>
      <w:r w:rsidRPr="00DF0751">
        <w:rPr>
          <w:i/>
          <w:sz w:val="18"/>
          <w:szCs w:val="18"/>
        </w:rPr>
        <w:t xml:space="preserve"> </w:t>
      </w:r>
      <w:proofErr w:type="spellStart"/>
      <w:r w:rsidRPr="00DF0751">
        <w:rPr>
          <w:i/>
          <w:sz w:val="18"/>
          <w:szCs w:val="18"/>
        </w:rPr>
        <w:t>Organization</w:t>
      </w:r>
      <w:proofErr w:type="spellEnd"/>
      <w:r w:rsidRPr="00DF0751">
        <w:rPr>
          <w:i/>
          <w:sz w:val="18"/>
          <w:szCs w:val="18"/>
        </w:rPr>
        <w:t xml:space="preserve"> Performance </w:t>
      </w:r>
      <w:proofErr w:type="spellStart"/>
      <w:r w:rsidRPr="00DF0751">
        <w:rPr>
          <w:i/>
          <w:sz w:val="18"/>
          <w:szCs w:val="18"/>
        </w:rPr>
        <w:t>Assessment</w:t>
      </w:r>
      <w:proofErr w:type="spellEnd"/>
      <w:r w:rsidRPr="00DF0751">
        <w:rPr>
          <w:i/>
          <w:sz w:val="18"/>
          <w:szCs w:val="18"/>
        </w:rPr>
        <w:t xml:space="preserve"> </w:t>
      </w:r>
      <w:proofErr w:type="spellStart"/>
      <w:r w:rsidRPr="00DF0751">
        <w:rPr>
          <w:i/>
          <w:sz w:val="18"/>
          <w:szCs w:val="18"/>
        </w:rPr>
        <w:t>Network</w:t>
      </w:r>
      <w:proofErr w:type="spellEnd"/>
      <w:r w:rsidRPr="00DF0751">
        <w:rPr>
          <w:sz w:val="18"/>
          <w:szCs w:val="18"/>
        </w:rPr>
        <w:t xml:space="preserve"> (MOPAN), ziņojums pieejams:</w:t>
      </w:r>
      <w:r>
        <w:rPr>
          <w:sz w:val="18"/>
          <w:szCs w:val="18"/>
        </w:rPr>
        <w:tab/>
      </w:r>
      <w:r w:rsidRPr="00DF0751">
        <w:rPr>
          <w:sz w:val="18"/>
          <w:szCs w:val="18"/>
        </w:rPr>
        <w:t xml:space="preserve"> </w:t>
      </w:r>
      <w:hyperlink r:id="rId1" w:history="1">
        <w:r w:rsidRPr="00DF0751">
          <w:rPr>
            <w:rStyle w:val="Hyperlink"/>
            <w:sz w:val="18"/>
            <w:szCs w:val="18"/>
          </w:rPr>
          <w:t>http://www.mopanonline.org/assessments/worldbank2015-16/index.htm</w:t>
        </w:r>
      </w:hyperlink>
      <w:r>
        <w:t xml:space="preserve">. </w:t>
      </w:r>
    </w:p>
  </w:footnote>
  <w:footnote w:id="10">
    <w:p w14:paraId="430B3CEB" w14:textId="77777777" w:rsidR="00C55740" w:rsidRPr="007B1E51" w:rsidRDefault="00C55740" w:rsidP="00E54757">
      <w:pPr>
        <w:pStyle w:val="FootnoteText"/>
        <w:spacing w:after="0" w:line="240" w:lineRule="auto"/>
        <w:jc w:val="both"/>
        <w:rPr>
          <w:sz w:val="18"/>
          <w:lang w:val="en-US"/>
        </w:rPr>
      </w:pPr>
      <w:r>
        <w:rPr>
          <w:rStyle w:val="FootnoteReference"/>
        </w:rPr>
        <w:footnoteRef/>
      </w:r>
      <w:r>
        <w:t xml:space="preserve"> </w:t>
      </w:r>
      <w:proofErr w:type="spellStart"/>
      <w:r w:rsidRPr="007B1E51">
        <w:rPr>
          <w:i/>
          <w:sz w:val="18"/>
        </w:rPr>
        <w:t>The</w:t>
      </w:r>
      <w:proofErr w:type="spellEnd"/>
      <w:r w:rsidRPr="007B1E51">
        <w:rPr>
          <w:i/>
          <w:sz w:val="18"/>
        </w:rPr>
        <w:t xml:space="preserve"> 2030 </w:t>
      </w:r>
      <w:proofErr w:type="spellStart"/>
      <w:r w:rsidRPr="007B1E51">
        <w:rPr>
          <w:i/>
          <w:sz w:val="18"/>
        </w:rPr>
        <w:t>Agenda</w:t>
      </w:r>
      <w:proofErr w:type="spellEnd"/>
      <w:r w:rsidRPr="007B1E51">
        <w:rPr>
          <w:i/>
          <w:sz w:val="18"/>
        </w:rPr>
        <w:t xml:space="preserve"> for </w:t>
      </w:r>
      <w:proofErr w:type="spellStart"/>
      <w:r w:rsidRPr="007B1E51">
        <w:rPr>
          <w:i/>
          <w:sz w:val="18"/>
        </w:rPr>
        <w:t>Sustainable</w:t>
      </w:r>
      <w:proofErr w:type="spellEnd"/>
      <w:r w:rsidRPr="007B1E51">
        <w:rPr>
          <w:i/>
          <w:sz w:val="18"/>
        </w:rPr>
        <w:t xml:space="preserve"> </w:t>
      </w:r>
      <w:proofErr w:type="spellStart"/>
      <w:r w:rsidRPr="007B1E51">
        <w:rPr>
          <w:i/>
          <w:sz w:val="18"/>
        </w:rPr>
        <w:t>Development</w:t>
      </w:r>
      <w:proofErr w:type="spellEnd"/>
      <w:r w:rsidRPr="007B1E51">
        <w:rPr>
          <w:sz w:val="18"/>
        </w:rPr>
        <w:t xml:space="preserve">, </w:t>
      </w:r>
      <w:hyperlink r:id="rId2" w:history="1">
        <w:r w:rsidRPr="007B1E51">
          <w:rPr>
            <w:rStyle w:val="Hyperlink"/>
            <w:sz w:val="18"/>
            <w:lang w:val="en-US"/>
          </w:rPr>
          <w:t>http://www.un.org/en/africa/o</w:t>
        </w:r>
        <w:r>
          <w:rPr>
            <w:rStyle w:val="Hyperlink"/>
            <w:sz w:val="18"/>
            <w:lang w:val="en-US"/>
          </w:rPr>
          <w:t>IDA</w:t>
        </w:r>
        <w:r w:rsidRPr="007B1E51">
          <w:rPr>
            <w:rStyle w:val="Hyperlink"/>
            <w:sz w:val="18"/>
            <w:lang w:val="en-US"/>
          </w:rPr>
          <w:t>/peace/sdgs.shtml</w:t>
        </w:r>
      </w:hyperlink>
      <w:r>
        <w:rPr>
          <w:sz w:val="18"/>
          <w:lang w:val="en-US"/>
        </w:rPr>
        <w:t>.</w:t>
      </w:r>
    </w:p>
  </w:footnote>
  <w:footnote w:id="11">
    <w:p w14:paraId="212CCA08" w14:textId="77777777" w:rsidR="00C55740" w:rsidRDefault="00C55740" w:rsidP="00E54757">
      <w:pPr>
        <w:pStyle w:val="FootnoteText"/>
        <w:spacing w:after="0" w:line="240" w:lineRule="auto"/>
        <w:jc w:val="both"/>
      </w:pPr>
      <w:r w:rsidRPr="00322314">
        <w:rPr>
          <w:rStyle w:val="FootnoteReference"/>
          <w:sz w:val="18"/>
        </w:rPr>
        <w:footnoteRef/>
      </w:r>
      <w:r w:rsidRPr="00322314">
        <w:rPr>
          <w:sz w:val="18"/>
        </w:rPr>
        <w:t xml:space="preserve"> Latvijas kā </w:t>
      </w:r>
      <w:r>
        <w:rPr>
          <w:sz w:val="18"/>
        </w:rPr>
        <w:t>IDA</w:t>
      </w:r>
      <w:r w:rsidRPr="00322314">
        <w:rPr>
          <w:sz w:val="18"/>
        </w:rPr>
        <w:t xml:space="preserve"> donora dalība IDA18 resursu papildināšanā, sastāda EUR 2,66 milj. un iemaksas tiek veiktas saskaņā ar deviņu gadu grafiku, sākot no 2018.gada</w:t>
      </w:r>
      <w:r>
        <w:rPr>
          <w:sz w:val="18"/>
        </w:rPr>
        <w:t>.</w:t>
      </w:r>
    </w:p>
  </w:footnote>
  <w:footnote w:id="12">
    <w:p w14:paraId="4E4F5365" w14:textId="77777777" w:rsidR="00C55740" w:rsidRPr="00921D7C" w:rsidRDefault="00C55740" w:rsidP="007B040C">
      <w:pPr>
        <w:pStyle w:val="FootnoteText"/>
        <w:spacing w:after="0" w:line="240" w:lineRule="auto"/>
        <w:jc w:val="both"/>
        <w:rPr>
          <w:sz w:val="18"/>
          <w:szCs w:val="18"/>
        </w:rPr>
      </w:pPr>
      <w:r w:rsidRPr="00921D7C">
        <w:rPr>
          <w:rStyle w:val="FootnoteReference"/>
          <w:sz w:val="18"/>
          <w:szCs w:val="18"/>
        </w:rPr>
        <w:footnoteRef/>
      </w:r>
      <w:r w:rsidRPr="00921D7C">
        <w:rPr>
          <w:sz w:val="18"/>
          <w:szCs w:val="18"/>
        </w:rPr>
        <w:t xml:space="preserve"> </w:t>
      </w:r>
      <w:r w:rsidRPr="00EA391E">
        <w:rPr>
          <w:i/>
          <w:sz w:val="18"/>
          <w:szCs w:val="18"/>
        </w:rPr>
        <w:t>IDA-</w:t>
      </w:r>
      <w:proofErr w:type="spellStart"/>
      <w:r w:rsidRPr="00EA391E">
        <w:rPr>
          <w:i/>
          <w:sz w:val="18"/>
          <w:szCs w:val="18"/>
        </w:rPr>
        <w:t>only</w:t>
      </w:r>
      <w:proofErr w:type="spellEnd"/>
      <w:r w:rsidRPr="00921D7C">
        <w:rPr>
          <w:sz w:val="18"/>
          <w:szCs w:val="18"/>
        </w:rPr>
        <w:t xml:space="preserve"> valstis</w:t>
      </w:r>
      <w:r>
        <w:rPr>
          <w:sz w:val="18"/>
          <w:szCs w:val="18"/>
        </w:rPr>
        <w:t xml:space="preserve"> –</w:t>
      </w:r>
      <w:r w:rsidRPr="00921D7C">
        <w:rPr>
          <w:sz w:val="18"/>
          <w:szCs w:val="18"/>
        </w:rPr>
        <w:t xml:space="preserve"> valstis</w:t>
      </w:r>
      <w:r>
        <w:rPr>
          <w:sz w:val="18"/>
          <w:szCs w:val="18"/>
        </w:rPr>
        <w:t xml:space="preserve"> </w:t>
      </w:r>
      <w:r w:rsidRPr="00921D7C">
        <w:rPr>
          <w:sz w:val="18"/>
          <w:szCs w:val="18"/>
        </w:rPr>
        <w:t xml:space="preserve">ar </w:t>
      </w:r>
      <w:r>
        <w:rPr>
          <w:sz w:val="18"/>
          <w:szCs w:val="18"/>
        </w:rPr>
        <w:t>NKI</w:t>
      </w:r>
      <w:r w:rsidRPr="00921D7C">
        <w:rPr>
          <w:sz w:val="18"/>
          <w:szCs w:val="18"/>
        </w:rPr>
        <w:t xml:space="preserve"> </w:t>
      </w:r>
      <w:r w:rsidRPr="00921D7C">
        <w:rPr>
          <w:i/>
          <w:sz w:val="18"/>
          <w:szCs w:val="18"/>
        </w:rPr>
        <w:t xml:space="preserve">per </w:t>
      </w:r>
      <w:proofErr w:type="spellStart"/>
      <w:r w:rsidRPr="00921D7C">
        <w:rPr>
          <w:i/>
          <w:sz w:val="18"/>
          <w:szCs w:val="18"/>
        </w:rPr>
        <w:t>capita</w:t>
      </w:r>
      <w:proofErr w:type="spellEnd"/>
      <w:r w:rsidRPr="00921D7C">
        <w:rPr>
          <w:sz w:val="18"/>
          <w:szCs w:val="18"/>
        </w:rPr>
        <w:t xml:space="preserve"> zem operacionālā graduācijas sliekšņa (</w:t>
      </w:r>
      <w:r>
        <w:rPr>
          <w:sz w:val="18"/>
          <w:szCs w:val="18"/>
        </w:rPr>
        <w:t>USD 1,17</w:t>
      </w:r>
      <w:r w:rsidRPr="00921D7C">
        <w:rPr>
          <w:sz w:val="18"/>
          <w:szCs w:val="18"/>
        </w:rPr>
        <w:t xml:space="preserve">5) un kurām nav piekļuve </w:t>
      </w:r>
      <w:r>
        <w:rPr>
          <w:sz w:val="18"/>
          <w:szCs w:val="18"/>
        </w:rPr>
        <w:t>IBRD aizdevumiem.</w:t>
      </w:r>
    </w:p>
  </w:footnote>
  <w:footnote w:id="13">
    <w:p w14:paraId="543F3643" w14:textId="77777777" w:rsidR="00C55740" w:rsidRPr="00921D7C" w:rsidRDefault="00C55740" w:rsidP="007B040C">
      <w:pPr>
        <w:pStyle w:val="FootnoteText"/>
        <w:spacing w:after="0" w:line="240" w:lineRule="auto"/>
        <w:jc w:val="both"/>
        <w:rPr>
          <w:sz w:val="18"/>
          <w:szCs w:val="18"/>
        </w:rPr>
      </w:pPr>
      <w:r w:rsidRPr="00921D7C">
        <w:rPr>
          <w:rStyle w:val="FootnoteReference"/>
          <w:sz w:val="18"/>
          <w:szCs w:val="18"/>
        </w:rPr>
        <w:footnoteRef/>
      </w:r>
      <w:r>
        <w:rPr>
          <w:sz w:val="18"/>
          <w:szCs w:val="18"/>
        </w:rPr>
        <w:t xml:space="preserve"> </w:t>
      </w:r>
      <w:proofErr w:type="spellStart"/>
      <w:r w:rsidRPr="00921D7C">
        <w:rPr>
          <w:i/>
          <w:sz w:val="18"/>
          <w:szCs w:val="18"/>
        </w:rPr>
        <w:t>Blend</w:t>
      </w:r>
      <w:proofErr w:type="spellEnd"/>
      <w:r>
        <w:rPr>
          <w:sz w:val="18"/>
          <w:szCs w:val="18"/>
        </w:rPr>
        <w:t xml:space="preserve"> valstis (</w:t>
      </w:r>
      <w:r w:rsidRPr="00EA391E">
        <w:rPr>
          <w:i/>
          <w:sz w:val="18"/>
          <w:szCs w:val="18"/>
        </w:rPr>
        <w:t>IBRD/IDA</w:t>
      </w:r>
      <w:r>
        <w:rPr>
          <w:i/>
          <w:sz w:val="18"/>
          <w:szCs w:val="18"/>
        </w:rPr>
        <w:t>)</w:t>
      </w:r>
      <w:r>
        <w:rPr>
          <w:sz w:val="18"/>
          <w:szCs w:val="18"/>
        </w:rPr>
        <w:t>: k</w:t>
      </w:r>
      <w:r w:rsidRPr="00921D7C">
        <w:rPr>
          <w:sz w:val="18"/>
          <w:szCs w:val="18"/>
        </w:rPr>
        <w:t>redītspējīgas valstis, kuru ienākums ir zem operacionālā graduācijas sliekšņa</w:t>
      </w:r>
      <w:r>
        <w:rPr>
          <w:sz w:val="18"/>
          <w:szCs w:val="18"/>
        </w:rPr>
        <w:t>,</w:t>
      </w:r>
      <w:r w:rsidRPr="00921D7C">
        <w:rPr>
          <w:sz w:val="18"/>
          <w:szCs w:val="18"/>
        </w:rPr>
        <w:t xml:space="preserve"> un tādējādi </w:t>
      </w:r>
      <w:r>
        <w:rPr>
          <w:sz w:val="18"/>
          <w:szCs w:val="18"/>
        </w:rPr>
        <w:t xml:space="preserve">tās </w:t>
      </w:r>
      <w:r w:rsidRPr="00921D7C">
        <w:rPr>
          <w:sz w:val="18"/>
          <w:szCs w:val="18"/>
        </w:rPr>
        <w:t>nav graduēju</w:t>
      </w:r>
      <w:r>
        <w:rPr>
          <w:sz w:val="18"/>
          <w:szCs w:val="18"/>
        </w:rPr>
        <w:t>šas no IDA; Pasaules Banka sniedz atbalstu ar IDA un IBRD aizdevumiem.</w:t>
      </w:r>
    </w:p>
  </w:footnote>
  <w:footnote w:id="14">
    <w:p w14:paraId="181189C0" w14:textId="77777777" w:rsidR="00C55740" w:rsidRDefault="00C55740" w:rsidP="007B040C">
      <w:pPr>
        <w:pStyle w:val="FootnoteText"/>
        <w:spacing w:after="0" w:line="240" w:lineRule="auto"/>
        <w:jc w:val="both"/>
      </w:pPr>
      <w:r w:rsidRPr="001A556E">
        <w:rPr>
          <w:rStyle w:val="FootnoteReference"/>
          <w:sz w:val="18"/>
        </w:rPr>
        <w:footnoteRef/>
      </w:r>
      <w:r w:rsidRPr="001A556E">
        <w:rPr>
          <w:sz w:val="18"/>
        </w:rPr>
        <w:t xml:space="preserve"> </w:t>
      </w:r>
      <w:proofErr w:type="spellStart"/>
      <w:r w:rsidRPr="001A556E">
        <w:rPr>
          <w:i/>
          <w:sz w:val="18"/>
        </w:rPr>
        <w:t>Gap</w:t>
      </w:r>
      <w:proofErr w:type="spellEnd"/>
      <w:r w:rsidRPr="001A556E">
        <w:rPr>
          <w:sz w:val="18"/>
        </w:rPr>
        <w:t xml:space="preserve"> </w:t>
      </w:r>
      <w:r w:rsidRPr="00EA391E">
        <w:rPr>
          <w:sz w:val="18"/>
        </w:rPr>
        <w:t>valstis</w:t>
      </w:r>
      <w:r>
        <w:rPr>
          <w:sz w:val="18"/>
        </w:rPr>
        <w:t xml:space="preserve">: </w:t>
      </w:r>
      <w:r w:rsidRPr="001A556E">
        <w:rPr>
          <w:sz w:val="18"/>
        </w:rPr>
        <w:t>valstis, kuru ienākumu līmenis ir virs operacionālā</w:t>
      </w:r>
      <w:r>
        <w:rPr>
          <w:sz w:val="18"/>
        </w:rPr>
        <w:t xml:space="preserve"> graduācijas</w:t>
      </w:r>
      <w:r w:rsidRPr="001A556E">
        <w:rPr>
          <w:sz w:val="18"/>
        </w:rPr>
        <w:t xml:space="preserve"> sliekšņa, lai saņemtu aizdevumus uz stingrākiem </w:t>
      </w:r>
      <w:proofErr w:type="spellStart"/>
      <w:r w:rsidRPr="001A556E">
        <w:rPr>
          <w:i/>
          <w:sz w:val="18"/>
        </w:rPr>
        <w:t>blend</w:t>
      </w:r>
      <w:proofErr w:type="spellEnd"/>
      <w:r w:rsidRPr="001A556E">
        <w:rPr>
          <w:sz w:val="18"/>
        </w:rPr>
        <w:t xml:space="preserve"> finansēšanas noteikumiem, bet kuras netiek uzskatītas par kredītspējīgā</w:t>
      </w:r>
      <w:r>
        <w:rPr>
          <w:sz w:val="18"/>
        </w:rPr>
        <w:t>m, lai saņemtu IBRD finansējumu.</w:t>
      </w:r>
    </w:p>
  </w:footnote>
  <w:footnote w:id="15">
    <w:p w14:paraId="73DE4351" w14:textId="77777777" w:rsidR="00C55740" w:rsidRDefault="00C55740" w:rsidP="007B040C">
      <w:pPr>
        <w:pStyle w:val="FootnoteText"/>
        <w:jc w:val="both"/>
      </w:pPr>
      <w:r w:rsidRPr="007B040C">
        <w:rPr>
          <w:rStyle w:val="FootnoteReference"/>
          <w:sz w:val="18"/>
        </w:rPr>
        <w:footnoteRef/>
      </w:r>
      <w:r>
        <w:rPr>
          <w:sz w:val="18"/>
        </w:rPr>
        <w:t xml:space="preserve"> </w:t>
      </w:r>
      <w:r w:rsidRPr="00235FE3">
        <w:rPr>
          <w:i/>
          <w:sz w:val="18"/>
        </w:rPr>
        <w:t>IDA-</w:t>
      </w:r>
      <w:proofErr w:type="spellStart"/>
      <w:r w:rsidRPr="00235FE3">
        <w:rPr>
          <w:i/>
          <w:sz w:val="18"/>
        </w:rPr>
        <w:t>only</w:t>
      </w:r>
      <w:proofErr w:type="spellEnd"/>
      <w:r>
        <w:rPr>
          <w:sz w:val="18"/>
        </w:rPr>
        <w:t xml:space="preserve"> v</w:t>
      </w:r>
      <w:r w:rsidRPr="007B040C">
        <w:rPr>
          <w:sz w:val="18"/>
        </w:rPr>
        <w:t>alstis</w:t>
      </w:r>
      <w:r>
        <w:rPr>
          <w:sz w:val="18"/>
        </w:rPr>
        <w:t>, kuras ilgstoši nepiedalās IDA resursu papildināšanas finansēšanā.</w:t>
      </w:r>
    </w:p>
  </w:footnote>
  <w:footnote w:id="16">
    <w:p w14:paraId="30C97FF3" w14:textId="77777777" w:rsidR="00C55740" w:rsidRDefault="00C55740" w:rsidP="00190E6C">
      <w:pPr>
        <w:pStyle w:val="FootnoteText"/>
        <w:spacing w:after="0" w:line="240" w:lineRule="auto"/>
      </w:pPr>
      <w:r>
        <w:rPr>
          <w:rStyle w:val="FootnoteReference"/>
        </w:rPr>
        <w:footnoteRef/>
      </w:r>
      <w:r>
        <w:t xml:space="preserve"> IDA ziņojums </w:t>
      </w:r>
      <w:r w:rsidRPr="001332B8">
        <w:rPr>
          <w:i/>
        </w:rPr>
        <w:t>“</w:t>
      </w:r>
      <w:r w:rsidRPr="001332B8">
        <w:rPr>
          <w:i/>
          <w:sz w:val="18"/>
        </w:rPr>
        <w:t xml:space="preserve">IDA18: </w:t>
      </w:r>
      <w:proofErr w:type="spellStart"/>
      <w:r w:rsidRPr="001332B8">
        <w:rPr>
          <w:i/>
          <w:sz w:val="18"/>
        </w:rPr>
        <w:t>Implementation</w:t>
      </w:r>
      <w:proofErr w:type="spellEnd"/>
      <w:r w:rsidRPr="001332B8">
        <w:rPr>
          <w:i/>
          <w:sz w:val="18"/>
        </w:rPr>
        <w:t xml:space="preserve"> Status </w:t>
      </w:r>
      <w:proofErr w:type="spellStart"/>
      <w:r w:rsidRPr="001332B8">
        <w:rPr>
          <w:i/>
          <w:sz w:val="18"/>
        </w:rPr>
        <w:t>and</w:t>
      </w:r>
      <w:proofErr w:type="spellEnd"/>
      <w:r w:rsidRPr="001332B8">
        <w:rPr>
          <w:i/>
          <w:sz w:val="18"/>
        </w:rPr>
        <w:t xml:space="preserve"> </w:t>
      </w:r>
      <w:proofErr w:type="spellStart"/>
      <w:r w:rsidRPr="001332B8">
        <w:rPr>
          <w:i/>
          <w:sz w:val="18"/>
        </w:rPr>
        <w:t>Proposed</w:t>
      </w:r>
      <w:proofErr w:type="spellEnd"/>
      <w:r w:rsidRPr="001332B8">
        <w:rPr>
          <w:i/>
          <w:sz w:val="18"/>
        </w:rPr>
        <w:t xml:space="preserve"> </w:t>
      </w:r>
      <w:proofErr w:type="spellStart"/>
      <w:r w:rsidRPr="001332B8">
        <w:rPr>
          <w:i/>
          <w:sz w:val="18"/>
        </w:rPr>
        <w:t>Reallocations</w:t>
      </w:r>
      <w:proofErr w:type="spellEnd"/>
      <w:r w:rsidRPr="001332B8">
        <w:rPr>
          <w:i/>
          <w:sz w:val="18"/>
        </w:rPr>
        <w:t>”</w:t>
      </w:r>
      <w:r>
        <w:rPr>
          <w:i/>
          <w:sz w:val="18"/>
        </w:rPr>
        <w:t>.</w:t>
      </w:r>
    </w:p>
  </w:footnote>
  <w:footnote w:id="17">
    <w:p w14:paraId="3D3E5B21" w14:textId="77777777" w:rsidR="00C55740" w:rsidRPr="00357B29" w:rsidRDefault="00C55740" w:rsidP="00086C32">
      <w:pPr>
        <w:pStyle w:val="FootnoteText"/>
        <w:spacing w:after="0" w:line="240" w:lineRule="auto"/>
        <w:jc w:val="both"/>
        <w:rPr>
          <w:sz w:val="18"/>
          <w:szCs w:val="24"/>
        </w:rPr>
      </w:pPr>
      <w:r w:rsidRPr="00357B29">
        <w:rPr>
          <w:rStyle w:val="FootnoteReference"/>
          <w:sz w:val="18"/>
        </w:rPr>
        <w:footnoteRef/>
      </w:r>
      <w:r w:rsidRPr="00357B29">
        <w:rPr>
          <w:sz w:val="18"/>
        </w:rPr>
        <w:t xml:space="preserve"> </w:t>
      </w:r>
      <w:proofErr w:type="spellStart"/>
      <w:r w:rsidRPr="00357B29">
        <w:rPr>
          <w:i/>
          <w:sz w:val="18"/>
          <w:szCs w:val="24"/>
        </w:rPr>
        <w:t>Initiative</w:t>
      </w:r>
      <w:proofErr w:type="spellEnd"/>
      <w:r w:rsidRPr="00357B29">
        <w:rPr>
          <w:i/>
          <w:sz w:val="18"/>
          <w:szCs w:val="24"/>
        </w:rPr>
        <w:t xml:space="preserve"> for </w:t>
      </w:r>
      <w:proofErr w:type="spellStart"/>
      <w:r w:rsidRPr="00357B29">
        <w:rPr>
          <w:i/>
          <w:sz w:val="18"/>
          <w:szCs w:val="24"/>
        </w:rPr>
        <w:t>Heavily</w:t>
      </w:r>
      <w:proofErr w:type="spellEnd"/>
      <w:r w:rsidRPr="00357B29">
        <w:rPr>
          <w:i/>
          <w:sz w:val="18"/>
          <w:szCs w:val="24"/>
        </w:rPr>
        <w:t xml:space="preserve"> </w:t>
      </w:r>
      <w:proofErr w:type="spellStart"/>
      <w:r w:rsidRPr="00357B29">
        <w:rPr>
          <w:i/>
          <w:sz w:val="18"/>
          <w:szCs w:val="24"/>
        </w:rPr>
        <w:t>Indebted</w:t>
      </w:r>
      <w:proofErr w:type="spellEnd"/>
      <w:r w:rsidRPr="00357B29">
        <w:rPr>
          <w:i/>
          <w:sz w:val="18"/>
          <w:szCs w:val="24"/>
        </w:rPr>
        <w:t xml:space="preserve"> </w:t>
      </w:r>
      <w:proofErr w:type="spellStart"/>
      <w:r w:rsidRPr="00357B29">
        <w:rPr>
          <w:i/>
          <w:sz w:val="18"/>
          <w:szCs w:val="24"/>
        </w:rPr>
        <w:t>Poor</w:t>
      </w:r>
      <w:proofErr w:type="spellEnd"/>
      <w:r w:rsidRPr="00357B29">
        <w:rPr>
          <w:i/>
          <w:sz w:val="18"/>
          <w:szCs w:val="24"/>
        </w:rPr>
        <w:t xml:space="preserve"> </w:t>
      </w:r>
      <w:proofErr w:type="spellStart"/>
      <w:r w:rsidRPr="00357B29">
        <w:rPr>
          <w:i/>
          <w:sz w:val="18"/>
          <w:szCs w:val="24"/>
        </w:rPr>
        <w:t>Countries</w:t>
      </w:r>
      <w:proofErr w:type="spellEnd"/>
      <w:r w:rsidRPr="00357B29">
        <w:rPr>
          <w:i/>
          <w:sz w:val="18"/>
          <w:szCs w:val="24"/>
        </w:rPr>
        <w:t xml:space="preserve"> (HIPC </w:t>
      </w:r>
      <w:proofErr w:type="spellStart"/>
      <w:r w:rsidRPr="00357B29">
        <w:rPr>
          <w:i/>
          <w:sz w:val="18"/>
          <w:szCs w:val="24"/>
        </w:rPr>
        <w:t>Initiative</w:t>
      </w:r>
      <w:proofErr w:type="spellEnd"/>
      <w:r w:rsidRPr="00357B29">
        <w:rPr>
          <w:i/>
          <w:sz w:val="18"/>
          <w:szCs w:val="24"/>
        </w:rPr>
        <w:t>)</w:t>
      </w:r>
      <w:r w:rsidRPr="00357B29">
        <w:rPr>
          <w:sz w:val="18"/>
          <w:szCs w:val="24"/>
        </w:rPr>
        <w:t xml:space="preserve"> - </w:t>
      </w:r>
      <w:r w:rsidRPr="00905AC4">
        <w:rPr>
          <w:sz w:val="18"/>
        </w:rPr>
        <w:t>nabadzīgo valstu ar augstu parādu slogu</w:t>
      </w:r>
      <w:r w:rsidRPr="00905AC4">
        <w:rPr>
          <w:sz w:val="18"/>
          <w:szCs w:val="24"/>
        </w:rPr>
        <w:t xml:space="preserve"> iniciatīva</w:t>
      </w:r>
      <w:r w:rsidRPr="00357B29">
        <w:rPr>
          <w:sz w:val="18"/>
          <w:szCs w:val="24"/>
        </w:rPr>
        <w:t xml:space="preserve"> – IDA19 ir sestā resursu papildināšana, kurā donori finansēs IDA kredītu atmaksu HIPC ietvaros, un HIPC izmaksu segšana tiek veikta IDA resursu palielināšanas trīs gadu cikla ietvaros.</w:t>
      </w:r>
    </w:p>
  </w:footnote>
  <w:footnote w:id="18">
    <w:p w14:paraId="1C3AD044" w14:textId="77777777" w:rsidR="00C55740" w:rsidRPr="00357B29" w:rsidRDefault="00C55740" w:rsidP="00086C32">
      <w:pPr>
        <w:pStyle w:val="FootnoteText"/>
        <w:spacing w:after="0" w:line="240" w:lineRule="auto"/>
        <w:jc w:val="both"/>
        <w:rPr>
          <w:sz w:val="18"/>
        </w:rPr>
      </w:pPr>
      <w:r w:rsidRPr="00357B29">
        <w:rPr>
          <w:rStyle w:val="FootnoteReference"/>
          <w:sz w:val="18"/>
        </w:rPr>
        <w:footnoteRef/>
      </w:r>
      <w:r w:rsidRPr="00357B29">
        <w:rPr>
          <w:sz w:val="18"/>
        </w:rPr>
        <w:t xml:space="preserve"> </w:t>
      </w:r>
      <w:proofErr w:type="spellStart"/>
      <w:r w:rsidRPr="00357B29">
        <w:rPr>
          <w:i/>
          <w:sz w:val="18"/>
        </w:rPr>
        <w:t>Arrears</w:t>
      </w:r>
      <w:proofErr w:type="spellEnd"/>
      <w:r w:rsidRPr="00357B29">
        <w:rPr>
          <w:i/>
          <w:sz w:val="18"/>
        </w:rPr>
        <w:t xml:space="preserve"> </w:t>
      </w:r>
      <w:proofErr w:type="spellStart"/>
      <w:r w:rsidRPr="00357B29">
        <w:rPr>
          <w:i/>
          <w:sz w:val="18"/>
        </w:rPr>
        <w:t>clearance</w:t>
      </w:r>
      <w:proofErr w:type="spellEnd"/>
      <w:r w:rsidRPr="00357B29">
        <w:rPr>
          <w:i/>
          <w:sz w:val="18"/>
        </w:rPr>
        <w:t xml:space="preserve"> </w:t>
      </w:r>
      <w:r w:rsidRPr="003C4E96">
        <w:rPr>
          <w:i/>
          <w:sz w:val="18"/>
        </w:rPr>
        <w:t xml:space="preserve">– </w:t>
      </w:r>
      <w:r w:rsidRPr="003C4E96">
        <w:rPr>
          <w:sz w:val="18"/>
        </w:rPr>
        <w:t>parāda atlikuma nomaksas finansēšana</w:t>
      </w:r>
      <w:r w:rsidRPr="00357B29">
        <w:rPr>
          <w:sz w:val="18"/>
        </w:rPr>
        <w:t xml:space="preserve"> kopš IDA15 tiek iekļauta IDA donoru iemaksās un IDA to kā atlikto summu (</w:t>
      </w:r>
      <w:r w:rsidRPr="00357B29">
        <w:rPr>
          <w:i/>
          <w:sz w:val="18"/>
        </w:rPr>
        <w:t>set-</w:t>
      </w:r>
      <w:proofErr w:type="spellStart"/>
      <w:r w:rsidRPr="00357B29">
        <w:rPr>
          <w:i/>
          <w:sz w:val="18"/>
        </w:rPr>
        <w:t>aside</w:t>
      </w:r>
      <w:proofErr w:type="spellEnd"/>
      <w:r w:rsidRPr="00357B29">
        <w:rPr>
          <w:sz w:val="18"/>
        </w:rPr>
        <w:t>) izmanto, lai palīdzētu valstīm nomaksāt parādus, lai tās varētu atsākt sadarbību ar WBG. Pašlaik piecas valstis – Eritreja, Somālija, Sudāna, Sīrija un Zimbabve, ir ilgstošās parādsaistībās, no kurām trīs varētu kvalificēties IDA šādam ārkārtas atbalstam. Kopējais ārkārtas atbalsts parāda nomaksai IDA19 ietvaros sastāda aptuveni US$1 mljrd. un, ņemot vērā, ka IDA18 ietvaros atliktā summa šim mērķim US$0.8 mljrd. apmērā tiks pārnesta uz IDA19, donoru iemaksas US$0.2mljrd. apmērā tiks izmantotas, lai papildinātu atlikto summu parāda nomaksas vajadzībām. Līdzīgi kā HIPC iemaksas, parāda nomaksas atliktā summa tiks atsevišķi izdalīta iemaksu grafikā.</w:t>
      </w:r>
    </w:p>
  </w:footnote>
  <w:footnote w:id="19">
    <w:p w14:paraId="17547AED" w14:textId="77777777" w:rsidR="00C55740" w:rsidRDefault="00C55740" w:rsidP="005D237B">
      <w:pPr>
        <w:pStyle w:val="FootnoteText"/>
        <w:spacing w:after="0" w:line="240" w:lineRule="auto"/>
        <w:jc w:val="both"/>
      </w:pPr>
      <w:r>
        <w:rPr>
          <w:rStyle w:val="FootnoteReference"/>
        </w:rPr>
        <w:footnoteRef/>
      </w:r>
      <w:r>
        <w:t xml:space="preserve"> </w:t>
      </w:r>
      <w:r w:rsidRPr="00357B29">
        <w:rPr>
          <w:sz w:val="18"/>
        </w:rPr>
        <w:t>Parakstītās balsis (</w:t>
      </w:r>
      <w:proofErr w:type="spellStart"/>
      <w:r w:rsidRPr="00357B29">
        <w:rPr>
          <w:i/>
          <w:sz w:val="18"/>
        </w:rPr>
        <w:t>Subscription</w:t>
      </w:r>
      <w:proofErr w:type="spellEnd"/>
      <w:r w:rsidRPr="00357B29">
        <w:rPr>
          <w:i/>
          <w:sz w:val="18"/>
        </w:rPr>
        <w:t xml:space="preserve"> </w:t>
      </w:r>
      <w:proofErr w:type="spellStart"/>
      <w:r w:rsidRPr="00357B29">
        <w:rPr>
          <w:i/>
          <w:sz w:val="18"/>
        </w:rPr>
        <w:t>Votes</w:t>
      </w:r>
      <w:proofErr w:type="spellEnd"/>
      <w:r w:rsidRPr="00357B29">
        <w:rPr>
          <w:sz w:val="18"/>
        </w:rPr>
        <w:t>) - balsis, uz ku</w:t>
      </w:r>
      <w:r>
        <w:rPr>
          <w:sz w:val="18"/>
        </w:rPr>
        <w:t>rām parakstījusies katra</w:t>
      </w:r>
      <w:r w:rsidRPr="00357B29">
        <w:rPr>
          <w:sz w:val="18"/>
        </w:rPr>
        <w:t xml:space="preserve"> </w:t>
      </w:r>
      <w:proofErr w:type="spellStart"/>
      <w:r>
        <w:rPr>
          <w:sz w:val="18"/>
        </w:rPr>
        <w:t>donorvalsts</w:t>
      </w:r>
      <w:proofErr w:type="spellEnd"/>
      <w:r>
        <w:rPr>
          <w:sz w:val="18"/>
        </w:rPr>
        <w:t xml:space="preserve"> </w:t>
      </w:r>
      <w:r w:rsidRPr="00357B29">
        <w:rPr>
          <w:sz w:val="18"/>
        </w:rPr>
        <w:t xml:space="preserve">un kuras tiek pielāgotas, atspoguļojot </w:t>
      </w:r>
      <w:r>
        <w:rPr>
          <w:sz w:val="18"/>
        </w:rPr>
        <w:t>valsts</w:t>
      </w:r>
      <w:r w:rsidRPr="00357B29">
        <w:rPr>
          <w:sz w:val="18"/>
        </w:rPr>
        <w:t xml:space="preserve"> relatīvo daļu kopējās kumulatīvajās finanšu iemaksās IDA.</w:t>
      </w:r>
    </w:p>
  </w:footnote>
  <w:footnote w:id="20">
    <w:p w14:paraId="1EFC8EBF" w14:textId="77777777" w:rsidR="00C55740" w:rsidRDefault="00C55740" w:rsidP="00DC46A8">
      <w:pPr>
        <w:pStyle w:val="FootnoteText"/>
        <w:spacing w:after="0" w:line="240" w:lineRule="auto"/>
        <w:jc w:val="both"/>
      </w:pPr>
      <w:r>
        <w:rPr>
          <w:rStyle w:val="FootnoteReference"/>
        </w:rPr>
        <w:footnoteRef/>
      </w:r>
      <w:r>
        <w:t xml:space="preserve"> </w:t>
      </w:r>
      <w:r w:rsidRPr="00DC46A8">
        <w:rPr>
          <w:sz w:val="18"/>
          <w:szCs w:val="18"/>
        </w:rPr>
        <w:t>Oficiālā attīstības palīdzība</w:t>
      </w:r>
      <w:r>
        <w:rPr>
          <w:sz w:val="18"/>
          <w:szCs w:val="18"/>
        </w:rPr>
        <w:t xml:space="preserve"> ir attīstīto valstu palīdzība attīstības valstīm to ekonomiskās attīstības un labklājības veicināšanai, un tā tiek nodrošināta gan ar bilaterālajiem aizdevumiem, </w:t>
      </w:r>
      <w:proofErr w:type="spellStart"/>
      <w:r>
        <w:rPr>
          <w:sz w:val="18"/>
          <w:szCs w:val="18"/>
        </w:rPr>
        <w:t>grantiem</w:t>
      </w:r>
      <w:proofErr w:type="spellEnd"/>
      <w:r>
        <w:rPr>
          <w:sz w:val="18"/>
          <w:szCs w:val="18"/>
        </w:rPr>
        <w:t xml:space="preserve"> vai tehnisko palīdzību saņēmējvalstīm, gan caur daudzpusējām attīstības institūcijām kā ANO, Pasaules Banka u.c. OECD veic ODA statistikas uzskaiti.</w:t>
      </w:r>
    </w:p>
  </w:footnote>
  <w:footnote w:id="21">
    <w:p w14:paraId="59FCF526" w14:textId="77777777" w:rsidR="00C55740" w:rsidRDefault="00C55740" w:rsidP="00600CAB">
      <w:pPr>
        <w:pStyle w:val="FootnoteText"/>
        <w:spacing w:after="0" w:line="240" w:lineRule="auto"/>
      </w:pPr>
      <w:r>
        <w:rPr>
          <w:rStyle w:val="FootnoteReference"/>
        </w:rPr>
        <w:footnoteRef/>
      </w:r>
      <w:r>
        <w:t xml:space="preserve"> </w:t>
      </w:r>
      <w:r w:rsidRPr="00600CAB">
        <w:rPr>
          <w:sz w:val="18"/>
        </w:rPr>
        <w:t>OAP dati par 2018.gadu tiks apstiprināti 2019.gada decembrī.</w:t>
      </w:r>
    </w:p>
  </w:footnote>
  <w:footnote w:id="22">
    <w:p w14:paraId="5855A2BF" w14:textId="77777777" w:rsidR="00C40A26" w:rsidRDefault="00C40A26" w:rsidP="00C40A26">
      <w:pPr>
        <w:pStyle w:val="FootnoteText"/>
        <w:spacing w:after="0" w:line="240" w:lineRule="auto"/>
        <w:jc w:val="both"/>
      </w:pPr>
      <w:r w:rsidRPr="00C40A26">
        <w:rPr>
          <w:rStyle w:val="FootnoteReference"/>
          <w:sz w:val="18"/>
        </w:rPr>
        <w:footnoteRef/>
      </w:r>
      <w:r w:rsidRPr="00C40A26">
        <w:rPr>
          <w:sz w:val="18"/>
        </w:rPr>
        <w:t xml:space="preserve"> 2019. un 2020.gadam izmantotās prognozes norādītas slīprakstā un iekavās. Faktiskās OAP prognozes balstītas pieņēmumā, ka OAP pieaugums absolūtos skaitļos turpinā</w:t>
      </w:r>
      <w:r>
        <w:rPr>
          <w:sz w:val="18"/>
        </w:rPr>
        <w:t>sies vidēji 2016-2018.g. tempā.</w:t>
      </w:r>
    </w:p>
  </w:footnote>
  <w:footnote w:id="23">
    <w:p w14:paraId="68516176" w14:textId="77777777" w:rsidR="00C55740" w:rsidRDefault="00C55740" w:rsidP="00600CAB">
      <w:pPr>
        <w:pStyle w:val="FootnoteText"/>
        <w:spacing w:after="0" w:line="240" w:lineRule="auto"/>
      </w:pPr>
      <w:r>
        <w:rPr>
          <w:rStyle w:val="FootnoteReference"/>
        </w:rPr>
        <w:footnoteRef/>
      </w:r>
      <w:r>
        <w:t xml:space="preserve"> </w:t>
      </w:r>
      <w:r>
        <w:rPr>
          <w:sz w:val="18"/>
        </w:rPr>
        <w:t>Izmantota Finanšu ministrijas NKI</w:t>
      </w:r>
      <w:r w:rsidRPr="008E16B9">
        <w:rPr>
          <w:sz w:val="18"/>
        </w:rPr>
        <w:t xml:space="preserve"> prognoze</w:t>
      </w:r>
      <w:r>
        <w:rPr>
          <w:sz w:val="18"/>
        </w:rPr>
        <w:t>, 2019. gada jūnijs.</w:t>
      </w:r>
    </w:p>
  </w:footnote>
  <w:footnote w:id="24">
    <w:p w14:paraId="1514D12C" w14:textId="77777777" w:rsidR="00C55740" w:rsidRDefault="00C55740" w:rsidP="00D5248F">
      <w:pPr>
        <w:pStyle w:val="FootnoteText"/>
        <w:spacing w:after="0" w:line="240" w:lineRule="auto"/>
      </w:pPr>
      <w:r>
        <w:rPr>
          <w:rStyle w:val="FootnoteReference"/>
        </w:rPr>
        <w:footnoteRef/>
      </w:r>
      <w:r>
        <w:t xml:space="preserve"> </w:t>
      </w:r>
      <w:r>
        <w:rPr>
          <w:sz w:val="18"/>
        </w:rPr>
        <w:t>Turpat</w:t>
      </w:r>
      <w:r>
        <w:t>.</w:t>
      </w:r>
    </w:p>
  </w:footnote>
  <w:footnote w:id="25">
    <w:p w14:paraId="5AA94EA3" w14:textId="77777777" w:rsidR="00C55740" w:rsidRDefault="00C55740" w:rsidP="003F30FF">
      <w:pPr>
        <w:pStyle w:val="FootnoteText"/>
        <w:spacing w:after="0" w:line="240" w:lineRule="auto"/>
      </w:pPr>
      <w:r>
        <w:rPr>
          <w:rStyle w:val="FootnoteReference"/>
        </w:rPr>
        <w:footnoteRef/>
      </w:r>
      <w:r>
        <w:t xml:space="preserve"> </w:t>
      </w:r>
      <w:r w:rsidRPr="003F30FF">
        <w:rPr>
          <w:sz w:val="18"/>
        </w:rPr>
        <w:t xml:space="preserve">OECD </w:t>
      </w:r>
      <w:r>
        <w:t>d</w:t>
      </w:r>
      <w:r w:rsidRPr="003F30FF">
        <w:rPr>
          <w:sz w:val="18"/>
        </w:rPr>
        <w:t>ati par Kipru nav pieejami.</w:t>
      </w:r>
    </w:p>
  </w:footnote>
  <w:footnote w:id="26">
    <w:p w14:paraId="2C3AB243" w14:textId="77777777" w:rsidR="00C55740" w:rsidRDefault="00C55740" w:rsidP="004053C6">
      <w:pPr>
        <w:pStyle w:val="FootnoteText"/>
        <w:spacing w:after="0" w:line="240" w:lineRule="auto"/>
      </w:pPr>
      <w:r>
        <w:rPr>
          <w:rStyle w:val="FootnoteReference"/>
        </w:rPr>
        <w:footnoteRef/>
      </w:r>
      <w:r>
        <w:t xml:space="preserve"> Uz IDA18 resursu papildināšanas periodu.</w:t>
      </w:r>
    </w:p>
  </w:footnote>
  <w:footnote w:id="27">
    <w:p w14:paraId="62D56F28" w14:textId="77777777" w:rsidR="00316255" w:rsidRPr="009B58DE" w:rsidRDefault="00316255" w:rsidP="00316255">
      <w:pPr>
        <w:pStyle w:val="FootnoteText"/>
        <w:spacing w:after="0" w:line="240" w:lineRule="auto"/>
        <w:rPr>
          <w:sz w:val="18"/>
        </w:rPr>
      </w:pPr>
      <w:r w:rsidRPr="009B58DE">
        <w:rPr>
          <w:rStyle w:val="FootnoteReference"/>
          <w:sz w:val="18"/>
        </w:rPr>
        <w:footnoteRef/>
      </w:r>
      <w:r w:rsidRPr="009B58DE">
        <w:rPr>
          <w:sz w:val="18"/>
        </w:rPr>
        <w:t xml:space="preserve"> Pasaules Bankas fiskālais gads ir no iepriekšējā gada 1.jūlija līdz esošā gada 30.jūnijam.</w:t>
      </w:r>
    </w:p>
  </w:footnote>
  <w:footnote w:id="28">
    <w:p w14:paraId="311641ED" w14:textId="77777777" w:rsidR="00316255" w:rsidRPr="00663F9D" w:rsidRDefault="00316255" w:rsidP="00316255">
      <w:pPr>
        <w:pStyle w:val="FootnoteText"/>
        <w:spacing w:after="0" w:line="240" w:lineRule="auto"/>
        <w:rPr>
          <w:sz w:val="18"/>
        </w:rPr>
      </w:pPr>
      <w:r w:rsidRPr="00B76D8C">
        <w:rPr>
          <w:rStyle w:val="FootnoteReference"/>
          <w:sz w:val="18"/>
        </w:rPr>
        <w:footnoteRef/>
      </w:r>
      <w:r w:rsidRPr="00B76D8C">
        <w:rPr>
          <w:sz w:val="18"/>
        </w:rPr>
        <w:t xml:space="preserve"> </w:t>
      </w:r>
      <w:r w:rsidRPr="00663F9D">
        <w:rPr>
          <w:sz w:val="18"/>
        </w:rPr>
        <w:t>Diskonta likme, par kādu samazināsies iemaksu vērtība.</w:t>
      </w:r>
    </w:p>
  </w:footnote>
  <w:footnote w:id="29">
    <w:p w14:paraId="3DEBE642" w14:textId="77777777" w:rsidR="00316255" w:rsidRDefault="00316255" w:rsidP="00316255">
      <w:pPr>
        <w:pStyle w:val="FootnoteText"/>
      </w:pPr>
      <w:r w:rsidRPr="00663F9D">
        <w:rPr>
          <w:rStyle w:val="FootnoteReference"/>
          <w:sz w:val="18"/>
        </w:rPr>
        <w:footnoteRef/>
      </w:r>
      <w:r w:rsidRPr="00663F9D">
        <w:rPr>
          <w:sz w:val="18"/>
        </w:rPr>
        <w:t xml:space="preserve"> Salīdzinot ar Latvijas balsu skaitu IDA18 resursu papildināšanā.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698152"/>
      <w:docPartObj>
        <w:docPartGallery w:val="Page Numbers (Top of Page)"/>
        <w:docPartUnique/>
      </w:docPartObj>
    </w:sdtPr>
    <w:sdtEndPr>
      <w:rPr>
        <w:noProof/>
      </w:rPr>
    </w:sdtEndPr>
    <w:sdtContent>
      <w:p w14:paraId="1DED3E8E" w14:textId="71D7D83D" w:rsidR="00C55740" w:rsidRDefault="00C55740" w:rsidP="00A60B1F">
        <w:pPr>
          <w:pStyle w:val="Header"/>
          <w:jc w:val="center"/>
        </w:pPr>
        <w:r>
          <w:fldChar w:fldCharType="begin"/>
        </w:r>
        <w:r>
          <w:instrText xml:space="preserve"> PAGE   \* MERGEFORMAT </w:instrText>
        </w:r>
        <w:r>
          <w:fldChar w:fldCharType="separate"/>
        </w:r>
        <w:r w:rsidR="00AB397F">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0DF2"/>
    <w:multiLevelType w:val="hybridMultilevel"/>
    <w:tmpl w:val="6AC21744"/>
    <w:lvl w:ilvl="0" w:tplc="2B7A320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F562C99"/>
    <w:multiLevelType w:val="hybridMultilevel"/>
    <w:tmpl w:val="D5BAEF1E"/>
    <w:lvl w:ilvl="0" w:tplc="2B7A320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F6C0050"/>
    <w:multiLevelType w:val="hybridMultilevel"/>
    <w:tmpl w:val="DE5607DC"/>
    <w:lvl w:ilvl="0" w:tplc="F6825F3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0D64A60"/>
    <w:multiLevelType w:val="hybridMultilevel"/>
    <w:tmpl w:val="411A0DAA"/>
    <w:lvl w:ilvl="0" w:tplc="4956C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2CB5B77"/>
    <w:multiLevelType w:val="hybridMultilevel"/>
    <w:tmpl w:val="3FD89238"/>
    <w:lvl w:ilvl="0" w:tplc="2B7A320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565042A"/>
    <w:multiLevelType w:val="hybridMultilevel"/>
    <w:tmpl w:val="CD0606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CD137E4"/>
    <w:multiLevelType w:val="hybridMultilevel"/>
    <w:tmpl w:val="EAD8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3EB24DF"/>
    <w:multiLevelType w:val="multilevel"/>
    <w:tmpl w:val="7E422824"/>
    <w:lvl w:ilvl="0">
      <w:start w:val="1"/>
      <w:numFmt w:val="decimal"/>
      <w:lvlText w:val="%1."/>
      <w:lvlJc w:val="left"/>
      <w:pPr>
        <w:ind w:left="360" w:hanging="360"/>
      </w:pPr>
      <w:rPr>
        <w:rFonts w:ascii="Times New Roman" w:eastAsia="Calibri"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230966"/>
    <w:multiLevelType w:val="hybridMultilevel"/>
    <w:tmpl w:val="9A5E79AE"/>
    <w:lvl w:ilvl="0" w:tplc="2B7A320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FCC53D3"/>
    <w:multiLevelType w:val="hybridMultilevel"/>
    <w:tmpl w:val="08C26404"/>
    <w:lvl w:ilvl="0" w:tplc="2B7A320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A2C5805"/>
    <w:multiLevelType w:val="hybridMultilevel"/>
    <w:tmpl w:val="12FC9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537AAE"/>
    <w:multiLevelType w:val="hybridMultilevel"/>
    <w:tmpl w:val="DB8C1A64"/>
    <w:lvl w:ilvl="0" w:tplc="436CE97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2"/>
  </w:num>
  <w:num w:numId="3">
    <w:abstractNumId w:val="5"/>
  </w:num>
  <w:num w:numId="4">
    <w:abstractNumId w:val="1"/>
  </w:num>
  <w:num w:numId="5">
    <w:abstractNumId w:val="4"/>
  </w:num>
  <w:num w:numId="6">
    <w:abstractNumId w:val="9"/>
  </w:num>
  <w:num w:numId="7">
    <w:abstractNumId w:val="0"/>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8D"/>
    <w:rsid w:val="00012B8A"/>
    <w:rsid w:val="00012CDB"/>
    <w:rsid w:val="000201AF"/>
    <w:rsid w:val="00020216"/>
    <w:rsid w:val="0002099D"/>
    <w:rsid w:val="000216BE"/>
    <w:rsid w:val="000338BE"/>
    <w:rsid w:val="0003393C"/>
    <w:rsid w:val="000347A7"/>
    <w:rsid w:val="0004461C"/>
    <w:rsid w:val="000466F5"/>
    <w:rsid w:val="00050F87"/>
    <w:rsid w:val="00051DCB"/>
    <w:rsid w:val="00052B64"/>
    <w:rsid w:val="0005400F"/>
    <w:rsid w:val="00055C4B"/>
    <w:rsid w:val="0005699B"/>
    <w:rsid w:val="00056AF4"/>
    <w:rsid w:val="000607EE"/>
    <w:rsid w:val="00063A1E"/>
    <w:rsid w:val="00066CC1"/>
    <w:rsid w:val="00075AD7"/>
    <w:rsid w:val="00075E42"/>
    <w:rsid w:val="00083EFC"/>
    <w:rsid w:val="00086C32"/>
    <w:rsid w:val="000878EA"/>
    <w:rsid w:val="000918EA"/>
    <w:rsid w:val="000949AE"/>
    <w:rsid w:val="000972EC"/>
    <w:rsid w:val="000A3F09"/>
    <w:rsid w:val="000D01A9"/>
    <w:rsid w:val="000D5BC0"/>
    <w:rsid w:val="000D69D0"/>
    <w:rsid w:val="00100CE5"/>
    <w:rsid w:val="00106ACD"/>
    <w:rsid w:val="00117913"/>
    <w:rsid w:val="00123F44"/>
    <w:rsid w:val="001332B8"/>
    <w:rsid w:val="00150D14"/>
    <w:rsid w:val="00152785"/>
    <w:rsid w:val="00153B2C"/>
    <w:rsid w:val="00154EA9"/>
    <w:rsid w:val="00161698"/>
    <w:rsid w:val="001732FB"/>
    <w:rsid w:val="001739D5"/>
    <w:rsid w:val="00180B74"/>
    <w:rsid w:val="00180F16"/>
    <w:rsid w:val="00190DB6"/>
    <w:rsid w:val="00190E6C"/>
    <w:rsid w:val="001912F8"/>
    <w:rsid w:val="001A2AEC"/>
    <w:rsid w:val="001A5A0D"/>
    <w:rsid w:val="001A6CAD"/>
    <w:rsid w:val="001B106A"/>
    <w:rsid w:val="001C2D4E"/>
    <w:rsid w:val="001C32A8"/>
    <w:rsid w:val="001D0861"/>
    <w:rsid w:val="001D1EEA"/>
    <w:rsid w:val="001E52A5"/>
    <w:rsid w:val="001F6B42"/>
    <w:rsid w:val="001F7EE0"/>
    <w:rsid w:val="002043F5"/>
    <w:rsid w:val="002057A2"/>
    <w:rsid w:val="00205B01"/>
    <w:rsid w:val="00212C6A"/>
    <w:rsid w:val="00216AC1"/>
    <w:rsid w:val="002273E0"/>
    <w:rsid w:val="00235FE3"/>
    <w:rsid w:val="00242B2D"/>
    <w:rsid w:val="002525BF"/>
    <w:rsid w:val="002716E0"/>
    <w:rsid w:val="0027391B"/>
    <w:rsid w:val="0027478A"/>
    <w:rsid w:val="00282DC4"/>
    <w:rsid w:val="0028459F"/>
    <w:rsid w:val="00284C16"/>
    <w:rsid w:val="002851FC"/>
    <w:rsid w:val="00291BA5"/>
    <w:rsid w:val="002923FB"/>
    <w:rsid w:val="002A0401"/>
    <w:rsid w:val="002B28AE"/>
    <w:rsid w:val="002C5414"/>
    <w:rsid w:val="002C7FD3"/>
    <w:rsid w:val="002D30C8"/>
    <w:rsid w:val="002D3C27"/>
    <w:rsid w:val="002D64E2"/>
    <w:rsid w:val="002E2A53"/>
    <w:rsid w:val="002E779A"/>
    <w:rsid w:val="002F3030"/>
    <w:rsid w:val="002F353A"/>
    <w:rsid w:val="002F3C60"/>
    <w:rsid w:val="003041EF"/>
    <w:rsid w:val="00306F16"/>
    <w:rsid w:val="00313E27"/>
    <w:rsid w:val="00315207"/>
    <w:rsid w:val="00315683"/>
    <w:rsid w:val="00316255"/>
    <w:rsid w:val="00321ADD"/>
    <w:rsid w:val="00322314"/>
    <w:rsid w:val="00322D68"/>
    <w:rsid w:val="00327E62"/>
    <w:rsid w:val="0033078E"/>
    <w:rsid w:val="00342344"/>
    <w:rsid w:val="00342E03"/>
    <w:rsid w:val="003464CF"/>
    <w:rsid w:val="0035011B"/>
    <w:rsid w:val="00382B9C"/>
    <w:rsid w:val="003A72FE"/>
    <w:rsid w:val="003B243A"/>
    <w:rsid w:val="003B5511"/>
    <w:rsid w:val="003C4AB7"/>
    <w:rsid w:val="003C4E96"/>
    <w:rsid w:val="003C79B5"/>
    <w:rsid w:val="003D18BB"/>
    <w:rsid w:val="003E05CF"/>
    <w:rsid w:val="003F30FF"/>
    <w:rsid w:val="003F64EE"/>
    <w:rsid w:val="004008DE"/>
    <w:rsid w:val="004053C6"/>
    <w:rsid w:val="004143C4"/>
    <w:rsid w:val="00416C8A"/>
    <w:rsid w:val="004203B1"/>
    <w:rsid w:val="00424DCE"/>
    <w:rsid w:val="00426966"/>
    <w:rsid w:val="00446894"/>
    <w:rsid w:val="0045590F"/>
    <w:rsid w:val="00457C07"/>
    <w:rsid w:val="0046519A"/>
    <w:rsid w:val="00486C06"/>
    <w:rsid w:val="00497408"/>
    <w:rsid w:val="004A3CB4"/>
    <w:rsid w:val="004A3F96"/>
    <w:rsid w:val="004A5FC1"/>
    <w:rsid w:val="004B0C6F"/>
    <w:rsid w:val="004B5623"/>
    <w:rsid w:val="004B7EA8"/>
    <w:rsid w:val="004C0F0F"/>
    <w:rsid w:val="004E0481"/>
    <w:rsid w:val="004F0347"/>
    <w:rsid w:val="004F1A27"/>
    <w:rsid w:val="004F22A2"/>
    <w:rsid w:val="004F6016"/>
    <w:rsid w:val="00500468"/>
    <w:rsid w:val="005030CC"/>
    <w:rsid w:val="00510570"/>
    <w:rsid w:val="00517557"/>
    <w:rsid w:val="00524A17"/>
    <w:rsid w:val="00533CB7"/>
    <w:rsid w:val="00534D52"/>
    <w:rsid w:val="00560E4B"/>
    <w:rsid w:val="00567D25"/>
    <w:rsid w:val="00572F40"/>
    <w:rsid w:val="00577D14"/>
    <w:rsid w:val="00584F3E"/>
    <w:rsid w:val="005874D0"/>
    <w:rsid w:val="005A464E"/>
    <w:rsid w:val="005B0C8D"/>
    <w:rsid w:val="005B10AE"/>
    <w:rsid w:val="005B2BFA"/>
    <w:rsid w:val="005C2C01"/>
    <w:rsid w:val="005C3B93"/>
    <w:rsid w:val="005C6BEF"/>
    <w:rsid w:val="005D237B"/>
    <w:rsid w:val="005D498A"/>
    <w:rsid w:val="005E1C98"/>
    <w:rsid w:val="005F421C"/>
    <w:rsid w:val="005F75D7"/>
    <w:rsid w:val="00600CAB"/>
    <w:rsid w:val="00605541"/>
    <w:rsid w:val="00607D16"/>
    <w:rsid w:val="006141B2"/>
    <w:rsid w:val="006145D2"/>
    <w:rsid w:val="00615C23"/>
    <w:rsid w:val="00617BF3"/>
    <w:rsid w:val="00620464"/>
    <w:rsid w:val="00622EFE"/>
    <w:rsid w:val="00637117"/>
    <w:rsid w:val="00641D82"/>
    <w:rsid w:val="006575BF"/>
    <w:rsid w:val="006627C1"/>
    <w:rsid w:val="00663F9D"/>
    <w:rsid w:val="00670CF4"/>
    <w:rsid w:val="006814A9"/>
    <w:rsid w:val="00681764"/>
    <w:rsid w:val="006828C3"/>
    <w:rsid w:val="00683385"/>
    <w:rsid w:val="00686A79"/>
    <w:rsid w:val="00692678"/>
    <w:rsid w:val="00696385"/>
    <w:rsid w:val="0069753A"/>
    <w:rsid w:val="006A245C"/>
    <w:rsid w:val="006A2D99"/>
    <w:rsid w:val="006A3DEF"/>
    <w:rsid w:val="006A4C59"/>
    <w:rsid w:val="006A61D9"/>
    <w:rsid w:val="006B24EB"/>
    <w:rsid w:val="006C3C7E"/>
    <w:rsid w:val="006D0B41"/>
    <w:rsid w:val="006D4388"/>
    <w:rsid w:val="006E20CA"/>
    <w:rsid w:val="006F1A7A"/>
    <w:rsid w:val="00705F5A"/>
    <w:rsid w:val="00713EC6"/>
    <w:rsid w:val="0072690D"/>
    <w:rsid w:val="0073014B"/>
    <w:rsid w:val="00740563"/>
    <w:rsid w:val="00741CE9"/>
    <w:rsid w:val="00767AF5"/>
    <w:rsid w:val="007711A2"/>
    <w:rsid w:val="00793382"/>
    <w:rsid w:val="00795CEC"/>
    <w:rsid w:val="007A1CBF"/>
    <w:rsid w:val="007A4540"/>
    <w:rsid w:val="007A621C"/>
    <w:rsid w:val="007B040C"/>
    <w:rsid w:val="007B1D78"/>
    <w:rsid w:val="007B3A90"/>
    <w:rsid w:val="007B720C"/>
    <w:rsid w:val="007C1F59"/>
    <w:rsid w:val="007C5555"/>
    <w:rsid w:val="007C5E30"/>
    <w:rsid w:val="007D1CC8"/>
    <w:rsid w:val="007D7C69"/>
    <w:rsid w:val="007F1D7A"/>
    <w:rsid w:val="007F3D4E"/>
    <w:rsid w:val="008009EB"/>
    <w:rsid w:val="00807DD7"/>
    <w:rsid w:val="00813849"/>
    <w:rsid w:val="00814210"/>
    <w:rsid w:val="00814E7A"/>
    <w:rsid w:val="0086090E"/>
    <w:rsid w:val="00871893"/>
    <w:rsid w:val="00873879"/>
    <w:rsid w:val="00880A8F"/>
    <w:rsid w:val="008830AB"/>
    <w:rsid w:val="00883300"/>
    <w:rsid w:val="008A2694"/>
    <w:rsid w:val="008A6B54"/>
    <w:rsid w:val="008B690F"/>
    <w:rsid w:val="008D4BA3"/>
    <w:rsid w:val="008E0324"/>
    <w:rsid w:val="008E0877"/>
    <w:rsid w:val="008E16B9"/>
    <w:rsid w:val="008E187A"/>
    <w:rsid w:val="008F4850"/>
    <w:rsid w:val="00905AC4"/>
    <w:rsid w:val="00911319"/>
    <w:rsid w:val="009273F0"/>
    <w:rsid w:val="00931871"/>
    <w:rsid w:val="00940103"/>
    <w:rsid w:val="00940FBD"/>
    <w:rsid w:val="009434BE"/>
    <w:rsid w:val="009447F9"/>
    <w:rsid w:val="00950C02"/>
    <w:rsid w:val="00950C3F"/>
    <w:rsid w:val="009517FD"/>
    <w:rsid w:val="0095679B"/>
    <w:rsid w:val="009642C3"/>
    <w:rsid w:val="00964AA9"/>
    <w:rsid w:val="009650EB"/>
    <w:rsid w:val="00966D88"/>
    <w:rsid w:val="00966E23"/>
    <w:rsid w:val="00986120"/>
    <w:rsid w:val="009A18EF"/>
    <w:rsid w:val="009A5FE5"/>
    <w:rsid w:val="009B0808"/>
    <w:rsid w:val="009B25AB"/>
    <w:rsid w:val="009B4FEF"/>
    <w:rsid w:val="009B58DE"/>
    <w:rsid w:val="009B5AFD"/>
    <w:rsid w:val="009B7ABC"/>
    <w:rsid w:val="009C4B99"/>
    <w:rsid w:val="009D46A9"/>
    <w:rsid w:val="009E2E71"/>
    <w:rsid w:val="009E39D9"/>
    <w:rsid w:val="009E5AB0"/>
    <w:rsid w:val="009F1E45"/>
    <w:rsid w:val="009F21B7"/>
    <w:rsid w:val="009F24E6"/>
    <w:rsid w:val="00A00461"/>
    <w:rsid w:val="00A02B8B"/>
    <w:rsid w:val="00A11490"/>
    <w:rsid w:val="00A14AF6"/>
    <w:rsid w:val="00A322B3"/>
    <w:rsid w:val="00A35D79"/>
    <w:rsid w:val="00A44522"/>
    <w:rsid w:val="00A57F5F"/>
    <w:rsid w:val="00A60B1F"/>
    <w:rsid w:val="00A62C72"/>
    <w:rsid w:val="00A646B4"/>
    <w:rsid w:val="00A668DE"/>
    <w:rsid w:val="00A852F3"/>
    <w:rsid w:val="00A85E26"/>
    <w:rsid w:val="00A90D8D"/>
    <w:rsid w:val="00A95F20"/>
    <w:rsid w:val="00AA5D51"/>
    <w:rsid w:val="00AA5EB9"/>
    <w:rsid w:val="00AA783C"/>
    <w:rsid w:val="00AB397F"/>
    <w:rsid w:val="00AB773C"/>
    <w:rsid w:val="00AC0E5E"/>
    <w:rsid w:val="00AE260C"/>
    <w:rsid w:val="00AE2964"/>
    <w:rsid w:val="00AE375E"/>
    <w:rsid w:val="00AF7FF1"/>
    <w:rsid w:val="00B03C7A"/>
    <w:rsid w:val="00B0428E"/>
    <w:rsid w:val="00B25F36"/>
    <w:rsid w:val="00B301DA"/>
    <w:rsid w:val="00B31F3B"/>
    <w:rsid w:val="00B32873"/>
    <w:rsid w:val="00B43AAF"/>
    <w:rsid w:val="00B4551E"/>
    <w:rsid w:val="00B60BD9"/>
    <w:rsid w:val="00B65831"/>
    <w:rsid w:val="00B67CF9"/>
    <w:rsid w:val="00B76D8C"/>
    <w:rsid w:val="00B81049"/>
    <w:rsid w:val="00B81D2F"/>
    <w:rsid w:val="00B851DC"/>
    <w:rsid w:val="00B85C48"/>
    <w:rsid w:val="00B91C78"/>
    <w:rsid w:val="00B94707"/>
    <w:rsid w:val="00BA3863"/>
    <w:rsid w:val="00BA3BFC"/>
    <w:rsid w:val="00BB0BE6"/>
    <w:rsid w:val="00BB0D08"/>
    <w:rsid w:val="00BC1CC7"/>
    <w:rsid w:val="00BC5DD0"/>
    <w:rsid w:val="00BD3B50"/>
    <w:rsid w:val="00BE0482"/>
    <w:rsid w:val="00BE0FEE"/>
    <w:rsid w:val="00C00F50"/>
    <w:rsid w:val="00C02FE2"/>
    <w:rsid w:val="00C06C9D"/>
    <w:rsid w:val="00C3792C"/>
    <w:rsid w:val="00C40A26"/>
    <w:rsid w:val="00C44107"/>
    <w:rsid w:val="00C5001E"/>
    <w:rsid w:val="00C55740"/>
    <w:rsid w:val="00C726E0"/>
    <w:rsid w:val="00C72FB1"/>
    <w:rsid w:val="00C75101"/>
    <w:rsid w:val="00C8236E"/>
    <w:rsid w:val="00C91507"/>
    <w:rsid w:val="00C95902"/>
    <w:rsid w:val="00C971CF"/>
    <w:rsid w:val="00C974F9"/>
    <w:rsid w:val="00CA640D"/>
    <w:rsid w:val="00CB3DFE"/>
    <w:rsid w:val="00CB729D"/>
    <w:rsid w:val="00CB7DAF"/>
    <w:rsid w:val="00CC6E49"/>
    <w:rsid w:val="00CC71E8"/>
    <w:rsid w:val="00CD0097"/>
    <w:rsid w:val="00CD2461"/>
    <w:rsid w:val="00CE4225"/>
    <w:rsid w:val="00CE7193"/>
    <w:rsid w:val="00CF0EDF"/>
    <w:rsid w:val="00CF119D"/>
    <w:rsid w:val="00CF5F40"/>
    <w:rsid w:val="00D17AAD"/>
    <w:rsid w:val="00D2411D"/>
    <w:rsid w:val="00D300B0"/>
    <w:rsid w:val="00D30C1C"/>
    <w:rsid w:val="00D36BEF"/>
    <w:rsid w:val="00D40435"/>
    <w:rsid w:val="00D43C45"/>
    <w:rsid w:val="00D4537F"/>
    <w:rsid w:val="00D47ACE"/>
    <w:rsid w:val="00D5248F"/>
    <w:rsid w:val="00D56938"/>
    <w:rsid w:val="00D642D5"/>
    <w:rsid w:val="00D702DD"/>
    <w:rsid w:val="00D81F39"/>
    <w:rsid w:val="00D86A49"/>
    <w:rsid w:val="00D95CBB"/>
    <w:rsid w:val="00DB0F7B"/>
    <w:rsid w:val="00DB20AB"/>
    <w:rsid w:val="00DB4B89"/>
    <w:rsid w:val="00DC3ADE"/>
    <w:rsid w:val="00DC46A8"/>
    <w:rsid w:val="00DD1535"/>
    <w:rsid w:val="00DD1F7B"/>
    <w:rsid w:val="00DE0BAA"/>
    <w:rsid w:val="00DE5BAB"/>
    <w:rsid w:val="00DF0751"/>
    <w:rsid w:val="00E04FCF"/>
    <w:rsid w:val="00E05134"/>
    <w:rsid w:val="00E16C55"/>
    <w:rsid w:val="00E45D6C"/>
    <w:rsid w:val="00E4631E"/>
    <w:rsid w:val="00E54757"/>
    <w:rsid w:val="00E56049"/>
    <w:rsid w:val="00E607AC"/>
    <w:rsid w:val="00E676EE"/>
    <w:rsid w:val="00E838B8"/>
    <w:rsid w:val="00E93A6F"/>
    <w:rsid w:val="00E9719C"/>
    <w:rsid w:val="00EA391E"/>
    <w:rsid w:val="00EC3CD1"/>
    <w:rsid w:val="00ED31FE"/>
    <w:rsid w:val="00ED33EA"/>
    <w:rsid w:val="00EE2969"/>
    <w:rsid w:val="00EE538A"/>
    <w:rsid w:val="00EF06D1"/>
    <w:rsid w:val="00EF0E86"/>
    <w:rsid w:val="00EF4B55"/>
    <w:rsid w:val="00EF53BC"/>
    <w:rsid w:val="00EF6065"/>
    <w:rsid w:val="00EF76BB"/>
    <w:rsid w:val="00F07888"/>
    <w:rsid w:val="00F12051"/>
    <w:rsid w:val="00F17320"/>
    <w:rsid w:val="00F25E75"/>
    <w:rsid w:val="00F306E4"/>
    <w:rsid w:val="00F4162C"/>
    <w:rsid w:val="00F41F19"/>
    <w:rsid w:val="00F4389A"/>
    <w:rsid w:val="00F44F20"/>
    <w:rsid w:val="00F513FE"/>
    <w:rsid w:val="00F57419"/>
    <w:rsid w:val="00F60322"/>
    <w:rsid w:val="00F60E24"/>
    <w:rsid w:val="00F634C3"/>
    <w:rsid w:val="00F705F6"/>
    <w:rsid w:val="00F76F55"/>
    <w:rsid w:val="00F86ED8"/>
    <w:rsid w:val="00F87237"/>
    <w:rsid w:val="00F92F8D"/>
    <w:rsid w:val="00F93ECB"/>
    <w:rsid w:val="00FD5289"/>
    <w:rsid w:val="00FE2FB4"/>
    <w:rsid w:val="00FE512C"/>
    <w:rsid w:val="00FE559C"/>
    <w:rsid w:val="00FF0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4729"/>
  <w15:chartTrackingRefBased/>
  <w15:docId w15:val="{0AAD058E-F3C9-41A3-8096-2D9E223A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8D"/>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0D8D"/>
    <w:rPr>
      <w:sz w:val="20"/>
      <w:szCs w:val="20"/>
    </w:rPr>
  </w:style>
  <w:style w:type="character" w:customStyle="1" w:styleId="FootnoteTextChar">
    <w:name w:val="Footnote Text Char"/>
    <w:basedOn w:val="DefaultParagraphFont"/>
    <w:link w:val="FootnoteText"/>
    <w:uiPriority w:val="99"/>
    <w:rsid w:val="00A90D8D"/>
    <w:rPr>
      <w:rFonts w:eastAsia="Calibri" w:cs="Times New Roman"/>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link w:val="BVIfnrChar1CharCharChar"/>
    <w:uiPriority w:val="99"/>
    <w:unhideWhenUsed/>
    <w:rsid w:val="00A90D8D"/>
    <w:rPr>
      <w:vertAlign w:val="superscript"/>
    </w:rPr>
  </w:style>
  <w:style w:type="paragraph" w:styleId="ListParagraph">
    <w:name w:val="List Paragraph"/>
    <w:basedOn w:val="Normal"/>
    <w:uiPriority w:val="34"/>
    <w:qFormat/>
    <w:rsid w:val="00180F16"/>
    <w:pPr>
      <w:spacing w:after="0" w:line="240" w:lineRule="auto"/>
      <w:ind w:left="720"/>
      <w:contextualSpacing/>
    </w:pPr>
    <w:rPr>
      <w:rFonts w:eastAsiaTheme="minorHAnsi" w:cstheme="minorBidi"/>
    </w:rPr>
  </w:style>
  <w:style w:type="character" w:styleId="Hyperlink">
    <w:name w:val="Hyperlink"/>
    <w:basedOn w:val="DefaultParagraphFont"/>
    <w:uiPriority w:val="99"/>
    <w:unhideWhenUsed/>
    <w:rsid w:val="00216AC1"/>
    <w:rPr>
      <w:color w:val="0563C1" w:themeColor="hyperlink"/>
      <w:u w:val="single"/>
    </w:rPr>
  </w:style>
  <w:style w:type="character" w:styleId="FollowedHyperlink">
    <w:name w:val="FollowedHyperlink"/>
    <w:basedOn w:val="DefaultParagraphFont"/>
    <w:uiPriority w:val="99"/>
    <w:semiHidden/>
    <w:unhideWhenUsed/>
    <w:rsid w:val="00216AC1"/>
    <w:rPr>
      <w:color w:val="954F72" w:themeColor="followedHyperlink"/>
      <w:u w:val="single"/>
    </w:rPr>
  </w:style>
  <w:style w:type="table" w:styleId="TableGrid">
    <w:name w:val="Table Grid"/>
    <w:basedOn w:val="TableNormal"/>
    <w:uiPriority w:val="39"/>
    <w:rsid w:val="00F0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964"/>
    <w:pPr>
      <w:autoSpaceDE w:val="0"/>
      <w:autoSpaceDN w:val="0"/>
      <w:adjustRightInd w:val="0"/>
    </w:pPr>
    <w:rPr>
      <w:rFonts w:cs="Times New Roman"/>
      <w:color w:val="000000"/>
      <w:szCs w:val="24"/>
    </w:rPr>
  </w:style>
  <w:style w:type="character" w:styleId="CommentReference">
    <w:name w:val="annotation reference"/>
    <w:basedOn w:val="DefaultParagraphFont"/>
    <w:uiPriority w:val="99"/>
    <w:semiHidden/>
    <w:unhideWhenUsed/>
    <w:rsid w:val="00F4162C"/>
    <w:rPr>
      <w:sz w:val="16"/>
      <w:szCs w:val="16"/>
    </w:rPr>
  </w:style>
  <w:style w:type="paragraph" w:styleId="CommentText">
    <w:name w:val="annotation text"/>
    <w:basedOn w:val="Normal"/>
    <w:link w:val="CommentTextChar"/>
    <w:uiPriority w:val="99"/>
    <w:semiHidden/>
    <w:unhideWhenUsed/>
    <w:rsid w:val="00F4162C"/>
    <w:pPr>
      <w:spacing w:line="240" w:lineRule="auto"/>
    </w:pPr>
    <w:rPr>
      <w:sz w:val="20"/>
      <w:szCs w:val="20"/>
    </w:rPr>
  </w:style>
  <w:style w:type="character" w:customStyle="1" w:styleId="CommentTextChar">
    <w:name w:val="Comment Text Char"/>
    <w:basedOn w:val="DefaultParagraphFont"/>
    <w:link w:val="CommentText"/>
    <w:uiPriority w:val="99"/>
    <w:semiHidden/>
    <w:rsid w:val="00F4162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4162C"/>
    <w:rPr>
      <w:b/>
      <w:bCs/>
    </w:rPr>
  </w:style>
  <w:style w:type="character" w:customStyle="1" w:styleId="CommentSubjectChar">
    <w:name w:val="Comment Subject Char"/>
    <w:basedOn w:val="CommentTextChar"/>
    <w:link w:val="CommentSubject"/>
    <w:uiPriority w:val="99"/>
    <w:semiHidden/>
    <w:rsid w:val="00F4162C"/>
    <w:rPr>
      <w:rFonts w:eastAsia="Calibri" w:cs="Times New Roman"/>
      <w:b/>
      <w:bCs/>
      <w:sz w:val="20"/>
      <w:szCs w:val="20"/>
    </w:rPr>
  </w:style>
  <w:style w:type="paragraph" w:styleId="BalloonText">
    <w:name w:val="Balloon Text"/>
    <w:basedOn w:val="Normal"/>
    <w:link w:val="BalloonTextChar"/>
    <w:uiPriority w:val="99"/>
    <w:semiHidden/>
    <w:unhideWhenUsed/>
    <w:rsid w:val="00F4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2C"/>
    <w:rPr>
      <w:rFonts w:ascii="Segoe UI" w:eastAsia="Calibri" w:hAnsi="Segoe UI" w:cs="Segoe UI"/>
      <w:sz w:val="18"/>
      <w:szCs w:val="18"/>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7C1F59"/>
    <w:pPr>
      <w:spacing w:after="160" w:line="240" w:lineRule="exact"/>
    </w:pPr>
    <w:rPr>
      <w:rFonts w:eastAsiaTheme="minorHAnsi" w:cstheme="minorBidi"/>
      <w:vertAlign w:val="superscript"/>
    </w:rPr>
  </w:style>
  <w:style w:type="paragraph" w:styleId="BlockText">
    <w:name w:val="Block Text"/>
    <w:basedOn w:val="Normal"/>
    <w:unhideWhenUsed/>
    <w:rsid w:val="008A2694"/>
    <w:pPr>
      <w:spacing w:after="0" w:line="360" w:lineRule="auto"/>
      <w:ind w:left="-249" w:right="-879" w:firstLine="278"/>
    </w:pPr>
    <w:rPr>
      <w:rFonts w:eastAsia="Times New Roman"/>
      <w:szCs w:val="24"/>
      <w:lang w:eastAsia="lv-LV"/>
    </w:rPr>
  </w:style>
  <w:style w:type="paragraph" w:styleId="Header">
    <w:name w:val="header"/>
    <w:basedOn w:val="Normal"/>
    <w:link w:val="HeaderChar"/>
    <w:uiPriority w:val="99"/>
    <w:unhideWhenUsed/>
    <w:rsid w:val="005C6B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6BEF"/>
    <w:rPr>
      <w:rFonts w:eastAsia="Calibri" w:cs="Times New Roman"/>
    </w:rPr>
  </w:style>
  <w:style w:type="paragraph" w:styleId="Footer">
    <w:name w:val="footer"/>
    <w:basedOn w:val="Normal"/>
    <w:link w:val="FooterChar"/>
    <w:uiPriority w:val="99"/>
    <w:unhideWhenUsed/>
    <w:rsid w:val="005C6B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6BEF"/>
    <w:rPr>
      <w:rFonts w:eastAsia="Calibri" w:cs="Times New Roman"/>
    </w:rPr>
  </w:style>
  <w:style w:type="paragraph" w:styleId="Revision">
    <w:name w:val="Revision"/>
    <w:hidden/>
    <w:uiPriority w:val="99"/>
    <w:semiHidden/>
    <w:rsid w:val="009517FD"/>
    <w:rPr>
      <w:rFonts w:eastAsia="Calibri" w:cs="Times New Roman"/>
    </w:rPr>
  </w:style>
  <w:style w:type="paragraph" w:styleId="BodyTextIndent">
    <w:name w:val="Body Text Indent"/>
    <w:basedOn w:val="Normal"/>
    <w:link w:val="BodyTextIndentChar"/>
    <w:rsid w:val="0002099D"/>
    <w:pPr>
      <w:spacing w:after="0" w:line="240" w:lineRule="auto"/>
      <w:ind w:hanging="180"/>
      <w:jc w:val="center"/>
    </w:pPr>
    <w:rPr>
      <w:rFonts w:eastAsia="Times New Roman"/>
      <w:szCs w:val="24"/>
    </w:rPr>
  </w:style>
  <w:style w:type="character" w:customStyle="1" w:styleId="BodyTextIndentChar">
    <w:name w:val="Body Text Indent Char"/>
    <w:basedOn w:val="DefaultParagraphFont"/>
    <w:link w:val="BodyTextIndent"/>
    <w:rsid w:val="0002099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1606">
      <w:bodyDiv w:val="1"/>
      <w:marLeft w:val="0"/>
      <w:marRight w:val="0"/>
      <w:marTop w:val="0"/>
      <w:marBottom w:val="0"/>
      <w:divBdr>
        <w:top w:val="none" w:sz="0" w:space="0" w:color="auto"/>
        <w:left w:val="none" w:sz="0" w:space="0" w:color="auto"/>
        <w:bottom w:val="none" w:sz="0" w:space="0" w:color="auto"/>
        <w:right w:val="none" w:sz="0" w:space="0" w:color="auto"/>
      </w:divBdr>
    </w:div>
    <w:div w:id="340745546">
      <w:bodyDiv w:val="1"/>
      <w:marLeft w:val="0"/>
      <w:marRight w:val="0"/>
      <w:marTop w:val="0"/>
      <w:marBottom w:val="0"/>
      <w:divBdr>
        <w:top w:val="none" w:sz="0" w:space="0" w:color="auto"/>
        <w:left w:val="none" w:sz="0" w:space="0" w:color="auto"/>
        <w:bottom w:val="none" w:sz="0" w:space="0" w:color="auto"/>
        <w:right w:val="none" w:sz="0" w:space="0" w:color="auto"/>
      </w:divBdr>
    </w:div>
    <w:div w:id="343167300">
      <w:bodyDiv w:val="1"/>
      <w:marLeft w:val="0"/>
      <w:marRight w:val="0"/>
      <w:marTop w:val="0"/>
      <w:marBottom w:val="0"/>
      <w:divBdr>
        <w:top w:val="none" w:sz="0" w:space="0" w:color="auto"/>
        <w:left w:val="none" w:sz="0" w:space="0" w:color="auto"/>
        <w:bottom w:val="none" w:sz="0" w:space="0" w:color="auto"/>
        <w:right w:val="none" w:sz="0" w:space="0" w:color="auto"/>
      </w:divBdr>
    </w:div>
    <w:div w:id="667051180">
      <w:bodyDiv w:val="1"/>
      <w:marLeft w:val="0"/>
      <w:marRight w:val="0"/>
      <w:marTop w:val="0"/>
      <w:marBottom w:val="0"/>
      <w:divBdr>
        <w:top w:val="none" w:sz="0" w:space="0" w:color="auto"/>
        <w:left w:val="none" w:sz="0" w:space="0" w:color="auto"/>
        <w:bottom w:val="none" w:sz="0" w:space="0" w:color="auto"/>
        <w:right w:val="none" w:sz="0" w:space="0" w:color="auto"/>
      </w:divBdr>
    </w:div>
    <w:div w:id="862942758">
      <w:bodyDiv w:val="1"/>
      <w:marLeft w:val="0"/>
      <w:marRight w:val="0"/>
      <w:marTop w:val="0"/>
      <w:marBottom w:val="0"/>
      <w:divBdr>
        <w:top w:val="none" w:sz="0" w:space="0" w:color="auto"/>
        <w:left w:val="none" w:sz="0" w:space="0" w:color="auto"/>
        <w:bottom w:val="none" w:sz="0" w:space="0" w:color="auto"/>
        <w:right w:val="none" w:sz="0" w:space="0" w:color="auto"/>
      </w:divBdr>
    </w:div>
    <w:div w:id="939724962">
      <w:bodyDiv w:val="1"/>
      <w:marLeft w:val="0"/>
      <w:marRight w:val="0"/>
      <w:marTop w:val="0"/>
      <w:marBottom w:val="0"/>
      <w:divBdr>
        <w:top w:val="none" w:sz="0" w:space="0" w:color="auto"/>
        <w:left w:val="none" w:sz="0" w:space="0" w:color="auto"/>
        <w:bottom w:val="none" w:sz="0" w:space="0" w:color="auto"/>
        <w:right w:val="none" w:sz="0" w:space="0" w:color="auto"/>
      </w:divBdr>
    </w:div>
    <w:div w:id="1313439276">
      <w:bodyDiv w:val="1"/>
      <w:marLeft w:val="0"/>
      <w:marRight w:val="0"/>
      <w:marTop w:val="0"/>
      <w:marBottom w:val="0"/>
      <w:divBdr>
        <w:top w:val="none" w:sz="0" w:space="0" w:color="auto"/>
        <w:left w:val="none" w:sz="0" w:space="0" w:color="auto"/>
        <w:bottom w:val="none" w:sz="0" w:space="0" w:color="auto"/>
        <w:right w:val="none" w:sz="0" w:space="0" w:color="auto"/>
      </w:divBdr>
    </w:div>
    <w:div w:id="1427925276">
      <w:bodyDiv w:val="1"/>
      <w:marLeft w:val="0"/>
      <w:marRight w:val="0"/>
      <w:marTop w:val="0"/>
      <w:marBottom w:val="0"/>
      <w:divBdr>
        <w:top w:val="none" w:sz="0" w:space="0" w:color="auto"/>
        <w:left w:val="none" w:sz="0" w:space="0" w:color="auto"/>
        <w:bottom w:val="none" w:sz="0" w:space="0" w:color="auto"/>
        <w:right w:val="none" w:sz="0" w:space="0" w:color="auto"/>
      </w:divBdr>
    </w:div>
    <w:div w:id="1659459406">
      <w:bodyDiv w:val="1"/>
      <w:marLeft w:val="0"/>
      <w:marRight w:val="0"/>
      <w:marTop w:val="0"/>
      <w:marBottom w:val="0"/>
      <w:divBdr>
        <w:top w:val="none" w:sz="0" w:space="0" w:color="auto"/>
        <w:left w:val="none" w:sz="0" w:space="0" w:color="auto"/>
        <w:bottom w:val="none" w:sz="0" w:space="0" w:color="auto"/>
        <w:right w:val="none" w:sz="0" w:space="0" w:color="auto"/>
      </w:divBdr>
    </w:div>
    <w:div w:id="1723210927">
      <w:bodyDiv w:val="1"/>
      <w:marLeft w:val="0"/>
      <w:marRight w:val="0"/>
      <w:marTop w:val="0"/>
      <w:marBottom w:val="0"/>
      <w:divBdr>
        <w:top w:val="none" w:sz="0" w:space="0" w:color="auto"/>
        <w:left w:val="none" w:sz="0" w:space="0" w:color="auto"/>
        <w:bottom w:val="none" w:sz="0" w:space="0" w:color="auto"/>
        <w:right w:val="none" w:sz="0" w:space="0" w:color="auto"/>
      </w:divBdr>
    </w:div>
    <w:div w:id="1751002335">
      <w:bodyDiv w:val="1"/>
      <w:marLeft w:val="0"/>
      <w:marRight w:val="0"/>
      <w:marTop w:val="0"/>
      <w:marBottom w:val="0"/>
      <w:divBdr>
        <w:top w:val="none" w:sz="0" w:space="0" w:color="auto"/>
        <w:left w:val="none" w:sz="0" w:space="0" w:color="auto"/>
        <w:bottom w:val="none" w:sz="0" w:space="0" w:color="auto"/>
        <w:right w:val="none" w:sz="0" w:space="0" w:color="auto"/>
      </w:divBdr>
    </w:div>
    <w:div w:id="1949967046">
      <w:bodyDiv w:val="1"/>
      <w:marLeft w:val="0"/>
      <w:marRight w:val="0"/>
      <w:marTop w:val="0"/>
      <w:marBottom w:val="0"/>
      <w:divBdr>
        <w:top w:val="none" w:sz="0" w:space="0" w:color="auto"/>
        <w:left w:val="none" w:sz="0" w:space="0" w:color="auto"/>
        <w:bottom w:val="none" w:sz="0" w:space="0" w:color="auto"/>
        <w:right w:val="none" w:sz="0" w:space="0" w:color="auto"/>
      </w:divBdr>
    </w:div>
    <w:div w:id="21408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ga.Forda@f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africa/osaa/peace/sdgs.shtml" TargetMode="External"/><Relationship Id="rId1" Type="http://schemas.openxmlformats.org/officeDocument/2006/relationships/hyperlink" Target="http://www.mopanonline.org/assessments/worldbank2015-16/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2ADE-9336-4A38-8B94-6A412AE8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4532</Words>
  <Characters>33590</Characters>
  <Application>Microsoft Office Word</Application>
  <DocSecurity>0</DocSecurity>
  <Lines>2399</Lines>
  <Paragraphs>1191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Forda</dc:creator>
  <cp:keywords/>
  <dc:description/>
  <cp:lastModifiedBy>Inga Forda</cp:lastModifiedBy>
  <cp:revision>8</cp:revision>
  <cp:lastPrinted>2019-11-20T11:01:00Z</cp:lastPrinted>
  <dcterms:created xsi:type="dcterms:W3CDTF">2019-11-27T14:56:00Z</dcterms:created>
  <dcterms:modified xsi:type="dcterms:W3CDTF">2019-11-28T10:18:00Z</dcterms:modified>
</cp:coreProperties>
</file>