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30D4" w14:textId="360433C1" w:rsidR="002F715E" w:rsidRPr="004E46F7" w:rsidRDefault="002F715E" w:rsidP="005F703A">
      <w:pPr>
        <w:jc w:val="center"/>
        <w:rPr>
          <w:rStyle w:val="Strong"/>
        </w:rPr>
      </w:pPr>
      <w:bookmarkStart w:id="0" w:name="_GoBack"/>
      <w:bookmarkEnd w:id="0"/>
      <w:r w:rsidRPr="004E46F7">
        <w:rPr>
          <w:rStyle w:val="Strong"/>
        </w:rPr>
        <w:t>Ministru kabineta noteikumu projektu</w:t>
      </w:r>
      <w:r w:rsidR="00DF5E26" w:rsidRPr="004E46F7">
        <w:rPr>
          <w:rStyle w:val="Strong"/>
        </w:rPr>
        <w:t xml:space="preserve"> </w:t>
      </w:r>
      <w:r w:rsidR="00DF327C" w:rsidRPr="004E46F7">
        <w:rPr>
          <w:rStyle w:val="Strong"/>
        </w:rPr>
        <w:t xml:space="preserve">par </w:t>
      </w:r>
      <w:r w:rsidR="00DF5E26" w:rsidRPr="004E46F7">
        <w:rPr>
          <w:rStyle w:val="Strong"/>
        </w:rPr>
        <w:t xml:space="preserve">grozījumiem </w:t>
      </w:r>
      <w:r w:rsidRPr="004E46F7">
        <w:rPr>
          <w:rStyle w:val="Strong"/>
        </w:rPr>
        <w:t>valsts aizdevumu izsniegšanas un apkalpošanas kārtīb</w:t>
      </w:r>
      <w:r w:rsidR="00DF5E26" w:rsidRPr="004E46F7">
        <w:rPr>
          <w:rStyle w:val="Strong"/>
        </w:rPr>
        <w:t xml:space="preserve">ā </w:t>
      </w:r>
      <w:r w:rsidRPr="004E46F7">
        <w:rPr>
          <w:rStyle w:val="Strong"/>
        </w:rPr>
        <w:t>un galvojumu s</w:t>
      </w:r>
      <w:r w:rsidR="00533776" w:rsidRPr="004E46F7">
        <w:rPr>
          <w:rStyle w:val="Strong"/>
        </w:rPr>
        <w:t>niegšanas un uzraudzības kārtībā, un</w:t>
      </w:r>
      <w:r w:rsidR="00533776" w:rsidRPr="004E46F7">
        <w:t xml:space="preserve"> </w:t>
      </w:r>
      <w:r w:rsidR="00533776" w:rsidRPr="004E46F7">
        <w:rPr>
          <w:rStyle w:val="Strong"/>
        </w:rPr>
        <w:t xml:space="preserve">Valsts kases </w:t>
      </w:r>
      <w:r w:rsidR="00AA3972">
        <w:rPr>
          <w:rStyle w:val="Strong"/>
        </w:rPr>
        <w:t xml:space="preserve">sniegto maksas pakalpojumu </w:t>
      </w:r>
      <w:r w:rsidR="00533776" w:rsidRPr="004E46F7">
        <w:rPr>
          <w:rStyle w:val="Strong"/>
        </w:rPr>
        <w:t>cenrāža atzīšanu par spēku zaudējušiem</w:t>
      </w:r>
      <w:r w:rsidR="00DF5E26" w:rsidRPr="004E46F7">
        <w:rPr>
          <w:rStyle w:val="Strong"/>
        </w:rPr>
        <w:t xml:space="preserve"> </w:t>
      </w:r>
      <w:r w:rsidRPr="004E46F7">
        <w:rPr>
          <w:rStyle w:val="Strong"/>
        </w:rPr>
        <w:t>sākotnējās ietekmes novērtējuma ziņojums (</w:t>
      </w:r>
      <w:r w:rsidR="00F07797" w:rsidRPr="004E46F7">
        <w:rPr>
          <w:rStyle w:val="Strong"/>
        </w:rPr>
        <w:t xml:space="preserve">apvienotā </w:t>
      </w:r>
      <w:r w:rsidRPr="004E46F7">
        <w:rPr>
          <w:rStyle w:val="Strong"/>
        </w:rPr>
        <w:t>anotācija)</w:t>
      </w:r>
    </w:p>
    <w:p w14:paraId="64FB19B8" w14:textId="77777777" w:rsidR="002F715E" w:rsidRPr="004E46F7" w:rsidRDefault="002F715E" w:rsidP="005F703A">
      <w:pPr>
        <w:rPr>
          <w:rStyle w:val="Strong"/>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7"/>
        <w:gridCol w:w="5183"/>
      </w:tblGrid>
      <w:tr w:rsidR="004E46F7" w:rsidRPr="004E46F7" w14:paraId="4B31DFF8" w14:textId="77777777" w:rsidTr="002F715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16867B" w14:textId="77777777" w:rsidR="002F715E" w:rsidRPr="000C06A0" w:rsidRDefault="002F715E" w:rsidP="00C068DC">
            <w:pPr>
              <w:jc w:val="center"/>
              <w:rPr>
                <w:lang w:eastAsia="en-US"/>
              </w:rPr>
            </w:pPr>
            <w:r w:rsidRPr="004E46F7">
              <w:rPr>
                <w:b/>
                <w:bCs/>
                <w:lang w:eastAsia="en-US"/>
              </w:rPr>
              <w:t>Tiesību akta projekta anotācijas kopsavilkums</w:t>
            </w:r>
          </w:p>
        </w:tc>
      </w:tr>
      <w:tr w:rsidR="004E46F7" w:rsidRPr="004E46F7" w14:paraId="76F14207" w14:textId="77777777" w:rsidTr="002F715E">
        <w:tc>
          <w:tcPr>
            <w:tcW w:w="1874" w:type="pct"/>
            <w:tcBorders>
              <w:top w:val="outset" w:sz="6" w:space="0" w:color="414142"/>
              <w:left w:val="outset" w:sz="6" w:space="0" w:color="414142"/>
              <w:bottom w:val="outset" w:sz="6" w:space="0" w:color="414142"/>
              <w:right w:val="outset" w:sz="6" w:space="0" w:color="414142"/>
            </w:tcBorders>
            <w:shd w:val="clear" w:color="auto" w:fill="FFFFFF"/>
            <w:hideMark/>
          </w:tcPr>
          <w:p w14:paraId="536A0B47" w14:textId="77777777" w:rsidR="002F715E" w:rsidRPr="004E46F7" w:rsidRDefault="002F715E" w:rsidP="00C068DC">
            <w:pPr>
              <w:rPr>
                <w:lang w:eastAsia="en-US"/>
              </w:rPr>
            </w:pPr>
            <w:r w:rsidRPr="004E46F7">
              <w:rPr>
                <w:lang w:eastAsia="en-US"/>
              </w:rPr>
              <w:t>Mērķis, risinājums un projekta spēkā stāšanās laiks (500 zīmes bez atstarpēm)</w:t>
            </w:r>
          </w:p>
        </w:tc>
        <w:tc>
          <w:tcPr>
            <w:tcW w:w="3126" w:type="pct"/>
            <w:tcBorders>
              <w:top w:val="outset" w:sz="6" w:space="0" w:color="414142"/>
              <w:left w:val="outset" w:sz="6" w:space="0" w:color="414142"/>
              <w:bottom w:val="outset" w:sz="6" w:space="0" w:color="414142"/>
              <w:right w:val="outset" w:sz="6" w:space="0" w:color="414142"/>
            </w:tcBorders>
            <w:shd w:val="clear" w:color="auto" w:fill="FFFFFF"/>
            <w:hideMark/>
          </w:tcPr>
          <w:p w14:paraId="01B97E2B" w14:textId="0CF414BD" w:rsidR="00A7375D" w:rsidRDefault="00D46C08" w:rsidP="00C068DC">
            <w:pPr>
              <w:jc w:val="both"/>
              <w:rPr>
                <w:lang w:eastAsia="en-US"/>
              </w:rPr>
            </w:pPr>
            <w:r w:rsidRPr="004E46F7">
              <w:t>Izstrādātie Ministru kabineta noteikumu projekti</w:t>
            </w:r>
            <w:r w:rsidR="00A7375D">
              <w:rPr>
                <w:lang w:eastAsia="en-US"/>
              </w:rPr>
              <w:t xml:space="preserve"> paredz , ka valsts aizdevumu un valsts vārdā sniegto galvojumu apkalpošanas maksa tiks ieskaitīta valsts budžeta ieņēmumos. </w:t>
            </w:r>
          </w:p>
          <w:p w14:paraId="6E776F2F" w14:textId="1A59CA7B" w:rsidR="00F07797" w:rsidRPr="004E46F7" w:rsidRDefault="00A7375D" w:rsidP="00C068DC">
            <w:pPr>
              <w:jc w:val="both"/>
              <w:rPr>
                <w:lang w:eastAsia="en-US"/>
              </w:rPr>
            </w:pPr>
            <w:r>
              <w:rPr>
                <w:lang w:eastAsia="en-US"/>
              </w:rPr>
              <w:t>Projekti stāsies spēkā 2020. gada 1. janvārī</w:t>
            </w:r>
          </w:p>
        </w:tc>
      </w:tr>
    </w:tbl>
    <w:p w14:paraId="207EEC5F" w14:textId="77777777" w:rsidR="002F715E" w:rsidRPr="004E46F7" w:rsidRDefault="002F715E"/>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4E46F7" w:rsidRPr="004E46F7" w14:paraId="443E2232" w14:textId="77777777" w:rsidTr="002F715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03ECCA8" w14:textId="77777777" w:rsidR="002F715E" w:rsidRPr="004E46F7" w:rsidRDefault="002F715E" w:rsidP="00C068DC">
            <w:pPr>
              <w:keepLines/>
              <w:jc w:val="center"/>
              <w:rPr>
                <w:b/>
                <w:bCs/>
                <w:lang w:eastAsia="en-US"/>
              </w:rPr>
            </w:pPr>
            <w:r w:rsidRPr="004E46F7">
              <w:rPr>
                <w:b/>
                <w:bCs/>
                <w:lang w:eastAsia="en-US"/>
              </w:rPr>
              <w:t>I. Tiesību akta projekta izstrādes nepieciešamība</w:t>
            </w:r>
          </w:p>
        </w:tc>
      </w:tr>
      <w:tr w:rsidR="004E46F7" w:rsidRPr="004E46F7" w14:paraId="5059DEA2"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1EB2B7DA" w14:textId="77777777" w:rsidR="002F715E" w:rsidRPr="004E46F7" w:rsidRDefault="002F715E" w:rsidP="00C068DC">
            <w:pPr>
              <w:keepLines/>
              <w:jc w:val="center"/>
              <w:rPr>
                <w:lang w:eastAsia="en-US"/>
              </w:rPr>
            </w:pPr>
            <w:r w:rsidRPr="004E46F7">
              <w:rPr>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4943D7F3" w14:textId="77777777" w:rsidR="002F715E" w:rsidRPr="004E46F7" w:rsidRDefault="002F715E" w:rsidP="00C068DC">
            <w:pPr>
              <w:keepLines/>
              <w:rPr>
                <w:lang w:eastAsia="en-US"/>
              </w:rPr>
            </w:pPr>
            <w:r w:rsidRPr="004E46F7">
              <w:rPr>
                <w:lang w:eastAsia="en-US"/>
              </w:rPr>
              <w:t>Pamatojums</w:t>
            </w:r>
          </w:p>
        </w:tc>
        <w:tc>
          <w:tcPr>
            <w:tcW w:w="3210" w:type="pct"/>
            <w:tcBorders>
              <w:top w:val="single" w:sz="4" w:space="0" w:color="auto"/>
              <w:left w:val="single" w:sz="4" w:space="0" w:color="auto"/>
              <w:bottom w:val="single" w:sz="4" w:space="0" w:color="auto"/>
              <w:right w:val="single" w:sz="4" w:space="0" w:color="auto"/>
            </w:tcBorders>
            <w:hideMark/>
          </w:tcPr>
          <w:p w14:paraId="7377A74B" w14:textId="758334B8" w:rsidR="002F715E" w:rsidRPr="004E46F7" w:rsidRDefault="00613ABD" w:rsidP="00C068DC">
            <w:pPr>
              <w:pStyle w:val="Header"/>
              <w:tabs>
                <w:tab w:val="left" w:pos="720"/>
              </w:tabs>
              <w:jc w:val="both"/>
            </w:pPr>
            <w:r w:rsidRPr="004E46F7">
              <w:rPr>
                <w:rFonts w:ascii="Times New Roman" w:hAnsi="Times New Roman"/>
                <w:sz w:val="24"/>
                <w:szCs w:val="24"/>
              </w:rPr>
              <w:t xml:space="preserve"> Ministru kabineta noteikumu projekts “Grozījumi Ministru kabineta 2019. gada 13. augusta noteikumos Nr. 362 “ Kārtība, kādā ministrijas un citas centrālās valsts iestādes iekļauj gadskārtējā valsts budžeta likumprojektā valsts aizdevumu pieprasījumus, un valsts aizdevumu izsniegšanas un apkalpošanas kārtība””, </w:t>
            </w:r>
            <w:r w:rsidRPr="000C06A0">
              <w:rPr>
                <w:rFonts w:ascii="Times New Roman" w:hAnsi="Times New Roman"/>
                <w:sz w:val="24"/>
                <w:szCs w:val="24"/>
              </w:rPr>
              <w:t xml:space="preserve"> </w:t>
            </w:r>
            <w:r w:rsidRPr="004E46F7">
              <w:rPr>
                <w:rFonts w:ascii="Times New Roman" w:hAnsi="Times New Roman"/>
                <w:sz w:val="24"/>
                <w:szCs w:val="24"/>
              </w:rPr>
              <w:t xml:space="preserve">Ministru kabineta noteikumu projekts “Grozījumi Ministru kabineta 2014. gada 8. jūlija noteikumos Nr.391 “Kārtība, kādā gadskārtējā valsts budžeta likumprojektā iekļauj pieprasījumus valsts vārdā sniedzamajiem galvojumiem, un galvojumu sniegšanas un uzraudzības kārtība”” un Ministru kabineta noteikumu projekts </w:t>
            </w:r>
            <w:r w:rsidRPr="000C06A0">
              <w:rPr>
                <w:rFonts w:ascii="Times New Roman" w:hAnsi="Times New Roman"/>
                <w:sz w:val="24"/>
                <w:szCs w:val="24"/>
              </w:rPr>
              <w:t>“</w:t>
            </w:r>
            <w:r w:rsidRPr="004E46F7">
              <w:rPr>
                <w:rFonts w:ascii="Times New Roman" w:hAnsi="Times New Roman"/>
                <w:sz w:val="24"/>
                <w:szCs w:val="24"/>
              </w:rPr>
              <w:t xml:space="preserve">Par Ministru kabineta 2006. gada 12. septembra noteikumu Nr. 760 “Noteikumi par Valsts kases sniegto maksas pakalpojumu cenrādi” atzīšanu par spēku zaudējušiem” sagatavoti pamatojoties uz </w:t>
            </w:r>
            <w:r w:rsidR="00CE1292" w:rsidRPr="004E46F7">
              <w:rPr>
                <w:rFonts w:ascii="Times New Roman" w:hAnsi="Times New Roman"/>
                <w:sz w:val="24"/>
                <w:szCs w:val="24"/>
              </w:rPr>
              <w:t xml:space="preserve">Ministru kabineta </w:t>
            </w:r>
            <w:r w:rsidR="004E09C7" w:rsidRPr="004E46F7">
              <w:rPr>
                <w:rFonts w:ascii="Times New Roman" w:hAnsi="Times New Roman"/>
                <w:sz w:val="24"/>
                <w:szCs w:val="24"/>
              </w:rPr>
              <w:lastRenderedPageBreak/>
              <w:t>2019.</w:t>
            </w:r>
            <w:r w:rsidR="00DF5E26" w:rsidRPr="004E46F7">
              <w:rPr>
                <w:rFonts w:ascii="Times New Roman" w:hAnsi="Times New Roman"/>
                <w:sz w:val="24"/>
                <w:szCs w:val="24"/>
              </w:rPr>
              <w:t> </w:t>
            </w:r>
            <w:r w:rsidR="004E09C7" w:rsidRPr="004E46F7">
              <w:rPr>
                <w:rFonts w:ascii="Times New Roman" w:hAnsi="Times New Roman"/>
                <w:sz w:val="24"/>
                <w:szCs w:val="24"/>
              </w:rPr>
              <w:t>gada 20.</w:t>
            </w:r>
            <w:r w:rsidR="00DF5E26" w:rsidRPr="004E46F7">
              <w:rPr>
                <w:rFonts w:ascii="Times New Roman" w:hAnsi="Times New Roman"/>
                <w:sz w:val="24"/>
                <w:szCs w:val="24"/>
              </w:rPr>
              <w:t> </w:t>
            </w:r>
            <w:r w:rsidR="004E09C7" w:rsidRPr="004E46F7">
              <w:rPr>
                <w:rFonts w:ascii="Times New Roman" w:hAnsi="Times New Roman"/>
                <w:sz w:val="24"/>
                <w:szCs w:val="24"/>
              </w:rPr>
              <w:t>augusta</w:t>
            </w:r>
            <w:r w:rsidRPr="004E46F7">
              <w:rPr>
                <w:rFonts w:ascii="Times New Roman" w:hAnsi="Times New Roman"/>
                <w:sz w:val="24"/>
                <w:szCs w:val="24"/>
              </w:rPr>
              <w:t xml:space="preserve"> </w:t>
            </w:r>
            <w:r w:rsidR="004E09C7" w:rsidRPr="004E46F7">
              <w:rPr>
                <w:rFonts w:ascii="Times New Roman" w:hAnsi="Times New Roman"/>
                <w:sz w:val="24"/>
                <w:szCs w:val="24"/>
              </w:rPr>
              <w:t>sēdes protokola  Nr.</w:t>
            </w:r>
            <w:r w:rsidR="00DF5E26" w:rsidRPr="004E46F7">
              <w:rPr>
                <w:rFonts w:ascii="Times New Roman" w:hAnsi="Times New Roman"/>
                <w:sz w:val="24"/>
                <w:szCs w:val="24"/>
              </w:rPr>
              <w:t> </w:t>
            </w:r>
            <w:r w:rsidR="004E09C7" w:rsidRPr="004E46F7">
              <w:rPr>
                <w:rFonts w:ascii="Times New Roman" w:hAnsi="Times New Roman"/>
                <w:sz w:val="24"/>
                <w:szCs w:val="24"/>
              </w:rPr>
              <w:t>35  26</w:t>
            </w:r>
            <w:r w:rsidR="0038439A" w:rsidRPr="004E46F7">
              <w:rPr>
                <w:rFonts w:ascii="Times New Roman" w:hAnsi="Times New Roman"/>
                <w:sz w:val="24"/>
                <w:szCs w:val="24"/>
              </w:rPr>
              <w:t>.</w:t>
            </w:r>
            <w:r w:rsidR="004E09C7" w:rsidRPr="004E46F7">
              <w:rPr>
                <w:rFonts w:ascii="Times New Roman" w:hAnsi="Times New Roman"/>
                <w:sz w:val="24"/>
                <w:szCs w:val="24"/>
              </w:rPr>
              <w:t>§ 41.</w:t>
            </w:r>
            <w:r w:rsidR="00DF5E26" w:rsidRPr="004E46F7">
              <w:rPr>
                <w:rFonts w:ascii="Times New Roman" w:hAnsi="Times New Roman"/>
                <w:sz w:val="24"/>
                <w:szCs w:val="24"/>
              </w:rPr>
              <w:t> </w:t>
            </w:r>
            <w:r w:rsidRPr="004E46F7">
              <w:rPr>
                <w:rFonts w:ascii="Times New Roman" w:hAnsi="Times New Roman"/>
                <w:sz w:val="24"/>
                <w:szCs w:val="24"/>
              </w:rPr>
              <w:t>punktu.</w:t>
            </w:r>
          </w:p>
        </w:tc>
      </w:tr>
      <w:tr w:rsidR="004E46F7" w:rsidRPr="004E46F7" w14:paraId="6B863F0F" w14:textId="77777777" w:rsidTr="002F715E">
        <w:trPr>
          <w:cantSplit/>
          <w:trHeight w:val="1378"/>
        </w:trPr>
        <w:tc>
          <w:tcPr>
            <w:tcW w:w="311" w:type="pct"/>
            <w:tcBorders>
              <w:top w:val="single" w:sz="4" w:space="0" w:color="auto"/>
              <w:left w:val="single" w:sz="4" w:space="0" w:color="auto"/>
              <w:bottom w:val="single" w:sz="4" w:space="0" w:color="auto"/>
              <w:right w:val="single" w:sz="4" w:space="0" w:color="auto"/>
            </w:tcBorders>
            <w:hideMark/>
          </w:tcPr>
          <w:p w14:paraId="22BEC665" w14:textId="77777777" w:rsidR="002F715E" w:rsidRPr="004E46F7" w:rsidRDefault="002F715E" w:rsidP="00C068DC">
            <w:pPr>
              <w:keepLines/>
              <w:jc w:val="center"/>
              <w:rPr>
                <w:lang w:eastAsia="en-US"/>
              </w:rPr>
            </w:pPr>
            <w:r w:rsidRPr="004E46F7">
              <w:rPr>
                <w:lang w:eastAsia="en-US"/>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0BCDC67E" w14:textId="77777777" w:rsidR="002F715E" w:rsidRPr="004E46F7" w:rsidRDefault="002F715E" w:rsidP="00C068DC">
            <w:pPr>
              <w:keepLines/>
              <w:rPr>
                <w:lang w:eastAsia="en-US"/>
              </w:rPr>
            </w:pPr>
            <w:r w:rsidRPr="004E46F7">
              <w:rPr>
                <w:lang w:eastAsia="en-US"/>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tcPr>
          <w:p w14:paraId="7EC3F825" w14:textId="75C74595" w:rsidR="00305E76" w:rsidRPr="004E46F7" w:rsidRDefault="00305E76" w:rsidP="00C068DC">
            <w:pPr>
              <w:keepLines/>
              <w:ind w:firstLine="119"/>
              <w:jc w:val="both"/>
            </w:pPr>
            <w:r w:rsidRPr="004E46F7">
              <w:t>Pašlaik galvojumu un valsts aizdevumu saņēmēj</w:t>
            </w:r>
            <w:r w:rsidR="00F162BD" w:rsidRPr="004E46F7">
              <w:t>u</w:t>
            </w:r>
            <w:r w:rsidRPr="004E46F7">
              <w:t xml:space="preserve"> maksājum</w:t>
            </w:r>
            <w:r w:rsidR="00F162BD" w:rsidRPr="004E46F7">
              <w:t>i</w:t>
            </w:r>
            <w:r w:rsidRPr="004E46F7">
              <w:t xml:space="preserve"> par valsts galvojumu un valsts aizdevumu apkalpošanu</w:t>
            </w:r>
            <w:r w:rsidR="004B5784" w:rsidRPr="004E46F7">
              <w:t xml:space="preserve"> ir noteikti </w:t>
            </w:r>
            <w:r w:rsidRPr="004E46F7">
              <w:t>saskaņā ar Ministru kabineta 2006. gada 12. septembra noteikumiem Nr.760 “Valsts kases sniegto maksas pakalpojumu cenrādis”.</w:t>
            </w:r>
          </w:p>
          <w:p w14:paraId="0E1396C9" w14:textId="452C9DE3" w:rsidR="00533776" w:rsidRPr="004E46F7" w:rsidRDefault="0006335B" w:rsidP="00C068DC">
            <w:pPr>
              <w:keepLines/>
              <w:jc w:val="both"/>
            </w:pPr>
            <w:r w:rsidRPr="004E46F7">
              <w:t xml:space="preserve"> </w:t>
            </w:r>
            <w:r w:rsidR="00AE2564" w:rsidRPr="004E46F7">
              <w:t>L</w:t>
            </w:r>
            <w:r w:rsidRPr="004E46F7">
              <w:t>ai nodrošinātu piešķirtā finansējuma efektīvāk</w:t>
            </w:r>
            <w:r w:rsidR="00AB4311" w:rsidRPr="004E46F7">
              <w:t>u</w:t>
            </w:r>
            <w:r w:rsidRPr="004E46F7">
              <w:t xml:space="preserve"> izmantošanu</w:t>
            </w:r>
            <w:r w:rsidR="00AE2564" w:rsidRPr="004E46F7">
              <w:t xml:space="preserve"> un </w:t>
            </w:r>
            <w:r w:rsidR="0038439A" w:rsidRPr="004E46F7">
              <w:t>padarītu caurskatāmāku valsts budžeta plānošanas un izpildes kontroles procesu</w:t>
            </w:r>
            <w:r w:rsidRPr="004E46F7">
              <w:t xml:space="preserve">, </w:t>
            </w:r>
            <w:r w:rsidR="0039130C" w:rsidRPr="000C06A0">
              <w:t xml:space="preserve">Finanšu ministrija sadarbībā ar Valsts kasi veica valsts budžeta programmas pārskatīšanu un </w:t>
            </w:r>
            <w:r w:rsidRPr="004E46F7">
              <w:t>sākot</w:t>
            </w:r>
            <w:r w:rsidR="00533776" w:rsidRPr="004E46F7">
              <w:t xml:space="preserve"> ar 2020.gadu valsts budžeta apakšprogrammā 31.01.00 “Budžeta izpilde” kā resurs</w:t>
            </w:r>
            <w:r w:rsidR="002316AC">
              <w:t>i</w:t>
            </w:r>
            <w:r w:rsidR="00533776" w:rsidRPr="004E46F7">
              <w:t xml:space="preserve"> izdevumu segšanai tiks paredzēta tikai vispārējā kārtībā sadalāmā dotācija no vispārējiem ieņēmumiem, izslēdzot plānoto resursu  “ieņēmumi no maksas pakalpojumiem un citiem pašu ieņēmumiem” un attiecīgi palielinot dotāciju no vispārējiem ieņēmumiem. </w:t>
            </w:r>
          </w:p>
          <w:p w14:paraId="444BFA8A" w14:textId="77777777" w:rsidR="00533776" w:rsidRPr="004E46F7" w:rsidRDefault="00533776" w:rsidP="00C068DC">
            <w:pPr>
              <w:keepLines/>
              <w:jc w:val="both"/>
            </w:pPr>
          </w:p>
          <w:p w14:paraId="488086D6" w14:textId="54EF19D7" w:rsidR="00F6129A" w:rsidRPr="004E46F7" w:rsidRDefault="00F6129A" w:rsidP="00C068DC">
            <w:pPr>
              <w:keepLines/>
              <w:jc w:val="both"/>
            </w:pPr>
            <w:r w:rsidRPr="004E46F7">
              <w:t xml:space="preserve"> </w:t>
            </w:r>
            <w:r w:rsidR="00CE1292" w:rsidRPr="004E46F7">
              <w:t>I</w:t>
            </w:r>
            <w:r w:rsidRPr="004E46F7">
              <w:t>zstrādāti</w:t>
            </w:r>
            <w:r w:rsidR="00CE1292" w:rsidRPr="004E46F7">
              <w:t>e</w:t>
            </w:r>
            <w:r w:rsidRPr="004E46F7">
              <w:t xml:space="preserve"> Ministru kabineta noteikumu projekti:</w:t>
            </w:r>
          </w:p>
          <w:p w14:paraId="6E330B6F" w14:textId="2CDC5C8C" w:rsidR="00F6129A" w:rsidRPr="004E46F7" w:rsidRDefault="00DF5E26" w:rsidP="00C068DC">
            <w:pPr>
              <w:pStyle w:val="ListParagraph"/>
              <w:keepLines/>
              <w:numPr>
                <w:ilvl w:val="0"/>
                <w:numId w:val="8"/>
              </w:numPr>
              <w:ind w:left="0" w:firstLine="360"/>
              <w:jc w:val="both"/>
            </w:pPr>
            <w:r w:rsidRPr="004E46F7">
              <w:t xml:space="preserve">Grozījumi Ministru kabineta 2019. gada </w:t>
            </w:r>
            <w:r w:rsidR="00F6129A" w:rsidRPr="004E46F7">
              <w:t>13. </w:t>
            </w:r>
            <w:r w:rsidRPr="004E46F7">
              <w:t>augusta noteikumos Nr. 362 “ Kārtība, kādā ministrijas un citas centrālās valsts iestādes iekļauj gadskārtējā valsts budžeta likumprojektā valsts aizdevumu pieprasījumus, un valsts aizdevumu izsniegšanas un apkalpošanas kārtība”</w:t>
            </w:r>
            <w:r w:rsidR="008839E2" w:rsidRPr="004E46F7">
              <w:t xml:space="preserve"> paredz izteikt jaunā redakcijā 62., 63.</w:t>
            </w:r>
            <w:r w:rsidR="0055189C" w:rsidRPr="004E46F7">
              <w:t>,</w:t>
            </w:r>
            <w:r w:rsidR="008839E2" w:rsidRPr="004E46F7">
              <w:t xml:space="preserve"> 64.</w:t>
            </w:r>
            <w:r w:rsidR="0055189C" w:rsidRPr="004E46F7">
              <w:t xml:space="preserve"> un 76.</w:t>
            </w:r>
            <w:r w:rsidR="008839E2" w:rsidRPr="004E46F7">
              <w:t xml:space="preserve"> punktu</w:t>
            </w:r>
            <w:r w:rsidR="0067450C" w:rsidRPr="004E46F7">
              <w:t xml:space="preserve">, </w:t>
            </w:r>
            <w:r w:rsidR="0055189C" w:rsidRPr="004E46F7">
              <w:t xml:space="preserve">turpmāk </w:t>
            </w:r>
            <w:r w:rsidR="0067450C" w:rsidRPr="004E46F7">
              <w:t xml:space="preserve">paredzot </w:t>
            </w:r>
            <w:r w:rsidR="0055189C" w:rsidRPr="004E46F7">
              <w:t xml:space="preserve">noteikt </w:t>
            </w:r>
            <w:r w:rsidR="0067450C" w:rsidRPr="004E46F7">
              <w:t xml:space="preserve">valsts aizdevumu apkalpošanas maksu </w:t>
            </w:r>
            <w:r w:rsidR="0055189C" w:rsidRPr="004E46F7">
              <w:t>(</w:t>
            </w:r>
            <w:r w:rsidR="0067450C" w:rsidRPr="004E46F7">
              <w:t xml:space="preserve">atbilstoši </w:t>
            </w:r>
            <w:r w:rsidR="0055189C" w:rsidRPr="004E46F7">
              <w:t>4</w:t>
            </w:r>
            <w:r w:rsidR="0067450C" w:rsidRPr="004E46F7">
              <w:t>.pielikumam</w:t>
            </w:r>
            <w:r w:rsidR="0055189C" w:rsidRPr="004E46F7">
              <w:t>)</w:t>
            </w:r>
            <w:r w:rsidR="004B5784" w:rsidRPr="004E46F7">
              <w:t xml:space="preserve"> </w:t>
            </w:r>
            <w:r w:rsidR="0055189C" w:rsidRPr="004E46F7">
              <w:t>kā procentu likmes sastāvdaļu</w:t>
            </w:r>
            <w:r w:rsidR="004B5784" w:rsidRPr="004E46F7">
              <w:t>, kas t</w:t>
            </w:r>
            <w:r w:rsidR="000E0E3A">
              <w:t>urpmāk kopā ar aizdevuma procentiem</w:t>
            </w:r>
            <w:r w:rsidR="004B5784" w:rsidRPr="004E46F7">
              <w:t xml:space="preserve"> </w:t>
            </w:r>
            <w:r w:rsidR="000E0E3A">
              <w:t xml:space="preserve">tiks ieskaitīti </w:t>
            </w:r>
            <w:r w:rsidR="002B3899">
              <w:t xml:space="preserve">(kā līdz šim) </w:t>
            </w:r>
            <w:r w:rsidR="000E0E3A">
              <w:t>valsts</w:t>
            </w:r>
            <w:r w:rsidR="000E0E3A" w:rsidRPr="004E46F7">
              <w:t xml:space="preserve"> </w:t>
            </w:r>
            <w:r w:rsidR="000E0E3A">
              <w:t>pamatbudžeta nenodokļu ieņēmumu kontos atbilstoši ieņēmumu klasifikācijai</w:t>
            </w:r>
            <w:r w:rsidR="002B3899">
              <w:t xml:space="preserve"> (procentu ieņēmumi par aizdevumiem)</w:t>
            </w:r>
            <w:r w:rsidR="000E0E3A">
              <w:t xml:space="preserve"> un pilnā apmērā paliks valsts</w:t>
            </w:r>
            <w:r w:rsidR="004B5784" w:rsidRPr="004E46F7">
              <w:t xml:space="preserve"> pamatbudžeta </w:t>
            </w:r>
            <w:r w:rsidR="005A5EC3">
              <w:t xml:space="preserve">minētajos </w:t>
            </w:r>
            <w:r w:rsidR="004B5784" w:rsidRPr="004E46F7">
              <w:t>nenodokļu ieņēmumos</w:t>
            </w:r>
            <w:r w:rsidR="005A5EC3">
              <w:t xml:space="preserve"> un no 2020.gada 1.janvāra</w:t>
            </w:r>
            <w:r w:rsidR="002B3899">
              <w:t xml:space="preserve"> netiks vairs ieskait</w:t>
            </w:r>
            <w:r w:rsidR="005A5EC3">
              <w:t>īti Valsts kases pašu ieņēmumos</w:t>
            </w:r>
            <w:r w:rsidR="00A53C18">
              <w:t>,</w:t>
            </w:r>
            <w:r w:rsidR="0067450C" w:rsidRPr="004E46F7">
              <w:t xml:space="preserve"> un</w:t>
            </w:r>
            <w:r w:rsidR="0055189C" w:rsidRPr="004E46F7">
              <w:t xml:space="preserve"> </w:t>
            </w:r>
            <w:r w:rsidR="0067450C" w:rsidRPr="004E46F7">
              <w:t>76.punkt</w:t>
            </w:r>
            <w:r w:rsidR="00AB4311" w:rsidRPr="004E46F7">
              <w:t>ā</w:t>
            </w:r>
            <w:r w:rsidR="0067450C" w:rsidRPr="004E46F7">
              <w:t xml:space="preserve"> </w:t>
            </w:r>
            <w:r w:rsidR="00AB4311" w:rsidRPr="004E46F7">
              <w:t xml:space="preserve">nosakot </w:t>
            </w:r>
            <w:r w:rsidR="006E2E16" w:rsidRPr="004E46F7">
              <w:t>informācijas publicēšanas pienākum</w:t>
            </w:r>
            <w:r w:rsidR="00174378" w:rsidRPr="004E46F7">
              <w:t>u</w:t>
            </w:r>
            <w:r w:rsidR="006E2E16" w:rsidRPr="004E46F7">
              <w:t xml:space="preserve"> </w:t>
            </w:r>
            <w:r w:rsidR="0055189C" w:rsidRPr="004E46F7">
              <w:t>par procentu likmes apmēriem</w:t>
            </w:r>
            <w:r w:rsidR="0067450C" w:rsidRPr="004E46F7">
              <w:t>.</w:t>
            </w:r>
          </w:p>
          <w:p w14:paraId="317731CE" w14:textId="77777777" w:rsidR="00F6129A" w:rsidRPr="004E46F7" w:rsidRDefault="00F6129A" w:rsidP="00C068DC">
            <w:pPr>
              <w:pStyle w:val="ListParagraph"/>
              <w:keepLines/>
              <w:jc w:val="both"/>
            </w:pPr>
          </w:p>
          <w:p w14:paraId="3FE88035" w14:textId="609D43D6" w:rsidR="00F6129A" w:rsidRPr="004E46F7" w:rsidRDefault="00DF5E26" w:rsidP="00C068DC">
            <w:pPr>
              <w:pStyle w:val="ListParagraph"/>
              <w:keepLines/>
              <w:numPr>
                <w:ilvl w:val="0"/>
                <w:numId w:val="8"/>
              </w:numPr>
              <w:ind w:left="0" w:firstLine="360"/>
              <w:jc w:val="both"/>
            </w:pPr>
            <w:r w:rsidRPr="004E46F7">
              <w:t>Grozījumi Ministru k</w:t>
            </w:r>
            <w:r w:rsidR="00F6129A" w:rsidRPr="004E46F7">
              <w:t>abineta 2014. gada 8. </w:t>
            </w:r>
            <w:r w:rsidRPr="004E46F7">
              <w:t>jūlija noteikumos Nr.391 “Kārtība, kādā gadskārtējā valsts budžeta likumprojektā iekļauj pieprasījumus valsts vārdā sniedzamajiem galvojumiem, un galvojumu sni</w:t>
            </w:r>
            <w:r w:rsidR="00CE1292" w:rsidRPr="004E46F7">
              <w:t>egšanas u</w:t>
            </w:r>
            <w:r w:rsidR="008839E2" w:rsidRPr="004E46F7">
              <w:t>n uzraudzības kārtība” paredz iz</w:t>
            </w:r>
            <w:r w:rsidR="006C25D6" w:rsidRPr="004E46F7">
              <w:t>teikt 52.punktu jaunā redakcijā</w:t>
            </w:r>
            <w:r w:rsidR="008839E2" w:rsidRPr="004E46F7">
              <w:t>, svītrojot atsauci uz Valsts kases sniegto maksas pakalpojumu cenrādi</w:t>
            </w:r>
            <w:r w:rsidR="006C25D6" w:rsidRPr="004E46F7">
              <w:t>,</w:t>
            </w:r>
            <w:r w:rsidR="00210242">
              <w:t xml:space="preserve"> un</w:t>
            </w:r>
            <w:r w:rsidR="006C25D6" w:rsidRPr="004E46F7">
              <w:t xml:space="preserve"> nosakot, ka par galvotā kredīta apkalpošanu kredīta ņēmējs maksā apkalpošanas maks</w:t>
            </w:r>
            <w:r w:rsidR="004B5784" w:rsidRPr="004E46F7">
              <w:t>as likmi 0.1 % gadā no valsts galvot</w:t>
            </w:r>
            <w:r w:rsidR="007C5813">
              <w:t>ā</w:t>
            </w:r>
            <w:r w:rsidR="004B5784" w:rsidRPr="004E46F7">
              <w:t xml:space="preserve"> </w:t>
            </w:r>
            <w:r w:rsidR="007C5813">
              <w:t xml:space="preserve">kredīta </w:t>
            </w:r>
            <w:r w:rsidR="004B5784" w:rsidRPr="004E46F7">
              <w:t>atlikuma, kas</w:t>
            </w:r>
            <w:r w:rsidR="00B1215E" w:rsidRPr="004E46F7">
              <w:t xml:space="preserve"> t</w:t>
            </w:r>
            <w:r w:rsidR="00B1215E">
              <w:t>urpmāk tiks ieskaitīti (kā līdz šim) valsts</w:t>
            </w:r>
            <w:r w:rsidR="00B1215E" w:rsidRPr="004E46F7">
              <w:t xml:space="preserve"> </w:t>
            </w:r>
            <w:r w:rsidR="00B1215E">
              <w:t xml:space="preserve">pamatbudžeta nenodokļu ieņēmumu kontos atbilstoši ieņēmumu klasifikācijai (procentu ieņēmumi par aizdevumiem) un pilnā apmērā paliks valsts </w:t>
            </w:r>
            <w:r w:rsidR="0056797D" w:rsidRPr="004E46F7">
              <w:t>pamatbudžeta nenodokļu ieņēmumos</w:t>
            </w:r>
            <w:r w:rsidR="00B1215E">
              <w:t xml:space="preserve"> un no 2020.gada 1.janvāra netiks vairs ieskaitīti Valsts kases pašu ieņēmumos</w:t>
            </w:r>
            <w:r w:rsidR="006C25D6" w:rsidRPr="004E46F7">
              <w:t>.</w:t>
            </w:r>
          </w:p>
          <w:p w14:paraId="3F2028DD" w14:textId="0C405DB5" w:rsidR="00F6129A" w:rsidRPr="004E46F7" w:rsidRDefault="00F6129A" w:rsidP="00C068DC">
            <w:pPr>
              <w:pStyle w:val="ListParagraph"/>
              <w:keepLines/>
              <w:jc w:val="both"/>
            </w:pPr>
          </w:p>
          <w:p w14:paraId="6A855974" w14:textId="1C57B0FD" w:rsidR="008D5C90" w:rsidRPr="004E46F7" w:rsidRDefault="007F3A3A" w:rsidP="00C068DC">
            <w:pPr>
              <w:pStyle w:val="ListParagraph"/>
              <w:keepLines/>
              <w:numPr>
                <w:ilvl w:val="0"/>
                <w:numId w:val="8"/>
              </w:numPr>
              <w:ind w:left="0" w:firstLine="402"/>
              <w:jc w:val="both"/>
            </w:pPr>
            <w:r w:rsidRPr="004E46F7">
              <w:t>Līdz ar Ministru kabineta noteikumu projektu “</w:t>
            </w:r>
            <w:r w:rsidR="00DF5E26" w:rsidRPr="004E46F7">
              <w:t>Par Ministru kabineta 2006.</w:t>
            </w:r>
            <w:r w:rsidR="00F6129A" w:rsidRPr="004E46F7">
              <w:t> </w:t>
            </w:r>
            <w:r w:rsidR="00DF5E26" w:rsidRPr="004E46F7">
              <w:t>gada 12.</w:t>
            </w:r>
            <w:r w:rsidR="00F6129A" w:rsidRPr="004E46F7">
              <w:t> </w:t>
            </w:r>
            <w:r w:rsidR="00DF5E26" w:rsidRPr="004E46F7">
              <w:t>septembra noteikumu Nr. 760 “Noteikumi par Valsts kases sniegto maksas pakalpojumu cenrādi” atzīšanu par spēku z</w:t>
            </w:r>
            <w:r w:rsidR="00F6129A" w:rsidRPr="004E46F7">
              <w:t>audējušiem”</w:t>
            </w:r>
            <w:r w:rsidRPr="004E46F7">
              <w:t xml:space="preserve"> tiek paredzēts, ka sākot ar 2020.gada 1.janvāri par iesniegtajiem valsts aizdevumiem vai valsts vārdā sniedzamajiem galvojumiem apkalpošanas maksas tiks veiktas atbilstoši Ministru kabineta 2019. gada 13. augusta noteikumos Nr. 362 “ Kārtība, kādā ministrijas un citas centrālās valsts iestādes iekļauj gadskārtējā valsts budžeta likumprojektā valsts aizdevumu pieprasījumus, un valsts aizdevumu izsniegšanas un apkalpošanas kārtība” un Ministru kabineta 2014. gada 8. jūlija noteikumos Nr.391 “Kārtība, kādā gadskārtējā valsts budžeta likumprojektā iekļauj pieprasījumus valsts vārdā sniedzamajiem galvojumiem, un galvojumu sniegšanas un uzraudzības kārtība” noteiktajam.</w:t>
            </w:r>
          </w:p>
          <w:p w14:paraId="18C5A67D" w14:textId="77777777" w:rsidR="008D5C90" w:rsidRPr="004E46F7" w:rsidRDefault="008D5C90" w:rsidP="00F064E2">
            <w:pPr>
              <w:pStyle w:val="ListParagraph"/>
            </w:pPr>
          </w:p>
          <w:p w14:paraId="25A118BB" w14:textId="6B2D9148" w:rsidR="00F730C6" w:rsidRPr="004E46F7" w:rsidRDefault="004B5784" w:rsidP="00C068DC">
            <w:pPr>
              <w:keepLines/>
              <w:ind w:firstLine="261"/>
              <w:jc w:val="both"/>
            </w:pPr>
            <w:r w:rsidRPr="004E46F7">
              <w:t>Līdz 2020.gada 1.janv</w:t>
            </w:r>
            <w:r w:rsidR="004E46F7">
              <w:t>ā</w:t>
            </w:r>
            <w:r w:rsidRPr="004E46F7">
              <w:t>rim noslēgto valsts aizdevumu un galvojuma apkalpošanas līgumu izpilde netiek ietekmēta un mainīta, un atbilstoši līgumam gan ar galvojuma apkalpošanu, gan aizdevuma apkalpošanu saistītos jaut</w:t>
            </w:r>
            <w:r w:rsidR="008D5C90" w:rsidRPr="004E46F7">
              <w:t>ājumus kārto V</w:t>
            </w:r>
            <w:r w:rsidRPr="004E46F7">
              <w:t>alsts kase</w:t>
            </w:r>
            <w:r w:rsidR="00AB4311" w:rsidRPr="004E46F7">
              <w:t>.</w:t>
            </w:r>
          </w:p>
          <w:p w14:paraId="0A7549CF" w14:textId="1545304E" w:rsidR="00305E76" w:rsidRPr="004E46F7" w:rsidRDefault="00305E76" w:rsidP="00C068DC">
            <w:pPr>
              <w:keepLines/>
              <w:ind w:firstLine="261"/>
              <w:jc w:val="both"/>
            </w:pPr>
          </w:p>
          <w:p w14:paraId="74108284" w14:textId="222B6F40" w:rsidR="00F730C6" w:rsidRPr="00F730C6" w:rsidRDefault="00F6129A" w:rsidP="00C068DC">
            <w:pPr>
              <w:keepLines/>
              <w:ind w:firstLine="261"/>
              <w:jc w:val="both"/>
            </w:pPr>
            <w:r w:rsidRPr="004E46F7">
              <w:t>Turpmāk v</w:t>
            </w:r>
            <w:r w:rsidR="0038439A" w:rsidRPr="004E46F7">
              <w:t>alsts aizdevumu un galvojumu saņēmēju  veiktos maksājumus par aizdevumu un galvojumu apkalpošanu no 2020.gada ieskaitīs valsts budžeta nenodokļu ieņēmumos, bet valsts budžeta apakšprogramma 31.01.00 “Budžeta izpilde” tiks finansēta no dotācijas no vispārējiem ieņēmumiem</w:t>
            </w:r>
            <w:r w:rsidR="00F730C6" w:rsidRPr="00F730C6">
              <w:t xml:space="preserve">  un </w:t>
            </w:r>
          </w:p>
          <w:p w14:paraId="1DA85C24" w14:textId="260D4B34" w:rsidR="0038439A" w:rsidRPr="004E46F7" w:rsidRDefault="00F730C6" w:rsidP="00C068DC">
            <w:pPr>
              <w:keepLines/>
              <w:jc w:val="both"/>
            </w:pPr>
            <w:r w:rsidRPr="003875A0">
              <w:rPr>
                <w:color w:val="2A2A2A"/>
                <w:shd w:val="clear" w:color="auto" w:fill="FFFFFF"/>
              </w:rPr>
              <w:t>Finanšu ministrijas valsts budžeta apakšprogrammas 31.01.00 "Budžeta izpilde" ieņēmumu no maksas pakalpojumiem un citu pašu ieņēmumu atlikumu 2020.gada 1.janvārī Valsts kase novirzīs valsts parāda dzēšanai.</w:t>
            </w:r>
          </w:p>
          <w:p w14:paraId="6B5FE4FD" w14:textId="053CCB7B" w:rsidR="0038439A" w:rsidRPr="004E46F7" w:rsidRDefault="0038439A" w:rsidP="00C068DC">
            <w:pPr>
              <w:keepLines/>
              <w:ind w:firstLine="261"/>
              <w:jc w:val="both"/>
            </w:pPr>
          </w:p>
          <w:p w14:paraId="7354DC7C" w14:textId="086AC52A" w:rsidR="0038439A" w:rsidRPr="004E46F7" w:rsidRDefault="0038439A" w:rsidP="00C068DC">
            <w:pPr>
              <w:keepLines/>
              <w:ind w:firstLine="261"/>
              <w:jc w:val="both"/>
            </w:pPr>
            <w:r w:rsidRPr="004E46F7">
              <w:t>Minētās apakšprogrammas izdevumu finansēšanas kārtības maiņai nav negatīvas fiskālas ietekmes uz valsts budžetu.</w:t>
            </w:r>
          </w:p>
          <w:p w14:paraId="39FDD6E9" w14:textId="77777777" w:rsidR="00305E76" w:rsidRPr="004E46F7" w:rsidRDefault="00305E76" w:rsidP="00C068DC">
            <w:pPr>
              <w:keepLines/>
              <w:ind w:firstLine="261"/>
              <w:jc w:val="both"/>
            </w:pPr>
          </w:p>
          <w:p w14:paraId="7D98D73D" w14:textId="06D13260" w:rsidR="002F715E" w:rsidRPr="004E46F7" w:rsidRDefault="0056797D" w:rsidP="00F064E2">
            <w:pPr>
              <w:ind w:firstLine="261"/>
              <w:jc w:val="both"/>
            </w:pPr>
            <w:r w:rsidRPr="004E46F7">
              <w:t>Ministru kabineta noteikumu projekti</w:t>
            </w:r>
            <w:r w:rsidR="00DF5E26" w:rsidRPr="004E46F7">
              <w:t xml:space="preserve"> stāsies spēkā 2020.gada 1.janvārī.</w:t>
            </w:r>
          </w:p>
        </w:tc>
      </w:tr>
      <w:tr w:rsidR="004E46F7" w:rsidRPr="004E46F7" w14:paraId="159BD13E"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182E250D" w14:textId="77777777" w:rsidR="002F715E" w:rsidRPr="004E46F7" w:rsidRDefault="002F715E" w:rsidP="00C068DC">
            <w:pPr>
              <w:keepLines/>
              <w:jc w:val="center"/>
              <w:rPr>
                <w:lang w:eastAsia="en-US"/>
              </w:rPr>
            </w:pPr>
            <w:r w:rsidRPr="004E46F7">
              <w:rPr>
                <w:lang w:eastAsia="en-US"/>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3D502E47" w14:textId="77777777" w:rsidR="002F715E" w:rsidRPr="004E46F7" w:rsidRDefault="002F715E" w:rsidP="00C068DC">
            <w:pPr>
              <w:keepLines/>
              <w:rPr>
                <w:lang w:eastAsia="en-US"/>
              </w:rPr>
            </w:pPr>
            <w:r w:rsidRPr="004E46F7">
              <w:rPr>
                <w:lang w:eastAsia="en-US"/>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480C295E" w14:textId="77777777" w:rsidR="002F715E" w:rsidRPr="004E46F7" w:rsidRDefault="002F715E" w:rsidP="00C068DC">
            <w:pPr>
              <w:keepLines/>
              <w:rPr>
                <w:lang w:eastAsia="en-US"/>
              </w:rPr>
            </w:pPr>
            <w:r w:rsidRPr="004E46F7">
              <w:rPr>
                <w:lang w:eastAsia="en-US"/>
              </w:rPr>
              <w:t>Valsts kase, Finanšu ministrija.</w:t>
            </w:r>
          </w:p>
        </w:tc>
      </w:tr>
      <w:tr w:rsidR="004E46F7" w:rsidRPr="004E46F7" w14:paraId="01F4EBCE"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15B7060D" w14:textId="77777777" w:rsidR="002F715E" w:rsidRPr="004E46F7" w:rsidRDefault="002F715E" w:rsidP="00C068DC">
            <w:pPr>
              <w:keepLines/>
              <w:jc w:val="center"/>
              <w:rPr>
                <w:lang w:eastAsia="en-US"/>
              </w:rPr>
            </w:pPr>
            <w:r w:rsidRPr="004E46F7">
              <w:rPr>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296FE1FD" w14:textId="77777777" w:rsidR="002F715E" w:rsidRPr="004E46F7" w:rsidRDefault="002F715E" w:rsidP="00C068DC">
            <w:pPr>
              <w:keepLines/>
              <w:rPr>
                <w:lang w:eastAsia="en-US"/>
              </w:rPr>
            </w:pPr>
            <w:r w:rsidRPr="004E46F7">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43D6267" w14:textId="77777777" w:rsidR="002F715E" w:rsidRPr="004E46F7" w:rsidRDefault="002F715E" w:rsidP="00C068DC">
            <w:pPr>
              <w:keepLines/>
              <w:rPr>
                <w:lang w:eastAsia="en-US"/>
              </w:rPr>
            </w:pPr>
            <w:r w:rsidRPr="004E46F7">
              <w:rPr>
                <w:lang w:eastAsia="en-US"/>
              </w:rPr>
              <w:t>Nav.</w:t>
            </w:r>
          </w:p>
        </w:tc>
      </w:tr>
    </w:tbl>
    <w:p w14:paraId="2C06DDE8" w14:textId="77777777" w:rsidR="002F715E" w:rsidRPr="004E46F7" w:rsidRDefault="002F715E">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4E46F7" w:rsidRPr="004E46F7" w14:paraId="10E30A03" w14:textId="77777777" w:rsidTr="002F715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E7BDD3C" w14:textId="77777777" w:rsidR="002F715E" w:rsidRPr="004E46F7" w:rsidRDefault="002F715E" w:rsidP="00C068DC">
            <w:pPr>
              <w:jc w:val="center"/>
              <w:rPr>
                <w:b/>
                <w:bCs/>
                <w:lang w:eastAsia="en-US"/>
              </w:rPr>
            </w:pPr>
            <w:r w:rsidRPr="004E46F7">
              <w:rPr>
                <w:b/>
                <w:bCs/>
                <w:lang w:eastAsia="en-US"/>
              </w:rPr>
              <w:lastRenderedPageBreak/>
              <w:t>II. Tiesību akta projekta ietekme uz sabiedrību, tautsaimniecības attīstību un administratīvo slogu</w:t>
            </w:r>
          </w:p>
        </w:tc>
      </w:tr>
      <w:tr w:rsidR="004E46F7" w:rsidRPr="004E46F7" w14:paraId="28085735"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7103C5F1" w14:textId="77777777" w:rsidR="002F715E" w:rsidRPr="004E46F7" w:rsidRDefault="002F715E" w:rsidP="00C068DC">
            <w:pPr>
              <w:jc w:val="center"/>
              <w:rPr>
                <w:lang w:eastAsia="en-US"/>
              </w:rPr>
            </w:pPr>
            <w:r w:rsidRPr="004E46F7">
              <w:rPr>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38CD98E0" w14:textId="77777777" w:rsidR="002F715E" w:rsidRPr="004E46F7" w:rsidRDefault="002F715E" w:rsidP="00C068DC">
            <w:pPr>
              <w:rPr>
                <w:lang w:eastAsia="en-US"/>
              </w:rPr>
            </w:pPr>
            <w:r w:rsidRPr="004E46F7">
              <w:rPr>
                <w:lang w:eastAsia="en-US"/>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426E99A0" w14:textId="1D71612F" w:rsidR="002F715E" w:rsidRPr="004E46F7" w:rsidRDefault="00F5754A" w:rsidP="00C068DC">
            <w:pPr>
              <w:jc w:val="both"/>
              <w:rPr>
                <w:highlight w:val="yellow"/>
                <w:lang w:eastAsia="en-US"/>
              </w:rPr>
            </w:pPr>
            <w:r w:rsidRPr="004E46F7">
              <w:rPr>
                <w:lang w:eastAsia="en-US"/>
              </w:rPr>
              <w:t xml:space="preserve"> </w:t>
            </w:r>
            <w:r w:rsidR="004470C4" w:rsidRPr="004E46F7">
              <w:rPr>
                <w:lang w:eastAsia="en-US"/>
              </w:rPr>
              <w:t xml:space="preserve">Valsts aizdevumu vai valsts vārdā sniedzamo galvojumu saņēmēji, lai gan </w:t>
            </w:r>
            <w:r w:rsidRPr="004E46F7">
              <w:rPr>
                <w:lang w:eastAsia="en-US"/>
              </w:rPr>
              <w:t>noteikumu projekti nemaina esošo tiesisko regulējumu pēc būtības</w:t>
            </w:r>
            <w:r w:rsidR="0038439A" w:rsidRPr="004E46F7">
              <w:rPr>
                <w:lang w:eastAsia="en-US"/>
              </w:rPr>
              <w:t xml:space="preserve"> un līdz šo noteikumu spēkā stāšanās diena</w:t>
            </w:r>
            <w:r w:rsidR="00174378" w:rsidRPr="004E46F7">
              <w:rPr>
                <w:lang w:eastAsia="en-US"/>
              </w:rPr>
              <w:t>i</w:t>
            </w:r>
            <w:r w:rsidR="0038439A" w:rsidRPr="004E46F7">
              <w:rPr>
                <w:lang w:eastAsia="en-US"/>
              </w:rPr>
              <w:t xml:space="preserve"> noslēgtaj</w:t>
            </w:r>
            <w:r w:rsidR="00174378" w:rsidRPr="004E46F7">
              <w:rPr>
                <w:lang w:eastAsia="en-US"/>
              </w:rPr>
              <w:t>os</w:t>
            </w:r>
            <w:r w:rsidR="0038439A" w:rsidRPr="004E46F7">
              <w:rPr>
                <w:lang w:eastAsia="en-US"/>
              </w:rPr>
              <w:t xml:space="preserve"> valsts aizdevuma vai galvojuma līgum</w:t>
            </w:r>
            <w:r w:rsidR="00174378" w:rsidRPr="004E46F7">
              <w:rPr>
                <w:lang w:eastAsia="en-US"/>
              </w:rPr>
              <w:t>os</w:t>
            </w:r>
            <w:r w:rsidR="0038439A" w:rsidRPr="004E46F7">
              <w:rPr>
                <w:lang w:eastAsia="en-US"/>
              </w:rPr>
              <w:t xml:space="preserve"> </w:t>
            </w:r>
            <w:r w:rsidR="00174378" w:rsidRPr="004E46F7">
              <w:rPr>
                <w:lang w:eastAsia="en-US"/>
              </w:rPr>
              <w:t xml:space="preserve">paredzētie maksājumi </w:t>
            </w:r>
            <w:r w:rsidR="0038439A" w:rsidRPr="004E46F7">
              <w:rPr>
                <w:lang w:eastAsia="en-US"/>
              </w:rPr>
              <w:t>netiek skarti vai jebkādā veidā mainīti</w:t>
            </w:r>
          </w:p>
        </w:tc>
      </w:tr>
      <w:tr w:rsidR="004E46F7" w:rsidRPr="004E46F7" w14:paraId="50E5FEE6"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63065C0D" w14:textId="77777777" w:rsidR="002F715E" w:rsidRPr="004E46F7" w:rsidRDefault="002F715E" w:rsidP="00C068DC">
            <w:pPr>
              <w:jc w:val="center"/>
              <w:rPr>
                <w:lang w:eastAsia="en-US"/>
              </w:rPr>
            </w:pPr>
            <w:r w:rsidRPr="004E46F7">
              <w:rPr>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060649B9" w14:textId="77777777" w:rsidR="002F715E" w:rsidRPr="004E46F7" w:rsidRDefault="002F715E" w:rsidP="00C068DC">
            <w:pPr>
              <w:rPr>
                <w:lang w:eastAsia="en-US"/>
              </w:rPr>
            </w:pPr>
            <w:r w:rsidRPr="004E46F7">
              <w:rPr>
                <w:lang w:eastAsia="en-US"/>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3A47005F" w14:textId="54A3886E" w:rsidR="002F715E" w:rsidRPr="004E46F7" w:rsidRDefault="00F5754A" w:rsidP="00C068DC">
            <w:pPr>
              <w:jc w:val="both"/>
              <w:rPr>
                <w:lang w:eastAsia="en-US"/>
              </w:rPr>
            </w:pPr>
            <w:r w:rsidRPr="004E46F7">
              <w:rPr>
                <w:lang w:eastAsia="en-US"/>
              </w:rPr>
              <w:t xml:space="preserve">Projekts neradīs papildu administratīvo slogu. </w:t>
            </w:r>
          </w:p>
        </w:tc>
      </w:tr>
      <w:tr w:rsidR="004E46F7" w:rsidRPr="004E46F7" w14:paraId="0CC371AF"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227094D9" w14:textId="77777777" w:rsidR="002F715E" w:rsidRPr="004E46F7" w:rsidRDefault="002F715E" w:rsidP="00C068DC">
            <w:pPr>
              <w:jc w:val="center"/>
              <w:rPr>
                <w:lang w:eastAsia="en-US"/>
              </w:rPr>
            </w:pPr>
            <w:r w:rsidRPr="004E46F7">
              <w:rPr>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540B13C2" w14:textId="77777777" w:rsidR="002F715E" w:rsidRPr="004E46F7" w:rsidRDefault="002F715E" w:rsidP="00C068DC">
            <w:pPr>
              <w:rPr>
                <w:lang w:eastAsia="en-US"/>
              </w:rPr>
            </w:pPr>
            <w:r w:rsidRPr="004E46F7">
              <w:rPr>
                <w:lang w:eastAsia="en-US"/>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801EBE4" w14:textId="3EA81CAE" w:rsidR="002F715E" w:rsidRPr="004E46F7" w:rsidRDefault="00F5754A" w:rsidP="00C068DC">
            <w:pPr>
              <w:jc w:val="both"/>
              <w:rPr>
                <w:lang w:eastAsia="en-US"/>
              </w:rPr>
            </w:pPr>
            <w:r w:rsidRPr="004E46F7">
              <w:rPr>
                <w:lang w:eastAsia="en-US"/>
              </w:rPr>
              <w:t>Administratīvās izmaksas netiek palielinātas, administratīvās procedūras tiek nodrošinātas esošā finansējuma ietvaros.</w:t>
            </w:r>
          </w:p>
        </w:tc>
      </w:tr>
      <w:tr w:rsidR="004E46F7" w:rsidRPr="004E46F7" w14:paraId="534FCC4E"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40ECF09C" w14:textId="77777777" w:rsidR="002F715E" w:rsidRPr="004E46F7" w:rsidRDefault="002F715E" w:rsidP="00C068DC">
            <w:pPr>
              <w:jc w:val="center"/>
              <w:rPr>
                <w:lang w:eastAsia="en-US"/>
              </w:rPr>
            </w:pPr>
            <w:r w:rsidRPr="004E46F7">
              <w:rPr>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5CD766B0" w14:textId="77777777" w:rsidR="002F715E" w:rsidRPr="004E46F7" w:rsidRDefault="002F715E" w:rsidP="00C068DC">
            <w:pPr>
              <w:rPr>
                <w:lang w:eastAsia="en-US"/>
              </w:rPr>
            </w:pPr>
            <w:r w:rsidRPr="004E46F7">
              <w:rPr>
                <w:lang w:eastAsia="en-US"/>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E8B5BDB" w14:textId="77777777" w:rsidR="002F715E" w:rsidRPr="004E46F7" w:rsidRDefault="002F715E" w:rsidP="00C068DC">
            <w:pPr>
              <w:jc w:val="both"/>
              <w:rPr>
                <w:lang w:eastAsia="en-US"/>
              </w:rPr>
            </w:pPr>
            <w:r w:rsidRPr="004E46F7">
              <w:rPr>
                <w:lang w:eastAsia="en-US"/>
              </w:rPr>
              <w:t>Projekts šo jomu neskar.</w:t>
            </w:r>
          </w:p>
        </w:tc>
      </w:tr>
      <w:tr w:rsidR="004E46F7" w:rsidRPr="004E46F7" w14:paraId="78539728" w14:textId="77777777" w:rsidTr="002F715E">
        <w:trPr>
          <w:cantSplit/>
        </w:trPr>
        <w:tc>
          <w:tcPr>
            <w:tcW w:w="311" w:type="pct"/>
            <w:tcBorders>
              <w:top w:val="single" w:sz="4" w:space="0" w:color="auto"/>
              <w:left w:val="single" w:sz="4" w:space="0" w:color="auto"/>
              <w:bottom w:val="single" w:sz="4" w:space="0" w:color="auto"/>
              <w:right w:val="single" w:sz="4" w:space="0" w:color="auto"/>
            </w:tcBorders>
            <w:hideMark/>
          </w:tcPr>
          <w:p w14:paraId="375DADD2" w14:textId="77777777" w:rsidR="002F715E" w:rsidRPr="004E46F7" w:rsidRDefault="002F715E" w:rsidP="00C068DC">
            <w:pPr>
              <w:jc w:val="center"/>
              <w:rPr>
                <w:lang w:eastAsia="en-US"/>
              </w:rPr>
            </w:pPr>
            <w:r w:rsidRPr="004E46F7">
              <w:rPr>
                <w:lang w:eastAsia="en-US"/>
              </w:rPr>
              <w:t>5.</w:t>
            </w:r>
          </w:p>
        </w:tc>
        <w:tc>
          <w:tcPr>
            <w:tcW w:w="1479" w:type="pct"/>
            <w:tcBorders>
              <w:top w:val="single" w:sz="4" w:space="0" w:color="auto"/>
              <w:left w:val="single" w:sz="4" w:space="0" w:color="auto"/>
              <w:bottom w:val="single" w:sz="4" w:space="0" w:color="auto"/>
              <w:right w:val="single" w:sz="4" w:space="0" w:color="auto"/>
            </w:tcBorders>
            <w:hideMark/>
          </w:tcPr>
          <w:p w14:paraId="1FE210D5" w14:textId="77777777" w:rsidR="002F715E" w:rsidRPr="004E46F7" w:rsidRDefault="002F715E" w:rsidP="00C068DC">
            <w:pPr>
              <w:rPr>
                <w:lang w:eastAsia="en-US"/>
              </w:rPr>
            </w:pPr>
            <w:r w:rsidRPr="004E46F7">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EAC700E" w14:textId="77777777" w:rsidR="002F715E" w:rsidRPr="004E46F7" w:rsidRDefault="002F715E" w:rsidP="00C068DC">
            <w:pPr>
              <w:jc w:val="both"/>
              <w:rPr>
                <w:lang w:eastAsia="en-US"/>
              </w:rPr>
            </w:pPr>
            <w:r w:rsidRPr="004E46F7">
              <w:rPr>
                <w:lang w:eastAsia="en-US"/>
              </w:rPr>
              <w:t>Nav.</w:t>
            </w:r>
          </w:p>
        </w:tc>
      </w:tr>
    </w:tbl>
    <w:p w14:paraId="49ACFFA4" w14:textId="77777777" w:rsidR="00DF327C" w:rsidRPr="004E46F7" w:rsidRDefault="00DF327C">
      <w:pPr>
        <w:pStyle w:val="Title"/>
        <w:jc w:val="both"/>
        <w:rPr>
          <w:sz w:val="24"/>
          <w:szCs w:val="24"/>
        </w:rPr>
      </w:pPr>
    </w:p>
    <w:tbl>
      <w:tblPr>
        <w:tblW w:w="5006" w:type="pct"/>
        <w:tblInd w:w="-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00"/>
      </w:tblGrid>
      <w:tr w:rsidR="004E46F7" w:rsidRPr="004E46F7" w14:paraId="66A54243" w14:textId="77777777" w:rsidTr="002F715E">
        <w:tc>
          <w:tcPr>
            <w:tcW w:w="0" w:type="auto"/>
            <w:tcBorders>
              <w:top w:val="outset" w:sz="6" w:space="0" w:color="414142"/>
              <w:left w:val="outset" w:sz="6" w:space="0" w:color="414142"/>
              <w:bottom w:val="outset" w:sz="6" w:space="0" w:color="414142"/>
              <w:right w:val="outset" w:sz="6" w:space="0" w:color="414142"/>
            </w:tcBorders>
            <w:vAlign w:val="center"/>
            <w:hideMark/>
          </w:tcPr>
          <w:p w14:paraId="1D6C8133" w14:textId="77777777" w:rsidR="002F715E" w:rsidRPr="004E46F7" w:rsidRDefault="002F715E" w:rsidP="00C068DC">
            <w:pPr>
              <w:jc w:val="center"/>
              <w:rPr>
                <w:b/>
                <w:bCs/>
                <w:lang w:eastAsia="en-US"/>
              </w:rPr>
            </w:pPr>
            <w:r w:rsidRPr="004E46F7">
              <w:rPr>
                <w:b/>
                <w:bCs/>
                <w:lang w:eastAsia="en-US"/>
              </w:rPr>
              <w:t>III. Tiesību akta projekta ietekme uz valsts budžetu un pašvaldību budžetiem</w:t>
            </w:r>
          </w:p>
        </w:tc>
      </w:tr>
      <w:tr w:rsidR="004E46F7" w:rsidRPr="004E46F7" w14:paraId="351B1E4F" w14:textId="77777777" w:rsidTr="002F715E">
        <w:tc>
          <w:tcPr>
            <w:tcW w:w="0" w:type="auto"/>
            <w:tcBorders>
              <w:top w:val="outset" w:sz="6" w:space="0" w:color="414142"/>
              <w:left w:val="outset" w:sz="6" w:space="0" w:color="414142"/>
              <w:bottom w:val="outset" w:sz="6" w:space="0" w:color="414142"/>
              <w:right w:val="outset" w:sz="6" w:space="0" w:color="414142"/>
            </w:tcBorders>
            <w:vAlign w:val="center"/>
            <w:hideMark/>
          </w:tcPr>
          <w:p w14:paraId="6CEC0224" w14:textId="77777777" w:rsidR="002F715E" w:rsidRPr="004E46F7" w:rsidRDefault="002F715E" w:rsidP="00C068DC">
            <w:pPr>
              <w:jc w:val="center"/>
              <w:rPr>
                <w:b/>
                <w:bCs/>
                <w:lang w:eastAsia="en-US"/>
              </w:rPr>
            </w:pPr>
            <w:r w:rsidRPr="004E46F7">
              <w:rPr>
                <w:bCs/>
                <w:lang w:eastAsia="en-US"/>
              </w:rPr>
              <w:t>Projekts šo jomu neskar.</w:t>
            </w:r>
          </w:p>
        </w:tc>
      </w:tr>
    </w:tbl>
    <w:p w14:paraId="39FDE766" w14:textId="51DDBCA5" w:rsidR="002F715E" w:rsidRPr="004E46F7" w:rsidRDefault="002F715E">
      <w:pPr>
        <w:pStyle w:val="Title"/>
        <w:jc w:val="both"/>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4E46F7" w:rsidRPr="004E46F7" w14:paraId="0FAF1E01" w14:textId="77777777" w:rsidTr="00DD2550">
        <w:tc>
          <w:tcPr>
            <w:tcW w:w="0" w:type="auto"/>
            <w:tcBorders>
              <w:top w:val="outset" w:sz="6" w:space="0" w:color="414142"/>
              <w:left w:val="outset" w:sz="6" w:space="0" w:color="414142"/>
              <w:bottom w:val="outset" w:sz="6" w:space="0" w:color="414142"/>
              <w:right w:val="outset" w:sz="6" w:space="0" w:color="414142"/>
            </w:tcBorders>
            <w:vAlign w:val="center"/>
            <w:hideMark/>
          </w:tcPr>
          <w:p w14:paraId="7F202818" w14:textId="77777777" w:rsidR="00DF327C" w:rsidRPr="000C06A0" w:rsidRDefault="00DF327C" w:rsidP="00C068DC">
            <w:pPr>
              <w:jc w:val="center"/>
              <w:rPr>
                <w:b/>
                <w:bCs/>
              </w:rPr>
            </w:pPr>
            <w:r w:rsidRPr="000C06A0">
              <w:rPr>
                <w:b/>
                <w:bCs/>
              </w:rPr>
              <w:t>IV. Tiesību akta projekta ietekme uz spēkā esošo tiesību normu sistēmu</w:t>
            </w:r>
          </w:p>
        </w:tc>
      </w:tr>
      <w:tr w:rsidR="0000462A" w:rsidRPr="004E46F7" w14:paraId="158C53FB" w14:textId="77777777" w:rsidTr="0000462A">
        <w:trPr>
          <w:trHeight w:val="330"/>
        </w:trPr>
        <w:tc>
          <w:tcPr>
            <w:tcW w:w="5000" w:type="pct"/>
            <w:tcBorders>
              <w:top w:val="outset" w:sz="6" w:space="0" w:color="414142"/>
              <w:left w:val="outset" w:sz="6" w:space="0" w:color="414142"/>
              <w:right w:val="outset" w:sz="6" w:space="0" w:color="414142"/>
            </w:tcBorders>
          </w:tcPr>
          <w:p w14:paraId="2835084E" w14:textId="6E4DBE6F" w:rsidR="0000462A" w:rsidRPr="000C06A0" w:rsidRDefault="0000462A">
            <w:pPr>
              <w:jc w:val="center"/>
            </w:pPr>
            <w:r w:rsidRPr="000C06A0">
              <w:t>Projekts šo jomu neskar.</w:t>
            </w:r>
          </w:p>
        </w:tc>
      </w:tr>
    </w:tbl>
    <w:p w14:paraId="33C61F3F" w14:textId="52C498EA" w:rsidR="00DF327C" w:rsidRPr="004E46F7" w:rsidRDefault="00DF327C">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4E46F7" w:rsidRPr="004E46F7" w14:paraId="73705D5B" w14:textId="77777777" w:rsidTr="002F715E">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CA2FA7C" w14:textId="77777777" w:rsidR="002F715E" w:rsidRPr="004E46F7" w:rsidRDefault="002F715E" w:rsidP="00C068DC">
            <w:pPr>
              <w:jc w:val="center"/>
              <w:rPr>
                <w:b/>
                <w:bCs/>
                <w:lang w:eastAsia="en-US"/>
              </w:rPr>
            </w:pPr>
            <w:r w:rsidRPr="004E46F7">
              <w:rPr>
                <w:b/>
                <w:bCs/>
                <w:lang w:eastAsia="en-US"/>
              </w:rPr>
              <w:t>V. Tiesību akta projekta atbilstība Latvijas Republikas starptautiskajām saistībām</w:t>
            </w:r>
          </w:p>
        </w:tc>
      </w:tr>
      <w:tr w:rsidR="002F715E" w:rsidRPr="004E46F7" w14:paraId="61C144B4" w14:textId="77777777" w:rsidTr="002F715E">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BA64FE" w14:textId="77777777" w:rsidR="002F715E" w:rsidRPr="004E46F7" w:rsidRDefault="002F715E" w:rsidP="00C068DC">
            <w:pPr>
              <w:jc w:val="center"/>
              <w:rPr>
                <w:bCs/>
                <w:lang w:eastAsia="en-US"/>
              </w:rPr>
            </w:pPr>
            <w:r w:rsidRPr="004E46F7">
              <w:rPr>
                <w:bCs/>
                <w:lang w:eastAsia="en-US"/>
              </w:rPr>
              <w:t>Projekts šo jomu neskar.</w:t>
            </w:r>
          </w:p>
        </w:tc>
      </w:tr>
    </w:tbl>
    <w:p w14:paraId="4E75A4D3" w14:textId="77777777" w:rsidR="002F715E" w:rsidRPr="004E46F7" w:rsidRDefault="002F715E">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6"/>
        <w:gridCol w:w="2716"/>
        <w:gridCol w:w="5324"/>
      </w:tblGrid>
      <w:tr w:rsidR="004E46F7" w:rsidRPr="004E46F7" w14:paraId="679CAC02" w14:textId="77777777" w:rsidTr="002F715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412106" w14:textId="77777777" w:rsidR="002F715E" w:rsidRPr="004E46F7" w:rsidRDefault="002F715E" w:rsidP="00C068DC">
            <w:pPr>
              <w:jc w:val="center"/>
              <w:rPr>
                <w:b/>
                <w:bCs/>
                <w:lang w:eastAsia="en-US"/>
              </w:rPr>
            </w:pPr>
            <w:r w:rsidRPr="004E46F7">
              <w:rPr>
                <w:b/>
                <w:bCs/>
                <w:lang w:eastAsia="en-US"/>
              </w:rPr>
              <w:t>VI. Sabiedrības līdzdalība un komunikācijas aktivitātes</w:t>
            </w:r>
          </w:p>
        </w:tc>
      </w:tr>
      <w:tr w:rsidR="004E46F7" w:rsidRPr="004E46F7" w14:paraId="01D8B57C" w14:textId="77777777" w:rsidTr="00C068DC">
        <w:trPr>
          <w:cantSplit/>
        </w:trPr>
        <w:tc>
          <w:tcPr>
            <w:tcW w:w="154" w:type="pct"/>
            <w:tcBorders>
              <w:top w:val="single" w:sz="4" w:space="0" w:color="auto"/>
              <w:left w:val="single" w:sz="4" w:space="0" w:color="auto"/>
              <w:bottom w:val="single" w:sz="4" w:space="0" w:color="auto"/>
              <w:right w:val="single" w:sz="4" w:space="0" w:color="auto"/>
            </w:tcBorders>
            <w:hideMark/>
          </w:tcPr>
          <w:p w14:paraId="007FB7D9" w14:textId="77777777" w:rsidR="002F715E" w:rsidRPr="004E46F7" w:rsidRDefault="002F715E" w:rsidP="00C068DC">
            <w:pPr>
              <w:jc w:val="center"/>
              <w:rPr>
                <w:lang w:eastAsia="en-US"/>
              </w:rPr>
            </w:pPr>
            <w:r w:rsidRPr="004E46F7">
              <w:rPr>
                <w:lang w:eastAsia="en-US"/>
              </w:rPr>
              <w:t>1.</w:t>
            </w:r>
          </w:p>
        </w:tc>
        <w:tc>
          <w:tcPr>
            <w:tcW w:w="1637" w:type="pct"/>
            <w:tcBorders>
              <w:top w:val="single" w:sz="4" w:space="0" w:color="auto"/>
              <w:left w:val="single" w:sz="4" w:space="0" w:color="auto"/>
              <w:bottom w:val="single" w:sz="4" w:space="0" w:color="auto"/>
              <w:right w:val="single" w:sz="4" w:space="0" w:color="auto"/>
            </w:tcBorders>
            <w:hideMark/>
          </w:tcPr>
          <w:p w14:paraId="3EBCC19F" w14:textId="77777777" w:rsidR="002F715E" w:rsidRPr="004E46F7" w:rsidRDefault="002F715E" w:rsidP="00C068DC">
            <w:pPr>
              <w:rPr>
                <w:lang w:eastAsia="en-US"/>
              </w:rPr>
            </w:pPr>
            <w:r w:rsidRPr="004E46F7">
              <w:rPr>
                <w:lang w:eastAsia="en-US"/>
              </w:rPr>
              <w:t>Plānotās sabiedrības līdzdalības un komunikācijas aktivitātes saistībā ar projektu</w:t>
            </w:r>
          </w:p>
        </w:tc>
        <w:tc>
          <w:tcPr>
            <w:tcW w:w="3209" w:type="pct"/>
            <w:tcBorders>
              <w:top w:val="single" w:sz="4" w:space="0" w:color="auto"/>
              <w:left w:val="single" w:sz="4" w:space="0" w:color="auto"/>
              <w:bottom w:val="single" w:sz="4" w:space="0" w:color="auto"/>
              <w:right w:val="single" w:sz="4" w:space="0" w:color="auto"/>
            </w:tcBorders>
          </w:tcPr>
          <w:p w14:paraId="057AD92B" w14:textId="458A61FE" w:rsidR="00AC28D1" w:rsidRPr="000C06A0" w:rsidRDefault="00AC28D1" w:rsidP="00C068DC">
            <w:pPr>
              <w:jc w:val="both"/>
              <w:rPr>
                <w:lang w:eastAsia="en-US"/>
              </w:rPr>
            </w:pPr>
            <w:r w:rsidRPr="000C06A0">
              <w:rPr>
                <w:lang w:eastAsia="en-US"/>
              </w:rPr>
              <w:t>Atbilstoši Ministru kabineta 2009.gada 25.augusta noteikumu Nr.970 „Sabiedrības līdzdalības kārtība attīstības plānošanas procesā” 5. punktam sabiedrības līdzdalības kārtība ir piemērojama tiesību aktu projektu izstrādē, kas būtiski maina esošo regulējumu vai paredz ieviest jaunas politiskās iniciatīvas.</w:t>
            </w:r>
          </w:p>
          <w:p w14:paraId="6A5CB6AB" w14:textId="2C1F65C3" w:rsidR="002F715E" w:rsidRPr="004E46F7" w:rsidRDefault="00AC28D1" w:rsidP="00C068DC">
            <w:pPr>
              <w:jc w:val="both"/>
              <w:rPr>
                <w:lang w:eastAsia="en-US"/>
              </w:rPr>
            </w:pPr>
            <w:r w:rsidRPr="000C06A0">
              <w:rPr>
                <w:lang w:eastAsia="en-US"/>
              </w:rPr>
              <w:t>Ņemot vērā, ka noteikumu projekts neatbilst minētajiem kritērijiem, sabiedrības līdzdalības kārtība noteikumu projekta izstrādē netiek piemērota.</w:t>
            </w:r>
          </w:p>
        </w:tc>
      </w:tr>
      <w:tr w:rsidR="004E46F7" w:rsidRPr="004E46F7" w14:paraId="080A4838" w14:textId="77777777" w:rsidTr="00C068DC">
        <w:trPr>
          <w:cantSplit/>
        </w:trPr>
        <w:tc>
          <w:tcPr>
            <w:tcW w:w="154" w:type="pct"/>
            <w:tcBorders>
              <w:top w:val="single" w:sz="4" w:space="0" w:color="auto"/>
              <w:left w:val="single" w:sz="4" w:space="0" w:color="auto"/>
              <w:bottom w:val="single" w:sz="4" w:space="0" w:color="auto"/>
              <w:right w:val="single" w:sz="4" w:space="0" w:color="auto"/>
            </w:tcBorders>
            <w:hideMark/>
          </w:tcPr>
          <w:p w14:paraId="71B71715" w14:textId="77777777" w:rsidR="002F715E" w:rsidRPr="004E46F7" w:rsidRDefault="002F715E">
            <w:pPr>
              <w:rPr>
                <w:lang w:eastAsia="en-US"/>
              </w:rPr>
            </w:pPr>
          </w:p>
        </w:tc>
        <w:tc>
          <w:tcPr>
            <w:tcW w:w="1637" w:type="pct"/>
            <w:tcBorders>
              <w:top w:val="single" w:sz="4" w:space="0" w:color="auto"/>
              <w:left w:val="single" w:sz="4" w:space="0" w:color="auto"/>
              <w:bottom w:val="single" w:sz="4" w:space="0" w:color="auto"/>
              <w:right w:val="single" w:sz="4" w:space="0" w:color="auto"/>
            </w:tcBorders>
            <w:hideMark/>
          </w:tcPr>
          <w:p w14:paraId="17FD73F3" w14:textId="77777777" w:rsidR="002F715E" w:rsidRPr="004E46F7" w:rsidRDefault="002F715E" w:rsidP="00C068DC">
            <w:pPr>
              <w:rPr>
                <w:lang w:eastAsia="en-US"/>
              </w:rPr>
            </w:pPr>
            <w:r w:rsidRPr="004E46F7">
              <w:rPr>
                <w:lang w:eastAsia="en-US"/>
              </w:rPr>
              <w:t>Sabiedrības līdzdalība projekta izstrādē</w:t>
            </w:r>
          </w:p>
        </w:tc>
        <w:tc>
          <w:tcPr>
            <w:tcW w:w="3209" w:type="pct"/>
            <w:tcBorders>
              <w:top w:val="single" w:sz="4" w:space="0" w:color="auto"/>
              <w:left w:val="single" w:sz="4" w:space="0" w:color="auto"/>
              <w:bottom w:val="single" w:sz="4" w:space="0" w:color="auto"/>
              <w:right w:val="single" w:sz="4" w:space="0" w:color="auto"/>
            </w:tcBorders>
            <w:hideMark/>
          </w:tcPr>
          <w:p w14:paraId="7155EA4C" w14:textId="0089E3B5" w:rsidR="002F715E" w:rsidRPr="004E46F7" w:rsidRDefault="00AC28D1" w:rsidP="00C068DC">
            <w:pPr>
              <w:jc w:val="both"/>
              <w:rPr>
                <w:lang w:eastAsia="en-US"/>
              </w:rPr>
            </w:pPr>
            <w:r w:rsidRPr="004E46F7">
              <w:rPr>
                <w:lang w:eastAsia="en-US"/>
              </w:rPr>
              <w:t>Nav attiecināms</w:t>
            </w:r>
            <w:r w:rsidR="005F703A">
              <w:rPr>
                <w:lang w:eastAsia="en-US"/>
              </w:rPr>
              <w:t>.</w:t>
            </w:r>
          </w:p>
        </w:tc>
      </w:tr>
      <w:tr w:rsidR="004E46F7" w:rsidRPr="004E46F7" w14:paraId="479BCEC2" w14:textId="77777777" w:rsidTr="00C068DC">
        <w:trPr>
          <w:cantSplit/>
        </w:trPr>
        <w:tc>
          <w:tcPr>
            <w:tcW w:w="154" w:type="pct"/>
            <w:tcBorders>
              <w:top w:val="single" w:sz="4" w:space="0" w:color="auto"/>
              <w:left w:val="single" w:sz="4" w:space="0" w:color="auto"/>
              <w:bottom w:val="single" w:sz="4" w:space="0" w:color="auto"/>
              <w:right w:val="single" w:sz="4" w:space="0" w:color="auto"/>
            </w:tcBorders>
            <w:hideMark/>
          </w:tcPr>
          <w:p w14:paraId="0D814152" w14:textId="77777777" w:rsidR="002F715E" w:rsidRPr="004E46F7" w:rsidRDefault="002F715E" w:rsidP="00C068DC">
            <w:pPr>
              <w:jc w:val="center"/>
              <w:rPr>
                <w:lang w:eastAsia="en-US"/>
              </w:rPr>
            </w:pPr>
            <w:r w:rsidRPr="004E46F7">
              <w:rPr>
                <w:lang w:eastAsia="en-US"/>
              </w:rPr>
              <w:t>3.</w:t>
            </w:r>
          </w:p>
        </w:tc>
        <w:tc>
          <w:tcPr>
            <w:tcW w:w="1637" w:type="pct"/>
            <w:tcBorders>
              <w:top w:val="single" w:sz="4" w:space="0" w:color="auto"/>
              <w:left w:val="single" w:sz="4" w:space="0" w:color="auto"/>
              <w:bottom w:val="single" w:sz="4" w:space="0" w:color="auto"/>
              <w:right w:val="single" w:sz="4" w:space="0" w:color="auto"/>
            </w:tcBorders>
            <w:hideMark/>
          </w:tcPr>
          <w:p w14:paraId="32B3AA60" w14:textId="77777777" w:rsidR="002F715E" w:rsidRPr="004E46F7" w:rsidRDefault="002F715E" w:rsidP="00C068DC">
            <w:pPr>
              <w:rPr>
                <w:lang w:eastAsia="en-US"/>
              </w:rPr>
            </w:pPr>
            <w:r w:rsidRPr="004E46F7">
              <w:rPr>
                <w:lang w:eastAsia="en-US"/>
              </w:rPr>
              <w:t>Sabiedrības līdzdalības rezultāti</w:t>
            </w:r>
          </w:p>
        </w:tc>
        <w:tc>
          <w:tcPr>
            <w:tcW w:w="3209" w:type="pct"/>
            <w:tcBorders>
              <w:top w:val="single" w:sz="4" w:space="0" w:color="auto"/>
              <w:left w:val="single" w:sz="4" w:space="0" w:color="auto"/>
              <w:bottom w:val="single" w:sz="4" w:space="0" w:color="auto"/>
              <w:right w:val="single" w:sz="4" w:space="0" w:color="auto"/>
            </w:tcBorders>
            <w:hideMark/>
          </w:tcPr>
          <w:p w14:paraId="319BF892" w14:textId="44F1529F" w:rsidR="002F715E" w:rsidRPr="004E46F7" w:rsidRDefault="00AC28D1" w:rsidP="00C068DC">
            <w:pPr>
              <w:jc w:val="both"/>
              <w:rPr>
                <w:lang w:eastAsia="en-US"/>
              </w:rPr>
            </w:pPr>
            <w:r w:rsidRPr="004E46F7">
              <w:rPr>
                <w:lang w:eastAsia="en-US"/>
              </w:rPr>
              <w:t>Nav attiecināms</w:t>
            </w:r>
            <w:r w:rsidR="005F703A">
              <w:rPr>
                <w:lang w:eastAsia="en-US"/>
              </w:rPr>
              <w:t>.</w:t>
            </w:r>
          </w:p>
        </w:tc>
      </w:tr>
      <w:tr w:rsidR="002F715E" w:rsidRPr="004E46F7" w14:paraId="4075BA18" w14:textId="77777777" w:rsidTr="00C068DC">
        <w:trPr>
          <w:cantSplit/>
        </w:trPr>
        <w:tc>
          <w:tcPr>
            <w:tcW w:w="154" w:type="pct"/>
            <w:tcBorders>
              <w:top w:val="single" w:sz="4" w:space="0" w:color="auto"/>
              <w:left w:val="single" w:sz="4" w:space="0" w:color="auto"/>
              <w:bottom w:val="single" w:sz="4" w:space="0" w:color="auto"/>
              <w:right w:val="single" w:sz="4" w:space="0" w:color="auto"/>
            </w:tcBorders>
            <w:hideMark/>
          </w:tcPr>
          <w:p w14:paraId="3F57BA86" w14:textId="77777777" w:rsidR="002F715E" w:rsidRPr="004E46F7" w:rsidRDefault="002F715E" w:rsidP="00C068DC">
            <w:pPr>
              <w:jc w:val="center"/>
              <w:rPr>
                <w:lang w:eastAsia="en-US"/>
              </w:rPr>
            </w:pPr>
            <w:r w:rsidRPr="004E46F7">
              <w:rPr>
                <w:lang w:eastAsia="en-US"/>
              </w:rPr>
              <w:t>4.</w:t>
            </w:r>
          </w:p>
        </w:tc>
        <w:tc>
          <w:tcPr>
            <w:tcW w:w="1637" w:type="pct"/>
            <w:tcBorders>
              <w:top w:val="single" w:sz="4" w:space="0" w:color="auto"/>
              <w:left w:val="single" w:sz="4" w:space="0" w:color="auto"/>
              <w:bottom w:val="single" w:sz="4" w:space="0" w:color="auto"/>
              <w:right w:val="single" w:sz="4" w:space="0" w:color="auto"/>
            </w:tcBorders>
            <w:hideMark/>
          </w:tcPr>
          <w:p w14:paraId="239B7C8D" w14:textId="77777777" w:rsidR="002F715E" w:rsidRPr="004E46F7" w:rsidRDefault="002F715E" w:rsidP="00C068DC">
            <w:pPr>
              <w:rPr>
                <w:lang w:eastAsia="en-US"/>
              </w:rPr>
            </w:pPr>
            <w:r w:rsidRPr="004E46F7">
              <w:rPr>
                <w:lang w:eastAsia="en-US"/>
              </w:rPr>
              <w:t>Cita informācija</w:t>
            </w:r>
          </w:p>
        </w:tc>
        <w:tc>
          <w:tcPr>
            <w:tcW w:w="3209" w:type="pct"/>
            <w:tcBorders>
              <w:top w:val="single" w:sz="4" w:space="0" w:color="auto"/>
              <w:left w:val="single" w:sz="4" w:space="0" w:color="auto"/>
              <w:bottom w:val="single" w:sz="4" w:space="0" w:color="auto"/>
              <w:right w:val="single" w:sz="4" w:space="0" w:color="auto"/>
            </w:tcBorders>
            <w:hideMark/>
          </w:tcPr>
          <w:p w14:paraId="1F05E6D8" w14:textId="0C4B7554" w:rsidR="002F715E" w:rsidRPr="004E46F7" w:rsidRDefault="002F715E" w:rsidP="00C068DC">
            <w:pPr>
              <w:jc w:val="both"/>
              <w:rPr>
                <w:lang w:eastAsia="en-US"/>
              </w:rPr>
            </w:pPr>
            <w:r w:rsidRPr="004E46F7">
              <w:rPr>
                <w:lang w:eastAsia="en-US"/>
              </w:rPr>
              <w:t>Nav.</w:t>
            </w:r>
          </w:p>
        </w:tc>
      </w:tr>
    </w:tbl>
    <w:p w14:paraId="7F710B73" w14:textId="77777777" w:rsidR="002F715E" w:rsidRPr="004E46F7" w:rsidRDefault="002F715E">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3023"/>
        <w:gridCol w:w="4757"/>
      </w:tblGrid>
      <w:tr w:rsidR="004E46F7" w:rsidRPr="004E46F7" w14:paraId="28EDC23E" w14:textId="77777777" w:rsidTr="002F715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7438112" w14:textId="0021F8CF" w:rsidR="002F715E" w:rsidRPr="005F703A" w:rsidRDefault="002F715E" w:rsidP="00C068DC">
            <w:pPr>
              <w:jc w:val="center"/>
              <w:rPr>
                <w:b/>
                <w:bCs/>
                <w:lang w:eastAsia="en-US"/>
              </w:rPr>
            </w:pPr>
            <w:r w:rsidRPr="004E46F7">
              <w:rPr>
                <w:b/>
                <w:bCs/>
                <w:lang w:eastAsia="en-US"/>
              </w:rPr>
              <w:t>VII. Tiesību akta projekta izpildes nodrošināšana un tās ietekme uz institūcijām</w:t>
            </w:r>
          </w:p>
        </w:tc>
      </w:tr>
      <w:tr w:rsidR="004E46F7" w:rsidRPr="004E46F7" w14:paraId="0C926729" w14:textId="77777777" w:rsidTr="00C068DC">
        <w:trPr>
          <w:cantSplit/>
        </w:trPr>
        <w:tc>
          <w:tcPr>
            <w:tcW w:w="311" w:type="pct"/>
            <w:tcBorders>
              <w:top w:val="single" w:sz="4" w:space="0" w:color="auto"/>
              <w:left w:val="single" w:sz="4" w:space="0" w:color="auto"/>
              <w:bottom w:val="single" w:sz="4" w:space="0" w:color="auto"/>
              <w:right w:val="single" w:sz="4" w:space="0" w:color="auto"/>
            </w:tcBorders>
            <w:hideMark/>
          </w:tcPr>
          <w:p w14:paraId="44419CCA" w14:textId="77777777" w:rsidR="002F715E" w:rsidRPr="004E46F7" w:rsidRDefault="002F715E" w:rsidP="00C068DC">
            <w:pPr>
              <w:jc w:val="center"/>
              <w:rPr>
                <w:lang w:eastAsia="en-US"/>
              </w:rPr>
            </w:pPr>
            <w:r w:rsidRPr="004E46F7">
              <w:rPr>
                <w:lang w:eastAsia="en-US"/>
              </w:rPr>
              <w:t>1.</w:t>
            </w:r>
          </w:p>
        </w:tc>
        <w:tc>
          <w:tcPr>
            <w:tcW w:w="1822" w:type="pct"/>
            <w:tcBorders>
              <w:top w:val="single" w:sz="4" w:space="0" w:color="auto"/>
              <w:left w:val="single" w:sz="4" w:space="0" w:color="auto"/>
              <w:bottom w:val="single" w:sz="4" w:space="0" w:color="auto"/>
              <w:right w:val="single" w:sz="4" w:space="0" w:color="auto"/>
            </w:tcBorders>
            <w:hideMark/>
          </w:tcPr>
          <w:p w14:paraId="2428CA2D" w14:textId="77777777" w:rsidR="002F715E" w:rsidRPr="004E46F7" w:rsidRDefault="002F715E" w:rsidP="00C068DC">
            <w:pPr>
              <w:rPr>
                <w:lang w:eastAsia="en-US"/>
              </w:rPr>
            </w:pPr>
            <w:r w:rsidRPr="004E46F7">
              <w:rPr>
                <w:lang w:eastAsia="en-US"/>
              </w:rPr>
              <w:t>Projekta izpildē iesaistītās institūcijas</w:t>
            </w:r>
          </w:p>
        </w:tc>
        <w:tc>
          <w:tcPr>
            <w:tcW w:w="2867" w:type="pct"/>
            <w:tcBorders>
              <w:top w:val="single" w:sz="4" w:space="0" w:color="auto"/>
              <w:left w:val="single" w:sz="4" w:space="0" w:color="auto"/>
              <w:bottom w:val="single" w:sz="4" w:space="0" w:color="auto"/>
              <w:right w:val="single" w:sz="4" w:space="0" w:color="auto"/>
            </w:tcBorders>
            <w:hideMark/>
          </w:tcPr>
          <w:p w14:paraId="4BE0DD30" w14:textId="51C885BC" w:rsidR="005F703A" w:rsidRDefault="002F715E" w:rsidP="005F703A">
            <w:pPr>
              <w:jc w:val="both"/>
              <w:rPr>
                <w:lang w:eastAsia="en-US"/>
              </w:rPr>
            </w:pPr>
            <w:r w:rsidRPr="004E46F7">
              <w:rPr>
                <w:lang w:eastAsia="en-US"/>
              </w:rPr>
              <w:t>Valsts kase, Finanšu ministrija.</w:t>
            </w:r>
          </w:p>
          <w:p w14:paraId="14BF5364" w14:textId="3E1A1AB6" w:rsidR="002F715E" w:rsidRPr="005F703A" w:rsidRDefault="002F715E" w:rsidP="00C068DC">
            <w:pPr>
              <w:rPr>
                <w:lang w:eastAsia="en-US"/>
              </w:rPr>
            </w:pPr>
          </w:p>
        </w:tc>
      </w:tr>
      <w:tr w:rsidR="004E46F7" w:rsidRPr="004E46F7" w14:paraId="0AA3FB3D" w14:textId="77777777" w:rsidTr="00C068DC">
        <w:trPr>
          <w:cantSplit/>
        </w:trPr>
        <w:tc>
          <w:tcPr>
            <w:tcW w:w="311" w:type="pct"/>
            <w:tcBorders>
              <w:top w:val="single" w:sz="4" w:space="0" w:color="auto"/>
              <w:left w:val="single" w:sz="4" w:space="0" w:color="auto"/>
              <w:bottom w:val="single" w:sz="4" w:space="0" w:color="auto"/>
              <w:right w:val="single" w:sz="4" w:space="0" w:color="auto"/>
            </w:tcBorders>
            <w:hideMark/>
          </w:tcPr>
          <w:p w14:paraId="678C58DF" w14:textId="77777777" w:rsidR="002F715E" w:rsidRPr="004E46F7" w:rsidRDefault="002F715E" w:rsidP="00C068DC">
            <w:pPr>
              <w:jc w:val="center"/>
              <w:rPr>
                <w:lang w:eastAsia="en-US"/>
              </w:rPr>
            </w:pPr>
            <w:r w:rsidRPr="004E46F7">
              <w:rPr>
                <w:lang w:eastAsia="en-US"/>
              </w:rPr>
              <w:t>2.</w:t>
            </w:r>
          </w:p>
        </w:tc>
        <w:tc>
          <w:tcPr>
            <w:tcW w:w="1822" w:type="pct"/>
            <w:tcBorders>
              <w:top w:val="single" w:sz="4" w:space="0" w:color="auto"/>
              <w:left w:val="single" w:sz="4" w:space="0" w:color="auto"/>
              <w:bottom w:val="single" w:sz="4" w:space="0" w:color="auto"/>
              <w:right w:val="single" w:sz="4" w:space="0" w:color="auto"/>
            </w:tcBorders>
            <w:hideMark/>
          </w:tcPr>
          <w:p w14:paraId="0E3A6012" w14:textId="77777777" w:rsidR="002F715E" w:rsidRPr="004E46F7" w:rsidRDefault="002F715E" w:rsidP="00C068DC">
            <w:pPr>
              <w:rPr>
                <w:lang w:eastAsia="en-US"/>
              </w:rPr>
            </w:pPr>
            <w:r w:rsidRPr="004E46F7">
              <w:rPr>
                <w:lang w:eastAsia="en-US"/>
              </w:rPr>
              <w:t>Projekta izpildes ietekme uz pārvaldes funkcijām un institucionālo struktūru.</w:t>
            </w:r>
            <w:r w:rsidRPr="004E46F7">
              <w:rPr>
                <w:lang w:eastAsia="en-US"/>
              </w:rPr>
              <w:br/>
              <w:t>Jaunu institūciju izveide, esošu institūciju likvidācija vai reorganizācija, to ietekme uz institūcijas cilvēkresursiem</w:t>
            </w:r>
          </w:p>
        </w:tc>
        <w:tc>
          <w:tcPr>
            <w:tcW w:w="2867" w:type="pct"/>
            <w:tcBorders>
              <w:top w:val="single" w:sz="4" w:space="0" w:color="auto"/>
              <w:left w:val="single" w:sz="4" w:space="0" w:color="auto"/>
              <w:bottom w:val="single" w:sz="4" w:space="0" w:color="auto"/>
              <w:right w:val="single" w:sz="4" w:space="0" w:color="auto"/>
            </w:tcBorders>
            <w:hideMark/>
          </w:tcPr>
          <w:p w14:paraId="1C97AEE0" w14:textId="5FCAED5C" w:rsidR="00155E18" w:rsidRPr="004E46F7" w:rsidRDefault="00155E18" w:rsidP="00C068DC">
            <w:pPr>
              <w:jc w:val="both"/>
              <w:rPr>
                <w:lang w:eastAsia="en-US"/>
              </w:rPr>
            </w:pPr>
            <w:r w:rsidRPr="004E46F7">
              <w:rPr>
                <w:lang w:eastAsia="en-US"/>
              </w:rPr>
              <w:t>Projekta izpilde neietekmēs pārvaldes funkcijas.</w:t>
            </w:r>
          </w:p>
          <w:p w14:paraId="0700C2EF" w14:textId="77777777" w:rsidR="00AC28D1" w:rsidRPr="004E46F7" w:rsidRDefault="00AC28D1" w:rsidP="00C068DC">
            <w:pPr>
              <w:jc w:val="both"/>
              <w:rPr>
                <w:lang w:eastAsia="en-US"/>
              </w:rPr>
            </w:pPr>
          </w:p>
          <w:p w14:paraId="021C996D" w14:textId="07659595" w:rsidR="00155E18" w:rsidRPr="004E46F7" w:rsidRDefault="00155E18" w:rsidP="00C068DC">
            <w:pPr>
              <w:jc w:val="both"/>
              <w:rPr>
                <w:lang w:eastAsia="en-US"/>
              </w:rPr>
            </w:pPr>
            <w:r w:rsidRPr="004E46F7">
              <w:rPr>
                <w:lang w:eastAsia="en-US"/>
              </w:rPr>
              <w:t>Projekta izpildei nav nepieciešama jaunu institūciju izveide, esošo institūciju likvidācija vai reorganizācija.</w:t>
            </w:r>
          </w:p>
          <w:p w14:paraId="5F281DE3" w14:textId="77777777" w:rsidR="00AC28D1" w:rsidRPr="004E46F7" w:rsidRDefault="00AC28D1" w:rsidP="00C068DC">
            <w:pPr>
              <w:jc w:val="both"/>
              <w:rPr>
                <w:lang w:eastAsia="en-US"/>
              </w:rPr>
            </w:pPr>
          </w:p>
          <w:p w14:paraId="1E67AEA7" w14:textId="1E369A1B" w:rsidR="00155E18" w:rsidRPr="004E46F7" w:rsidRDefault="00155E18" w:rsidP="00C068DC">
            <w:pPr>
              <w:jc w:val="both"/>
              <w:rPr>
                <w:lang w:eastAsia="en-US"/>
              </w:rPr>
            </w:pPr>
            <w:r w:rsidRPr="004E46F7">
              <w:rPr>
                <w:lang w:eastAsia="en-US"/>
              </w:rPr>
              <w:t>Projekta izpilde tiks nodrošināta esošo cilvēkresursu un finanšu līdzekļu ietvaros.</w:t>
            </w:r>
          </w:p>
        </w:tc>
      </w:tr>
      <w:tr w:rsidR="004E46F7" w:rsidRPr="004E46F7" w14:paraId="29E6C285" w14:textId="77777777" w:rsidTr="00C068DC">
        <w:trPr>
          <w:cantSplit/>
        </w:trPr>
        <w:tc>
          <w:tcPr>
            <w:tcW w:w="311" w:type="pct"/>
            <w:tcBorders>
              <w:top w:val="single" w:sz="4" w:space="0" w:color="auto"/>
              <w:left w:val="single" w:sz="4" w:space="0" w:color="auto"/>
              <w:bottom w:val="single" w:sz="4" w:space="0" w:color="auto"/>
              <w:right w:val="single" w:sz="4" w:space="0" w:color="auto"/>
            </w:tcBorders>
            <w:hideMark/>
          </w:tcPr>
          <w:p w14:paraId="4FE9F9F9" w14:textId="77777777" w:rsidR="002F715E" w:rsidRPr="004E46F7" w:rsidRDefault="002F715E" w:rsidP="00C068DC">
            <w:pPr>
              <w:jc w:val="center"/>
              <w:rPr>
                <w:lang w:eastAsia="en-US"/>
              </w:rPr>
            </w:pPr>
            <w:r w:rsidRPr="004E46F7">
              <w:rPr>
                <w:lang w:eastAsia="en-US"/>
              </w:rPr>
              <w:t>3.</w:t>
            </w:r>
          </w:p>
        </w:tc>
        <w:tc>
          <w:tcPr>
            <w:tcW w:w="1822" w:type="pct"/>
            <w:tcBorders>
              <w:top w:val="single" w:sz="4" w:space="0" w:color="auto"/>
              <w:left w:val="single" w:sz="4" w:space="0" w:color="auto"/>
              <w:bottom w:val="single" w:sz="4" w:space="0" w:color="auto"/>
              <w:right w:val="single" w:sz="4" w:space="0" w:color="auto"/>
            </w:tcBorders>
            <w:hideMark/>
          </w:tcPr>
          <w:p w14:paraId="5E27A2BE" w14:textId="77777777" w:rsidR="002F715E" w:rsidRPr="004E46F7" w:rsidRDefault="002F715E" w:rsidP="00C068DC">
            <w:pPr>
              <w:rPr>
                <w:lang w:eastAsia="en-US"/>
              </w:rPr>
            </w:pPr>
            <w:r w:rsidRPr="004E46F7">
              <w:rPr>
                <w:lang w:eastAsia="en-US"/>
              </w:rPr>
              <w:t>Cita informācija</w:t>
            </w:r>
          </w:p>
        </w:tc>
        <w:tc>
          <w:tcPr>
            <w:tcW w:w="2867" w:type="pct"/>
            <w:tcBorders>
              <w:top w:val="single" w:sz="4" w:space="0" w:color="auto"/>
              <w:left w:val="single" w:sz="4" w:space="0" w:color="auto"/>
              <w:bottom w:val="single" w:sz="4" w:space="0" w:color="auto"/>
              <w:right w:val="single" w:sz="4" w:space="0" w:color="auto"/>
            </w:tcBorders>
            <w:hideMark/>
          </w:tcPr>
          <w:p w14:paraId="319B3255" w14:textId="77777777" w:rsidR="002F715E" w:rsidRPr="004E46F7" w:rsidRDefault="002F715E" w:rsidP="00C068DC">
            <w:pPr>
              <w:jc w:val="both"/>
              <w:rPr>
                <w:lang w:eastAsia="en-US"/>
              </w:rPr>
            </w:pPr>
            <w:r w:rsidRPr="004E46F7">
              <w:rPr>
                <w:lang w:eastAsia="en-US"/>
              </w:rPr>
              <w:t>Nav.</w:t>
            </w:r>
          </w:p>
        </w:tc>
      </w:tr>
    </w:tbl>
    <w:p w14:paraId="14C1216A" w14:textId="77777777" w:rsidR="002F715E" w:rsidRDefault="002F715E">
      <w:pPr>
        <w:tabs>
          <w:tab w:val="left" w:pos="8080"/>
        </w:tabs>
      </w:pPr>
    </w:p>
    <w:p w14:paraId="350E4410" w14:textId="40D1743D" w:rsidR="002F715E" w:rsidRDefault="002F715E">
      <w:pPr>
        <w:tabs>
          <w:tab w:val="left" w:pos="8080"/>
        </w:tabs>
        <w:rPr>
          <w:bCs/>
          <w:szCs w:val="28"/>
        </w:rPr>
      </w:pPr>
    </w:p>
    <w:p w14:paraId="7F55DDC5" w14:textId="77777777" w:rsidR="002F715E" w:rsidRDefault="002F715E">
      <w:pPr>
        <w:tabs>
          <w:tab w:val="left" w:pos="8080"/>
        </w:tabs>
        <w:rPr>
          <w:bCs/>
          <w:szCs w:val="28"/>
        </w:rPr>
      </w:pPr>
      <w:r>
        <w:rPr>
          <w:bCs/>
          <w:szCs w:val="28"/>
        </w:rPr>
        <w:t xml:space="preserve">Finanšu ministrs </w:t>
      </w:r>
      <w:r w:rsidR="004E09C7">
        <w:rPr>
          <w:bCs/>
          <w:szCs w:val="28"/>
        </w:rPr>
        <w:t xml:space="preserve">                                                                                              </w:t>
      </w:r>
      <w:r>
        <w:rPr>
          <w:bCs/>
          <w:szCs w:val="28"/>
        </w:rPr>
        <w:t>J. Reirs</w:t>
      </w:r>
    </w:p>
    <w:p w14:paraId="1C29C51B" w14:textId="77777777" w:rsidR="002F715E" w:rsidRDefault="002F715E" w:rsidP="002F715E">
      <w:pPr>
        <w:tabs>
          <w:tab w:val="left" w:pos="916"/>
          <w:tab w:val="left" w:pos="1832"/>
          <w:tab w:val="left" w:pos="2748"/>
          <w:tab w:val="left" w:pos="3664"/>
          <w:tab w:val="left" w:pos="4580"/>
          <w:tab w:val="left" w:pos="5496"/>
          <w:tab w:val="left" w:pos="6412"/>
          <w:tab w:val="left" w:pos="6521"/>
          <w:tab w:val="left" w:pos="7328"/>
          <w:tab w:val="left" w:pos="8080"/>
          <w:tab w:val="left" w:pos="8244"/>
          <w:tab w:val="left" w:pos="9160"/>
          <w:tab w:val="left" w:pos="10076"/>
          <w:tab w:val="left" w:pos="10992"/>
          <w:tab w:val="left" w:pos="11908"/>
          <w:tab w:val="left" w:pos="12824"/>
          <w:tab w:val="left" w:pos="13740"/>
          <w:tab w:val="left" w:pos="14656"/>
        </w:tabs>
        <w:rPr>
          <w:bCs/>
          <w:szCs w:val="28"/>
        </w:rPr>
      </w:pPr>
    </w:p>
    <w:p w14:paraId="62E8C36A" w14:textId="77777777" w:rsidR="005F703A" w:rsidRDefault="005F703A" w:rsidP="0025059B">
      <w:pPr>
        <w:tabs>
          <w:tab w:val="left" w:pos="6804"/>
        </w:tabs>
        <w:rPr>
          <w:sz w:val="20"/>
          <w:szCs w:val="20"/>
        </w:rPr>
      </w:pPr>
      <w:bookmarkStart w:id="1" w:name="OLE_LINK1"/>
      <w:bookmarkStart w:id="2" w:name="OLE_LINK2"/>
      <w:bookmarkStart w:id="3" w:name="OLE_LINK3"/>
      <w:bookmarkStart w:id="4" w:name="OLE_LINK4"/>
      <w:bookmarkEnd w:id="1"/>
      <w:bookmarkEnd w:id="2"/>
      <w:bookmarkEnd w:id="3"/>
      <w:bookmarkEnd w:id="4"/>
    </w:p>
    <w:p w14:paraId="3988E835" w14:textId="77777777" w:rsidR="005F703A" w:rsidRDefault="005F703A" w:rsidP="0025059B">
      <w:pPr>
        <w:tabs>
          <w:tab w:val="left" w:pos="6804"/>
        </w:tabs>
        <w:rPr>
          <w:sz w:val="20"/>
          <w:szCs w:val="20"/>
        </w:rPr>
      </w:pPr>
    </w:p>
    <w:p w14:paraId="5E27A12B" w14:textId="77777777" w:rsidR="005F703A" w:rsidRDefault="005F703A" w:rsidP="0025059B">
      <w:pPr>
        <w:tabs>
          <w:tab w:val="left" w:pos="6804"/>
        </w:tabs>
        <w:rPr>
          <w:sz w:val="20"/>
          <w:szCs w:val="20"/>
        </w:rPr>
      </w:pPr>
    </w:p>
    <w:p w14:paraId="1CC72255" w14:textId="77777777" w:rsidR="005F703A" w:rsidRDefault="005F703A" w:rsidP="0025059B">
      <w:pPr>
        <w:tabs>
          <w:tab w:val="left" w:pos="6804"/>
        </w:tabs>
        <w:rPr>
          <w:sz w:val="20"/>
          <w:szCs w:val="20"/>
        </w:rPr>
      </w:pPr>
    </w:p>
    <w:p w14:paraId="39345FA3" w14:textId="77777777" w:rsidR="005F703A" w:rsidRDefault="005F703A" w:rsidP="0025059B">
      <w:pPr>
        <w:tabs>
          <w:tab w:val="left" w:pos="6804"/>
        </w:tabs>
        <w:rPr>
          <w:sz w:val="20"/>
          <w:szCs w:val="20"/>
        </w:rPr>
      </w:pPr>
    </w:p>
    <w:p w14:paraId="76B2BDC1" w14:textId="77777777" w:rsidR="005F703A" w:rsidRDefault="005F703A" w:rsidP="0025059B">
      <w:pPr>
        <w:tabs>
          <w:tab w:val="left" w:pos="6804"/>
        </w:tabs>
        <w:rPr>
          <w:sz w:val="20"/>
          <w:szCs w:val="20"/>
        </w:rPr>
      </w:pPr>
    </w:p>
    <w:p w14:paraId="5A837578" w14:textId="77777777" w:rsidR="005F703A" w:rsidRDefault="005F703A" w:rsidP="0025059B">
      <w:pPr>
        <w:tabs>
          <w:tab w:val="left" w:pos="6804"/>
        </w:tabs>
        <w:rPr>
          <w:sz w:val="20"/>
          <w:szCs w:val="20"/>
        </w:rPr>
      </w:pPr>
    </w:p>
    <w:p w14:paraId="737B0700" w14:textId="77777777" w:rsidR="005F703A" w:rsidRDefault="005F703A" w:rsidP="0025059B">
      <w:pPr>
        <w:tabs>
          <w:tab w:val="left" w:pos="6804"/>
        </w:tabs>
        <w:rPr>
          <w:sz w:val="20"/>
          <w:szCs w:val="20"/>
        </w:rPr>
      </w:pPr>
    </w:p>
    <w:p w14:paraId="2AE2CB7C" w14:textId="003E5CCE" w:rsidR="0025059B" w:rsidRDefault="0025059B" w:rsidP="0025059B">
      <w:pPr>
        <w:tabs>
          <w:tab w:val="left" w:pos="6804"/>
        </w:tabs>
        <w:rPr>
          <w:sz w:val="20"/>
          <w:szCs w:val="20"/>
        </w:rPr>
      </w:pPr>
      <w:r>
        <w:rPr>
          <w:sz w:val="20"/>
          <w:szCs w:val="20"/>
        </w:rPr>
        <w:t>Geiba, 67094282</w:t>
      </w:r>
    </w:p>
    <w:p w14:paraId="59A5196E" w14:textId="77777777" w:rsidR="0025059B" w:rsidRDefault="0025059B" w:rsidP="0025059B">
      <w:pPr>
        <w:tabs>
          <w:tab w:val="left" w:pos="6804"/>
        </w:tabs>
        <w:rPr>
          <w:sz w:val="20"/>
          <w:szCs w:val="20"/>
        </w:rPr>
      </w:pPr>
      <w:r w:rsidRPr="004470C4">
        <w:rPr>
          <w:sz w:val="20"/>
          <w:szCs w:val="20"/>
        </w:rPr>
        <w:t>ainars.geiba@kase</w:t>
      </w:r>
      <w:r>
        <w:rPr>
          <w:sz w:val="20"/>
          <w:szCs w:val="20"/>
        </w:rPr>
        <w:t>.gov.lv</w:t>
      </w:r>
    </w:p>
    <w:p w14:paraId="2DCD7272" w14:textId="77777777" w:rsidR="0025059B" w:rsidRDefault="0025059B" w:rsidP="0025059B">
      <w:pPr>
        <w:tabs>
          <w:tab w:val="left" w:pos="6804"/>
        </w:tabs>
        <w:rPr>
          <w:sz w:val="20"/>
          <w:szCs w:val="20"/>
        </w:rPr>
      </w:pPr>
    </w:p>
    <w:p w14:paraId="11FEFA54" w14:textId="77777777" w:rsidR="0025059B" w:rsidRDefault="0025059B" w:rsidP="0025059B">
      <w:pPr>
        <w:tabs>
          <w:tab w:val="left" w:pos="6804"/>
        </w:tabs>
        <w:rPr>
          <w:sz w:val="20"/>
          <w:szCs w:val="20"/>
        </w:rPr>
      </w:pPr>
      <w:r>
        <w:rPr>
          <w:sz w:val="20"/>
          <w:szCs w:val="20"/>
        </w:rPr>
        <w:t>Gasjūns, 67094208</w:t>
      </w:r>
    </w:p>
    <w:p w14:paraId="49CDC70F" w14:textId="06DD265B" w:rsidR="00AC28D1" w:rsidRDefault="0025059B" w:rsidP="002F715E">
      <w:pPr>
        <w:tabs>
          <w:tab w:val="left" w:pos="6804"/>
        </w:tabs>
        <w:rPr>
          <w:sz w:val="20"/>
          <w:szCs w:val="20"/>
        </w:rPr>
      </w:pPr>
      <w:r w:rsidRPr="004470C4">
        <w:rPr>
          <w:sz w:val="20"/>
          <w:szCs w:val="20"/>
        </w:rPr>
        <w:t>armins.gasjuns@kase.gov.lv</w:t>
      </w:r>
    </w:p>
    <w:sectPr w:rsidR="00AC28D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860F" w14:textId="77777777" w:rsidR="00674781" w:rsidRDefault="00674781" w:rsidP="004470C4">
      <w:r>
        <w:separator/>
      </w:r>
    </w:p>
  </w:endnote>
  <w:endnote w:type="continuationSeparator" w:id="0">
    <w:p w14:paraId="7D4FAFE0" w14:textId="77777777" w:rsidR="00674781" w:rsidRDefault="00674781" w:rsidP="004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3B6B" w14:textId="6D7428D8" w:rsidR="004470C4" w:rsidRDefault="003875A0">
    <w:pPr>
      <w:pStyle w:val="Footer"/>
    </w:pPr>
    <w:r>
      <w:t>FManot_1610</w:t>
    </w:r>
    <w:r w:rsidR="004470C4">
      <w:t>19_</w:t>
    </w:r>
    <w:r w:rsidR="0000462A">
      <w:t>groz_</w:t>
    </w:r>
    <w:r w:rsidR="004470C4">
      <w:t>aidz_galv</w:t>
    </w:r>
    <w:r w:rsidR="00533776">
      <w:t>_cen</w:t>
    </w:r>
    <w:r w:rsidR="00B541DE">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7C37" w14:textId="77777777" w:rsidR="00674781" w:rsidRDefault="00674781" w:rsidP="004470C4">
      <w:r>
        <w:separator/>
      </w:r>
    </w:p>
  </w:footnote>
  <w:footnote w:type="continuationSeparator" w:id="0">
    <w:p w14:paraId="0746BDA9" w14:textId="77777777" w:rsidR="00674781" w:rsidRDefault="00674781" w:rsidP="0044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56816"/>
      <w:docPartObj>
        <w:docPartGallery w:val="Page Numbers (Top of Page)"/>
        <w:docPartUnique/>
      </w:docPartObj>
    </w:sdtPr>
    <w:sdtEndPr>
      <w:rPr>
        <w:noProof/>
      </w:rPr>
    </w:sdtEndPr>
    <w:sdtContent>
      <w:p w14:paraId="2DEE6A7D" w14:textId="61FE3E5C" w:rsidR="005F703A" w:rsidRDefault="005F703A">
        <w:pPr>
          <w:pStyle w:val="Header"/>
          <w:jc w:val="right"/>
        </w:pPr>
        <w:r>
          <w:fldChar w:fldCharType="begin"/>
        </w:r>
        <w:r>
          <w:instrText xml:space="preserve"> PAGE   \* MERGEFORMAT </w:instrText>
        </w:r>
        <w:r>
          <w:fldChar w:fldCharType="separate"/>
        </w:r>
        <w:r w:rsidR="00325477">
          <w:rPr>
            <w:noProof/>
          </w:rPr>
          <w:t>1</w:t>
        </w:r>
        <w:r>
          <w:rPr>
            <w:noProof/>
          </w:rPr>
          <w:fldChar w:fldCharType="end"/>
        </w:r>
      </w:p>
    </w:sdtContent>
  </w:sdt>
  <w:p w14:paraId="7FA4D3AA" w14:textId="77777777" w:rsidR="005F703A" w:rsidRDefault="005F7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0FCA"/>
    <w:multiLevelType w:val="hybridMultilevel"/>
    <w:tmpl w:val="B3F668F8"/>
    <w:lvl w:ilvl="0" w:tplc="3D681F5C">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6991596"/>
    <w:multiLevelType w:val="hybridMultilevel"/>
    <w:tmpl w:val="9A76323A"/>
    <w:lvl w:ilvl="0" w:tplc="04260001">
      <w:start w:val="1"/>
      <w:numFmt w:val="bullet"/>
      <w:lvlText w:val=""/>
      <w:lvlJc w:val="left"/>
      <w:pPr>
        <w:ind w:left="767" w:hanging="360"/>
      </w:pPr>
      <w:rPr>
        <w:rFonts w:ascii="Symbol" w:hAnsi="Symbol" w:hint="default"/>
      </w:rPr>
    </w:lvl>
    <w:lvl w:ilvl="1" w:tplc="04260003" w:tentative="1">
      <w:start w:val="1"/>
      <w:numFmt w:val="bullet"/>
      <w:lvlText w:val="o"/>
      <w:lvlJc w:val="left"/>
      <w:pPr>
        <w:ind w:left="1487" w:hanging="360"/>
      </w:pPr>
      <w:rPr>
        <w:rFonts w:ascii="Courier New" w:hAnsi="Courier New" w:cs="Courier New" w:hint="default"/>
      </w:rPr>
    </w:lvl>
    <w:lvl w:ilvl="2" w:tplc="04260005" w:tentative="1">
      <w:start w:val="1"/>
      <w:numFmt w:val="bullet"/>
      <w:lvlText w:val=""/>
      <w:lvlJc w:val="left"/>
      <w:pPr>
        <w:ind w:left="2207" w:hanging="360"/>
      </w:pPr>
      <w:rPr>
        <w:rFonts w:ascii="Wingdings" w:hAnsi="Wingdings" w:hint="default"/>
      </w:rPr>
    </w:lvl>
    <w:lvl w:ilvl="3" w:tplc="04260001" w:tentative="1">
      <w:start w:val="1"/>
      <w:numFmt w:val="bullet"/>
      <w:lvlText w:val=""/>
      <w:lvlJc w:val="left"/>
      <w:pPr>
        <w:ind w:left="2927" w:hanging="360"/>
      </w:pPr>
      <w:rPr>
        <w:rFonts w:ascii="Symbol" w:hAnsi="Symbol" w:hint="default"/>
      </w:rPr>
    </w:lvl>
    <w:lvl w:ilvl="4" w:tplc="04260003" w:tentative="1">
      <w:start w:val="1"/>
      <w:numFmt w:val="bullet"/>
      <w:lvlText w:val="o"/>
      <w:lvlJc w:val="left"/>
      <w:pPr>
        <w:ind w:left="3647" w:hanging="360"/>
      </w:pPr>
      <w:rPr>
        <w:rFonts w:ascii="Courier New" w:hAnsi="Courier New" w:cs="Courier New" w:hint="default"/>
      </w:rPr>
    </w:lvl>
    <w:lvl w:ilvl="5" w:tplc="04260005" w:tentative="1">
      <w:start w:val="1"/>
      <w:numFmt w:val="bullet"/>
      <w:lvlText w:val=""/>
      <w:lvlJc w:val="left"/>
      <w:pPr>
        <w:ind w:left="4367" w:hanging="360"/>
      </w:pPr>
      <w:rPr>
        <w:rFonts w:ascii="Wingdings" w:hAnsi="Wingdings" w:hint="default"/>
      </w:rPr>
    </w:lvl>
    <w:lvl w:ilvl="6" w:tplc="04260001" w:tentative="1">
      <w:start w:val="1"/>
      <w:numFmt w:val="bullet"/>
      <w:lvlText w:val=""/>
      <w:lvlJc w:val="left"/>
      <w:pPr>
        <w:ind w:left="5087" w:hanging="360"/>
      </w:pPr>
      <w:rPr>
        <w:rFonts w:ascii="Symbol" w:hAnsi="Symbol" w:hint="default"/>
      </w:rPr>
    </w:lvl>
    <w:lvl w:ilvl="7" w:tplc="04260003" w:tentative="1">
      <w:start w:val="1"/>
      <w:numFmt w:val="bullet"/>
      <w:lvlText w:val="o"/>
      <w:lvlJc w:val="left"/>
      <w:pPr>
        <w:ind w:left="5807" w:hanging="360"/>
      </w:pPr>
      <w:rPr>
        <w:rFonts w:ascii="Courier New" w:hAnsi="Courier New" w:cs="Courier New" w:hint="default"/>
      </w:rPr>
    </w:lvl>
    <w:lvl w:ilvl="8" w:tplc="04260005" w:tentative="1">
      <w:start w:val="1"/>
      <w:numFmt w:val="bullet"/>
      <w:lvlText w:val=""/>
      <w:lvlJc w:val="left"/>
      <w:pPr>
        <w:ind w:left="6527" w:hanging="360"/>
      </w:pPr>
      <w:rPr>
        <w:rFonts w:ascii="Wingdings" w:hAnsi="Wingdings" w:hint="default"/>
      </w:rPr>
    </w:lvl>
  </w:abstractNum>
  <w:abstractNum w:abstractNumId="2" w15:restartNumberingAfterBreak="0">
    <w:nsid w:val="4C773E65"/>
    <w:multiLevelType w:val="hybridMultilevel"/>
    <w:tmpl w:val="281C376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4EB15D5"/>
    <w:multiLevelType w:val="hybridMultilevel"/>
    <w:tmpl w:val="77C08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945485"/>
    <w:multiLevelType w:val="hybridMultilevel"/>
    <w:tmpl w:val="C3E6CBF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7987C8D"/>
    <w:multiLevelType w:val="hybridMultilevel"/>
    <w:tmpl w:val="348EB36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7F12CB7"/>
    <w:multiLevelType w:val="hybridMultilevel"/>
    <w:tmpl w:val="66289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5E"/>
    <w:rsid w:val="0000462A"/>
    <w:rsid w:val="00050321"/>
    <w:rsid w:val="0006335B"/>
    <w:rsid w:val="00065AC9"/>
    <w:rsid w:val="000C06A0"/>
    <w:rsid w:val="000E0E3A"/>
    <w:rsid w:val="000F00D5"/>
    <w:rsid w:val="000F03AC"/>
    <w:rsid w:val="001337B2"/>
    <w:rsid w:val="00155E18"/>
    <w:rsid w:val="00174378"/>
    <w:rsid w:val="00210242"/>
    <w:rsid w:val="002259FB"/>
    <w:rsid w:val="002316AC"/>
    <w:rsid w:val="0025059B"/>
    <w:rsid w:val="0029196C"/>
    <w:rsid w:val="00292DA9"/>
    <w:rsid w:val="002A03AB"/>
    <w:rsid w:val="002B3899"/>
    <w:rsid w:val="002C0094"/>
    <w:rsid w:val="002F715E"/>
    <w:rsid w:val="00305E76"/>
    <w:rsid w:val="00325477"/>
    <w:rsid w:val="00333D33"/>
    <w:rsid w:val="003562F1"/>
    <w:rsid w:val="0038439A"/>
    <w:rsid w:val="003875A0"/>
    <w:rsid w:val="0039130C"/>
    <w:rsid w:val="003D09C7"/>
    <w:rsid w:val="003E08AC"/>
    <w:rsid w:val="00414E15"/>
    <w:rsid w:val="004470C4"/>
    <w:rsid w:val="004B5784"/>
    <w:rsid w:val="004E09C7"/>
    <w:rsid w:val="004E46F7"/>
    <w:rsid w:val="00533776"/>
    <w:rsid w:val="0055189C"/>
    <w:rsid w:val="0056797D"/>
    <w:rsid w:val="005929F0"/>
    <w:rsid w:val="005A5EC3"/>
    <w:rsid w:val="005F703A"/>
    <w:rsid w:val="00604747"/>
    <w:rsid w:val="00613ABD"/>
    <w:rsid w:val="0067450C"/>
    <w:rsid w:val="00674781"/>
    <w:rsid w:val="006748B7"/>
    <w:rsid w:val="006B7C60"/>
    <w:rsid w:val="006C25D6"/>
    <w:rsid w:val="006C2A14"/>
    <w:rsid w:val="006E2E16"/>
    <w:rsid w:val="00750BCF"/>
    <w:rsid w:val="007777BD"/>
    <w:rsid w:val="007C5813"/>
    <w:rsid w:val="007D1594"/>
    <w:rsid w:val="007F3A3A"/>
    <w:rsid w:val="00860DC1"/>
    <w:rsid w:val="008839E2"/>
    <w:rsid w:val="008965C5"/>
    <w:rsid w:val="008A522E"/>
    <w:rsid w:val="008C22CC"/>
    <w:rsid w:val="008D5C90"/>
    <w:rsid w:val="00964FA9"/>
    <w:rsid w:val="009A075B"/>
    <w:rsid w:val="009D3544"/>
    <w:rsid w:val="00A1164F"/>
    <w:rsid w:val="00A53C18"/>
    <w:rsid w:val="00A7375D"/>
    <w:rsid w:val="00A861E5"/>
    <w:rsid w:val="00AA2DC8"/>
    <w:rsid w:val="00AA3972"/>
    <w:rsid w:val="00AB4311"/>
    <w:rsid w:val="00AC28D1"/>
    <w:rsid w:val="00AD31E8"/>
    <w:rsid w:val="00AE2564"/>
    <w:rsid w:val="00B1215E"/>
    <w:rsid w:val="00B4507C"/>
    <w:rsid w:val="00B541DE"/>
    <w:rsid w:val="00C068DC"/>
    <w:rsid w:val="00C41719"/>
    <w:rsid w:val="00C51995"/>
    <w:rsid w:val="00C542B3"/>
    <w:rsid w:val="00CC17F2"/>
    <w:rsid w:val="00CE1292"/>
    <w:rsid w:val="00D20A74"/>
    <w:rsid w:val="00D46C08"/>
    <w:rsid w:val="00DF17C0"/>
    <w:rsid w:val="00DF327C"/>
    <w:rsid w:val="00DF5E26"/>
    <w:rsid w:val="00E03545"/>
    <w:rsid w:val="00E06F6F"/>
    <w:rsid w:val="00F064E2"/>
    <w:rsid w:val="00F07797"/>
    <w:rsid w:val="00F162BD"/>
    <w:rsid w:val="00F5754A"/>
    <w:rsid w:val="00F6129A"/>
    <w:rsid w:val="00F730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7F523"/>
  <w15:chartTrackingRefBased/>
  <w15:docId w15:val="{E691C5D6-406D-4B15-A6B2-175DDCF1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15E"/>
    <w:rPr>
      <w:color w:val="0000FF"/>
      <w:u w:val="single"/>
    </w:rPr>
  </w:style>
  <w:style w:type="paragraph" w:styleId="Title">
    <w:name w:val="Title"/>
    <w:basedOn w:val="Normal"/>
    <w:link w:val="TitleChar"/>
    <w:qFormat/>
    <w:rsid w:val="002F715E"/>
    <w:pPr>
      <w:jc w:val="center"/>
    </w:pPr>
    <w:rPr>
      <w:sz w:val="28"/>
      <w:szCs w:val="20"/>
      <w:lang w:eastAsia="en-US"/>
    </w:rPr>
  </w:style>
  <w:style w:type="character" w:customStyle="1" w:styleId="TitleChar">
    <w:name w:val="Title Char"/>
    <w:basedOn w:val="DefaultParagraphFont"/>
    <w:link w:val="Title"/>
    <w:rsid w:val="002F715E"/>
    <w:rPr>
      <w:rFonts w:ascii="Times New Roman" w:eastAsia="Times New Roman" w:hAnsi="Times New Roman" w:cs="Times New Roman"/>
      <w:sz w:val="28"/>
      <w:szCs w:val="20"/>
    </w:rPr>
  </w:style>
  <w:style w:type="paragraph" w:styleId="ListParagraph">
    <w:name w:val="List Paragraph"/>
    <w:basedOn w:val="Normal"/>
    <w:uiPriority w:val="34"/>
    <w:qFormat/>
    <w:rsid w:val="002F715E"/>
    <w:pPr>
      <w:ind w:left="720"/>
      <w:contextualSpacing/>
    </w:pPr>
  </w:style>
  <w:style w:type="character" w:styleId="Strong">
    <w:name w:val="Strong"/>
    <w:basedOn w:val="DefaultParagraphFont"/>
    <w:qFormat/>
    <w:rsid w:val="002F715E"/>
    <w:rPr>
      <w:b/>
      <w:bCs/>
    </w:rPr>
  </w:style>
  <w:style w:type="paragraph" w:styleId="Header">
    <w:name w:val="header"/>
    <w:basedOn w:val="Normal"/>
    <w:link w:val="HeaderChar"/>
    <w:uiPriority w:val="99"/>
    <w:unhideWhenUsed/>
    <w:rsid w:val="004E09C7"/>
    <w:pPr>
      <w:widowControl w:val="0"/>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09C7"/>
    <w:rPr>
      <w:rFonts w:ascii="Calibri" w:eastAsia="Calibri" w:hAnsi="Calibri" w:cs="Times New Roman"/>
    </w:rPr>
  </w:style>
  <w:style w:type="paragraph" w:styleId="BalloonText">
    <w:name w:val="Balloon Text"/>
    <w:basedOn w:val="Normal"/>
    <w:link w:val="BalloonTextChar"/>
    <w:uiPriority w:val="99"/>
    <w:semiHidden/>
    <w:unhideWhenUsed/>
    <w:rsid w:val="00F57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4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5754A"/>
    <w:rPr>
      <w:sz w:val="16"/>
      <w:szCs w:val="16"/>
    </w:rPr>
  </w:style>
  <w:style w:type="paragraph" w:styleId="CommentText">
    <w:name w:val="annotation text"/>
    <w:basedOn w:val="Normal"/>
    <w:link w:val="CommentTextChar"/>
    <w:uiPriority w:val="99"/>
    <w:semiHidden/>
    <w:unhideWhenUsed/>
    <w:rsid w:val="00F5754A"/>
    <w:rPr>
      <w:sz w:val="20"/>
      <w:szCs w:val="20"/>
    </w:rPr>
  </w:style>
  <w:style w:type="character" w:customStyle="1" w:styleId="CommentTextChar">
    <w:name w:val="Comment Text Char"/>
    <w:basedOn w:val="DefaultParagraphFont"/>
    <w:link w:val="CommentText"/>
    <w:uiPriority w:val="99"/>
    <w:semiHidden/>
    <w:rsid w:val="00F575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4A"/>
    <w:rPr>
      <w:b/>
      <w:bCs/>
    </w:rPr>
  </w:style>
  <w:style w:type="character" w:customStyle="1" w:styleId="CommentSubjectChar">
    <w:name w:val="Comment Subject Char"/>
    <w:basedOn w:val="CommentTextChar"/>
    <w:link w:val="CommentSubject"/>
    <w:uiPriority w:val="99"/>
    <w:semiHidden/>
    <w:rsid w:val="00F5754A"/>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4470C4"/>
    <w:pPr>
      <w:tabs>
        <w:tab w:val="center" w:pos="4153"/>
        <w:tab w:val="right" w:pos="8306"/>
      </w:tabs>
    </w:pPr>
  </w:style>
  <w:style w:type="character" w:customStyle="1" w:styleId="FooterChar">
    <w:name w:val="Footer Char"/>
    <w:basedOn w:val="DefaultParagraphFont"/>
    <w:link w:val="Footer"/>
    <w:uiPriority w:val="99"/>
    <w:rsid w:val="004470C4"/>
    <w:rPr>
      <w:rFonts w:ascii="Times New Roman" w:eastAsia="Times New Roman" w:hAnsi="Times New Roman" w:cs="Times New Roman"/>
      <w:sz w:val="24"/>
      <w:szCs w:val="24"/>
      <w:lang w:eastAsia="lv-LV"/>
    </w:rPr>
  </w:style>
  <w:style w:type="paragraph" w:styleId="Revision">
    <w:name w:val="Revision"/>
    <w:hidden/>
    <w:uiPriority w:val="99"/>
    <w:semiHidden/>
    <w:rsid w:val="00AE2564"/>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F1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92327">
      <w:bodyDiv w:val="1"/>
      <w:marLeft w:val="0"/>
      <w:marRight w:val="0"/>
      <w:marTop w:val="0"/>
      <w:marBottom w:val="0"/>
      <w:divBdr>
        <w:top w:val="none" w:sz="0" w:space="0" w:color="auto"/>
        <w:left w:val="none" w:sz="0" w:space="0" w:color="auto"/>
        <w:bottom w:val="none" w:sz="0" w:space="0" w:color="auto"/>
        <w:right w:val="none" w:sz="0" w:space="0" w:color="auto"/>
      </w:divBdr>
    </w:div>
    <w:div w:id="974993917">
      <w:bodyDiv w:val="1"/>
      <w:marLeft w:val="0"/>
      <w:marRight w:val="0"/>
      <w:marTop w:val="0"/>
      <w:marBottom w:val="0"/>
      <w:divBdr>
        <w:top w:val="none" w:sz="0" w:space="0" w:color="auto"/>
        <w:left w:val="none" w:sz="0" w:space="0" w:color="auto"/>
        <w:bottom w:val="none" w:sz="0" w:space="0" w:color="auto"/>
        <w:right w:val="none" w:sz="0" w:space="0" w:color="auto"/>
      </w:divBdr>
    </w:div>
    <w:div w:id="14102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A382-4F39-4DE2-8FD4-0A0CF99E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A28CA8-E0E9-47AB-80DC-3C1DEEF8CA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DBAF004-BE63-4DCF-A994-80676DDDF4E6}">
  <ds:schemaRefs>
    <ds:schemaRef ds:uri="http://schemas.microsoft.com/sharepoint/v3/contenttype/forms"/>
  </ds:schemaRefs>
</ds:datastoreItem>
</file>

<file path=customXml/itemProps4.xml><?xml version="1.0" encoding="utf-8"?>
<ds:datastoreItem xmlns:ds="http://schemas.openxmlformats.org/officeDocument/2006/customXml" ds:itemID="{F02632D1-A16F-4C6E-B882-78BADD4A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5732</Words>
  <Characters>3268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projektu par grozījumiem valsts aizdevumu izsniegšanas un apkalpošanas kārtībā un galvojumu sniegšanas un uzraudzības kārtībā, un Valsts kases sniegto maksas pakalpojumu cenrāža atzīšanu par spēku zaudējušiem sākotnējās ietekme</vt:lpstr>
    </vt:vector>
  </TitlesOfParts>
  <Company>Valsts kase</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grozījumiem valsts aizdevumu izsniegšanas un apkalpošanas kārtībā un galvojumu sniegšanas un uzraudzības kārtībā, un Valsts kases sniegto maksas pakalpojumu cenrāža atzīšanu par spēku zaudējušiem sākotnējās ietekme</dc:title>
  <dc:subject>sākotnējās ietekmes novērtējuma ziņojums (apvienotā anotācija)</dc:subject>
  <dc:creator>Armins.Gasjuns@kase.gov.lv</dc:creator>
  <cp:keywords/>
  <dc:description>67094208
armins.gasjuns@kase.gov.lv</dc:description>
  <cp:lastModifiedBy>Indra Bobrovska</cp:lastModifiedBy>
  <cp:revision>2</cp:revision>
  <cp:lastPrinted>2019-11-25T14:35:00Z</cp:lastPrinted>
  <dcterms:created xsi:type="dcterms:W3CDTF">2019-11-26T08:58:00Z</dcterms:created>
  <dcterms:modified xsi:type="dcterms:W3CDTF">2019-11-26T08:58:00Z</dcterms:modified>
  <cp:category>Budžeta un finanšu vadība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