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1DEE1" w14:textId="77777777" w:rsidR="009D5508" w:rsidRPr="001E25A7" w:rsidRDefault="009D5508" w:rsidP="000562CB">
      <w:pPr>
        <w:pStyle w:val="naisnod"/>
        <w:spacing w:before="0" w:after="0"/>
      </w:pPr>
      <w:bookmarkStart w:id="0" w:name="_GoBack"/>
      <w:bookmarkEnd w:id="0"/>
      <w:r w:rsidRPr="001E25A7">
        <w:t>Izziņa par atzinumos sniegtajiem iebildumiem</w:t>
      </w:r>
    </w:p>
    <w:p w14:paraId="50EFFDA8" w14:textId="77777777" w:rsidR="009D5508" w:rsidRPr="001E25A7" w:rsidRDefault="009D5508" w:rsidP="000562CB">
      <w:pPr>
        <w:pStyle w:val="naisf"/>
        <w:spacing w:before="0" w:after="0"/>
      </w:pPr>
      <w:r w:rsidRPr="001E25A7">
        <w:t> </w:t>
      </w:r>
    </w:p>
    <w:tbl>
      <w:tblPr>
        <w:tblW w:w="0" w:type="auto"/>
        <w:jc w:val="center"/>
        <w:tblCellSpacing w:w="0" w:type="dxa"/>
        <w:tblCellMar>
          <w:left w:w="0" w:type="dxa"/>
          <w:right w:w="0" w:type="dxa"/>
        </w:tblCellMar>
        <w:tblLook w:val="0000" w:firstRow="0" w:lastRow="0" w:firstColumn="0" w:lastColumn="0" w:noHBand="0" w:noVBand="0"/>
      </w:tblPr>
      <w:tblGrid>
        <w:gridCol w:w="10185"/>
      </w:tblGrid>
      <w:tr w:rsidR="009D5508" w:rsidRPr="001E25A7" w14:paraId="1C46B699" w14:textId="77777777" w:rsidTr="009D5508">
        <w:trPr>
          <w:tblCellSpacing w:w="0" w:type="dxa"/>
          <w:jc w:val="center"/>
        </w:trPr>
        <w:tc>
          <w:tcPr>
            <w:tcW w:w="10185" w:type="dxa"/>
            <w:tcBorders>
              <w:top w:val="nil"/>
              <w:left w:val="nil"/>
              <w:bottom w:val="single" w:sz="8" w:space="0" w:color="000000"/>
              <w:right w:val="nil"/>
            </w:tcBorders>
          </w:tcPr>
          <w:p w14:paraId="21E2FE69" w14:textId="7F6989BE" w:rsidR="009D5508" w:rsidRPr="001E25A7" w:rsidRDefault="00F32B0B" w:rsidP="000562CB">
            <w:pPr>
              <w:pStyle w:val="Header"/>
              <w:jc w:val="center"/>
              <w:rPr>
                <w:lang w:val="lv-LV"/>
              </w:rPr>
            </w:pPr>
            <w:r w:rsidRPr="001E25A7">
              <w:rPr>
                <w:b/>
                <w:spacing w:val="2"/>
                <w:position w:val="-12"/>
                <w:sz w:val="28"/>
                <w:szCs w:val="28"/>
                <w:lang w:val="lv-LV"/>
              </w:rPr>
              <w:t>Grozījumi Ministru kabineta 2010.gada 28.decembra noteikumos Nr.1220 "Asignējumu piešķiršanas un izpildes kārtība</w:t>
            </w:r>
            <w:r w:rsidR="00084D4C">
              <w:rPr>
                <w:b/>
                <w:spacing w:val="2"/>
                <w:position w:val="-12"/>
                <w:sz w:val="28"/>
                <w:szCs w:val="28"/>
                <w:lang w:val="lv-LV"/>
              </w:rPr>
              <w:t>” (VSS-868)</w:t>
            </w:r>
            <w:r w:rsidR="00084D4C" w:rsidRPr="001E25A7">
              <w:rPr>
                <w:lang w:val="lv-LV"/>
              </w:rPr>
              <w:t> </w:t>
            </w:r>
          </w:p>
        </w:tc>
      </w:tr>
    </w:tbl>
    <w:p w14:paraId="5FD7C4C0" w14:textId="77777777" w:rsidR="009D5508" w:rsidRPr="001E25A7" w:rsidRDefault="009D5508" w:rsidP="000562CB">
      <w:pPr>
        <w:pStyle w:val="naisc"/>
        <w:spacing w:before="0" w:after="0"/>
      </w:pPr>
      <w:r w:rsidRPr="001E25A7">
        <w:t>(dokumenta veids un nosaukums)</w:t>
      </w:r>
    </w:p>
    <w:p w14:paraId="73A3EA4A" w14:textId="77777777" w:rsidR="009D5508" w:rsidRPr="001E25A7" w:rsidRDefault="009D5508" w:rsidP="000562CB">
      <w:pPr>
        <w:pStyle w:val="naisf"/>
        <w:spacing w:before="0" w:after="0"/>
      </w:pPr>
      <w:r w:rsidRPr="001E25A7">
        <w:t> </w:t>
      </w:r>
    </w:p>
    <w:p w14:paraId="6AAC7E60" w14:textId="2D29EDD5" w:rsidR="009D5508" w:rsidRPr="001E25A7" w:rsidRDefault="009D5508" w:rsidP="00CA2CC4">
      <w:pPr>
        <w:pStyle w:val="naisnod"/>
        <w:spacing w:before="0" w:after="0"/>
      </w:pPr>
      <w:r w:rsidRPr="001E25A7">
        <w:t>I. Jautājumi, par kuriem saskaņošanā vienošanās nav panākta </w:t>
      </w:r>
    </w:p>
    <w:p w14:paraId="7FF27A20" w14:textId="14165AC6" w:rsidR="008D2684" w:rsidRPr="001E25A7" w:rsidRDefault="008D2684" w:rsidP="000562CB">
      <w:pPr>
        <w:pStyle w:val="naisf"/>
        <w:spacing w:before="0" w:after="0"/>
      </w:pPr>
    </w:p>
    <w:tbl>
      <w:tblPr>
        <w:tblStyle w:val="TableGrid"/>
        <w:tblW w:w="14480" w:type="dxa"/>
        <w:tblLook w:val="04A0" w:firstRow="1" w:lastRow="0" w:firstColumn="1" w:lastColumn="0" w:noHBand="0" w:noVBand="1"/>
      </w:tblPr>
      <w:tblGrid>
        <w:gridCol w:w="728"/>
        <w:gridCol w:w="2102"/>
        <w:gridCol w:w="3969"/>
        <w:gridCol w:w="3686"/>
        <w:gridCol w:w="1559"/>
        <w:gridCol w:w="2436"/>
      </w:tblGrid>
      <w:tr w:rsidR="008D2684" w:rsidRPr="001E25A7" w14:paraId="5BF0B954" w14:textId="77777777" w:rsidTr="00F70613">
        <w:tc>
          <w:tcPr>
            <w:tcW w:w="728" w:type="dxa"/>
            <w:vAlign w:val="center"/>
          </w:tcPr>
          <w:p w14:paraId="0EFC024C" w14:textId="705467BE" w:rsidR="008D2684" w:rsidRPr="001E25A7" w:rsidRDefault="008D2684" w:rsidP="008D2684">
            <w:pPr>
              <w:pStyle w:val="naisf"/>
              <w:spacing w:before="0" w:after="0"/>
              <w:ind w:firstLine="0"/>
              <w:jc w:val="center"/>
            </w:pPr>
            <w:r w:rsidRPr="001E25A7">
              <w:rPr>
                <w:sz w:val="20"/>
                <w:szCs w:val="20"/>
              </w:rPr>
              <w:t>Nr.</w:t>
            </w:r>
            <w:r w:rsidRPr="001E25A7">
              <w:rPr>
                <w:sz w:val="20"/>
                <w:szCs w:val="20"/>
              </w:rPr>
              <w:br/>
              <w:t> p.k.</w:t>
            </w:r>
          </w:p>
        </w:tc>
        <w:tc>
          <w:tcPr>
            <w:tcW w:w="2102" w:type="dxa"/>
            <w:vAlign w:val="center"/>
          </w:tcPr>
          <w:p w14:paraId="74F0DCEC" w14:textId="04DB48CA" w:rsidR="008D2684" w:rsidRPr="001E25A7" w:rsidRDefault="008D2684" w:rsidP="008D2684">
            <w:pPr>
              <w:pStyle w:val="naisf"/>
              <w:spacing w:before="0" w:after="0"/>
              <w:ind w:firstLine="0"/>
              <w:jc w:val="center"/>
            </w:pPr>
            <w:r w:rsidRPr="001E25A7">
              <w:rPr>
                <w:sz w:val="20"/>
                <w:szCs w:val="20"/>
              </w:rPr>
              <w:t>Saskaņošanai nosūtītā projekta redakcija (konkrēta punkta (panta) redakcija)</w:t>
            </w:r>
          </w:p>
        </w:tc>
        <w:tc>
          <w:tcPr>
            <w:tcW w:w="3969" w:type="dxa"/>
            <w:vAlign w:val="center"/>
          </w:tcPr>
          <w:p w14:paraId="5758363B" w14:textId="6C9B0B1A" w:rsidR="008D2684" w:rsidRPr="001E25A7" w:rsidRDefault="008D2684" w:rsidP="008D2684">
            <w:pPr>
              <w:pStyle w:val="naisf"/>
              <w:spacing w:before="0" w:after="0"/>
              <w:ind w:firstLine="0"/>
              <w:jc w:val="center"/>
            </w:pPr>
            <w:r w:rsidRPr="001E25A7">
              <w:rPr>
                <w:sz w:val="20"/>
                <w:szCs w:val="20"/>
              </w:rPr>
              <w:t>Atzinumā norādītais ministrijas (citas institūcijas) iebildums, kā arī saskaņošanā papildus izteiktais iebildums par projekta konkrēto punktu (pantu)</w:t>
            </w:r>
          </w:p>
        </w:tc>
        <w:tc>
          <w:tcPr>
            <w:tcW w:w="3686" w:type="dxa"/>
            <w:vAlign w:val="center"/>
          </w:tcPr>
          <w:p w14:paraId="6E254FDF" w14:textId="68E55340" w:rsidR="008D2684" w:rsidRPr="001E25A7" w:rsidRDefault="008D2684" w:rsidP="008D2684">
            <w:pPr>
              <w:pStyle w:val="naisf"/>
              <w:spacing w:before="0" w:after="0"/>
              <w:ind w:firstLine="0"/>
              <w:jc w:val="center"/>
            </w:pPr>
            <w:r w:rsidRPr="001E25A7">
              <w:rPr>
                <w:sz w:val="20"/>
                <w:szCs w:val="20"/>
              </w:rPr>
              <w:t>Atbildīgās ministrijas pamatojums iebilduma noraidījumam</w:t>
            </w:r>
          </w:p>
        </w:tc>
        <w:tc>
          <w:tcPr>
            <w:tcW w:w="1559" w:type="dxa"/>
            <w:vAlign w:val="center"/>
          </w:tcPr>
          <w:p w14:paraId="28760112" w14:textId="4FD89E1C" w:rsidR="008D2684" w:rsidRPr="007B1E12" w:rsidRDefault="008D2684" w:rsidP="008D2684">
            <w:pPr>
              <w:pStyle w:val="naisf"/>
              <w:spacing w:before="0" w:after="0"/>
              <w:ind w:firstLine="0"/>
              <w:jc w:val="center"/>
              <w:rPr>
                <w:sz w:val="14"/>
              </w:rPr>
            </w:pPr>
            <w:r w:rsidRPr="007B1E12">
              <w:rPr>
                <w:sz w:val="14"/>
                <w:szCs w:val="20"/>
              </w:rPr>
              <w:t>Atzinuma sniedzēja uzturētais iebildums, ja tas atšķiras no atzinumā norādītā iebilduma pamatojuma</w:t>
            </w:r>
          </w:p>
        </w:tc>
        <w:tc>
          <w:tcPr>
            <w:tcW w:w="2436" w:type="dxa"/>
            <w:vAlign w:val="center"/>
          </w:tcPr>
          <w:p w14:paraId="5213C81C" w14:textId="0561E137" w:rsidR="008D2684" w:rsidRPr="001E25A7" w:rsidRDefault="008D2684" w:rsidP="008D2684">
            <w:pPr>
              <w:pStyle w:val="naisf"/>
              <w:spacing w:before="0" w:after="0"/>
              <w:ind w:firstLine="0"/>
              <w:jc w:val="center"/>
            </w:pPr>
            <w:r w:rsidRPr="001E25A7">
              <w:rPr>
                <w:sz w:val="20"/>
                <w:szCs w:val="20"/>
              </w:rPr>
              <w:t>Projekta attiecīgā punkta (panta) galīgā redakcija</w:t>
            </w:r>
          </w:p>
        </w:tc>
      </w:tr>
      <w:tr w:rsidR="008D2684" w:rsidRPr="001E25A7" w14:paraId="6ACE5C7D" w14:textId="77777777" w:rsidTr="00F70613">
        <w:tc>
          <w:tcPr>
            <w:tcW w:w="728" w:type="dxa"/>
          </w:tcPr>
          <w:p w14:paraId="1CF057FB" w14:textId="2B157608" w:rsidR="008D2684" w:rsidRPr="001E25A7" w:rsidRDefault="008D2684" w:rsidP="008D2684">
            <w:pPr>
              <w:pStyle w:val="naisf"/>
              <w:spacing w:before="0" w:after="0"/>
              <w:ind w:firstLine="0"/>
              <w:jc w:val="center"/>
              <w:rPr>
                <w:sz w:val="20"/>
                <w:szCs w:val="20"/>
              </w:rPr>
            </w:pPr>
            <w:r w:rsidRPr="001E25A7">
              <w:rPr>
                <w:sz w:val="20"/>
                <w:szCs w:val="20"/>
              </w:rPr>
              <w:t>1</w:t>
            </w:r>
          </w:p>
        </w:tc>
        <w:tc>
          <w:tcPr>
            <w:tcW w:w="2102" w:type="dxa"/>
          </w:tcPr>
          <w:p w14:paraId="4B6BEAD6" w14:textId="75BDA8DB" w:rsidR="008D2684" w:rsidRPr="001E25A7" w:rsidRDefault="008D2684" w:rsidP="008D2684">
            <w:pPr>
              <w:pStyle w:val="naisf"/>
              <w:spacing w:before="0" w:after="0"/>
              <w:ind w:firstLine="0"/>
              <w:jc w:val="center"/>
              <w:rPr>
                <w:sz w:val="20"/>
                <w:szCs w:val="20"/>
              </w:rPr>
            </w:pPr>
            <w:r w:rsidRPr="001E25A7">
              <w:rPr>
                <w:sz w:val="20"/>
                <w:szCs w:val="20"/>
              </w:rPr>
              <w:t>2</w:t>
            </w:r>
          </w:p>
        </w:tc>
        <w:tc>
          <w:tcPr>
            <w:tcW w:w="3969" w:type="dxa"/>
          </w:tcPr>
          <w:p w14:paraId="061CE57E" w14:textId="0803C8C2" w:rsidR="008D2684" w:rsidRPr="001E25A7" w:rsidRDefault="008D2684" w:rsidP="008D2684">
            <w:pPr>
              <w:pStyle w:val="naisf"/>
              <w:spacing w:before="0" w:after="0"/>
              <w:ind w:firstLine="0"/>
              <w:jc w:val="center"/>
              <w:rPr>
                <w:sz w:val="20"/>
                <w:szCs w:val="20"/>
              </w:rPr>
            </w:pPr>
            <w:r w:rsidRPr="001E25A7">
              <w:rPr>
                <w:sz w:val="20"/>
                <w:szCs w:val="20"/>
              </w:rPr>
              <w:t>3</w:t>
            </w:r>
          </w:p>
        </w:tc>
        <w:tc>
          <w:tcPr>
            <w:tcW w:w="3686" w:type="dxa"/>
          </w:tcPr>
          <w:p w14:paraId="1D9CCCC5" w14:textId="14395CDF" w:rsidR="008D2684" w:rsidRPr="001E25A7" w:rsidRDefault="008D2684" w:rsidP="008D2684">
            <w:pPr>
              <w:pStyle w:val="naisf"/>
              <w:spacing w:before="0" w:after="0"/>
              <w:ind w:firstLine="0"/>
              <w:jc w:val="center"/>
              <w:rPr>
                <w:sz w:val="20"/>
                <w:szCs w:val="20"/>
              </w:rPr>
            </w:pPr>
            <w:r w:rsidRPr="001E25A7">
              <w:rPr>
                <w:sz w:val="20"/>
                <w:szCs w:val="20"/>
              </w:rPr>
              <w:t>4</w:t>
            </w:r>
          </w:p>
        </w:tc>
        <w:tc>
          <w:tcPr>
            <w:tcW w:w="1559" w:type="dxa"/>
          </w:tcPr>
          <w:p w14:paraId="23686BAC" w14:textId="77AC98CC" w:rsidR="008D2684" w:rsidRPr="001E25A7" w:rsidRDefault="008D2684" w:rsidP="008D2684">
            <w:pPr>
              <w:pStyle w:val="naisf"/>
              <w:spacing w:before="0" w:after="0"/>
              <w:ind w:firstLine="0"/>
              <w:jc w:val="center"/>
              <w:rPr>
                <w:sz w:val="20"/>
                <w:szCs w:val="20"/>
              </w:rPr>
            </w:pPr>
            <w:r w:rsidRPr="001E25A7">
              <w:rPr>
                <w:sz w:val="20"/>
                <w:szCs w:val="20"/>
              </w:rPr>
              <w:t>5</w:t>
            </w:r>
          </w:p>
        </w:tc>
        <w:tc>
          <w:tcPr>
            <w:tcW w:w="2436" w:type="dxa"/>
          </w:tcPr>
          <w:p w14:paraId="77F7719C" w14:textId="1604D4B8" w:rsidR="008D2684" w:rsidRPr="001E25A7" w:rsidRDefault="008D2684" w:rsidP="008D2684">
            <w:pPr>
              <w:pStyle w:val="naisf"/>
              <w:spacing w:before="0" w:after="0"/>
              <w:ind w:firstLine="0"/>
              <w:jc w:val="center"/>
              <w:rPr>
                <w:sz w:val="20"/>
                <w:szCs w:val="20"/>
              </w:rPr>
            </w:pPr>
            <w:r w:rsidRPr="001E25A7">
              <w:rPr>
                <w:sz w:val="20"/>
                <w:szCs w:val="20"/>
              </w:rPr>
              <w:t>6</w:t>
            </w:r>
          </w:p>
        </w:tc>
      </w:tr>
      <w:tr w:rsidR="00E03EF0" w:rsidRPr="00A723AD" w14:paraId="6BB1F328" w14:textId="77777777" w:rsidTr="00F70613">
        <w:tc>
          <w:tcPr>
            <w:tcW w:w="728" w:type="dxa"/>
          </w:tcPr>
          <w:p w14:paraId="67C95C46" w14:textId="1BEE23B8" w:rsidR="00E03EF0" w:rsidRPr="00A723AD" w:rsidRDefault="00E03EF0" w:rsidP="00FF0C45">
            <w:pPr>
              <w:pStyle w:val="naisf"/>
              <w:spacing w:before="0" w:after="0"/>
              <w:ind w:firstLine="0"/>
              <w:rPr>
                <w:sz w:val="20"/>
                <w:szCs w:val="20"/>
              </w:rPr>
            </w:pPr>
          </w:p>
        </w:tc>
        <w:tc>
          <w:tcPr>
            <w:tcW w:w="2102" w:type="dxa"/>
          </w:tcPr>
          <w:p w14:paraId="32E5CD76" w14:textId="77777777" w:rsidR="00E03EF0" w:rsidRPr="00A723AD" w:rsidRDefault="00E03EF0" w:rsidP="00E03EF0">
            <w:pPr>
              <w:jc w:val="both"/>
              <w:rPr>
                <w:sz w:val="20"/>
                <w:szCs w:val="20"/>
              </w:rPr>
            </w:pPr>
          </w:p>
        </w:tc>
        <w:tc>
          <w:tcPr>
            <w:tcW w:w="3969" w:type="dxa"/>
          </w:tcPr>
          <w:p w14:paraId="3507EE27" w14:textId="0BF3DE94" w:rsidR="00E03EF0" w:rsidRPr="00A723AD" w:rsidRDefault="00E03EF0" w:rsidP="00E03EF0">
            <w:pPr>
              <w:pStyle w:val="Header"/>
              <w:rPr>
                <w:sz w:val="20"/>
              </w:rPr>
            </w:pPr>
          </w:p>
        </w:tc>
        <w:tc>
          <w:tcPr>
            <w:tcW w:w="3686" w:type="dxa"/>
          </w:tcPr>
          <w:p w14:paraId="0C48102F" w14:textId="4302E9B6" w:rsidR="00E03EF0" w:rsidRPr="00A723AD" w:rsidRDefault="00E03EF0" w:rsidP="007B53A6">
            <w:pPr>
              <w:pStyle w:val="naisc"/>
              <w:spacing w:before="0" w:after="0"/>
              <w:jc w:val="both"/>
              <w:rPr>
                <w:sz w:val="20"/>
                <w:szCs w:val="20"/>
              </w:rPr>
            </w:pPr>
          </w:p>
        </w:tc>
        <w:tc>
          <w:tcPr>
            <w:tcW w:w="1559" w:type="dxa"/>
          </w:tcPr>
          <w:p w14:paraId="43A18F86" w14:textId="77777777" w:rsidR="00E03EF0" w:rsidRPr="00A723AD" w:rsidRDefault="00E03EF0" w:rsidP="00E03EF0">
            <w:pPr>
              <w:pStyle w:val="naisf"/>
              <w:spacing w:before="0" w:after="0"/>
              <w:ind w:firstLine="0"/>
              <w:rPr>
                <w:sz w:val="20"/>
                <w:szCs w:val="20"/>
              </w:rPr>
            </w:pPr>
          </w:p>
        </w:tc>
        <w:tc>
          <w:tcPr>
            <w:tcW w:w="2436" w:type="dxa"/>
          </w:tcPr>
          <w:p w14:paraId="280BE737" w14:textId="716E57E7" w:rsidR="00E03EF0" w:rsidRPr="00A723AD" w:rsidRDefault="00E03EF0" w:rsidP="00E03EF0">
            <w:pPr>
              <w:pStyle w:val="naisf"/>
              <w:spacing w:before="0" w:after="0"/>
              <w:ind w:firstLine="0"/>
              <w:rPr>
                <w:sz w:val="20"/>
                <w:szCs w:val="20"/>
              </w:rPr>
            </w:pPr>
          </w:p>
        </w:tc>
      </w:tr>
    </w:tbl>
    <w:p w14:paraId="63146747" w14:textId="77777777" w:rsidR="003C4D61" w:rsidRDefault="003C4D61" w:rsidP="000562CB">
      <w:pPr>
        <w:pStyle w:val="naiskr"/>
        <w:spacing w:before="0" w:after="0"/>
        <w:rPr>
          <w:b/>
          <w:bCs/>
        </w:rPr>
      </w:pPr>
    </w:p>
    <w:p w14:paraId="6BC9613A" w14:textId="1BCEAECB" w:rsidR="009D5508" w:rsidRPr="008E612C" w:rsidRDefault="009D5508" w:rsidP="000562CB">
      <w:pPr>
        <w:pStyle w:val="naiskr"/>
        <w:spacing w:before="0" w:after="0"/>
        <w:rPr>
          <w:sz w:val="22"/>
        </w:rPr>
      </w:pPr>
      <w:r w:rsidRPr="008E612C">
        <w:rPr>
          <w:b/>
          <w:bCs/>
          <w:sz w:val="22"/>
        </w:rPr>
        <w:t>Informācija par starpministriju (starpinstitūciju) sanāksmi vai elektronisko saskaņošanu</w:t>
      </w:r>
    </w:p>
    <w:p w14:paraId="27A3D207" w14:textId="77777777" w:rsidR="009D5508" w:rsidRPr="008E612C" w:rsidRDefault="009D5508" w:rsidP="000562CB">
      <w:pPr>
        <w:pStyle w:val="naisf"/>
        <w:spacing w:before="0" w:after="0"/>
        <w:rPr>
          <w:sz w:val="22"/>
        </w:rPr>
      </w:pPr>
      <w:r w:rsidRPr="008E612C">
        <w:rPr>
          <w:sz w:val="22"/>
        </w:rPr>
        <w:t> </w:t>
      </w:r>
    </w:p>
    <w:tbl>
      <w:tblPr>
        <w:tblW w:w="14459" w:type="dxa"/>
        <w:tblCellSpacing w:w="0" w:type="dxa"/>
        <w:tblCellMar>
          <w:left w:w="0" w:type="dxa"/>
          <w:right w:w="0" w:type="dxa"/>
        </w:tblCellMar>
        <w:tblLook w:val="0000" w:firstRow="0" w:lastRow="0" w:firstColumn="0" w:lastColumn="0" w:noHBand="0" w:noVBand="0"/>
      </w:tblPr>
      <w:tblGrid>
        <w:gridCol w:w="4678"/>
        <w:gridCol w:w="4779"/>
        <w:gridCol w:w="5002"/>
      </w:tblGrid>
      <w:tr w:rsidR="009D5508" w:rsidRPr="008E612C" w14:paraId="5B644A4E" w14:textId="77777777" w:rsidTr="008E612C">
        <w:trPr>
          <w:tblCellSpacing w:w="0" w:type="dxa"/>
        </w:trPr>
        <w:tc>
          <w:tcPr>
            <w:tcW w:w="4678" w:type="dxa"/>
          </w:tcPr>
          <w:p w14:paraId="52BD1602" w14:textId="77777777" w:rsidR="009D5508" w:rsidRPr="008E612C" w:rsidRDefault="009D5508" w:rsidP="000562CB">
            <w:pPr>
              <w:pStyle w:val="naiskr"/>
              <w:spacing w:before="0" w:after="0"/>
              <w:rPr>
                <w:sz w:val="22"/>
              </w:rPr>
            </w:pPr>
            <w:r w:rsidRPr="008E612C">
              <w:rPr>
                <w:sz w:val="22"/>
              </w:rPr>
              <w:t>Datums</w:t>
            </w:r>
          </w:p>
        </w:tc>
        <w:tc>
          <w:tcPr>
            <w:tcW w:w="9781" w:type="dxa"/>
            <w:gridSpan w:val="2"/>
            <w:tcBorders>
              <w:top w:val="nil"/>
              <w:left w:val="nil"/>
              <w:bottom w:val="single" w:sz="8" w:space="0" w:color="000000"/>
              <w:right w:val="nil"/>
            </w:tcBorders>
          </w:tcPr>
          <w:p w14:paraId="472442C3" w14:textId="77777777" w:rsidR="00084D4C" w:rsidRPr="00B86B2A" w:rsidRDefault="00084D4C" w:rsidP="00B86B2A">
            <w:pPr>
              <w:pStyle w:val="naisf"/>
              <w:ind w:hanging="5"/>
              <w:rPr>
                <w:sz w:val="22"/>
              </w:rPr>
            </w:pPr>
            <w:r w:rsidRPr="00B86B2A">
              <w:rPr>
                <w:sz w:val="22"/>
              </w:rPr>
              <w:t>Izsludināts VSS 2019.gada 05.septembrī.</w:t>
            </w:r>
          </w:p>
          <w:p w14:paraId="55221944" w14:textId="77777777" w:rsidR="00084D4C" w:rsidRPr="00B86B2A" w:rsidRDefault="00084D4C" w:rsidP="00B86B2A">
            <w:pPr>
              <w:pStyle w:val="naisf"/>
              <w:ind w:firstLine="0"/>
              <w:rPr>
                <w:sz w:val="22"/>
              </w:rPr>
            </w:pPr>
            <w:r w:rsidRPr="00B86B2A">
              <w:rPr>
                <w:sz w:val="22"/>
              </w:rPr>
              <w:t xml:space="preserve">Starpministriju sanāksme 2019.gada 11.oktobrī. </w:t>
            </w:r>
          </w:p>
          <w:p w14:paraId="3B021ECC" w14:textId="18302B29" w:rsidR="009D5508" w:rsidRPr="008E612C" w:rsidRDefault="00084D4C" w:rsidP="00B86B2A">
            <w:pPr>
              <w:pStyle w:val="naisf"/>
              <w:spacing w:before="0" w:after="0"/>
              <w:ind w:hanging="5"/>
              <w:rPr>
                <w:sz w:val="22"/>
              </w:rPr>
            </w:pPr>
            <w:r w:rsidRPr="00B86B2A">
              <w:rPr>
                <w:sz w:val="22"/>
              </w:rPr>
              <w:t>Izsūtīts atkārtotai saskaņošanai 2019.gada 15.oktobrī.</w:t>
            </w:r>
          </w:p>
        </w:tc>
      </w:tr>
      <w:tr w:rsidR="009D5508" w:rsidRPr="008E612C" w14:paraId="1E09B8AB" w14:textId="77777777" w:rsidTr="008E612C">
        <w:trPr>
          <w:tblCellSpacing w:w="0" w:type="dxa"/>
        </w:trPr>
        <w:tc>
          <w:tcPr>
            <w:tcW w:w="4678" w:type="dxa"/>
          </w:tcPr>
          <w:p w14:paraId="31837624" w14:textId="77777777" w:rsidR="009D5508" w:rsidRPr="008E612C" w:rsidRDefault="009D5508" w:rsidP="000562CB">
            <w:pPr>
              <w:pStyle w:val="naisf"/>
              <w:spacing w:before="0" w:after="0"/>
              <w:rPr>
                <w:sz w:val="22"/>
              </w:rPr>
            </w:pPr>
            <w:r w:rsidRPr="008E612C">
              <w:rPr>
                <w:sz w:val="22"/>
              </w:rPr>
              <w:t> </w:t>
            </w:r>
          </w:p>
        </w:tc>
        <w:tc>
          <w:tcPr>
            <w:tcW w:w="9781" w:type="dxa"/>
            <w:gridSpan w:val="2"/>
            <w:tcBorders>
              <w:top w:val="nil"/>
              <w:left w:val="nil"/>
              <w:bottom w:val="nil"/>
              <w:right w:val="nil"/>
            </w:tcBorders>
          </w:tcPr>
          <w:p w14:paraId="1B581AD2" w14:textId="008201BC" w:rsidR="009D5508" w:rsidRPr="008E612C" w:rsidRDefault="009D5508" w:rsidP="000562CB">
            <w:pPr>
              <w:pStyle w:val="naisf"/>
              <w:spacing w:before="0" w:after="0"/>
              <w:rPr>
                <w:sz w:val="22"/>
              </w:rPr>
            </w:pPr>
          </w:p>
        </w:tc>
      </w:tr>
      <w:tr w:rsidR="009D5508" w:rsidRPr="008E612C" w14:paraId="482EE939" w14:textId="77777777" w:rsidTr="008E612C">
        <w:trPr>
          <w:tblCellSpacing w:w="0" w:type="dxa"/>
        </w:trPr>
        <w:tc>
          <w:tcPr>
            <w:tcW w:w="4678" w:type="dxa"/>
            <w:vAlign w:val="center"/>
          </w:tcPr>
          <w:p w14:paraId="75FE2B72" w14:textId="77777777" w:rsidR="009D5508" w:rsidRPr="008E612C" w:rsidRDefault="009D5508" w:rsidP="000562CB">
            <w:pPr>
              <w:pStyle w:val="naiskr"/>
              <w:spacing w:before="0" w:after="0"/>
              <w:rPr>
                <w:sz w:val="22"/>
              </w:rPr>
            </w:pPr>
            <w:r w:rsidRPr="008E612C">
              <w:rPr>
                <w:sz w:val="22"/>
              </w:rPr>
              <w:t>Saskaņošanas dalībnieki</w:t>
            </w:r>
          </w:p>
        </w:tc>
        <w:tc>
          <w:tcPr>
            <w:tcW w:w="9781" w:type="dxa"/>
            <w:gridSpan w:val="2"/>
            <w:tcBorders>
              <w:bottom w:val="single" w:sz="4" w:space="0" w:color="auto"/>
            </w:tcBorders>
            <w:vAlign w:val="center"/>
          </w:tcPr>
          <w:p w14:paraId="32D59E83" w14:textId="1EA0E812" w:rsidR="009D5508" w:rsidRPr="008E612C" w:rsidRDefault="00F70613" w:rsidP="002F4794">
            <w:pPr>
              <w:pStyle w:val="naisf"/>
              <w:spacing w:before="0" w:after="0"/>
              <w:ind w:firstLine="0"/>
              <w:rPr>
                <w:sz w:val="22"/>
              </w:rPr>
            </w:pPr>
            <w:r w:rsidRPr="008E612C">
              <w:rPr>
                <w:sz w:val="22"/>
              </w:rPr>
              <w:t xml:space="preserve">Labklājības ministrija, </w:t>
            </w:r>
            <w:r w:rsidR="002F4794">
              <w:rPr>
                <w:sz w:val="22"/>
              </w:rPr>
              <w:t>Tieslietu ministrija</w:t>
            </w:r>
            <w:r w:rsidR="00AA2803">
              <w:rPr>
                <w:sz w:val="22"/>
              </w:rPr>
              <w:t>, Iekšlietu ministrija</w:t>
            </w:r>
          </w:p>
        </w:tc>
      </w:tr>
      <w:tr w:rsidR="009D5508" w:rsidRPr="008E612C" w14:paraId="10B7DD6F" w14:textId="77777777" w:rsidTr="008E612C">
        <w:trPr>
          <w:tblCellSpacing w:w="0" w:type="dxa"/>
        </w:trPr>
        <w:tc>
          <w:tcPr>
            <w:tcW w:w="4678" w:type="dxa"/>
            <w:vAlign w:val="center"/>
          </w:tcPr>
          <w:p w14:paraId="516519E1" w14:textId="77777777" w:rsidR="009D5508" w:rsidRPr="008E612C" w:rsidRDefault="009D5508" w:rsidP="000562CB">
            <w:pPr>
              <w:pStyle w:val="naiskr"/>
              <w:spacing w:before="0" w:after="0"/>
              <w:rPr>
                <w:sz w:val="22"/>
              </w:rPr>
            </w:pPr>
            <w:r w:rsidRPr="008E612C">
              <w:rPr>
                <w:sz w:val="22"/>
              </w:rPr>
              <w:t> </w:t>
            </w:r>
          </w:p>
        </w:tc>
        <w:tc>
          <w:tcPr>
            <w:tcW w:w="4779" w:type="dxa"/>
            <w:vAlign w:val="center"/>
          </w:tcPr>
          <w:p w14:paraId="2E9E9E1D" w14:textId="77777777" w:rsidR="009D5508" w:rsidRPr="008E612C" w:rsidRDefault="009D5508" w:rsidP="000562CB">
            <w:pPr>
              <w:pStyle w:val="naiskr"/>
              <w:spacing w:before="0" w:after="0"/>
              <w:rPr>
                <w:sz w:val="22"/>
              </w:rPr>
            </w:pPr>
            <w:r w:rsidRPr="008E612C">
              <w:rPr>
                <w:sz w:val="22"/>
              </w:rPr>
              <w:t> </w:t>
            </w:r>
          </w:p>
        </w:tc>
        <w:tc>
          <w:tcPr>
            <w:tcW w:w="5002" w:type="dxa"/>
            <w:vAlign w:val="center"/>
          </w:tcPr>
          <w:p w14:paraId="16247C0E" w14:textId="77777777" w:rsidR="009D5508" w:rsidRPr="008E612C" w:rsidRDefault="009D5508" w:rsidP="000562CB">
            <w:pPr>
              <w:pStyle w:val="naiskr"/>
              <w:spacing w:before="0" w:after="0"/>
              <w:rPr>
                <w:sz w:val="22"/>
              </w:rPr>
            </w:pPr>
            <w:r w:rsidRPr="008E612C">
              <w:rPr>
                <w:sz w:val="22"/>
              </w:rPr>
              <w:t> </w:t>
            </w:r>
          </w:p>
        </w:tc>
      </w:tr>
    </w:tbl>
    <w:p w14:paraId="78B6B593" w14:textId="77777777" w:rsidR="009D5508" w:rsidRPr="008E612C" w:rsidRDefault="009D5508" w:rsidP="000562CB">
      <w:pPr>
        <w:rPr>
          <w:vanish/>
          <w:sz w:val="22"/>
        </w:rPr>
      </w:pPr>
    </w:p>
    <w:tbl>
      <w:tblPr>
        <w:tblW w:w="14459" w:type="dxa"/>
        <w:tblCellSpacing w:w="0" w:type="dxa"/>
        <w:tblCellMar>
          <w:left w:w="0" w:type="dxa"/>
          <w:right w:w="0" w:type="dxa"/>
        </w:tblCellMar>
        <w:tblLook w:val="0000" w:firstRow="0" w:lastRow="0" w:firstColumn="0" w:lastColumn="0" w:noHBand="0" w:noVBand="0"/>
      </w:tblPr>
      <w:tblGrid>
        <w:gridCol w:w="4678"/>
        <w:gridCol w:w="6088"/>
        <w:gridCol w:w="3693"/>
      </w:tblGrid>
      <w:tr w:rsidR="009D5508" w:rsidRPr="008E612C" w14:paraId="5AFD0304" w14:textId="77777777" w:rsidTr="008E612C">
        <w:trPr>
          <w:tblCellSpacing w:w="0" w:type="dxa"/>
        </w:trPr>
        <w:tc>
          <w:tcPr>
            <w:tcW w:w="4678" w:type="dxa"/>
          </w:tcPr>
          <w:p w14:paraId="1460C8D5" w14:textId="1BA609B1" w:rsidR="009D5508" w:rsidRPr="008E612C" w:rsidRDefault="009D5508" w:rsidP="008E612C">
            <w:pPr>
              <w:pStyle w:val="naiskr"/>
              <w:spacing w:before="0" w:after="0"/>
              <w:rPr>
                <w:sz w:val="22"/>
              </w:rPr>
            </w:pPr>
            <w:r w:rsidRPr="008E612C">
              <w:rPr>
                <w:sz w:val="22"/>
              </w:rPr>
              <w:t>Saskaņošanas dalībnieki izskatīja šādu ministriju (citu</w:t>
            </w:r>
            <w:r w:rsidR="008E612C">
              <w:rPr>
                <w:sz w:val="22"/>
              </w:rPr>
              <w:t xml:space="preserve"> </w:t>
            </w:r>
            <w:r w:rsidR="008E612C" w:rsidRPr="008E612C">
              <w:rPr>
                <w:sz w:val="22"/>
              </w:rPr>
              <w:t>institūciju) iebildumus</w:t>
            </w:r>
          </w:p>
        </w:tc>
        <w:tc>
          <w:tcPr>
            <w:tcW w:w="6088" w:type="dxa"/>
            <w:tcBorders>
              <w:bottom w:val="single" w:sz="4" w:space="0" w:color="auto"/>
            </w:tcBorders>
          </w:tcPr>
          <w:p w14:paraId="7D400995" w14:textId="77777777" w:rsidR="008E612C" w:rsidRDefault="008E612C" w:rsidP="00814A36">
            <w:pPr>
              <w:pStyle w:val="NormalWeb"/>
              <w:spacing w:before="0" w:beforeAutospacing="0" w:after="0" w:afterAutospacing="0"/>
              <w:jc w:val="both"/>
              <w:rPr>
                <w:sz w:val="22"/>
              </w:rPr>
            </w:pPr>
          </w:p>
          <w:p w14:paraId="600553BE" w14:textId="7C8B0B5E" w:rsidR="009D5508" w:rsidRPr="008E612C" w:rsidRDefault="00F70613" w:rsidP="00814A36">
            <w:pPr>
              <w:pStyle w:val="NormalWeb"/>
              <w:spacing w:before="0" w:beforeAutospacing="0" w:after="0" w:afterAutospacing="0"/>
              <w:jc w:val="both"/>
              <w:rPr>
                <w:sz w:val="22"/>
              </w:rPr>
            </w:pPr>
            <w:r w:rsidRPr="008E612C">
              <w:rPr>
                <w:sz w:val="22"/>
              </w:rPr>
              <w:t>Labklājības ministrijas, Tieslietu ministrijas un Iekšlietu ministrijas</w:t>
            </w:r>
          </w:p>
        </w:tc>
        <w:tc>
          <w:tcPr>
            <w:tcW w:w="3693" w:type="dxa"/>
          </w:tcPr>
          <w:p w14:paraId="476A7AFC" w14:textId="77777777" w:rsidR="009D5508" w:rsidRPr="008E612C" w:rsidRDefault="009D5508" w:rsidP="000562CB">
            <w:pPr>
              <w:pStyle w:val="naiskr"/>
              <w:spacing w:before="0" w:after="0"/>
              <w:rPr>
                <w:sz w:val="22"/>
              </w:rPr>
            </w:pPr>
            <w:r w:rsidRPr="008E612C">
              <w:rPr>
                <w:sz w:val="22"/>
              </w:rPr>
              <w:t> </w:t>
            </w:r>
          </w:p>
        </w:tc>
      </w:tr>
      <w:tr w:rsidR="009D5508" w:rsidRPr="008E612C" w14:paraId="4A44C125" w14:textId="77777777" w:rsidTr="008E612C">
        <w:trPr>
          <w:tblCellSpacing w:w="0" w:type="dxa"/>
        </w:trPr>
        <w:tc>
          <w:tcPr>
            <w:tcW w:w="14459" w:type="dxa"/>
            <w:gridSpan w:val="3"/>
            <w:vAlign w:val="center"/>
          </w:tcPr>
          <w:p w14:paraId="5BA0FE33" w14:textId="77777777" w:rsidR="009D5508" w:rsidRPr="008E612C" w:rsidRDefault="009D5508" w:rsidP="000562CB">
            <w:pPr>
              <w:pStyle w:val="naislab"/>
              <w:spacing w:before="0" w:after="0"/>
              <w:rPr>
                <w:sz w:val="22"/>
              </w:rPr>
            </w:pPr>
            <w:r w:rsidRPr="008E612C">
              <w:rPr>
                <w:sz w:val="22"/>
              </w:rPr>
              <w:t> </w:t>
            </w:r>
          </w:p>
        </w:tc>
      </w:tr>
    </w:tbl>
    <w:p w14:paraId="5C55C4FE" w14:textId="3FC8022E" w:rsidR="00265A69" w:rsidRDefault="009D5508" w:rsidP="00265A69">
      <w:pPr>
        <w:pStyle w:val="naisf"/>
        <w:spacing w:before="0" w:after="0"/>
        <w:rPr>
          <w:sz w:val="22"/>
        </w:rPr>
      </w:pPr>
      <w:r w:rsidRPr="008E612C">
        <w:rPr>
          <w:sz w:val="22"/>
        </w:rPr>
        <w:t> </w:t>
      </w:r>
    </w:p>
    <w:tbl>
      <w:tblPr>
        <w:tblW w:w="14459" w:type="dxa"/>
        <w:tblCellSpacing w:w="0" w:type="dxa"/>
        <w:tblCellMar>
          <w:left w:w="0" w:type="dxa"/>
          <w:right w:w="0" w:type="dxa"/>
        </w:tblCellMar>
        <w:tblLook w:val="0000" w:firstRow="0" w:lastRow="0" w:firstColumn="0" w:lastColumn="0" w:noHBand="0" w:noVBand="0"/>
      </w:tblPr>
      <w:tblGrid>
        <w:gridCol w:w="4678"/>
        <w:gridCol w:w="9639"/>
        <w:gridCol w:w="142"/>
      </w:tblGrid>
      <w:tr w:rsidR="00265A69" w:rsidRPr="008E612C" w14:paraId="21AF95A7" w14:textId="77777777" w:rsidTr="00265A69">
        <w:trPr>
          <w:tblCellSpacing w:w="0" w:type="dxa"/>
        </w:trPr>
        <w:tc>
          <w:tcPr>
            <w:tcW w:w="4678" w:type="dxa"/>
          </w:tcPr>
          <w:p w14:paraId="11402FD4" w14:textId="35AA874A" w:rsidR="00265A69" w:rsidRPr="008E612C" w:rsidRDefault="00265A69" w:rsidP="00361138">
            <w:pPr>
              <w:pStyle w:val="naiskr"/>
              <w:spacing w:before="0" w:after="0"/>
              <w:rPr>
                <w:sz w:val="22"/>
              </w:rPr>
            </w:pPr>
            <w:r w:rsidRPr="008E612C">
              <w:rPr>
                <w:sz w:val="22"/>
              </w:rPr>
              <w:t>Ministrijas (citas institūcijas), kuras nav ieradušās uz sanāksmi vai kuras nav atbildējušas uz uzaicinājumu piedalīties elektroniskajā saskaņošanā</w:t>
            </w:r>
          </w:p>
        </w:tc>
        <w:tc>
          <w:tcPr>
            <w:tcW w:w="9639" w:type="dxa"/>
            <w:tcBorders>
              <w:bottom w:val="single" w:sz="4" w:space="0" w:color="auto"/>
            </w:tcBorders>
          </w:tcPr>
          <w:p w14:paraId="1254BC47" w14:textId="609BBCDD" w:rsidR="00265A69" w:rsidRPr="008E612C" w:rsidRDefault="00265A69" w:rsidP="00265A69">
            <w:pPr>
              <w:pStyle w:val="NormalWeb"/>
              <w:spacing w:before="0" w:beforeAutospacing="0" w:after="0" w:afterAutospacing="0"/>
              <w:ind w:left="142"/>
              <w:jc w:val="both"/>
              <w:rPr>
                <w:sz w:val="22"/>
              </w:rPr>
            </w:pPr>
            <w:r w:rsidRPr="00265A69">
              <w:rPr>
                <w:sz w:val="22"/>
              </w:rPr>
              <w:t>Aizsardzības ministrija, Ekonomikas ministrija, Izglītības un zinātnes ministrija, Satiksmes ministrija, Vides aizsardzības un reģionālās attīstības ministrija, Veselības ministrija, Zemkopības ministrija, Ārlietu ministrija, Kultūras ministrija</w:t>
            </w:r>
          </w:p>
        </w:tc>
        <w:tc>
          <w:tcPr>
            <w:tcW w:w="142" w:type="dxa"/>
          </w:tcPr>
          <w:p w14:paraId="57C7A91D" w14:textId="77777777" w:rsidR="00265A69" w:rsidRPr="008E612C" w:rsidRDefault="00265A69" w:rsidP="00361138">
            <w:pPr>
              <w:pStyle w:val="naiskr"/>
              <w:spacing w:before="0" w:after="0"/>
              <w:rPr>
                <w:sz w:val="22"/>
              </w:rPr>
            </w:pPr>
            <w:r w:rsidRPr="008E612C">
              <w:rPr>
                <w:sz w:val="22"/>
              </w:rPr>
              <w:t> </w:t>
            </w:r>
          </w:p>
        </w:tc>
      </w:tr>
    </w:tbl>
    <w:p w14:paraId="3E43409D" w14:textId="2B599D7D" w:rsidR="00265A69" w:rsidRDefault="00265A69" w:rsidP="00265A69">
      <w:pPr>
        <w:pStyle w:val="naisf"/>
        <w:spacing w:before="0" w:after="0"/>
        <w:ind w:firstLine="0"/>
        <w:rPr>
          <w:sz w:val="22"/>
        </w:rPr>
      </w:pPr>
    </w:p>
    <w:p w14:paraId="43F2387E" w14:textId="6E623BE8" w:rsidR="00265A69" w:rsidRDefault="00265A69" w:rsidP="00265A69">
      <w:pPr>
        <w:pStyle w:val="naisf"/>
        <w:spacing w:before="0" w:after="0"/>
        <w:rPr>
          <w:sz w:val="22"/>
        </w:rPr>
      </w:pPr>
    </w:p>
    <w:p w14:paraId="6DDCE64B" w14:textId="0B1224C3" w:rsidR="009D5508" w:rsidRPr="001E25A7" w:rsidRDefault="009D5508" w:rsidP="000562CB">
      <w:pPr>
        <w:pStyle w:val="naisnod"/>
        <w:spacing w:before="0" w:after="0"/>
      </w:pPr>
      <w:r w:rsidRPr="001E25A7">
        <w:lastRenderedPageBreak/>
        <w:t>II. Jautājumi, par kuriem saskaņošanā vienošanās ir panākta</w:t>
      </w:r>
    </w:p>
    <w:p w14:paraId="4E7BAFF3" w14:textId="77777777" w:rsidR="00CA1DDF" w:rsidRPr="001E25A7" w:rsidRDefault="00CA1DDF" w:rsidP="000562CB">
      <w:pPr>
        <w:pStyle w:val="naisnod"/>
        <w:spacing w:before="0" w:after="0"/>
      </w:pPr>
    </w:p>
    <w:tbl>
      <w:tblPr>
        <w:tblStyle w:val="TableGrid"/>
        <w:tblW w:w="0" w:type="auto"/>
        <w:tblLook w:val="04A0" w:firstRow="1" w:lastRow="0" w:firstColumn="1" w:lastColumn="0" w:noHBand="0" w:noVBand="1"/>
      </w:tblPr>
      <w:tblGrid>
        <w:gridCol w:w="807"/>
        <w:gridCol w:w="2307"/>
        <w:gridCol w:w="4819"/>
        <w:gridCol w:w="3544"/>
        <w:gridCol w:w="2410"/>
      </w:tblGrid>
      <w:tr w:rsidR="00AD7512" w:rsidRPr="001E25A7" w14:paraId="55D53E03" w14:textId="77777777" w:rsidTr="00984394">
        <w:tc>
          <w:tcPr>
            <w:tcW w:w="807" w:type="dxa"/>
            <w:vAlign w:val="center"/>
          </w:tcPr>
          <w:p w14:paraId="7A19DBE9" w14:textId="77777777" w:rsidR="00CA1DDF" w:rsidRPr="00E85AEE" w:rsidRDefault="00CA1DDF" w:rsidP="009F54E2">
            <w:pPr>
              <w:jc w:val="center"/>
              <w:rPr>
                <w:sz w:val="22"/>
              </w:rPr>
            </w:pPr>
            <w:r w:rsidRPr="00E85AEE">
              <w:rPr>
                <w:sz w:val="22"/>
              </w:rPr>
              <w:t>Nr. p.k.</w:t>
            </w:r>
          </w:p>
        </w:tc>
        <w:tc>
          <w:tcPr>
            <w:tcW w:w="2307" w:type="dxa"/>
            <w:vAlign w:val="center"/>
          </w:tcPr>
          <w:p w14:paraId="4D16634B" w14:textId="77777777" w:rsidR="00CA1DDF" w:rsidRPr="00E85AEE" w:rsidRDefault="00CA1DDF" w:rsidP="009F54E2">
            <w:pPr>
              <w:jc w:val="center"/>
              <w:rPr>
                <w:sz w:val="22"/>
              </w:rPr>
            </w:pPr>
            <w:r w:rsidRPr="00E85AEE">
              <w:rPr>
                <w:sz w:val="22"/>
              </w:rPr>
              <w:t>Saskaņošanai nosūtītā projekta redakcija (konkrēta punkta (panta) redakcija)</w:t>
            </w:r>
          </w:p>
        </w:tc>
        <w:tc>
          <w:tcPr>
            <w:tcW w:w="4819" w:type="dxa"/>
            <w:vAlign w:val="center"/>
          </w:tcPr>
          <w:p w14:paraId="6EEC1294" w14:textId="77777777" w:rsidR="00CA1DDF" w:rsidRPr="00E85AEE" w:rsidRDefault="00CA1DDF" w:rsidP="009F54E2">
            <w:pPr>
              <w:jc w:val="center"/>
              <w:rPr>
                <w:sz w:val="22"/>
              </w:rPr>
            </w:pPr>
            <w:r w:rsidRPr="00E85AEE">
              <w:rPr>
                <w:sz w:val="22"/>
              </w:rPr>
              <w:t>Atzinumā norādītais ministrijas (citas institūcijas) iebildums, kā arī saskaņošanā papildus izteiktais iebildums par projekta konkrēto punktu (pantu)</w:t>
            </w:r>
          </w:p>
        </w:tc>
        <w:tc>
          <w:tcPr>
            <w:tcW w:w="3544" w:type="dxa"/>
            <w:vAlign w:val="center"/>
          </w:tcPr>
          <w:p w14:paraId="7191ABE7" w14:textId="77777777" w:rsidR="00CA1DDF" w:rsidRPr="00141816" w:rsidRDefault="00CA1DDF" w:rsidP="009F54E2">
            <w:pPr>
              <w:jc w:val="center"/>
              <w:rPr>
                <w:sz w:val="20"/>
              </w:rPr>
            </w:pPr>
            <w:r w:rsidRPr="00141816">
              <w:rPr>
                <w:sz w:val="20"/>
              </w:rPr>
              <w:t>Atbildīgās ministrijas norāde par to, ka iebildums ir ņemts vērā, vai informācija par saskaņošanā panākto alternatīvo risinājumu</w:t>
            </w:r>
          </w:p>
        </w:tc>
        <w:tc>
          <w:tcPr>
            <w:tcW w:w="2410" w:type="dxa"/>
            <w:vAlign w:val="center"/>
          </w:tcPr>
          <w:p w14:paraId="7C7CABBC" w14:textId="77777777" w:rsidR="00CA1DDF" w:rsidRPr="00E85AEE" w:rsidRDefault="00CA1DDF" w:rsidP="009F54E2">
            <w:pPr>
              <w:jc w:val="center"/>
              <w:rPr>
                <w:sz w:val="22"/>
              </w:rPr>
            </w:pPr>
            <w:r w:rsidRPr="00E85AEE">
              <w:rPr>
                <w:sz w:val="22"/>
              </w:rPr>
              <w:t>Projekta attiecīgā punkta (panta) galīgā redakcija</w:t>
            </w:r>
          </w:p>
        </w:tc>
      </w:tr>
      <w:tr w:rsidR="00AD7512" w:rsidRPr="001E25A7" w14:paraId="47307904" w14:textId="77777777" w:rsidTr="00984394">
        <w:tc>
          <w:tcPr>
            <w:tcW w:w="807" w:type="dxa"/>
          </w:tcPr>
          <w:p w14:paraId="70B8D686" w14:textId="77777777" w:rsidR="00CA1DDF" w:rsidRPr="001E25A7" w:rsidRDefault="00CA1DDF" w:rsidP="009F54E2">
            <w:pPr>
              <w:jc w:val="center"/>
            </w:pPr>
            <w:r w:rsidRPr="001E25A7">
              <w:t>1</w:t>
            </w:r>
          </w:p>
        </w:tc>
        <w:tc>
          <w:tcPr>
            <w:tcW w:w="2307" w:type="dxa"/>
          </w:tcPr>
          <w:p w14:paraId="7E0ABFEC" w14:textId="77777777" w:rsidR="00CA1DDF" w:rsidRPr="001E25A7" w:rsidRDefault="00CA1DDF" w:rsidP="009F54E2">
            <w:pPr>
              <w:jc w:val="center"/>
            </w:pPr>
            <w:r w:rsidRPr="001E25A7">
              <w:t>2</w:t>
            </w:r>
          </w:p>
        </w:tc>
        <w:tc>
          <w:tcPr>
            <w:tcW w:w="4819" w:type="dxa"/>
          </w:tcPr>
          <w:p w14:paraId="7D71BAA4" w14:textId="77777777" w:rsidR="00CA1DDF" w:rsidRPr="001E25A7" w:rsidRDefault="00CA1DDF" w:rsidP="009F54E2">
            <w:pPr>
              <w:jc w:val="center"/>
            </w:pPr>
            <w:r w:rsidRPr="001E25A7">
              <w:t>3</w:t>
            </w:r>
          </w:p>
        </w:tc>
        <w:tc>
          <w:tcPr>
            <w:tcW w:w="3544" w:type="dxa"/>
          </w:tcPr>
          <w:p w14:paraId="0F1213CD" w14:textId="77777777" w:rsidR="00CA1DDF" w:rsidRPr="001E25A7" w:rsidRDefault="00CA1DDF" w:rsidP="009F54E2">
            <w:pPr>
              <w:jc w:val="center"/>
            </w:pPr>
            <w:r w:rsidRPr="001E25A7">
              <w:t>4</w:t>
            </w:r>
          </w:p>
        </w:tc>
        <w:tc>
          <w:tcPr>
            <w:tcW w:w="2410" w:type="dxa"/>
          </w:tcPr>
          <w:p w14:paraId="438E5A71" w14:textId="77777777" w:rsidR="00CA1DDF" w:rsidRPr="001E25A7" w:rsidRDefault="00CA1DDF" w:rsidP="009F54E2">
            <w:pPr>
              <w:jc w:val="center"/>
            </w:pPr>
            <w:r w:rsidRPr="001E25A7">
              <w:t>5</w:t>
            </w:r>
          </w:p>
        </w:tc>
      </w:tr>
      <w:tr w:rsidR="00BC1134" w:rsidRPr="00E85AEE" w14:paraId="0E3D7626" w14:textId="77777777" w:rsidTr="00984394">
        <w:tc>
          <w:tcPr>
            <w:tcW w:w="807" w:type="dxa"/>
          </w:tcPr>
          <w:p w14:paraId="26853C07" w14:textId="580DF8EE" w:rsidR="00BC1134" w:rsidRPr="00E85AEE" w:rsidRDefault="00141816" w:rsidP="00BC1134">
            <w:pPr>
              <w:jc w:val="both"/>
              <w:rPr>
                <w:sz w:val="20"/>
                <w:szCs w:val="20"/>
              </w:rPr>
            </w:pPr>
            <w:r w:rsidRPr="00E85AEE">
              <w:rPr>
                <w:sz w:val="20"/>
                <w:szCs w:val="20"/>
              </w:rPr>
              <w:t>1.</w:t>
            </w:r>
          </w:p>
        </w:tc>
        <w:tc>
          <w:tcPr>
            <w:tcW w:w="2307" w:type="dxa"/>
          </w:tcPr>
          <w:p w14:paraId="605CA066" w14:textId="16D1FC67" w:rsidR="00BC1134" w:rsidRPr="00E85AEE" w:rsidRDefault="00BC1134" w:rsidP="00BC1134">
            <w:pPr>
              <w:jc w:val="both"/>
              <w:rPr>
                <w:sz w:val="20"/>
                <w:szCs w:val="20"/>
              </w:rPr>
            </w:pPr>
          </w:p>
        </w:tc>
        <w:tc>
          <w:tcPr>
            <w:tcW w:w="4819" w:type="dxa"/>
          </w:tcPr>
          <w:p w14:paraId="4D99CA58" w14:textId="77777777" w:rsidR="00141816" w:rsidRPr="00E85AEE" w:rsidRDefault="00141816" w:rsidP="00BC1134">
            <w:pPr>
              <w:jc w:val="both"/>
              <w:rPr>
                <w:b/>
                <w:sz w:val="20"/>
                <w:szCs w:val="20"/>
              </w:rPr>
            </w:pPr>
            <w:r w:rsidRPr="00E85AEE">
              <w:rPr>
                <w:b/>
                <w:sz w:val="20"/>
                <w:szCs w:val="20"/>
              </w:rPr>
              <w:t>Tieslietu ministrija</w:t>
            </w:r>
          </w:p>
          <w:p w14:paraId="508F7E1F" w14:textId="77777777" w:rsidR="00141816" w:rsidRPr="00E85AEE" w:rsidRDefault="00141816" w:rsidP="00E85AEE">
            <w:pPr>
              <w:jc w:val="both"/>
              <w:rPr>
                <w:sz w:val="20"/>
                <w:szCs w:val="20"/>
              </w:rPr>
            </w:pPr>
          </w:p>
          <w:p w14:paraId="5C824A4F" w14:textId="5F2EC820" w:rsidR="00BC1134" w:rsidRPr="00E85AEE" w:rsidRDefault="00141816" w:rsidP="00E85AEE">
            <w:pPr>
              <w:jc w:val="both"/>
              <w:rPr>
                <w:b/>
                <w:sz w:val="20"/>
                <w:szCs w:val="20"/>
              </w:rPr>
            </w:pPr>
            <w:r w:rsidRPr="00E85AEE">
              <w:rPr>
                <w:sz w:val="20"/>
                <w:szCs w:val="20"/>
              </w:rPr>
              <w:t>Projekta 1.11. apakšpunkts paredz papildināt noteikumus ar diviem noslēguma jautājumiem, kuri neregulē pāreju no iepriekšējā regulējuma uz jaunāko, bet gan ir pastāvīgs regulējums par termiņa skaitīšanas kārtību, ja termiņš iekrīt brīvdienā vai svētku dienā. Šādu regulējumu vajadzētu ietvert pamatnoteikumos, nevis noslēguma jautājumos. Lūdzam atbilstoši precizēt projektu.</w:t>
            </w:r>
          </w:p>
        </w:tc>
        <w:tc>
          <w:tcPr>
            <w:tcW w:w="3544" w:type="dxa"/>
          </w:tcPr>
          <w:p w14:paraId="0D69B010" w14:textId="0C93DF34" w:rsidR="00BC1134" w:rsidRPr="00E85AEE" w:rsidRDefault="00141816" w:rsidP="00BC1134">
            <w:pPr>
              <w:jc w:val="both"/>
              <w:rPr>
                <w:b/>
                <w:sz w:val="20"/>
                <w:szCs w:val="20"/>
              </w:rPr>
            </w:pPr>
            <w:r w:rsidRPr="00E85AEE">
              <w:rPr>
                <w:b/>
                <w:sz w:val="20"/>
                <w:szCs w:val="20"/>
              </w:rPr>
              <w:t>Ņemts vērā.</w:t>
            </w:r>
          </w:p>
        </w:tc>
        <w:tc>
          <w:tcPr>
            <w:tcW w:w="2410" w:type="dxa"/>
          </w:tcPr>
          <w:p w14:paraId="2A9416DA" w14:textId="2D2C5D60" w:rsidR="00BC1134" w:rsidRPr="00E85AEE" w:rsidRDefault="00141816" w:rsidP="00141816">
            <w:pPr>
              <w:pStyle w:val="ListParagraph"/>
              <w:ind w:left="0"/>
              <w:jc w:val="both"/>
              <w:rPr>
                <w:sz w:val="20"/>
                <w:szCs w:val="20"/>
                <w:lang w:val="lv-LV"/>
              </w:rPr>
            </w:pPr>
            <w:r w:rsidRPr="00E85AEE">
              <w:rPr>
                <w:sz w:val="20"/>
                <w:szCs w:val="20"/>
                <w:lang w:val="lv-LV"/>
              </w:rPr>
              <w:t>Precizēts noteikumu projekta 1.6. un 1.11. apakšpunkts.</w:t>
            </w:r>
          </w:p>
        </w:tc>
      </w:tr>
      <w:tr w:rsidR="00C83D23" w:rsidRPr="00141816" w14:paraId="55ED15C4" w14:textId="77777777" w:rsidTr="00361138">
        <w:tc>
          <w:tcPr>
            <w:tcW w:w="807" w:type="dxa"/>
          </w:tcPr>
          <w:p w14:paraId="6C86FA9E" w14:textId="70B2DE75" w:rsidR="00C83D23" w:rsidRDefault="00C83D23" w:rsidP="00361138">
            <w:pPr>
              <w:jc w:val="both"/>
              <w:rPr>
                <w:sz w:val="20"/>
                <w:szCs w:val="20"/>
              </w:rPr>
            </w:pPr>
            <w:r>
              <w:rPr>
                <w:sz w:val="20"/>
                <w:szCs w:val="20"/>
              </w:rPr>
              <w:t>2.</w:t>
            </w:r>
          </w:p>
        </w:tc>
        <w:tc>
          <w:tcPr>
            <w:tcW w:w="2307" w:type="dxa"/>
          </w:tcPr>
          <w:p w14:paraId="11495E43" w14:textId="77777777" w:rsidR="00C83D23" w:rsidRPr="00A723AD" w:rsidRDefault="00C83D23" w:rsidP="00361138">
            <w:pPr>
              <w:jc w:val="both"/>
              <w:rPr>
                <w:sz w:val="20"/>
                <w:szCs w:val="20"/>
              </w:rPr>
            </w:pPr>
            <w:r w:rsidRPr="00A723AD">
              <w:rPr>
                <w:sz w:val="20"/>
                <w:szCs w:val="20"/>
              </w:rPr>
              <w:t>1.9.Izteikt 49.punktu šādā redakcijā:</w:t>
            </w:r>
          </w:p>
          <w:p w14:paraId="46B1E251" w14:textId="77777777" w:rsidR="00C83D23" w:rsidRPr="00A723AD" w:rsidRDefault="00C83D23" w:rsidP="00361138">
            <w:pPr>
              <w:ind w:firstLine="284"/>
              <w:jc w:val="both"/>
              <w:rPr>
                <w:sz w:val="20"/>
                <w:szCs w:val="20"/>
              </w:rPr>
            </w:pPr>
            <w:r w:rsidRPr="00A723AD">
              <w:rPr>
                <w:sz w:val="20"/>
                <w:szCs w:val="20"/>
              </w:rPr>
              <w:t xml:space="preserve">“49. Valsts budžeta izpildītāji, kuri saimnieciskā gada laikā ir saņēmuši valsts pamatbudžeta kontā transferta ieņēmumus no dotācijas no vispārējiem ieņēmumiem vai no valsts speciālā budžeta, un nav tos izlietojuši, veic transferta atlikuma atmaksu līdz saimnieciskā gada beigām, piemērojot atbilstošos transferta ieņēmumu un </w:t>
            </w:r>
            <w:r>
              <w:rPr>
                <w:sz w:val="20"/>
                <w:szCs w:val="20"/>
              </w:rPr>
              <w:t>izdevumu klasifikācijas kodus.“</w:t>
            </w:r>
          </w:p>
          <w:p w14:paraId="31441D2F" w14:textId="77777777" w:rsidR="00C83D23" w:rsidRPr="00141816" w:rsidRDefault="00C83D23" w:rsidP="00361138">
            <w:pPr>
              <w:jc w:val="both"/>
              <w:rPr>
                <w:sz w:val="20"/>
                <w:szCs w:val="20"/>
              </w:rPr>
            </w:pPr>
          </w:p>
        </w:tc>
        <w:tc>
          <w:tcPr>
            <w:tcW w:w="4819" w:type="dxa"/>
          </w:tcPr>
          <w:p w14:paraId="1D207329" w14:textId="77777777" w:rsidR="00C83D23" w:rsidRPr="00A723AD" w:rsidRDefault="00C83D23" w:rsidP="00361138">
            <w:pPr>
              <w:pStyle w:val="naisf"/>
              <w:spacing w:before="0" w:after="0"/>
              <w:ind w:firstLine="0"/>
              <w:rPr>
                <w:sz w:val="20"/>
                <w:szCs w:val="20"/>
              </w:rPr>
            </w:pPr>
            <w:r w:rsidRPr="00A723AD">
              <w:rPr>
                <w:b/>
                <w:sz w:val="20"/>
                <w:szCs w:val="20"/>
              </w:rPr>
              <w:t>Labklājības ministrija</w:t>
            </w:r>
          </w:p>
          <w:p w14:paraId="00EEB2A2" w14:textId="77777777" w:rsidR="00C83D23" w:rsidRPr="00A723AD" w:rsidRDefault="00C83D23" w:rsidP="00361138">
            <w:pPr>
              <w:pStyle w:val="naisf"/>
              <w:spacing w:before="0" w:after="0"/>
              <w:ind w:firstLine="0"/>
              <w:rPr>
                <w:sz w:val="20"/>
                <w:szCs w:val="20"/>
              </w:rPr>
            </w:pPr>
          </w:p>
          <w:p w14:paraId="60478FF2" w14:textId="77777777" w:rsidR="00C83D23" w:rsidRDefault="00C83D23" w:rsidP="00361138">
            <w:pPr>
              <w:jc w:val="both"/>
              <w:rPr>
                <w:b/>
                <w:sz w:val="20"/>
                <w:szCs w:val="20"/>
              </w:rPr>
            </w:pPr>
            <w:r w:rsidRPr="00A723AD">
              <w:rPr>
                <w:sz w:val="20"/>
              </w:rPr>
              <w:t xml:space="preserve">Lūdzam papildināt MK noteikumu projekta 1.9.apakšpunktu ar vārdiem “vai līdz kārtējā saimnieciskā gada 8.janvārim iesniedz pieteikumu par atlikuma uz iepriekšējā saimnieciskā gada beigām pārgrāmatošana (4.pielikums)”, kā arī MK noteikumu projekta 4.pielikumā saglabāt 3.punktu, jo piedāvātā MK noteikumu projekta 1.9.apakšpunktā norādītā 49.punkta redakcija un  ar 1.12. apakšpunktu izteiktā 4.pielikuma redakcija turpmāk izslēgs iespēju LM padotības institūcijām veikt beidzamajā darba dienā iestādes norēķinu kontā saņemto neplānoto ieņēmumu pārgrāmatošanu, piemēram, Nodarbinātības valsts aģentūras (turpmāk – NVA) gada beidzamajā darbdienā norēķinu kontā saņemtos neplānotos ieņēmumus (parādu/pārmaksu atmaksa no fiziskām un juridiskām personām pamatbudžeta un speciālā budžeta kontos, transfertu atmaksa no pašvaldībām speciālajā budžetā) pārgrāmatot kā iepriekšējā saimnieciskā gada 31.decembra darījumu, novirzot ieņēmumus attiecīgi uz </w:t>
            </w:r>
            <w:r w:rsidRPr="00A723AD">
              <w:rPr>
                <w:sz w:val="20"/>
              </w:rPr>
              <w:lastRenderedPageBreak/>
              <w:t>Valsts sociālās apdrošināšanas aģentūras (turpmāk – VSAA) norēķinu kontu (SB) vai valsts budžeta ieņēmumu kontu (PB), un rezultātā “sakārtojot” NVA kontu ieņēmumu daļu atbilstoši apstiprinātajiem plāniem. 4.pielikuma 2.punkts asignējumu slēgšanas gadījumā paredz vienlaicīgu dotācijas samazināšanu, bet neparedz iespēju slēgt asignējumus, samazinot neplānotu ieņēmumu pozīciju. Savukārt 4.pielikuma 1.punkts paredz iespēju atlikumu pārgrāmatot uz Finansēšanas daļu. Speciālā budžeta gadījumā, NVA līdzšinēji piemērotā prakse ir pārgrāmatot beidzamās darbdienas ieņēmumus uz iepriekšējā saimnieciskā gada darījumiem un atmaksāt VSAA kā 31.decembra darījumu. Pēc MK noteikumu grozījumu spēkā stāšanās šādi naudas līdzekļu atlikumi nākošajā gadā pāries uz Finansēšanas sadaļu, kurus nevarēs izmanot līdz iestrādāšanai valsts budžeta izdevumos. Ņemot vērā NVA īstenoto parādu piedziņas funkciju, gada beidzamajā darba dienā neplānoti ieņēmumi var veidoties arī pamatbudžeta kontos (gan pamatdarbības, gan ES fondu projektu kontos, jo īpaši, projekta “Atbalsts bezdarbnieku izglītībai” gadījumā).</w:t>
            </w:r>
          </w:p>
        </w:tc>
        <w:tc>
          <w:tcPr>
            <w:tcW w:w="3544" w:type="dxa"/>
          </w:tcPr>
          <w:p w14:paraId="480EE1F8" w14:textId="364C6696" w:rsidR="00C83D23" w:rsidRDefault="00C83D23" w:rsidP="00C83D23">
            <w:pPr>
              <w:pStyle w:val="naisc"/>
              <w:spacing w:before="0" w:after="0"/>
              <w:jc w:val="both"/>
              <w:rPr>
                <w:b/>
                <w:sz w:val="20"/>
                <w:szCs w:val="20"/>
              </w:rPr>
            </w:pPr>
            <w:r w:rsidRPr="00690A67">
              <w:rPr>
                <w:b/>
                <w:sz w:val="20"/>
                <w:szCs w:val="20"/>
              </w:rPr>
              <w:lastRenderedPageBreak/>
              <w:t>Saskaņoša</w:t>
            </w:r>
            <w:r>
              <w:rPr>
                <w:b/>
                <w:sz w:val="20"/>
                <w:szCs w:val="20"/>
              </w:rPr>
              <w:t>nas sanāksmē sniegts skaidrojums un panākta vienošanās</w:t>
            </w:r>
            <w:r w:rsidR="00A426C7">
              <w:rPr>
                <w:b/>
                <w:sz w:val="20"/>
                <w:szCs w:val="20"/>
              </w:rPr>
              <w:t xml:space="preserve"> par alternatīvu risinājumu, papildināta anotācija.</w:t>
            </w:r>
          </w:p>
        </w:tc>
        <w:tc>
          <w:tcPr>
            <w:tcW w:w="2410" w:type="dxa"/>
          </w:tcPr>
          <w:p w14:paraId="7DFFB5C4" w14:textId="1D8F47CA" w:rsidR="00C83D23" w:rsidRDefault="00A426C7" w:rsidP="00361138">
            <w:pPr>
              <w:jc w:val="both"/>
              <w:rPr>
                <w:sz w:val="20"/>
                <w:szCs w:val="20"/>
              </w:rPr>
            </w:pPr>
            <w:r>
              <w:rPr>
                <w:sz w:val="20"/>
                <w:szCs w:val="20"/>
              </w:rPr>
              <w:t>Papildināta anotācija.</w:t>
            </w:r>
          </w:p>
        </w:tc>
      </w:tr>
      <w:tr w:rsidR="00C83D23" w:rsidRPr="00141816" w14:paraId="77BB6912" w14:textId="77777777" w:rsidTr="00361138">
        <w:tc>
          <w:tcPr>
            <w:tcW w:w="807" w:type="dxa"/>
          </w:tcPr>
          <w:p w14:paraId="57EC2E35" w14:textId="6EFF6560" w:rsidR="00C83D23" w:rsidRDefault="00A426C7" w:rsidP="00C83D23">
            <w:pPr>
              <w:jc w:val="both"/>
              <w:rPr>
                <w:sz w:val="20"/>
                <w:szCs w:val="20"/>
              </w:rPr>
            </w:pPr>
            <w:r>
              <w:rPr>
                <w:sz w:val="20"/>
                <w:szCs w:val="20"/>
              </w:rPr>
              <w:t>3</w:t>
            </w:r>
            <w:r w:rsidR="00C83D23">
              <w:rPr>
                <w:sz w:val="20"/>
                <w:szCs w:val="20"/>
              </w:rPr>
              <w:t>.</w:t>
            </w:r>
          </w:p>
        </w:tc>
        <w:tc>
          <w:tcPr>
            <w:tcW w:w="2307" w:type="dxa"/>
          </w:tcPr>
          <w:p w14:paraId="1AB580F2" w14:textId="77777777" w:rsidR="00C83D23" w:rsidRPr="00141816" w:rsidRDefault="00C83D23" w:rsidP="00361138">
            <w:pPr>
              <w:jc w:val="both"/>
              <w:rPr>
                <w:sz w:val="20"/>
                <w:szCs w:val="20"/>
              </w:rPr>
            </w:pPr>
          </w:p>
        </w:tc>
        <w:tc>
          <w:tcPr>
            <w:tcW w:w="4819" w:type="dxa"/>
          </w:tcPr>
          <w:p w14:paraId="402087A6" w14:textId="77777777" w:rsidR="00C83D23" w:rsidRDefault="00C83D23" w:rsidP="00361138">
            <w:pPr>
              <w:jc w:val="both"/>
              <w:rPr>
                <w:b/>
                <w:sz w:val="20"/>
                <w:szCs w:val="20"/>
              </w:rPr>
            </w:pPr>
            <w:r>
              <w:rPr>
                <w:b/>
                <w:sz w:val="20"/>
                <w:szCs w:val="20"/>
              </w:rPr>
              <w:t>Tieslietu ministrija</w:t>
            </w:r>
          </w:p>
          <w:p w14:paraId="3B00CCF0" w14:textId="77777777" w:rsidR="00C83D23" w:rsidRPr="00141816" w:rsidRDefault="00C83D23" w:rsidP="00361138">
            <w:pPr>
              <w:jc w:val="both"/>
              <w:rPr>
                <w:sz w:val="20"/>
                <w:szCs w:val="20"/>
              </w:rPr>
            </w:pPr>
          </w:p>
          <w:p w14:paraId="28C2E0AA" w14:textId="77777777" w:rsidR="00C83D23" w:rsidRDefault="00C83D23" w:rsidP="00361138">
            <w:pPr>
              <w:jc w:val="both"/>
              <w:rPr>
                <w:b/>
                <w:sz w:val="20"/>
                <w:szCs w:val="20"/>
              </w:rPr>
            </w:pPr>
            <w:r w:rsidRPr="00FF0C45">
              <w:rPr>
                <w:sz w:val="20"/>
                <w:szCs w:val="20"/>
              </w:rPr>
              <w:t>Pamatojoties uz Tieslietu ministrijas 09.09.2019. atzinuma Nr.1-9.1/920 par Ministru kabineta noteikumu projektu "Kārtība, kādā Valsts kase nodrošina maksājumu pakalpojumu sniegšanu" (VSS-826) 2. punktā minētā iebilduma argumentāciju, lūdzam svītrot no projekta 1.1. un 1.13. apakšpunktu, saglabājot budžeta izpildītājiem iespēju iesniegt pieteikumu par līdzekļu pārgrāmatošanu starp kontiem.</w:t>
            </w:r>
          </w:p>
        </w:tc>
        <w:tc>
          <w:tcPr>
            <w:tcW w:w="3544" w:type="dxa"/>
          </w:tcPr>
          <w:p w14:paraId="5731AC8D" w14:textId="77777777" w:rsidR="00C83D23" w:rsidRDefault="00C83D23" w:rsidP="00361138">
            <w:pPr>
              <w:pStyle w:val="naisc"/>
              <w:spacing w:before="0" w:after="0"/>
              <w:jc w:val="both"/>
              <w:rPr>
                <w:b/>
                <w:sz w:val="20"/>
                <w:szCs w:val="20"/>
              </w:rPr>
            </w:pPr>
            <w:r w:rsidRPr="00690A67">
              <w:rPr>
                <w:b/>
                <w:sz w:val="20"/>
                <w:szCs w:val="20"/>
              </w:rPr>
              <w:t>Saskaņoša</w:t>
            </w:r>
            <w:r>
              <w:rPr>
                <w:b/>
                <w:sz w:val="20"/>
                <w:szCs w:val="20"/>
              </w:rPr>
              <w:t>nas sanāksmē sniegts skaidrojums. Tieslietu ministrija neuztur iebildumu.</w:t>
            </w:r>
          </w:p>
          <w:p w14:paraId="27B5926A" w14:textId="77777777" w:rsidR="00C83D23" w:rsidRDefault="00C83D23" w:rsidP="00361138">
            <w:pPr>
              <w:pStyle w:val="naisc"/>
              <w:spacing w:before="0" w:after="0"/>
              <w:jc w:val="both"/>
              <w:rPr>
                <w:b/>
                <w:sz w:val="20"/>
                <w:szCs w:val="20"/>
              </w:rPr>
            </w:pPr>
          </w:p>
          <w:p w14:paraId="7BBEA347" w14:textId="77777777" w:rsidR="00C83D23" w:rsidRDefault="00C83D23" w:rsidP="00361138">
            <w:pPr>
              <w:jc w:val="both"/>
              <w:rPr>
                <w:b/>
                <w:sz w:val="20"/>
                <w:szCs w:val="20"/>
              </w:rPr>
            </w:pPr>
          </w:p>
        </w:tc>
        <w:tc>
          <w:tcPr>
            <w:tcW w:w="2410" w:type="dxa"/>
          </w:tcPr>
          <w:p w14:paraId="5B8AD287" w14:textId="77777777" w:rsidR="00C83D23" w:rsidRDefault="00C83D23" w:rsidP="00361138">
            <w:pPr>
              <w:jc w:val="both"/>
              <w:rPr>
                <w:sz w:val="20"/>
                <w:szCs w:val="20"/>
              </w:rPr>
            </w:pPr>
          </w:p>
        </w:tc>
      </w:tr>
      <w:tr w:rsidR="002F4794" w:rsidRPr="00141816" w14:paraId="573CF17D" w14:textId="77777777" w:rsidTr="00984394">
        <w:tc>
          <w:tcPr>
            <w:tcW w:w="807" w:type="dxa"/>
          </w:tcPr>
          <w:p w14:paraId="077E7D04" w14:textId="5586E87B" w:rsidR="002F4794" w:rsidRDefault="00A426C7" w:rsidP="002F4794">
            <w:pPr>
              <w:jc w:val="both"/>
              <w:rPr>
                <w:sz w:val="20"/>
                <w:szCs w:val="20"/>
              </w:rPr>
            </w:pPr>
            <w:r>
              <w:rPr>
                <w:sz w:val="20"/>
                <w:szCs w:val="20"/>
              </w:rPr>
              <w:t>4</w:t>
            </w:r>
            <w:r w:rsidR="00265A69">
              <w:rPr>
                <w:sz w:val="20"/>
                <w:szCs w:val="20"/>
              </w:rPr>
              <w:t>.</w:t>
            </w:r>
          </w:p>
        </w:tc>
        <w:tc>
          <w:tcPr>
            <w:tcW w:w="2307" w:type="dxa"/>
          </w:tcPr>
          <w:p w14:paraId="028A51A5" w14:textId="77777777" w:rsidR="002F4794" w:rsidRDefault="002F4794" w:rsidP="002F4794">
            <w:pPr>
              <w:jc w:val="both"/>
              <w:rPr>
                <w:sz w:val="20"/>
                <w:szCs w:val="20"/>
              </w:rPr>
            </w:pPr>
          </w:p>
          <w:p w14:paraId="0F6AD853" w14:textId="77777777" w:rsidR="002F4794" w:rsidRPr="00AA3797" w:rsidRDefault="002F4794" w:rsidP="002F4794">
            <w:pPr>
              <w:rPr>
                <w:sz w:val="20"/>
                <w:szCs w:val="20"/>
              </w:rPr>
            </w:pPr>
          </w:p>
          <w:p w14:paraId="10F9902B" w14:textId="77777777" w:rsidR="002F4794" w:rsidRPr="00AA3797" w:rsidRDefault="002F4794" w:rsidP="002F4794">
            <w:pPr>
              <w:rPr>
                <w:sz w:val="20"/>
                <w:szCs w:val="20"/>
              </w:rPr>
            </w:pPr>
          </w:p>
          <w:p w14:paraId="511C8BF3" w14:textId="77777777" w:rsidR="002F4794" w:rsidRPr="00AA3797" w:rsidRDefault="002F4794" w:rsidP="002F4794">
            <w:pPr>
              <w:rPr>
                <w:sz w:val="20"/>
                <w:szCs w:val="20"/>
              </w:rPr>
            </w:pPr>
          </w:p>
          <w:p w14:paraId="4F31CA4F" w14:textId="77777777" w:rsidR="002F4794" w:rsidRPr="00AA3797" w:rsidRDefault="002F4794" w:rsidP="002F4794">
            <w:pPr>
              <w:rPr>
                <w:sz w:val="20"/>
                <w:szCs w:val="20"/>
              </w:rPr>
            </w:pPr>
          </w:p>
          <w:p w14:paraId="442B1B28" w14:textId="77777777" w:rsidR="002F4794" w:rsidRPr="00AA3797" w:rsidRDefault="002F4794" w:rsidP="002F4794">
            <w:pPr>
              <w:rPr>
                <w:sz w:val="20"/>
                <w:szCs w:val="20"/>
              </w:rPr>
            </w:pPr>
          </w:p>
          <w:p w14:paraId="44BD9AEF" w14:textId="77777777" w:rsidR="002F4794" w:rsidRPr="00AA3797" w:rsidRDefault="002F4794" w:rsidP="002F4794">
            <w:pPr>
              <w:rPr>
                <w:sz w:val="20"/>
                <w:szCs w:val="20"/>
              </w:rPr>
            </w:pPr>
          </w:p>
          <w:p w14:paraId="38ED8EA7" w14:textId="77777777" w:rsidR="002F4794" w:rsidRPr="00AA3797" w:rsidRDefault="002F4794" w:rsidP="002F4794">
            <w:pPr>
              <w:rPr>
                <w:sz w:val="20"/>
                <w:szCs w:val="20"/>
              </w:rPr>
            </w:pPr>
          </w:p>
          <w:p w14:paraId="0C866F9E" w14:textId="77777777" w:rsidR="002F4794" w:rsidRPr="00AA3797" w:rsidRDefault="002F4794" w:rsidP="002F4794">
            <w:pPr>
              <w:rPr>
                <w:sz w:val="20"/>
                <w:szCs w:val="20"/>
              </w:rPr>
            </w:pPr>
          </w:p>
          <w:p w14:paraId="1C74B6CD" w14:textId="77777777" w:rsidR="002F4794" w:rsidRPr="00AA3797" w:rsidRDefault="002F4794" w:rsidP="002F4794">
            <w:pPr>
              <w:rPr>
                <w:sz w:val="20"/>
                <w:szCs w:val="20"/>
              </w:rPr>
            </w:pPr>
          </w:p>
          <w:p w14:paraId="44958501" w14:textId="77777777" w:rsidR="002F4794" w:rsidRPr="00AA3797" w:rsidRDefault="002F4794" w:rsidP="002F4794">
            <w:pPr>
              <w:rPr>
                <w:sz w:val="20"/>
                <w:szCs w:val="20"/>
              </w:rPr>
            </w:pPr>
          </w:p>
          <w:p w14:paraId="371C497C" w14:textId="77777777" w:rsidR="002F4794" w:rsidRPr="00AA3797" w:rsidRDefault="002F4794" w:rsidP="002F4794">
            <w:pPr>
              <w:rPr>
                <w:sz w:val="20"/>
                <w:szCs w:val="20"/>
              </w:rPr>
            </w:pPr>
          </w:p>
          <w:p w14:paraId="533BF6E2" w14:textId="77777777" w:rsidR="002F4794" w:rsidRPr="00AA3797" w:rsidRDefault="002F4794" w:rsidP="002F4794">
            <w:pPr>
              <w:rPr>
                <w:sz w:val="20"/>
                <w:szCs w:val="20"/>
              </w:rPr>
            </w:pPr>
          </w:p>
          <w:p w14:paraId="3E7B17F7" w14:textId="77777777" w:rsidR="002F4794" w:rsidRPr="00AA3797" w:rsidRDefault="002F4794" w:rsidP="002F4794">
            <w:pPr>
              <w:rPr>
                <w:sz w:val="20"/>
                <w:szCs w:val="20"/>
              </w:rPr>
            </w:pPr>
          </w:p>
          <w:p w14:paraId="13532CBC" w14:textId="77777777" w:rsidR="002F4794" w:rsidRPr="00AA3797" w:rsidRDefault="002F4794" w:rsidP="002F4794">
            <w:pPr>
              <w:rPr>
                <w:sz w:val="20"/>
                <w:szCs w:val="20"/>
              </w:rPr>
            </w:pPr>
          </w:p>
          <w:p w14:paraId="78E7DF24" w14:textId="77777777" w:rsidR="002F4794" w:rsidRPr="00AA3797" w:rsidRDefault="002F4794" w:rsidP="002F4794">
            <w:pPr>
              <w:rPr>
                <w:sz w:val="20"/>
                <w:szCs w:val="20"/>
              </w:rPr>
            </w:pPr>
          </w:p>
          <w:p w14:paraId="726866C7" w14:textId="77777777" w:rsidR="002F4794" w:rsidRPr="00AA3797" w:rsidRDefault="002F4794" w:rsidP="002F4794">
            <w:pPr>
              <w:rPr>
                <w:sz w:val="20"/>
                <w:szCs w:val="20"/>
              </w:rPr>
            </w:pPr>
          </w:p>
          <w:p w14:paraId="2A3BE67E" w14:textId="77777777" w:rsidR="002F4794" w:rsidRPr="00AA3797" w:rsidRDefault="002F4794" w:rsidP="002F4794">
            <w:pPr>
              <w:rPr>
                <w:sz w:val="20"/>
                <w:szCs w:val="20"/>
              </w:rPr>
            </w:pPr>
          </w:p>
          <w:p w14:paraId="57062F89" w14:textId="77777777" w:rsidR="002F4794" w:rsidRPr="00AA3797" w:rsidRDefault="002F4794" w:rsidP="002F4794">
            <w:pPr>
              <w:rPr>
                <w:sz w:val="20"/>
                <w:szCs w:val="20"/>
              </w:rPr>
            </w:pPr>
          </w:p>
          <w:p w14:paraId="235A8AB7" w14:textId="77777777" w:rsidR="002F4794" w:rsidRPr="00AA3797" w:rsidRDefault="002F4794" w:rsidP="002F4794">
            <w:pPr>
              <w:rPr>
                <w:sz w:val="20"/>
                <w:szCs w:val="20"/>
              </w:rPr>
            </w:pPr>
          </w:p>
          <w:p w14:paraId="63885031" w14:textId="77777777" w:rsidR="002F4794" w:rsidRPr="00AA3797" w:rsidRDefault="002F4794" w:rsidP="002F4794">
            <w:pPr>
              <w:rPr>
                <w:sz w:val="20"/>
                <w:szCs w:val="20"/>
              </w:rPr>
            </w:pPr>
          </w:p>
          <w:p w14:paraId="7F794D1A" w14:textId="77777777" w:rsidR="002F4794" w:rsidRPr="00AA3797" w:rsidRDefault="002F4794" w:rsidP="002F4794">
            <w:pPr>
              <w:rPr>
                <w:sz w:val="20"/>
                <w:szCs w:val="20"/>
              </w:rPr>
            </w:pPr>
          </w:p>
          <w:p w14:paraId="6B8FCE76" w14:textId="77777777" w:rsidR="002F4794" w:rsidRPr="00AA3797" w:rsidRDefault="002F4794" w:rsidP="002F4794">
            <w:pPr>
              <w:rPr>
                <w:sz w:val="20"/>
                <w:szCs w:val="20"/>
              </w:rPr>
            </w:pPr>
          </w:p>
          <w:p w14:paraId="1A8EB7A8" w14:textId="77777777" w:rsidR="002F4794" w:rsidRPr="00141816" w:rsidRDefault="002F4794" w:rsidP="002F4794">
            <w:pPr>
              <w:jc w:val="both"/>
              <w:rPr>
                <w:sz w:val="20"/>
                <w:szCs w:val="20"/>
              </w:rPr>
            </w:pPr>
          </w:p>
        </w:tc>
        <w:tc>
          <w:tcPr>
            <w:tcW w:w="4819" w:type="dxa"/>
          </w:tcPr>
          <w:p w14:paraId="06F073FD" w14:textId="77777777" w:rsidR="002F4794" w:rsidRPr="007B1E12" w:rsidRDefault="002F4794" w:rsidP="002F4794">
            <w:pPr>
              <w:pStyle w:val="naisf"/>
              <w:spacing w:before="0" w:after="0"/>
              <w:ind w:firstLine="0"/>
              <w:rPr>
                <w:b/>
                <w:sz w:val="20"/>
                <w:szCs w:val="20"/>
              </w:rPr>
            </w:pPr>
            <w:r w:rsidRPr="007B1E12">
              <w:rPr>
                <w:b/>
                <w:sz w:val="20"/>
                <w:szCs w:val="20"/>
              </w:rPr>
              <w:lastRenderedPageBreak/>
              <w:t>Iekšlietu ministrija</w:t>
            </w:r>
          </w:p>
          <w:p w14:paraId="519E72C5" w14:textId="77777777" w:rsidR="002F4794" w:rsidRDefault="002F4794" w:rsidP="002F4794">
            <w:pPr>
              <w:pStyle w:val="naisf"/>
              <w:spacing w:before="0" w:after="0"/>
              <w:ind w:firstLine="0"/>
              <w:rPr>
                <w:sz w:val="20"/>
                <w:szCs w:val="20"/>
              </w:rPr>
            </w:pPr>
          </w:p>
          <w:p w14:paraId="70285A28" w14:textId="46A5E2CE" w:rsidR="002F4794" w:rsidRDefault="002F4794" w:rsidP="002F4794">
            <w:pPr>
              <w:jc w:val="both"/>
              <w:rPr>
                <w:b/>
                <w:sz w:val="20"/>
                <w:szCs w:val="20"/>
              </w:rPr>
            </w:pPr>
            <w:r w:rsidRPr="007B1E12">
              <w:rPr>
                <w:sz w:val="20"/>
                <w:szCs w:val="20"/>
              </w:rPr>
              <w:t xml:space="preserve">Sākotnējās ietekmes novērtējuma ziņojumu (anotāciju) ir norādīts, projekts ir saistīts ar Finanšu ministrijas virzīto Ministru kabineta noteikumu projektu “Kārtība, kādā Valsts kase nodrošina maksājumu pakalpojumu sniegšanu” (VSS – 826), kurā paredzēts iestādēm atļaut </w:t>
            </w:r>
            <w:r w:rsidRPr="007B1E12">
              <w:rPr>
                <w:sz w:val="20"/>
                <w:szCs w:val="20"/>
              </w:rPr>
              <w:lastRenderedPageBreak/>
              <w:t>veikt labojumus par darījumiem, kas reģistrēti iepriekšējā saimnieciskā gada decembrī, tikai līdz saimnieciskā gada pēdējai darbdienai. Iekšlietu ministrija iebilda pret šāda termiņa noteikšanu, jo iestāde nevar ietekmēt darījumus, ko Valsts kase veiks pēdējā darba dienā, un nevarēs nākamajā saimnieciskā gada sākumā  veikt labojumus par iepriekšējo gadu. Saskaņā ar  Ministru kabineta 2010.gada 28.decembra noteikumu Nr.1220 “Asignējumu piešķiršanas un izpildes kārtība” 39.punktu, iestādēm jāsaskaņo kopsavilkuma pārskats par budžeta izpildi, kurš nesakritīs ar grāmatvedības uzskaites datiem. Kopsavilkuma pārskatu par budžeta izpildi varēs saskaņot tikai gadījumā, ja grāmatvedības dati sakritīs ar kopsavilkuma datiem. Projekts neparedz konstatētās neatbilstības skaidrot.</w:t>
            </w:r>
          </w:p>
        </w:tc>
        <w:tc>
          <w:tcPr>
            <w:tcW w:w="3544" w:type="dxa"/>
          </w:tcPr>
          <w:p w14:paraId="57179E3A" w14:textId="150A7FCD" w:rsidR="002F4794" w:rsidRDefault="00690A67" w:rsidP="002A1215">
            <w:pPr>
              <w:jc w:val="both"/>
              <w:rPr>
                <w:b/>
                <w:sz w:val="20"/>
                <w:szCs w:val="20"/>
              </w:rPr>
            </w:pPr>
            <w:r w:rsidRPr="00690A67">
              <w:rPr>
                <w:b/>
                <w:sz w:val="20"/>
                <w:szCs w:val="20"/>
              </w:rPr>
              <w:lastRenderedPageBreak/>
              <w:t xml:space="preserve">Saskaņošanas sanāksmē panākta vienošanās </w:t>
            </w:r>
            <w:r>
              <w:rPr>
                <w:b/>
                <w:sz w:val="20"/>
                <w:szCs w:val="20"/>
              </w:rPr>
              <w:t xml:space="preserve">par </w:t>
            </w:r>
            <w:r w:rsidRPr="00690A67">
              <w:rPr>
                <w:b/>
                <w:sz w:val="20"/>
                <w:szCs w:val="20"/>
              </w:rPr>
              <w:t xml:space="preserve">anotācijas </w:t>
            </w:r>
            <w:r w:rsidR="002A1215" w:rsidRPr="002A1215">
              <w:rPr>
                <w:b/>
                <w:sz w:val="20"/>
                <w:szCs w:val="20"/>
              </w:rPr>
              <w:t xml:space="preserve">I.sadaļas 2.punkta papildināšanu </w:t>
            </w:r>
            <w:r w:rsidRPr="00690A67">
              <w:rPr>
                <w:b/>
                <w:sz w:val="20"/>
                <w:szCs w:val="20"/>
              </w:rPr>
              <w:t>ar skaidrojumu par neatbilstību</w:t>
            </w:r>
            <w:r w:rsidR="002A1215">
              <w:rPr>
                <w:b/>
                <w:sz w:val="20"/>
                <w:szCs w:val="20"/>
              </w:rPr>
              <w:t xml:space="preserve"> uzrādīšanas</w:t>
            </w:r>
            <w:r w:rsidRPr="00690A67">
              <w:rPr>
                <w:b/>
                <w:sz w:val="20"/>
                <w:szCs w:val="20"/>
              </w:rPr>
              <w:t xml:space="preserve"> risinājumu </w:t>
            </w:r>
            <w:r w:rsidR="00A426C7">
              <w:rPr>
                <w:b/>
                <w:sz w:val="20"/>
                <w:szCs w:val="20"/>
              </w:rPr>
              <w:t xml:space="preserve">ministriju </w:t>
            </w:r>
            <w:r w:rsidRPr="00690A67">
              <w:rPr>
                <w:b/>
                <w:sz w:val="20"/>
                <w:szCs w:val="20"/>
              </w:rPr>
              <w:t>kopsavilkuma pārskat</w:t>
            </w:r>
            <w:r w:rsidR="002A1215">
              <w:rPr>
                <w:b/>
                <w:sz w:val="20"/>
                <w:szCs w:val="20"/>
              </w:rPr>
              <w:t>ā</w:t>
            </w:r>
            <w:r w:rsidRPr="00690A67">
              <w:rPr>
                <w:b/>
                <w:sz w:val="20"/>
                <w:szCs w:val="20"/>
              </w:rPr>
              <w:t xml:space="preserve"> par budžeta </w:t>
            </w:r>
            <w:r w:rsidRPr="00690A67">
              <w:rPr>
                <w:b/>
                <w:sz w:val="20"/>
                <w:szCs w:val="20"/>
              </w:rPr>
              <w:lastRenderedPageBreak/>
              <w:t>izpildi iepriekšējā saimnieciskajā gadā</w:t>
            </w:r>
            <w:r w:rsidR="002A1215">
              <w:rPr>
                <w:b/>
                <w:sz w:val="20"/>
                <w:szCs w:val="20"/>
              </w:rPr>
              <w:t xml:space="preserve"> sākot ar 2021.gadu.</w:t>
            </w:r>
          </w:p>
        </w:tc>
        <w:tc>
          <w:tcPr>
            <w:tcW w:w="2410" w:type="dxa"/>
          </w:tcPr>
          <w:p w14:paraId="401DEDEA" w14:textId="0F302EB2" w:rsidR="002F4794" w:rsidRDefault="002A1215" w:rsidP="002F4794">
            <w:pPr>
              <w:jc w:val="both"/>
              <w:rPr>
                <w:sz w:val="20"/>
                <w:szCs w:val="20"/>
              </w:rPr>
            </w:pPr>
            <w:r>
              <w:rPr>
                <w:sz w:val="20"/>
                <w:szCs w:val="20"/>
              </w:rPr>
              <w:lastRenderedPageBreak/>
              <w:t>Papildināta anotācija.</w:t>
            </w:r>
          </w:p>
        </w:tc>
      </w:tr>
      <w:tr w:rsidR="00BC1134" w:rsidRPr="00141816" w14:paraId="1E1CE7A4" w14:textId="77777777" w:rsidTr="00984394">
        <w:tc>
          <w:tcPr>
            <w:tcW w:w="807" w:type="dxa"/>
          </w:tcPr>
          <w:p w14:paraId="502A346D" w14:textId="4E13180A" w:rsidR="00BC1134" w:rsidRPr="00141816" w:rsidRDefault="00A426C7" w:rsidP="00BC1134">
            <w:pPr>
              <w:jc w:val="both"/>
              <w:rPr>
                <w:sz w:val="20"/>
                <w:szCs w:val="20"/>
              </w:rPr>
            </w:pPr>
            <w:r>
              <w:rPr>
                <w:sz w:val="20"/>
                <w:szCs w:val="20"/>
              </w:rPr>
              <w:t>5</w:t>
            </w:r>
            <w:r w:rsidR="00102D5B">
              <w:rPr>
                <w:sz w:val="20"/>
                <w:szCs w:val="20"/>
              </w:rPr>
              <w:t>.</w:t>
            </w:r>
          </w:p>
        </w:tc>
        <w:tc>
          <w:tcPr>
            <w:tcW w:w="2307" w:type="dxa"/>
          </w:tcPr>
          <w:p w14:paraId="7E2A1049" w14:textId="6F0602F5" w:rsidR="00BC1134" w:rsidRPr="00141816" w:rsidRDefault="00BC1134" w:rsidP="00BC1134">
            <w:pPr>
              <w:jc w:val="both"/>
              <w:rPr>
                <w:sz w:val="20"/>
                <w:szCs w:val="20"/>
              </w:rPr>
            </w:pPr>
          </w:p>
        </w:tc>
        <w:tc>
          <w:tcPr>
            <w:tcW w:w="4819" w:type="dxa"/>
          </w:tcPr>
          <w:p w14:paraId="2D0606CE" w14:textId="77777777" w:rsidR="00102D5B" w:rsidRDefault="00102D5B" w:rsidP="00E85AEE">
            <w:pPr>
              <w:jc w:val="both"/>
              <w:rPr>
                <w:b/>
                <w:sz w:val="20"/>
                <w:szCs w:val="20"/>
              </w:rPr>
            </w:pPr>
            <w:r>
              <w:rPr>
                <w:b/>
                <w:sz w:val="20"/>
                <w:szCs w:val="20"/>
              </w:rPr>
              <w:t>Tieslietu ministrija</w:t>
            </w:r>
          </w:p>
          <w:p w14:paraId="5B3FCBC6" w14:textId="77777777" w:rsidR="00102D5B" w:rsidRPr="00141816" w:rsidRDefault="00102D5B" w:rsidP="00E85AEE">
            <w:pPr>
              <w:jc w:val="both"/>
              <w:rPr>
                <w:sz w:val="20"/>
                <w:szCs w:val="20"/>
              </w:rPr>
            </w:pPr>
          </w:p>
          <w:p w14:paraId="2EBFC6CB" w14:textId="3865C695" w:rsidR="007934C6" w:rsidRPr="00141816" w:rsidRDefault="00102D5B" w:rsidP="00E85AEE">
            <w:pPr>
              <w:jc w:val="both"/>
              <w:rPr>
                <w:sz w:val="20"/>
                <w:szCs w:val="20"/>
              </w:rPr>
            </w:pPr>
            <w:r w:rsidRPr="00102D5B">
              <w:rPr>
                <w:sz w:val="20"/>
                <w:szCs w:val="20"/>
              </w:rPr>
              <w:t>Lūdzam papildināt projekta anotācijas I sadaļas 2. punktu ar pamatojumu pēc būtības, kādēļ nepieciešams samazināt veicamo darbību termiņus (t.sk. skaidrot, kādu problēmu tas risina) (sk. projekta 1.4., 1.5., 1.6.,</w:t>
            </w:r>
            <w:r w:rsidR="00C57C5A">
              <w:rPr>
                <w:sz w:val="20"/>
                <w:szCs w:val="20"/>
              </w:rPr>
              <w:t xml:space="preserve"> </w:t>
            </w:r>
            <w:r w:rsidRPr="00102D5B">
              <w:rPr>
                <w:sz w:val="20"/>
                <w:szCs w:val="20"/>
              </w:rPr>
              <w:t>1.7.,</w:t>
            </w:r>
            <w:r w:rsidR="00C57C5A">
              <w:rPr>
                <w:sz w:val="20"/>
                <w:szCs w:val="20"/>
              </w:rPr>
              <w:t xml:space="preserve"> </w:t>
            </w:r>
            <w:r w:rsidRPr="00102D5B">
              <w:rPr>
                <w:sz w:val="20"/>
                <w:szCs w:val="20"/>
              </w:rPr>
              <w:t>1.10., 1.11. apakšpunktu). Vienlaikus lūdzam, pamatot arī no jauna noteiktos darbību veikšanas termiņus projektā (sk. projekta 1.6.apakšpunktu - līdzekļu atlikumu ieskaitīšana).</w:t>
            </w:r>
          </w:p>
        </w:tc>
        <w:tc>
          <w:tcPr>
            <w:tcW w:w="3544" w:type="dxa"/>
          </w:tcPr>
          <w:p w14:paraId="0E3A2068" w14:textId="12E217DC" w:rsidR="00BC1134" w:rsidRPr="00141816" w:rsidRDefault="00102D5B" w:rsidP="00984394">
            <w:pPr>
              <w:jc w:val="both"/>
              <w:rPr>
                <w:sz w:val="20"/>
                <w:szCs w:val="20"/>
              </w:rPr>
            </w:pPr>
            <w:r>
              <w:rPr>
                <w:b/>
                <w:sz w:val="20"/>
                <w:szCs w:val="20"/>
              </w:rPr>
              <w:t>Ņemts vērā.</w:t>
            </w:r>
          </w:p>
        </w:tc>
        <w:tc>
          <w:tcPr>
            <w:tcW w:w="2410" w:type="dxa"/>
          </w:tcPr>
          <w:p w14:paraId="66F9F445" w14:textId="032D6188" w:rsidR="00BC1134" w:rsidRPr="00141816" w:rsidRDefault="00A426C7" w:rsidP="00BC1134">
            <w:pPr>
              <w:jc w:val="both"/>
              <w:rPr>
                <w:sz w:val="20"/>
                <w:szCs w:val="20"/>
              </w:rPr>
            </w:pPr>
            <w:r>
              <w:rPr>
                <w:sz w:val="20"/>
                <w:szCs w:val="20"/>
              </w:rPr>
              <w:t>Precizēta anotācija.</w:t>
            </w:r>
          </w:p>
        </w:tc>
      </w:tr>
      <w:tr w:rsidR="00BC1134" w:rsidRPr="00141816" w14:paraId="386BF984" w14:textId="77777777" w:rsidTr="00984394">
        <w:tc>
          <w:tcPr>
            <w:tcW w:w="807" w:type="dxa"/>
          </w:tcPr>
          <w:p w14:paraId="55EF399F" w14:textId="63CB28D7" w:rsidR="00BC1134" w:rsidRPr="00141816" w:rsidRDefault="00A426C7" w:rsidP="00BC1134">
            <w:pPr>
              <w:jc w:val="both"/>
              <w:rPr>
                <w:sz w:val="20"/>
                <w:szCs w:val="20"/>
              </w:rPr>
            </w:pPr>
            <w:r>
              <w:rPr>
                <w:sz w:val="20"/>
                <w:szCs w:val="20"/>
              </w:rPr>
              <w:t>6</w:t>
            </w:r>
            <w:r w:rsidR="00102D5B">
              <w:rPr>
                <w:sz w:val="20"/>
                <w:szCs w:val="20"/>
              </w:rPr>
              <w:t>.</w:t>
            </w:r>
          </w:p>
        </w:tc>
        <w:tc>
          <w:tcPr>
            <w:tcW w:w="2307" w:type="dxa"/>
          </w:tcPr>
          <w:p w14:paraId="558267B2" w14:textId="5C2C2ECD" w:rsidR="00BC1134" w:rsidRPr="00141816" w:rsidRDefault="00BC1134" w:rsidP="00BC1134">
            <w:pPr>
              <w:jc w:val="both"/>
              <w:rPr>
                <w:sz w:val="20"/>
                <w:szCs w:val="20"/>
              </w:rPr>
            </w:pPr>
          </w:p>
        </w:tc>
        <w:tc>
          <w:tcPr>
            <w:tcW w:w="4819" w:type="dxa"/>
          </w:tcPr>
          <w:p w14:paraId="008EED71" w14:textId="77777777" w:rsidR="00102D5B" w:rsidRDefault="00102D5B" w:rsidP="00102D5B">
            <w:pPr>
              <w:jc w:val="both"/>
              <w:rPr>
                <w:b/>
                <w:sz w:val="20"/>
                <w:szCs w:val="20"/>
              </w:rPr>
            </w:pPr>
            <w:r>
              <w:rPr>
                <w:b/>
                <w:sz w:val="20"/>
                <w:szCs w:val="20"/>
              </w:rPr>
              <w:t>Tieslietu ministrija</w:t>
            </w:r>
          </w:p>
          <w:p w14:paraId="0637BDEE" w14:textId="77777777" w:rsidR="00102D5B" w:rsidRPr="00141816" w:rsidRDefault="00102D5B" w:rsidP="00102D5B">
            <w:pPr>
              <w:jc w:val="both"/>
              <w:rPr>
                <w:sz w:val="20"/>
                <w:szCs w:val="20"/>
              </w:rPr>
            </w:pPr>
          </w:p>
          <w:p w14:paraId="06D0F6D4" w14:textId="223B55E3" w:rsidR="00BC1134" w:rsidRPr="00141816" w:rsidRDefault="00102D5B" w:rsidP="00BC1134">
            <w:pPr>
              <w:jc w:val="both"/>
              <w:rPr>
                <w:sz w:val="20"/>
                <w:szCs w:val="20"/>
              </w:rPr>
            </w:pPr>
            <w:r w:rsidRPr="00102D5B">
              <w:rPr>
                <w:sz w:val="20"/>
                <w:szCs w:val="20"/>
              </w:rPr>
              <w:t xml:space="preserve">Lūdzam precizēt projekta anotācijas II sadaļas 1. punktu atbilstoši Ministru kabineta 2009. gada 15. decembra instrukcijas Nr. 19 "Tiesību akta projekta sākotnējās ietekmes izvērtēšanas kārtība" (turpmāk – Instrukcija Nr.19) 20. punkta prasībām, kas paredz, ka anotācijā norāda visas sabiedrības mērķgrupas, uz kurām attiecināms projekta tiesiskais regulējums tiešā un netiešā veidā, t.i., kuru tiesības, pienākumus, finanses vai iespējas projekts ietekmē vai varētu ietekmēt. Ar sabiedrības </w:t>
            </w:r>
            <w:r w:rsidRPr="00102D5B">
              <w:rPr>
                <w:sz w:val="20"/>
                <w:szCs w:val="20"/>
              </w:rPr>
              <w:lastRenderedPageBreak/>
              <w:t>mērķgrupu saprot jebkuru fizisku vai juridisku personu grupu (tai skaitā valsts un pašvaldību iestādēs nodarbinātos), kuru skar projektā paredzētais regulējums. Atbilstoši noteikumu regulējumam tas attiecas uz ministrijām un to padotībā esošajām iestādēm, Valsts kasi, budžeta izpildītājiem (proti, no budžeta finansētu institūciju vadītāji, kuri ar asignējumu pilnvaroti izdarīt budžeta izdevumus vai uzņemties īstermiņa saistības, vai arī tiesīgi uzņemties ilgtermiņa saistības attiecībā uz budžetu). Minētā informācija būtu norādāma arī anotācijas VII sadaļā, jo Instrukcijas Nr. 19 65. punkts paredz norādīt pārvaldes institūcijas, kas nodrošinās projekta izpildi</w:t>
            </w:r>
            <w:r w:rsidR="00AA2803">
              <w:rPr>
                <w:sz w:val="20"/>
                <w:szCs w:val="20"/>
              </w:rPr>
              <w:t>.</w:t>
            </w:r>
          </w:p>
        </w:tc>
        <w:tc>
          <w:tcPr>
            <w:tcW w:w="3544" w:type="dxa"/>
          </w:tcPr>
          <w:p w14:paraId="1999CA5B" w14:textId="57B53E08" w:rsidR="00BC1134" w:rsidRPr="00141816" w:rsidRDefault="00102D5B" w:rsidP="00BC1134">
            <w:pPr>
              <w:jc w:val="both"/>
              <w:rPr>
                <w:sz w:val="20"/>
                <w:szCs w:val="20"/>
              </w:rPr>
            </w:pPr>
            <w:r>
              <w:rPr>
                <w:b/>
                <w:sz w:val="20"/>
                <w:szCs w:val="20"/>
              </w:rPr>
              <w:lastRenderedPageBreak/>
              <w:t>Ņemts vērā.</w:t>
            </w:r>
          </w:p>
        </w:tc>
        <w:tc>
          <w:tcPr>
            <w:tcW w:w="2410" w:type="dxa"/>
          </w:tcPr>
          <w:p w14:paraId="3BF4C666" w14:textId="7DC0DEA1" w:rsidR="00BC1134" w:rsidRPr="00141816" w:rsidRDefault="00A426C7" w:rsidP="00BC1134">
            <w:pPr>
              <w:jc w:val="both"/>
              <w:rPr>
                <w:sz w:val="20"/>
                <w:szCs w:val="20"/>
              </w:rPr>
            </w:pPr>
            <w:r>
              <w:rPr>
                <w:sz w:val="20"/>
                <w:szCs w:val="20"/>
              </w:rPr>
              <w:t>Precizēta anotācija.</w:t>
            </w:r>
          </w:p>
        </w:tc>
      </w:tr>
    </w:tbl>
    <w:p w14:paraId="2EBD171C" w14:textId="77777777" w:rsidR="00CA1DDF" w:rsidRPr="001E25A7" w:rsidRDefault="00CA1DDF" w:rsidP="000562CB">
      <w:pPr>
        <w:pStyle w:val="naisnod"/>
        <w:spacing w:before="0" w:after="0"/>
      </w:pPr>
    </w:p>
    <w:p w14:paraId="56571FBC" w14:textId="77777777" w:rsidR="009D5508" w:rsidRPr="001E25A7" w:rsidRDefault="009D5508" w:rsidP="000562CB">
      <w:pPr>
        <w:pStyle w:val="naisf"/>
        <w:spacing w:before="0" w:after="0"/>
      </w:pPr>
      <w:r w:rsidRPr="001E25A7">
        <w:t> </w:t>
      </w:r>
    </w:p>
    <w:p w14:paraId="6769525A" w14:textId="77777777" w:rsidR="009D5508" w:rsidRPr="001E25A7" w:rsidRDefault="009D5508" w:rsidP="000562CB">
      <w:pPr>
        <w:pStyle w:val="naisf"/>
        <w:spacing w:before="0" w:after="0"/>
        <w:rPr>
          <w:sz w:val="20"/>
          <w:szCs w:val="20"/>
        </w:rPr>
      </w:pPr>
      <w:r w:rsidRPr="001E25A7">
        <w:rPr>
          <w:sz w:val="20"/>
          <w:szCs w:val="20"/>
        </w:rPr>
        <w:t>Piezīme. * Dokumenta rekvizītu "paraksts" neaizpilda, ja elektroniskais dokuments ir sagatavots atbilstoši normatīvajiem aktiem par elektronisko dokumentu noformēšanu.</w:t>
      </w:r>
    </w:p>
    <w:tbl>
      <w:tblPr>
        <w:tblW w:w="0" w:type="auto"/>
        <w:tblCellSpacing w:w="0" w:type="dxa"/>
        <w:tblCellMar>
          <w:left w:w="0" w:type="dxa"/>
          <w:right w:w="0" w:type="dxa"/>
        </w:tblCellMar>
        <w:tblLook w:val="0000" w:firstRow="0" w:lastRow="0" w:firstColumn="0" w:lastColumn="0" w:noHBand="0" w:noVBand="0"/>
      </w:tblPr>
      <w:tblGrid>
        <w:gridCol w:w="8265"/>
      </w:tblGrid>
      <w:tr w:rsidR="009D5508" w:rsidRPr="001E25A7" w14:paraId="4D7963C5" w14:textId="77777777" w:rsidTr="009D5508">
        <w:trPr>
          <w:tblCellSpacing w:w="0" w:type="dxa"/>
        </w:trPr>
        <w:tc>
          <w:tcPr>
            <w:tcW w:w="8265" w:type="dxa"/>
            <w:tcBorders>
              <w:top w:val="nil"/>
              <w:left w:val="nil"/>
              <w:bottom w:val="single" w:sz="8" w:space="0" w:color="000000"/>
              <w:right w:val="nil"/>
            </w:tcBorders>
          </w:tcPr>
          <w:p w14:paraId="16DD93BC" w14:textId="54E282B4" w:rsidR="009D5508" w:rsidRPr="001E25A7" w:rsidRDefault="00065A7C" w:rsidP="00065A7C">
            <w:pPr>
              <w:pStyle w:val="naisf"/>
              <w:spacing w:before="0" w:after="0"/>
              <w:jc w:val="center"/>
            </w:pPr>
            <w:r>
              <w:t>Anita Popova</w:t>
            </w:r>
          </w:p>
        </w:tc>
      </w:tr>
      <w:tr w:rsidR="009D5508" w:rsidRPr="001E25A7" w14:paraId="13796006" w14:textId="77777777" w:rsidTr="009D5508">
        <w:trPr>
          <w:tblCellSpacing w:w="0" w:type="dxa"/>
        </w:trPr>
        <w:tc>
          <w:tcPr>
            <w:tcW w:w="0" w:type="auto"/>
            <w:tcBorders>
              <w:top w:val="nil"/>
              <w:left w:val="nil"/>
              <w:bottom w:val="nil"/>
              <w:right w:val="nil"/>
            </w:tcBorders>
            <w:vAlign w:val="center"/>
          </w:tcPr>
          <w:p w14:paraId="44F5598D" w14:textId="2FEED1B6" w:rsidR="009D5508" w:rsidRPr="001E25A7" w:rsidRDefault="00065A7C" w:rsidP="000562CB">
            <w:pPr>
              <w:pStyle w:val="naisc"/>
              <w:spacing w:before="0" w:after="0"/>
            </w:pPr>
            <w:r>
              <w:t>Valsts kases Budžeta izpildes un uzraudzības departamenta direktore</w:t>
            </w:r>
          </w:p>
        </w:tc>
      </w:tr>
      <w:tr w:rsidR="009D5508" w:rsidRPr="001E25A7" w14:paraId="7CB65425" w14:textId="77777777" w:rsidTr="009D5508">
        <w:trPr>
          <w:tblCellSpacing w:w="0" w:type="dxa"/>
        </w:trPr>
        <w:tc>
          <w:tcPr>
            <w:tcW w:w="0" w:type="auto"/>
            <w:tcBorders>
              <w:top w:val="nil"/>
              <w:left w:val="nil"/>
              <w:bottom w:val="single" w:sz="8" w:space="0" w:color="000000"/>
              <w:right w:val="nil"/>
            </w:tcBorders>
            <w:vAlign w:val="center"/>
          </w:tcPr>
          <w:p w14:paraId="32658BF0" w14:textId="77777777" w:rsidR="009D5508" w:rsidRPr="001E25A7" w:rsidRDefault="009D5508" w:rsidP="000562CB">
            <w:pPr>
              <w:pStyle w:val="naisf"/>
              <w:spacing w:before="0" w:after="0"/>
            </w:pPr>
            <w:r w:rsidRPr="001E25A7">
              <w:t> </w:t>
            </w:r>
          </w:p>
        </w:tc>
      </w:tr>
      <w:tr w:rsidR="009D5508" w:rsidRPr="001E25A7" w14:paraId="63684D6E" w14:textId="77777777" w:rsidTr="009D5508">
        <w:trPr>
          <w:tblCellSpacing w:w="0" w:type="dxa"/>
        </w:trPr>
        <w:tc>
          <w:tcPr>
            <w:tcW w:w="0" w:type="auto"/>
            <w:tcBorders>
              <w:top w:val="nil"/>
              <w:left w:val="nil"/>
              <w:bottom w:val="nil"/>
              <w:right w:val="nil"/>
            </w:tcBorders>
            <w:vAlign w:val="center"/>
          </w:tcPr>
          <w:p w14:paraId="79C70719" w14:textId="1BCC4133" w:rsidR="009D5508" w:rsidRPr="001E25A7" w:rsidRDefault="00065A7C" w:rsidP="000562CB">
            <w:pPr>
              <w:pStyle w:val="naisc"/>
              <w:spacing w:before="0" w:after="0"/>
            </w:pPr>
            <w:r>
              <w:t>67094246</w:t>
            </w:r>
          </w:p>
        </w:tc>
      </w:tr>
      <w:tr w:rsidR="009D5508" w:rsidRPr="001E25A7" w14:paraId="52960478" w14:textId="77777777" w:rsidTr="00984394">
        <w:trPr>
          <w:trHeight w:val="64"/>
          <w:tblCellSpacing w:w="0" w:type="dxa"/>
        </w:trPr>
        <w:tc>
          <w:tcPr>
            <w:tcW w:w="0" w:type="auto"/>
            <w:tcBorders>
              <w:top w:val="nil"/>
              <w:left w:val="nil"/>
              <w:bottom w:val="single" w:sz="8" w:space="0" w:color="000000"/>
              <w:right w:val="nil"/>
            </w:tcBorders>
            <w:vAlign w:val="center"/>
          </w:tcPr>
          <w:p w14:paraId="336F5ED6" w14:textId="538CA097" w:rsidR="009D5508" w:rsidRPr="001E25A7" w:rsidRDefault="009D5508" w:rsidP="00984394">
            <w:pPr>
              <w:pStyle w:val="naisf"/>
              <w:spacing w:before="0" w:after="0"/>
              <w:ind w:firstLine="0"/>
            </w:pPr>
          </w:p>
        </w:tc>
      </w:tr>
      <w:tr w:rsidR="009D5508" w:rsidRPr="001E25A7" w14:paraId="1DABF900" w14:textId="77777777" w:rsidTr="009D5508">
        <w:trPr>
          <w:tblCellSpacing w:w="0" w:type="dxa"/>
        </w:trPr>
        <w:tc>
          <w:tcPr>
            <w:tcW w:w="0" w:type="auto"/>
            <w:tcBorders>
              <w:top w:val="nil"/>
              <w:left w:val="nil"/>
              <w:bottom w:val="nil"/>
              <w:right w:val="nil"/>
            </w:tcBorders>
            <w:vAlign w:val="center"/>
          </w:tcPr>
          <w:p w14:paraId="6036496E" w14:textId="45602321" w:rsidR="00065A7C" w:rsidRPr="001E25A7" w:rsidRDefault="003F5E0F" w:rsidP="000562CB">
            <w:pPr>
              <w:pStyle w:val="naisc"/>
              <w:spacing w:before="0" w:after="0"/>
            </w:pPr>
            <w:hyperlink r:id="rId11" w:history="1">
              <w:r w:rsidR="00065A7C" w:rsidRPr="00FF5645">
                <w:rPr>
                  <w:rStyle w:val="Hyperlink"/>
                </w:rPr>
                <w:t>Anita.Popova@kase.gov.lv</w:t>
              </w:r>
            </w:hyperlink>
          </w:p>
        </w:tc>
      </w:tr>
    </w:tbl>
    <w:p w14:paraId="697C2806" w14:textId="77777777" w:rsidR="009D5508" w:rsidRPr="001E25A7" w:rsidRDefault="009D5508" w:rsidP="000562CB">
      <w:pPr>
        <w:pStyle w:val="naiskr"/>
        <w:spacing w:before="0" w:after="0"/>
      </w:pPr>
    </w:p>
    <w:sectPr w:rsidR="009D5508" w:rsidRPr="001E25A7" w:rsidSect="00BA3622">
      <w:footerReference w:type="even" r:id="rId12"/>
      <w:footerReference w:type="default" r:id="rId13"/>
      <w:footerReference w:type="first" r:id="rId14"/>
      <w:pgSz w:w="16838" w:h="11906" w:orient="landscape"/>
      <w:pgMar w:top="17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AD8C0" w14:textId="77777777" w:rsidR="008B0147" w:rsidRDefault="008B0147" w:rsidP="00893393">
      <w:r>
        <w:separator/>
      </w:r>
    </w:p>
  </w:endnote>
  <w:endnote w:type="continuationSeparator" w:id="0">
    <w:p w14:paraId="44AAB38D" w14:textId="77777777" w:rsidR="008B0147" w:rsidRDefault="008B0147" w:rsidP="0089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E8DEF" w14:textId="77777777" w:rsidR="008B0147" w:rsidRDefault="008B0147" w:rsidP="00EE07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77FB7D" w14:textId="77777777" w:rsidR="008B0147" w:rsidRDefault="008B0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B3874" w14:textId="3D9E29DA" w:rsidR="008B0147" w:rsidRDefault="008B0147" w:rsidP="00EE07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5E0F">
      <w:rPr>
        <w:rStyle w:val="PageNumber"/>
        <w:noProof/>
      </w:rPr>
      <w:t>2</w:t>
    </w:r>
    <w:r>
      <w:rPr>
        <w:rStyle w:val="PageNumber"/>
      </w:rPr>
      <w:fldChar w:fldCharType="end"/>
    </w:r>
  </w:p>
  <w:p w14:paraId="4091884B" w14:textId="3B1C565D" w:rsidR="008B0147" w:rsidRDefault="003F5E0F">
    <w:pPr>
      <w:pStyle w:val="Footer"/>
    </w:pPr>
    <w:r>
      <w:fldChar w:fldCharType="begin"/>
    </w:r>
    <w:r>
      <w:instrText xml:space="preserve"> FILENAME   \* MERGEFORMAT </w:instrText>
    </w:r>
    <w:r>
      <w:fldChar w:fldCharType="separate"/>
    </w:r>
    <w:r w:rsidR="00F34207">
      <w:rPr>
        <w:noProof/>
      </w:rPr>
      <w:t>FMizz_11102019_asign_groz</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A4A7D" w14:textId="0A28211C" w:rsidR="00BA3622" w:rsidRDefault="00B86B2A">
    <w:pPr>
      <w:pStyle w:val="Footer"/>
    </w:pPr>
    <w:fldSimple w:instr=" FILENAME   \* MERGEFORMAT ">
      <w:r w:rsidR="00F34207">
        <w:rPr>
          <w:noProof/>
        </w:rPr>
        <w:t>FMizz_11102019_asign_groz</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DD30B" w14:textId="77777777" w:rsidR="008B0147" w:rsidRDefault="008B0147" w:rsidP="00893393">
      <w:r>
        <w:separator/>
      </w:r>
    </w:p>
  </w:footnote>
  <w:footnote w:type="continuationSeparator" w:id="0">
    <w:p w14:paraId="650B0036" w14:textId="77777777" w:rsidR="008B0147" w:rsidRDefault="008B0147" w:rsidP="00893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06F0"/>
    <w:multiLevelType w:val="multilevel"/>
    <w:tmpl w:val="7A3E42C6"/>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1">
    <w:nsid w:val="05596008"/>
    <w:multiLevelType w:val="hybridMultilevel"/>
    <w:tmpl w:val="F524FD44"/>
    <w:lvl w:ilvl="0" w:tplc="698CAF1E">
      <w:start w:val="1"/>
      <w:numFmt w:val="decimal"/>
      <w:lvlText w:val="%1)"/>
      <w:lvlJc w:val="left"/>
      <w:pPr>
        <w:ind w:left="927" w:hanging="360"/>
      </w:pPr>
      <w:rPr>
        <w:rFonts w:hint="default"/>
      </w:rPr>
    </w:lvl>
    <w:lvl w:ilvl="1" w:tplc="BFB2B7D0" w:tentative="1">
      <w:start w:val="1"/>
      <w:numFmt w:val="lowerLetter"/>
      <w:lvlText w:val="%2."/>
      <w:lvlJc w:val="left"/>
      <w:pPr>
        <w:ind w:left="1647" w:hanging="360"/>
      </w:pPr>
    </w:lvl>
    <w:lvl w:ilvl="2" w:tplc="1BCE095C" w:tentative="1">
      <w:start w:val="1"/>
      <w:numFmt w:val="lowerRoman"/>
      <w:lvlText w:val="%3."/>
      <w:lvlJc w:val="right"/>
      <w:pPr>
        <w:ind w:left="2367" w:hanging="180"/>
      </w:pPr>
    </w:lvl>
    <w:lvl w:ilvl="3" w:tplc="801E787A" w:tentative="1">
      <w:start w:val="1"/>
      <w:numFmt w:val="decimal"/>
      <w:lvlText w:val="%4."/>
      <w:lvlJc w:val="left"/>
      <w:pPr>
        <w:ind w:left="3087" w:hanging="360"/>
      </w:pPr>
    </w:lvl>
    <w:lvl w:ilvl="4" w:tplc="85DCA9F0" w:tentative="1">
      <w:start w:val="1"/>
      <w:numFmt w:val="lowerLetter"/>
      <w:lvlText w:val="%5."/>
      <w:lvlJc w:val="left"/>
      <w:pPr>
        <w:ind w:left="3807" w:hanging="360"/>
      </w:pPr>
    </w:lvl>
    <w:lvl w:ilvl="5" w:tplc="E2DA70EA" w:tentative="1">
      <w:start w:val="1"/>
      <w:numFmt w:val="lowerRoman"/>
      <w:lvlText w:val="%6."/>
      <w:lvlJc w:val="right"/>
      <w:pPr>
        <w:ind w:left="4527" w:hanging="180"/>
      </w:pPr>
    </w:lvl>
    <w:lvl w:ilvl="6" w:tplc="5740B26C" w:tentative="1">
      <w:start w:val="1"/>
      <w:numFmt w:val="decimal"/>
      <w:lvlText w:val="%7."/>
      <w:lvlJc w:val="left"/>
      <w:pPr>
        <w:ind w:left="5247" w:hanging="360"/>
      </w:pPr>
    </w:lvl>
    <w:lvl w:ilvl="7" w:tplc="76C28672" w:tentative="1">
      <w:start w:val="1"/>
      <w:numFmt w:val="lowerLetter"/>
      <w:lvlText w:val="%8."/>
      <w:lvlJc w:val="left"/>
      <w:pPr>
        <w:ind w:left="5967" w:hanging="360"/>
      </w:pPr>
    </w:lvl>
    <w:lvl w:ilvl="8" w:tplc="44B68532" w:tentative="1">
      <w:start w:val="1"/>
      <w:numFmt w:val="lowerRoman"/>
      <w:lvlText w:val="%9."/>
      <w:lvlJc w:val="right"/>
      <w:pPr>
        <w:ind w:left="6687" w:hanging="180"/>
      </w:pPr>
    </w:lvl>
  </w:abstractNum>
  <w:abstractNum w:abstractNumId="2" w15:restartNumberingAfterBreak="0">
    <w:nsid w:val="273B321F"/>
    <w:multiLevelType w:val="hybridMultilevel"/>
    <w:tmpl w:val="31A4B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790B49"/>
    <w:multiLevelType w:val="hybridMultilevel"/>
    <w:tmpl w:val="B8702028"/>
    <w:lvl w:ilvl="0" w:tplc="061259D6">
      <w:start w:val="3"/>
      <w:numFmt w:val="decimal"/>
      <w:lvlText w:val="%1)"/>
      <w:lvlJc w:val="left"/>
      <w:pPr>
        <w:ind w:left="688" w:hanging="360"/>
      </w:pPr>
      <w:rPr>
        <w:rFonts w:hint="default"/>
      </w:rPr>
    </w:lvl>
    <w:lvl w:ilvl="1" w:tplc="04260019" w:tentative="1">
      <w:start w:val="1"/>
      <w:numFmt w:val="lowerLetter"/>
      <w:lvlText w:val="%2."/>
      <w:lvlJc w:val="left"/>
      <w:pPr>
        <w:ind w:left="1408" w:hanging="360"/>
      </w:pPr>
    </w:lvl>
    <w:lvl w:ilvl="2" w:tplc="0426001B" w:tentative="1">
      <w:start w:val="1"/>
      <w:numFmt w:val="lowerRoman"/>
      <w:lvlText w:val="%3."/>
      <w:lvlJc w:val="right"/>
      <w:pPr>
        <w:ind w:left="2128" w:hanging="180"/>
      </w:pPr>
    </w:lvl>
    <w:lvl w:ilvl="3" w:tplc="0426000F" w:tentative="1">
      <w:start w:val="1"/>
      <w:numFmt w:val="decimal"/>
      <w:lvlText w:val="%4."/>
      <w:lvlJc w:val="left"/>
      <w:pPr>
        <w:ind w:left="2848" w:hanging="360"/>
      </w:pPr>
    </w:lvl>
    <w:lvl w:ilvl="4" w:tplc="04260019" w:tentative="1">
      <w:start w:val="1"/>
      <w:numFmt w:val="lowerLetter"/>
      <w:lvlText w:val="%5."/>
      <w:lvlJc w:val="left"/>
      <w:pPr>
        <w:ind w:left="3568" w:hanging="360"/>
      </w:pPr>
    </w:lvl>
    <w:lvl w:ilvl="5" w:tplc="0426001B" w:tentative="1">
      <w:start w:val="1"/>
      <w:numFmt w:val="lowerRoman"/>
      <w:lvlText w:val="%6."/>
      <w:lvlJc w:val="right"/>
      <w:pPr>
        <w:ind w:left="4288" w:hanging="180"/>
      </w:pPr>
    </w:lvl>
    <w:lvl w:ilvl="6" w:tplc="0426000F" w:tentative="1">
      <w:start w:val="1"/>
      <w:numFmt w:val="decimal"/>
      <w:lvlText w:val="%7."/>
      <w:lvlJc w:val="left"/>
      <w:pPr>
        <w:ind w:left="5008" w:hanging="360"/>
      </w:pPr>
    </w:lvl>
    <w:lvl w:ilvl="7" w:tplc="04260019" w:tentative="1">
      <w:start w:val="1"/>
      <w:numFmt w:val="lowerLetter"/>
      <w:lvlText w:val="%8."/>
      <w:lvlJc w:val="left"/>
      <w:pPr>
        <w:ind w:left="5728" w:hanging="360"/>
      </w:pPr>
    </w:lvl>
    <w:lvl w:ilvl="8" w:tplc="0426001B" w:tentative="1">
      <w:start w:val="1"/>
      <w:numFmt w:val="lowerRoman"/>
      <w:lvlText w:val="%9."/>
      <w:lvlJc w:val="right"/>
      <w:pPr>
        <w:ind w:left="6448" w:hanging="180"/>
      </w:pPr>
    </w:lvl>
  </w:abstractNum>
  <w:abstractNum w:abstractNumId="4" w15:restartNumberingAfterBreak="0">
    <w:nsid w:val="3DD83843"/>
    <w:multiLevelType w:val="hybridMultilevel"/>
    <w:tmpl w:val="AA061F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1A332FB"/>
    <w:multiLevelType w:val="multilevel"/>
    <w:tmpl w:val="6C6E3C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CC964EE"/>
    <w:multiLevelType w:val="hybridMultilevel"/>
    <w:tmpl w:val="B882D212"/>
    <w:lvl w:ilvl="0" w:tplc="E632AEA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5F25517D"/>
    <w:multiLevelType w:val="hybridMultilevel"/>
    <w:tmpl w:val="9BEC37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1CA57CE"/>
    <w:multiLevelType w:val="hybridMultilevel"/>
    <w:tmpl w:val="9BEC37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36A2729"/>
    <w:multiLevelType w:val="hybridMultilevel"/>
    <w:tmpl w:val="C7C68242"/>
    <w:lvl w:ilvl="0" w:tplc="21A4D80C">
      <w:start w:val="28"/>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E615F3D"/>
    <w:multiLevelType w:val="hybridMultilevel"/>
    <w:tmpl w:val="09904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2"/>
  </w:num>
  <w:num w:numId="4">
    <w:abstractNumId w:val="6"/>
  </w:num>
  <w:num w:numId="5">
    <w:abstractNumId w:val="8"/>
  </w:num>
  <w:num w:numId="6">
    <w:abstractNumId w:val="7"/>
  </w:num>
  <w:num w:numId="7">
    <w:abstractNumId w:val="1"/>
  </w:num>
  <w:num w:numId="8">
    <w:abstractNumId w:val="10"/>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08"/>
    <w:rsid w:val="000002C5"/>
    <w:rsid w:val="00004069"/>
    <w:rsid w:val="000562CB"/>
    <w:rsid w:val="00065A7C"/>
    <w:rsid w:val="00071F6C"/>
    <w:rsid w:val="000755EB"/>
    <w:rsid w:val="000810FF"/>
    <w:rsid w:val="00084D4C"/>
    <w:rsid w:val="00091108"/>
    <w:rsid w:val="000A05C3"/>
    <w:rsid w:val="000B0934"/>
    <w:rsid w:val="000C5B6F"/>
    <w:rsid w:val="000E0840"/>
    <w:rsid w:val="000F3108"/>
    <w:rsid w:val="00102D5B"/>
    <w:rsid w:val="0010680D"/>
    <w:rsid w:val="001300DE"/>
    <w:rsid w:val="00141816"/>
    <w:rsid w:val="00144A3D"/>
    <w:rsid w:val="00145DF2"/>
    <w:rsid w:val="001556BF"/>
    <w:rsid w:val="00162275"/>
    <w:rsid w:val="00183533"/>
    <w:rsid w:val="00183E9F"/>
    <w:rsid w:val="00185109"/>
    <w:rsid w:val="0019029D"/>
    <w:rsid w:val="001B07AF"/>
    <w:rsid w:val="001B3A80"/>
    <w:rsid w:val="001B5A33"/>
    <w:rsid w:val="001B5FEE"/>
    <w:rsid w:val="001B7672"/>
    <w:rsid w:val="001C08B3"/>
    <w:rsid w:val="001D4408"/>
    <w:rsid w:val="001D4543"/>
    <w:rsid w:val="001E25A7"/>
    <w:rsid w:val="00216A9E"/>
    <w:rsid w:val="00232994"/>
    <w:rsid w:val="002464E4"/>
    <w:rsid w:val="00265A69"/>
    <w:rsid w:val="002A1215"/>
    <w:rsid w:val="002C418A"/>
    <w:rsid w:val="002D0C9A"/>
    <w:rsid w:val="002D789D"/>
    <w:rsid w:val="002F0EF3"/>
    <w:rsid w:val="002F45F1"/>
    <w:rsid w:val="002F4794"/>
    <w:rsid w:val="00301571"/>
    <w:rsid w:val="0033087D"/>
    <w:rsid w:val="00346C21"/>
    <w:rsid w:val="003665E2"/>
    <w:rsid w:val="0038167E"/>
    <w:rsid w:val="00381776"/>
    <w:rsid w:val="00384E08"/>
    <w:rsid w:val="003857E0"/>
    <w:rsid w:val="0038679A"/>
    <w:rsid w:val="00397284"/>
    <w:rsid w:val="00397497"/>
    <w:rsid w:val="00397839"/>
    <w:rsid w:val="003A053C"/>
    <w:rsid w:val="003A5579"/>
    <w:rsid w:val="003A7980"/>
    <w:rsid w:val="003B3B47"/>
    <w:rsid w:val="003C4D61"/>
    <w:rsid w:val="003C59B8"/>
    <w:rsid w:val="003C6784"/>
    <w:rsid w:val="003C72C2"/>
    <w:rsid w:val="003F5E0F"/>
    <w:rsid w:val="0040498B"/>
    <w:rsid w:val="0042112D"/>
    <w:rsid w:val="00426A82"/>
    <w:rsid w:val="004457F0"/>
    <w:rsid w:val="00450206"/>
    <w:rsid w:val="00451516"/>
    <w:rsid w:val="004527E3"/>
    <w:rsid w:val="00464330"/>
    <w:rsid w:val="00477463"/>
    <w:rsid w:val="004916DF"/>
    <w:rsid w:val="004921F2"/>
    <w:rsid w:val="004B2AFE"/>
    <w:rsid w:val="004C5D91"/>
    <w:rsid w:val="004C5EBC"/>
    <w:rsid w:val="004C70BA"/>
    <w:rsid w:val="00513935"/>
    <w:rsid w:val="00526771"/>
    <w:rsid w:val="00540647"/>
    <w:rsid w:val="00571004"/>
    <w:rsid w:val="0057146F"/>
    <w:rsid w:val="0057749E"/>
    <w:rsid w:val="00583655"/>
    <w:rsid w:val="00587FE6"/>
    <w:rsid w:val="00593054"/>
    <w:rsid w:val="005B2D2F"/>
    <w:rsid w:val="005B6DC8"/>
    <w:rsid w:val="005D2AFB"/>
    <w:rsid w:val="005D2F47"/>
    <w:rsid w:val="005F46D9"/>
    <w:rsid w:val="005F7B9D"/>
    <w:rsid w:val="006224E5"/>
    <w:rsid w:val="00622640"/>
    <w:rsid w:val="00633C4F"/>
    <w:rsid w:val="006511CE"/>
    <w:rsid w:val="006532EC"/>
    <w:rsid w:val="006752C0"/>
    <w:rsid w:val="00690A67"/>
    <w:rsid w:val="00693B1E"/>
    <w:rsid w:val="00694D87"/>
    <w:rsid w:val="006B039A"/>
    <w:rsid w:val="006C114B"/>
    <w:rsid w:val="006D66D7"/>
    <w:rsid w:val="006D72BF"/>
    <w:rsid w:val="00700142"/>
    <w:rsid w:val="00744E1B"/>
    <w:rsid w:val="00751044"/>
    <w:rsid w:val="0076250D"/>
    <w:rsid w:val="00767BA0"/>
    <w:rsid w:val="00773DD9"/>
    <w:rsid w:val="007934C6"/>
    <w:rsid w:val="007B1E12"/>
    <w:rsid w:val="007B53A6"/>
    <w:rsid w:val="007C4D18"/>
    <w:rsid w:val="007D34B1"/>
    <w:rsid w:val="007E4EBC"/>
    <w:rsid w:val="007F3E60"/>
    <w:rsid w:val="00805B06"/>
    <w:rsid w:val="00812CF9"/>
    <w:rsid w:val="00814A36"/>
    <w:rsid w:val="00856074"/>
    <w:rsid w:val="00890DC1"/>
    <w:rsid w:val="00893393"/>
    <w:rsid w:val="008B0147"/>
    <w:rsid w:val="008B34A9"/>
    <w:rsid w:val="008D2684"/>
    <w:rsid w:val="008D5D53"/>
    <w:rsid w:val="008E385C"/>
    <w:rsid w:val="008E612C"/>
    <w:rsid w:val="008F0AA7"/>
    <w:rsid w:val="009076D4"/>
    <w:rsid w:val="009173AE"/>
    <w:rsid w:val="00923D75"/>
    <w:rsid w:val="00925D1F"/>
    <w:rsid w:val="009268F9"/>
    <w:rsid w:val="009342FE"/>
    <w:rsid w:val="0095191C"/>
    <w:rsid w:val="00952323"/>
    <w:rsid w:val="00953602"/>
    <w:rsid w:val="00967E6B"/>
    <w:rsid w:val="00984394"/>
    <w:rsid w:val="00992374"/>
    <w:rsid w:val="009B290F"/>
    <w:rsid w:val="009B2D41"/>
    <w:rsid w:val="009B3DAB"/>
    <w:rsid w:val="009C318F"/>
    <w:rsid w:val="009D5508"/>
    <w:rsid w:val="009D6B8C"/>
    <w:rsid w:val="009D7E25"/>
    <w:rsid w:val="009F54E2"/>
    <w:rsid w:val="00A0149D"/>
    <w:rsid w:val="00A116D7"/>
    <w:rsid w:val="00A233CD"/>
    <w:rsid w:val="00A426C7"/>
    <w:rsid w:val="00A723AD"/>
    <w:rsid w:val="00A87873"/>
    <w:rsid w:val="00AA2803"/>
    <w:rsid w:val="00AA3797"/>
    <w:rsid w:val="00AA4EBA"/>
    <w:rsid w:val="00AB046C"/>
    <w:rsid w:val="00AD06B6"/>
    <w:rsid w:val="00AD7512"/>
    <w:rsid w:val="00AD7C6E"/>
    <w:rsid w:val="00AF1C47"/>
    <w:rsid w:val="00AF367C"/>
    <w:rsid w:val="00B06A76"/>
    <w:rsid w:val="00B06C53"/>
    <w:rsid w:val="00B34257"/>
    <w:rsid w:val="00B35C35"/>
    <w:rsid w:val="00B36227"/>
    <w:rsid w:val="00B41098"/>
    <w:rsid w:val="00B42DB8"/>
    <w:rsid w:val="00B531D9"/>
    <w:rsid w:val="00B80A7A"/>
    <w:rsid w:val="00B85F78"/>
    <w:rsid w:val="00B862BF"/>
    <w:rsid w:val="00B86B2A"/>
    <w:rsid w:val="00BA3622"/>
    <w:rsid w:val="00BB4B16"/>
    <w:rsid w:val="00BC1134"/>
    <w:rsid w:val="00BC673D"/>
    <w:rsid w:val="00BE6BE8"/>
    <w:rsid w:val="00C26A97"/>
    <w:rsid w:val="00C5357E"/>
    <w:rsid w:val="00C54E01"/>
    <w:rsid w:val="00C57C5A"/>
    <w:rsid w:val="00C83D23"/>
    <w:rsid w:val="00C8644B"/>
    <w:rsid w:val="00CA1DDF"/>
    <w:rsid w:val="00CA2CC4"/>
    <w:rsid w:val="00CB2674"/>
    <w:rsid w:val="00CC49C8"/>
    <w:rsid w:val="00CD05FC"/>
    <w:rsid w:val="00CE0B1C"/>
    <w:rsid w:val="00CE74E1"/>
    <w:rsid w:val="00D00537"/>
    <w:rsid w:val="00D04CE4"/>
    <w:rsid w:val="00D13A02"/>
    <w:rsid w:val="00D3180D"/>
    <w:rsid w:val="00D50787"/>
    <w:rsid w:val="00D52071"/>
    <w:rsid w:val="00D54112"/>
    <w:rsid w:val="00D664F2"/>
    <w:rsid w:val="00D86DD9"/>
    <w:rsid w:val="00DA1BEF"/>
    <w:rsid w:val="00DC5083"/>
    <w:rsid w:val="00DD6A18"/>
    <w:rsid w:val="00DD7CBA"/>
    <w:rsid w:val="00DE33E1"/>
    <w:rsid w:val="00DF6D8D"/>
    <w:rsid w:val="00E03EF0"/>
    <w:rsid w:val="00E17B40"/>
    <w:rsid w:val="00E233A1"/>
    <w:rsid w:val="00E300ED"/>
    <w:rsid w:val="00E36373"/>
    <w:rsid w:val="00E36B07"/>
    <w:rsid w:val="00E85AEE"/>
    <w:rsid w:val="00EB1175"/>
    <w:rsid w:val="00EB718E"/>
    <w:rsid w:val="00ED0961"/>
    <w:rsid w:val="00EE070B"/>
    <w:rsid w:val="00EE32D1"/>
    <w:rsid w:val="00F04133"/>
    <w:rsid w:val="00F32B0B"/>
    <w:rsid w:val="00F34207"/>
    <w:rsid w:val="00F37E9C"/>
    <w:rsid w:val="00F414B7"/>
    <w:rsid w:val="00F42C3F"/>
    <w:rsid w:val="00F42C45"/>
    <w:rsid w:val="00F53ADC"/>
    <w:rsid w:val="00F543FC"/>
    <w:rsid w:val="00F609F0"/>
    <w:rsid w:val="00F700FE"/>
    <w:rsid w:val="00F70613"/>
    <w:rsid w:val="00F72479"/>
    <w:rsid w:val="00F76845"/>
    <w:rsid w:val="00F86995"/>
    <w:rsid w:val="00FA2EDC"/>
    <w:rsid w:val="00FA3E35"/>
    <w:rsid w:val="00FA643B"/>
    <w:rsid w:val="00FA7338"/>
    <w:rsid w:val="00FB3C52"/>
    <w:rsid w:val="00FD1635"/>
    <w:rsid w:val="00FD445D"/>
    <w:rsid w:val="00FE489E"/>
    <w:rsid w:val="00FF0C45"/>
    <w:rsid w:val="00FF4AB8"/>
    <w:rsid w:val="00FF7A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35C39"/>
  <w15:chartTrackingRefBased/>
  <w15:docId w15:val="{43CC48AE-296E-4AD0-8BA7-3EDCAC0F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64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9D5508"/>
    <w:pPr>
      <w:spacing w:before="100" w:after="100"/>
      <w:jc w:val="right"/>
    </w:pPr>
    <w:rPr>
      <w:lang w:eastAsia="lv-LV"/>
    </w:rPr>
  </w:style>
  <w:style w:type="paragraph" w:customStyle="1" w:styleId="naisf">
    <w:name w:val="naisf"/>
    <w:basedOn w:val="Normal"/>
    <w:rsid w:val="009D5508"/>
    <w:pPr>
      <w:spacing w:before="100" w:after="100"/>
      <w:ind w:firstLine="500"/>
      <w:jc w:val="both"/>
    </w:pPr>
    <w:rPr>
      <w:lang w:eastAsia="lv-LV"/>
    </w:rPr>
  </w:style>
  <w:style w:type="paragraph" w:customStyle="1" w:styleId="naisnod">
    <w:name w:val="naisnod"/>
    <w:basedOn w:val="Normal"/>
    <w:rsid w:val="009D5508"/>
    <w:pPr>
      <w:spacing w:before="200" w:after="200"/>
      <w:jc w:val="center"/>
    </w:pPr>
    <w:rPr>
      <w:b/>
      <w:bCs/>
      <w:lang w:eastAsia="lv-LV"/>
    </w:rPr>
  </w:style>
  <w:style w:type="paragraph" w:customStyle="1" w:styleId="naisc">
    <w:name w:val="naisc"/>
    <w:basedOn w:val="Normal"/>
    <w:rsid w:val="009D5508"/>
    <w:pPr>
      <w:spacing w:before="100" w:after="100"/>
      <w:jc w:val="center"/>
    </w:pPr>
    <w:rPr>
      <w:lang w:eastAsia="lv-LV"/>
    </w:rPr>
  </w:style>
  <w:style w:type="paragraph" w:customStyle="1" w:styleId="naiskr">
    <w:name w:val="naiskr"/>
    <w:basedOn w:val="Normal"/>
    <w:rsid w:val="009D5508"/>
    <w:pPr>
      <w:spacing w:before="100" w:after="100"/>
    </w:pPr>
    <w:rPr>
      <w:lang w:eastAsia="lv-LV"/>
    </w:rPr>
  </w:style>
  <w:style w:type="paragraph" w:styleId="Footer">
    <w:name w:val="footer"/>
    <w:basedOn w:val="Normal"/>
    <w:link w:val="FooterChar"/>
    <w:uiPriority w:val="99"/>
    <w:rsid w:val="00EE070B"/>
    <w:pPr>
      <w:tabs>
        <w:tab w:val="center" w:pos="4153"/>
        <w:tab w:val="right" w:pos="8306"/>
      </w:tabs>
    </w:pPr>
  </w:style>
  <w:style w:type="character" w:styleId="PageNumber">
    <w:name w:val="page number"/>
    <w:basedOn w:val="DefaultParagraphFont"/>
    <w:rsid w:val="00EE070B"/>
  </w:style>
  <w:style w:type="paragraph" w:styleId="Header">
    <w:name w:val="header"/>
    <w:basedOn w:val="Normal"/>
    <w:link w:val="HeaderChar"/>
    <w:uiPriority w:val="99"/>
    <w:unhideWhenUsed/>
    <w:rsid w:val="00F32B0B"/>
    <w:pPr>
      <w:tabs>
        <w:tab w:val="center" w:pos="4153"/>
        <w:tab w:val="right" w:pos="8306"/>
      </w:tabs>
      <w:jc w:val="both"/>
    </w:pPr>
    <w:rPr>
      <w:szCs w:val="20"/>
      <w:lang w:val="x-none"/>
    </w:rPr>
  </w:style>
  <w:style w:type="character" w:customStyle="1" w:styleId="HeaderChar">
    <w:name w:val="Header Char"/>
    <w:link w:val="Header"/>
    <w:uiPriority w:val="99"/>
    <w:rsid w:val="00F32B0B"/>
    <w:rPr>
      <w:sz w:val="24"/>
      <w:lang w:val="x-none" w:eastAsia="en-US"/>
    </w:rPr>
  </w:style>
  <w:style w:type="paragraph" w:styleId="ListParagraph">
    <w:name w:val="List Paragraph"/>
    <w:aliases w:val="2,Akapit z listą BS,H&amp;P List Paragraph,Strip"/>
    <w:basedOn w:val="Normal"/>
    <w:link w:val="ListParagraphChar"/>
    <w:uiPriority w:val="34"/>
    <w:qFormat/>
    <w:rsid w:val="00145DF2"/>
    <w:pPr>
      <w:ind w:left="720"/>
      <w:contextualSpacing/>
    </w:pPr>
    <w:rPr>
      <w:lang w:val="en-GB"/>
    </w:rPr>
  </w:style>
  <w:style w:type="character" w:customStyle="1" w:styleId="ListParagraphChar">
    <w:name w:val="List Paragraph Char"/>
    <w:aliases w:val="2 Char,Akapit z listą BS Char,H&amp;P List Paragraph Char,Strip Char"/>
    <w:link w:val="ListParagraph"/>
    <w:uiPriority w:val="34"/>
    <w:rsid w:val="00477463"/>
    <w:rPr>
      <w:sz w:val="24"/>
      <w:szCs w:val="24"/>
      <w:lang w:val="en-GB" w:eastAsia="en-US"/>
    </w:rPr>
  </w:style>
  <w:style w:type="paragraph" w:styleId="FootnoteText">
    <w:name w:val="footnote text"/>
    <w:basedOn w:val="Normal"/>
    <w:link w:val="FootnoteTextChar"/>
    <w:uiPriority w:val="99"/>
    <w:unhideWhenUsed/>
    <w:rsid w:val="00477463"/>
    <w:rPr>
      <w:rFonts w:ascii="Calibri" w:eastAsia="Calibri" w:hAnsi="Calibri" w:cs="Calibri"/>
      <w:sz w:val="20"/>
      <w:szCs w:val="20"/>
    </w:rPr>
  </w:style>
  <w:style w:type="character" w:customStyle="1" w:styleId="FootnoteTextChar">
    <w:name w:val="Footnote Text Char"/>
    <w:link w:val="FootnoteText"/>
    <w:uiPriority w:val="99"/>
    <w:rsid w:val="00477463"/>
    <w:rPr>
      <w:rFonts w:ascii="Calibri" w:eastAsia="Calibri" w:hAnsi="Calibri" w:cs="Calibri"/>
      <w:lang w:eastAsia="en-US"/>
    </w:rPr>
  </w:style>
  <w:style w:type="character" w:styleId="FootnoteReference">
    <w:name w:val="footnote reference"/>
    <w:uiPriority w:val="99"/>
    <w:unhideWhenUsed/>
    <w:rsid w:val="00477463"/>
    <w:rPr>
      <w:vertAlign w:val="superscript"/>
    </w:rPr>
  </w:style>
  <w:style w:type="character" w:styleId="Hyperlink">
    <w:name w:val="Hyperlink"/>
    <w:uiPriority w:val="99"/>
    <w:unhideWhenUsed/>
    <w:rsid w:val="00091108"/>
    <w:rPr>
      <w:color w:val="0563C1"/>
      <w:u w:val="single"/>
    </w:rPr>
  </w:style>
  <w:style w:type="character" w:styleId="CommentReference">
    <w:name w:val="annotation reference"/>
    <w:rsid w:val="00AA4EBA"/>
    <w:rPr>
      <w:sz w:val="16"/>
      <w:szCs w:val="16"/>
    </w:rPr>
  </w:style>
  <w:style w:type="paragraph" w:styleId="CommentText">
    <w:name w:val="annotation text"/>
    <w:basedOn w:val="Normal"/>
    <w:link w:val="CommentTextChar"/>
    <w:rsid w:val="00AA4EBA"/>
    <w:rPr>
      <w:sz w:val="20"/>
      <w:szCs w:val="20"/>
    </w:rPr>
  </w:style>
  <w:style w:type="character" w:customStyle="1" w:styleId="CommentTextChar">
    <w:name w:val="Comment Text Char"/>
    <w:link w:val="CommentText"/>
    <w:rsid w:val="00AA4EBA"/>
    <w:rPr>
      <w:lang w:eastAsia="en-US"/>
    </w:rPr>
  </w:style>
  <w:style w:type="paragraph" w:styleId="CommentSubject">
    <w:name w:val="annotation subject"/>
    <w:basedOn w:val="CommentText"/>
    <w:next w:val="CommentText"/>
    <w:link w:val="CommentSubjectChar"/>
    <w:rsid w:val="00AA4EBA"/>
    <w:rPr>
      <w:b/>
      <w:bCs/>
    </w:rPr>
  </w:style>
  <w:style w:type="character" w:customStyle="1" w:styleId="CommentSubjectChar">
    <w:name w:val="Comment Subject Char"/>
    <w:link w:val="CommentSubject"/>
    <w:rsid w:val="00AA4EBA"/>
    <w:rPr>
      <w:b/>
      <w:bCs/>
      <w:lang w:eastAsia="en-US"/>
    </w:rPr>
  </w:style>
  <w:style w:type="paragraph" w:styleId="BalloonText">
    <w:name w:val="Balloon Text"/>
    <w:basedOn w:val="Normal"/>
    <w:link w:val="BalloonTextChar"/>
    <w:rsid w:val="00AA4EBA"/>
    <w:rPr>
      <w:rFonts w:ascii="Segoe UI" w:hAnsi="Segoe UI" w:cs="Segoe UI"/>
      <w:sz w:val="18"/>
      <w:szCs w:val="18"/>
    </w:rPr>
  </w:style>
  <w:style w:type="character" w:customStyle="1" w:styleId="BalloonTextChar">
    <w:name w:val="Balloon Text Char"/>
    <w:link w:val="BalloonText"/>
    <w:rsid w:val="00AA4EBA"/>
    <w:rPr>
      <w:rFonts w:ascii="Segoe UI" w:hAnsi="Segoe UI" w:cs="Segoe UI"/>
      <w:sz w:val="18"/>
      <w:szCs w:val="18"/>
      <w:lang w:eastAsia="en-US"/>
    </w:rPr>
  </w:style>
  <w:style w:type="paragraph" w:customStyle="1" w:styleId="H4">
    <w:name w:val="H4"/>
    <w:rsid w:val="00AA4EBA"/>
    <w:pPr>
      <w:spacing w:after="120"/>
      <w:jc w:val="center"/>
      <w:outlineLvl w:val="3"/>
    </w:pPr>
    <w:rPr>
      <w:b/>
      <w:sz w:val="28"/>
      <w:lang w:eastAsia="zh-CN"/>
    </w:rPr>
  </w:style>
  <w:style w:type="paragraph" w:customStyle="1" w:styleId="tv2132">
    <w:name w:val="tv2132"/>
    <w:basedOn w:val="Normal"/>
    <w:rsid w:val="003C72C2"/>
    <w:pPr>
      <w:spacing w:line="360" w:lineRule="auto"/>
      <w:ind w:firstLine="300"/>
    </w:pPr>
    <w:rPr>
      <w:color w:val="414142"/>
      <w:sz w:val="20"/>
      <w:szCs w:val="20"/>
      <w:lang w:eastAsia="lv-LV"/>
    </w:rPr>
  </w:style>
  <w:style w:type="paragraph" w:styleId="NoSpacing">
    <w:name w:val="No Spacing"/>
    <w:uiPriority w:val="1"/>
    <w:qFormat/>
    <w:rsid w:val="003C6784"/>
    <w:pPr>
      <w:widowControl w:val="0"/>
    </w:pPr>
    <w:rPr>
      <w:rFonts w:ascii="Calibri" w:eastAsia="Calibri" w:hAnsi="Calibri"/>
      <w:sz w:val="22"/>
      <w:szCs w:val="22"/>
      <w:lang w:val="en-US" w:eastAsia="en-US"/>
    </w:rPr>
  </w:style>
  <w:style w:type="table" w:styleId="TableGrid">
    <w:name w:val="Table Grid"/>
    <w:basedOn w:val="TableNormal"/>
    <w:rsid w:val="00CA1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2CC4"/>
    <w:pPr>
      <w:spacing w:before="100" w:beforeAutospacing="1" w:after="100" w:afterAutospacing="1"/>
    </w:pPr>
    <w:rPr>
      <w:rFonts w:eastAsiaTheme="minorHAnsi"/>
      <w:lang w:eastAsia="lv-LV"/>
    </w:rPr>
  </w:style>
  <w:style w:type="character" w:customStyle="1" w:styleId="FooterChar">
    <w:name w:val="Footer Char"/>
    <w:basedOn w:val="DefaultParagraphFont"/>
    <w:link w:val="Footer"/>
    <w:uiPriority w:val="99"/>
    <w:rsid w:val="00BA3622"/>
    <w:rPr>
      <w:sz w:val="24"/>
      <w:szCs w:val="24"/>
      <w:lang w:eastAsia="en-US"/>
    </w:rPr>
  </w:style>
  <w:style w:type="paragraph" w:styleId="Revision">
    <w:name w:val="Revision"/>
    <w:hidden/>
    <w:uiPriority w:val="99"/>
    <w:semiHidden/>
    <w:rsid w:val="00767BA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26207">
      <w:bodyDiv w:val="1"/>
      <w:marLeft w:val="0"/>
      <w:marRight w:val="0"/>
      <w:marTop w:val="0"/>
      <w:marBottom w:val="0"/>
      <w:divBdr>
        <w:top w:val="none" w:sz="0" w:space="0" w:color="auto"/>
        <w:left w:val="none" w:sz="0" w:space="0" w:color="auto"/>
        <w:bottom w:val="none" w:sz="0" w:space="0" w:color="auto"/>
        <w:right w:val="none" w:sz="0" w:space="0" w:color="auto"/>
      </w:divBdr>
    </w:div>
    <w:div w:id="1223177798">
      <w:bodyDiv w:val="1"/>
      <w:marLeft w:val="0"/>
      <w:marRight w:val="0"/>
      <w:marTop w:val="0"/>
      <w:marBottom w:val="0"/>
      <w:divBdr>
        <w:top w:val="none" w:sz="0" w:space="0" w:color="auto"/>
        <w:left w:val="none" w:sz="0" w:space="0" w:color="auto"/>
        <w:bottom w:val="none" w:sz="0" w:space="0" w:color="auto"/>
        <w:right w:val="none" w:sz="0" w:space="0" w:color="auto"/>
      </w:divBdr>
    </w:div>
    <w:div w:id="1326739378">
      <w:bodyDiv w:val="1"/>
      <w:marLeft w:val="0"/>
      <w:marRight w:val="0"/>
      <w:marTop w:val="0"/>
      <w:marBottom w:val="0"/>
      <w:divBdr>
        <w:top w:val="none" w:sz="0" w:space="0" w:color="auto"/>
        <w:left w:val="none" w:sz="0" w:space="0" w:color="auto"/>
        <w:bottom w:val="none" w:sz="0" w:space="0" w:color="auto"/>
        <w:right w:val="none" w:sz="0" w:space="0" w:color="auto"/>
      </w:divBdr>
    </w:div>
    <w:div w:id="212529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ita.Popova@kase.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7983A572AF69A4797AA38F975423DF5" ma:contentTypeVersion="2" ma:contentTypeDescription="Izveidot jaunu dokumentu." ma:contentTypeScope="" ma:versionID="4065a554421edaefaeba8907ffc2eba7">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A4709-BF36-424B-954C-0DE77784E7F2}">
  <ds:schemaRefs>
    <ds:schemaRef ds:uri="http://schemas.microsoft.com/sharepoint/v3/contenttype/forms"/>
  </ds:schemaRefs>
</ds:datastoreItem>
</file>

<file path=customXml/itemProps2.xml><?xml version="1.0" encoding="utf-8"?>
<ds:datastoreItem xmlns:ds="http://schemas.openxmlformats.org/officeDocument/2006/customXml" ds:itemID="{569AAFEB-990E-463F-9676-91E7D679FB94}">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048371a-c377-4617-a558-28bad1ac8a64"/>
    <ds:schemaRef ds:uri="http://www.w3.org/XML/1998/namespace"/>
  </ds:schemaRefs>
</ds:datastoreItem>
</file>

<file path=customXml/itemProps3.xml><?xml version="1.0" encoding="utf-8"?>
<ds:datastoreItem xmlns:ds="http://schemas.openxmlformats.org/officeDocument/2006/customXml" ds:itemID="{90956A66-D137-41DC-AF25-D26950CBF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AA9CC2-1757-447C-B137-721EA7A5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1056</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28.decembra noteikumos Nr. 1220 "Asignējumu piešķiršanas un izpildes kārtība""</vt:lpstr>
    </vt:vector>
  </TitlesOfParts>
  <Company>Valsts kase</Company>
  <LinksUpToDate>false</LinksUpToDate>
  <CharactersWithSpaces>9079</CharactersWithSpaces>
  <SharedDoc>false</SharedDoc>
  <HLinks>
    <vt:vector size="54" baseType="variant">
      <vt:variant>
        <vt:i4>3473512</vt:i4>
      </vt:variant>
      <vt:variant>
        <vt:i4>15</vt:i4>
      </vt:variant>
      <vt:variant>
        <vt:i4>0</vt:i4>
      </vt:variant>
      <vt:variant>
        <vt:i4>5</vt:i4>
      </vt:variant>
      <vt:variant>
        <vt:lpwstr>https://likumi.lv/ta/id/223614</vt:lpwstr>
      </vt:variant>
      <vt:variant>
        <vt:lpwstr>piel4</vt:lpwstr>
      </vt:variant>
      <vt:variant>
        <vt:i4>3473512</vt:i4>
      </vt:variant>
      <vt:variant>
        <vt:i4>12</vt:i4>
      </vt:variant>
      <vt:variant>
        <vt:i4>0</vt:i4>
      </vt:variant>
      <vt:variant>
        <vt:i4>5</vt:i4>
      </vt:variant>
      <vt:variant>
        <vt:lpwstr>https://likumi.lv/ta/id/223614</vt:lpwstr>
      </vt:variant>
      <vt:variant>
        <vt:lpwstr>piel4</vt:lpwstr>
      </vt:variant>
      <vt:variant>
        <vt:i4>3473517</vt:i4>
      </vt:variant>
      <vt:variant>
        <vt:i4>9</vt:i4>
      </vt:variant>
      <vt:variant>
        <vt:i4>0</vt:i4>
      </vt:variant>
      <vt:variant>
        <vt:i4>5</vt:i4>
      </vt:variant>
      <vt:variant>
        <vt:lpwstr>http://dati.ur.gov.lv/</vt:lpwstr>
      </vt:variant>
      <vt:variant>
        <vt:lpwstr/>
      </vt:variant>
      <vt:variant>
        <vt:i4>2687025</vt:i4>
      </vt:variant>
      <vt:variant>
        <vt:i4>6</vt:i4>
      </vt:variant>
      <vt:variant>
        <vt:i4>0</vt:i4>
      </vt:variant>
      <vt:variant>
        <vt:i4>5</vt:i4>
      </vt:variant>
      <vt:variant>
        <vt:lpwstr>https://likumi.lv/ta/id/223614-asignejumu-pieskirsanas-un-izpildes-kartiba</vt:lpwstr>
      </vt:variant>
      <vt:variant>
        <vt:lpwstr>piel2</vt:lpwstr>
      </vt:variant>
      <vt:variant>
        <vt:i4>2687025</vt:i4>
      </vt:variant>
      <vt:variant>
        <vt:i4>3</vt:i4>
      </vt:variant>
      <vt:variant>
        <vt:i4>0</vt:i4>
      </vt:variant>
      <vt:variant>
        <vt:i4>5</vt:i4>
      </vt:variant>
      <vt:variant>
        <vt:lpwstr>https://likumi.lv/ta/id/223614-asignejumu-pieskirsanas-un-izpildes-kartiba</vt:lpwstr>
      </vt:variant>
      <vt:variant>
        <vt:lpwstr>piel1</vt:lpwstr>
      </vt:variant>
      <vt:variant>
        <vt:i4>65553</vt:i4>
      </vt:variant>
      <vt:variant>
        <vt:i4>0</vt:i4>
      </vt:variant>
      <vt:variant>
        <vt:i4>0</vt:i4>
      </vt:variant>
      <vt:variant>
        <vt:i4>5</vt:i4>
      </vt:variant>
      <vt:variant>
        <vt:lpwstr>https://likumi.lv/ta/id/298289</vt:lpwstr>
      </vt:variant>
      <vt:variant>
        <vt:lpwstr>n3</vt:lpwstr>
      </vt:variant>
      <vt:variant>
        <vt:i4>5963853</vt:i4>
      </vt:variant>
      <vt:variant>
        <vt:i4>0</vt:i4>
      </vt:variant>
      <vt:variant>
        <vt:i4>0</vt:i4>
      </vt:variant>
      <vt:variant>
        <vt:i4>5</vt:i4>
      </vt:variant>
      <vt:variant>
        <vt:lpwstr>https://www.ur.gov.lv/lv/specializeta-informacija/atvertie-dati/</vt:lpwstr>
      </vt:variant>
      <vt:variant>
        <vt:lpwstr/>
      </vt:variant>
      <vt:variant>
        <vt:i4>19</vt:i4>
      </vt:variant>
      <vt:variant>
        <vt:i4>3</vt:i4>
      </vt:variant>
      <vt:variant>
        <vt:i4>0</vt:i4>
      </vt:variant>
      <vt:variant>
        <vt:i4>5</vt:i4>
      </vt:variant>
      <vt:variant>
        <vt:lpwstr>https://likumi.lv/ta/id/300437</vt:lpwstr>
      </vt:variant>
      <vt:variant>
        <vt:lpwstr>n3</vt:lpwstr>
      </vt:variant>
      <vt:variant>
        <vt:i4>65555</vt:i4>
      </vt:variant>
      <vt:variant>
        <vt:i4>0</vt:i4>
      </vt:variant>
      <vt:variant>
        <vt:i4>0</vt:i4>
      </vt:variant>
      <vt:variant>
        <vt:i4>5</vt:i4>
      </vt:variant>
      <vt:variant>
        <vt:lpwstr>https://likumi.lv/ta/id/300437</vt:lpwstr>
      </vt:variant>
      <vt:variant>
        <vt:lpwstr>n2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28.decembra noteikumos Nr. 1220 "Asignējumu piešķiršanas un izpildes kārtība""</dc:title>
  <dc:subject>Izziņa par atzinumos sniegtajiem iebildumiem</dc:subject>
  <dc:creator>A.Popova</dc:creator>
  <cp:keywords/>
  <dc:description>67094246, anita.popova@kase.gov.lv</dc:description>
  <cp:lastModifiedBy>Dace Krasovska</cp:lastModifiedBy>
  <cp:revision>2</cp:revision>
  <cp:lastPrinted>2018-10-22T10:41:00Z</cp:lastPrinted>
  <dcterms:created xsi:type="dcterms:W3CDTF">2019-11-05T12:23:00Z</dcterms:created>
  <dcterms:modified xsi:type="dcterms:W3CDTF">2019-11-05T12:23:00Z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