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550C" w14:textId="77777777" w:rsidR="00997411" w:rsidRPr="00771137" w:rsidRDefault="00857ECE"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771137">
        <w:rPr>
          <w:rFonts w:ascii="Times New Roman" w:eastAsia="Times New Roman" w:hAnsi="Times New Roman" w:cs="Times New Roman"/>
          <w:b/>
          <w:bCs/>
          <w:sz w:val="24"/>
          <w:szCs w:val="24"/>
          <w:lang w:eastAsia="lv-LV"/>
        </w:rPr>
        <w:t xml:space="preserve">Likumprojekta “Grozījums </w:t>
      </w:r>
      <w:r w:rsidRPr="00771137">
        <w:rPr>
          <w:rFonts w:ascii="Times New Roman" w:eastAsia="Times New Roman" w:hAnsi="Times New Roman" w:cs="Times New Roman"/>
          <w:b/>
          <w:sz w:val="24"/>
          <w:szCs w:val="24"/>
        </w:rPr>
        <w:t>Noziedzīgi iegūtas mantas konfiskācijas izpildes likumā</w:t>
      </w:r>
      <w:r w:rsidRPr="00771137">
        <w:rPr>
          <w:rFonts w:ascii="Times New Roman" w:eastAsia="Times New Roman" w:hAnsi="Times New Roman" w:cs="Times New Roman"/>
          <w:b/>
          <w:bCs/>
          <w:sz w:val="24"/>
          <w:szCs w:val="24"/>
          <w:lang w:eastAsia="lv-LV"/>
        </w:rPr>
        <w:t>” s</w:t>
      </w:r>
      <w:r w:rsidR="00997411" w:rsidRPr="00771137">
        <w:rPr>
          <w:rFonts w:ascii="Times New Roman" w:eastAsia="Times New Roman" w:hAnsi="Times New Roman" w:cs="Times New Roman"/>
          <w:b/>
          <w:bCs/>
          <w:sz w:val="24"/>
          <w:szCs w:val="24"/>
          <w:lang w:eastAsia="lv-LV"/>
        </w:rPr>
        <w:t>ākotnējās ietekmes novērtējuma</w:t>
      </w:r>
    </w:p>
    <w:p w14:paraId="3F93A34C" w14:textId="77777777" w:rsidR="00894C55" w:rsidRPr="00771137"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771137">
        <w:rPr>
          <w:rFonts w:ascii="Times New Roman" w:eastAsia="Times New Roman" w:hAnsi="Times New Roman" w:cs="Times New Roman"/>
          <w:b/>
          <w:bCs/>
          <w:sz w:val="24"/>
          <w:szCs w:val="24"/>
          <w:lang w:eastAsia="lv-LV"/>
        </w:rPr>
        <w:t>ziņojums (anotācija)</w:t>
      </w:r>
    </w:p>
    <w:p w14:paraId="7EA3AF7D" w14:textId="44AA7F09" w:rsidR="00520980" w:rsidRPr="00771137" w:rsidRDefault="00520980" w:rsidP="00210155">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1493F" w:rsidRPr="00771137" w14:paraId="7D8133A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AC77EB" w14:textId="77777777" w:rsidR="00655F2C" w:rsidRPr="00771137" w:rsidRDefault="00E5323B" w:rsidP="00E5323B">
            <w:pPr>
              <w:spacing w:after="0" w:line="240" w:lineRule="auto"/>
              <w:rPr>
                <w:rFonts w:ascii="Times New Roman" w:eastAsia="Times New Roman" w:hAnsi="Times New Roman" w:cs="Times New Roman"/>
                <w:b/>
                <w:bCs/>
                <w:iCs/>
                <w:sz w:val="24"/>
                <w:szCs w:val="24"/>
                <w:lang w:eastAsia="lv-LV"/>
              </w:rPr>
            </w:pPr>
            <w:r w:rsidRPr="00771137">
              <w:rPr>
                <w:rFonts w:ascii="Times New Roman" w:eastAsia="Times New Roman" w:hAnsi="Times New Roman" w:cs="Times New Roman"/>
                <w:b/>
                <w:bCs/>
                <w:iCs/>
                <w:sz w:val="24"/>
                <w:szCs w:val="24"/>
                <w:lang w:eastAsia="lv-LV"/>
              </w:rPr>
              <w:t>Tiesību akta projekta anotācijas kopsavilkums</w:t>
            </w:r>
          </w:p>
        </w:tc>
      </w:tr>
      <w:tr w:rsidR="0071493F" w:rsidRPr="00771137" w14:paraId="6BFEE5E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A6AFB5"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4A68161" w14:textId="77777777" w:rsidR="00E5323B" w:rsidRPr="00771137" w:rsidRDefault="00E71A1B" w:rsidP="000E63F8">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896944" w:rsidRPr="00771137">
              <w:rPr>
                <w:rFonts w:ascii="Times New Roman" w:eastAsia="Times New Roman" w:hAnsi="Times New Roman" w:cs="Times New Roman"/>
                <w:iCs/>
                <w:sz w:val="24"/>
                <w:szCs w:val="24"/>
                <w:lang w:eastAsia="lv-LV"/>
              </w:rPr>
              <w:t xml:space="preserve"> </w:t>
            </w:r>
            <w:r w:rsidR="002639FA" w:rsidRPr="00771137">
              <w:rPr>
                <w:rFonts w:ascii="Times New Roman" w:eastAsia="Times New Roman" w:hAnsi="Times New Roman" w:cs="Times New Roman"/>
                <w:iCs/>
                <w:sz w:val="24"/>
                <w:szCs w:val="24"/>
                <w:lang w:eastAsia="lv-LV"/>
              </w:rPr>
              <w:t>Likumprojekts “Grozījums Noziedzīgi iegūtas mantas konfiskācijas izpildes likumā” (turpmāk – likumprojekts) izstrādāts, lai turpmāk Tieslietu ministrijas pamatbudžeta programmai “Noziedzīgi iegūtu līdzekļu konfiskācijas fonds” varētu novirzīt pusi no visiem valsts budžetā ieskaitītajiem konfiscētajiem noziedzīgi iegūtajiem līdzekļiem, nenosakot novirzāmo līdzekļu maksimālo apmēru, un tādējādi veicinātu finanšu un ekonomisko noziegumu apkarošanas kapacitātes stiprināšanu un atbalsta sniegšanu noziedzīgos nodarījumos cietušajiem.</w:t>
            </w:r>
          </w:p>
          <w:p w14:paraId="75AF9548" w14:textId="4A1017C8" w:rsidR="00085C80" w:rsidRPr="00771137" w:rsidRDefault="00085C80" w:rsidP="000E63F8">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7175E9" w:rsidRPr="00771137">
              <w:rPr>
                <w:rFonts w:ascii="Times New Roman" w:eastAsia="Times New Roman" w:hAnsi="Times New Roman" w:cs="Times New Roman"/>
                <w:iCs/>
                <w:sz w:val="24"/>
                <w:szCs w:val="24"/>
                <w:lang w:eastAsia="lv-LV"/>
              </w:rPr>
              <w:t>Likumprojekts stāsies</w:t>
            </w:r>
            <w:r w:rsidRPr="00771137">
              <w:rPr>
                <w:rFonts w:ascii="Times New Roman" w:eastAsia="Times New Roman" w:hAnsi="Times New Roman" w:cs="Times New Roman"/>
                <w:iCs/>
                <w:sz w:val="24"/>
                <w:szCs w:val="24"/>
                <w:lang w:eastAsia="lv-LV"/>
              </w:rPr>
              <w:t xml:space="preserve"> spēkā 2021. gada 1. janvārī.</w:t>
            </w:r>
          </w:p>
        </w:tc>
      </w:tr>
    </w:tbl>
    <w:p w14:paraId="4A54CD91" w14:textId="078AC573" w:rsidR="00520980" w:rsidRPr="00771137" w:rsidRDefault="00F82089"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1493F" w:rsidRPr="00771137" w14:paraId="52A889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53D1E8" w14:textId="77777777" w:rsidR="00655F2C" w:rsidRPr="00771137" w:rsidRDefault="00E5323B" w:rsidP="00E5323B">
            <w:pPr>
              <w:spacing w:after="0" w:line="240" w:lineRule="auto"/>
              <w:rPr>
                <w:rFonts w:ascii="Times New Roman" w:eastAsia="Times New Roman" w:hAnsi="Times New Roman" w:cs="Times New Roman"/>
                <w:b/>
                <w:bCs/>
                <w:iCs/>
                <w:sz w:val="24"/>
                <w:szCs w:val="24"/>
                <w:lang w:eastAsia="lv-LV"/>
              </w:rPr>
            </w:pPr>
            <w:r w:rsidRPr="00771137">
              <w:rPr>
                <w:rFonts w:ascii="Times New Roman" w:eastAsia="Times New Roman" w:hAnsi="Times New Roman" w:cs="Times New Roman"/>
                <w:b/>
                <w:bCs/>
                <w:iCs/>
                <w:sz w:val="24"/>
                <w:szCs w:val="24"/>
                <w:lang w:eastAsia="lv-LV"/>
              </w:rPr>
              <w:t>I. Tiesību akta projekta izstrādes nepieciešamība</w:t>
            </w:r>
          </w:p>
        </w:tc>
      </w:tr>
      <w:tr w:rsidR="0071493F" w:rsidRPr="00771137" w14:paraId="256BCA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A6192B"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2053F2" w14:textId="2BF1FF4F" w:rsidR="00634E05"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Pamatojums</w:t>
            </w:r>
          </w:p>
          <w:p w14:paraId="4E4FE94D" w14:textId="77777777" w:rsidR="00634E05" w:rsidRPr="00771137" w:rsidRDefault="00634E05" w:rsidP="00634E05">
            <w:pPr>
              <w:rPr>
                <w:rFonts w:ascii="Times New Roman" w:eastAsia="Times New Roman" w:hAnsi="Times New Roman" w:cs="Times New Roman"/>
                <w:sz w:val="24"/>
                <w:szCs w:val="24"/>
                <w:lang w:eastAsia="lv-LV"/>
              </w:rPr>
            </w:pPr>
          </w:p>
          <w:p w14:paraId="65BBF6E1" w14:textId="77777777" w:rsidR="00634E05" w:rsidRPr="00771137" w:rsidRDefault="00634E05" w:rsidP="00634E05">
            <w:pPr>
              <w:rPr>
                <w:rFonts w:ascii="Times New Roman" w:eastAsia="Times New Roman" w:hAnsi="Times New Roman" w:cs="Times New Roman"/>
                <w:sz w:val="24"/>
                <w:szCs w:val="24"/>
                <w:lang w:eastAsia="lv-LV"/>
              </w:rPr>
            </w:pPr>
          </w:p>
          <w:p w14:paraId="1424AE2C" w14:textId="77777777" w:rsidR="00634E05" w:rsidRPr="00771137" w:rsidRDefault="00634E05" w:rsidP="00634E05">
            <w:pPr>
              <w:rPr>
                <w:rFonts w:ascii="Times New Roman" w:eastAsia="Times New Roman" w:hAnsi="Times New Roman" w:cs="Times New Roman"/>
                <w:sz w:val="24"/>
                <w:szCs w:val="24"/>
                <w:lang w:eastAsia="lv-LV"/>
              </w:rPr>
            </w:pPr>
          </w:p>
          <w:p w14:paraId="0814C00E" w14:textId="77777777" w:rsidR="00634E05" w:rsidRPr="00771137" w:rsidRDefault="00634E05" w:rsidP="00634E05">
            <w:pPr>
              <w:rPr>
                <w:rFonts w:ascii="Times New Roman" w:eastAsia="Times New Roman" w:hAnsi="Times New Roman" w:cs="Times New Roman"/>
                <w:sz w:val="24"/>
                <w:szCs w:val="24"/>
                <w:lang w:eastAsia="lv-LV"/>
              </w:rPr>
            </w:pPr>
          </w:p>
          <w:p w14:paraId="0EAF6124" w14:textId="77777777" w:rsidR="00634E05" w:rsidRPr="00771137" w:rsidRDefault="00634E05" w:rsidP="00634E05">
            <w:pPr>
              <w:rPr>
                <w:rFonts w:ascii="Times New Roman" w:eastAsia="Times New Roman" w:hAnsi="Times New Roman" w:cs="Times New Roman"/>
                <w:sz w:val="24"/>
                <w:szCs w:val="24"/>
                <w:lang w:eastAsia="lv-LV"/>
              </w:rPr>
            </w:pPr>
          </w:p>
          <w:p w14:paraId="7FE00DE9" w14:textId="77777777" w:rsidR="00634E05" w:rsidRPr="00771137" w:rsidRDefault="00634E05" w:rsidP="00634E05">
            <w:pPr>
              <w:rPr>
                <w:rFonts w:ascii="Times New Roman" w:eastAsia="Times New Roman" w:hAnsi="Times New Roman" w:cs="Times New Roman"/>
                <w:sz w:val="24"/>
                <w:szCs w:val="24"/>
                <w:lang w:eastAsia="lv-LV"/>
              </w:rPr>
            </w:pPr>
          </w:p>
          <w:p w14:paraId="1DABF85F" w14:textId="77777777" w:rsidR="00634E05" w:rsidRPr="00771137" w:rsidRDefault="00634E05" w:rsidP="00634E05">
            <w:pPr>
              <w:rPr>
                <w:rFonts w:ascii="Times New Roman" w:eastAsia="Times New Roman" w:hAnsi="Times New Roman" w:cs="Times New Roman"/>
                <w:sz w:val="24"/>
                <w:szCs w:val="24"/>
                <w:lang w:eastAsia="lv-LV"/>
              </w:rPr>
            </w:pPr>
          </w:p>
          <w:p w14:paraId="40C0C1FC" w14:textId="77777777" w:rsidR="00634E05" w:rsidRPr="00771137" w:rsidRDefault="00634E05" w:rsidP="00634E05">
            <w:pPr>
              <w:rPr>
                <w:rFonts w:ascii="Times New Roman" w:eastAsia="Times New Roman" w:hAnsi="Times New Roman" w:cs="Times New Roman"/>
                <w:sz w:val="24"/>
                <w:szCs w:val="24"/>
                <w:lang w:eastAsia="lv-LV"/>
              </w:rPr>
            </w:pPr>
          </w:p>
          <w:p w14:paraId="2242B4ED" w14:textId="77777777" w:rsidR="00634E05" w:rsidRPr="00771137" w:rsidRDefault="00634E05" w:rsidP="00634E05">
            <w:pPr>
              <w:rPr>
                <w:rFonts w:ascii="Times New Roman" w:eastAsia="Times New Roman" w:hAnsi="Times New Roman" w:cs="Times New Roman"/>
                <w:sz w:val="24"/>
                <w:szCs w:val="24"/>
                <w:lang w:eastAsia="lv-LV"/>
              </w:rPr>
            </w:pPr>
          </w:p>
          <w:p w14:paraId="7DDC3770" w14:textId="0087A276" w:rsidR="00E5323B" w:rsidRPr="00771137" w:rsidRDefault="00E5323B" w:rsidP="0037359C">
            <w:pPr>
              <w:tabs>
                <w:tab w:val="left" w:pos="855"/>
              </w:tabs>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415622" w14:textId="77777777" w:rsidR="00E71A1B" w:rsidRPr="00771137" w:rsidRDefault="009258D1" w:rsidP="00E56E95">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3A6454" w:rsidRPr="00771137">
              <w:rPr>
                <w:rFonts w:ascii="Times New Roman" w:eastAsia="Times New Roman" w:hAnsi="Times New Roman" w:cs="Times New Roman"/>
                <w:iCs/>
                <w:sz w:val="24"/>
                <w:szCs w:val="24"/>
                <w:lang w:eastAsia="lv-LV"/>
              </w:rPr>
              <w:t xml:space="preserve">Likumprojekts izstrādāts pēc Iekšlietu ministrijas iniciatīvas. </w:t>
            </w:r>
            <w:r w:rsidR="00E56E95" w:rsidRPr="00771137">
              <w:rPr>
                <w:rFonts w:ascii="Times New Roman" w:eastAsia="Times New Roman" w:hAnsi="Times New Roman" w:cs="Times New Roman"/>
                <w:iCs/>
                <w:sz w:val="24"/>
                <w:szCs w:val="24"/>
                <w:lang w:eastAsia="lv-LV"/>
              </w:rPr>
              <w:t>L</w:t>
            </w:r>
            <w:r w:rsidR="006002F5" w:rsidRPr="00771137">
              <w:rPr>
                <w:rFonts w:ascii="Times New Roman" w:eastAsia="Times New Roman" w:hAnsi="Times New Roman" w:cs="Times New Roman"/>
                <w:iCs/>
                <w:sz w:val="24"/>
                <w:szCs w:val="24"/>
                <w:lang w:eastAsia="lv-LV"/>
              </w:rPr>
              <w:t>ikumprojekts veicinās</w:t>
            </w:r>
            <w:r w:rsidR="003A6454" w:rsidRPr="00771137">
              <w:rPr>
                <w:rFonts w:ascii="Times New Roman" w:hAnsi="Times New Roman" w:cs="Times New Roman"/>
                <w:sz w:val="24"/>
                <w:szCs w:val="24"/>
              </w:rPr>
              <w:t xml:space="preserve"> </w:t>
            </w:r>
            <w:r w:rsidR="003A6454" w:rsidRPr="00771137">
              <w:rPr>
                <w:rFonts w:ascii="Times New Roman" w:eastAsia="Times New Roman" w:hAnsi="Times New Roman" w:cs="Times New Roman"/>
                <w:iCs/>
                <w:sz w:val="24"/>
                <w:szCs w:val="24"/>
                <w:lang w:eastAsia="lv-LV"/>
              </w:rPr>
              <w:t>Deklarācijā par Artura Krišjāņa Kariņa vadītā Ministru kabineta iecerēto darbību</w:t>
            </w:r>
            <w:r w:rsidR="006002F5" w:rsidRPr="00771137">
              <w:rPr>
                <w:rFonts w:ascii="Times New Roman" w:eastAsia="Times New Roman" w:hAnsi="Times New Roman" w:cs="Times New Roman"/>
                <w:iCs/>
                <w:sz w:val="24"/>
                <w:szCs w:val="24"/>
                <w:lang w:eastAsia="lv-LV"/>
              </w:rPr>
              <w:t xml:space="preserve"> 180. </w:t>
            </w:r>
            <w:r w:rsidR="00DE6F85" w:rsidRPr="00771137">
              <w:rPr>
                <w:rFonts w:ascii="Times New Roman" w:eastAsia="Times New Roman" w:hAnsi="Times New Roman" w:cs="Times New Roman"/>
                <w:iCs/>
                <w:sz w:val="24"/>
                <w:szCs w:val="24"/>
                <w:lang w:eastAsia="lv-LV"/>
              </w:rPr>
              <w:t>punktā</w:t>
            </w:r>
            <w:r w:rsidR="006002F5" w:rsidRPr="00771137">
              <w:rPr>
                <w:rFonts w:ascii="Times New Roman" w:eastAsia="Times New Roman" w:hAnsi="Times New Roman" w:cs="Times New Roman"/>
                <w:iCs/>
                <w:sz w:val="24"/>
                <w:szCs w:val="24"/>
                <w:lang w:eastAsia="lv-LV"/>
              </w:rPr>
              <w:t xml:space="preserve"> (nostiprināt tiesas, prokuratūras un izmeklēšanas iest</w:t>
            </w:r>
            <w:r w:rsidR="00B53860" w:rsidRPr="00771137">
              <w:rPr>
                <w:rFonts w:ascii="Times New Roman" w:eastAsia="Times New Roman" w:hAnsi="Times New Roman" w:cs="Times New Roman"/>
                <w:iCs/>
                <w:sz w:val="24"/>
                <w:szCs w:val="24"/>
                <w:lang w:eastAsia="lv-LV"/>
              </w:rPr>
              <w:t xml:space="preserve">āžu sadarbību, īpaši nodrošinot </w:t>
            </w:r>
            <w:r w:rsidR="006002F5" w:rsidRPr="00771137">
              <w:rPr>
                <w:rFonts w:ascii="Times New Roman" w:eastAsia="Times New Roman" w:hAnsi="Times New Roman" w:cs="Times New Roman"/>
                <w:iCs/>
                <w:sz w:val="24"/>
                <w:szCs w:val="24"/>
                <w:lang w:eastAsia="lv-LV"/>
              </w:rPr>
              <w:t>ekonomisko noziegumu izmeklēšanas efektivitāti, atbilstoši</w:t>
            </w:r>
            <w:r w:rsidR="00B53860" w:rsidRPr="00771137">
              <w:rPr>
                <w:rFonts w:ascii="Times New Roman" w:eastAsia="Times New Roman" w:hAnsi="Times New Roman" w:cs="Times New Roman"/>
                <w:iCs/>
                <w:sz w:val="24"/>
                <w:szCs w:val="24"/>
                <w:lang w:eastAsia="lv-LV"/>
              </w:rPr>
              <w:t xml:space="preserve"> identificētajiem korupcijas un </w:t>
            </w:r>
            <w:r w:rsidR="006002F5" w:rsidRPr="00771137">
              <w:rPr>
                <w:rFonts w:ascii="Times New Roman" w:eastAsia="Times New Roman" w:hAnsi="Times New Roman" w:cs="Times New Roman"/>
                <w:iCs/>
                <w:sz w:val="24"/>
                <w:szCs w:val="24"/>
                <w:lang w:eastAsia="lv-LV"/>
              </w:rPr>
              <w:t>noziedzīgi iegūtu līdzekļu legalizācijas riskiem</w:t>
            </w:r>
            <w:r w:rsidR="00B53860" w:rsidRPr="00771137">
              <w:rPr>
                <w:rFonts w:ascii="Times New Roman" w:eastAsia="Times New Roman" w:hAnsi="Times New Roman" w:cs="Times New Roman"/>
                <w:iCs/>
                <w:sz w:val="24"/>
                <w:szCs w:val="24"/>
                <w:lang w:eastAsia="lv-LV"/>
              </w:rPr>
              <w:t xml:space="preserve">) un </w:t>
            </w:r>
            <w:r w:rsidR="006002F5" w:rsidRPr="00771137">
              <w:rPr>
                <w:rFonts w:ascii="Times New Roman" w:eastAsia="Times New Roman" w:hAnsi="Times New Roman" w:cs="Times New Roman"/>
                <w:iCs/>
                <w:sz w:val="24"/>
                <w:szCs w:val="24"/>
                <w:lang w:eastAsia="lv-LV"/>
              </w:rPr>
              <w:t>191.</w:t>
            </w:r>
            <w:r w:rsidR="00B53860" w:rsidRPr="00771137">
              <w:rPr>
                <w:rFonts w:ascii="Times New Roman" w:eastAsia="Times New Roman" w:hAnsi="Times New Roman" w:cs="Times New Roman"/>
                <w:iCs/>
                <w:sz w:val="24"/>
                <w:szCs w:val="24"/>
                <w:lang w:eastAsia="lv-LV"/>
              </w:rPr>
              <w:t> punktā (a</w:t>
            </w:r>
            <w:r w:rsidRPr="00771137">
              <w:rPr>
                <w:rFonts w:ascii="Times New Roman" w:eastAsia="Times New Roman" w:hAnsi="Times New Roman" w:cs="Times New Roman"/>
                <w:iCs/>
                <w:sz w:val="24"/>
                <w:szCs w:val="24"/>
                <w:lang w:eastAsia="lv-LV"/>
              </w:rPr>
              <w:t>ttīstīt un stiprināt</w:t>
            </w:r>
            <w:r w:rsidR="006002F5" w:rsidRPr="00771137">
              <w:rPr>
                <w:rFonts w:ascii="Times New Roman" w:eastAsia="Times New Roman" w:hAnsi="Times New Roman" w:cs="Times New Roman"/>
                <w:iCs/>
                <w:sz w:val="24"/>
                <w:szCs w:val="24"/>
                <w:lang w:eastAsia="lv-LV"/>
              </w:rPr>
              <w:t xml:space="preserve"> Iekšlietu ministrijas un tās padotīb</w:t>
            </w:r>
            <w:r w:rsidR="00B53860" w:rsidRPr="00771137">
              <w:rPr>
                <w:rFonts w:ascii="Times New Roman" w:eastAsia="Times New Roman" w:hAnsi="Times New Roman" w:cs="Times New Roman"/>
                <w:iCs/>
                <w:sz w:val="24"/>
                <w:szCs w:val="24"/>
                <w:lang w:eastAsia="lv-LV"/>
              </w:rPr>
              <w:t xml:space="preserve">as iestāžu resursus, tai skaitā </w:t>
            </w:r>
            <w:r w:rsidR="006002F5" w:rsidRPr="00771137">
              <w:rPr>
                <w:rFonts w:ascii="Times New Roman" w:eastAsia="Times New Roman" w:hAnsi="Times New Roman" w:cs="Times New Roman"/>
                <w:iCs/>
                <w:sz w:val="24"/>
                <w:szCs w:val="24"/>
                <w:lang w:eastAsia="lv-LV"/>
              </w:rPr>
              <w:t>cīņai pret terorismu un ekonomiskajiem noziegumiem</w:t>
            </w:r>
            <w:r w:rsidR="00B53860" w:rsidRPr="00771137">
              <w:rPr>
                <w:rFonts w:ascii="Times New Roman" w:eastAsia="Times New Roman" w:hAnsi="Times New Roman" w:cs="Times New Roman"/>
                <w:iCs/>
                <w:sz w:val="24"/>
                <w:szCs w:val="24"/>
                <w:lang w:eastAsia="lv-LV"/>
              </w:rPr>
              <w:t>) minēto pasākumu izpildi</w:t>
            </w:r>
            <w:r w:rsidR="00B65051" w:rsidRPr="00771137">
              <w:rPr>
                <w:rFonts w:ascii="Times New Roman" w:eastAsia="Times New Roman" w:hAnsi="Times New Roman" w:cs="Times New Roman"/>
                <w:iCs/>
                <w:sz w:val="24"/>
                <w:szCs w:val="24"/>
                <w:lang w:eastAsia="lv-LV"/>
              </w:rPr>
              <w:t>.</w:t>
            </w:r>
          </w:p>
          <w:p w14:paraId="05A4FC32" w14:textId="42593BBC" w:rsidR="00BD2F8C" w:rsidRPr="00771137" w:rsidRDefault="00E71A1B" w:rsidP="00E71A1B">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C9412B" w:rsidRPr="00771137">
              <w:rPr>
                <w:rFonts w:ascii="Times New Roman" w:eastAsia="Times New Roman" w:hAnsi="Times New Roman" w:cs="Times New Roman"/>
                <w:iCs/>
                <w:sz w:val="24"/>
                <w:szCs w:val="24"/>
                <w:lang w:eastAsia="lv-LV"/>
              </w:rPr>
              <w:t xml:space="preserve"> </w:t>
            </w:r>
            <w:r w:rsidR="00E56E95" w:rsidRPr="00771137">
              <w:rPr>
                <w:rFonts w:ascii="Times New Roman" w:eastAsia="Times New Roman" w:hAnsi="Times New Roman" w:cs="Times New Roman"/>
                <w:iCs/>
                <w:sz w:val="24"/>
                <w:szCs w:val="24"/>
                <w:lang w:eastAsia="lv-LV"/>
              </w:rPr>
              <w:t>Vienlaikus likumprojekts veicinās Saeimā 2015. gada 26. novembrī apstiprinātās Nacionālās drošības koncepcijas izpildi saistībā ar vienu no Latvijas prioritātēm Latvijas ekonomikai radītā apdraudējuma novēršanai – stabilas un prognozējamas ekonomiskās vides nodrošināšana</w:t>
            </w:r>
            <w:r w:rsidRPr="00771137">
              <w:rPr>
                <w:rFonts w:ascii="Times New Roman" w:eastAsia="Times New Roman" w:hAnsi="Times New Roman" w:cs="Times New Roman"/>
                <w:iCs/>
                <w:sz w:val="24"/>
                <w:szCs w:val="24"/>
                <w:lang w:eastAsia="lv-LV"/>
              </w:rPr>
              <w:t>.</w:t>
            </w:r>
          </w:p>
        </w:tc>
      </w:tr>
      <w:tr w:rsidR="0071493F" w:rsidRPr="00771137" w14:paraId="7D4077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718A7"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B99A61" w14:textId="104EDB24" w:rsidR="00C54F25"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00E1690" w14:textId="77777777" w:rsidR="00C54F25" w:rsidRPr="00C54F25" w:rsidRDefault="00C54F25" w:rsidP="00C54F25">
            <w:pPr>
              <w:rPr>
                <w:rFonts w:ascii="Times New Roman" w:eastAsia="Times New Roman" w:hAnsi="Times New Roman" w:cs="Times New Roman"/>
                <w:sz w:val="24"/>
                <w:szCs w:val="24"/>
                <w:lang w:eastAsia="lv-LV"/>
              </w:rPr>
            </w:pPr>
          </w:p>
          <w:p w14:paraId="7AA0EF17" w14:textId="77777777" w:rsidR="00C54F25" w:rsidRPr="00C54F25" w:rsidRDefault="00C54F25" w:rsidP="00C54F25">
            <w:pPr>
              <w:rPr>
                <w:rFonts w:ascii="Times New Roman" w:eastAsia="Times New Roman" w:hAnsi="Times New Roman" w:cs="Times New Roman"/>
                <w:sz w:val="24"/>
                <w:szCs w:val="24"/>
                <w:lang w:eastAsia="lv-LV"/>
              </w:rPr>
            </w:pPr>
          </w:p>
          <w:p w14:paraId="4C4EDFD4" w14:textId="77777777" w:rsidR="00C54F25" w:rsidRPr="00C54F25" w:rsidRDefault="00C54F25" w:rsidP="00C54F25">
            <w:pPr>
              <w:rPr>
                <w:rFonts w:ascii="Times New Roman" w:eastAsia="Times New Roman" w:hAnsi="Times New Roman" w:cs="Times New Roman"/>
                <w:sz w:val="24"/>
                <w:szCs w:val="24"/>
                <w:lang w:eastAsia="lv-LV"/>
              </w:rPr>
            </w:pPr>
          </w:p>
          <w:p w14:paraId="3C39B471" w14:textId="0B014F60" w:rsidR="00E5323B" w:rsidRPr="00C54F25" w:rsidRDefault="00E5323B" w:rsidP="00C54F25">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26461AA" w14:textId="05359828" w:rsidR="00E148CB" w:rsidRPr="00771137" w:rsidRDefault="00EE648F" w:rsidP="00B773EC">
            <w:pPr>
              <w:spacing w:after="0" w:line="240" w:lineRule="auto"/>
              <w:jc w:val="both"/>
              <w:rPr>
                <w:rFonts w:ascii="Times New Roman" w:hAnsi="Times New Roman" w:cs="Times New Roman"/>
                <w:sz w:val="24"/>
                <w:szCs w:val="24"/>
              </w:rPr>
            </w:pPr>
            <w:r w:rsidRPr="00771137">
              <w:rPr>
                <w:rFonts w:ascii="Times New Roman" w:eastAsia="Times New Roman" w:hAnsi="Times New Roman" w:cs="Times New Roman"/>
                <w:iCs/>
                <w:sz w:val="24"/>
                <w:szCs w:val="24"/>
                <w:lang w:eastAsia="lv-LV"/>
              </w:rPr>
              <w:t xml:space="preserve">   </w:t>
            </w:r>
            <w:r w:rsidR="00BC3E51" w:rsidRPr="00771137">
              <w:rPr>
                <w:rFonts w:ascii="Times New Roman" w:eastAsia="Times New Roman" w:hAnsi="Times New Roman" w:cs="Times New Roman"/>
                <w:iCs/>
                <w:sz w:val="24"/>
                <w:szCs w:val="24"/>
                <w:lang w:eastAsia="lv-LV"/>
              </w:rPr>
              <w:t>2017.</w:t>
            </w:r>
            <w:r w:rsidR="00AF5675" w:rsidRPr="00771137">
              <w:rPr>
                <w:rFonts w:ascii="Times New Roman" w:eastAsia="Times New Roman" w:hAnsi="Times New Roman" w:cs="Times New Roman"/>
                <w:iCs/>
                <w:sz w:val="24"/>
                <w:szCs w:val="24"/>
                <w:lang w:eastAsia="lv-LV"/>
              </w:rPr>
              <w:t> </w:t>
            </w:r>
            <w:r w:rsidR="00BC3E51" w:rsidRPr="00771137">
              <w:rPr>
                <w:rFonts w:ascii="Times New Roman" w:eastAsia="Times New Roman" w:hAnsi="Times New Roman" w:cs="Times New Roman"/>
                <w:iCs/>
                <w:sz w:val="24"/>
                <w:szCs w:val="24"/>
                <w:lang w:eastAsia="lv-LV"/>
              </w:rPr>
              <w:t>gada 1.</w:t>
            </w:r>
            <w:r w:rsidR="00AF5675" w:rsidRPr="00771137">
              <w:rPr>
                <w:rFonts w:ascii="Times New Roman" w:eastAsia="Times New Roman" w:hAnsi="Times New Roman" w:cs="Times New Roman"/>
                <w:iCs/>
                <w:sz w:val="24"/>
                <w:szCs w:val="24"/>
                <w:lang w:eastAsia="lv-LV"/>
              </w:rPr>
              <w:t> </w:t>
            </w:r>
            <w:r w:rsidR="00BC3E51" w:rsidRPr="00771137">
              <w:rPr>
                <w:rFonts w:ascii="Times New Roman" w:eastAsia="Times New Roman" w:hAnsi="Times New Roman" w:cs="Times New Roman"/>
                <w:iCs/>
                <w:sz w:val="24"/>
                <w:szCs w:val="24"/>
                <w:lang w:eastAsia="lv-LV"/>
              </w:rPr>
              <w:t xml:space="preserve">augustā stājās spēkā </w:t>
            </w:r>
            <w:r w:rsidR="00BC3E51" w:rsidRPr="00771137">
              <w:rPr>
                <w:rFonts w:ascii="Times New Roman" w:hAnsi="Times New Roman" w:cs="Times New Roman"/>
                <w:sz w:val="24"/>
                <w:szCs w:val="24"/>
              </w:rPr>
              <w:t>Noziedzīgi iegūtas mantas konfiskācijas izpildes likums</w:t>
            </w:r>
            <w:r w:rsidR="008F4836" w:rsidRPr="00771137">
              <w:rPr>
                <w:rFonts w:ascii="Times New Roman" w:hAnsi="Times New Roman" w:cs="Times New Roman"/>
                <w:sz w:val="24"/>
                <w:szCs w:val="24"/>
              </w:rPr>
              <w:t xml:space="preserve">, kura viens no mērķiem ir </w:t>
            </w:r>
            <w:r w:rsidR="00BC3E51" w:rsidRPr="00771137">
              <w:rPr>
                <w:rFonts w:ascii="Times New Roman" w:hAnsi="Times New Roman" w:cs="Times New Roman"/>
                <w:sz w:val="24"/>
                <w:szCs w:val="24"/>
              </w:rPr>
              <w:t>nodrošināt efektīvu noziedzīgi iegūt</w:t>
            </w:r>
            <w:r w:rsidR="00E148CB" w:rsidRPr="00771137">
              <w:rPr>
                <w:rFonts w:ascii="Times New Roman" w:hAnsi="Times New Roman" w:cs="Times New Roman"/>
                <w:sz w:val="24"/>
                <w:szCs w:val="24"/>
              </w:rPr>
              <w:t>as mantas konfiskācijas izpildi.</w:t>
            </w:r>
          </w:p>
          <w:p w14:paraId="40039C36" w14:textId="52FB06CA" w:rsidR="00E5323B" w:rsidRPr="00771137" w:rsidRDefault="00BC3E51" w:rsidP="00B773EC">
            <w:pPr>
              <w:spacing w:after="0" w:line="240" w:lineRule="auto"/>
              <w:jc w:val="both"/>
              <w:rPr>
                <w:rFonts w:ascii="Times New Roman" w:eastAsia="Times New Roman" w:hAnsi="Times New Roman" w:cs="Times New Roman"/>
                <w:iCs/>
                <w:sz w:val="24"/>
                <w:szCs w:val="24"/>
                <w:lang w:eastAsia="lv-LV"/>
              </w:rPr>
            </w:pPr>
            <w:r w:rsidRPr="00771137">
              <w:rPr>
                <w:rFonts w:ascii="Times New Roman" w:hAnsi="Times New Roman" w:cs="Times New Roman"/>
                <w:sz w:val="24"/>
                <w:szCs w:val="24"/>
              </w:rPr>
              <w:t xml:space="preserve"> </w:t>
            </w:r>
            <w:r w:rsidR="00EE648F" w:rsidRPr="00771137">
              <w:rPr>
                <w:rFonts w:ascii="Times New Roman" w:hAnsi="Times New Roman" w:cs="Times New Roman"/>
                <w:sz w:val="24"/>
                <w:szCs w:val="24"/>
              </w:rPr>
              <w:t xml:space="preserve">  </w:t>
            </w:r>
            <w:r w:rsidRPr="00771137">
              <w:rPr>
                <w:rFonts w:ascii="Times New Roman" w:eastAsia="Times New Roman" w:hAnsi="Times New Roman" w:cs="Times New Roman"/>
                <w:iCs/>
                <w:sz w:val="24"/>
                <w:szCs w:val="24"/>
                <w:lang w:eastAsia="lv-LV"/>
              </w:rPr>
              <w:t xml:space="preserve">Vienlaikus </w:t>
            </w:r>
            <w:r w:rsidR="00B773EC" w:rsidRPr="00771137">
              <w:rPr>
                <w:rFonts w:ascii="Times New Roman" w:eastAsia="Times New Roman" w:hAnsi="Times New Roman" w:cs="Times New Roman"/>
                <w:iCs/>
                <w:sz w:val="24"/>
                <w:szCs w:val="24"/>
                <w:lang w:eastAsia="lv-LV"/>
              </w:rPr>
              <w:t xml:space="preserve">Noziedzīgi iegūtas mantas konfiskācijas izpildes likuma 45. pants nosaka, ka pusi no valsts budžetā ieskaitītajiem konfiscētajiem noziedzīgi iegūtajiem līdzekļiem, bet ne vairāk kā divus miljonus </w:t>
            </w:r>
            <w:r w:rsidR="00B773EC" w:rsidRPr="00771137">
              <w:rPr>
                <w:rFonts w:ascii="Times New Roman" w:eastAsia="Times New Roman" w:hAnsi="Times New Roman" w:cs="Times New Roman"/>
                <w:i/>
                <w:iCs/>
                <w:sz w:val="24"/>
                <w:szCs w:val="24"/>
                <w:lang w:eastAsia="lv-LV"/>
              </w:rPr>
              <w:t>euro</w:t>
            </w:r>
            <w:r w:rsidR="00B773EC" w:rsidRPr="00771137">
              <w:rPr>
                <w:rFonts w:ascii="Times New Roman" w:eastAsia="Times New Roman" w:hAnsi="Times New Roman" w:cs="Times New Roman"/>
                <w:iCs/>
                <w:sz w:val="24"/>
                <w:szCs w:val="24"/>
                <w:lang w:eastAsia="lv-LV"/>
              </w:rPr>
              <w:t xml:space="preserve"> saimnieciskajā gadā novirza Tieslietu ministrijas atsevišķā budžeta programmā, lai īstenotu nepieciešamos pasākumus finanšu un ekonomisko </w:t>
            </w:r>
            <w:r w:rsidR="00B773EC" w:rsidRPr="00771137">
              <w:rPr>
                <w:rFonts w:ascii="Times New Roman" w:eastAsia="Times New Roman" w:hAnsi="Times New Roman" w:cs="Times New Roman"/>
                <w:iCs/>
                <w:sz w:val="24"/>
                <w:szCs w:val="24"/>
                <w:lang w:eastAsia="lv-LV"/>
              </w:rPr>
              <w:lastRenderedPageBreak/>
              <w:t>noziegumu apkarošanai un atbalsta sniegšanai noziedzīgos nodarījumos cietušajiem.</w:t>
            </w:r>
          </w:p>
          <w:p w14:paraId="658C9B35" w14:textId="77777777" w:rsidR="001F6EAD" w:rsidRPr="00771137" w:rsidRDefault="00B773EC" w:rsidP="00B773EC">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Attiecīgās Tieslietu ministrijas budžeta programmas finansēšanas, līdzekļu sadales un izmantošanas kārtību nosaka Ministru kabineta 2017. gada 19. decembra noteikumi Nr. 769 “Tieslietu ministrijas pamatbudžeta programmas “Noziedzīgi iegūtu līdzekļu konfiskācijas fonds” finanšu līdzekļu izmantošanas kārtība”</w:t>
            </w:r>
            <w:r w:rsidR="00B96E22" w:rsidRPr="00771137">
              <w:rPr>
                <w:rFonts w:ascii="Times New Roman" w:eastAsia="Times New Roman" w:hAnsi="Times New Roman" w:cs="Times New Roman"/>
                <w:iCs/>
                <w:sz w:val="24"/>
                <w:szCs w:val="24"/>
                <w:lang w:eastAsia="lv-LV"/>
              </w:rPr>
              <w:t xml:space="preserve"> (turpmāk – Noteikumi Nr. 769)</w:t>
            </w:r>
            <w:r w:rsidRPr="00771137">
              <w:rPr>
                <w:rFonts w:ascii="Times New Roman" w:eastAsia="Times New Roman" w:hAnsi="Times New Roman" w:cs="Times New Roman"/>
                <w:iCs/>
                <w:sz w:val="24"/>
                <w:szCs w:val="24"/>
                <w:lang w:eastAsia="lv-LV"/>
              </w:rPr>
              <w:t xml:space="preserve">. </w:t>
            </w:r>
            <w:r w:rsidR="00C02A52" w:rsidRPr="00771137">
              <w:rPr>
                <w:rFonts w:ascii="Times New Roman" w:eastAsia="Times New Roman" w:hAnsi="Times New Roman" w:cs="Times New Roman"/>
                <w:iCs/>
                <w:sz w:val="24"/>
                <w:szCs w:val="24"/>
                <w:lang w:eastAsia="lv-LV"/>
              </w:rPr>
              <w:t xml:space="preserve">Atbilstoši </w:t>
            </w:r>
            <w:r w:rsidR="00B96E22" w:rsidRPr="00771137">
              <w:rPr>
                <w:rFonts w:ascii="Times New Roman" w:eastAsia="Times New Roman" w:hAnsi="Times New Roman" w:cs="Times New Roman"/>
                <w:iCs/>
                <w:sz w:val="24"/>
                <w:szCs w:val="24"/>
                <w:lang w:eastAsia="lv-LV"/>
              </w:rPr>
              <w:t>Noteikumu Nr. 769</w:t>
            </w:r>
            <w:r w:rsidR="00C02A52" w:rsidRPr="00771137">
              <w:rPr>
                <w:rFonts w:ascii="Times New Roman" w:eastAsia="Times New Roman" w:hAnsi="Times New Roman" w:cs="Times New Roman"/>
                <w:iCs/>
                <w:sz w:val="24"/>
                <w:szCs w:val="24"/>
                <w:lang w:eastAsia="lv-LV"/>
              </w:rPr>
              <w:t xml:space="preserve"> 4. punktam minētā</w:t>
            </w:r>
            <w:r w:rsidR="00287D8B" w:rsidRPr="00771137">
              <w:rPr>
                <w:rFonts w:ascii="Times New Roman" w:eastAsia="Times New Roman" w:hAnsi="Times New Roman" w:cs="Times New Roman"/>
                <w:iCs/>
                <w:sz w:val="24"/>
                <w:szCs w:val="24"/>
                <w:lang w:eastAsia="lv-LV"/>
              </w:rPr>
              <w:t>s</w:t>
            </w:r>
            <w:r w:rsidR="00C02A52" w:rsidRPr="00771137">
              <w:rPr>
                <w:rFonts w:ascii="Times New Roman" w:eastAsia="Times New Roman" w:hAnsi="Times New Roman" w:cs="Times New Roman"/>
                <w:iCs/>
                <w:sz w:val="24"/>
                <w:szCs w:val="24"/>
                <w:lang w:eastAsia="lv-LV"/>
              </w:rPr>
              <w:t xml:space="preserve"> </w:t>
            </w:r>
            <w:r w:rsidR="00287D8B" w:rsidRPr="00771137">
              <w:rPr>
                <w:rFonts w:ascii="Times New Roman" w:eastAsia="Times New Roman" w:hAnsi="Times New Roman" w:cs="Times New Roman"/>
                <w:iCs/>
                <w:sz w:val="24"/>
                <w:szCs w:val="24"/>
                <w:lang w:eastAsia="lv-LV"/>
              </w:rPr>
              <w:t>pamatbudžeta programmas</w:t>
            </w:r>
            <w:r w:rsidR="00C02A52" w:rsidRPr="00771137">
              <w:rPr>
                <w:rFonts w:ascii="Times New Roman" w:eastAsia="Times New Roman" w:hAnsi="Times New Roman" w:cs="Times New Roman"/>
                <w:iCs/>
                <w:sz w:val="24"/>
                <w:szCs w:val="24"/>
                <w:lang w:eastAsia="lv-LV"/>
              </w:rPr>
              <w:t xml:space="preserve"> līdzekļi ir paredzēti finanšu un ekonomisko noziegumu apkarošanas pasākumiem un atbalsta sniegšanai noziedzīgos nodarījumos cietušajiem</w:t>
            </w:r>
            <w:r w:rsidR="006002F5" w:rsidRPr="00771137">
              <w:rPr>
                <w:rFonts w:ascii="Times New Roman" w:eastAsia="Times New Roman" w:hAnsi="Times New Roman" w:cs="Times New Roman"/>
                <w:iCs/>
                <w:sz w:val="24"/>
                <w:szCs w:val="24"/>
                <w:lang w:eastAsia="lv-LV"/>
              </w:rPr>
              <w:t>.</w:t>
            </w:r>
          </w:p>
          <w:p w14:paraId="5E2B270E" w14:textId="088E4B69" w:rsidR="006C5055" w:rsidRPr="00771137" w:rsidRDefault="001F6EAD" w:rsidP="00B773EC">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287D8B" w:rsidRPr="00771137">
              <w:rPr>
                <w:rFonts w:ascii="Times New Roman" w:eastAsia="Times New Roman" w:hAnsi="Times New Roman" w:cs="Times New Roman"/>
                <w:iCs/>
                <w:sz w:val="24"/>
                <w:szCs w:val="24"/>
                <w:lang w:eastAsia="lv-LV"/>
              </w:rPr>
              <w:t>I</w:t>
            </w:r>
            <w:r w:rsidR="003F2C77" w:rsidRPr="00771137">
              <w:rPr>
                <w:rFonts w:ascii="Times New Roman" w:eastAsia="Times New Roman" w:hAnsi="Times New Roman" w:cs="Times New Roman"/>
                <w:iCs/>
                <w:sz w:val="24"/>
                <w:szCs w:val="24"/>
                <w:lang w:eastAsia="lv-LV"/>
              </w:rPr>
              <w:t>nformatīvajā ziņojumā “Par priekšlikumiem turpmākai rīcībai, lai izveidotu mehānismu konfiscēto noziedzīgi iegūto līdzekļu izmanto</w:t>
            </w:r>
            <w:r w:rsidR="00920343" w:rsidRPr="00771137">
              <w:rPr>
                <w:rFonts w:ascii="Times New Roman" w:eastAsia="Times New Roman" w:hAnsi="Times New Roman" w:cs="Times New Roman"/>
                <w:iCs/>
                <w:sz w:val="24"/>
                <w:szCs w:val="24"/>
                <w:lang w:eastAsia="lv-LV"/>
              </w:rPr>
              <w:t>šanai” (Ministru kabineta 2017. gada 11. aprīļa sēdes prot. Nr. </w:t>
            </w:r>
            <w:r w:rsidR="003F2C77" w:rsidRPr="00771137">
              <w:rPr>
                <w:rFonts w:ascii="Times New Roman" w:eastAsia="Times New Roman" w:hAnsi="Times New Roman" w:cs="Times New Roman"/>
                <w:iCs/>
                <w:sz w:val="24"/>
                <w:szCs w:val="24"/>
                <w:lang w:eastAsia="lv-LV"/>
              </w:rPr>
              <w:t>19, 30.§)</w:t>
            </w:r>
            <w:r w:rsidR="00BC3E51" w:rsidRPr="00771137">
              <w:rPr>
                <w:rFonts w:ascii="Times New Roman" w:eastAsia="Times New Roman" w:hAnsi="Times New Roman" w:cs="Times New Roman"/>
                <w:iCs/>
                <w:sz w:val="24"/>
                <w:szCs w:val="24"/>
                <w:lang w:eastAsia="lv-LV"/>
              </w:rPr>
              <w:t xml:space="preserve"> (turpmāk – ziņojums)</w:t>
            </w:r>
            <w:r w:rsidR="003F2C77" w:rsidRPr="00771137">
              <w:rPr>
                <w:rFonts w:ascii="Times New Roman" w:eastAsia="Times New Roman" w:hAnsi="Times New Roman" w:cs="Times New Roman"/>
                <w:iCs/>
                <w:sz w:val="24"/>
                <w:szCs w:val="24"/>
                <w:lang w:eastAsia="lv-LV"/>
              </w:rPr>
              <w:t xml:space="preserve"> ir norādīts, ka Tieslietu ministrijas pamatbudžeta programmas “Noziedzīgi iegūtu līdzekļu konfisk</w:t>
            </w:r>
            <w:r w:rsidR="005E0B37" w:rsidRPr="00771137">
              <w:rPr>
                <w:rFonts w:ascii="Times New Roman" w:eastAsia="Times New Roman" w:hAnsi="Times New Roman" w:cs="Times New Roman"/>
                <w:iCs/>
                <w:sz w:val="24"/>
                <w:szCs w:val="24"/>
                <w:lang w:eastAsia="lv-LV"/>
              </w:rPr>
              <w:t>ācijas fonds” novirzītie</w:t>
            </w:r>
            <w:r w:rsidRPr="00771137">
              <w:rPr>
                <w:rFonts w:ascii="Times New Roman" w:eastAsia="Times New Roman" w:hAnsi="Times New Roman" w:cs="Times New Roman"/>
                <w:iCs/>
                <w:sz w:val="24"/>
                <w:szCs w:val="24"/>
                <w:lang w:eastAsia="lv-LV"/>
              </w:rPr>
              <w:t xml:space="preserve"> līdzekļi būtu jāizmanto arī tādam mērķim, kā izmeklēšanas iestāžu, Valsts tiesu ekspertīžu biroja materiāltehniskās bāzes pilnveidošanā. Tāpat ziņojumā ir norādīts, ka Tieslietu ministrijas pamatbudžeta programmas “Noziedzīgi iegūtu līdzekļu konfiskācijas fonds” novirzīto līdzekļu izmantošanas</w:t>
            </w:r>
            <w:r w:rsidR="003F2C77" w:rsidRPr="00771137">
              <w:rPr>
                <w:rFonts w:ascii="Times New Roman" w:eastAsia="Times New Roman" w:hAnsi="Times New Roman" w:cs="Times New Roman"/>
                <w:iCs/>
                <w:sz w:val="24"/>
                <w:szCs w:val="24"/>
                <w:lang w:eastAsia="lv-LV"/>
              </w:rPr>
              <w:t xml:space="preserve"> mērķis ir finanšu un ekonomisko noziegumu apkarošanas sasniegšana, lai īstenotu nepieciešamos pasākumus </w:t>
            </w:r>
            <w:r w:rsidR="005E0B37" w:rsidRPr="00771137">
              <w:rPr>
                <w:rFonts w:ascii="Times New Roman" w:eastAsia="Times New Roman" w:hAnsi="Times New Roman" w:cs="Times New Roman"/>
                <w:iCs/>
                <w:sz w:val="24"/>
                <w:szCs w:val="24"/>
                <w:lang w:eastAsia="lv-LV"/>
              </w:rPr>
              <w:t xml:space="preserve">izmeklēšanas </w:t>
            </w:r>
            <w:r w:rsidR="004808C0" w:rsidRPr="00771137">
              <w:rPr>
                <w:rFonts w:ascii="Times New Roman" w:eastAsia="Times New Roman" w:hAnsi="Times New Roman" w:cs="Times New Roman"/>
                <w:iCs/>
                <w:sz w:val="24"/>
                <w:szCs w:val="24"/>
                <w:lang w:eastAsia="lv-LV"/>
              </w:rPr>
              <w:t xml:space="preserve">iestāžu kapacitātes un </w:t>
            </w:r>
            <w:r w:rsidR="003F2C77" w:rsidRPr="00771137">
              <w:rPr>
                <w:rFonts w:ascii="Times New Roman" w:eastAsia="Times New Roman" w:hAnsi="Times New Roman" w:cs="Times New Roman"/>
                <w:iCs/>
                <w:sz w:val="24"/>
                <w:szCs w:val="24"/>
                <w:lang w:eastAsia="lv-LV"/>
              </w:rPr>
              <w:t>tehniskā nodrošinājuma attīstībai.</w:t>
            </w:r>
            <w:r w:rsidR="00287D8B" w:rsidRPr="00771137">
              <w:rPr>
                <w:rFonts w:ascii="Times New Roman" w:eastAsia="Times New Roman" w:hAnsi="Times New Roman" w:cs="Times New Roman"/>
                <w:iCs/>
                <w:sz w:val="24"/>
                <w:szCs w:val="24"/>
                <w:lang w:eastAsia="lv-LV"/>
              </w:rPr>
              <w:t xml:space="preserve"> </w:t>
            </w:r>
            <w:r w:rsidR="006002F5" w:rsidRPr="00771137">
              <w:rPr>
                <w:rFonts w:ascii="Times New Roman" w:eastAsia="Times New Roman" w:hAnsi="Times New Roman" w:cs="Times New Roman"/>
                <w:iCs/>
                <w:sz w:val="24"/>
                <w:szCs w:val="24"/>
                <w:lang w:eastAsia="lv-LV"/>
              </w:rPr>
              <w:t>Saskaņā ar Noteikumu Nr. 769 6. punktu Tieslietu ministrija nosūta uzaicinājumu iesniegt pieteikumu līdzekļu izmantošanai prokuratūrai, Korupcijas novēršanas un apkarošanas birojam, Finanšu ministrijai, Izglītības un zinātnes ministrijai, Labklājības ministrijai, Veselības ministrij</w:t>
            </w:r>
            <w:r w:rsidR="00287D8B" w:rsidRPr="00771137">
              <w:rPr>
                <w:rFonts w:ascii="Times New Roman" w:eastAsia="Times New Roman" w:hAnsi="Times New Roman" w:cs="Times New Roman"/>
                <w:iCs/>
                <w:sz w:val="24"/>
                <w:szCs w:val="24"/>
                <w:lang w:eastAsia="lv-LV"/>
              </w:rPr>
              <w:t>ai un arī Iekšlietu ministrijai, līdz ar to Tieslietu ministrijas pamatbudžeta programmā “Noziedzīgi iegūtu līdzekļu konfiskācijas fonds” esošajiem līdzekļiem var pieteikties visas iepriekš minētās iestādes.</w:t>
            </w:r>
          </w:p>
          <w:p w14:paraId="31186953" w14:textId="71FF5482" w:rsidR="00313024" w:rsidRPr="00771137" w:rsidRDefault="006649CB" w:rsidP="00313024">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313024" w:rsidRPr="00771137">
              <w:rPr>
                <w:rFonts w:ascii="Times New Roman" w:eastAsia="Times New Roman" w:hAnsi="Times New Roman" w:cs="Times New Roman"/>
                <w:iCs/>
                <w:sz w:val="24"/>
                <w:szCs w:val="24"/>
                <w:lang w:eastAsia="lv-LV"/>
              </w:rPr>
              <w:t xml:space="preserve">Noziedzīgi iegūtas mantas konfiskācijas izpildes likuma 45. pantā ietvertie vārdi “noziegumu apkarošanai” ir tulkojams visplašākajā nozīmē, līdz ar to Tieslietu ministrijas pamatbudžeta programmas “Noziedzīgi iegūtu līdzekļu konfiskācijas fonds” finanšu līdzekļus var izmantot ne tikai tieši finanšu un ekonomisko noziegumu apkarošanai, bet arī organizētās noziedzības apkarošanai, ja tās darbības amplitūda ir finanšu un ekonomiskie noziegumi. Ar finanšu un ekonomiskajiem noziegumiem ir saprotami ne tikai Krimināllikuma XIX nodaļā “Noziedzīgi </w:t>
            </w:r>
            <w:r w:rsidR="00313024" w:rsidRPr="00771137">
              <w:rPr>
                <w:rFonts w:ascii="Times New Roman" w:eastAsia="Times New Roman" w:hAnsi="Times New Roman" w:cs="Times New Roman"/>
                <w:iCs/>
                <w:sz w:val="24"/>
                <w:szCs w:val="24"/>
                <w:lang w:eastAsia="lv-LV"/>
              </w:rPr>
              <w:lastRenderedPageBreak/>
              <w:t xml:space="preserve">nodarījumi tautsaimniecībā” paredzētie noziedzīgie nodarījumi, bet visi noziedzīgie nodarījumi, kuru rezultātā tiek gūti līdzekļi. Līdz ar to Tieslietu ministrijas pamatbudžeta programmas “Noziedzīgi iegūtu līdzekļu konfiskācijas fonds” finanšu līdzekļus var izmantot arī pasākumu īstenošanai, kas ir vērsti uz organizētās noziedzības apkarošanu, jo pamatā organizētās </w:t>
            </w:r>
            <w:r w:rsidR="003D3545" w:rsidRPr="00771137">
              <w:rPr>
                <w:rFonts w:ascii="Times New Roman" w:eastAsia="Times New Roman" w:hAnsi="Times New Roman" w:cs="Times New Roman"/>
                <w:iCs/>
                <w:sz w:val="24"/>
                <w:szCs w:val="24"/>
                <w:lang w:eastAsia="lv-LV"/>
              </w:rPr>
              <w:t xml:space="preserve">grupas </w:t>
            </w:r>
            <w:r w:rsidR="00313024" w:rsidRPr="00771137">
              <w:rPr>
                <w:rFonts w:ascii="Times New Roman" w:eastAsia="Times New Roman" w:hAnsi="Times New Roman" w:cs="Times New Roman"/>
                <w:iCs/>
                <w:sz w:val="24"/>
                <w:szCs w:val="24"/>
                <w:lang w:eastAsia="lv-LV"/>
              </w:rPr>
              <w:t>tiek veidotas, lai izdarītu noziedzīgus nodarījumus, kuru rezultātā gūst līdzekļus un kurus pēc tam iepludina finanšu sistēmā, tādējādi tos legalizējot.</w:t>
            </w:r>
          </w:p>
          <w:p w14:paraId="16E4B350" w14:textId="1409F869" w:rsidR="00313024" w:rsidRPr="00771137" w:rsidRDefault="00313024" w:rsidP="00B773EC">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Tāpat, lai veiksmīgi apkarotu finanšu un ekonomiskos noziegumus, ir nepieciešams tiesībaizsardzības iestādēm piemērots un mūsdienīgs materiāltehniskais nodrošinājums, kā arī attiecīga infrastruktūra. Līdz ar to Tieslietu ministrijas pamatbudžeta programmas “Noziedzīgi iegūtu līdzekļu konfiskācijas fonds” finanšu līdzekļus var izmantot arī materiāltehniskā nodrošinājuma un infrastruktūras attīstībai.</w:t>
            </w:r>
          </w:p>
          <w:p w14:paraId="38862605" w14:textId="4A69403C" w:rsidR="00BC3E51" w:rsidRPr="00771137" w:rsidRDefault="00313024" w:rsidP="00B773EC">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BC3E51" w:rsidRPr="00771137">
              <w:rPr>
                <w:rFonts w:ascii="Times New Roman" w:eastAsia="Times New Roman" w:hAnsi="Times New Roman" w:cs="Times New Roman"/>
                <w:iCs/>
                <w:sz w:val="24"/>
                <w:szCs w:val="24"/>
                <w:lang w:eastAsia="lv-LV"/>
              </w:rPr>
              <w:t xml:space="preserve">Pašreiz Noziedzīgi iegūtas mantas konfiskācijas izpildes likuma 45. pants paredz, ka pusi no valsts budžetā ieskaitītajiem konfiscētajiem noziedzīgi iegūtajiem līdzekļiem, bet ne vairāk kā divus miljonus </w:t>
            </w:r>
            <w:r w:rsidR="00BC3E51" w:rsidRPr="00771137">
              <w:rPr>
                <w:rFonts w:ascii="Times New Roman" w:eastAsia="Times New Roman" w:hAnsi="Times New Roman" w:cs="Times New Roman"/>
                <w:i/>
                <w:iCs/>
                <w:sz w:val="24"/>
                <w:szCs w:val="24"/>
                <w:lang w:eastAsia="lv-LV"/>
              </w:rPr>
              <w:t>euro</w:t>
            </w:r>
            <w:r w:rsidR="00BC3E51" w:rsidRPr="00771137">
              <w:rPr>
                <w:rFonts w:ascii="Times New Roman" w:eastAsia="Times New Roman" w:hAnsi="Times New Roman" w:cs="Times New Roman"/>
                <w:iCs/>
                <w:sz w:val="24"/>
                <w:szCs w:val="24"/>
                <w:lang w:eastAsia="lv-LV"/>
              </w:rPr>
              <w:t xml:space="preserve"> saimnieciskajā gadā novirza Tieslietu ministrijas atsevišķā budžeta programmā. Līdz ar to ir noteikts ierobežojums, ka </w:t>
            </w:r>
            <w:r w:rsidR="00CE3E04" w:rsidRPr="00771137">
              <w:rPr>
                <w:rFonts w:ascii="Times New Roman" w:eastAsia="Times New Roman" w:hAnsi="Times New Roman" w:cs="Times New Roman"/>
                <w:iCs/>
                <w:sz w:val="24"/>
                <w:szCs w:val="24"/>
                <w:lang w:eastAsia="lv-LV"/>
              </w:rPr>
              <w:t xml:space="preserve">ne </w:t>
            </w:r>
            <w:r w:rsidR="00BC3E51" w:rsidRPr="00771137">
              <w:rPr>
                <w:rFonts w:ascii="Times New Roman" w:eastAsia="Times New Roman" w:hAnsi="Times New Roman" w:cs="Times New Roman"/>
                <w:iCs/>
                <w:sz w:val="24"/>
                <w:szCs w:val="24"/>
                <w:lang w:eastAsia="lv-LV"/>
              </w:rPr>
              <w:t xml:space="preserve">vairāk kā divus miljonus </w:t>
            </w:r>
            <w:r w:rsidR="00BC3E51" w:rsidRPr="00771137">
              <w:rPr>
                <w:rFonts w:ascii="Times New Roman" w:eastAsia="Times New Roman" w:hAnsi="Times New Roman" w:cs="Times New Roman"/>
                <w:i/>
                <w:iCs/>
                <w:sz w:val="24"/>
                <w:szCs w:val="24"/>
                <w:lang w:eastAsia="lv-LV"/>
              </w:rPr>
              <w:t>euro</w:t>
            </w:r>
            <w:r w:rsidR="00BC3E51" w:rsidRPr="00771137">
              <w:rPr>
                <w:rFonts w:ascii="Times New Roman" w:eastAsia="Times New Roman" w:hAnsi="Times New Roman" w:cs="Times New Roman"/>
                <w:iCs/>
                <w:sz w:val="24"/>
                <w:szCs w:val="24"/>
                <w:lang w:eastAsia="lv-LV"/>
              </w:rPr>
              <w:t xml:space="preserve"> saimnieciskajā gadā var novirzīt minētajā budžeta programmā. </w:t>
            </w:r>
            <w:r w:rsidR="00940385" w:rsidRPr="00771137">
              <w:rPr>
                <w:rFonts w:ascii="Times New Roman" w:eastAsia="Times New Roman" w:hAnsi="Times New Roman" w:cs="Times New Roman"/>
                <w:iCs/>
                <w:sz w:val="24"/>
                <w:szCs w:val="24"/>
                <w:lang w:eastAsia="lv-LV"/>
              </w:rPr>
              <w:t>Saskaņā ar ziņojumā norādīto Tieslietu ministrijas budžeta programmā ieskaitāmo finanšu līdzekļu maksimālais limits noteikts, ņemot vērā, ka šāda naudas summa vidēji gadā sastāda valsts budžeta ieņēmumus no konfiscētās noziedzīgi iegūtās mantas realizācijas un konfiscētajiem finanšu līdzekļiem. Vienlaikus ziņojumā ir nostiprināts, ka gadījumā, ja palielinātos valsts budžetā ieskaitīto konfiscēto līdzekļu vidējais apmērs, Tie</w:t>
            </w:r>
            <w:r w:rsidR="00491D7B" w:rsidRPr="00771137">
              <w:rPr>
                <w:rFonts w:ascii="Times New Roman" w:eastAsia="Times New Roman" w:hAnsi="Times New Roman" w:cs="Times New Roman"/>
                <w:iCs/>
                <w:sz w:val="24"/>
                <w:szCs w:val="24"/>
                <w:lang w:eastAsia="lv-LV"/>
              </w:rPr>
              <w:t>s</w:t>
            </w:r>
            <w:r w:rsidR="00940385" w:rsidRPr="00771137">
              <w:rPr>
                <w:rFonts w:ascii="Times New Roman" w:eastAsia="Times New Roman" w:hAnsi="Times New Roman" w:cs="Times New Roman"/>
                <w:iCs/>
                <w:sz w:val="24"/>
                <w:szCs w:val="24"/>
                <w:lang w:eastAsia="lv-LV"/>
              </w:rPr>
              <w:t xml:space="preserve">lietu ministrijas budžeta programmā ieskaitīto konfiscēto līdzekļu vidējais apmērs </w:t>
            </w:r>
            <w:r w:rsidR="00491D7B" w:rsidRPr="00771137">
              <w:rPr>
                <w:rFonts w:ascii="Times New Roman" w:eastAsia="Times New Roman" w:hAnsi="Times New Roman" w:cs="Times New Roman"/>
                <w:iCs/>
                <w:sz w:val="24"/>
                <w:szCs w:val="24"/>
                <w:lang w:eastAsia="lv-LV"/>
              </w:rPr>
              <w:t>ir pārskatāms.</w:t>
            </w:r>
          </w:p>
          <w:p w14:paraId="38482227" w14:textId="0113CE3C" w:rsidR="00AC1714" w:rsidRPr="00771137" w:rsidRDefault="006649CB" w:rsidP="00AC1714">
            <w:pPr>
              <w:spacing w:after="0" w:line="240" w:lineRule="auto"/>
              <w:jc w:val="both"/>
              <w:rPr>
                <w:rFonts w:ascii="Times New Roman" w:hAnsi="Times New Roman" w:cs="Times New Roman"/>
                <w:sz w:val="24"/>
                <w:szCs w:val="24"/>
              </w:rPr>
            </w:pPr>
            <w:r w:rsidRPr="00771137">
              <w:rPr>
                <w:rFonts w:ascii="Times New Roman" w:hAnsi="Times New Roman" w:cs="Times New Roman"/>
                <w:sz w:val="24"/>
                <w:szCs w:val="24"/>
              </w:rPr>
              <w:t xml:space="preserve">   </w:t>
            </w:r>
            <w:r w:rsidR="00624B4F" w:rsidRPr="00771137">
              <w:rPr>
                <w:rFonts w:ascii="Times New Roman" w:hAnsi="Times New Roman" w:cs="Times New Roman"/>
                <w:sz w:val="24"/>
                <w:szCs w:val="24"/>
              </w:rPr>
              <w:t>Ņemot vērā to, ka finanšu jomas sakārtošanai ir izstrādāti attiecīgie normatīvie akti ar mērķi veicināt finanšu un ekonomisko noziegumu izmeklēšanu</w:t>
            </w:r>
            <w:r w:rsidR="004F3FB7" w:rsidRPr="00771137">
              <w:rPr>
                <w:rFonts w:ascii="Times New Roman" w:hAnsi="Times New Roman" w:cs="Times New Roman"/>
                <w:sz w:val="24"/>
                <w:szCs w:val="24"/>
              </w:rPr>
              <w:t>, kas</w:t>
            </w:r>
            <w:r w:rsidR="00624B4F" w:rsidRPr="00771137">
              <w:rPr>
                <w:rFonts w:ascii="Times New Roman" w:hAnsi="Times New Roman" w:cs="Times New Roman"/>
                <w:sz w:val="24"/>
                <w:szCs w:val="24"/>
              </w:rPr>
              <w:t xml:space="preserve"> sekmēs jaunu kriminālprocesu uzsākšanu, </w:t>
            </w:r>
            <w:r w:rsidR="003B66D8" w:rsidRPr="00771137">
              <w:rPr>
                <w:rFonts w:ascii="Times New Roman" w:hAnsi="Times New Roman" w:cs="Times New Roman"/>
                <w:sz w:val="24"/>
                <w:szCs w:val="24"/>
              </w:rPr>
              <w:t>tādējādi</w:t>
            </w:r>
            <w:r w:rsidR="00624B4F" w:rsidRPr="00771137">
              <w:rPr>
                <w:rFonts w:ascii="Times New Roman" w:hAnsi="Times New Roman" w:cs="Times New Roman"/>
                <w:sz w:val="24"/>
                <w:szCs w:val="24"/>
              </w:rPr>
              <w:t xml:space="preserve"> ir paredzams, ka attiecīgi palielināsies arī </w:t>
            </w:r>
            <w:r w:rsidR="004F3FB7" w:rsidRPr="00771137">
              <w:rPr>
                <w:rFonts w:ascii="Times New Roman" w:hAnsi="Times New Roman" w:cs="Times New Roman"/>
                <w:sz w:val="24"/>
                <w:szCs w:val="24"/>
              </w:rPr>
              <w:t>konfiscēto</w:t>
            </w:r>
            <w:r w:rsidR="00624B4F" w:rsidRPr="00771137">
              <w:rPr>
                <w:rFonts w:ascii="Times New Roman" w:hAnsi="Times New Roman" w:cs="Times New Roman"/>
                <w:sz w:val="24"/>
                <w:szCs w:val="24"/>
              </w:rPr>
              <w:t xml:space="preserve"> naudas līdzekļu apjoms.</w:t>
            </w:r>
          </w:p>
          <w:p w14:paraId="58AE0623" w14:textId="77E6D9B9" w:rsidR="00AF5675" w:rsidRPr="00771137" w:rsidRDefault="00AC1714" w:rsidP="00AF5675">
            <w:pPr>
              <w:spacing w:after="0" w:line="240" w:lineRule="auto"/>
              <w:jc w:val="both"/>
              <w:rPr>
                <w:rFonts w:ascii="Times New Roman" w:hAnsi="Times New Roman" w:cs="Times New Roman"/>
                <w:sz w:val="24"/>
                <w:szCs w:val="24"/>
              </w:rPr>
            </w:pPr>
            <w:r w:rsidRPr="00771137">
              <w:rPr>
                <w:rFonts w:ascii="Times New Roman" w:hAnsi="Times New Roman" w:cs="Times New Roman"/>
                <w:sz w:val="24"/>
                <w:szCs w:val="24"/>
              </w:rPr>
              <w:t xml:space="preserve">   Līdz ar to </w:t>
            </w:r>
            <w:r w:rsidRPr="00771137">
              <w:rPr>
                <w:rFonts w:ascii="Times New Roman" w:eastAsia="Times New Roman" w:hAnsi="Times New Roman" w:cs="Times New Roman"/>
                <w:iCs/>
                <w:sz w:val="24"/>
                <w:szCs w:val="24"/>
                <w:lang w:eastAsia="lv-LV"/>
              </w:rPr>
              <w:t>likumprojekts paredz izdarīt grozījumu Noziedzīgi iegūtas mantas konfiskācijas izpildes likuma 45. pantā, izslēdzot no tā vārdus, kas no</w:t>
            </w:r>
            <w:r w:rsidR="00827E4D" w:rsidRPr="00771137">
              <w:rPr>
                <w:rFonts w:ascii="Times New Roman" w:eastAsia="Times New Roman" w:hAnsi="Times New Roman" w:cs="Times New Roman"/>
                <w:iCs/>
                <w:sz w:val="24"/>
                <w:szCs w:val="24"/>
                <w:lang w:eastAsia="lv-LV"/>
              </w:rPr>
              <w:t>saka</w:t>
            </w:r>
            <w:r w:rsidRPr="00771137">
              <w:rPr>
                <w:rFonts w:ascii="Times New Roman" w:eastAsia="Times New Roman" w:hAnsi="Times New Roman" w:cs="Times New Roman"/>
                <w:iCs/>
                <w:sz w:val="24"/>
                <w:szCs w:val="24"/>
                <w:lang w:eastAsia="lv-LV"/>
              </w:rPr>
              <w:t xml:space="preserve"> no valsts budžetā ieskaitītajiem konfiscētajiem noziedzīgi iegūtajiem līdzekļiem Tieslietu ministrijas pamatbudžeta programmai “Noziedzīgi iegūtu līdzekļu </w:t>
            </w:r>
            <w:r w:rsidRPr="00771137">
              <w:rPr>
                <w:rFonts w:ascii="Times New Roman" w:eastAsia="Times New Roman" w:hAnsi="Times New Roman" w:cs="Times New Roman"/>
                <w:iCs/>
                <w:sz w:val="24"/>
                <w:szCs w:val="24"/>
                <w:lang w:eastAsia="lv-LV"/>
              </w:rPr>
              <w:lastRenderedPageBreak/>
              <w:t xml:space="preserve">konfiskācijas fonds” maksimāli novirzāmo līdzekļu apmēru – divi miljoni </w:t>
            </w:r>
            <w:r w:rsidRPr="00771137">
              <w:rPr>
                <w:rFonts w:ascii="Times New Roman" w:eastAsia="Times New Roman" w:hAnsi="Times New Roman" w:cs="Times New Roman"/>
                <w:i/>
                <w:iCs/>
                <w:sz w:val="24"/>
                <w:szCs w:val="24"/>
                <w:lang w:eastAsia="lv-LV"/>
              </w:rPr>
              <w:t>euro</w:t>
            </w:r>
            <w:r w:rsidRPr="00771137">
              <w:rPr>
                <w:rFonts w:ascii="Times New Roman" w:eastAsia="Times New Roman" w:hAnsi="Times New Roman" w:cs="Times New Roman"/>
                <w:iCs/>
                <w:sz w:val="24"/>
                <w:szCs w:val="24"/>
                <w:lang w:eastAsia="lv-LV"/>
              </w:rPr>
              <w:t xml:space="preserve">. Līdz ar to turpmāk Tieslietu ministrijas pamatbudžeta programmai “Noziedzīgi iegūtu līdzekļu konfiskācijas fonds” novirzīs pusi no visiem valsts budžetā ieskaitītajiem konfiscētajiem noziedzīgi iegūtajiem līdzekļiem bez novirzāmo līdzekļu maksimālā apmēra ierobežojuma. </w:t>
            </w:r>
          </w:p>
          <w:p w14:paraId="0A78108B" w14:textId="23A9E8BA" w:rsidR="00313024" w:rsidRPr="00771137" w:rsidRDefault="006649CB" w:rsidP="00313024">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313024" w:rsidRPr="00771137">
              <w:rPr>
                <w:rFonts w:ascii="Times New Roman" w:eastAsia="Times New Roman" w:hAnsi="Times New Roman" w:cs="Times New Roman"/>
                <w:iCs/>
                <w:sz w:val="24"/>
                <w:szCs w:val="24"/>
                <w:lang w:eastAsia="lv-LV"/>
              </w:rPr>
              <w:t>Palielinot no valsts budžetā ieskaitītajiem konfiscētajiem noziedzīgi iegūtajiem līdzekļiem novirzāmo summu Tieslietu ministrijas pamatbudžeta programmai “Noziedzīgi iegūtu līdzekļu konfiskācijas fonds”, varēs novirzīt vairāk finanšu līdzekļus finanšu un ekonomisko noziegumu apkarošanai (tostarp</w:t>
            </w:r>
            <w:r w:rsidR="00313024" w:rsidRPr="00771137">
              <w:rPr>
                <w:rFonts w:ascii="Times New Roman" w:hAnsi="Times New Roman" w:cs="Times New Roman"/>
                <w:sz w:val="24"/>
                <w:szCs w:val="24"/>
              </w:rPr>
              <w:t xml:space="preserve"> organizētās noziedzības apkarošanai un materiāltehniskā nodrošinājuma un infrastruktūras attīstībai)</w:t>
            </w:r>
            <w:r w:rsidR="00313024" w:rsidRPr="00771137">
              <w:rPr>
                <w:rFonts w:ascii="Times New Roman" w:eastAsia="Times New Roman" w:hAnsi="Times New Roman" w:cs="Times New Roman"/>
                <w:iCs/>
                <w:sz w:val="24"/>
                <w:szCs w:val="24"/>
                <w:lang w:eastAsia="lv-LV"/>
              </w:rPr>
              <w:t>, kas attiecīgi stiprinās finanšu un ekonomisko noziegumu</w:t>
            </w:r>
            <w:r w:rsidR="00827E4D" w:rsidRPr="00771137">
              <w:rPr>
                <w:rFonts w:ascii="Times New Roman" w:eastAsia="Times New Roman" w:hAnsi="Times New Roman" w:cs="Times New Roman"/>
                <w:iCs/>
                <w:sz w:val="24"/>
                <w:szCs w:val="24"/>
                <w:lang w:eastAsia="lv-LV"/>
              </w:rPr>
              <w:t xml:space="preserve"> </w:t>
            </w:r>
            <w:r w:rsidR="00313024" w:rsidRPr="00771137">
              <w:rPr>
                <w:rFonts w:ascii="Times New Roman" w:eastAsia="Times New Roman" w:hAnsi="Times New Roman" w:cs="Times New Roman"/>
                <w:iCs/>
                <w:sz w:val="24"/>
                <w:szCs w:val="24"/>
                <w:lang w:eastAsia="lv-LV"/>
              </w:rPr>
              <w:t>izmeklēšanas kapacitāti un nodrošinās valsts iekšējo drošību.</w:t>
            </w:r>
          </w:p>
          <w:p w14:paraId="3B1F659C" w14:textId="4F11EC25" w:rsidR="00313024" w:rsidRPr="00771137" w:rsidRDefault="00313024" w:rsidP="00313024">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Finanšu un ekonomisko noziegumu apkarošanas kapacitātes stiprināšana ir nepieciešama, lai nodrošinātu stabilu un prognozējamu ekonomisko vidi valstī. Kā norādīts Saeimā 2015. gada 26. novembrī apstiprinātajā Nacionālajā drošības koncepcijā, lai nodrošinātu stabilu un prognozējamu ekonomisko vidi, svarīgi ir paaugstināt tiesību aizsardzības, kā arī par korupcijas apkarošanu atbildīgo institūciju kapacitāti ekonomisko un finanšu noziegumu, kā arī noziegumu, kuros ir iesaistījušās organizētās grupas, un koruptīvo shēmu atklāšanā un izmeklēšanā.</w:t>
            </w:r>
          </w:p>
          <w:p w14:paraId="7E1E9538" w14:textId="5B60AFEF" w:rsidR="00B86B5D" w:rsidRPr="00771137" w:rsidRDefault="00404E20" w:rsidP="00404E20">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B86B5D" w:rsidRPr="00771137">
              <w:rPr>
                <w:rFonts w:ascii="Times New Roman" w:eastAsia="Times New Roman" w:hAnsi="Times New Roman" w:cs="Times New Roman"/>
                <w:iCs/>
                <w:sz w:val="24"/>
                <w:szCs w:val="24"/>
                <w:lang w:eastAsia="lv-LV"/>
              </w:rPr>
              <w:t xml:space="preserve"> </w:t>
            </w:r>
            <w:r w:rsidR="00AA78C6" w:rsidRPr="00771137">
              <w:rPr>
                <w:rFonts w:ascii="Times New Roman" w:eastAsia="Times New Roman" w:hAnsi="Times New Roman" w:cs="Times New Roman"/>
                <w:iCs/>
                <w:sz w:val="24"/>
                <w:szCs w:val="24"/>
                <w:lang w:eastAsia="lv-LV"/>
              </w:rPr>
              <w:t xml:space="preserve"> </w:t>
            </w:r>
            <w:r w:rsidR="00B86B5D" w:rsidRPr="00771137">
              <w:rPr>
                <w:rFonts w:ascii="Times New Roman" w:eastAsia="Times New Roman" w:hAnsi="Times New Roman" w:cs="Times New Roman"/>
                <w:iCs/>
                <w:sz w:val="24"/>
                <w:szCs w:val="24"/>
                <w:lang w:eastAsia="lv-LV"/>
              </w:rPr>
              <w:t xml:space="preserve">Vienlaikus jānorāda, </w:t>
            </w:r>
            <w:r w:rsidR="003D3545" w:rsidRPr="00771137">
              <w:rPr>
                <w:rFonts w:ascii="Times New Roman" w:eastAsia="Times New Roman" w:hAnsi="Times New Roman" w:cs="Times New Roman"/>
                <w:iCs/>
                <w:sz w:val="24"/>
                <w:szCs w:val="24"/>
                <w:lang w:eastAsia="lv-LV"/>
              </w:rPr>
              <w:t>ka finanšu un ekonomisko noziegumu apkarošana</w:t>
            </w:r>
            <w:r w:rsidR="00287D8B" w:rsidRPr="00771137">
              <w:rPr>
                <w:rFonts w:ascii="Times New Roman" w:eastAsia="Times New Roman" w:hAnsi="Times New Roman" w:cs="Times New Roman"/>
                <w:iCs/>
                <w:sz w:val="24"/>
                <w:szCs w:val="24"/>
                <w:lang w:eastAsia="lv-LV"/>
              </w:rPr>
              <w:t xml:space="preserve"> ir saistīta arī ar </w:t>
            </w:r>
            <w:r w:rsidR="003B217B" w:rsidRPr="00771137">
              <w:rPr>
                <w:rFonts w:ascii="Times New Roman" w:eastAsia="Times New Roman" w:hAnsi="Times New Roman" w:cs="Times New Roman"/>
                <w:iCs/>
                <w:sz w:val="24"/>
                <w:szCs w:val="24"/>
                <w:lang w:eastAsia="lv-LV"/>
              </w:rPr>
              <w:t xml:space="preserve">Eiropas Savienībā izveidotu </w:t>
            </w:r>
            <w:r w:rsidR="00B86B5D" w:rsidRPr="00771137">
              <w:rPr>
                <w:rFonts w:ascii="Times New Roman" w:eastAsia="Times New Roman" w:hAnsi="Times New Roman" w:cs="Times New Roman"/>
                <w:iCs/>
                <w:sz w:val="24"/>
                <w:szCs w:val="24"/>
                <w:lang w:eastAsia="lv-LV"/>
              </w:rPr>
              <w:t>noziedzīgi iegūtu līdzekļu legalizācijas un terorisma</w:t>
            </w:r>
            <w:r w:rsidR="00287D8B" w:rsidRPr="00771137">
              <w:rPr>
                <w:rFonts w:ascii="Times New Roman" w:eastAsia="Times New Roman" w:hAnsi="Times New Roman" w:cs="Times New Roman"/>
                <w:iCs/>
                <w:sz w:val="24"/>
                <w:szCs w:val="24"/>
                <w:lang w:eastAsia="lv-LV"/>
              </w:rPr>
              <w:t xml:space="preserve"> finansēšanas novēršanas sistēmu. </w:t>
            </w:r>
            <w:r w:rsidR="00B86B5D" w:rsidRPr="00771137">
              <w:rPr>
                <w:rFonts w:ascii="Times New Roman" w:eastAsia="Times New Roman" w:hAnsi="Times New Roman" w:cs="Times New Roman"/>
                <w:iCs/>
                <w:sz w:val="24"/>
                <w:szCs w:val="24"/>
                <w:lang w:eastAsia="lv-LV"/>
              </w:rPr>
              <w:t>Attiecīgās sistēmas mērķis ir visā Eiropas Savienībā novērst iespēju izmantot finanšu un nefinanšu sektoru noziedzīgi iegūtu līdzekļu legalizācijai un terorisma finansēšanai, nodrošinot uz risku balstītu pieeju, kas paredz preventīvo, uzraudzības un kontroles pasākumu ieviešanu atbilstoši riska līmenim.</w:t>
            </w:r>
          </w:p>
          <w:p w14:paraId="4C4F36DD" w14:textId="77777777" w:rsidR="00F34409" w:rsidRPr="00771137" w:rsidRDefault="00B86B5D" w:rsidP="00F34409">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8D78C9" w:rsidRPr="00771137">
              <w:rPr>
                <w:rFonts w:ascii="Times New Roman" w:eastAsia="Times New Roman" w:hAnsi="Times New Roman" w:cs="Times New Roman"/>
                <w:iCs/>
                <w:sz w:val="24"/>
                <w:szCs w:val="24"/>
                <w:lang w:eastAsia="lv-LV"/>
              </w:rPr>
              <w:t>Eiropas Padomes ekspertu komitejas nelikumīgi iegūtu līdzekļu legalizēšanas novēršanas pasākumu un terorisma finansēšanas novērt</w:t>
            </w:r>
            <w:r w:rsidR="0072428D" w:rsidRPr="00771137">
              <w:rPr>
                <w:rFonts w:ascii="Times New Roman" w:eastAsia="Times New Roman" w:hAnsi="Times New Roman" w:cs="Times New Roman"/>
                <w:iCs/>
                <w:sz w:val="24"/>
                <w:szCs w:val="24"/>
                <w:lang w:eastAsia="lv-LV"/>
              </w:rPr>
              <w:t>ēšanai</w:t>
            </w:r>
            <w:r w:rsidR="00207765" w:rsidRPr="00771137">
              <w:rPr>
                <w:rFonts w:ascii="Times New Roman" w:eastAsia="Times New Roman" w:hAnsi="Times New Roman" w:cs="Times New Roman"/>
                <w:iCs/>
                <w:sz w:val="24"/>
                <w:szCs w:val="24"/>
                <w:lang w:eastAsia="lv-LV"/>
              </w:rPr>
              <w:t xml:space="preserve"> (</w:t>
            </w:r>
            <w:proofErr w:type="spellStart"/>
            <w:r w:rsidR="00207765" w:rsidRPr="00771137">
              <w:rPr>
                <w:rFonts w:ascii="Times New Roman" w:eastAsia="Times New Roman" w:hAnsi="Times New Roman" w:cs="Times New Roman"/>
                <w:i/>
                <w:iCs/>
                <w:sz w:val="24"/>
                <w:szCs w:val="24"/>
                <w:lang w:eastAsia="lv-LV"/>
              </w:rPr>
              <w:t>Moneyval</w:t>
            </w:r>
            <w:proofErr w:type="spellEnd"/>
            <w:r w:rsidR="00207765" w:rsidRPr="00771137">
              <w:rPr>
                <w:rFonts w:ascii="Times New Roman" w:eastAsia="Times New Roman" w:hAnsi="Times New Roman" w:cs="Times New Roman"/>
                <w:iCs/>
                <w:sz w:val="24"/>
                <w:szCs w:val="24"/>
                <w:lang w:eastAsia="lv-LV"/>
              </w:rPr>
              <w:t>)</w:t>
            </w:r>
            <w:r w:rsidR="008D78C9" w:rsidRPr="00771137">
              <w:rPr>
                <w:rFonts w:ascii="Times New Roman" w:eastAsia="Times New Roman" w:hAnsi="Times New Roman" w:cs="Times New Roman"/>
                <w:iCs/>
                <w:sz w:val="24"/>
                <w:szCs w:val="24"/>
                <w:lang w:eastAsia="lv-LV"/>
              </w:rPr>
              <w:t xml:space="preserve"> 2018. gada 23. augustā novērtējuma ziņojumā ir vērsta uzmanība uz nepieciešamību stiprināt finanšu un ekonomisko noziegumu</w:t>
            </w:r>
            <w:r w:rsidR="00D63B6B" w:rsidRPr="00771137">
              <w:rPr>
                <w:rFonts w:ascii="Times New Roman" w:eastAsia="Times New Roman" w:hAnsi="Times New Roman" w:cs="Times New Roman"/>
                <w:iCs/>
                <w:sz w:val="24"/>
                <w:szCs w:val="24"/>
                <w:lang w:eastAsia="lv-LV"/>
              </w:rPr>
              <w:t xml:space="preserve"> apkarošanu</w:t>
            </w:r>
            <w:r w:rsidR="0096657D" w:rsidRPr="00771137">
              <w:rPr>
                <w:rFonts w:ascii="Times New Roman" w:eastAsia="Times New Roman" w:hAnsi="Times New Roman" w:cs="Times New Roman"/>
                <w:iCs/>
                <w:sz w:val="24"/>
                <w:szCs w:val="24"/>
                <w:lang w:eastAsia="lv-LV"/>
              </w:rPr>
              <w:t>.</w:t>
            </w:r>
            <w:r w:rsidR="001A62F0" w:rsidRPr="00771137">
              <w:rPr>
                <w:rFonts w:ascii="Times New Roman" w:eastAsia="Times New Roman" w:hAnsi="Times New Roman" w:cs="Times New Roman"/>
                <w:iCs/>
                <w:sz w:val="24"/>
                <w:szCs w:val="24"/>
                <w:lang w:eastAsia="lv-LV"/>
              </w:rPr>
              <w:t xml:space="preserve"> </w:t>
            </w:r>
            <w:r w:rsidR="00404E20" w:rsidRPr="00771137">
              <w:rPr>
                <w:rFonts w:ascii="Times New Roman" w:eastAsia="Times New Roman" w:hAnsi="Times New Roman" w:cs="Times New Roman"/>
                <w:iCs/>
                <w:sz w:val="24"/>
                <w:szCs w:val="24"/>
                <w:lang w:eastAsia="lv-LV"/>
              </w:rPr>
              <w:t xml:space="preserve">Minētajā novērtējuma ziņojumā Latvijai ir izteiktas vairākas rekomendācijas, kas ir </w:t>
            </w:r>
            <w:r w:rsidR="00F34409" w:rsidRPr="00771137">
              <w:rPr>
                <w:rFonts w:ascii="Times New Roman" w:eastAsia="Times New Roman" w:hAnsi="Times New Roman" w:cs="Times New Roman"/>
                <w:iCs/>
                <w:sz w:val="24"/>
                <w:szCs w:val="24"/>
                <w:lang w:eastAsia="lv-LV"/>
              </w:rPr>
              <w:t>saistītas ar finanšu un ekonomisko noziegumu apkarošanu.</w:t>
            </w:r>
          </w:p>
          <w:p w14:paraId="1517B765" w14:textId="77777777" w:rsidR="003F2C77" w:rsidRPr="00771137" w:rsidRDefault="00F34409" w:rsidP="00F34409">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313024" w:rsidRPr="00771137">
              <w:rPr>
                <w:rFonts w:ascii="Times New Roman" w:eastAsia="Times New Roman" w:hAnsi="Times New Roman" w:cs="Times New Roman"/>
                <w:iCs/>
                <w:sz w:val="24"/>
                <w:szCs w:val="24"/>
                <w:lang w:eastAsia="lv-LV"/>
              </w:rPr>
              <w:t xml:space="preserve">Ņemot vērā minēto, finanšu un ekonomisko noziegumu apkarošanas kapacitātes stiprināšana ir </w:t>
            </w:r>
            <w:r w:rsidR="00313024" w:rsidRPr="00771137">
              <w:rPr>
                <w:rFonts w:ascii="Times New Roman" w:eastAsia="Times New Roman" w:hAnsi="Times New Roman" w:cs="Times New Roman"/>
                <w:iCs/>
                <w:sz w:val="24"/>
                <w:szCs w:val="24"/>
                <w:lang w:eastAsia="lv-LV"/>
              </w:rPr>
              <w:lastRenderedPageBreak/>
              <w:t xml:space="preserve">svarīga ne tikai nacionālā mērogā, bet arī starptautiskā mērogā, tajā skaitā, lai Latvija spētu izpildīt Eiropas Padomes ekspertu komitejas nelikumīgi iegūtu līdzekļu legalizēšanas novēršanas pasākumu un terorisma finansēšanas novērtēšanai izteiktās rekomendācijas, kā arī spētu sasniegt noziedzīgi iegūtu līdzekļu legalizācijas un terorisma finansēšanas novēršanas sistēmas mērķus. Turklāt, lai stiprinātu finanšu un ekonomisko noziegumu apkarošanas kapacitāti, </w:t>
            </w:r>
            <w:r w:rsidR="00EF4BC4" w:rsidRPr="00771137">
              <w:rPr>
                <w:rFonts w:ascii="Times New Roman" w:eastAsia="Times New Roman" w:hAnsi="Times New Roman" w:cs="Times New Roman"/>
                <w:iCs/>
                <w:sz w:val="24"/>
                <w:szCs w:val="24"/>
                <w:lang w:eastAsia="lv-LV"/>
              </w:rPr>
              <w:t>institūcijām, kuras nodrošina minēto noziegumu apkarošanu,</w:t>
            </w:r>
            <w:r w:rsidR="00313024" w:rsidRPr="00771137">
              <w:rPr>
                <w:rFonts w:ascii="Times New Roman" w:eastAsia="Times New Roman" w:hAnsi="Times New Roman" w:cs="Times New Roman"/>
                <w:iCs/>
                <w:sz w:val="24"/>
                <w:szCs w:val="24"/>
                <w:lang w:eastAsia="lv-LV"/>
              </w:rPr>
              <w:t xml:space="preserve"> ir nepieciešams atbilstošs un mūsdienīgs materiāltehniskais nodrošinājums, kā arī piemērota infrastruktūra.</w:t>
            </w:r>
          </w:p>
          <w:p w14:paraId="10A74CF8" w14:textId="0B6A6409" w:rsidR="00696DB4" w:rsidRPr="00771137" w:rsidRDefault="00696DB4" w:rsidP="007A160F">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1F1599" w:rsidRPr="00771137">
              <w:rPr>
                <w:rFonts w:ascii="Times New Roman" w:eastAsia="Times New Roman" w:hAnsi="Times New Roman" w:cs="Times New Roman"/>
                <w:iCs/>
                <w:sz w:val="24"/>
                <w:szCs w:val="24"/>
                <w:lang w:eastAsia="lv-LV"/>
              </w:rPr>
              <w:t>Vienlaikus norādām, ka l</w:t>
            </w:r>
            <w:r w:rsidR="008624EA" w:rsidRPr="00771137">
              <w:rPr>
                <w:rFonts w:ascii="Times New Roman" w:eastAsia="Times New Roman" w:hAnsi="Times New Roman" w:cs="Times New Roman"/>
                <w:iCs/>
                <w:sz w:val="24"/>
                <w:szCs w:val="24"/>
                <w:lang w:eastAsia="lv-LV"/>
              </w:rPr>
              <w:t>ikuma “Par valsts budžetu 2019. gadam” 39. pants paredz</w:t>
            </w:r>
            <w:r w:rsidR="008624EA" w:rsidRPr="00771137">
              <w:rPr>
                <w:rFonts w:ascii="Times New Roman" w:hAnsi="Times New Roman" w:cs="Times New Roman"/>
                <w:sz w:val="24"/>
                <w:szCs w:val="24"/>
                <w:shd w:val="clear" w:color="auto" w:fill="FFFFFF"/>
              </w:rPr>
              <w:t xml:space="preserve">, ka, ja 2019. gadā faktiskie ieņēmumi no noziedzīgi iegūto līdzekļu konfiskācijas pārsniedz šajā likumā plānoto apmēru, finanšu ministram ir tiesības par attiecīgo apmēru palielināt šajā likumā noteikto apropriāciju budžeta resora “74. Gadskārtējā valsts budžeta izpildes procesā pārdalāmais finansējums” programmā 02.00.00 “Līdzekļi neparedzētiem gadījumiem” [..]. Savukārt </w:t>
            </w:r>
            <w:r w:rsidRPr="00771137">
              <w:rPr>
                <w:rFonts w:ascii="Times New Roman" w:eastAsia="Times New Roman" w:hAnsi="Times New Roman" w:cs="Times New Roman"/>
                <w:iCs/>
                <w:sz w:val="24"/>
                <w:szCs w:val="24"/>
                <w:lang w:eastAsia="lv-LV"/>
              </w:rPr>
              <w:t>likumprojekta “Par valst</w:t>
            </w:r>
            <w:r w:rsidR="008624EA" w:rsidRPr="00771137">
              <w:rPr>
                <w:rFonts w:ascii="Times New Roman" w:eastAsia="Times New Roman" w:hAnsi="Times New Roman" w:cs="Times New Roman"/>
                <w:iCs/>
                <w:sz w:val="24"/>
                <w:szCs w:val="24"/>
                <w:lang w:eastAsia="lv-LV"/>
              </w:rPr>
              <w:t>s budžetu 2020. gada</w:t>
            </w:r>
            <w:r w:rsidR="007A160F">
              <w:rPr>
                <w:rFonts w:ascii="Times New Roman" w:eastAsia="Times New Roman" w:hAnsi="Times New Roman" w:cs="Times New Roman"/>
                <w:iCs/>
                <w:sz w:val="24"/>
                <w:szCs w:val="24"/>
                <w:lang w:eastAsia="lv-LV"/>
              </w:rPr>
              <w:t>m</w:t>
            </w:r>
            <w:r w:rsidR="008624EA" w:rsidRPr="00771137">
              <w:rPr>
                <w:rFonts w:ascii="Times New Roman" w:eastAsia="Times New Roman" w:hAnsi="Times New Roman" w:cs="Times New Roman"/>
                <w:iCs/>
                <w:sz w:val="24"/>
                <w:szCs w:val="24"/>
                <w:lang w:eastAsia="lv-LV"/>
              </w:rPr>
              <w:t>” (reģ. Nr. 455/Lp13</w:t>
            </w:r>
            <w:r w:rsidR="00EC7194" w:rsidRPr="00771137">
              <w:rPr>
                <w:rFonts w:ascii="Times New Roman" w:eastAsia="Times New Roman" w:hAnsi="Times New Roman" w:cs="Times New Roman"/>
                <w:iCs/>
                <w:sz w:val="24"/>
                <w:szCs w:val="24"/>
                <w:lang w:eastAsia="lv-LV"/>
              </w:rPr>
              <w:t xml:space="preserve">), kas </w:t>
            </w:r>
            <w:r w:rsidR="008624EA" w:rsidRPr="00771137">
              <w:rPr>
                <w:rFonts w:ascii="Times New Roman" w:eastAsia="Times New Roman" w:hAnsi="Times New Roman" w:cs="Times New Roman"/>
                <w:iCs/>
                <w:sz w:val="24"/>
                <w:szCs w:val="24"/>
                <w:lang w:eastAsia="lv-LV"/>
              </w:rPr>
              <w:t>Saeimā</w:t>
            </w:r>
            <w:r w:rsidR="007A160F">
              <w:rPr>
                <w:rFonts w:ascii="Times New Roman" w:eastAsia="Times New Roman" w:hAnsi="Times New Roman" w:cs="Times New Roman"/>
                <w:iCs/>
                <w:sz w:val="24"/>
                <w:szCs w:val="24"/>
                <w:lang w:eastAsia="lv-LV"/>
              </w:rPr>
              <w:t xml:space="preserve"> pieņemts 2. lasījumā 2019. gada 14</w:t>
            </w:r>
            <w:r w:rsidR="008624EA" w:rsidRPr="00771137">
              <w:rPr>
                <w:rFonts w:ascii="Times New Roman" w:eastAsia="Times New Roman" w:hAnsi="Times New Roman" w:cs="Times New Roman"/>
                <w:iCs/>
                <w:sz w:val="24"/>
                <w:szCs w:val="24"/>
                <w:lang w:eastAsia="lv-LV"/>
              </w:rPr>
              <w:t>. </w:t>
            </w:r>
            <w:r w:rsidR="007A160F">
              <w:rPr>
                <w:rFonts w:ascii="Times New Roman" w:eastAsia="Times New Roman" w:hAnsi="Times New Roman" w:cs="Times New Roman"/>
                <w:iCs/>
                <w:sz w:val="24"/>
                <w:szCs w:val="24"/>
                <w:lang w:eastAsia="lv-LV"/>
              </w:rPr>
              <w:t>novembrī</w:t>
            </w:r>
            <w:bookmarkStart w:id="0" w:name="_GoBack"/>
            <w:bookmarkEnd w:id="0"/>
            <w:r w:rsidR="00EC7194" w:rsidRPr="00771137">
              <w:rPr>
                <w:rFonts w:ascii="Times New Roman" w:eastAsia="Times New Roman" w:hAnsi="Times New Roman" w:cs="Times New Roman"/>
                <w:iCs/>
                <w:sz w:val="24"/>
                <w:szCs w:val="24"/>
                <w:lang w:eastAsia="lv-LV"/>
              </w:rPr>
              <w:t>,</w:t>
            </w:r>
            <w:r w:rsidR="008624EA" w:rsidRPr="00771137">
              <w:rPr>
                <w:rFonts w:ascii="Times New Roman" w:eastAsia="Times New Roman" w:hAnsi="Times New Roman" w:cs="Times New Roman"/>
                <w:iCs/>
                <w:sz w:val="24"/>
                <w:szCs w:val="24"/>
                <w:lang w:eastAsia="lv-LV"/>
              </w:rPr>
              <w:t xml:space="preserve"> 54. pants paredz, ka, ja 2020. gadā faktiskie ieņēmumi no noziedzīgi iegūto līdzekļu konfiskācijas pārsniedz šajā likumā plānoto apmēru un Eiropas Komisija ir atzinusi, ka tie nav uzskatāmi par vienreizējiem ieņēmumu pasākumiem Stabilitātes un izaugsmes pakta izpratnē, finanšu ministram ir tiesības par attiecīgo apmēru palielināt apropriāciju budžeta resora “74. Gadskārtējā valsts budžeta izpildes procesā pārdalāmais finansējums” 09.00.00 programmā “Valsts nozīmes reformas īstenošanai” [..]</w:t>
            </w:r>
            <w:r w:rsidR="00607713" w:rsidRPr="00771137">
              <w:rPr>
                <w:rFonts w:ascii="Times New Roman" w:eastAsia="Times New Roman" w:hAnsi="Times New Roman" w:cs="Times New Roman"/>
                <w:iCs/>
                <w:sz w:val="24"/>
                <w:szCs w:val="24"/>
                <w:lang w:eastAsia="lv-LV"/>
              </w:rPr>
              <w:t>. Ņemot vērā minēto</w:t>
            </w:r>
            <w:r w:rsidR="001F32F3" w:rsidRPr="00771137">
              <w:rPr>
                <w:rFonts w:ascii="Times New Roman" w:eastAsia="Times New Roman" w:hAnsi="Times New Roman" w:cs="Times New Roman"/>
                <w:iCs/>
                <w:sz w:val="24"/>
                <w:szCs w:val="24"/>
                <w:lang w:eastAsia="lv-LV"/>
              </w:rPr>
              <w:t>,</w:t>
            </w:r>
            <w:r w:rsidR="00607713" w:rsidRPr="00771137">
              <w:rPr>
                <w:rFonts w:ascii="Times New Roman" w:eastAsia="Times New Roman" w:hAnsi="Times New Roman" w:cs="Times New Roman"/>
                <w:iCs/>
                <w:sz w:val="24"/>
                <w:szCs w:val="24"/>
                <w:lang w:eastAsia="lv-LV"/>
              </w:rPr>
              <w:t xml:space="preserve"> </w:t>
            </w:r>
            <w:r w:rsidR="008624EA" w:rsidRPr="00771137">
              <w:rPr>
                <w:rFonts w:ascii="Times New Roman" w:eastAsia="Times New Roman" w:hAnsi="Times New Roman" w:cs="Times New Roman"/>
                <w:iCs/>
                <w:sz w:val="24"/>
                <w:szCs w:val="24"/>
                <w:lang w:eastAsia="lv-LV"/>
              </w:rPr>
              <w:t>paredzēts, ka likumprojekts stāsies spēkā 2021. gada 1. janvārī.</w:t>
            </w:r>
          </w:p>
        </w:tc>
      </w:tr>
      <w:tr w:rsidR="0071493F" w:rsidRPr="00771137" w14:paraId="0CAD69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25CBFB"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0F2431"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EC34A2" w14:textId="77777777" w:rsidR="00E5323B" w:rsidRPr="00771137" w:rsidRDefault="00B773EC"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Iekšlietu ministrija</w:t>
            </w:r>
          </w:p>
          <w:p w14:paraId="11ABF39C" w14:textId="77777777" w:rsidR="00B773EC" w:rsidRPr="00771137" w:rsidRDefault="00B773EC" w:rsidP="00E5323B">
            <w:pPr>
              <w:spacing w:after="0" w:line="240" w:lineRule="auto"/>
              <w:rPr>
                <w:rFonts w:ascii="Times New Roman" w:eastAsia="Times New Roman" w:hAnsi="Times New Roman" w:cs="Times New Roman"/>
                <w:iCs/>
                <w:sz w:val="24"/>
                <w:szCs w:val="24"/>
                <w:lang w:eastAsia="lv-LV"/>
              </w:rPr>
            </w:pPr>
          </w:p>
        </w:tc>
      </w:tr>
      <w:tr w:rsidR="0071493F" w:rsidRPr="00771137" w14:paraId="3348B2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B399C6"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1F2CD3"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078A12" w14:textId="77777777" w:rsidR="00E5323B" w:rsidRPr="00771137" w:rsidRDefault="00B773EC"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Nav</w:t>
            </w:r>
          </w:p>
        </w:tc>
      </w:tr>
    </w:tbl>
    <w:p w14:paraId="65594FE5" w14:textId="2A85F133" w:rsidR="00520980" w:rsidRPr="00771137" w:rsidRDefault="00F82089"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1493F" w:rsidRPr="00771137" w14:paraId="0CFB65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092C75" w14:textId="77777777" w:rsidR="00655F2C" w:rsidRPr="00771137" w:rsidRDefault="00E5323B" w:rsidP="00E5323B">
            <w:pPr>
              <w:spacing w:after="0" w:line="240" w:lineRule="auto"/>
              <w:rPr>
                <w:rFonts w:ascii="Times New Roman" w:eastAsia="Times New Roman" w:hAnsi="Times New Roman" w:cs="Times New Roman"/>
                <w:b/>
                <w:bCs/>
                <w:iCs/>
                <w:sz w:val="24"/>
                <w:szCs w:val="24"/>
                <w:lang w:eastAsia="lv-LV"/>
              </w:rPr>
            </w:pPr>
            <w:r w:rsidRPr="0077113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1493F" w:rsidRPr="00771137" w14:paraId="2A55DD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7E9AB6"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01F509"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5222799" w14:textId="77777777" w:rsidR="00E5323B" w:rsidRPr="00771137" w:rsidRDefault="009F0068" w:rsidP="009F0068">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Likumprojekts attieksies uz Noteikumu Nr. 769 6. punktā noteiktajām iestādēm, kas gatavos pieteikumus Tieslietu minis</w:t>
            </w:r>
            <w:r w:rsidR="00D24B8B" w:rsidRPr="00771137">
              <w:rPr>
                <w:rFonts w:ascii="Times New Roman" w:eastAsia="Times New Roman" w:hAnsi="Times New Roman" w:cs="Times New Roman"/>
                <w:iCs/>
                <w:sz w:val="24"/>
                <w:szCs w:val="24"/>
                <w:lang w:eastAsia="lv-LV"/>
              </w:rPr>
              <w:t>trijas pamatbudžeta programmas “</w:t>
            </w:r>
            <w:r w:rsidRPr="00771137">
              <w:rPr>
                <w:rFonts w:ascii="Times New Roman" w:eastAsia="Times New Roman" w:hAnsi="Times New Roman" w:cs="Times New Roman"/>
                <w:iCs/>
                <w:sz w:val="24"/>
                <w:szCs w:val="24"/>
                <w:lang w:eastAsia="lv-LV"/>
              </w:rPr>
              <w:t xml:space="preserve">Noziedzīgi iegūtu līdzekļu </w:t>
            </w:r>
            <w:r w:rsidR="00D24B8B" w:rsidRPr="00771137">
              <w:rPr>
                <w:rFonts w:ascii="Times New Roman" w:eastAsia="Times New Roman" w:hAnsi="Times New Roman" w:cs="Times New Roman"/>
                <w:iCs/>
                <w:sz w:val="24"/>
                <w:szCs w:val="24"/>
                <w:lang w:eastAsia="lv-LV"/>
              </w:rPr>
              <w:t>konfiskācijas fonds”</w:t>
            </w:r>
            <w:r w:rsidRPr="00771137">
              <w:rPr>
                <w:rFonts w:ascii="Times New Roman" w:eastAsia="Times New Roman" w:hAnsi="Times New Roman" w:cs="Times New Roman"/>
                <w:iCs/>
                <w:sz w:val="24"/>
                <w:szCs w:val="24"/>
                <w:lang w:eastAsia="lv-LV"/>
              </w:rPr>
              <w:t xml:space="preserve"> līdzekļu izmantošanai finanšu un ekonomisko </w:t>
            </w:r>
            <w:r w:rsidRPr="00771137">
              <w:rPr>
                <w:rFonts w:ascii="Times New Roman" w:eastAsia="Times New Roman" w:hAnsi="Times New Roman" w:cs="Times New Roman"/>
                <w:iCs/>
                <w:sz w:val="24"/>
                <w:szCs w:val="24"/>
                <w:lang w:eastAsia="lv-LV"/>
              </w:rPr>
              <w:lastRenderedPageBreak/>
              <w:t>noziegumu</w:t>
            </w:r>
            <w:r w:rsidR="00A17D30" w:rsidRPr="00771137">
              <w:rPr>
                <w:rFonts w:ascii="Times New Roman" w:eastAsia="Times New Roman" w:hAnsi="Times New Roman" w:cs="Times New Roman"/>
                <w:iCs/>
                <w:sz w:val="24"/>
                <w:szCs w:val="24"/>
                <w:lang w:eastAsia="lv-LV"/>
              </w:rPr>
              <w:t>, organizētās noziedzības</w:t>
            </w:r>
            <w:r w:rsidRPr="00771137">
              <w:rPr>
                <w:rFonts w:ascii="Times New Roman" w:eastAsia="Times New Roman" w:hAnsi="Times New Roman" w:cs="Times New Roman"/>
                <w:iCs/>
                <w:sz w:val="24"/>
                <w:szCs w:val="24"/>
                <w:lang w:eastAsia="lv-LV"/>
              </w:rPr>
              <w:t xml:space="preserve"> apkarošanas pasākumiem un noziedzīgos nodarījumos cietušo atbalsta sniegšanai.</w:t>
            </w:r>
          </w:p>
        </w:tc>
      </w:tr>
      <w:tr w:rsidR="0071493F" w:rsidRPr="00771137" w14:paraId="289D1D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D0F1E"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4D9CE48"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2CB9EF0" w14:textId="77777777" w:rsidR="00E5323B" w:rsidRPr="00771137" w:rsidRDefault="009F0068"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Likumprojekts šo jomu neskar.</w:t>
            </w:r>
          </w:p>
        </w:tc>
      </w:tr>
      <w:tr w:rsidR="0071493F" w:rsidRPr="00771137" w14:paraId="489402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38530"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99498C"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A741CC" w14:textId="77777777" w:rsidR="00E5323B" w:rsidRPr="00771137" w:rsidRDefault="009F0068"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Likumprojekts šo jomu neskar.</w:t>
            </w:r>
          </w:p>
        </w:tc>
      </w:tr>
      <w:tr w:rsidR="0071493F" w:rsidRPr="00771137" w14:paraId="3E68F4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422E4B"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F6E36B"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7F3034" w14:textId="77777777" w:rsidR="00E5323B" w:rsidRPr="00771137" w:rsidRDefault="009F0068"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Likumprojekts šo jomu neskar.</w:t>
            </w:r>
          </w:p>
        </w:tc>
      </w:tr>
      <w:tr w:rsidR="0071493F" w:rsidRPr="00771137" w14:paraId="2F8AE0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763358"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9C9BD2"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12B3DB" w14:textId="77777777" w:rsidR="00E5323B" w:rsidRPr="00771137" w:rsidRDefault="007742C9"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Nav</w:t>
            </w:r>
          </w:p>
        </w:tc>
      </w:tr>
    </w:tbl>
    <w:p w14:paraId="2890385C" w14:textId="58E1FD8D" w:rsidR="00520980" w:rsidRPr="00771137" w:rsidRDefault="00F82089"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09"/>
        <w:gridCol w:w="1035"/>
        <w:gridCol w:w="908"/>
        <w:gridCol w:w="1111"/>
        <w:gridCol w:w="1099"/>
        <w:gridCol w:w="993"/>
        <w:gridCol w:w="1134"/>
        <w:gridCol w:w="1266"/>
      </w:tblGrid>
      <w:tr w:rsidR="0026424A" w:rsidRPr="00771137" w14:paraId="2DF28997" w14:textId="77777777" w:rsidTr="00C64F2D">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4D6EC7C4" w14:textId="77777777" w:rsidR="0026424A" w:rsidRPr="00771137" w:rsidRDefault="0026424A" w:rsidP="0070642F">
            <w:pPr>
              <w:spacing w:after="0" w:line="240" w:lineRule="auto"/>
              <w:rPr>
                <w:rFonts w:ascii="Times New Roman" w:eastAsia="Times New Roman" w:hAnsi="Times New Roman" w:cs="Times New Roman"/>
                <w:b/>
                <w:bCs/>
                <w:iCs/>
                <w:sz w:val="24"/>
                <w:szCs w:val="24"/>
                <w:lang w:eastAsia="lv-LV"/>
              </w:rPr>
            </w:pPr>
            <w:r w:rsidRPr="00771137">
              <w:rPr>
                <w:rFonts w:ascii="Times New Roman" w:eastAsia="Times New Roman" w:hAnsi="Times New Roman" w:cs="Times New Roman"/>
                <w:b/>
                <w:bCs/>
                <w:iCs/>
                <w:sz w:val="24"/>
                <w:szCs w:val="24"/>
                <w:lang w:eastAsia="lv-LV"/>
              </w:rPr>
              <w:t>III. Tiesību akta projekta ietekme uz valsts budžetu un pašvaldību budžetiem</w:t>
            </w:r>
          </w:p>
        </w:tc>
      </w:tr>
      <w:tr w:rsidR="0026424A" w:rsidRPr="00771137" w14:paraId="2FD0C9FC" w14:textId="77777777" w:rsidTr="00C64F2D">
        <w:trPr>
          <w:tblCellSpacing w:w="15" w:type="dxa"/>
        </w:trPr>
        <w:tc>
          <w:tcPr>
            <w:tcW w:w="1464" w:type="dxa"/>
            <w:vMerge w:val="restart"/>
            <w:tcBorders>
              <w:top w:val="outset" w:sz="6" w:space="0" w:color="auto"/>
              <w:left w:val="outset" w:sz="6" w:space="0" w:color="auto"/>
              <w:bottom w:val="outset" w:sz="6" w:space="0" w:color="auto"/>
              <w:right w:val="outset" w:sz="6" w:space="0" w:color="auto"/>
            </w:tcBorders>
            <w:vAlign w:val="center"/>
            <w:hideMark/>
          </w:tcPr>
          <w:p w14:paraId="4C952219"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Rādītāji</w:t>
            </w:r>
          </w:p>
        </w:tc>
        <w:tc>
          <w:tcPr>
            <w:tcW w:w="191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049F46C" w14:textId="3E4795F0" w:rsidR="0026424A" w:rsidRPr="00771137" w:rsidRDefault="00913DF7"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2019</w:t>
            </w:r>
          </w:p>
        </w:tc>
        <w:tc>
          <w:tcPr>
            <w:tcW w:w="5558" w:type="dxa"/>
            <w:gridSpan w:val="5"/>
            <w:tcBorders>
              <w:top w:val="outset" w:sz="6" w:space="0" w:color="auto"/>
              <w:left w:val="outset" w:sz="6" w:space="0" w:color="auto"/>
              <w:bottom w:val="outset" w:sz="6" w:space="0" w:color="auto"/>
              <w:right w:val="outset" w:sz="6" w:space="0" w:color="auto"/>
            </w:tcBorders>
            <w:vAlign w:val="center"/>
            <w:hideMark/>
          </w:tcPr>
          <w:p w14:paraId="003296D3"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Turpmākie trīs gadi (</w:t>
            </w:r>
            <w:r w:rsidRPr="00771137">
              <w:rPr>
                <w:rFonts w:ascii="Times New Roman" w:eastAsia="Times New Roman" w:hAnsi="Times New Roman" w:cs="Times New Roman"/>
                <w:i/>
                <w:iCs/>
                <w:sz w:val="24"/>
                <w:szCs w:val="24"/>
                <w:lang w:eastAsia="lv-LV"/>
              </w:rPr>
              <w:t>euro</w:t>
            </w:r>
            <w:r w:rsidRPr="00771137">
              <w:rPr>
                <w:rFonts w:ascii="Times New Roman" w:eastAsia="Times New Roman" w:hAnsi="Times New Roman" w:cs="Times New Roman"/>
                <w:iCs/>
                <w:sz w:val="24"/>
                <w:szCs w:val="24"/>
                <w:lang w:eastAsia="lv-LV"/>
              </w:rPr>
              <w:t>)</w:t>
            </w:r>
          </w:p>
        </w:tc>
      </w:tr>
      <w:tr w:rsidR="0026424A" w:rsidRPr="00771137" w14:paraId="7CC535AA" w14:textId="77777777" w:rsidTr="00C64F2D">
        <w:trPr>
          <w:tblCellSpacing w:w="15" w:type="dxa"/>
        </w:trPr>
        <w:tc>
          <w:tcPr>
            <w:tcW w:w="1464" w:type="dxa"/>
            <w:vMerge/>
            <w:tcBorders>
              <w:top w:val="outset" w:sz="6" w:space="0" w:color="auto"/>
              <w:left w:val="outset" w:sz="6" w:space="0" w:color="auto"/>
              <w:bottom w:val="outset" w:sz="6" w:space="0" w:color="auto"/>
              <w:right w:val="outset" w:sz="6" w:space="0" w:color="auto"/>
            </w:tcBorders>
            <w:vAlign w:val="center"/>
            <w:hideMark/>
          </w:tcPr>
          <w:p w14:paraId="77E19E43"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p>
        </w:tc>
        <w:tc>
          <w:tcPr>
            <w:tcW w:w="1913" w:type="dxa"/>
            <w:gridSpan w:val="2"/>
            <w:vMerge/>
            <w:tcBorders>
              <w:top w:val="outset" w:sz="6" w:space="0" w:color="auto"/>
              <w:left w:val="outset" w:sz="6" w:space="0" w:color="auto"/>
              <w:bottom w:val="outset" w:sz="6" w:space="0" w:color="auto"/>
              <w:right w:val="outset" w:sz="6" w:space="0" w:color="auto"/>
            </w:tcBorders>
            <w:vAlign w:val="center"/>
            <w:hideMark/>
          </w:tcPr>
          <w:p w14:paraId="25817723"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p>
        </w:tc>
        <w:tc>
          <w:tcPr>
            <w:tcW w:w="2180" w:type="dxa"/>
            <w:gridSpan w:val="2"/>
            <w:tcBorders>
              <w:top w:val="outset" w:sz="6" w:space="0" w:color="auto"/>
              <w:left w:val="outset" w:sz="6" w:space="0" w:color="auto"/>
              <w:bottom w:val="outset" w:sz="6" w:space="0" w:color="auto"/>
              <w:right w:val="outset" w:sz="6" w:space="0" w:color="auto"/>
            </w:tcBorders>
            <w:vAlign w:val="center"/>
            <w:hideMark/>
          </w:tcPr>
          <w:p w14:paraId="72C44ADC" w14:textId="23C2D6B4" w:rsidR="0026424A" w:rsidRPr="00771137" w:rsidRDefault="00913DF7"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2020</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14:paraId="6F78CF42" w14:textId="72345706" w:rsidR="0026424A" w:rsidRPr="00771137" w:rsidRDefault="00913DF7"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2021</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8B40234" w14:textId="3720E40A" w:rsidR="0026424A" w:rsidRPr="00771137" w:rsidRDefault="00913DF7"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2022</w:t>
            </w:r>
          </w:p>
        </w:tc>
      </w:tr>
      <w:tr w:rsidR="00C64F2D" w:rsidRPr="00771137" w14:paraId="5FA3434E" w14:textId="77777777" w:rsidTr="00C64F2D">
        <w:trPr>
          <w:tblCellSpacing w:w="15" w:type="dxa"/>
        </w:trPr>
        <w:tc>
          <w:tcPr>
            <w:tcW w:w="1464" w:type="dxa"/>
            <w:vMerge/>
            <w:tcBorders>
              <w:top w:val="outset" w:sz="6" w:space="0" w:color="auto"/>
              <w:left w:val="outset" w:sz="6" w:space="0" w:color="auto"/>
              <w:bottom w:val="outset" w:sz="6" w:space="0" w:color="auto"/>
              <w:right w:val="outset" w:sz="6" w:space="0" w:color="auto"/>
            </w:tcBorders>
            <w:vAlign w:val="center"/>
            <w:hideMark/>
          </w:tcPr>
          <w:p w14:paraId="34A8C47A"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14:paraId="498650C4"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saskaņā ar valsts budžetu kārtējam gadam</w:t>
            </w:r>
          </w:p>
        </w:tc>
        <w:tc>
          <w:tcPr>
            <w:tcW w:w="878" w:type="dxa"/>
            <w:tcBorders>
              <w:top w:val="outset" w:sz="6" w:space="0" w:color="auto"/>
              <w:left w:val="outset" w:sz="6" w:space="0" w:color="auto"/>
              <w:bottom w:val="outset" w:sz="6" w:space="0" w:color="auto"/>
              <w:right w:val="outset" w:sz="6" w:space="0" w:color="auto"/>
            </w:tcBorders>
            <w:vAlign w:val="center"/>
            <w:hideMark/>
          </w:tcPr>
          <w:p w14:paraId="40D53DE1"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izmaiņas kārtējā gadā, salīdzinot ar valsts budžetu kārtējam gadam</w:t>
            </w:r>
          </w:p>
        </w:tc>
        <w:tc>
          <w:tcPr>
            <w:tcW w:w="1081" w:type="dxa"/>
            <w:tcBorders>
              <w:top w:val="outset" w:sz="6" w:space="0" w:color="auto"/>
              <w:left w:val="outset" w:sz="6" w:space="0" w:color="auto"/>
              <w:bottom w:val="outset" w:sz="6" w:space="0" w:color="auto"/>
              <w:right w:val="outset" w:sz="6" w:space="0" w:color="auto"/>
            </w:tcBorders>
            <w:vAlign w:val="center"/>
            <w:hideMark/>
          </w:tcPr>
          <w:p w14:paraId="4FB3AFF0"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saskaņā ar vidēja termiņa budžeta ietvaru</w:t>
            </w:r>
          </w:p>
        </w:tc>
        <w:tc>
          <w:tcPr>
            <w:tcW w:w="1069" w:type="dxa"/>
            <w:tcBorders>
              <w:top w:val="outset" w:sz="6" w:space="0" w:color="auto"/>
              <w:left w:val="outset" w:sz="6" w:space="0" w:color="auto"/>
              <w:bottom w:val="outset" w:sz="6" w:space="0" w:color="auto"/>
              <w:right w:val="outset" w:sz="6" w:space="0" w:color="auto"/>
            </w:tcBorders>
            <w:vAlign w:val="center"/>
            <w:hideMark/>
          </w:tcPr>
          <w:p w14:paraId="3B7163CD" w14:textId="69AADFB9" w:rsidR="0026424A" w:rsidRPr="00771137" w:rsidRDefault="0026424A" w:rsidP="002F7391">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izmaiņas, salīdzinot ar vidēja termiņa budžeta ietvaru </w:t>
            </w:r>
            <w:r w:rsidR="002F7391" w:rsidRPr="00771137">
              <w:rPr>
                <w:rFonts w:ascii="Times New Roman" w:eastAsia="Times New Roman" w:hAnsi="Times New Roman" w:cs="Times New Roman"/>
                <w:iCs/>
                <w:sz w:val="24"/>
                <w:szCs w:val="24"/>
                <w:lang w:eastAsia="lv-LV"/>
              </w:rPr>
              <w:t>2020.</w:t>
            </w:r>
            <w:r w:rsidRPr="00771137">
              <w:rPr>
                <w:rFonts w:ascii="Times New Roman" w:eastAsia="Times New Roman" w:hAnsi="Times New Roman" w:cs="Times New Roman"/>
                <w:iCs/>
                <w:sz w:val="24"/>
                <w:szCs w:val="24"/>
                <w:lang w:eastAsia="lv-LV"/>
              </w:rPr>
              <w:t>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080E929B"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1B03B3" w14:textId="02C53E59" w:rsidR="0026424A" w:rsidRPr="00771137" w:rsidRDefault="0026424A" w:rsidP="002F7391">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izmaiņas, salīdzinot ar vidēja termiņa budžeta ietvaru </w:t>
            </w:r>
            <w:r w:rsidR="002F7391" w:rsidRPr="00771137">
              <w:rPr>
                <w:rFonts w:ascii="Times New Roman" w:eastAsia="Times New Roman" w:hAnsi="Times New Roman" w:cs="Times New Roman"/>
                <w:iCs/>
                <w:sz w:val="24"/>
                <w:szCs w:val="24"/>
                <w:lang w:eastAsia="lv-LV"/>
              </w:rPr>
              <w:t>2021.</w:t>
            </w:r>
            <w:r w:rsidRPr="00771137">
              <w:rPr>
                <w:rFonts w:ascii="Times New Roman" w:eastAsia="Times New Roman" w:hAnsi="Times New Roman" w:cs="Times New Roman"/>
                <w:iCs/>
                <w:sz w:val="24"/>
                <w:szCs w:val="24"/>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5169B721" w14:textId="437C7076" w:rsidR="0026424A" w:rsidRPr="00771137" w:rsidRDefault="0026424A" w:rsidP="002F7391">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izmaiņas, salīdzinot ar vidēja termiņa budžeta ietvaru </w:t>
            </w:r>
            <w:r w:rsidR="002F7391" w:rsidRPr="00771137">
              <w:rPr>
                <w:rFonts w:ascii="Times New Roman" w:eastAsia="Times New Roman" w:hAnsi="Times New Roman" w:cs="Times New Roman"/>
                <w:iCs/>
                <w:sz w:val="24"/>
                <w:szCs w:val="24"/>
                <w:lang w:eastAsia="lv-LV"/>
              </w:rPr>
              <w:t>2021.</w:t>
            </w:r>
            <w:r w:rsidRPr="00771137">
              <w:rPr>
                <w:rFonts w:ascii="Times New Roman" w:eastAsia="Times New Roman" w:hAnsi="Times New Roman" w:cs="Times New Roman"/>
                <w:iCs/>
                <w:sz w:val="24"/>
                <w:szCs w:val="24"/>
                <w:lang w:eastAsia="lv-LV"/>
              </w:rPr>
              <w:t>gadam</w:t>
            </w:r>
          </w:p>
        </w:tc>
      </w:tr>
      <w:tr w:rsidR="00C64F2D" w:rsidRPr="00771137" w14:paraId="783413A0"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vAlign w:val="center"/>
            <w:hideMark/>
          </w:tcPr>
          <w:p w14:paraId="1559EAC5" w14:textId="77777777" w:rsidR="0026424A" w:rsidRPr="00771137" w:rsidRDefault="0026424A" w:rsidP="0070642F">
            <w:pPr>
              <w:spacing w:after="0" w:line="240" w:lineRule="auto"/>
              <w:rPr>
                <w:rFonts w:ascii="Times New Roman" w:eastAsia="Times New Roman" w:hAnsi="Times New Roman" w:cs="Times New Roman"/>
                <w:iCs/>
                <w:sz w:val="20"/>
                <w:szCs w:val="20"/>
                <w:lang w:eastAsia="lv-LV"/>
              </w:rPr>
            </w:pPr>
            <w:r w:rsidRPr="00771137">
              <w:rPr>
                <w:rFonts w:ascii="Times New Roman" w:eastAsia="Times New Roman" w:hAnsi="Times New Roman" w:cs="Times New Roman"/>
                <w:iCs/>
                <w:sz w:val="20"/>
                <w:szCs w:val="20"/>
                <w:lang w:eastAsia="lv-LV"/>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5903C77" w14:textId="77777777" w:rsidR="0026424A" w:rsidRPr="00771137" w:rsidRDefault="0026424A" w:rsidP="0070642F">
            <w:pPr>
              <w:spacing w:after="0" w:line="240" w:lineRule="auto"/>
              <w:rPr>
                <w:rFonts w:ascii="Times New Roman" w:eastAsia="Times New Roman" w:hAnsi="Times New Roman" w:cs="Times New Roman"/>
                <w:iCs/>
                <w:sz w:val="20"/>
                <w:szCs w:val="20"/>
                <w:lang w:eastAsia="lv-LV"/>
              </w:rPr>
            </w:pPr>
            <w:r w:rsidRPr="00771137">
              <w:rPr>
                <w:rFonts w:ascii="Times New Roman" w:eastAsia="Times New Roman" w:hAnsi="Times New Roman" w:cs="Times New Roman"/>
                <w:iCs/>
                <w:sz w:val="20"/>
                <w:szCs w:val="20"/>
                <w:lang w:eastAsia="lv-LV"/>
              </w:rPr>
              <w:t>2</w:t>
            </w:r>
          </w:p>
        </w:tc>
        <w:tc>
          <w:tcPr>
            <w:tcW w:w="878" w:type="dxa"/>
            <w:tcBorders>
              <w:top w:val="outset" w:sz="6" w:space="0" w:color="auto"/>
              <w:left w:val="outset" w:sz="6" w:space="0" w:color="auto"/>
              <w:bottom w:val="outset" w:sz="6" w:space="0" w:color="auto"/>
              <w:right w:val="outset" w:sz="6" w:space="0" w:color="auto"/>
            </w:tcBorders>
            <w:vAlign w:val="center"/>
            <w:hideMark/>
          </w:tcPr>
          <w:p w14:paraId="796C8435" w14:textId="77777777" w:rsidR="0026424A" w:rsidRPr="00771137" w:rsidRDefault="0026424A" w:rsidP="0070642F">
            <w:pPr>
              <w:spacing w:after="0" w:line="240" w:lineRule="auto"/>
              <w:rPr>
                <w:rFonts w:ascii="Times New Roman" w:eastAsia="Times New Roman" w:hAnsi="Times New Roman" w:cs="Times New Roman"/>
                <w:iCs/>
                <w:sz w:val="20"/>
                <w:szCs w:val="20"/>
                <w:lang w:eastAsia="lv-LV"/>
              </w:rPr>
            </w:pPr>
            <w:r w:rsidRPr="00771137">
              <w:rPr>
                <w:rFonts w:ascii="Times New Roman" w:eastAsia="Times New Roman" w:hAnsi="Times New Roman" w:cs="Times New Roman"/>
                <w:iCs/>
                <w:sz w:val="20"/>
                <w:szCs w:val="20"/>
                <w:lang w:eastAsia="lv-LV"/>
              </w:rPr>
              <w:t>3</w:t>
            </w:r>
          </w:p>
        </w:tc>
        <w:tc>
          <w:tcPr>
            <w:tcW w:w="1081" w:type="dxa"/>
            <w:tcBorders>
              <w:top w:val="outset" w:sz="6" w:space="0" w:color="auto"/>
              <w:left w:val="outset" w:sz="6" w:space="0" w:color="auto"/>
              <w:bottom w:val="outset" w:sz="6" w:space="0" w:color="auto"/>
              <w:right w:val="outset" w:sz="6" w:space="0" w:color="auto"/>
            </w:tcBorders>
            <w:vAlign w:val="center"/>
            <w:hideMark/>
          </w:tcPr>
          <w:p w14:paraId="5318E36F" w14:textId="77777777" w:rsidR="0026424A" w:rsidRPr="00771137" w:rsidRDefault="0026424A" w:rsidP="0070642F">
            <w:pPr>
              <w:spacing w:after="0" w:line="240" w:lineRule="auto"/>
              <w:rPr>
                <w:rFonts w:ascii="Times New Roman" w:eastAsia="Times New Roman" w:hAnsi="Times New Roman" w:cs="Times New Roman"/>
                <w:iCs/>
                <w:sz w:val="20"/>
                <w:szCs w:val="20"/>
                <w:lang w:eastAsia="lv-LV"/>
              </w:rPr>
            </w:pPr>
            <w:r w:rsidRPr="00771137">
              <w:rPr>
                <w:rFonts w:ascii="Times New Roman" w:eastAsia="Times New Roman" w:hAnsi="Times New Roman" w:cs="Times New Roman"/>
                <w:iCs/>
                <w:sz w:val="20"/>
                <w:szCs w:val="20"/>
                <w:lang w:eastAsia="lv-LV"/>
              </w:rPr>
              <w:t>4</w:t>
            </w:r>
          </w:p>
        </w:tc>
        <w:tc>
          <w:tcPr>
            <w:tcW w:w="1069" w:type="dxa"/>
            <w:tcBorders>
              <w:top w:val="outset" w:sz="6" w:space="0" w:color="auto"/>
              <w:left w:val="outset" w:sz="6" w:space="0" w:color="auto"/>
              <w:bottom w:val="outset" w:sz="6" w:space="0" w:color="auto"/>
              <w:right w:val="outset" w:sz="6" w:space="0" w:color="auto"/>
            </w:tcBorders>
            <w:vAlign w:val="center"/>
            <w:hideMark/>
          </w:tcPr>
          <w:p w14:paraId="7CD9EEAA" w14:textId="77777777" w:rsidR="0026424A" w:rsidRPr="00771137" w:rsidRDefault="0026424A" w:rsidP="0070642F">
            <w:pPr>
              <w:spacing w:after="0" w:line="240" w:lineRule="auto"/>
              <w:rPr>
                <w:rFonts w:ascii="Times New Roman" w:eastAsia="Times New Roman" w:hAnsi="Times New Roman" w:cs="Times New Roman"/>
                <w:iCs/>
                <w:sz w:val="20"/>
                <w:szCs w:val="20"/>
                <w:lang w:eastAsia="lv-LV"/>
              </w:rPr>
            </w:pPr>
            <w:r w:rsidRPr="00771137">
              <w:rPr>
                <w:rFonts w:ascii="Times New Roman" w:eastAsia="Times New Roman" w:hAnsi="Times New Roman" w:cs="Times New Roman"/>
                <w:iCs/>
                <w:sz w:val="20"/>
                <w:szCs w:val="20"/>
                <w:lang w:eastAsia="lv-LV"/>
              </w:rPr>
              <w:t>5</w:t>
            </w:r>
          </w:p>
        </w:tc>
        <w:tc>
          <w:tcPr>
            <w:tcW w:w="963" w:type="dxa"/>
            <w:tcBorders>
              <w:top w:val="outset" w:sz="6" w:space="0" w:color="auto"/>
              <w:left w:val="outset" w:sz="6" w:space="0" w:color="auto"/>
              <w:bottom w:val="outset" w:sz="6" w:space="0" w:color="auto"/>
              <w:right w:val="outset" w:sz="6" w:space="0" w:color="auto"/>
            </w:tcBorders>
            <w:vAlign w:val="center"/>
            <w:hideMark/>
          </w:tcPr>
          <w:p w14:paraId="4FA5EBB0" w14:textId="77777777" w:rsidR="0026424A" w:rsidRPr="00771137" w:rsidRDefault="0026424A" w:rsidP="0070642F">
            <w:pPr>
              <w:spacing w:after="0" w:line="240" w:lineRule="auto"/>
              <w:rPr>
                <w:rFonts w:ascii="Times New Roman" w:eastAsia="Times New Roman" w:hAnsi="Times New Roman" w:cs="Times New Roman"/>
                <w:iCs/>
                <w:sz w:val="20"/>
                <w:szCs w:val="20"/>
                <w:lang w:eastAsia="lv-LV"/>
              </w:rPr>
            </w:pPr>
            <w:r w:rsidRPr="00771137">
              <w:rPr>
                <w:rFonts w:ascii="Times New Roman" w:eastAsia="Times New Roman" w:hAnsi="Times New Roman" w:cs="Times New Roman"/>
                <w:iCs/>
                <w:sz w:val="20"/>
                <w:szCs w:val="20"/>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4FA990" w14:textId="77777777" w:rsidR="0026424A" w:rsidRPr="00771137" w:rsidRDefault="0026424A" w:rsidP="0070642F">
            <w:pPr>
              <w:spacing w:after="0" w:line="240" w:lineRule="auto"/>
              <w:rPr>
                <w:rFonts w:ascii="Times New Roman" w:eastAsia="Times New Roman" w:hAnsi="Times New Roman" w:cs="Times New Roman"/>
                <w:iCs/>
                <w:sz w:val="20"/>
                <w:szCs w:val="20"/>
                <w:lang w:eastAsia="lv-LV"/>
              </w:rPr>
            </w:pPr>
            <w:r w:rsidRPr="00771137">
              <w:rPr>
                <w:rFonts w:ascii="Times New Roman" w:eastAsia="Times New Roman" w:hAnsi="Times New Roman" w:cs="Times New Roman"/>
                <w:iCs/>
                <w:sz w:val="20"/>
                <w:szCs w:val="20"/>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A28BEFF" w14:textId="77777777" w:rsidR="0026424A" w:rsidRPr="00771137" w:rsidRDefault="0026424A" w:rsidP="0070642F">
            <w:pPr>
              <w:spacing w:after="0" w:line="240" w:lineRule="auto"/>
              <w:rPr>
                <w:rFonts w:ascii="Times New Roman" w:eastAsia="Times New Roman" w:hAnsi="Times New Roman" w:cs="Times New Roman"/>
                <w:iCs/>
                <w:sz w:val="20"/>
                <w:szCs w:val="20"/>
                <w:lang w:eastAsia="lv-LV"/>
              </w:rPr>
            </w:pPr>
            <w:r w:rsidRPr="00771137">
              <w:rPr>
                <w:rFonts w:ascii="Times New Roman" w:eastAsia="Times New Roman" w:hAnsi="Times New Roman" w:cs="Times New Roman"/>
                <w:iCs/>
                <w:sz w:val="20"/>
                <w:szCs w:val="20"/>
                <w:lang w:eastAsia="lv-LV"/>
              </w:rPr>
              <w:t>8</w:t>
            </w:r>
          </w:p>
        </w:tc>
      </w:tr>
      <w:tr w:rsidR="00C64F2D" w:rsidRPr="00771137" w14:paraId="0487A3C7"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00E1DCE9" w14:textId="77777777"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3E48CD1" w14:textId="0CE00C38"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r w:rsidR="00913DF7" w:rsidRPr="00771137">
              <w:rPr>
                <w:rFonts w:ascii="Times New Roman" w:eastAsia="Times New Roman" w:hAnsi="Times New Roman" w:cs="Times New Roman"/>
                <w:iCs/>
                <w:sz w:val="24"/>
                <w:szCs w:val="24"/>
                <w:lang w:eastAsia="lv-LV"/>
              </w:rPr>
              <w:t>4 000 000</w:t>
            </w:r>
          </w:p>
        </w:tc>
        <w:tc>
          <w:tcPr>
            <w:tcW w:w="878" w:type="dxa"/>
            <w:tcBorders>
              <w:top w:val="outset" w:sz="6" w:space="0" w:color="auto"/>
              <w:left w:val="outset" w:sz="6" w:space="0" w:color="auto"/>
              <w:bottom w:val="outset" w:sz="6" w:space="0" w:color="auto"/>
              <w:right w:val="outset" w:sz="6" w:space="0" w:color="auto"/>
            </w:tcBorders>
            <w:vAlign w:val="center"/>
            <w:hideMark/>
          </w:tcPr>
          <w:p w14:paraId="21FB1448" w14:textId="30BDE12D"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r w:rsidR="002D42A3" w:rsidRPr="00771137">
              <w:rPr>
                <w:rFonts w:ascii="Times New Roman" w:eastAsia="Times New Roman" w:hAnsi="Times New Roman" w:cs="Times New Roman"/>
                <w:iCs/>
                <w:sz w:val="24"/>
                <w:szCs w:val="24"/>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3845D1D1" w14:textId="118C00E1"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r w:rsidR="00913DF7" w:rsidRPr="00771137">
              <w:rPr>
                <w:rFonts w:ascii="Times New Roman" w:eastAsia="Times New Roman" w:hAnsi="Times New Roman" w:cs="Times New Roman"/>
                <w:iCs/>
                <w:sz w:val="24"/>
                <w:szCs w:val="24"/>
                <w:lang w:eastAsia="lv-LV"/>
              </w:rPr>
              <w:t>4 000 000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698F1996" w14:textId="7F744DEA"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r w:rsidR="002D42A3" w:rsidRPr="00771137">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1D58774" w14:textId="1450654F"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r w:rsidR="002D42A3" w:rsidRPr="00771137">
              <w:rPr>
                <w:rFonts w:ascii="Times New Roman" w:eastAsia="Times New Roman" w:hAnsi="Times New Roman" w:cs="Times New Roman"/>
                <w:iCs/>
                <w:sz w:val="24"/>
                <w:szCs w:val="24"/>
                <w:lang w:eastAsia="lv-LV"/>
              </w:rPr>
              <w:t>4 000 000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7BA3F8F" w14:textId="2BDE10A8"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r w:rsidR="002D42A3" w:rsidRPr="00771137">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F2549A8" w14:textId="0131C03F" w:rsidR="0026424A" w:rsidRPr="00771137" w:rsidRDefault="0026424A" w:rsidP="0070642F">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r w:rsidR="002D42A3" w:rsidRPr="00771137">
              <w:rPr>
                <w:rFonts w:ascii="Times New Roman" w:eastAsia="Times New Roman" w:hAnsi="Times New Roman" w:cs="Times New Roman"/>
                <w:iCs/>
                <w:sz w:val="24"/>
                <w:szCs w:val="24"/>
                <w:lang w:eastAsia="lv-LV"/>
              </w:rPr>
              <w:t>0</w:t>
            </w:r>
          </w:p>
        </w:tc>
      </w:tr>
      <w:tr w:rsidR="002D42A3" w:rsidRPr="00771137" w14:paraId="5318F004"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62A2B294" w14:textId="77777777"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6A9B4D4" w14:textId="430A7268"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4 000 000</w:t>
            </w:r>
          </w:p>
        </w:tc>
        <w:tc>
          <w:tcPr>
            <w:tcW w:w="878" w:type="dxa"/>
            <w:tcBorders>
              <w:top w:val="outset" w:sz="6" w:space="0" w:color="auto"/>
              <w:left w:val="outset" w:sz="6" w:space="0" w:color="auto"/>
              <w:bottom w:val="outset" w:sz="6" w:space="0" w:color="auto"/>
              <w:right w:val="outset" w:sz="6" w:space="0" w:color="auto"/>
            </w:tcBorders>
            <w:vAlign w:val="center"/>
            <w:hideMark/>
          </w:tcPr>
          <w:p w14:paraId="078AF36C" w14:textId="4A46FA96"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78A937DE" w14:textId="02D3E23E"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4 000 000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0ED1445A" w14:textId="200824C3"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D37D830" w14:textId="6B4B3A46"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4 000 000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6D5259" w14:textId="52D885EE"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6FD00EB" w14:textId="5796EA94"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2D42A3" w:rsidRPr="00771137" w14:paraId="6E861236"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tcPr>
          <w:p w14:paraId="683BEE99" w14:textId="5711C3FF"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No tā:</w:t>
            </w:r>
          </w:p>
          <w:p w14:paraId="1746CF4B" w14:textId="2CDA6AE8"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Tieslietu ministrijas budžeta programma 10.00.00 “Noziedzīgi iegūtu </w:t>
            </w:r>
            <w:r w:rsidRPr="00771137">
              <w:rPr>
                <w:rFonts w:ascii="Times New Roman" w:eastAsia="Times New Roman" w:hAnsi="Times New Roman" w:cs="Times New Roman"/>
                <w:iCs/>
                <w:sz w:val="24"/>
                <w:szCs w:val="24"/>
                <w:lang w:eastAsia="lv-LV"/>
              </w:rPr>
              <w:lastRenderedPageBreak/>
              <w:t>līdzekļu konfiskācijas fonds”</w:t>
            </w:r>
          </w:p>
        </w:tc>
        <w:tc>
          <w:tcPr>
            <w:tcW w:w="1005" w:type="dxa"/>
            <w:tcBorders>
              <w:top w:val="outset" w:sz="6" w:space="0" w:color="auto"/>
              <w:left w:val="outset" w:sz="6" w:space="0" w:color="auto"/>
              <w:bottom w:val="outset" w:sz="6" w:space="0" w:color="auto"/>
              <w:right w:val="outset" w:sz="6" w:space="0" w:color="auto"/>
            </w:tcBorders>
            <w:vAlign w:val="center"/>
          </w:tcPr>
          <w:p w14:paraId="128B3555" w14:textId="4CB0EAB2"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lastRenderedPageBreak/>
              <w:t>2 000 000</w:t>
            </w:r>
          </w:p>
        </w:tc>
        <w:tc>
          <w:tcPr>
            <w:tcW w:w="878" w:type="dxa"/>
            <w:tcBorders>
              <w:top w:val="outset" w:sz="6" w:space="0" w:color="auto"/>
              <w:left w:val="outset" w:sz="6" w:space="0" w:color="auto"/>
              <w:bottom w:val="outset" w:sz="6" w:space="0" w:color="auto"/>
              <w:right w:val="outset" w:sz="6" w:space="0" w:color="auto"/>
            </w:tcBorders>
            <w:vAlign w:val="center"/>
          </w:tcPr>
          <w:p w14:paraId="0189C37E" w14:textId="69D1AEE9"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tcPr>
          <w:p w14:paraId="1D1D6270" w14:textId="4C4D96C9"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2 000 000</w:t>
            </w:r>
          </w:p>
        </w:tc>
        <w:tc>
          <w:tcPr>
            <w:tcW w:w="1069" w:type="dxa"/>
            <w:tcBorders>
              <w:top w:val="outset" w:sz="6" w:space="0" w:color="auto"/>
              <w:left w:val="outset" w:sz="6" w:space="0" w:color="auto"/>
              <w:bottom w:val="outset" w:sz="6" w:space="0" w:color="auto"/>
              <w:right w:val="outset" w:sz="6" w:space="0" w:color="auto"/>
            </w:tcBorders>
            <w:vAlign w:val="center"/>
          </w:tcPr>
          <w:p w14:paraId="0B5615DE" w14:textId="2C300BF2"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tcPr>
          <w:p w14:paraId="0091A6F4" w14:textId="6F6988C9"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2 000 000</w:t>
            </w:r>
          </w:p>
        </w:tc>
        <w:tc>
          <w:tcPr>
            <w:tcW w:w="1104" w:type="dxa"/>
            <w:tcBorders>
              <w:top w:val="outset" w:sz="6" w:space="0" w:color="auto"/>
              <w:left w:val="outset" w:sz="6" w:space="0" w:color="auto"/>
              <w:bottom w:val="outset" w:sz="6" w:space="0" w:color="auto"/>
              <w:right w:val="outset" w:sz="6" w:space="0" w:color="auto"/>
            </w:tcBorders>
            <w:vAlign w:val="center"/>
          </w:tcPr>
          <w:p w14:paraId="6EBE8A6F" w14:textId="3BBECA8E"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tcPr>
          <w:p w14:paraId="1ED1B7D4" w14:textId="216D75CA" w:rsidR="002D42A3" w:rsidRPr="00771137" w:rsidRDefault="002D42A3" w:rsidP="002D42A3">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383475BF"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7EBCAF94"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7A8B0B6" w14:textId="53B217EA"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878" w:type="dxa"/>
            <w:tcBorders>
              <w:top w:val="outset" w:sz="6" w:space="0" w:color="auto"/>
              <w:left w:val="outset" w:sz="6" w:space="0" w:color="auto"/>
              <w:bottom w:val="outset" w:sz="6" w:space="0" w:color="auto"/>
              <w:right w:val="outset" w:sz="6" w:space="0" w:color="auto"/>
            </w:tcBorders>
            <w:vAlign w:val="center"/>
            <w:hideMark/>
          </w:tcPr>
          <w:p w14:paraId="0D8FF7FC" w14:textId="724C584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6729250F" w14:textId="75E387B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307F983A" w14:textId="34D95A5B"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9FFB280" w14:textId="116C32CC"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6FB2A3" w14:textId="7EE5788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52504C3" w14:textId="444CAFC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31AAE432"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4F95F01C"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6294633" w14:textId="4D0020B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878" w:type="dxa"/>
            <w:tcBorders>
              <w:top w:val="outset" w:sz="6" w:space="0" w:color="auto"/>
              <w:left w:val="outset" w:sz="6" w:space="0" w:color="auto"/>
              <w:bottom w:val="outset" w:sz="6" w:space="0" w:color="auto"/>
              <w:right w:val="outset" w:sz="6" w:space="0" w:color="auto"/>
            </w:tcBorders>
            <w:vAlign w:val="center"/>
            <w:hideMark/>
          </w:tcPr>
          <w:p w14:paraId="3876FF2D" w14:textId="18F3C188"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4828235C" w14:textId="5A5448F5"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46E15B3C" w14:textId="6E7FD4F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E75EC54" w14:textId="3918F7A5"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F8430F" w14:textId="0DE1438B"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B31698B" w14:textId="15E8F3BB"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1B634CA3"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04011ED2"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A080ACC" w14:textId="0B5A53B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4 000 000</w:t>
            </w:r>
          </w:p>
        </w:tc>
        <w:tc>
          <w:tcPr>
            <w:tcW w:w="878" w:type="dxa"/>
            <w:tcBorders>
              <w:top w:val="outset" w:sz="6" w:space="0" w:color="auto"/>
              <w:left w:val="outset" w:sz="6" w:space="0" w:color="auto"/>
              <w:bottom w:val="outset" w:sz="6" w:space="0" w:color="auto"/>
              <w:right w:val="outset" w:sz="6" w:space="0" w:color="auto"/>
            </w:tcBorders>
            <w:vAlign w:val="center"/>
            <w:hideMark/>
          </w:tcPr>
          <w:p w14:paraId="619309E7" w14:textId="38D1C975"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60EFBBEE" w14:textId="1041DAA4"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4 000 000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68099192" w14:textId="632A537C"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2226E65" w14:textId="221E8D8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4 000 000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DF2092A" w14:textId="24DB044F"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9563606" w14:textId="01410718"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2C1E2D1B"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4B7FD57E"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22E192B" w14:textId="34BE9542"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4 000 000</w:t>
            </w:r>
          </w:p>
        </w:tc>
        <w:tc>
          <w:tcPr>
            <w:tcW w:w="878" w:type="dxa"/>
            <w:tcBorders>
              <w:top w:val="outset" w:sz="6" w:space="0" w:color="auto"/>
              <w:left w:val="outset" w:sz="6" w:space="0" w:color="auto"/>
              <w:bottom w:val="outset" w:sz="6" w:space="0" w:color="auto"/>
              <w:right w:val="outset" w:sz="6" w:space="0" w:color="auto"/>
            </w:tcBorders>
            <w:vAlign w:val="center"/>
            <w:hideMark/>
          </w:tcPr>
          <w:p w14:paraId="3D884AA8" w14:textId="769253C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30A4E62D" w14:textId="0BFEBAD4"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4 000 000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411F2058" w14:textId="66A3E695"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2289B32" w14:textId="104E8E83"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4 000 000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AD6B517" w14:textId="36B9E6A1"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9EE0AB9" w14:textId="14D19033"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153096E6"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tcPr>
          <w:p w14:paraId="5F98FA35" w14:textId="0E90C655"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No tā:</w:t>
            </w:r>
          </w:p>
          <w:p w14:paraId="167C263A" w14:textId="3FB64208"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Tieslietu ministrijas budžeta programma 10.00.00 “Noziedzīgi iegūtu līdzekļu konfiskācijas fonds”</w:t>
            </w:r>
          </w:p>
        </w:tc>
        <w:tc>
          <w:tcPr>
            <w:tcW w:w="1005" w:type="dxa"/>
            <w:tcBorders>
              <w:top w:val="outset" w:sz="6" w:space="0" w:color="auto"/>
              <w:left w:val="outset" w:sz="6" w:space="0" w:color="auto"/>
              <w:bottom w:val="outset" w:sz="6" w:space="0" w:color="auto"/>
              <w:right w:val="outset" w:sz="6" w:space="0" w:color="auto"/>
            </w:tcBorders>
            <w:vAlign w:val="center"/>
          </w:tcPr>
          <w:p w14:paraId="33D34415" w14:textId="4E100B04"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2 000 000</w:t>
            </w:r>
          </w:p>
        </w:tc>
        <w:tc>
          <w:tcPr>
            <w:tcW w:w="878" w:type="dxa"/>
            <w:tcBorders>
              <w:top w:val="outset" w:sz="6" w:space="0" w:color="auto"/>
              <w:left w:val="outset" w:sz="6" w:space="0" w:color="auto"/>
              <w:bottom w:val="outset" w:sz="6" w:space="0" w:color="auto"/>
              <w:right w:val="outset" w:sz="6" w:space="0" w:color="auto"/>
            </w:tcBorders>
            <w:vAlign w:val="center"/>
          </w:tcPr>
          <w:p w14:paraId="4AE79845" w14:textId="2195455A"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tcPr>
          <w:p w14:paraId="31C96336" w14:textId="588377B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2 000 000</w:t>
            </w:r>
          </w:p>
        </w:tc>
        <w:tc>
          <w:tcPr>
            <w:tcW w:w="1069" w:type="dxa"/>
            <w:tcBorders>
              <w:top w:val="outset" w:sz="6" w:space="0" w:color="auto"/>
              <w:left w:val="outset" w:sz="6" w:space="0" w:color="auto"/>
              <w:bottom w:val="outset" w:sz="6" w:space="0" w:color="auto"/>
              <w:right w:val="outset" w:sz="6" w:space="0" w:color="auto"/>
            </w:tcBorders>
            <w:vAlign w:val="center"/>
          </w:tcPr>
          <w:p w14:paraId="15EFE7C9" w14:textId="321D1AAE"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tcPr>
          <w:p w14:paraId="2F9BC357" w14:textId="3EB174F1"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2 000 000</w:t>
            </w:r>
          </w:p>
        </w:tc>
        <w:tc>
          <w:tcPr>
            <w:tcW w:w="1104" w:type="dxa"/>
            <w:tcBorders>
              <w:top w:val="outset" w:sz="6" w:space="0" w:color="auto"/>
              <w:left w:val="outset" w:sz="6" w:space="0" w:color="auto"/>
              <w:bottom w:val="outset" w:sz="6" w:space="0" w:color="auto"/>
              <w:right w:val="outset" w:sz="6" w:space="0" w:color="auto"/>
            </w:tcBorders>
            <w:vAlign w:val="center"/>
          </w:tcPr>
          <w:p w14:paraId="05A1B8BA" w14:textId="0BEDE8C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tcPr>
          <w:p w14:paraId="28385C10" w14:textId="4107B258"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1CAB36F5"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1CB52CBE"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D8236E2" w14:textId="4695AE12"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878" w:type="dxa"/>
            <w:tcBorders>
              <w:top w:val="outset" w:sz="6" w:space="0" w:color="auto"/>
              <w:left w:val="outset" w:sz="6" w:space="0" w:color="auto"/>
              <w:bottom w:val="outset" w:sz="6" w:space="0" w:color="auto"/>
              <w:right w:val="outset" w:sz="6" w:space="0" w:color="auto"/>
            </w:tcBorders>
            <w:vAlign w:val="center"/>
            <w:hideMark/>
          </w:tcPr>
          <w:p w14:paraId="37806F58" w14:textId="7743D58F"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553C4488" w14:textId="0064B3CF"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041DECC7" w14:textId="3252AC32"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B1139D4" w14:textId="28A4C32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EE441F3" w14:textId="53DF4785"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5C2C925" w14:textId="37C7946E"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617596DB"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6F68166A"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730D04E" w14:textId="7E96150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878" w:type="dxa"/>
            <w:tcBorders>
              <w:top w:val="outset" w:sz="6" w:space="0" w:color="auto"/>
              <w:left w:val="outset" w:sz="6" w:space="0" w:color="auto"/>
              <w:bottom w:val="outset" w:sz="6" w:space="0" w:color="auto"/>
              <w:right w:val="outset" w:sz="6" w:space="0" w:color="auto"/>
            </w:tcBorders>
            <w:vAlign w:val="center"/>
            <w:hideMark/>
          </w:tcPr>
          <w:p w14:paraId="76B3F41C" w14:textId="5EB0A76B"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70A8C3B7" w14:textId="3A13AEFB"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156932E7" w14:textId="202C975F"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FD27F49" w14:textId="69B7D639"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6A1CA3" w14:textId="4CA24A2F"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6D982A5" w14:textId="0904C21F"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31A4D0F3"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7729421F"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4DA950E" w14:textId="631563AC"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878" w:type="dxa"/>
            <w:tcBorders>
              <w:top w:val="outset" w:sz="6" w:space="0" w:color="auto"/>
              <w:left w:val="outset" w:sz="6" w:space="0" w:color="auto"/>
              <w:bottom w:val="outset" w:sz="6" w:space="0" w:color="auto"/>
              <w:right w:val="outset" w:sz="6" w:space="0" w:color="auto"/>
            </w:tcBorders>
            <w:vAlign w:val="center"/>
            <w:hideMark/>
          </w:tcPr>
          <w:p w14:paraId="5094DBE1" w14:textId="469DB18C"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79C41D81" w14:textId="2AB12F9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73ACC4BD" w14:textId="1697D8F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6046FA2" w14:textId="5A6B0399"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33B8620" w14:textId="5675E131"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D953F29" w14:textId="7DAB1A9A"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4D6942FB"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1AF0D7F1"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498EDFA" w14:textId="661D7BEA"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878" w:type="dxa"/>
            <w:tcBorders>
              <w:top w:val="outset" w:sz="6" w:space="0" w:color="auto"/>
              <w:left w:val="outset" w:sz="6" w:space="0" w:color="auto"/>
              <w:bottom w:val="outset" w:sz="6" w:space="0" w:color="auto"/>
              <w:right w:val="outset" w:sz="6" w:space="0" w:color="auto"/>
            </w:tcBorders>
            <w:vAlign w:val="center"/>
            <w:hideMark/>
          </w:tcPr>
          <w:p w14:paraId="19EE56DB" w14:textId="4ED884E8"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6786CA86" w14:textId="4D33BF2E"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39147502" w14:textId="034D022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0D9B101" w14:textId="3C5739A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68670E" w14:textId="794A8B3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24648F2" w14:textId="28286E52"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16368554"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5A3B7392"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5CD8075" w14:textId="3BCB908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878" w:type="dxa"/>
            <w:tcBorders>
              <w:top w:val="outset" w:sz="6" w:space="0" w:color="auto"/>
              <w:left w:val="outset" w:sz="6" w:space="0" w:color="auto"/>
              <w:bottom w:val="outset" w:sz="6" w:space="0" w:color="auto"/>
              <w:right w:val="outset" w:sz="6" w:space="0" w:color="auto"/>
            </w:tcBorders>
            <w:vAlign w:val="center"/>
            <w:hideMark/>
          </w:tcPr>
          <w:p w14:paraId="27C5C8DE" w14:textId="0B7452E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69B7C79C" w14:textId="089D22D1"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4A719924" w14:textId="0F4D569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30CE262" w14:textId="24FE935A"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0557716" w14:textId="5567B0A5"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9C6444A" w14:textId="05F098B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08F33BE2"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44A5B511"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42026F1" w14:textId="7A1E5D3E"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878" w:type="dxa"/>
            <w:tcBorders>
              <w:top w:val="outset" w:sz="6" w:space="0" w:color="auto"/>
              <w:left w:val="outset" w:sz="6" w:space="0" w:color="auto"/>
              <w:bottom w:val="outset" w:sz="6" w:space="0" w:color="auto"/>
              <w:right w:val="outset" w:sz="6" w:space="0" w:color="auto"/>
            </w:tcBorders>
            <w:vAlign w:val="center"/>
            <w:hideMark/>
          </w:tcPr>
          <w:p w14:paraId="0082B642" w14:textId="79EC146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3196B920" w14:textId="70D77713"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7E48CE79" w14:textId="15001502"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A25F918" w14:textId="3F32A001"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D1FCFD" w14:textId="14311BA2"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E345A2" w14:textId="3AFDE474"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6E92B5CD"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764D1375"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4. Finanšu līdzekļi papildu izdevumu finansēšanai (kompensējošu izdevumu </w:t>
            </w:r>
            <w:r w:rsidRPr="00771137">
              <w:rPr>
                <w:rFonts w:ascii="Times New Roman" w:eastAsia="Times New Roman" w:hAnsi="Times New Roman" w:cs="Times New Roman"/>
                <w:iCs/>
                <w:sz w:val="24"/>
                <w:szCs w:val="24"/>
                <w:lang w:eastAsia="lv-LV"/>
              </w:rPr>
              <w:lastRenderedPageBreak/>
              <w:t>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5F05EDA"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lastRenderedPageBreak/>
              <w:t>X</w:t>
            </w:r>
          </w:p>
        </w:tc>
        <w:tc>
          <w:tcPr>
            <w:tcW w:w="878" w:type="dxa"/>
            <w:tcBorders>
              <w:top w:val="outset" w:sz="6" w:space="0" w:color="auto"/>
              <w:left w:val="outset" w:sz="6" w:space="0" w:color="auto"/>
              <w:bottom w:val="outset" w:sz="6" w:space="0" w:color="auto"/>
              <w:right w:val="outset" w:sz="6" w:space="0" w:color="auto"/>
            </w:tcBorders>
            <w:vAlign w:val="center"/>
            <w:hideMark/>
          </w:tcPr>
          <w:p w14:paraId="717381AC" w14:textId="553A1FAD"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0</w:t>
            </w:r>
          </w:p>
        </w:tc>
        <w:tc>
          <w:tcPr>
            <w:tcW w:w="1081" w:type="dxa"/>
            <w:tcBorders>
              <w:top w:val="outset" w:sz="6" w:space="0" w:color="auto"/>
              <w:left w:val="outset" w:sz="6" w:space="0" w:color="auto"/>
              <w:bottom w:val="outset" w:sz="6" w:space="0" w:color="auto"/>
              <w:right w:val="outset" w:sz="6" w:space="0" w:color="auto"/>
            </w:tcBorders>
            <w:vAlign w:val="center"/>
            <w:hideMark/>
          </w:tcPr>
          <w:p w14:paraId="77429154"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X</w:t>
            </w:r>
          </w:p>
        </w:tc>
        <w:tc>
          <w:tcPr>
            <w:tcW w:w="1069" w:type="dxa"/>
            <w:tcBorders>
              <w:top w:val="outset" w:sz="6" w:space="0" w:color="auto"/>
              <w:left w:val="outset" w:sz="6" w:space="0" w:color="auto"/>
              <w:bottom w:val="outset" w:sz="6" w:space="0" w:color="auto"/>
              <w:right w:val="outset" w:sz="6" w:space="0" w:color="auto"/>
            </w:tcBorders>
            <w:vAlign w:val="center"/>
            <w:hideMark/>
          </w:tcPr>
          <w:p w14:paraId="4FCE2872" w14:textId="31DE1321"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2F26AAB"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8F2E004" w14:textId="08114515"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888AE47" w14:textId="1993F87E"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2AEA5DED"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0D557BC7"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5. Precizēta finansiālā 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14:paraId="237A2FFA"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218F4384"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101DF38D"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68151E78"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0D3ECEEB"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3D94C15F"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X</w:t>
            </w:r>
          </w:p>
        </w:tc>
        <w:tc>
          <w:tcPr>
            <w:tcW w:w="878" w:type="dxa"/>
            <w:tcBorders>
              <w:top w:val="outset" w:sz="6" w:space="0" w:color="auto"/>
              <w:left w:val="outset" w:sz="6" w:space="0" w:color="auto"/>
              <w:bottom w:val="outset" w:sz="6" w:space="0" w:color="auto"/>
              <w:right w:val="outset" w:sz="6" w:space="0" w:color="auto"/>
            </w:tcBorders>
            <w:vAlign w:val="center"/>
            <w:hideMark/>
          </w:tcPr>
          <w:p w14:paraId="0ECB359A" w14:textId="2F90A651"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0</w:t>
            </w:r>
          </w:p>
        </w:tc>
        <w:tc>
          <w:tcPr>
            <w:tcW w:w="1081" w:type="dxa"/>
            <w:vMerge w:val="restart"/>
            <w:tcBorders>
              <w:top w:val="outset" w:sz="6" w:space="0" w:color="auto"/>
              <w:left w:val="outset" w:sz="6" w:space="0" w:color="auto"/>
              <w:bottom w:val="outset" w:sz="6" w:space="0" w:color="auto"/>
              <w:right w:val="outset" w:sz="6" w:space="0" w:color="auto"/>
            </w:tcBorders>
            <w:vAlign w:val="center"/>
            <w:hideMark/>
          </w:tcPr>
          <w:p w14:paraId="24D4117D"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76AFB941"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4E62F271"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44FBAE65"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065E2E43"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66218473"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X</w:t>
            </w:r>
          </w:p>
        </w:tc>
        <w:tc>
          <w:tcPr>
            <w:tcW w:w="1069" w:type="dxa"/>
            <w:tcBorders>
              <w:top w:val="outset" w:sz="6" w:space="0" w:color="auto"/>
              <w:left w:val="outset" w:sz="6" w:space="0" w:color="auto"/>
              <w:bottom w:val="outset" w:sz="6" w:space="0" w:color="auto"/>
              <w:right w:val="outset" w:sz="6" w:space="0" w:color="auto"/>
            </w:tcBorders>
            <w:vAlign w:val="center"/>
            <w:hideMark/>
          </w:tcPr>
          <w:p w14:paraId="2EE30DE3" w14:textId="5B493649"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57989CB3"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14C053B3"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3157B73F"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0D1DAEBA"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46C4C9F2"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p>
          <w:p w14:paraId="0684217C" w14:textId="77777777" w:rsidR="00F74664" w:rsidRPr="00771137" w:rsidRDefault="00F74664" w:rsidP="00F74664">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0539FD" w14:textId="5CB0C6A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18E4B44" w14:textId="04C1B61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1A57D709"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7C2207FD"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14:paraId="40996C45"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c>
          <w:tcPr>
            <w:tcW w:w="878" w:type="dxa"/>
            <w:tcBorders>
              <w:top w:val="outset" w:sz="6" w:space="0" w:color="auto"/>
              <w:left w:val="outset" w:sz="6" w:space="0" w:color="auto"/>
              <w:bottom w:val="outset" w:sz="6" w:space="0" w:color="auto"/>
              <w:right w:val="outset" w:sz="6" w:space="0" w:color="auto"/>
            </w:tcBorders>
            <w:vAlign w:val="center"/>
            <w:hideMark/>
          </w:tcPr>
          <w:p w14:paraId="58DB7A8B" w14:textId="22B4659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vMerge/>
            <w:tcBorders>
              <w:top w:val="outset" w:sz="6" w:space="0" w:color="auto"/>
              <w:left w:val="outset" w:sz="6" w:space="0" w:color="auto"/>
              <w:bottom w:val="outset" w:sz="6" w:space="0" w:color="auto"/>
              <w:right w:val="outset" w:sz="6" w:space="0" w:color="auto"/>
            </w:tcBorders>
            <w:vAlign w:val="center"/>
            <w:hideMark/>
          </w:tcPr>
          <w:p w14:paraId="76F8FA6A"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c>
          <w:tcPr>
            <w:tcW w:w="1069" w:type="dxa"/>
            <w:tcBorders>
              <w:top w:val="outset" w:sz="6" w:space="0" w:color="auto"/>
              <w:left w:val="outset" w:sz="6" w:space="0" w:color="auto"/>
              <w:bottom w:val="outset" w:sz="6" w:space="0" w:color="auto"/>
              <w:right w:val="outset" w:sz="6" w:space="0" w:color="auto"/>
            </w:tcBorders>
            <w:vAlign w:val="center"/>
            <w:hideMark/>
          </w:tcPr>
          <w:p w14:paraId="48AB9F21" w14:textId="7DAA07E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7B04A11B"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BA58D21" w14:textId="16730D10"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92422CD" w14:textId="56C8D296"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193BCA9D"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36E12F77"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14:paraId="77E6AEBC"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c>
          <w:tcPr>
            <w:tcW w:w="878" w:type="dxa"/>
            <w:tcBorders>
              <w:top w:val="outset" w:sz="6" w:space="0" w:color="auto"/>
              <w:left w:val="outset" w:sz="6" w:space="0" w:color="auto"/>
              <w:bottom w:val="outset" w:sz="6" w:space="0" w:color="auto"/>
              <w:right w:val="outset" w:sz="6" w:space="0" w:color="auto"/>
            </w:tcBorders>
            <w:vAlign w:val="center"/>
            <w:hideMark/>
          </w:tcPr>
          <w:p w14:paraId="67CA5F93" w14:textId="7143B209"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081" w:type="dxa"/>
            <w:vMerge/>
            <w:tcBorders>
              <w:top w:val="outset" w:sz="6" w:space="0" w:color="auto"/>
              <w:left w:val="outset" w:sz="6" w:space="0" w:color="auto"/>
              <w:bottom w:val="outset" w:sz="6" w:space="0" w:color="auto"/>
              <w:right w:val="outset" w:sz="6" w:space="0" w:color="auto"/>
            </w:tcBorders>
            <w:vAlign w:val="center"/>
            <w:hideMark/>
          </w:tcPr>
          <w:p w14:paraId="59C17F37"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c>
          <w:tcPr>
            <w:tcW w:w="1069" w:type="dxa"/>
            <w:tcBorders>
              <w:top w:val="outset" w:sz="6" w:space="0" w:color="auto"/>
              <w:left w:val="outset" w:sz="6" w:space="0" w:color="auto"/>
              <w:bottom w:val="outset" w:sz="6" w:space="0" w:color="auto"/>
              <w:right w:val="outset" w:sz="6" w:space="0" w:color="auto"/>
            </w:tcBorders>
            <w:vAlign w:val="center"/>
            <w:hideMark/>
          </w:tcPr>
          <w:p w14:paraId="6F3A41A3" w14:textId="4D11F28A"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28F4F032"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7AF69E1" w14:textId="449267EE"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F7DD405" w14:textId="3FAA0075"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759232C0"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25D8BA2F"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14:paraId="066B6C0D"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c>
          <w:tcPr>
            <w:tcW w:w="878" w:type="dxa"/>
            <w:tcBorders>
              <w:top w:val="outset" w:sz="6" w:space="0" w:color="auto"/>
              <w:left w:val="outset" w:sz="6" w:space="0" w:color="auto"/>
              <w:bottom w:val="outset" w:sz="6" w:space="0" w:color="auto"/>
              <w:right w:val="outset" w:sz="6" w:space="0" w:color="auto"/>
            </w:tcBorders>
            <w:vAlign w:val="center"/>
            <w:hideMark/>
          </w:tcPr>
          <w:p w14:paraId="621CF36E" w14:textId="77E0710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0 </w:t>
            </w:r>
          </w:p>
        </w:tc>
        <w:tc>
          <w:tcPr>
            <w:tcW w:w="1081" w:type="dxa"/>
            <w:vMerge/>
            <w:tcBorders>
              <w:top w:val="outset" w:sz="6" w:space="0" w:color="auto"/>
              <w:left w:val="outset" w:sz="6" w:space="0" w:color="auto"/>
              <w:bottom w:val="outset" w:sz="6" w:space="0" w:color="auto"/>
              <w:right w:val="outset" w:sz="6" w:space="0" w:color="auto"/>
            </w:tcBorders>
            <w:vAlign w:val="center"/>
            <w:hideMark/>
          </w:tcPr>
          <w:p w14:paraId="0BB3B275"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c>
          <w:tcPr>
            <w:tcW w:w="1069" w:type="dxa"/>
            <w:tcBorders>
              <w:top w:val="outset" w:sz="6" w:space="0" w:color="auto"/>
              <w:left w:val="outset" w:sz="6" w:space="0" w:color="auto"/>
              <w:bottom w:val="outset" w:sz="6" w:space="0" w:color="auto"/>
              <w:right w:val="outset" w:sz="6" w:space="0" w:color="auto"/>
            </w:tcBorders>
            <w:vAlign w:val="center"/>
            <w:hideMark/>
          </w:tcPr>
          <w:p w14:paraId="07D1F0C6" w14:textId="785D024A"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1C0E8D3C"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54CFE33" w14:textId="232DCEB1"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5C0EEB4" w14:textId="2F5F0EE1"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0</w:t>
            </w:r>
          </w:p>
        </w:tc>
      </w:tr>
      <w:tr w:rsidR="00F74664" w:rsidRPr="00771137" w14:paraId="2D7784AA"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04B1D4E8"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50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76B8CE6" w14:textId="7022542F" w:rsidR="00F74664" w:rsidRPr="00771137" w:rsidRDefault="00F74664" w:rsidP="0070688B">
            <w:pPr>
              <w:pStyle w:val="tv213"/>
              <w:jc w:val="both"/>
            </w:pPr>
            <w:r w:rsidRPr="00771137">
              <w:t>Saskaņā ar likumu “Par valsts budžetu 2019.</w:t>
            </w:r>
            <w:r w:rsidR="00EE648F" w:rsidRPr="00771137">
              <w:t> </w:t>
            </w:r>
            <w:r w:rsidRPr="00771137">
              <w:t>gadam”</w:t>
            </w:r>
            <w:r w:rsidR="00EE648F" w:rsidRPr="00771137">
              <w:t xml:space="preserve"> </w:t>
            </w:r>
            <w:r w:rsidRPr="00771137">
              <w:t>un likumu “Par vidēja termiņa budžeta ietvaru 2018., 2019.</w:t>
            </w:r>
            <w:r w:rsidR="00EE648F" w:rsidRPr="00771137">
              <w:t> </w:t>
            </w:r>
            <w:r w:rsidRPr="00771137">
              <w:t>un 2020.</w:t>
            </w:r>
            <w:r w:rsidR="00EE648F" w:rsidRPr="00771137">
              <w:t> </w:t>
            </w:r>
            <w:r w:rsidRPr="00771137">
              <w:t>gadam” Tieslietu ministrijas budžeta programmā 10.00.00</w:t>
            </w:r>
            <w:r w:rsidR="00EE648F" w:rsidRPr="00771137">
              <w:t> </w:t>
            </w:r>
            <w:r w:rsidRPr="00771137">
              <w:t>“Noziedzīgi iegūtu līdzekļu konfiskācijas fonds” 2019.</w:t>
            </w:r>
            <w:r w:rsidR="00EE648F" w:rsidRPr="00771137">
              <w:t> </w:t>
            </w:r>
            <w:r w:rsidRPr="00771137">
              <w:t>un 2020.</w:t>
            </w:r>
            <w:r w:rsidR="00EE648F" w:rsidRPr="00771137">
              <w:t> </w:t>
            </w:r>
            <w:r w:rsidRPr="00771137">
              <w:t>gadā plānoti resursi no ieņēmumiem no maksas pakalpojumiem un citiem pašu ieņēmumiem un izdevumi 2 000</w:t>
            </w:r>
            <w:r w:rsidR="00EE648F" w:rsidRPr="00771137">
              <w:t> </w:t>
            </w:r>
            <w:r w:rsidRPr="00771137">
              <w:t>000</w:t>
            </w:r>
            <w:r w:rsidR="00EE648F" w:rsidRPr="00771137">
              <w:t> </w:t>
            </w:r>
            <w:r w:rsidRPr="00771137">
              <w:rPr>
                <w:i/>
              </w:rPr>
              <w:t>euro</w:t>
            </w:r>
            <w:r w:rsidRPr="00771137">
              <w:t xml:space="preserve"> apmērā.</w:t>
            </w:r>
          </w:p>
          <w:p w14:paraId="2B818123" w14:textId="6B184A0D" w:rsidR="00F74664" w:rsidRPr="00771137" w:rsidRDefault="00F74664" w:rsidP="00993C88">
            <w:pPr>
              <w:pStyle w:val="tv213"/>
              <w:jc w:val="both"/>
            </w:pPr>
            <w:r w:rsidRPr="00771137">
              <w:t xml:space="preserve">Saskaņā ar </w:t>
            </w:r>
            <w:r w:rsidR="00993C88" w:rsidRPr="00771137">
              <w:t xml:space="preserve">Saeimā </w:t>
            </w:r>
            <w:r w:rsidR="007A160F">
              <w:t>pieņemtajiem</w:t>
            </w:r>
            <w:r w:rsidR="00993C88" w:rsidRPr="00771137">
              <w:t xml:space="preserve"> likumprojektiem “Par valsts budžetu 2020.gadam“ un “Par vidēja termiņa budžeta ietvaru 2020., </w:t>
            </w:r>
            <w:r w:rsidRPr="00771137">
              <w:t>2021.</w:t>
            </w:r>
            <w:r w:rsidR="00993C88" w:rsidRPr="00771137">
              <w:t>un 2022.</w:t>
            </w:r>
            <w:r w:rsidRPr="00771137">
              <w:t>gadam</w:t>
            </w:r>
            <w:r w:rsidR="00993C88" w:rsidRPr="00771137">
              <w:t>”</w:t>
            </w:r>
            <w:r w:rsidRPr="00771137">
              <w:t xml:space="preserve"> Tieslietu ministrijas budžeta programmā 10.00.00</w:t>
            </w:r>
            <w:r w:rsidR="00EE648F" w:rsidRPr="00771137">
              <w:t> </w:t>
            </w:r>
            <w:r w:rsidRPr="00771137">
              <w:t>“Noziedzīgi iegūtu līdzekļu konfiskācijas fonds” 202</w:t>
            </w:r>
            <w:r w:rsidR="00993C88" w:rsidRPr="00771137">
              <w:t>0</w:t>
            </w:r>
            <w:r w:rsidRPr="00771137">
              <w:t>.</w:t>
            </w:r>
            <w:r w:rsidR="00EE648F" w:rsidRPr="00771137">
              <w:t> </w:t>
            </w:r>
            <w:r w:rsidR="00993C88" w:rsidRPr="00771137">
              <w:t>, 2021. un 2022.</w:t>
            </w:r>
            <w:r w:rsidRPr="00771137">
              <w:t>gadā plānoti resursi no ieņēmumiem no maksas pakalpojumiem un citiem pašu ieņēmumiem un izdevumi 2 000</w:t>
            </w:r>
            <w:r w:rsidR="00EE648F" w:rsidRPr="00771137">
              <w:t> </w:t>
            </w:r>
            <w:r w:rsidRPr="00771137">
              <w:t>000</w:t>
            </w:r>
            <w:r w:rsidR="00EE648F" w:rsidRPr="00771137">
              <w:t> </w:t>
            </w:r>
            <w:r w:rsidRPr="00771137">
              <w:rPr>
                <w:i/>
              </w:rPr>
              <w:t>euro</w:t>
            </w:r>
            <w:r w:rsidRPr="00771137">
              <w:t xml:space="preserve"> apmērā.</w:t>
            </w:r>
          </w:p>
          <w:p w14:paraId="438D68B9" w14:textId="77777777" w:rsidR="00993C88" w:rsidRPr="00771137" w:rsidRDefault="00993C88" w:rsidP="00993C88">
            <w:pPr>
              <w:pStyle w:val="tv213"/>
              <w:jc w:val="both"/>
            </w:pPr>
            <w:r w:rsidRPr="00771137">
              <w:t>Vienlaikus likumprojektā “Par valsts budžetu 2020.gadam“iekļauts 54.pants, kas attiecībā uz 2020.gadu paredz šādu nosacījumu:</w:t>
            </w:r>
          </w:p>
          <w:p w14:paraId="52BCA86E" w14:textId="6BF0D8BC" w:rsidR="00993C88" w:rsidRPr="00771137" w:rsidRDefault="00993C88" w:rsidP="00993C88">
            <w:pPr>
              <w:pStyle w:val="tv213"/>
              <w:jc w:val="both"/>
              <w:rPr>
                <w:iCs/>
              </w:rPr>
            </w:pPr>
            <w:r w:rsidRPr="00771137">
              <w:t xml:space="preserve">“Ja 2020. gadā faktiskie ieņēmumi no noziedzīgi iegūto līdzekļu konfiskācijas pārsniedz šajā likumā plānoto apmēru un Eiropas Komisija ir atzinusi, ka tie nav uzskatāmi par vienreizējiem ieņēmumu pasākumiem Stabilitātes un izaugsmes pakta izpratnē, finanšu ministram ir tiesības par attiecīgo apmēru palielināt apropriāciju budžeta resora “74. Gadskārtējā valsts budžeta izpildes procesā pārdalāmais finansējums” 09.00.00 programmā “Valsts nozīmes reformas īstenošanai”, ja 2020. gada reformu īstenošanas pasākumi nerada negatīvu ietekmi turpmākajiem gadiem, Ministru kabinets ir pieņēmis attiecīgu lēmumu un Saeimas Budžeta un finanšu (nodokļu) komisija piecu darba dienu laikā no attiecīgās informācijas saņemšanas dienas ir to izskatījusi un nav iebildusi pret apropriācijas palielinājumu. Ja 2020. gadā faktiskie ieņēmumi no noziedzīgi iegūto līdzekļu konfiskācijas nesasniedz šajā likumā plānoto apmēru, finanšu ministram ir pienākums par attiecīgo apmēru samazināt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w:t>
            </w:r>
            <w:r w:rsidRPr="00771137">
              <w:lastRenderedPageBreak/>
              <w:t>darba dienu laikā no attiecīgās informācijas saņemšanas dienas ir to izskatījusi un nav iebildusi pret apropriācijas samazinājumu.”</w:t>
            </w:r>
          </w:p>
          <w:p w14:paraId="35418426" w14:textId="16DE9FB9" w:rsidR="001F32F3" w:rsidRPr="00771137" w:rsidRDefault="001F32F3" w:rsidP="001F32F3">
            <w:pPr>
              <w:pStyle w:val="tv213"/>
              <w:jc w:val="both"/>
              <w:rPr>
                <w:iCs/>
              </w:rPr>
            </w:pPr>
            <w:r w:rsidRPr="00771137">
              <w:rPr>
                <w:iCs/>
              </w:rPr>
              <w:t>Ievērojot minēto, likumprojektā minētais regulējums ir ieviešams ar 2021.gada 1.janvāri.</w:t>
            </w:r>
          </w:p>
        </w:tc>
      </w:tr>
      <w:tr w:rsidR="00F74664" w:rsidRPr="00771137" w14:paraId="63339F68"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5D2945F2" w14:textId="22F753C8"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6.1. detalizēts ieņēmumu aprēķins</w:t>
            </w:r>
          </w:p>
        </w:tc>
        <w:tc>
          <w:tcPr>
            <w:tcW w:w="7501" w:type="dxa"/>
            <w:gridSpan w:val="7"/>
            <w:vMerge/>
            <w:tcBorders>
              <w:top w:val="outset" w:sz="6" w:space="0" w:color="auto"/>
              <w:left w:val="outset" w:sz="6" w:space="0" w:color="auto"/>
              <w:bottom w:val="outset" w:sz="6" w:space="0" w:color="auto"/>
              <w:right w:val="outset" w:sz="6" w:space="0" w:color="auto"/>
            </w:tcBorders>
            <w:vAlign w:val="center"/>
            <w:hideMark/>
          </w:tcPr>
          <w:p w14:paraId="136D4D1A"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r>
      <w:tr w:rsidR="00F74664" w:rsidRPr="00771137" w14:paraId="375BD9B5" w14:textId="77777777" w:rsidTr="0070688B">
        <w:trPr>
          <w:trHeight w:val="790"/>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4E774521"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6.2. detalizēts izdevumu aprēķins</w:t>
            </w:r>
          </w:p>
        </w:tc>
        <w:tc>
          <w:tcPr>
            <w:tcW w:w="7501" w:type="dxa"/>
            <w:gridSpan w:val="7"/>
            <w:vMerge/>
            <w:tcBorders>
              <w:top w:val="outset" w:sz="6" w:space="0" w:color="auto"/>
              <w:left w:val="outset" w:sz="6" w:space="0" w:color="auto"/>
              <w:bottom w:val="outset" w:sz="6" w:space="0" w:color="auto"/>
              <w:right w:val="outset" w:sz="6" w:space="0" w:color="auto"/>
            </w:tcBorders>
            <w:vAlign w:val="center"/>
            <w:hideMark/>
          </w:tcPr>
          <w:p w14:paraId="50A3CF7D"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p>
        </w:tc>
      </w:tr>
      <w:tr w:rsidR="00F74664" w:rsidRPr="00771137" w14:paraId="2C9F2419"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59BBD2CA"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7. Amata vietu skaita izmaiņas</w:t>
            </w:r>
          </w:p>
        </w:tc>
        <w:tc>
          <w:tcPr>
            <w:tcW w:w="7501" w:type="dxa"/>
            <w:gridSpan w:val="7"/>
            <w:tcBorders>
              <w:top w:val="outset" w:sz="6" w:space="0" w:color="auto"/>
              <w:left w:val="outset" w:sz="6" w:space="0" w:color="auto"/>
              <w:bottom w:val="outset" w:sz="6" w:space="0" w:color="auto"/>
              <w:right w:val="outset" w:sz="6" w:space="0" w:color="auto"/>
            </w:tcBorders>
            <w:hideMark/>
          </w:tcPr>
          <w:p w14:paraId="159267A7" w14:textId="21779ACF" w:rsidR="00F74664" w:rsidRPr="00771137" w:rsidRDefault="00F74664" w:rsidP="00F74664">
            <w:pPr>
              <w:pStyle w:val="tv213"/>
              <w:rPr>
                <w:iCs/>
              </w:rPr>
            </w:pPr>
            <w:r w:rsidRPr="00771137">
              <w:t>Netiek plānotas.</w:t>
            </w:r>
          </w:p>
        </w:tc>
      </w:tr>
      <w:tr w:rsidR="00F74664" w:rsidRPr="00771137" w14:paraId="35A07A8F" w14:textId="77777777" w:rsidTr="00C64F2D">
        <w:trPr>
          <w:tblCellSpacing w:w="15" w:type="dxa"/>
        </w:trPr>
        <w:tc>
          <w:tcPr>
            <w:tcW w:w="1464" w:type="dxa"/>
            <w:tcBorders>
              <w:top w:val="outset" w:sz="6" w:space="0" w:color="auto"/>
              <w:left w:val="outset" w:sz="6" w:space="0" w:color="auto"/>
              <w:bottom w:val="outset" w:sz="6" w:space="0" w:color="auto"/>
              <w:right w:val="outset" w:sz="6" w:space="0" w:color="auto"/>
            </w:tcBorders>
            <w:hideMark/>
          </w:tcPr>
          <w:p w14:paraId="70388FEC" w14:textId="77777777" w:rsidR="00F74664" w:rsidRPr="00771137" w:rsidRDefault="00F74664" w:rsidP="00F74664">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8. Cita informācija</w:t>
            </w:r>
          </w:p>
        </w:tc>
        <w:tc>
          <w:tcPr>
            <w:tcW w:w="7501" w:type="dxa"/>
            <w:gridSpan w:val="7"/>
            <w:tcBorders>
              <w:top w:val="outset" w:sz="6" w:space="0" w:color="auto"/>
              <w:left w:val="outset" w:sz="6" w:space="0" w:color="auto"/>
              <w:bottom w:val="outset" w:sz="6" w:space="0" w:color="auto"/>
              <w:right w:val="outset" w:sz="6" w:space="0" w:color="auto"/>
            </w:tcBorders>
            <w:hideMark/>
          </w:tcPr>
          <w:p w14:paraId="1C3BB652" w14:textId="2F63A214" w:rsidR="001367B9" w:rsidRPr="00771137" w:rsidRDefault="001367B9" w:rsidP="0070688B">
            <w:pPr>
              <w:pStyle w:val="tv213"/>
              <w:jc w:val="both"/>
            </w:pPr>
            <w:r w:rsidRPr="00771137">
              <w:t>Precīzi plānot valsts pamatbudžeta ieņēmumus no valsts budžetā ieskaitītajiem konfiscētajiem noziedzīgi iegūtajiem līdzekļiem nav iespējams. Tāpēc plānotie ieņēmumi un izdevumi uzskatāmi par pieņēmumiem.</w:t>
            </w:r>
            <w:r w:rsidR="00107E26" w:rsidRPr="00771137">
              <w:t xml:space="preserve"> </w:t>
            </w:r>
            <w:r w:rsidRPr="00771137">
              <w:t>Vienlaikus, piešķirot attiecīgajām iestādēm finansējumu no Noziedzīgi iegūtu līdzekļu konfiskācijas fonda, īpaši infrastruktūras un materiāltehniskā nodrošinājuma attīstībai, arī valsts budžetā ieskaitīto konfiscēto noziedzīgi iegūto līdzekļu apjoms varētu palielināties.</w:t>
            </w:r>
          </w:p>
          <w:p w14:paraId="455A9571" w14:textId="3D25ACFA" w:rsidR="001367B9" w:rsidRPr="00771137" w:rsidRDefault="00107E26" w:rsidP="0070688B">
            <w:pPr>
              <w:pStyle w:val="tv213"/>
              <w:jc w:val="both"/>
            </w:pPr>
            <w:r w:rsidRPr="00771137">
              <w:t>Lai likumprojekta regulējums, kurā tiek izslēgts budžeta programmai “Noziedzīgi iegūtu līdzekļu konfiskācijas fonds” piešķiramā finansējuma apmēra ierobežojums, neradītu negatīvu fiskālu ietekmi, p</w:t>
            </w:r>
            <w:r w:rsidR="001367B9" w:rsidRPr="00771137">
              <w:t xml:space="preserve">ievienotais Ministru kabineta </w:t>
            </w:r>
            <w:r w:rsidR="00A61581" w:rsidRPr="00771137">
              <w:t xml:space="preserve">sēdes </w:t>
            </w:r>
            <w:r w:rsidR="001367B9" w:rsidRPr="00771137">
              <w:t>protokollēmuma projekts paredz:</w:t>
            </w:r>
          </w:p>
          <w:p w14:paraId="79B0DF64" w14:textId="5D705D00" w:rsidR="001367B9" w:rsidRPr="00771137" w:rsidRDefault="001367B9" w:rsidP="0070688B">
            <w:pPr>
              <w:pStyle w:val="tv213"/>
              <w:jc w:val="both"/>
            </w:pPr>
            <w:r w:rsidRPr="00771137">
              <w:t>1.</w:t>
            </w:r>
            <w:r w:rsidR="00EE648F" w:rsidRPr="00771137">
              <w:t> </w:t>
            </w:r>
            <w:r w:rsidRPr="00771137">
              <w:t>Noteikt, ka kārtējā gada valsts budžeta likumprojektā un likumprojektā par vidēja termiņa budžeta ietvaru Tieslietu ministrijas pamatbudžeta programmā “Noziedzīgi iegūtu līdzekļu konfiskācijas fonds” plānojami resursi ieņēmumiem no maksas pakalpojumiem un citiem pašu ieņēmumiem un izdevumi 2 000</w:t>
            </w:r>
            <w:r w:rsidR="00EE648F" w:rsidRPr="00771137">
              <w:t> </w:t>
            </w:r>
            <w:r w:rsidRPr="00771137">
              <w:t>000</w:t>
            </w:r>
            <w:r w:rsidR="00EE648F" w:rsidRPr="00771137">
              <w:t> </w:t>
            </w:r>
            <w:r w:rsidRPr="00771137">
              <w:rPr>
                <w:i/>
              </w:rPr>
              <w:t>euro</w:t>
            </w:r>
            <w:r w:rsidRPr="00771137">
              <w:t xml:space="preserve"> apmērā ik gadu. </w:t>
            </w:r>
          </w:p>
          <w:p w14:paraId="3C319ECB" w14:textId="41048FC4" w:rsidR="00A61581" w:rsidRPr="00771137" w:rsidRDefault="001367B9" w:rsidP="00A61581">
            <w:pPr>
              <w:tabs>
                <w:tab w:val="left" w:pos="6237"/>
              </w:tabs>
              <w:jc w:val="both"/>
              <w:rPr>
                <w:rFonts w:ascii="Times New Roman" w:hAnsi="Times New Roman" w:cs="Times New Roman"/>
                <w:sz w:val="24"/>
                <w:szCs w:val="24"/>
                <w:lang w:eastAsia="lv-LV"/>
              </w:rPr>
            </w:pPr>
            <w:r w:rsidRPr="00771137">
              <w:rPr>
                <w:rFonts w:ascii="Times New Roman" w:eastAsia="Times New Roman" w:hAnsi="Times New Roman" w:cs="Times New Roman"/>
                <w:sz w:val="24"/>
                <w:szCs w:val="24"/>
                <w:lang w:eastAsia="lv-LV"/>
              </w:rPr>
              <w:t>2.</w:t>
            </w:r>
            <w:r w:rsidR="00EE648F" w:rsidRPr="00771137">
              <w:rPr>
                <w:rFonts w:ascii="Times New Roman" w:eastAsia="Times New Roman" w:hAnsi="Times New Roman" w:cs="Times New Roman"/>
                <w:sz w:val="24"/>
                <w:szCs w:val="24"/>
                <w:lang w:eastAsia="lv-LV"/>
              </w:rPr>
              <w:t> </w:t>
            </w:r>
            <w:r w:rsidR="00A61581" w:rsidRPr="00771137">
              <w:rPr>
                <w:rFonts w:ascii="Times New Roman" w:hAnsi="Times New Roman" w:cs="Times New Roman"/>
                <w:sz w:val="24"/>
                <w:szCs w:val="24"/>
                <w:lang w:eastAsia="lv-LV"/>
              </w:rPr>
              <w:t xml:space="preserve">Finanšu ministrijai </w:t>
            </w:r>
            <w:r w:rsidR="00EC775B" w:rsidRPr="00771137">
              <w:rPr>
                <w:rFonts w:ascii="Times New Roman" w:hAnsi="Times New Roman" w:cs="Times New Roman"/>
                <w:sz w:val="24"/>
                <w:szCs w:val="24"/>
                <w:lang w:eastAsia="lv-LV"/>
              </w:rPr>
              <w:t>2021.</w:t>
            </w:r>
            <w:r w:rsidR="00CA0C3A" w:rsidRPr="00771137">
              <w:rPr>
                <w:rFonts w:ascii="Times New Roman" w:hAnsi="Times New Roman" w:cs="Times New Roman"/>
                <w:sz w:val="24"/>
                <w:szCs w:val="24"/>
                <w:lang w:eastAsia="lv-LV"/>
              </w:rPr>
              <w:t> </w:t>
            </w:r>
            <w:r w:rsidR="00EC775B" w:rsidRPr="00771137">
              <w:rPr>
                <w:rFonts w:ascii="Times New Roman" w:hAnsi="Times New Roman" w:cs="Times New Roman"/>
                <w:sz w:val="24"/>
                <w:szCs w:val="24"/>
                <w:lang w:eastAsia="lv-LV"/>
              </w:rPr>
              <w:t xml:space="preserve">gada un turpmāko </w:t>
            </w:r>
            <w:r w:rsidR="00A61581" w:rsidRPr="00771137">
              <w:rPr>
                <w:rFonts w:ascii="Times New Roman" w:hAnsi="Times New Roman" w:cs="Times New Roman"/>
                <w:sz w:val="24"/>
                <w:szCs w:val="24"/>
                <w:lang w:eastAsia="lv-LV"/>
              </w:rPr>
              <w:t>gad</w:t>
            </w:r>
            <w:r w:rsidR="00EC775B" w:rsidRPr="00771137">
              <w:rPr>
                <w:rFonts w:ascii="Times New Roman" w:hAnsi="Times New Roman" w:cs="Times New Roman"/>
                <w:sz w:val="24"/>
                <w:szCs w:val="24"/>
                <w:lang w:eastAsia="lv-LV"/>
              </w:rPr>
              <w:t>u</w:t>
            </w:r>
            <w:r w:rsidR="00A61581" w:rsidRPr="00771137">
              <w:rPr>
                <w:rFonts w:ascii="Times New Roman" w:hAnsi="Times New Roman" w:cs="Times New Roman"/>
                <w:sz w:val="24"/>
                <w:szCs w:val="24"/>
                <w:lang w:eastAsia="lv-LV"/>
              </w:rPr>
              <w:t xml:space="preserve"> valsts budžeta likumprojektā iekļaut pantu, kas paredz, ja kārtējā gadā faktiskie ieņēmumi no valsts budžetā ieskaitītajiem konfiscētajiem noziedzīgi iegūtajiem līdzekļiem pārsniedz plānoto ieņēmumu apjomu, tad finanšu ministram ir tiesības atbilstoši Ministru kabineta lēmumam, kas pieņemts, izskatot Tieslietu ministrijas priekšlikumus, palielināt Tieslietu ministrijai </w:t>
            </w:r>
            <w:r w:rsidR="00A61581" w:rsidRPr="00771137">
              <w:rPr>
                <w:rFonts w:ascii="Times New Roman" w:hAnsi="Times New Roman" w:cs="Times New Roman"/>
                <w:iCs/>
                <w:sz w:val="24"/>
                <w:szCs w:val="24"/>
                <w:lang w:eastAsia="lv-LV"/>
              </w:rPr>
              <w:t xml:space="preserve">pamatbudžeta programmā “Noziedzīgi iegūtu līdzekļu konfiskācijas fonds” </w:t>
            </w:r>
            <w:r w:rsidR="00A61581" w:rsidRPr="00771137">
              <w:rPr>
                <w:rFonts w:ascii="Times New Roman" w:hAnsi="Times New Roman" w:cs="Times New Roman"/>
                <w:sz w:val="24"/>
                <w:szCs w:val="24"/>
                <w:lang w:eastAsia="lv-LV"/>
              </w:rPr>
              <w:t>apropriāciju resursiem no ieņēmumiem no maksas pakalpojumiem un citiem pašu ieņēmumiem un izdevumiem, ja Saeimas Budžeta un finanšu (nodokļu) komisija piecu darba dienu laikā no attiecīgās informācijas saņemšanas ir to izskatījusi un nav iebildusi pret apropriācijas palielinājumu.</w:t>
            </w:r>
          </w:p>
          <w:p w14:paraId="30DD5FC8" w14:textId="430D39D7" w:rsidR="00E61BA9" w:rsidRPr="00771137" w:rsidRDefault="00E61BA9" w:rsidP="00A61581">
            <w:pPr>
              <w:pStyle w:val="tv213"/>
              <w:spacing w:before="0" w:beforeAutospacing="0" w:after="0" w:afterAutospacing="0"/>
              <w:jc w:val="both"/>
              <w:rPr>
                <w:i/>
              </w:rPr>
            </w:pPr>
            <w:r w:rsidRPr="00771137">
              <w:rPr>
                <w:i/>
              </w:rPr>
              <w:t>Informatīvi:</w:t>
            </w:r>
          </w:p>
          <w:p w14:paraId="369AFB0B" w14:textId="77777777" w:rsidR="00916300" w:rsidRPr="00771137" w:rsidRDefault="00E61BA9" w:rsidP="00A61581">
            <w:pPr>
              <w:pStyle w:val="naisc"/>
              <w:spacing w:before="0" w:after="0"/>
              <w:jc w:val="both"/>
            </w:pPr>
            <w:r w:rsidRPr="00771137">
              <w:t>Saskaņā ar Valsts policijas sniegto informāciju</w:t>
            </w:r>
            <w:r w:rsidR="00916300" w:rsidRPr="00771137">
              <w:t>:</w:t>
            </w:r>
          </w:p>
          <w:p w14:paraId="05F0FF8F" w14:textId="234F7CD6" w:rsidR="00916300" w:rsidRPr="00771137" w:rsidRDefault="00916300" w:rsidP="00A61581">
            <w:pPr>
              <w:pStyle w:val="naisc"/>
              <w:spacing w:before="0" w:after="0"/>
              <w:jc w:val="both"/>
            </w:pPr>
            <w:r w:rsidRPr="00771137">
              <w:t>1.</w:t>
            </w:r>
            <w:r w:rsidR="00EE648F" w:rsidRPr="00771137">
              <w:t> </w:t>
            </w:r>
            <w:r w:rsidR="00E61BA9" w:rsidRPr="00771137">
              <w:t>2019.</w:t>
            </w:r>
            <w:r w:rsidR="00EE648F" w:rsidRPr="00771137">
              <w:t> </w:t>
            </w:r>
            <w:r w:rsidR="00E61BA9" w:rsidRPr="00771137">
              <w:t xml:space="preserve">gada </w:t>
            </w:r>
            <w:r w:rsidR="00EE648F" w:rsidRPr="00771137">
              <w:t xml:space="preserve">septiņos </w:t>
            </w:r>
            <w:r w:rsidR="00E61BA9" w:rsidRPr="00771137">
              <w:t>mēnešos ar tiesas lēmumiem tika atzīti par noziedzīgi iegūtiem 14</w:t>
            </w:r>
            <w:r w:rsidR="00EE648F" w:rsidRPr="00771137">
              <w:t> </w:t>
            </w:r>
            <w:r w:rsidR="00E61BA9" w:rsidRPr="00771137">
              <w:t>676</w:t>
            </w:r>
            <w:r w:rsidR="00EE648F" w:rsidRPr="00771137">
              <w:t> </w:t>
            </w:r>
            <w:r w:rsidR="00E61BA9" w:rsidRPr="00771137">
              <w:t>556,49</w:t>
            </w:r>
            <w:r w:rsidR="00EE648F" w:rsidRPr="00771137">
              <w:t> </w:t>
            </w:r>
            <w:r w:rsidR="00E61BA9" w:rsidRPr="00771137">
              <w:rPr>
                <w:i/>
              </w:rPr>
              <w:t>euro</w:t>
            </w:r>
            <w:r w:rsidR="00E61BA9" w:rsidRPr="00771137">
              <w:t xml:space="preserve"> (t.sk. valsts budžetā </w:t>
            </w:r>
            <w:r w:rsidR="00EE648F" w:rsidRPr="00771137">
              <w:t>–</w:t>
            </w:r>
            <w:r w:rsidR="00E61BA9" w:rsidRPr="00771137">
              <w:t xml:space="preserve"> 10</w:t>
            </w:r>
            <w:r w:rsidR="00EE648F" w:rsidRPr="00771137">
              <w:t> </w:t>
            </w:r>
            <w:r w:rsidR="00E61BA9" w:rsidRPr="00771137">
              <w:t>910</w:t>
            </w:r>
            <w:r w:rsidR="00EE648F" w:rsidRPr="00771137">
              <w:t> </w:t>
            </w:r>
            <w:r w:rsidR="00E61BA9" w:rsidRPr="00771137">
              <w:t>261</w:t>
            </w:r>
            <w:r w:rsidR="00EE648F" w:rsidRPr="00771137">
              <w:t> </w:t>
            </w:r>
            <w:r w:rsidR="00E61BA9" w:rsidRPr="00771137">
              <w:rPr>
                <w:i/>
              </w:rPr>
              <w:t>euro</w:t>
            </w:r>
            <w:r w:rsidR="00E61BA9" w:rsidRPr="00771137">
              <w:t xml:space="preserve">), bet arestu uzlikšanas laiki bija dažādi, pārsvara pirms aptuveni </w:t>
            </w:r>
            <w:r w:rsidR="00EE648F" w:rsidRPr="00771137">
              <w:t xml:space="preserve">diviem </w:t>
            </w:r>
            <w:r w:rsidR="00E61BA9" w:rsidRPr="00771137">
              <w:t>gadiem, jo tas ir vidējais termiņš no aresta uzlikšanas līdz lēmuma pieņemšanai par atzīšanu par noziedzīgi iegūtu.</w:t>
            </w:r>
          </w:p>
          <w:p w14:paraId="02F15693" w14:textId="6A96217A" w:rsidR="00916300" w:rsidRPr="00771137" w:rsidRDefault="00916300" w:rsidP="00A61581">
            <w:pPr>
              <w:pStyle w:val="naisc"/>
              <w:spacing w:before="0" w:after="0"/>
              <w:jc w:val="both"/>
            </w:pPr>
            <w:r w:rsidRPr="00771137">
              <w:t>2.</w:t>
            </w:r>
            <w:r w:rsidR="00EE648F" w:rsidRPr="00771137">
              <w:t> </w:t>
            </w:r>
            <w:r w:rsidRPr="00771137">
              <w:t>2018.</w:t>
            </w:r>
            <w:r w:rsidR="00EE648F" w:rsidRPr="00771137">
              <w:t> </w:t>
            </w:r>
            <w:r w:rsidRPr="00771137">
              <w:t xml:space="preserve">gadā pieņemti tiesas </w:t>
            </w:r>
            <w:r w:rsidR="002571DA" w:rsidRPr="00771137">
              <w:t>no</w:t>
            </w:r>
            <w:r w:rsidRPr="00771137">
              <w:t>lēmumi par to, ka valsts budžetā ieskaitāmi – 4,7</w:t>
            </w:r>
            <w:r w:rsidR="00EE648F" w:rsidRPr="00771137">
              <w:t> </w:t>
            </w:r>
            <w:r w:rsidRPr="00771137">
              <w:t>milj.</w:t>
            </w:r>
            <w:r w:rsidR="00EE648F" w:rsidRPr="00771137">
              <w:t xml:space="preserve"> </w:t>
            </w:r>
            <w:r w:rsidRPr="00771137">
              <w:rPr>
                <w:i/>
              </w:rPr>
              <w:t>euro</w:t>
            </w:r>
            <w:r w:rsidRPr="00771137">
              <w:t>, bet 2019.</w:t>
            </w:r>
            <w:r w:rsidR="00EE648F" w:rsidRPr="00771137">
              <w:t> </w:t>
            </w:r>
            <w:r w:rsidRPr="00771137">
              <w:t xml:space="preserve">gada </w:t>
            </w:r>
            <w:r w:rsidR="00EE648F" w:rsidRPr="00771137">
              <w:t xml:space="preserve">septiņos </w:t>
            </w:r>
            <w:r w:rsidRPr="00771137">
              <w:t>mēnešos – 10,9</w:t>
            </w:r>
            <w:r w:rsidR="00EE648F" w:rsidRPr="00771137">
              <w:t> </w:t>
            </w:r>
            <w:r w:rsidRPr="00771137">
              <w:t>milj.</w:t>
            </w:r>
            <w:r w:rsidR="00EE648F" w:rsidRPr="00771137">
              <w:t xml:space="preserve"> </w:t>
            </w:r>
            <w:r w:rsidRPr="00771137">
              <w:rPr>
                <w:i/>
              </w:rPr>
              <w:t>euro</w:t>
            </w:r>
            <w:r w:rsidR="0003501E" w:rsidRPr="00771137">
              <w:t>.</w:t>
            </w:r>
          </w:p>
          <w:p w14:paraId="44F63D75" w14:textId="1A324802" w:rsidR="00F74664" w:rsidRPr="00771137" w:rsidRDefault="00916300" w:rsidP="007C2D18">
            <w:pPr>
              <w:pStyle w:val="naisc"/>
              <w:spacing w:before="0" w:after="0"/>
              <w:jc w:val="both"/>
            </w:pPr>
            <w:r w:rsidRPr="00771137">
              <w:lastRenderedPageBreak/>
              <w:t>2.</w:t>
            </w:r>
            <w:r w:rsidR="00EE648F" w:rsidRPr="00771137">
              <w:t> </w:t>
            </w:r>
            <w:r w:rsidR="0070688B" w:rsidRPr="00771137">
              <w:t xml:space="preserve">Saskaņā ar Valsts policijas sniegto informāciju, pieņemts lēmums par aresta uzlikšanu </w:t>
            </w:r>
            <w:r w:rsidRPr="00771137">
              <w:t>mantai: 2016.</w:t>
            </w:r>
            <w:r w:rsidR="00EE648F" w:rsidRPr="00771137">
              <w:t> </w:t>
            </w:r>
            <w:r w:rsidRPr="00771137">
              <w:t>gadā- 23,7</w:t>
            </w:r>
            <w:r w:rsidR="00EE648F" w:rsidRPr="00771137">
              <w:t> </w:t>
            </w:r>
            <w:r w:rsidRPr="00771137">
              <w:t>milj.</w:t>
            </w:r>
            <w:r w:rsidR="00EE648F" w:rsidRPr="00771137">
              <w:t xml:space="preserve"> </w:t>
            </w:r>
            <w:r w:rsidRPr="00771137">
              <w:rPr>
                <w:i/>
              </w:rPr>
              <w:t>euro</w:t>
            </w:r>
            <w:r w:rsidRPr="00771137">
              <w:t>, 2017.</w:t>
            </w:r>
            <w:r w:rsidR="00EE648F" w:rsidRPr="00771137">
              <w:t> </w:t>
            </w:r>
            <w:r w:rsidRPr="00771137">
              <w:t>gadā – 68,7</w:t>
            </w:r>
            <w:r w:rsidR="00EE648F" w:rsidRPr="00771137">
              <w:t> </w:t>
            </w:r>
            <w:r w:rsidRPr="00771137">
              <w:t>milj.</w:t>
            </w:r>
            <w:r w:rsidR="00BC6EBF" w:rsidRPr="00771137">
              <w:t xml:space="preserve"> </w:t>
            </w:r>
            <w:r w:rsidRPr="00771137">
              <w:rPr>
                <w:i/>
              </w:rPr>
              <w:t>euro</w:t>
            </w:r>
            <w:r w:rsidRPr="00771137">
              <w:t>, 2018.</w:t>
            </w:r>
            <w:r w:rsidR="00EE648F" w:rsidRPr="00771137">
              <w:t> </w:t>
            </w:r>
            <w:r w:rsidRPr="00771137">
              <w:t>gadā – 97,2</w:t>
            </w:r>
            <w:r w:rsidR="00EE648F" w:rsidRPr="00771137">
              <w:t> </w:t>
            </w:r>
            <w:r w:rsidRPr="00771137">
              <w:t>milj.</w:t>
            </w:r>
            <w:r w:rsidR="00EE648F" w:rsidRPr="00771137">
              <w:t xml:space="preserve"> </w:t>
            </w:r>
            <w:r w:rsidRPr="00771137">
              <w:rPr>
                <w:i/>
              </w:rPr>
              <w:t>euro</w:t>
            </w:r>
            <w:r w:rsidRPr="00771137">
              <w:t xml:space="preserve">, 2019.gada </w:t>
            </w:r>
            <w:r w:rsidR="00EE648F" w:rsidRPr="00771137">
              <w:t xml:space="preserve">septiņos </w:t>
            </w:r>
            <w:r w:rsidRPr="00771137">
              <w:t>mēnešos – 118</w:t>
            </w:r>
            <w:r w:rsidR="00EE648F" w:rsidRPr="00771137">
              <w:t> </w:t>
            </w:r>
            <w:r w:rsidRPr="00771137">
              <w:t xml:space="preserve">761 489 </w:t>
            </w:r>
            <w:r w:rsidRPr="00771137">
              <w:rPr>
                <w:i/>
              </w:rPr>
              <w:t>euro</w:t>
            </w:r>
            <w:r w:rsidRPr="00771137">
              <w:t xml:space="preserve"> apmērā.</w:t>
            </w:r>
          </w:p>
        </w:tc>
      </w:tr>
    </w:tbl>
    <w:p w14:paraId="321CBE42" w14:textId="240D0437" w:rsidR="00520980" w:rsidRPr="00771137" w:rsidRDefault="0052098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1493F" w:rsidRPr="00771137" w14:paraId="217FCE75" w14:textId="77777777" w:rsidTr="006B7C7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290A5F" w14:textId="77777777" w:rsidR="004A2757" w:rsidRPr="00771137" w:rsidRDefault="004A2757" w:rsidP="006B7C78">
            <w:pPr>
              <w:spacing w:after="0" w:line="240" w:lineRule="auto"/>
              <w:rPr>
                <w:rFonts w:ascii="Times New Roman" w:eastAsia="Times New Roman" w:hAnsi="Times New Roman" w:cs="Times New Roman"/>
                <w:b/>
                <w:bCs/>
                <w:iCs/>
                <w:sz w:val="24"/>
                <w:szCs w:val="24"/>
                <w:lang w:eastAsia="lv-LV"/>
              </w:rPr>
            </w:pPr>
            <w:r w:rsidRPr="00771137">
              <w:rPr>
                <w:rFonts w:ascii="Times New Roman" w:eastAsia="Times New Roman" w:hAnsi="Times New Roman" w:cs="Times New Roman"/>
                <w:b/>
                <w:bCs/>
                <w:iCs/>
                <w:sz w:val="24"/>
                <w:szCs w:val="24"/>
                <w:lang w:eastAsia="lv-LV"/>
              </w:rPr>
              <w:t>IV. Tiesību akta projekta ietekme uz spēkā esošo tiesību normu sistēmu</w:t>
            </w:r>
          </w:p>
        </w:tc>
      </w:tr>
      <w:tr w:rsidR="0071493F" w:rsidRPr="00771137" w14:paraId="0AC0969A" w14:textId="77777777" w:rsidTr="00C13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202037" w14:textId="77777777" w:rsidR="004A2757" w:rsidRPr="00771137" w:rsidRDefault="004A2757" w:rsidP="006B7C78">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E80C348" w14:textId="77777777" w:rsidR="004A2757" w:rsidRPr="00771137" w:rsidRDefault="004A2757" w:rsidP="006B7C78">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85E3408" w14:textId="10697474" w:rsidR="004A2757" w:rsidRPr="00771137" w:rsidRDefault="002639FA" w:rsidP="007E70B0">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BB6460" w:rsidRPr="00771137">
              <w:rPr>
                <w:rFonts w:ascii="Times New Roman" w:eastAsia="Times New Roman" w:hAnsi="Times New Roman" w:cs="Times New Roman"/>
                <w:iCs/>
                <w:sz w:val="24"/>
                <w:szCs w:val="24"/>
                <w:lang w:eastAsia="lv-LV"/>
              </w:rPr>
              <w:t>L</w:t>
            </w:r>
            <w:r w:rsidR="007E70B0" w:rsidRPr="00771137">
              <w:rPr>
                <w:rFonts w:ascii="Times New Roman" w:eastAsia="Times New Roman" w:hAnsi="Times New Roman" w:cs="Times New Roman"/>
                <w:iCs/>
                <w:sz w:val="24"/>
                <w:szCs w:val="24"/>
                <w:lang w:eastAsia="lv-LV"/>
              </w:rPr>
              <w:t>ikumprojekts paredz</w:t>
            </w:r>
            <w:r w:rsidRPr="00771137">
              <w:rPr>
                <w:rFonts w:ascii="Times New Roman" w:eastAsia="Times New Roman" w:hAnsi="Times New Roman" w:cs="Times New Roman"/>
                <w:iCs/>
                <w:sz w:val="24"/>
                <w:szCs w:val="24"/>
                <w:lang w:eastAsia="lv-LV"/>
              </w:rPr>
              <w:t xml:space="preserve"> </w:t>
            </w:r>
            <w:r w:rsidR="007E70B0" w:rsidRPr="00771137">
              <w:rPr>
                <w:rFonts w:ascii="Times New Roman" w:eastAsia="Times New Roman" w:hAnsi="Times New Roman" w:cs="Times New Roman"/>
                <w:iCs/>
                <w:sz w:val="24"/>
                <w:szCs w:val="24"/>
                <w:lang w:eastAsia="lv-LV"/>
              </w:rPr>
              <w:t xml:space="preserve">novirzīt Tieslietu ministrijas pamatbudžeta programmā pusi no visiem valsts budžetā ieskaitītajiem konfiscētajiem noziedzīgi iegūtajiem līdzekļiem, nenosakot novirzāmo līdzekļu maksimālo apmēru, </w:t>
            </w:r>
            <w:r w:rsidR="00F85137" w:rsidRPr="00771137">
              <w:rPr>
                <w:rFonts w:ascii="Times New Roman" w:eastAsia="Times New Roman" w:hAnsi="Times New Roman" w:cs="Times New Roman"/>
                <w:iCs/>
                <w:sz w:val="24"/>
                <w:szCs w:val="24"/>
                <w:lang w:eastAsia="lv-LV"/>
              </w:rPr>
              <w:t xml:space="preserve">tādējādi </w:t>
            </w:r>
            <w:r w:rsidR="007E70B0" w:rsidRPr="00771137">
              <w:rPr>
                <w:rFonts w:ascii="Times New Roman" w:eastAsia="Times New Roman" w:hAnsi="Times New Roman" w:cs="Times New Roman"/>
                <w:iCs/>
                <w:sz w:val="24"/>
                <w:szCs w:val="24"/>
                <w:lang w:eastAsia="lv-LV"/>
              </w:rPr>
              <w:t>nepieciešams izdarīt attiecīgu grozījumu</w:t>
            </w:r>
            <w:r w:rsidR="00535CC7" w:rsidRPr="00771137">
              <w:rPr>
                <w:rFonts w:ascii="Times New Roman" w:eastAsia="Times New Roman" w:hAnsi="Times New Roman" w:cs="Times New Roman"/>
                <w:iCs/>
                <w:sz w:val="24"/>
                <w:szCs w:val="24"/>
                <w:lang w:eastAsia="lv-LV"/>
              </w:rPr>
              <w:t xml:space="preserve"> arī</w:t>
            </w:r>
            <w:r w:rsidR="007E70B0" w:rsidRPr="00771137">
              <w:rPr>
                <w:rFonts w:ascii="Times New Roman" w:eastAsia="Times New Roman" w:hAnsi="Times New Roman" w:cs="Times New Roman"/>
                <w:iCs/>
                <w:sz w:val="24"/>
                <w:szCs w:val="24"/>
                <w:lang w:eastAsia="lv-LV"/>
              </w:rPr>
              <w:t xml:space="preserve"> Noteikumu Nr.</w:t>
            </w:r>
            <w:r w:rsidR="007E3A39" w:rsidRPr="00771137">
              <w:rPr>
                <w:rFonts w:ascii="Times New Roman" w:eastAsia="Times New Roman" w:hAnsi="Times New Roman" w:cs="Times New Roman"/>
                <w:iCs/>
                <w:sz w:val="24"/>
                <w:szCs w:val="24"/>
                <w:lang w:eastAsia="lv-LV"/>
              </w:rPr>
              <w:t> </w:t>
            </w:r>
            <w:r w:rsidR="007E70B0" w:rsidRPr="00771137">
              <w:rPr>
                <w:rFonts w:ascii="Times New Roman" w:eastAsia="Times New Roman" w:hAnsi="Times New Roman" w:cs="Times New Roman"/>
                <w:iCs/>
                <w:sz w:val="24"/>
                <w:szCs w:val="24"/>
                <w:lang w:eastAsia="lv-LV"/>
              </w:rPr>
              <w:t>769 3.punktā.</w:t>
            </w:r>
          </w:p>
          <w:p w14:paraId="40FED1BA" w14:textId="2AE05EDC" w:rsidR="00E91DE1" w:rsidRPr="00771137" w:rsidRDefault="002639FA" w:rsidP="00D302B6">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   </w:t>
            </w:r>
            <w:r w:rsidR="00E91DE1" w:rsidRPr="00771137">
              <w:rPr>
                <w:rFonts w:ascii="Times New Roman" w:eastAsia="Times New Roman" w:hAnsi="Times New Roman" w:cs="Times New Roman"/>
                <w:iCs/>
                <w:sz w:val="24"/>
                <w:szCs w:val="24"/>
                <w:lang w:eastAsia="lv-LV"/>
              </w:rPr>
              <w:t>Noteikumu Nr.</w:t>
            </w:r>
            <w:r w:rsidR="007E3A39" w:rsidRPr="00771137">
              <w:rPr>
                <w:rFonts w:ascii="Times New Roman" w:eastAsia="Times New Roman" w:hAnsi="Times New Roman" w:cs="Times New Roman"/>
                <w:iCs/>
                <w:sz w:val="24"/>
                <w:szCs w:val="24"/>
                <w:lang w:eastAsia="lv-LV"/>
              </w:rPr>
              <w:t> </w:t>
            </w:r>
            <w:r w:rsidR="00E91DE1" w:rsidRPr="00771137">
              <w:rPr>
                <w:rFonts w:ascii="Times New Roman" w:eastAsia="Times New Roman" w:hAnsi="Times New Roman" w:cs="Times New Roman"/>
                <w:iCs/>
                <w:sz w:val="24"/>
                <w:szCs w:val="24"/>
                <w:lang w:eastAsia="lv-LV"/>
              </w:rPr>
              <w:t>769 8.</w:t>
            </w:r>
            <w:r w:rsidR="007E3A39" w:rsidRPr="00771137">
              <w:rPr>
                <w:rFonts w:ascii="Times New Roman" w:eastAsia="Times New Roman" w:hAnsi="Times New Roman" w:cs="Times New Roman"/>
                <w:iCs/>
                <w:sz w:val="24"/>
                <w:szCs w:val="24"/>
                <w:lang w:eastAsia="lv-LV"/>
              </w:rPr>
              <w:t> </w:t>
            </w:r>
            <w:r w:rsidR="00E91DE1" w:rsidRPr="00771137">
              <w:rPr>
                <w:rFonts w:ascii="Times New Roman" w:eastAsia="Times New Roman" w:hAnsi="Times New Roman" w:cs="Times New Roman"/>
                <w:iCs/>
                <w:sz w:val="24"/>
                <w:szCs w:val="24"/>
                <w:lang w:eastAsia="lv-LV"/>
              </w:rPr>
              <w:t>punkts nosaka, ka pasākuma īsteno</w:t>
            </w:r>
            <w:r w:rsidR="007E3A39" w:rsidRPr="00771137">
              <w:rPr>
                <w:rFonts w:ascii="Times New Roman" w:eastAsia="Times New Roman" w:hAnsi="Times New Roman" w:cs="Times New Roman"/>
                <w:iCs/>
                <w:sz w:val="24"/>
                <w:szCs w:val="24"/>
                <w:lang w:eastAsia="lv-LV"/>
              </w:rPr>
              <w:t>šanas termiņš nav ilgāks par 12 </w:t>
            </w:r>
            <w:r w:rsidR="00E91DE1" w:rsidRPr="00771137">
              <w:rPr>
                <w:rFonts w:ascii="Times New Roman" w:eastAsia="Times New Roman" w:hAnsi="Times New Roman" w:cs="Times New Roman"/>
                <w:iCs/>
                <w:sz w:val="24"/>
                <w:szCs w:val="24"/>
                <w:lang w:eastAsia="lv-LV"/>
              </w:rPr>
              <w:t>mēnešiem no līdzekļu saņemšanas dienas. Ņemot vērā</w:t>
            </w:r>
            <w:r w:rsidR="002A178F" w:rsidRPr="00771137">
              <w:rPr>
                <w:rFonts w:ascii="Times New Roman" w:eastAsia="Times New Roman" w:hAnsi="Times New Roman" w:cs="Times New Roman"/>
                <w:iCs/>
                <w:sz w:val="24"/>
                <w:szCs w:val="24"/>
                <w:lang w:eastAsia="lv-LV"/>
              </w:rPr>
              <w:t xml:space="preserve"> to</w:t>
            </w:r>
            <w:r w:rsidR="00E91DE1" w:rsidRPr="00771137">
              <w:rPr>
                <w:rFonts w:ascii="Times New Roman" w:eastAsia="Times New Roman" w:hAnsi="Times New Roman" w:cs="Times New Roman"/>
                <w:iCs/>
                <w:sz w:val="24"/>
                <w:szCs w:val="24"/>
                <w:lang w:eastAsia="lv-LV"/>
              </w:rPr>
              <w:t xml:space="preserve">, ka likumprojekts </w:t>
            </w:r>
            <w:r w:rsidR="002A178F" w:rsidRPr="00771137">
              <w:rPr>
                <w:rFonts w:ascii="Times New Roman" w:eastAsia="Times New Roman" w:hAnsi="Times New Roman" w:cs="Times New Roman"/>
                <w:iCs/>
                <w:sz w:val="24"/>
                <w:szCs w:val="24"/>
                <w:lang w:eastAsia="lv-LV"/>
              </w:rPr>
              <w:t xml:space="preserve">paredz atcelt ierobežojumu ieskaitīt fondā finansējumu, kas pārsniegtu divus miljonus </w:t>
            </w:r>
            <w:r w:rsidR="002A178F" w:rsidRPr="00771137">
              <w:rPr>
                <w:rFonts w:ascii="Times New Roman" w:eastAsia="Times New Roman" w:hAnsi="Times New Roman" w:cs="Times New Roman"/>
                <w:i/>
                <w:iCs/>
                <w:sz w:val="24"/>
                <w:szCs w:val="24"/>
                <w:lang w:eastAsia="lv-LV"/>
              </w:rPr>
              <w:t>euro</w:t>
            </w:r>
            <w:r w:rsidR="002A178F" w:rsidRPr="00771137">
              <w:rPr>
                <w:rFonts w:ascii="Times New Roman" w:eastAsia="Times New Roman" w:hAnsi="Times New Roman" w:cs="Times New Roman"/>
                <w:iCs/>
                <w:sz w:val="24"/>
                <w:szCs w:val="24"/>
                <w:lang w:eastAsia="lv-LV"/>
              </w:rPr>
              <w:t xml:space="preserve"> saimnieciskajā gadā, tādejādi veicinot iespēju ieskaitīt fondā pusi no visiem (virsplāna) ieņēmumiem, ir </w:t>
            </w:r>
            <w:r w:rsidR="00D302B6" w:rsidRPr="00771137">
              <w:rPr>
                <w:rFonts w:ascii="Times New Roman" w:eastAsia="Times New Roman" w:hAnsi="Times New Roman" w:cs="Times New Roman"/>
                <w:iCs/>
                <w:sz w:val="24"/>
                <w:szCs w:val="24"/>
                <w:lang w:eastAsia="lv-LV"/>
              </w:rPr>
              <w:t>vajadzīgs</w:t>
            </w:r>
            <w:r w:rsidR="002A178F" w:rsidRPr="00771137">
              <w:rPr>
                <w:rFonts w:ascii="Times New Roman" w:eastAsia="Times New Roman" w:hAnsi="Times New Roman" w:cs="Times New Roman"/>
                <w:iCs/>
                <w:sz w:val="24"/>
                <w:szCs w:val="24"/>
                <w:lang w:eastAsia="lv-LV"/>
              </w:rPr>
              <w:t xml:space="preserve"> izvērtējums par nepieciešamību pagarināt pasākumu, kas tiek finansēti no fonda, īstenošanas laiku. Ievērojot minēto, būtu izvērtējama nepieciešamība veikt grozījumus Noteikumos Nr.</w:t>
            </w:r>
            <w:r w:rsidR="007E3A39" w:rsidRPr="00771137">
              <w:rPr>
                <w:rFonts w:ascii="Times New Roman" w:eastAsia="Times New Roman" w:hAnsi="Times New Roman" w:cs="Times New Roman"/>
                <w:iCs/>
                <w:sz w:val="24"/>
                <w:szCs w:val="24"/>
                <w:lang w:eastAsia="lv-LV"/>
              </w:rPr>
              <w:t> </w:t>
            </w:r>
            <w:r w:rsidR="002A178F" w:rsidRPr="00771137">
              <w:rPr>
                <w:rFonts w:ascii="Times New Roman" w:eastAsia="Times New Roman" w:hAnsi="Times New Roman" w:cs="Times New Roman"/>
                <w:iCs/>
                <w:sz w:val="24"/>
                <w:szCs w:val="24"/>
                <w:lang w:eastAsia="lv-LV"/>
              </w:rPr>
              <w:t xml:space="preserve">769.  </w:t>
            </w:r>
            <w:r w:rsidR="00E91DE1" w:rsidRPr="00771137">
              <w:rPr>
                <w:rFonts w:ascii="Times New Roman" w:eastAsia="Times New Roman" w:hAnsi="Times New Roman" w:cs="Times New Roman"/>
                <w:iCs/>
                <w:sz w:val="24"/>
                <w:szCs w:val="24"/>
                <w:lang w:eastAsia="lv-LV"/>
              </w:rPr>
              <w:t xml:space="preserve">Par </w:t>
            </w:r>
            <w:r w:rsidR="002A178F" w:rsidRPr="00771137">
              <w:rPr>
                <w:rFonts w:ascii="Times New Roman" w:eastAsia="Times New Roman" w:hAnsi="Times New Roman" w:cs="Times New Roman"/>
                <w:iCs/>
                <w:sz w:val="24"/>
                <w:szCs w:val="24"/>
                <w:lang w:eastAsia="lv-LV"/>
              </w:rPr>
              <w:t>iepriekš minēto</w:t>
            </w:r>
            <w:r w:rsidR="00E91DE1" w:rsidRPr="00771137">
              <w:rPr>
                <w:rFonts w:ascii="Times New Roman" w:eastAsia="Times New Roman" w:hAnsi="Times New Roman" w:cs="Times New Roman"/>
                <w:iCs/>
                <w:sz w:val="24"/>
                <w:szCs w:val="24"/>
                <w:lang w:eastAsia="lv-LV"/>
              </w:rPr>
              <w:t xml:space="preserve"> vienošanās tiks panākta grozījumu Noteikumos Nr.</w:t>
            </w:r>
            <w:r w:rsidR="007E3A39" w:rsidRPr="00771137">
              <w:rPr>
                <w:rFonts w:ascii="Times New Roman" w:eastAsia="Times New Roman" w:hAnsi="Times New Roman" w:cs="Times New Roman"/>
                <w:iCs/>
                <w:sz w:val="24"/>
                <w:szCs w:val="24"/>
                <w:lang w:eastAsia="lv-LV"/>
              </w:rPr>
              <w:t xml:space="preserve"> 769 </w:t>
            </w:r>
            <w:r w:rsidR="00E91DE1" w:rsidRPr="00771137">
              <w:rPr>
                <w:rFonts w:ascii="Times New Roman" w:eastAsia="Times New Roman" w:hAnsi="Times New Roman" w:cs="Times New Roman"/>
                <w:iCs/>
                <w:sz w:val="24"/>
                <w:szCs w:val="24"/>
                <w:lang w:eastAsia="lv-LV"/>
              </w:rPr>
              <w:t>projekta sagatavošanas laikā, izvērtējot reālos preču, pakalpojumu vai darbu izpildes termiņus no brīža, kad piešķirts finansējums.</w:t>
            </w:r>
            <w:r w:rsidR="002A178F" w:rsidRPr="00771137" w:rsidDel="002A178F">
              <w:rPr>
                <w:rFonts w:ascii="Times New Roman" w:eastAsia="Times New Roman" w:hAnsi="Times New Roman" w:cs="Times New Roman"/>
                <w:iCs/>
                <w:sz w:val="24"/>
                <w:szCs w:val="24"/>
                <w:lang w:eastAsia="lv-LV"/>
              </w:rPr>
              <w:t xml:space="preserve"> </w:t>
            </w:r>
          </w:p>
        </w:tc>
      </w:tr>
      <w:tr w:rsidR="0071493F" w:rsidRPr="00771137" w14:paraId="63FFFAF3" w14:textId="77777777" w:rsidTr="00C13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5E571B" w14:textId="77777777" w:rsidR="004A2757" w:rsidRPr="00771137" w:rsidRDefault="004A2757" w:rsidP="006B7C78">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407362" w14:textId="77777777" w:rsidR="004A2757" w:rsidRPr="00771137" w:rsidRDefault="004A2757" w:rsidP="006B7C78">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6A9768DD" w14:textId="587AC703" w:rsidR="004A2757" w:rsidRPr="00771137" w:rsidRDefault="004A2757" w:rsidP="00096B31">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Iekšlietu ministrija</w:t>
            </w:r>
            <w:r w:rsidR="00FC4C67" w:rsidRPr="00771137">
              <w:rPr>
                <w:rFonts w:ascii="Times New Roman" w:eastAsia="Times New Roman" w:hAnsi="Times New Roman" w:cs="Times New Roman"/>
                <w:iCs/>
                <w:sz w:val="24"/>
                <w:szCs w:val="24"/>
                <w:lang w:eastAsia="lv-LV"/>
              </w:rPr>
              <w:t>.</w:t>
            </w:r>
          </w:p>
          <w:p w14:paraId="4D9EE690" w14:textId="77777777" w:rsidR="00156E35" w:rsidRPr="00771137" w:rsidRDefault="00156E35" w:rsidP="00096B31">
            <w:pPr>
              <w:spacing w:after="0" w:line="240" w:lineRule="auto"/>
              <w:rPr>
                <w:rFonts w:ascii="Times New Roman" w:eastAsia="Times New Roman" w:hAnsi="Times New Roman" w:cs="Times New Roman"/>
                <w:iCs/>
                <w:sz w:val="24"/>
                <w:szCs w:val="24"/>
                <w:lang w:eastAsia="lv-LV"/>
              </w:rPr>
            </w:pPr>
          </w:p>
        </w:tc>
      </w:tr>
      <w:tr w:rsidR="0071493F" w:rsidRPr="00771137" w14:paraId="191A4582" w14:textId="77777777" w:rsidTr="00C130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4B37E8" w14:textId="77777777" w:rsidR="004A2757" w:rsidRPr="00771137" w:rsidRDefault="004A2757" w:rsidP="006B7C78">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ACB43E" w14:textId="77777777" w:rsidR="004A2757" w:rsidRPr="00771137" w:rsidRDefault="004A2757" w:rsidP="006B7C78">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A8B9D31" w14:textId="7931B440" w:rsidR="00156E35" w:rsidRPr="00771137" w:rsidRDefault="004A2757" w:rsidP="00156E35">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Nav</w:t>
            </w:r>
            <w:r w:rsidR="00FC4C67" w:rsidRPr="00771137">
              <w:rPr>
                <w:rFonts w:ascii="Times New Roman" w:eastAsia="Times New Roman" w:hAnsi="Times New Roman" w:cs="Times New Roman"/>
                <w:iCs/>
                <w:sz w:val="24"/>
                <w:szCs w:val="24"/>
                <w:lang w:eastAsia="lv-LV"/>
              </w:rPr>
              <w:t>.</w:t>
            </w:r>
          </w:p>
        </w:tc>
      </w:tr>
    </w:tbl>
    <w:p w14:paraId="1FE94480" w14:textId="7148CB41" w:rsidR="00E5323B" w:rsidRPr="0077113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1493F" w:rsidRPr="00771137" w14:paraId="34E5EE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5A5C9" w14:textId="77777777" w:rsidR="00655F2C" w:rsidRPr="00771137" w:rsidRDefault="00E5323B" w:rsidP="00E5323B">
            <w:pPr>
              <w:spacing w:after="0" w:line="240" w:lineRule="auto"/>
              <w:rPr>
                <w:rFonts w:ascii="Times New Roman" w:eastAsia="Times New Roman" w:hAnsi="Times New Roman" w:cs="Times New Roman"/>
                <w:b/>
                <w:bCs/>
                <w:iCs/>
                <w:sz w:val="24"/>
                <w:szCs w:val="24"/>
                <w:lang w:eastAsia="lv-LV"/>
              </w:rPr>
            </w:pPr>
            <w:r w:rsidRPr="0077113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1493F" w:rsidRPr="00771137" w14:paraId="5F189444" w14:textId="77777777" w:rsidTr="00B773EC">
        <w:trPr>
          <w:trHeight w:val="213"/>
          <w:tblCellSpacing w:w="15" w:type="dxa"/>
        </w:trPr>
        <w:tc>
          <w:tcPr>
            <w:tcW w:w="4967" w:type="pct"/>
            <w:tcBorders>
              <w:top w:val="outset" w:sz="6" w:space="0" w:color="auto"/>
              <w:left w:val="outset" w:sz="6" w:space="0" w:color="auto"/>
              <w:right w:val="outset" w:sz="6" w:space="0" w:color="auto"/>
            </w:tcBorders>
            <w:hideMark/>
          </w:tcPr>
          <w:p w14:paraId="73F02717" w14:textId="77777777" w:rsidR="00B773EC" w:rsidRPr="00771137" w:rsidRDefault="00B773EC" w:rsidP="00B773EC">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Likumprojekts šo jomu neskar.</w:t>
            </w:r>
          </w:p>
        </w:tc>
      </w:tr>
    </w:tbl>
    <w:p w14:paraId="4CFCD8BB" w14:textId="3BAF2F4D"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34409" w:rsidRPr="00771137" w14:paraId="141A3E15" w14:textId="77777777" w:rsidTr="005F6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EB3F4" w14:textId="77777777" w:rsidR="00F34409" w:rsidRPr="00771137" w:rsidRDefault="00F34409" w:rsidP="005F6B1A">
            <w:pPr>
              <w:spacing w:after="0" w:line="240" w:lineRule="auto"/>
              <w:rPr>
                <w:rFonts w:ascii="Times New Roman" w:eastAsia="Times New Roman" w:hAnsi="Times New Roman" w:cs="Times New Roman"/>
                <w:b/>
                <w:bCs/>
                <w:iCs/>
                <w:sz w:val="24"/>
                <w:szCs w:val="24"/>
                <w:lang w:eastAsia="lv-LV"/>
              </w:rPr>
            </w:pPr>
            <w:r w:rsidRPr="00771137">
              <w:rPr>
                <w:rFonts w:ascii="Times New Roman" w:eastAsia="Times New Roman" w:hAnsi="Times New Roman" w:cs="Times New Roman"/>
                <w:b/>
                <w:bCs/>
                <w:iCs/>
                <w:sz w:val="24"/>
                <w:szCs w:val="24"/>
                <w:lang w:eastAsia="lv-LV"/>
              </w:rPr>
              <w:t>VI. Sabiedrības līdzdalība un komunikācijas aktivitātes</w:t>
            </w:r>
          </w:p>
        </w:tc>
      </w:tr>
      <w:tr w:rsidR="004D62B6" w:rsidRPr="00771137" w14:paraId="5F7251FC" w14:textId="77777777" w:rsidTr="004D62B6">
        <w:trPr>
          <w:trHeight w:val="296"/>
          <w:tblCellSpacing w:w="15" w:type="dxa"/>
        </w:trPr>
        <w:tc>
          <w:tcPr>
            <w:tcW w:w="4967" w:type="pct"/>
            <w:tcBorders>
              <w:top w:val="outset" w:sz="6" w:space="0" w:color="auto"/>
              <w:left w:val="outset" w:sz="6" w:space="0" w:color="auto"/>
              <w:right w:val="outset" w:sz="6" w:space="0" w:color="auto"/>
            </w:tcBorders>
            <w:hideMark/>
          </w:tcPr>
          <w:p w14:paraId="593B9FE7" w14:textId="0B4CB502" w:rsidR="004D62B6" w:rsidRPr="00771137" w:rsidRDefault="004D62B6" w:rsidP="004D62B6">
            <w:pPr>
              <w:spacing w:after="0" w:line="240" w:lineRule="auto"/>
              <w:jc w:val="center"/>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Likumprojekts šo jomu neskar.</w:t>
            </w:r>
          </w:p>
        </w:tc>
      </w:tr>
    </w:tbl>
    <w:p w14:paraId="778CDE56" w14:textId="67C7AC21" w:rsidR="00F34409" w:rsidRPr="00771137" w:rsidRDefault="00F3440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1493F" w:rsidRPr="00771137" w14:paraId="173DE1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9138D4" w14:textId="77777777" w:rsidR="00655F2C" w:rsidRPr="00771137" w:rsidRDefault="00E5323B" w:rsidP="00E5323B">
            <w:pPr>
              <w:spacing w:after="0" w:line="240" w:lineRule="auto"/>
              <w:rPr>
                <w:rFonts w:ascii="Times New Roman" w:eastAsia="Times New Roman" w:hAnsi="Times New Roman" w:cs="Times New Roman"/>
                <w:b/>
                <w:bCs/>
                <w:iCs/>
                <w:sz w:val="24"/>
                <w:szCs w:val="24"/>
                <w:lang w:eastAsia="lv-LV"/>
              </w:rPr>
            </w:pPr>
            <w:r w:rsidRPr="0077113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1493F" w:rsidRPr="00771137" w14:paraId="716C58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FDE638"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75C119"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E7D8BE3" w14:textId="0AE9628E" w:rsidR="00E5323B" w:rsidRPr="00771137" w:rsidRDefault="00E34928" w:rsidP="00E34928">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 xml:space="preserve">Tieslietu ministrija, Valsts kase un </w:t>
            </w:r>
            <w:r w:rsidR="007C6CDA" w:rsidRPr="00771137">
              <w:rPr>
                <w:rFonts w:ascii="Times New Roman" w:eastAsia="Times New Roman" w:hAnsi="Times New Roman" w:cs="Times New Roman"/>
                <w:iCs/>
                <w:sz w:val="24"/>
                <w:szCs w:val="24"/>
                <w:lang w:eastAsia="lv-LV"/>
              </w:rPr>
              <w:t>Noteikumu Nr. 769 6. </w:t>
            </w:r>
            <w:r w:rsidR="00E04F0B" w:rsidRPr="00771137">
              <w:rPr>
                <w:rFonts w:ascii="Times New Roman" w:eastAsia="Times New Roman" w:hAnsi="Times New Roman" w:cs="Times New Roman"/>
                <w:iCs/>
                <w:sz w:val="24"/>
                <w:szCs w:val="24"/>
                <w:lang w:eastAsia="lv-LV"/>
              </w:rPr>
              <w:t>punktā minētās iestādes</w:t>
            </w:r>
            <w:r w:rsidRPr="00771137">
              <w:rPr>
                <w:rFonts w:ascii="Times New Roman" w:eastAsia="Times New Roman" w:hAnsi="Times New Roman" w:cs="Times New Roman"/>
                <w:iCs/>
                <w:sz w:val="24"/>
                <w:szCs w:val="24"/>
                <w:lang w:eastAsia="lv-LV"/>
              </w:rPr>
              <w:t>.</w:t>
            </w:r>
          </w:p>
        </w:tc>
      </w:tr>
      <w:tr w:rsidR="0071493F" w:rsidRPr="00771137" w14:paraId="73A611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9D9282"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0A6776"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Projekta izpildes ietekme uz pārvaldes funkcijām un institucionālo struktūru.</w:t>
            </w:r>
            <w:r w:rsidRPr="00771137">
              <w:rPr>
                <w:rFonts w:ascii="Times New Roman" w:eastAsia="Times New Roman" w:hAnsi="Times New Roman" w:cs="Times New Roman"/>
                <w:iCs/>
                <w:sz w:val="24"/>
                <w:szCs w:val="24"/>
                <w:lang w:eastAsia="lv-LV"/>
              </w:rPr>
              <w:br/>
              <w:t xml:space="preserve">Jaunu institūciju izveide, esošu institūciju likvidācija </w:t>
            </w:r>
            <w:r w:rsidRPr="00771137">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62FD25E" w14:textId="77777777" w:rsidR="00E5323B" w:rsidRPr="00771137" w:rsidRDefault="00132225" w:rsidP="00F618F2">
            <w:pPr>
              <w:spacing w:after="0" w:line="240" w:lineRule="auto"/>
              <w:jc w:val="both"/>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lastRenderedPageBreak/>
              <w:t>Likumprojekts</w:t>
            </w:r>
            <w:r w:rsidR="00860B5B" w:rsidRPr="00771137">
              <w:rPr>
                <w:rFonts w:ascii="Times New Roman" w:eastAsia="Times New Roman" w:hAnsi="Times New Roman" w:cs="Times New Roman"/>
                <w:iCs/>
                <w:sz w:val="24"/>
                <w:szCs w:val="24"/>
                <w:lang w:eastAsia="lv-LV"/>
              </w:rPr>
              <w:t xml:space="preserve"> neietekmēs pārvaldes funkcijas un institucionālo struktūru. Jaunas institūcijas nebūs jāveido, esošās institūcijas nebūs jālikvidē vai jāreorganizē.</w:t>
            </w:r>
          </w:p>
        </w:tc>
      </w:tr>
      <w:tr w:rsidR="00B773EC" w:rsidRPr="00771137" w14:paraId="0EFD32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0C75A4" w14:textId="77777777" w:rsidR="00655F2C"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09FBE8" w14:textId="77777777" w:rsidR="00E5323B" w:rsidRPr="00771137" w:rsidRDefault="00E5323B"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11B944" w14:textId="77777777" w:rsidR="00E5323B" w:rsidRPr="00771137" w:rsidRDefault="001116C3" w:rsidP="00E5323B">
            <w:pPr>
              <w:spacing w:after="0" w:line="240" w:lineRule="auto"/>
              <w:rPr>
                <w:rFonts w:ascii="Times New Roman" w:eastAsia="Times New Roman" w:hAnsi="Times New Roman" w:cs="Times New Roman"/>
                <w:iCs/>
                <w:sz w:val="24"/>
                <w:szCs w:val="24"/>
                <w:lang w:eastAsia="lv-LV"/>
              </w:rPr>
            </w:pPr>
            <w:r w:rsidRPr="00771137">
              <w:rPr>
                <w:rFonts w:ascii="Times New Roman" w:eastAsia="Times New Roman" w:hAnsi="Times New Roman" w:cs="Times New Roman"/>
                <w:iCs/>
                <w:sz w:val="24"/>
                <w:szCs w:val="24"/>
                <w:lang w:eastAsia="lv-LV"/>
              </w:rPr>
              <w:t>Nav</w:t>
            </w:r>
          </w:p>
        </w:tc>
      </w:tr>
    </w:tbl>
    <w:p w14:paraId="227BE031" w14:textId="77777777" w:rsidR="00E5323B" w:rsidRPr="00771137" w:rsidRDefault="00E5323B" w:rsidP="00894C55">
      <w:pPr>
        <w:spacing w:after="0" w:line="240" w:lineRule="auto"/>
        <w:rPr>
          <w:rFonts w:ascii="Times New Roman" w:hAnsi="Times New Roman" w:cs="Times New Roman"/>
          <w:sz w:val="24"/>
          <w:szCs w:val="24"/>
        </w:rPr>
      </w:pPr>
    </w:p>
    <w:p w14:paraId="2CEAAB3B" w14:textId="77777777" w:rsidR="00520980" w:rsidRPr="00771137" w:rsidRDefault="00520980" w:rsidP="0078047B">
      <w:pPr>
        <w:tabs>
          <w:tab w:val="left" w:pos="6237"/>
        </w:tabs>
        <w:spacing w:after="0" w:line="240" w:lineRule="auto"/>
        <w:rPr>
          <w:rFonts w:ascii="Times New Roman" w:hAnsi="Times New Roman" w:cs="Times New Roman"/>
          <w:sz w:val="24"/>
          <w:szCs w:val="24"/>
        </w:rPr>
      </w:pPr>
    </w:p>
    <w:p w14:paraId="05546F7A" w14:textId="6628239A" w:rsidR="00894C55" w:rsidRPr="00771137" w:rsidRDefault="001116C3" w:rsidP="00894C55">
      <w:pPr>
        <w:tabs>
          <w:tab w:val="left" w:pos="6237"/>
        </w:tabs>
        <w:spacing w:after="0" w:line="240" w:lineRule="auto"/>
        <w:ind w:firstLine="720"/>
        <w:rPr>
          <w:rFonts w:ascii="Times New Roman" w:hAnsi="Times New Roman" w:cs="Times New Roman"/>
          <w:sz w:val="24"/>
          <w:szCs w:val="24"/>
        </w:rPr>
      </w:pPr>
      <w:r w:rsidRPr="00771137">
        <w:rPr>
          <w:rFonts w:ascii="Times New Roman" w:hAnsi="Times New Roman" w:cs="Times New Roman"/>
          <w:sz w:val="24"/>
          <w:szCs w:val="24"/>
        </w:rPr>
        <w:t>Iekšlietu</w:t>
      </w:r>
      <w:r w:rsidR="00894C55" w:rsidRPr="00771137">
        <w:rPr>
          <w:rFonts w:ascii="Times New Roman" w:hAnsi="Times New Roman" w:cs="Times New Roman"/>
          <w:sz w:val="24"/>
          <w:szCs w:val="24"/>
        </w:rPr>
        <w:t xml:space="preserve"> ministrs</w:t>
      </w:r>
      <w:r w:rsidR="00894C55" w:rsidRPr="00771137">
        <w:rPr>
          <w:rFonts w:ascii="Times New Roman" w:hAnsi="Times New Roman" w:cs="Times New Roman"/>
          <w:sz w:val="24"/>
          <w:szCs w:val="24"/>
        </w:rPr>
        <w:tab/>
      </w:r>
      <w:r w:rsidRPr="00771137">
        <w:rPr>
          <w:rFonts w:ascii="Times New Roman" w:hAnsi="Times New Roman" w:cs="Times New Roman"/>
          <w:sz w:val="24"/>
          <w:szCs w:val="24"/>
        </w:rPr>
        <w:t>Sandis Ģirģens</w:t>
      </w:r>
    </w:p>
    <w:p w14:paraId="13454D3A" w14:textId="77777777" w:rsidR="001116C3" w:rsidRPr="00771137" w:rsidRDefault="001116C3" w:rsidP="00F82089">
      <w:pPr>
        <w:tabs>
          <w:tab w:val="left" w:pos="6237"/>
        </w:tabs>
        <w:spacing w:after="0" w:line="240" w:lineRule="auto"/>
        <w:rPr>
          <w:rFonts w:ascii="Times New Roman" w:hAnsi="Times New Roman" w:cs="Times New Roman"/>
          <w:sz w:val="24"/>
          <w:szCs w:val="24"/>
        </w:rPr>
      </w:pPr>
    </w:p>
    <w:p w14:paraId="64B05C7F" w14:textId="77777777" w:rsidR="001116C3" w:rsidRPr="00771137" w:rsidRDefault="001116C3" w:rsidP="00F82089">
      <w:pPr>
        <w:tabs>
          <w:tab w:val="left" w:pos="6237"/>
        </w:tabs>
        <w:spacing w:after="0" w:line="240" w:lineRule="auto"/>
        <w:rPr>
          <w:rFonts w:ascii="Times New Roman" w:hAnsi="Times New Roman" w:cs="Times New Roman"/>
          <w:sz w:val="24"/>
          <w:szCs w:val="24"/>
        </w:rPr>
      </w:pPr>
    </w:p>
    <w:p w14:paraId="5CD95757" w14:textId="77777777" w:rsidR="00F618F2" w:rsidRPr="00771137" w:rsidRDefault="001116C3" w:rsidP="00860B5B">
      <w:pPr>
        <w:tabs>
          <w:tab w:val="left" w:pos="6237"/>
        </w:tabs>
        <w:spacing w:after="0" w:line="240" w:lineRule="auto"/>
        <w:ind w:firstLine="720"/>
        <w:rPr>
          <w:rFonts w:ascii="Times New Roman" w:hAnsi="Times New Roman" w:cs="Times New Roman"/>
          <w:sz w:val="24"/>
          <w:szCs w:val="24"/>
        </w:rPr>
      </w:pPr>
      <w:r w:rsidRPr="00771137">
        <w:rPr>
          <w:rFonts w:ascii="Times New Roman" w:hAnsi="Times New Roman" w:cs="Times New Roman"/>
          <w:sz w:val="24"/>
          <w:szCs w:val="24"/>
        </w:rPr>
        <w:t>Vīza: valsts sekretārs</w:t>
      </w:r>
      <w:r w:rsidRPr="00771137">
        <w:rPr>
          <w:rFonts w:ascii="Times New Roman" w:hAnsi="Times New Roman" w:cs="Times New Roman"/>
          <w:sz w:val="24"/>
          <w:szCs w:val="24"/>
        </w:rPr>
        <w:tab/>
        <w:t>Dimitrijs Trofimovs</w:t>
      </w:r>
    </w:p>
    <w:p w14:paraId="18F89154" w14:textId="77777777" w:rsidR="00207765" w:rsidRPr="00771137" w:rsidRDefault="00207765" w:rsidP="00F82089">
      <w:pPr>
        <w:tabs>
          <w:tab w:val="left" w:pos="6237"/>
        </w:tabs>
        <w:spacing w:after="0" w:line="240" w:lineRule="auto"/>
        <w:rPr>
          <w:rFonts w:ascii="Times New Roman" w:hAnsi="Times New Roman" w:cs="Times New Roman"/>
          <w:sz w:val="24"/>
          <w:szCs w:val="24"/>
        </w:rPr>
      </w:pPr>
    </w:p>
    <w:p w14:paraId="12EC0C80" w14:textId="77777777" w:rsidR="004046C0" w:rsidRPr="00771137" w:rsidRDefault="004046C0" w:rsidP="00F82089">
      <w:pPr>
        <w:tabs>
          <w:tab w:val="left" w:pos="6237"/>
        </w:tabs>
        <w:spacing w:after="0" w:line="240" w:lineRule="auto"/>
        <w:rPr>
          <w:rFonts w:ascii="Times New Roman" w:hAnsi="Times New Roman" w:cs="Times New Roman"/>
          <w:sz w:val="24"/>
          <w:szCs w:val="24"/>
        </w:rPr>
      </w:pPr>
    </w:p>
    <w:p w14:paraId="04A83AD5" w14:textId="77777777" w:rsidR="00C6675C" w:rsidRPr="00771137" w:rsidRDefault="00C6675C" w:rsidP="00F82089">
      <w:pPr>
        <w:tabs>
          <w:tab w:val="left" w:pos="6237"/>
        </w:tabs>
        <w:spacing w:after="0" w:line="240" w:lineRule="auto"/>
        <w:rPr>
          <w:rFonts w:ascii="Times New Roman" w:hAnsi="Times New Roman" w:cs="Times New Roman"/>
          <w:sz w:val="24"/>
          <w:szCs w:val="24"/>
        </w:rPr>
      </w:pPr>
    </w:p>
    <w:p w14:paraId="44E5B6ED" w14:textId="77777777" w:rsidR="00C6675C" w:rsidRPr="00771137" w:rsidRDefault="00C6675C" w:rsidP="00F82089">
      <w:pPr>
        <w:tabs>
          <w:tab w:val="left" w:pos="6237"/>
        </w:tabs>
        <w:spacing w:after="0" w:line="240" w:lineRule="auto"/>
        <w:rPr>
          <w:rFonts w:ascii="Times New Roman" w:hAnsi="Times New Roman" w:cs="Times New Roman"/>
          <w:sz w:val="24"/>
          <w:szCs w:val="24"/>
        </w:rPr>
      </w:pPr>
    </w:p>
    <w:p w14:paraId="3BA768C1" w14:textId="51B954AC" w:rsidR="00C6675C" w:rsidRPr="00771137" w:rsidRDefault="00C6675C" w:rsidP="00F82089">
      <w:pPr>
        <w:tabs>
          <w:tab w:val="left" w:pos="6237"/>
        </w:tabs>
        <w:spacing w:after="0" w:line="240" w:lineRule="auto"/>
        <w:rPr>
          <w:rFonts w:ascii="Times New Roman" w:hAnsi="Times New Roman" w:cs="Times New Roman"/>
          <w:sz w:val="24"/>
          <w:szCs w:val="24"/>
        </w:rPr>
      </w:pPr>
    </w:p>
    <w:p w14:paraId="4DF22705" w14:textId="1B646645" w:rsidR="00EC7194" w:rsidRPr="00771137" w:rsidRDefault="00EC7194" w:rsidP="00F82089">
      <w:pPr>
        <w:tabs>
          <w:tab w:val="left" w:pos="6237"/>
        </w:tabs>
        <w:spacing w:after="0" w:line="240" w:lineRule="auto"/>
        <w:rPr>
          <w:rFonts w:ascii="Times New Roman" w:hAnsi="Times New Roman" w:cs="Times New Roman"/>
          <w:sz w:val="24"/>
          <w:szCs w:val="24"/>
        </w:rPr>
      </w:pPr>
    </w:p>
    <w:p w14:paraId="75B41FA8" w14:textId="0D5970EF" w:rsidR="00EC7194" w:rsidRPr="00771137" w:rsidRDefault="00EC7194" w:rsidP="00F82089">
      <w:pPr>
        <w:tabs>
          <w:tab w:val="left" w:pos="6237"/>
        </w:tabs>
        <w:spacing w:after="0" w:line="240" w:lineRule="auto"/>
        <w:rPr>
          <w:rFonts w:ascii="Times New Roman" w:hAnsi="Times New Roman" w:cs="Times New Roman"/>
          <w:sz w:val="24"/>
          <w:szCs w:val="24"/>
        </w:rPr>
      </w:pPr>
    </w:p>
    <w:p w14:paraId="3B4E392C" w14:textId="4B39812D" w:rsidR="00EC7194" w:rsidRPr="00771137" w:rsidRDefault="00EC7194" w:rsidP="00F82089">
      <w:pPr>
        <w:tabs>
          <w:tab w:val="left" w:pos="6237"/>
        </w:tabs>
        <w:spacing w:after="0" w:line="240" w:lineRule="auto"/>
        <w:rPr>
          <w:rFonts w:ascii="Times New Roman" w:hAnsi="Times New Roman" w:cs="Times New Roman"/>
          <w:sz w:val="24"/>
          <w:szCs w:val="24"/>
        </w:rPr>
      </w:pPr>
    </w:p>
    <w:p w14:paraId="781D6ED1" w14:textId="5C4D254B" w:rsidR="00EC7194" w:rsidRPr="00771137" w:rsidRDefault="00EC7194" w:rsidP="00F82089">
      <w:pPr>
        <w:tabs>
          <w:tab w:val="left" w:pos="6237"/>
        </w:tabs>
        <w:spacing w:after="0" w:line="240" w:lineRule="auto"/>
        <w:rPr>
          <w:rFonts w:ascii="Times New Roman" w:hAnsi="Times New Roman" w:cs="Times New Roman"/>
          <w:sz w:val="24"/>
          <w:szCs w:val="24"/>
        </w:rPr>
      </w:pPr>
    </w:p>
    <w:p w14:paraId="169C8325" w14:textId="3A21200B" w:rsidR="00EC7194" w:rsidRPr="00771137" w:rsidRDefault="00EC7194" w:rsidP="00F82089">
      <w:pPr>
        <w:tabs>
          <w:tab w:val="left" w:pos="6237"/>
        </w:tabs>
        <w:spacing w:after="0" w:line="240" w:lineRule="auto"/>
        <w:rPr>
          <w:rFonts w:ascii="Times New Roman" w:hAnsi="Times New Roman" w:cs="Times New Roman"/>
          <w:sz w:val="24"/>
          <w:szCs w:val="24"/>
        </w:rPr>
      </w:pPr>
    </w:p>
    <w:p w14:paraId="23D70B75" w14:textId="3438AEDB" w:rsidR="00EC7194" w:rsidRPr="00771137" w:rsidRDefault="00EC7194" w:rsidP="00F82089">
      <w:pPr>
        <w:tabs>
          <w:tab w:val="left" w:pos="6237"/>
        </w:tabs>
        <w:spacing w:after="0" w:line="240" w:lineRule="auto"/>
        <w:rPr>
          <w:rFonts w:ascii="Times New Roman" w:hAnsi="Times New Roman" w:cs="Times New Roman"/>
          <w:sz w:val="24"/>
          <w:szCs w:val="24"/>
        </w:rPr>
      </w:pPr>
    </w:p>
    <w:p w14:paraId="7D98E9F0" w14:textId="2C70C1D5" w:rsidR="00EC7194" w:rsidRPr="00771137" w:rsidRDefault="00EC7194" w:rsidP="00F82089">
      <w:pPr>
        <w:tabs>
          <w:tab w:val="left" w:pos="6237"/>
        </w:tabs>
        <w:spacing w:after="0" w:line="240" w:lineRule="auto"/>
        <w:rPr>
          <w:rFonts w:ascii="Times New Roman" w:hAnsi="Times New Roman" w:cs="Times New Roman"/>
          <w:sz w:val="24"/>
          <w:szCs w:val="24"/>
        </w:rPr>
      </w:pPr>
    </w:p>
    <w:p w14:paraId="7CC8DF4B" w14:textId="11819BE7" w:rsidR="00EC7194" w:rsidRPr="00771137" w:rsidRDefault="00EC7194" w:rsidP="00F82089">
      <w:pPr>
        <w:tabs>
          <w:tab w:val="left" w:pos="6237"/>
        </w:tabs>
        <w:spacing w:after="0" w:line="240" w:lineRule="auto"/>
        <w:rPr>
          <w:rFonts w:ascii="Times New Roman" w:hAnsi="Times New Roman" w:cs="Times New Roman"/>
          <w:sz w:val="24"/>
          <w:szCs w:val="24"/>
        </w:rPr>
      </w:pPr>
    </w:p>
    <w:p w14:paraId="3446B783" w14:textId="0C3FFEF7" w:rsidR="00EC7194" w:rsidRPr="00771137" w:rsidRDefault="00EC7194" w:rsidP="00F82089">
      <w:pPr>
        <w:tabs>
          <w:tab w:val="left" w:pos="6237"/>
        </w:tabs>
        <w:spacing w:after="0" w:line="240" w:lineRule="auto"/>
        <w:rPr>
          <w:rFonts w:ascii="Times New Roman" w:hAnsi="Times New Roman" w:cs="Times New Roman"/>
          <w:sz w:val="24"/>
          <w:szCs w:val="24"/>
        </w:rPr>
      </w:pPr>
    </w:p>
    <w:p w14:paraId="0E250FB8" w14:textId="3B9EB922" w:rsidR="00EC7194" w:rsidRPr="00771137" w:rsidRDefault="00EC7194" w:rsidP="00F82089">
      <w:pPr>
        <w:tabs>
          <w:tab w:val="left" w:pos="6237"/>
        </w:tabs>
        <w:spacing w:after="0" w:line="240" w:lineRule="auto"/>
        <w:rPr>
          <w:rFonts w:ascii="Times New Roman" w:hAnsi="Times New Roman" w:cs="Times New Roman"/>
          <w:sz w:val="24"/>
          <w:szCs w:val="24"/>
        </w:rPr>
      </w:pPr>
    </w:p>
    <w:p w14:paraId="533114E8" w14:textId="4BBFAB9A" w:rsidR="00EC7194" w:rsidRPr="00771137" w:rsidRDefault="00EC7194" w:rsidP="00F82089">
      <w:pPr>
        <w:tabs>
          <w:tab w:val="left" w:pos="6237"/>
        </w:tabs>
        <w:spacing w:after="0" w:line="240" w:lineRule="auto"/>
        <w:rPr>
          <w:rFonts w:ascii="Times New Roman" w:hAnsi="Times New Roman" w:cs="Times New Roman"/>
          <w:sz w:val="24"/>
          <w:szCs w:val="24"/>
        </w:rPr>
      </w:pPr>
    </w:p>
    <w:p w14:paraId="13270B70" w14:textId="1D594181" w:rsidR="00EC7194" w:rsidRPr="00771137" w:rsidRDefault="00EC7194" w:rsidP="00F82089">
      <w:pPr>
        <w:tabs>
          <w:tab w:val="left" w:pos="6237"/>
        </w:tabs>
        <w:spacing w:after="0" w:line="240" w:lineRule="auto"/>
        <w:rPr>
          <w:rFonts w:ascii="Times New Roman" w:hAnsi="Times New Roman" w:cs="Times New Roman"/>
          <w:sz w:val="24"/>
          <w:szCs w:val="24"/>
        </w:rPr>
      </w:pPr>
    </w:p>
    <w:p w14:paraId="0432BEF9" w14:textId="670C76AE" w:rsidR="00EC7194" w:rsidRPr="00771137" w:rsidRDefault="00EC7194" w:rsidP="00F82089">
      <w:pPr>
        <w:tabs>
          <w:tab w:val="left" w:pos="6237"/>
        </w:tabs>
        <w:spacing w:after="0" w:line="240" w:lineRule="auto"/>
        <w:rPr>
          <w:rFonts w:ascii="Times New Roman" w:hAnsi="Times New Roman" w:cs="Times New Roman"/>
          <w:sz w:val="24"/>
          <w:szCs w:val="24"/>
        </w:rPr>
      </w:pPr>
    </w:p>
    <w:p w14:paraId="6431CE92" w14:textId="28A7BC5F" w:rsidR="00EC7194" w:rsidRPr="00771137" w:rsidRDefault="00EC7194" w:rsidP="00F82089">
      <w:pPr>
        <w:tabs>
          <w:tab w:val="left" w:pos="6237"/>
        </w:tabs>
        <w:spacing w:after="0" w:line="240" w:lineRule="auto"/>
        <w:rPr>
          <w:rFonts w:ascii="Times New Roman" w:hAnsi="Times New Roman" w:cs="Times New Roman"/>
          <w:sz w:val="24"/>
          <w:szCs w:val="24"/>
        </w:rPr>
      </w:pPr>
    </w:p>
    <w:p w14:paraId="45F24175" w14:textId="3F79A63A" w:rsidR="00EC7194" w:rsidRPr="00771137" w:rsidRDefault="00EC7194" w:rsidP="00F82089">
      <w:pPr>
        <w:tabs>
          <w:tab w:val="left" w:pos="6237"/>
        </w:tabs>
        <w:spacing w:after="0" w:line="240" w:lineRule="auto"/>
        <w:rPr>
          <w:rFonts w:ascii="Times New Roman" w:hAnsi="Times New Roman" w:cs="Times New Roman"/>
          <w:sz w:val="24"/>
          <w:szCs w:val="24"/>
        </w:rPr>
      </w:pPr>
    </w:p>
    <w:p w14:paraId="38EAC7E7" w14:textId="72538CE2" w:rsidR="00EC7194" w:rsidRPr="00771137" w:rsidRDefault="00EC7194" w:rsidP="00F82089">
      <w:pPr>
        <w:tabs>
          <w:tab w:val="left" w:pos="6237"/>
        </w:tabs>
        <w:spacing w:after="0" w:line="240" w:lineRule="auto"/>
        <w:rPr>
          <w:rFonts w:ascii="Times New Roman" w:hAnsi="Times New Roman" w:cs="Times New Roman"/>
          <w:sz w:val="24"/>
          <w:szCs w:val="24"/>
        </w:rPr>
      </w:pPr>
    </w:p>
    <w:p w14:paraId="0A509D29" w14:textId="3C23F654" w:rsidR="00EC7194" w:rsidRPr="00771137" w:rsidRDefault="00EC7194" w:rsidP="00F82089">
      <w:pPr>
        <w:tabs>
          <w:tab w:val="left" w:pos="6237"/>
        </w:tabs>
        <w:spacing w:after="0" w:line="240" w:lineRule="auto"/>
        <w:rPr>
          <w:rFonts w:ascii="Times New Roman" w:hAnsi="Times New Roman" w:cs="Times New Roman"/>
          <w:sz w:val="24"/>
          <w:szCs w:val="24"/>
        </w:rPr>
      </w:pPr>
    </w:p>
    <w:p w14:paraId="4AADD88B" w14:textId="37B629A8" w:rsidR="00EC7194" w:rsidRPr="00771137" w:rsidRDefault="00EC7194" w:rsidP="00F82089">
      <w:pPr>
        <w:tabs>
          <w:tab w:val="left" w:pos="6237"/>
        </w:tabs>
        <w:spacing w:after="0" w:line="240" w:lineRule="auto"/>
        <w:rPr>
          <w:rFonts w:ascii="Times New Roman" w:hAnsi="Times New Roman" w:cs="Times New Roman"/>
          <w:sz w:val="24"/>
          <w:szCs w:val="24"/>
        </w:rPr>
      </w:pPr>
    </w:p>
    <w:p w14:paraId="6268E832" w14:textId="686A7401" w:rsidR="00EC7194" w:rsidRPr="00771137" w:rsidRDefault="00EC7194" w:rsidP="00F82089">
      <w:pPr>
        <w:tabs>
          <w:tab w:val="left" w:pos="6237"/>
        </w:tabs>
        <w:spacing w:after="0" w:line="240" w:lineRule="auto"/>
        <w:rPr>
          <w:rFonts w:ascii="Times New Roman" w:hAnsi="Times New Roman" w:cs="Times New Roman"/>
          <w:sz w:val="24"/>
          <w:szCs w:val="24"/>
        </w:rPr>
      </w:pPr>
    </w:p>
    <w:p w14:paraId="56F132D0" w14:textId="6904A2C5" w:rsidR="00EC7194" w:rsidRPr="00771137" w:rsidRDefault="00EC7194" w:rsidP="00F82089">
      <w:pPr>
        <w:tabs>
          <w:tab w:val="left" w:pos="6237"/>
        </w:tabs>
        <w:spacing w:after="0" w:line="240" w:lineRule="auto"/>
        <w:rPr>
          <w:rFonts w:ascii="Times New Roman" w:hAnsi="Times New Roman" w:cs="Times New Roman"/>
          <w:sz w:val="24"/>
          <w:szCs w:val="24"/>
        </w:rPr>
      </w:pPr>
    </w:p>
    <w:p w14:paraId="71E557DC" w14:textId="28B0B07E" w:rsidR="00EC7194" w:rsidRPr="00771137" w:rsidRDefault="00EC7194" w:rsidP="00F82089">
      <w:pPr>
        <w:tabs>
          <w:tab w:val="left" w:pos="6237"/>
        </w:tabs>
        <w:spacing w:after="0" w:line="240" w:lineRule="auto"/>
        <w:rPr>
          <w:rFonts w:ascii="Times New Roman" w:hAnsi="Times New Roman" w:cs="Times New Roman"/>
          <w:sz w:val="24"/>
          <w:szCs w:val="24"/>
        </w:rPr>
      </w:pPr>
    </w:p>
    <w:p w14:paraId="1D6F9416" w14:textId="09073A6C" w:rsidR="00EC7194" w:rsidRPr="00771137" w:rsidRDefault="00EC7194" w:rsidP="00F82089">
      <w:pPr>
        <w:tabs>
          <w:tab w:val="left" w:pos="6237"/>
        </w:tabs>
        <w:spacing w:after="0" w:line="240" w:lineRule="auto"/>
        <w:rPr>
          <w:rFonts w:ascii="Times New Roman" w:hAnsi="Times New Roman" w:cs="Times New Roman"/>
          <w:sz w:val="24"/>
          <w:szCs w:val="24"/>
        </w:rPr>
      </w:pPr>
    </w:p>
    <w:p w14:paraId="755906FD" w14:textId="5476F91D" w:rsidR="00EC7194" w:rsidRPr="00771137" w:rsidRDefault="00EC7194" w:rsidP="00F82089">
      <w:pPr>
        <w:tabs>
          <w:tab w:val="left" w:pos="6237"/>
        </w:tabs>
        <w:spacing w:after="0" w:line="240" w:lineRule="auto"/>
        <w:rPr>
          <w:rFonts w:ascii="Times New Roman" w:hAnsi="Times New Roman" w:cs="Times New Roman"/>
          <w:sz w:val="24"/>
          <w:szCs w:val="24"/>
        </w:rPr>
      </w:pPr>
    </w:p>
    <w:p w14:paraId="733FB263" w14:textId="75BF8E38" w:rsidR="00EC7194" w:rsidRPr="00771137" w:rsidRDefault="00EC7194" w:rsidP="00F82089">
      <w:pPr>
        <w:tabs>
          <w:tab w:val="left" w:pos="6237"/>
        </w:tabs>
        <w:spacing w:after="0" w:line="240" w:lineRule="auto"/>
        <w:rPr>
          <w:rFonts w:ascii="Times New Roman" w:hAnsi="Times New Roman" w:cs="Times New Roman"/>
          <w:sz w:val="24"/>
          <w:szCs w:val="24"/>
        </w:rPr>
      </w:pPr>
    </w:p>
    <w:p w14:paraId="50BFDEE6" w14:textId="00A5CAA9" w:rsidR="00EC7194" w:rsidRPr="00771137" w:rsidRDefault="00EC7194" w:rsidP="00F82089">
      <w:pPr>
        <w:tabs>
          <w:tab w:val="left" w:pos="6237"/>
        </w:tabs>
        <w:spacing w:after="0" w:line="240" w:lineRule="auto"/>
        <w:rPr>
          <w:rFonts w:ascii="Times New Roman" w:hAnsi="Times New Roman" w:cs="Times New Roman"/>
          <w:sz w:val="24"/>
          <w:szCs w:val="24"/>
        </w:rPr>
      </w:pPr>
    </w:p>
    <w:p w14:paraId="735C6D37" w14:textId="6DBB57CC" w:rsidR="00EC7194" w:rsidRPr="00771137" w:rsidRDefault="00EC7194" w:rsidP="00F82089">
      <w:pPr>
        <w:tabs>
          <w:tab w:val="left" w:pos="6237"/>
        </w:tabs>
        <w:spacing w:after="0" w:line="240" w:lineRule="auto"/>
        <w:rPr>
          <w:rFonts w:ascii="Times New Roman" w:hAnsi="Times New Roman" w:cs="Times New Roman"/>
          <w:sz w:val="24"/>
          <w:szCs w:val="24"/>
        </w:rPr>
      </w:pPr>
    </w:p>
    <w:p w14:paraId="47242452" w14:textId="78B96FB8" w:rsidR="00EC7194" w:rsidRPr="00771137" w:rsidRDefault="00EC7194" w:rsidP="00F82089">
      <w:pPr>
        <w:tabs>
          <w:tab w:val="left" w:pos="6237"/>
        </w:tabs>
        <w:spacing w:after="0" w:line="240" w:lineRule="auto"/>
        <w:rPr>
          <w:rFonts w:ascii="Times New Roman" w:hAnsi="Times New Roman" w:cs="Times New Roman"/>
          <w:sz w:val="24"/>
          <w:szCs w:val="24"/>
        </w:rPr>
      </w:pPr>
    </w:p>
    <w:p w14:paraId="7CFFD8EE" w14:textId="5F07BB94" w:rsidR="00EC7194" w:rsidRPr="00771137" w:rsidRDefault="00EC7194" w:rsidP="00F82089">
      <w:pPr>
        <w:tabs>
          <w:tab w:val="left" w:pos="6237"/>
        </w:tabs>
        <w:spacing w:after="0" w:line="240" w:lineRule="auto"/>
        <w:rPr>
          <w:rFonts w:ascii="Times New Roman" w:hAnsi="Times New Roman" w:cs="Times New Roman"/>
          <w:sz w:val="24"/>
          <w:szCs w:val="24"/>
        </w:rPr>
      </w:pPr>
    </w:p>
    <w:p w14:paraId="46B40C09" w14:textId="055CBE9F" w:rsidR="00EC7194" w:rsidRPr="00771137" w:rsidRDefault="00EC7194" w:rsidP="00F82089">
      <w:pPr>
        <w:tabs>
          <w:tab w:val="left" w:pos="6237"/>
        </w:tabs>
        <w:spacing w:after="0" w:line="240" w:lineRule="auto"/>
        <w:rPr>
          <w:rFonts w:ascii="Times New Roman" w:hAnsi="Times New Roman" w:cs="Times New Roman"/>
          <w:sz w:val="24"/>
          <w:szCs w:val="24"/>
        </w:rPr>
      </w:pPr>
    </w:p>
    <w:p w14:paraId="52099BEC" w14:textId="3445CEF3" w:rsidR="00EC7194" w:rsidRPr="00771137" w:rsidRDefault="00EC7194" w:rsidP="00F82089">
      <w:pPr>
        <w:tabs>
          <w:tab w:val="left" w:pos="6237"/>
        </w:tabs>
        <w:spacing w:after="0" w:line="240" w:lineRule="auto"/>
        <w:rPr>
          <w:rFonts w:ascii="Times New Roman" w:hAnsi="Times New Roman" w:cs="Times New Roman"/>
          <w:sz w:val="24"/>
          <w:szCs w:val="24"/>
        </w:rPr>
      </w:pPr>
    </w:p>
    <w:p w14:paraId="752120A2" w14:textId="09E64FB3" w:rsidR="00CE756D" w:rsidRPr="00771137" w:rsidRDefault="00CE756D" w:rsidP="00F82089">
      <w:pPr>
        <w:tabs>
          <w:tab w:val="left" w:pos="6237"/>
        </w:tabs>
        <w:spacing w:after="0" w:line="240" w:lineRule="auto"/>
        <w:rPr>
          <w:rFonts w:ascii="Times New Roman" w:hAnsi="Times New Roman" w:cs="Times New Roman"/>
          <w:sz w:val="24"/>
          <w:szCs w:val="24"/>
        </w:rPr>
      </w:pPr>
    </w:p>
    <w:p w14:paraId="638C4E2E" w14:textId="77777777" w:rsidR="00CE756D" w:rsidRPr="00771137" w:rsidRDefault="00CE756D" w:rsidP="00F82089">
      <w:pPr>
        <w:tabs>
          <w:tab w:val="left" w:pos="6237"/>
        </w:tabs>
        <w:spacing w:after="0" w:line="240" w:lineRule="auto"/>
        <w:rPr>
          <w:rFonts w:ascii="Times New Roman" w:hAnsi="Times New Roman" w:cs="Times New Roman"/>
          <w:sz w:val="24"/>
          <w:szCs w:val="24"/>
        </w:rPr>
      </w:pPr>
    </w:p>
    <w:p w14:paraId="30822E0D" w14:textId="44C86B56" w:rsidR="008C075B" w:rsidRPr="00771137" w:rsidRDefault="008C075B" w:rsidP="00F82089">
      <w:pPr>
        <w:tabs>
          <w:tab w:val="left" w:pos="6237"/>
        </w:tabs>
        <w:spacing w:after="0" w:line="240" w:lineRule="auto"/>
        <w:rPr>
          <w:rFonts w:ascii="Times New Roman" w:hAnsi="Times New Roman" w:cs="Times New Roman"/>
          <w:sz w:val="24"/>
          <w:szCs w:val="24"/>
        </w:rPr>
      </w:pPr>
    </w:p>
    <w:p w14:paraId="0FC8BA53" w14:textId="77777777" w:rsidR="00F82089" w:rsidRPr="00771137" w:rsidRDefault="00F82089" w:rsidP="00F82089">
      <w:pPr>
        <w:tabs>
          <w:tab w:val="left" w:pos="6237"/>
        </w:tabs>
        <w:spacing w:after="0" w:line="240" w:lineRule="auto"/>
        <w:rPr>
          <w:rFonts w:ascii="Times New Roman" w:hAnsi="Times New Roman" w:cs="Times New Roman"/>
          <w:sz w:val="20"/>
          <w:szCs w:val="20"/>
        </w:rPr>
      </w:pPr>
      <w:r w:rsidRPr="00771137">
        <w:rPr>
          <w:rFonts w:ascii="Times New Roman" w:hAnsi="Times New Roman" w:cs="Times New Roman"/>
          <w:sz w:val="20"/>
          <w:szCs w:val="20"/>
        </w:rPr>
        <w:t>Brača, 67211958</w:t>
      </w:r>
    </w:p>
    <w:p w14:paraId="5E85DFA1" w14:textId="18F69A89" w:rsidR="00B34CD9" w:rsidRPr="00771137" w:rsidRDefault="002F0445" w:rsidP="00894C55">
      <w:pPr>
        <w:tabs>
          <w:tab w:val="left" w:pos="6237"/>
        </w:tabs>
        <w:spacing w:after="0" w:line="240" w:lineRule="auto"/>
        <w:rPr>
          <w:rStyle w:val="Hyperlink"/>
          <w:rFonts w:ascii="Times New Roman" w:hAnsi="Times New Roman" w:cs="Times New Roman"/>
          <w:sz w:val="20"/>
          <w:szCs w:val="20"/>
        </w:rPr>
      </w:pPr>
      <w:hyperlink r:id="rId7" w:history="1">
        <w:r w:rsidR="00D73DAB" w:rsidRPr="00771137">
          <w:rPr>
            <w:rStyle w:val="Hyperlink"/>
            <w:rFonts w:ascii="Times New Roman" w:hAnsi="Times New Roman" w:cs="Times New Roman"/>
            <w:sz w:val="20"/>
            <w:szCs w:val="20"/>
          </w:rPr>
          <w:t>krista.braca@iem.gov.lv</w:t>
        </w:r>
      </w:hyperlink>
    </w:p>
    <w:p w14:paraId="73F80A11" w14:textId="77777777" w:rsidR="001A3031" w:rsidRPr="00771137" w:rsidRDefault="001A3031" w:rsidP="00894C55">
      <w:pPr>
        <w:tabs>
          <w:tab w:val="left" w:pos="6237"/>
        </w:tabs>
        <w:spacing w:after="0" w:line="240" w:lineRule="auto"/>
        <w:rPr>
          <w:rStyle w:val="Hyperlink"/>
          <w:rFonts w:ascii="Times New Roman" w:hAnsi="Times New Roman" w:cs="Times New Roman"/>
          <w:color w:val="auto"/>
          <w:sz w:val="20"/>
          <w:szCs w:val="20"/>
          <w:u w:val="none"/>
        </w:rPr>
      </w:pPr>
      <w:r w:rsidRPr="00771137">
        <w:rPr>
          <w:rStyle w:val="Hyperlink"/>
          <w:rFonts w:ascii="Times New Roman" w:hAnsi="Times New Roman" w:cs="Times New Roman"/>
          <w:color w:val="auto"/>
          <w:sz w:val="20"/>
          <w:szCs w:val="20"/>
          <w:u w:val="none"/>
        </w:rPr>
        <w:t>Strode, 67219602</w:t>
      </w:r>
    </w:p>
    <w:p w14:paraId="22A0B688" w14:textId="6023D324" w:rsidR="00F82089" w:rsidRPr="009A12F4" w:rsidRDefault="002F0445" w:rsidP="00894C55">
      <w:pPr>
        <w:tabs>
          <w:tab w:val="left" w:pos="6237"/>
        </w:tabs>
        <w:spacing w:after="0" w:line="240" w:lineRule="auto"/>
        <w:rPr>
          <w:rFonts w:ascii="Times New Roman" w:hAnsi="Times New Roman" w:cs="Times New Roman"/>
          <w:sz w:val="20"/>
          <w:szCs w:val="20"/>
        </w:rPr>
      </w:pPr>
      <w:hyperlink r:id="rId8" w:history="1">
        <w:r w:rsidR="001A3031" w:rsidRPr="00771137">
          <w:rPr>
            <w:rStyle w:val="Hyperlink"/>
            <w:rFonts w:ascii="Times New Roman" w:hAnsi="Times New Roman" w:cs="Times New Roman"/>
            <w:sz w:val="20"/>
            <w:szCs w:val="20"/>
          </w:rPr>
          <w:t>alda.strode@iem.gov.lv</w:t>
        </w:r>
      </w:hyperlink>
    </w:p>
    <w:sectPr w:rsidR="00F82089" w:rsidRPr="009A12F4" w:rsidSect="00F8208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F5845" w14:textId="77777777" w:rsidR="002F0445" w:rsidRDefault="002F0445" w:rsidP="00894C55">
      <w:pPr>
        <w:spacing w:after="0" w:line="240" w:lineRule="auto"/>
      </w:pPr>
      <w:r>
        <w:separator/>
      </w:r>
    </w:p>
  </w:endnote>
  <w:endnote w:type="continuationSeparator" w:id="0">
    <w:p w14:paraId="71CE0713" w14:textId="77777777" w:rsidR="002F0445" w:rsidRDefault="002F044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036C" w14:textId="77777777" w:rsidR="00C54F25" w:rsidRDefault="00C54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F4458" w14:textId="32D289AE" w:rsidR="00894C55" w:rsidRPr="00894C55" w:rsidRDefault="00F618F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F046D">
      <w:rPr>
        <w:rFonts w:ascii="Times New Roman" w:hAnsi="Times New Roman" w:cs="Times New Roman"/>
        <w:noProof/>
        <w:sz w:val="20"/>
        <w:szCs w:val="20"/>
      </w:rPr>
      <w:t>IEMAnot_251119_NIMKIL</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595E" w14:textId="4D0D2834" w:rsidR="009A2654" w:rsidRPr="009A2654" w:rsidRDefault="00F618F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F046D">
      <w:rPr>
        <w:rFonts w:ascii="Times New Roman" w:hAnsi="Times New Roman" w:cs="Times New Roman"/>
        <w:noProof/>
        <w:sz w:val="20"/>
        <w:szCs w:val="20"/>
      </w:rPr>
      <w:t>IEMAnot_251119_NIMKIL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28B1" w14:textId="77777777" w:rsidR="002F0445" w:rsidRDefault="002F0445" w:rsidP="00894C55">
      <w:pPr>
        <w:spacing w:after="0" w:line="240" w:lineRule="auto"/>
      </w:pPr>
      <w:r>
        <w:separator/>
      </w:r>
    </w:p>
  </w:footnote>
  <w:footnote w:type="continuationSeparator" w:id="0">
    <w:p w14:paraId="2C669EFE" w14:textId="77777777" w:rsidR="002F0445" w:rsidRDefault="002F044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3898" w14:textId="77777777" w:rsidR="00C54F25" w:rsidRDefault="00C54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32F9AB3" w14:textId="5C93FDD1"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A160F">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50C7" w14:textId="77777777" w:rsidR="00C54F25" w:rsidRDefault="00C54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0F"/>
    <w:rsid w:val="00000CD1"/>
    <w:rsid w:val="0001263A"/>
    <w:rsid w:val="0001384B"/>
    <w:rsid w:val="00013C76"/>
    <w:rsid w:val="00014140"/>
    <w:rsid w:val="0001695F"/>
    <w:rsid w:val="00026362"/>
    <w:rsid w:val="00032D8C"/>
    <w:rsid w:val="0003501E"/>
    <w:rsid w:val="0004345F"/>
    <w:rsid w:val="000463BE"/>
    <w:rsid w:val="00071BA6"/>
    <w:rsid w:val="00075907"/>
    <w:rsid w:val="000805D2"/>
    <w:rsid w:val="00085C80"/>
    <w:rsid w:val="0008791C"/>
    <w:rsid w:val="00096940"/>
    <w:rsid w:val="00096B31"/>
    <w:rsid w:val="000B52B2"/>
    <w:rsid w:val="000B7F00"/>
    <w:rsid w:val="000C37CA"/>
    <w:rsid w:val="000E05BB"/>
    <w:rsid w:val="000E63F8"/>
    <w:rsid w:val="00107B33"/>
    <w:rsid w:val="00107E26"/>
    <w:rsid w:val="001116C3"/>
    <w:rsid w:val="00132225"/>
    <w:rsid w:val="00133C80"/>
    <w:rsid w:val="001367B9"/>
    <w:rsid w:val="00156E35"/>
    <w:rsid w:val="00174A3D"/>
    <w:rsid w:val="00175F81"/>
    <w:rsid w:val="00180D17"/>
    <w:rsid w:val="001A0401"/>
    <w:rsid w:val="001A3031"/>
    <w:rsid w:val="001A62F0"/>
    <w:rsid w:val="001B2269"/>
    <w:rsid w:val="001C343D"/>
    <w:rsid w:val="001E0714"/>
    <w:rsid w:val="001E1057"/>
    <w:rsid w:val="001E63D9"/>
    <w:rsid w:val="001F1599"/>
    <w:rsid w:val="001F22D3"/>
    <w:rsid w:val="001F327D"/>
    <w:rsid w:val="001F32F3"/>
    <w:rsid w:val="001F6EAD"/>
    <w:rsid w:val="00207765"/>
    <w:rsid w:val="00210155"/>
    <w:rsid w:val="00217CA4"/>
    <w:rsid w:val="0022182C"/>
    <w:rsid w:val="00243426"/>
    <w:rsid w:val="00243BF2"/>
    <w:rsid w:val="0025297E"/>
    <w:rsid w:val="00255275"/>
    <w:rsid w:val="002571DA"/>
    <w:rsid w:val="002639FA"/>
    <w:rsid w:val="0026424A"/>
    <w:rsid w:val="002645F0"/>
    <w:rsid w:val="00270361"/>
    <w:rsid w:val="00280145"/>
    <w:rsid w:val="00287D8B"/>
    <w:rsid w:val="002A178F"/>
    <w:rsid w:val="002A482E"/>
    <w:rsid w:val="002A4E74"/>
    <w:rsid w:val="002A581E"/>
    <w:rsid w:val="002A6697"/>
    <w:rsid w:val="002B690B"/>
    <w:rsid w:val="002B702B"/>
    <w:rsid w:val="002C3DC1"/>
    <w:rsid w:val="002C645B"/>
    <w:rsid w:val="002C67C4"/>
    <w:rsid w:val="002D42A3"/>
    <w:rsid w:val="002E1C05"/>
    <w:rsid w:val="002F0445"/>
    <w:rsid w:val="002F4C3A"/>
    <w:rsid w:val="002F7391"/>
    <w:rsid w:val="00313024"/>
    <w:rsid w:val="003145C2"/>
    <w:rsid w:val="0031542F"/>
    <w:rsid w:val="00357DAA"/>
    <w:rsid w:val="00363AC6"/>
    <w:rsid w:val="0037359C"/>
    <w:rsid w:val="003740C0"/>
    <w:rsid w:val="00382024"/>
    <w:rsid w:val="00386B6A"/>
    <w:rsid w:val="00387331"/>
    <w:rsid w:val="003A6454"/>
    <w:rsid w:val="003B0BF9"/>
    <w:rsid w:val="003B217B"/>
    <w:rsid w:val="003B66D8"/>
    <w:rsid w:val="003C1313"/>
    <w:rsid w:val="003C2EF7"/>
    <w:rsid w:val="003C3691"/>
    <w:rsid w:val="003D1983"/>
    <w:rsid w:val="003D3545"/>
    <w:rsid w:val="003E0791"/>
    <w:rsid w:val="003E0C46"/>
    <w:rsid w:val="003E6B30"/>
    <w:rsid w:val="003F28AC"/>
    <w:rsid w:val="003F2C77"/>
    <w:rsid w:val="003F3B35"/>
    <w:rsid w:val="00401594"/>
    <w:rsid w:val="00403BCF"/>
    <w:rsid w:val="004046AC"/>
    <w:rsid w:val="004046C0"/>
    <w:rsid w:val="00404E20"/>
    <w:rsid w:val="00405DDA"/>
    <w:rsid w:val="00411282"/>
    <w:rsid w:val="00412B9E"/>
    <w:rsid w:val="0041415D"/>
    <w:rsid w:val="004237B7"/>
    <w:rsid w:val="004333A6"/>
    <w:rsid w:val="00436561"/>
    <w:rsid w:val="004454FE"/>
    <w:rsid w:val="00450C7D"/>
    <w:rsid w:val="00456E40"/>
    <w:rsid w:val="00471F27"/>
    <w:rsid w:val="00475734"/>
    <w:rsid w:val="004808C0"/>
    <w:rsid w:val="00491D7B"/>
    <w:rsid w:val="004A2757"/>
    <w:rsid w:val="004B63A6"/>
    <w:rsid w:val="004D62B6"/>
    <w:rsid w:val="004F0F82"/>
    <w:rsid w:val="004F3FB7"/>
    <w:rsid w:val="004F4693"/>
    <w:rsid w:val="0050178F"/>
    <w:rsid w:val="00513B60"/>
    <w:rsid w:val="00520980"/>
    <w:rsid w:val="0053538D"/>
    <w:rsid w:val="00535CC7"/>
    <w:rsid w:val="0055570F"/>
    <w:rsid w:val="005624F4"/>
    <w:rsid w:val="00564170"/>
    <w:rsid w:val="005760F6"/>
    <w:rsid w:val="005777E2"/>
    <w:rsid w:val="005807BA"/>
    <w:rsid w:val="0058597D"/>
    <w:rsid w:val="005A61A9"/>
    <w:rsid w:val="005C69F6"/>
    <w:rsid w:val="005E0B37"/>
    <w:rsid w:val="005E1CE7"/>
    <w:rsid w:val="005E23DA"/>
    <w:rsid w:val="005F344C"/>
    <w:rsid w:val="006002F5"/>
    <w:rsid w:val="00602127"/>
    <w:rsid w:val="006048FD"/>
    <w:rsid w:val="00605209"/>
    <w:rsid w:val="0060585E"/>
    <w:rsid w:val="00606DDF"/>
    <w:rsid w:val="00607713"/>
    <w:rsid w:val="00611819"/>
    <w:rsid w:val="00624B4F"/>
    <w:rsid w:val="00627094"/>
    <w:rsid w:val="0063126D"/>
    <w:rsid w:val="00634117"/>
    <w:rsid w:val="00634E05"/>
    <w:rsid w:val="00645550"/>
    <w:rsid w:val="0065194A"/>
    <w:rsid w:val="00655F2C"/>
    <w:rsid w:val="006649CB"/>
    <w:rsid w:val="006676E7"/>
    <w:rsid w:val="006840C0"/>
    <w:rsid w:val="0068593A"/>
    <w:rsid w:val="00696DB4"/>
    <w:rsid w:val="00697920"/>
    <w:rsid w:val="006C5055"/>
    <w:rsid w:val="006C5086"/>
    <w:rsid w:val="006C7FA4"/>
    <w:rsid w:val="006E1081"/>
    <w:rsid w:val="006E6F9D"/>
    <w:rsid w:val="006E7250"/>
    <w:rsid w:val="006F1E93"/>
    <w:rsid w:val="006F5117"/>
    <w:rsid w:val="0070191C"/>
    <w:rsid w:val="00703E84"/>
    <w:rsid w:val="0070688B"/>
    <w:rsid w:val="00706BAF"/>
    <w:rsid w:val="00707250"/>
    <w:rsid w:val="007074D5"/>
    <w:rsid w:val="0071493F"/>
    <w:rsid w:val="007175E9"/>
    <w:rsid w:val="00720585"/>
    <w:rsid w:val="0072428D"/>
    <w:rsid w:val="00727CF4"/>
    <w:rsid w:val="00771137"/>
    <w:rsid w:val="00773AF6"/>
    <w:rsid w:val="007742C9"/>
    <w:rsid w:val="0078047B"/>
    <w:rsid w:val="00781F12"/>
    <w:rsid w:val="00786F09"/>
    <w:rsid w:val="00793934"/>
    <w:rsid w:val="00795F71"/>
    <w:rsid w:val="0079633F"/>
    <w:rsid w:val="007A160F"/>
    <w:rsid w:val="007A272A"/>
    <w:rsid w:val="007B4FE0"/>
    <w:rsid w:val="007B78B1"/>
    <w:rsid w:val="007C2D18"/>
    <w:rsid w:val="007C392C"/>
    <w:rsid w:val="007C5BDB"/>
    <w:rsid w:val="007C6CDA"/>
    <w:rsid w:val="007D7B69"/>
    <w:rsid w:val="007E3A39"/>
    <w:rsid w:val="007E5F7A"/>
    <w:rsid w:val="007E70B0"/>
    <w:rsid w:val="007E73AB"/>
    <w:rsid w:val="007F4F14"/>
    <w:rsid w:val="007F638F"/>
    <w:rsid w:val="0081095B"/>
    <w:rsid w:val="00816C11"/>
    <w:rsid w:val="00827E4D"/>
    <w:rsid w:val="00841052"/>
    <w:rsid w:val="0084670D"/>
    <w:rsid w:val="0085410D"/>
    <w:rsid w:val="00857ECE"/>
    <w:rsid w:val="00860B5B"/>
    <w:rsid w:val="008624EA"/>
    <w:rsid w:val="00865616"/>
    <w:rsid w:val="00865681"/>
    <w:rsid w:val="00875028"/>
    <w:rsid w:val="0088231F"/>
    <w:rsid w:val="00894C55"/>
    <w:rsid w:val="00896944"/>
    <w:rsid w:val="008A0B26"/>
    <w:rsid w:val="008B71E0"/>
    <w:rsid w:val="008C075B"/>
    <w:rsid w:val="008D29EB"/>
    <w:rsid w:val="008D78C9"/>
    <w:rsid w:val="008E3473"/>
    <w:rsid w:val="008F0543"/>
    <w:rsid w:val="008F35A0"/>
    <w:rsid w:val="008F40CA"/>
    <w:rsid w:val="008F4836"/>
    <w:rsid w:val="00912546"/>
    <w:rsid w:val="00913DF7"/>
    <w:rsid w:val="00916300"/>
    <w:rsid w:val="009179C9"/>
    <w:rsid w:val="00920343"/>
    <w:rsid w:val="00920BE3"/>
    <w:rsid w:val="0092152F"/>
    <w:rsid w:val="00921867"/>
    <w:rsid w:val="00923206"/>
    <w:rsid w:val="009258D1"/>
    <w:rsid w:val="00925CD8"/>
    <w:rsid w:val="00925D7B"/>
    <w:rsid w:val="009361D9"/>
    <w:rsid w:val="00940385"/>
    <w:rsid w:val="00966529"/>
    <w:rsid w:val="0096657D"/>
    <w:rsid w:val="00970ED9"/>
    <w:rsid w:val="00984AF9"/>
    <w:rsid w:val="009915BF"/>
    <w:rsid w:val="00993C88"/>
    <w:rsid w:val="00997411"/>
    <w:rsid w:val="00997963"/>
    <w:rsid w:val="009A12F4"/>
    <w:rsid w:val="009A2654"/>
    <w:rsid w:val="009A3B64"/>
    <w:rsid w:val="009B5134"/>
    <w:rsid w:val="009C3AEC"/>
    <w:rsid w:val="009C512C"/>
    <w:rsid w:val="009E029E"/>
    <w:rsid w:val="009E1319"/>
    <w:rsid w:val="009F0068"/>
    <w:rsid w:val="009F5701"/>
    <w:rsid w:val="00A10FC3"/>
    <w:rsid w:val="00A17D30"/>
    <w:rsid w:val="00A425D2"/>
    <w:rsid w:val="00A569B9"/>
    <w:rsid w:val="00A6073E"/>
    <w:rsid w:val="00A61581"/>
    <w:rsid w:val="00A62D07"/>
    <w:rsid w:val="00A63A28"/>
    <w:rsid w:val="00AA51A2"/>
    <w:rsid w:val="00AA55DE"/>
    <w:rsid w:val="00AA73F5"/>
    <w:rsid w:val="00AA78C6"/>
    <w:rsid w:val="00AA7F99"/>
    <w:rsid w:val="00AC1714"/>
    <w:rsid w:val="00AD1BDD"/>
    <w:rsid w:val="00AE0B12"/>
    <w:rsid w:val="00AE183F"/>
    <w:rsid w:val="00AE5567"/>
    <w:rsid w:val="00AF0373"/>
    <w:rsid w:val="00AF046D"/>
    <w:rsid w:val="00AF1239"/>
    <w:rsid w:val="00AF4D44"/>
    <w:rsid w:val="00AF5675"/>
    <w:rsid w:val="00B16480"/>
    <w:rsid w:val="00B2165C"/>
    <w:rsid w:val="00B228A0"/>
    <w:rsid w:val="00B2563C"/>
    <w:rsid w:val="00B309B1"/>
    <w:rsid w:val="00B33733"/>
    <w:rsid w:val="00B34CD9"/>
    <w:rsid w:val="00B51A3C"/>
    <w:rsid w:val="00B53860"/>
    <w:rsid w:val="00B54F60"/>
    <w:rsid w:val="00B65051"/>
    <w:rsid w:val="00B740DA"/>
    <w:rsid w:val="00B754D2"/>
    <w:rsid w:val="00B773EC"/>
    <w:rsid w:val="00B83975"/>
    <w:rsid w:val="00B86B5D"/>
    <w:rsid w:val="00B96E22"/>
    <w:rsid w:val="00BA20AA"/>
    <w:rsid w:val="00BA5F3A"/>
    <w:rsid w:val="00BB6460"/>
    <w:rsid w:val="00BC3E51"/>
    <w:rsid w:val="00BC589C"/>
    <w:rsid w:val="00BC5A28"/>
    <w:rsid w:val="00BC6EBF"/>
    <w:rsid w:val="00BC78F6"/>
    <w:rsid w:val="00BD2F8C"/>
    <w:rsid w:val="00BD4425"/>
    <w:rsid w:val="00BE0B68"/>
    <w:rsid w:val="00BE32AD"/>
    <w:rsid w:val="00BE693E"/>
    <w:rsid w:val="00BE6BB5"/>
    <w:rsid w:val="00BF5237"/>
    <w:rsid w:val="00C02407"/>
    <w:rsid w:val="00C02A52"/>
    <w:rsid w:val="00C0476A"/>
    <w:rsid w:val="00C06610"/>
    <w:rsid w:val="00C130C2"/>
    <w:rsid w:val="00C2031C"/>
    <w:rsid w:val="00C25B49"/>
    <w:rsid w:val="00C27007"/>
    <w:rsid w:val="00C31330"/>
    <w:rsid w:val="00C34EF7"/>
    <w:rsid w:val="00C35831"/>
    <w:rsid w:val="00C54F25"/>
    <w:rsid w:val="00C63CCD"/>
    <w:rsid w:val="00C64F2D"/>
    <w:rsid w:val="00C6675C"/>
    <w:rsid w:val="00C80DAF"/>
    <w:rsid w:val="00C90603"/>
    <w:rsid w:val="00C90B4A"/>
    <w:rsid w:val="00C90BE7"/>
    <w:rsid w:val="00C92F3C"/>
    <w:rsid w:val="00C9412B"/>
    <w:rsid w:val="00CA0C3A"/>
    <w:rsid w:val="00CC031A"/>
    <w:rsid w:val="00CC0D2D"/>
    <w:rsid w:val="00CC6360"/>
    <w:rsid w:val="00CD1393"/>
    <w:rsid w:val="00CD4195"/>
    <w:rsid w:val="00CE213F"/>
    <w:rsid w:val="00CE3E04"/>
    <w:rsid w:val="00CE4583"/>
    <w:rsid w:val="00CE5657"/>
    <w:rsid w:val="00CE5794"/>
    <w:rsid w:val="00CE756D"/>
    <w:rsid w:val="00CF7D33"/>
    <w:rsid w:val="00D06EE0"/>
    <w:rsid w:val="00D125CA"/>
    <w:rsid w:val="00D133F8"/>
    <w:rsid w:val="00D13A02"/>
    <w:rsid w:val="00D14A3E"/>
    <w:rsid w:val="00D24B8B"/>
    <w:rsid w:val="00D24C66"/>
    <w:rsid w:val="00D302B6"/>
    <w:rsid w:val="00D352AB"/>
    <w:rsid w:val="00D402F1"/>
    <w:rsid w:val="00D42CB3"/>
    <w:rsid w:val="00D63AAC"/>
    <w:rsid w:val="00D63B6B"/>
    <w:rsid w:val="00D67EAD"/>
    <w:rsid w:val="00D73DAB"/>
    <w:rsid w:val="00D762EB"/>
    <w:rsid w:val="00D84310"/>
    <w:rsid w:val="00DA140D"/>
    <w:rsid w:val="00DA7585"/>
    <w:rsid w:val="00DB7CC6"/>
    <w:rsid w:val="00DC3AE0"/>
    <w:rsid w:val="00DD0A50"/>
    <w:rsid w:val="00DE0B36"/>
    <w:rsid w:val="00DE6F85"/>
    <w:rsid w:val="00DF3764"/>
    <w:rsid w:val="00DF3EF1"/>
    <w:rsid w:val="00DF68AA"/>
    <w:rsid w:val="00E0277D"/>
    <w:rsid w:val="00E04F0B"/>
    <w:rsid w:val="00E10618"/>
    <w:rsid w:val="00E148CB"/>
    <w:rsid w:val="00E223C9"/>
    <w:rsid w:val="00E34928"/>
    <w:rsid w:val="00E35BFF"/>
    <w:rsid w:val="00E3716B"/>
    <w:rsid w:val="00E40229"/>
    <w:rsid w:val="00E5323B"/>
    <w:rsid w:val="00E56E95"/>
    <w:rsid w:val="00E61BA9"/>
    <w:rsid w:val="00E673FE"/>
    <w:rsid w:val="00E71124"/>
    <w:rsid w:val="00E71A1B"/>
    <w:rsid w:val="00E85D08"/>
    <w:rsid w:val="00E8749E"/>
    <w:rsid w:val="00E87BD0"/>
    <w:rsid w:val="00E90C01"/>
    <w:rsid w:val="00E91DE1"/>
    <w:rsid w:val="00EA4435"/>
    <w:rsid w:val="00EA450A"/>
    <w:rsid w:val="00EA486E"/>
    <w:rsid w:val="00EC7194"/>
    <w:rsid w:val="00EC775B"/>
    <w:rsid w:val="00ED0FF5"/>
    <w:rsid w:val="00ED23EF"/>
    <w:rsid w:val="00ED41ED"/>
    <w:rsid w:val="00ED5746"/>
    <w:rsid w:val="00EE3113"/>
    <w:rsid w:val="00EE648F"/>
    <w:rsid w:val="00EF3CB6"/>
    <w:rsid w:val="00EF4BC4"/>
    <w:rsid w:val="00F12CF0"/>
    <w:rsid w:val="00F17AA5"/>
    <w:rsid w:val="00F22D79"/>
    <w:rsid w:val="00F34409"/>
    <w:rsid w:val="00F57B0C"/>
    <w:rsid w:val="00F618F2"/>
    <w:rsid w:val="00F66A3E"/>
    <w:rsid w:val="00F67DBF"/>
    <w:rsid w:val="00F74664"/>
    <w:rsid w:val="00F77FEC"/>
    <w:rsid w:val="00F82089"/>
    <w:rsid w:val="00F8354F"/>
    <w:rsid w:val="00F85137"/>
    <w:rsid w:val="00F92CE2"/>
    <w:rsid w:val="00FB1E4A"/>
    <w:rsid w:val="00FB3029"/>
    <w:rsid w:val="00FC4C67"/>
    <w:rsid w:val="00FE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D662"/>
  <w15:docId w15:val="{4B511E3B-D9E2-4C3E-AA76-3362C880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F0068"/>
    <w:pPr>
      <w:ind w:left="720"/>
      <w:contextualSpacing/>
    </w:pPr>
  </w:style>
  <w:style w:type="character" w:styleId="CommentReference">
    <w:name w:val="annotation reference"/>
    <w:basedOn w:val="DefaultParagraphFont"/>
    <w:uiPriority w:val="99"/>
    <w:semiHidden/>
    <w:unhideWhenUsed/>
    <w:rsid w:val="00727CF4"/>
    <w:rPr>
      <w:sz w:val="16"/>
      <w:szCs w:val="16"/>
    </w:rPr>
  </w:style>
  <w:style w:type="paragraph" w:styleId="CommentText">
    <w:name w:val="annotation text"/>
    <w:basedOn w:val="Normal"/>
    <w:link w:val="CommentTextChar"/>
    <w:uiPriority w:val="99"/>
    <w:semiHidden/>
    <w:unhideWhenUsed/>
    <w:rsid w:val="00727CF4"/>
    <w:pPr>
      <w:spacing w:line="240" w:lineRule="auto"/>
    </w:pPr>
    <w:rPr>
      <w:sz w:val="20"/>
      <w:szCs w:val="20"/>
    </w:rPr>
  </w:style>
  <w:style w:type="character" w:customStyle="1" w:styleId="CommentTextChar">
    <w:name w:val="Comment Text Char"/>
    <w:basedOn w:val="DefaultParagraphFont"/>
    <w:link w:val="CommentText"/>
    <w:uiPriority w:val="99"/>
    <w:semiHidden/>
    <w:rsid w:val="00727CF4"/>
    <w:rPr>
      <w:sz w:val="20"/>
      <w:szCs w:val="20"/>
    </w:rPr>
  </w:style>
  <w:style w:type="paragraph" w:styleId="CommentSubject">
    <w:name w:val="annotation subject"/>
    <w:basedOn w:val="CommentText"/>
    <w:next w:val="CommentText"/>
    <w:link w:val="CommentSubjectChar"/>
    <w:uiPriority w:val="99"/>
    <w:semiHidden/>
    <w:unhideWhenUsed/>
    <w:rsid w:val="00727CF4"/>
    <w:rPr>
      <w:b/>
      <w:bCs/>
    </w:rPr>
  </w:style>
  <w:style w:type="character" w:customStyle="1" w:styleId="CommentSubjectChar">
    <w:name w:val="Comment Subject Char"/>
    <w:basedOn w:val="CommentTextChar"/>
    <w:link w:val="CommentSubject"/>
    <w:uiPriority w:val="99"/>
    <w:semiHidden/>
    <w:rsid w:val="00727CF4"/>
    <w:rPr>
      <w:b/>
      <w:bCs/>
      <w:sz w:val="20"/>
      <w:szCs w:val="20"/>
    </w:rPr>
  </w:style>
  <w:style w:type="paragraph" w:customStyle="1" w:styleId="tv213">
    <w:name w:val="tv213"/>
    <w:basedOn w:val="Normal"/>
    <w:rsid w:val="002218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16300"/>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D24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4009831">
      <w:bodyDiv w:val="1"/>
      <w:marLeft w:val="0"/>
      <w:marRight w:val="0"/>
      <w:marTop w:val="0"/>
      <w:marBottom w:val="0"/>
      <w:divBdr>
        <w:top w:val="none" w:sz="0" w:space="0" w:color="auto"/>
        <w:left w:val="none" w:sz="0" w:space="0" w:color="auto"/>
        <w:bottom w:val="none" w:sz="0" w:space="0" w:color="auto"/>
        <w:right w:val="none" w:sz="0" w:space="0" w:color="auto"/>
      </w:divBdr>
      <w:divsChild>
        <w:div w:id="1286696477">
          <w:marLeft w:val="0"/>
          <w:marRight w:val="0"/>
          <w:marTop w:val="0"/>
          <w:marBottom w:val="0"/>
          <w:divBdr>
            <w:top w:val="none" w:sz="0" w:space="0" w:color="auto"/>
            <w:left w:val="none" w:sz="0" w:space="0" w:color="auto"/>
            <w:bottom w:val="none" w:sz="0" w:space="0" w:color="auto"/>
            <w:right w:val="none" w:sz="0" w:space="0" w:color="auto"/>
          </w:divBdr>
        </w:div>
        <w:div w:id="1957179339">
          <w:marLeft w:val="0"/>
          <w:marRight w:val="0"/>
          <w:marTop w:val="0"/>
          <w:marBottom w:val="0"/>
          <w:divBdr>
            <w:top w:val="none" w:sz="0" w:space="0" w:color="auto"/>
            <w:left w:val="none" w:sz="0" w:space="0" w:color="auto"/>
            <w:bottom w:val="none" w:sz="0" w:space="0" w:color="auto"/>
            <w:right w:val="none" w:sz="0" w:space="0" w:color="auto"/>
          </w:divBdr>
        </w:div>
      </w:divsChild>
    </w:div>
    <w:div w:id="4919931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a.braca@iem.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7AE8-9D53-4477-9424-10AE88A0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14083</Words>
  <Characters>8028</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Noziedzīgi iegūtas mantas konfiskācijas izpildes likumā</vt:lpstr>
      <vt:lpstr>Grozījums Noziedzīgi iegūtas mantas konfiskācijas izpildes likumā</vt:lpstr>
    </vt:vector>
  </TitlesOfParts>
  <Company>Iekšlietu ministrija</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Noziedzīgi iegūtas mantas konfiskācijas izpildes likumā</dc:title>
  <dc:subject>Anotācija</dc:subject>
  <dc:creator>Krista Brača</dc:creator>
  <dc:description>672119158, krista.braca@iem.gov.lv</dc:description>
  <cp:lastModifiedBy>Krista Brača</cp:lastModifiedBy>
  <cp:revision>12</cp:revision>
  <cp:lastPrinted>2019-09-11T12:17:00Z</cp:lastPrinted>
  <dcterms:created xsi:type="dcterms:W3CDTF">2019-11-11T12:18:00Z</dcterms:created>
  <dcterms:modified xsi:type="dcterms:W3CDTF">2019-11-22T06:21:00Z</dcterms:modified>
</cp:coreProperties>
</file>