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7" w:rsidRPr="00E15696" w:rsidRDefault="008D70E7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696">
        <w:rPr>
          <w:rFonts w:ascii="Times New Roman" w:hAnsi="Times New Roman" w:cs="Times New Roman"/>
          <w:sz w:val="24"/>
          <w:szCs w:val="24"/>
        </w:rPr>
        <w:t>6</w:t>
      </w:r>
      <w:r w:rsidR="005C3DE7" w:rsidRPr="00E15696">
        <w:rPr>
          <w:rFonts w:ascii="Times New Roman" w:hAnsi="Times New Roman" w:cs="Times New Roman"/>
          <w:sz w:val="24"/>
          <w:szCs w:val="24"/>
        </w:rPr>
        <w:t>.pielikums</w:t>
      </w:r>
    </w:p>
    <w:p w:rsidR="005C3DE7" w:rsidRPr="00E15696" w:rsidRDefault="00BD663E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696">
        <w:rPr>
          <w:rFonts w:ascii="Times New Roman" w:hAnsi="Times New Roman" w:cs="Times New Roman"/>
          <w:sz w:val="24"/>
          <w:szCs w:val="24"/>
        </w:rPr>
        <w:t>Likumprojekta</w:t>
      </w:r>
      <w:r w:rsidR="005C3DE7" w:rsidRPr="00E15696">
        <w:rPr>
          <w:rFonts w:ascii="Times New Roman" w:hAnsi="Times New Roman" w:cs="Times New Roman"/>
          <w:sz w:val="24"/>
          <w:szCs w:val="24"/>
        </w:rPr>
        <w:t xml:space="preserve"> “Grozījumi Apsardzes </w:t>
      </w:r>
    </w:p>
    <w:p w:rsidR="005C3DE7" w:rsidRPr="00E15696" w:rsidRDefault="005C3DE7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696">
        <w:rPr>
          <w:rFonts w:ascii="Times New Roman" w:hAnsi="Times New Roman" w:cs="Times New Roman"/>
          <w:sz w:val="24"/>
          <w:szCs w:val="24"/>
        </w:rPr>
        <w:t xml:space="preserve">darbības likumā” sākotnējās ietekmes </w:t>
      </w:r>
    </w:p>
    <w:p w:rsidR="00641189" w:rsidRPr="00E15696" w:rsidRDefault="005C3DE7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696">
        <w:rPr>
          <w:rFonts w:ascii="Times New Roman" w:hAnsi="Times New Roman" w:cs="Times New Roman"/>
          <w:sz w:val="24"/>
          <w:szCs w:val="24"/>
        </w:rPr>
        <w:t>novērtējuma ziņojumam (anotācijai)</w:t>
      </w:r>
    </w:p>
    <w:p w:rsidR="0077780A" w:rsidRPr="00E15696" w:rsidRDefault="0077780A" w:rsidP="003B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6A8D" w:rsidRPr="00E15696" w:rsidRDefault="00134A4C" w:rsidP="003B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E15696">
        <w:rPr>
          <w:rFonts w:ascii="Times New Roman" w:hAnsi="Times New Roman" w:cs="Times New Roman"/>
          <w:b/>
          <w:sz w:val="28"/>
          <w:szCs w:val="28"/>
        </w:rPr>
        <w:t>I</w:t>
      </w:r>
      <w:r w:rsidR="008D70E7" w:rsidRPr="00E15696">
        <w:rPr>
          <w:rFonts w:ascii="Times New Roman" w:hAnsi="Times New Roman" w:cs="Times New Roman"/>
          <w:b/>
          <w:sz w:val="28"/>
          <w:szCs w:val="28"/>
        </w:rPr>
        <w:t xml:space="preserve">zdevumi, kas saistīti ar valsts nodevu maksājumu nodrošināšanu un citu </w:t>
      </w:r>
      <w:r w:rsidR="00F17796">
        <w:rPr>
          <w:rFonts w:ascii="Times New Roman" w:hAnsi="Times New Roman" w:cs="Times New Roman"/>
          <w:b/>
          <w:sz w:val="28"/>
          <w:szCs w:val="28"/>
        </w:rPr>
        <w:t>likum</w:t>
      </w:r>
      <w:r w:rsidR="008D70E7" w:rsidRPr="00E15696">
        <w:rPr>
          <w:rFonts w:ascii="Times New Roman" w:hAnsi="Times New Roman" w:cs="Times New Roman"/>
          <w:b/>
          <w:sz w:val="28"/>
          <w:szCs w:val="28"/>
        </w:rPr>
        <w:t>projektā paredzēto prasību izpildi (netiešie izdevumi)</w:t>
      </w:r>
    </w:p>
    <w:bookmarkEnd w:id="0"/>
    <w:p w:rsidR="00986E46" w:rsidRPr="00E15696" w:rsidRDefault="00986E4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A96" w:rsidRPr="00E15696" w:rsidRDefault="00640A9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Pr="00E15696" w:rsidRDefault="00640A96" w:rsidP="00640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96">
        <w:rPr>
          <w:rFonts w:ascii="Times New Roman" w:hAnsi="Times New Roman" w:cs="Times New Roman"/>
          <w:b/>
          <w:sz w:val="24"/>
          <w:szCs w:val="24"/>
        </w:rPr>
        <w:t>Kopsavilkums (netiešie izdevumi)</w:t>
      </w:r>
    </w:p>
    <w:p w:rsidR="00640A96" w:rsidRPr="00E15696" w:rsidRDefault="00640A9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93"/>
        <w:gridCol w:w="1249"/>
        <w:gridCol w:w="1244"/>
        <w:gridCol w:w="1328"/>
        <w:gridCol w:w="1249"/>
        <w:gridCol w:w="1244"/>
        <w:gridCol w:w="1328"/>
        <w:gridCol w:w="1249"/>
        <w:gridCol w:w="1244"/>
        <w:gridCol w:w="1328"/>
      </w:tblGrid>
      <w:tr w:rsidR="00640A96" w:rsidRPr="00E15696" w:rsidTr="003A47CF">
        <w:trPr>
          <w:trHeight w:val="571"/>
          <w:tblHeader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EKK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EKK nosaukums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Plānotie izdevumi*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Precizētie izdevumi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Starpība</w:t>
            </w:r>
          </w:p>
        </w:tc>
      </w:tr>
      <w:tr w:rsidR="00640A96" w:rsidRPr="00E15696" w:rsidTr="003A47CF">
        <w:trPr>
          <w:trHeight w:val="1260"/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Izdevumi gadā,</w:t>
            </w:r>
            <w:r w:rsidRPr="00640A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euro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policijai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Iekšlietu ministrijas Informācijas centram 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Izdevumi gadā,</w:t>
            </w:r>
            <w:r w:rsidRPr="00640A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euro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policijai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Iekšlietu ministrijas Informācijas centram 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Izdevumi gadā,</w:t>
            </w:r>
            <w:r w:rsidRPr="00640A9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euro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policijai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Iekšlietu ministrijas Informācijas centram </w:t>
            </w:r>
          </w:p>
        </w:tc>
      </w:tr>
      <w:tr w:rsidR="00640A96" w:rsidRPr="00E15696" w:rsidTr="00640A9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kopā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125 499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123 289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2 210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146 874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144 664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2 210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21 375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21 375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118 910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118 910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138 806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138 806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19 896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19 896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645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1116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Mēnešalga amatpersonām ar speciālajām dienesta pakāpēm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73 008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73 008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84 456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84 456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11 448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11 448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63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1143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Piemaksas par speciālo dienesta pakāpi un diplomātisko rangu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4 952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4 952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6 288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6 288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1 336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1 336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345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1147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Piemaksa par papildu darbu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7 301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7 301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8 446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8 446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1 145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1 145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Prēmijas un naudas balvas 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7 301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7 301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8 446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8 446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1 145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1 145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0C2CAB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devēja valsts sociālās apdrošināšanas obligātās iemaksas</w:t>
            </w:r>
          </w:p>
          <w:p w:rsidR="000C2CAB" w:rsidRPr="000C2CAB" w:rsidRDefault="000C2CAB" w:rsidP="000C2CA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640A96" w:rsidRPr="000C2CAB" w:rsidRDefault="00640A96" w:rsidP="000C2CAB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22 697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22 697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26 947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26 947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4 250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4 250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1455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1221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3 651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3 651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4 223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4 223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6 589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4 379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2 210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8 068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5 858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2 210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1 479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1 479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Izdevumi par sakaru pakalpojumiem</w:t>
            </w:r>
            <w:r w:rsidR="002E1E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345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Transportlīdzekļu uzturēšana un remonts</w:t>
            </w:r>
            <w:r w:rsidR="002E1E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661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1 285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1 285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Biroja preces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1 008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1 008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30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-226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-226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645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Kārtējā remonta un iestāžu uzturēšanas materiāli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2 304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1 800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2 304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504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1 800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40A96" w:rsidRPr="00E15696" w:rsidTr="00640A96">
        <w:trPr>
          <w:trHeight w:val="420"/>
        </w:trPr>
        <w:tc>
          <w:tcPr>
            <w:tcW w:w="70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2364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Formas tērpi un speciālais apģērbs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1 910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1 910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2 775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2 775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865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640A96" w:rsidRPr="00640A96" w:rsidRDefault="00640A96" w:rsidP="00640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0A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</w:tbl>
    <w:p w:rsidR="00640A96" w:rsidRDefault="00640A9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96">
        <w:rPr>
          <w:rFonts w:ascii="Times New Roman" w:hAnsi="Times New Roman" w:cs="Times New Roman"/>
          <w:sz w:val="24"/>
          <w:szCs w:val="24"/>
        </w:rPr>
        <w:t>* Saskaņā ar valsts budžetu.</w:t>
      </w:r>
    </w:p>
    <w:p w:rsidR="002E1EDE" w:rsidRDefault="002E1EDE" w:rsidP="002E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2E1EDE">
        <w:rPr>
          <w:rFonts w:ascii="Times New Roman" w:hAnsi="Times New Roman" w:cs="Times New Roman"/>
          <w:sz w:val="24"/>
          <w:szCs w:val="24"/>
        </w:rPr>
        <w:t xml:space="preserve">Ministru kabineta 2014.gada 9.decembra noteikumu Nr.757 “Apsardzes darbības licencēšanas noteikumi” sākotnējās ietekmes novērtējuma ziņojuma (anotācijas) 2.pielikumā </w:t>
      </w:r>
      <w:r>
        <w:rPr>
          <w:rFonts w:ascii="Times New Roman" w:hAnsi="Times New Roman" w:cs="Times New Roman"/>
          <w:sz w:val="24"/>
          <w:szCs w:val="24"/>
        </w:rPr>
        <w:t xml:space="preserve">izdevumi klasificēti EEK 2219 (saskaņā ar šobrīd spēkā esošajiem </w:t>
      </w:r>
      <w:r w:rsidRPr="002E1EDE">
        <w:rPr>
          <w:rFonts w:ascii="Times New Roman" w:hAnsi="Times New Roman" w:cs="Times New Roman"/>
          <w:sz w:val="24"/>
          <w:szCs w:val="24"/>
        </w:rPr>
        <w:t>Ministru kabineta noteikumi</w:t>
      </w:r>
      <w:r>
        <w:rPr>
          <w:rFonts w:ascii="Times New Roman" w:hAnsi="Times New Roman" w:cs="Times New Roman"/>
          <w:sz w:val="24"/>
          <w:szCs w:val="24"/>
        </w:rPr>
        <w:t>em Nr.1031 “</w:t>
      </w:r>
      <w:r w:rsidRPr="002E1EDE">
        <w:rPr>
          <w:rFonts w:ascii="Times New Roman" w:hAnsi="Times New Roman" w:cs="Times New Roman"/>
          <w:sz w:val="24"/>
          <w:szCs w:val="24"/>
        </w:rPr>
        <w:t>Noteikumi par budžetu izdevumu klasifikāciju atbilstoši ekonomiskajām kategorijām</w:t>
      </w:r>
      <w:r>
        <w:rPr>
          <w:rFonts w:ascii="Times New Roman" w:hAnsi="Times New Roman" w:cs="Times New Roman"/>
          <w:sz w:val="24"/>
          <w:szCs w:val="24"/>
        </w:rPr>
        <w:t>” EEK 2219 svītrots).</w:t>
      </w:r>
    </w:p>
    <w:p w:rsidR="00D81BC4" w:rsidRDefault="00D81BC4" w:rsidP="002E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Pr="002E1EDE">
        <w:rPr>
          <w:rFonts w:ascii="Times New Roman" w:hAnsi="Times New Roman" w:cs="Times New Roman"/>
          <w:sz w:val="24"/>
          <w:szCs w:val="24"/>
        </w:rPr>
        <w:t xml:space="preserve">Ministru kabineta 2014.gada 9.decembra noteikumu Nr.757 “Apsardzes darbības licencēšanas noteikumi” sākotnējās ietekmes novērtējuma ziņojuma (anotācijas) 2.pielikumā </w:t>
      </w:r>
      <w:r>
        <w:rPr>
          <w:rFonts w:ascii="Times New Roman" w:hAnsi="Times New Roman" w:cs="Times New Roman"/>
          <w:sz w:val="24"/>
          <w:szCs w:val="24"/>
        </w:rPr>
        <w:t>izdevumi klasificēti EEK 2247.</w:t>
      </w:r>
    </w:p>
    <w:p w:rsidR="002E1EDE" w:rsidRPr="00E15696" w:rsidRDefault="002E1EDE" w:rsidP="002E1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6" w:rsidRPr="00E15696" w:rsidRDefault="00A519D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CF" w:rsidRDefault="003A4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19D6" w:rsidRPr="003A47CF" w:rsidRDefault="00E15696" w:rsidP="003A4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CF">
        <w:rPr>
          <w:rFonts w:ascii="Times New Roman" w:hAnsi="Times New Roman" w:cs="Times New Roman"/>
          <w:b/>
          <w:sz w:val="24"/>
          <w:szCs w:val="24"/>
        </w:rPr>
        <w:lastRenderedPageBreak/>
        <w:t>Detalizēts precizēto izdevumu aprēķins (net</w:t>
      </w:r>
      <w:r w:rsidR="003A47CF" w:rsidRPr="003A47CF">
        <w:rPr>
          <w:rFonts w:ascii="Times New Roman" w:hAnsi="Times New Roman" w:cs="Times New Roman"/>
          <w:b/>
          <w:sz w:val="24"/>
          <w:szCs w:val="24"/>
        </w:rPr>
        <w:t>iešie izdevumi)</w:t>
      </w:r>
    </w:p>
    <w:p w:rsidR="00E15696" w:rsidRPr="00E15696" w:rsidRDefault="00E1569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96"/>
        <w:gridCol w:w="5119"/>
        <w:gridCol w:w="1985"/>
        <w:gridCol w:w="2268"/>
        <w:gridCol w:w="2409"/>
      </w:tblGrid>
      <w:tr w:rsidR="003A47CF" w:rsidRPr="00E15696" w:rsidTr="003A47CF">
        <w:trPr>
          <w:trHeight w:val="150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EKK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EKK nosaukums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apakšprogrmmās 06.01.00 un 02.03.00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Precizētie izdevumi 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Valsts policijai 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(budžeta apakšprogramma 06.01.00)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Precizētie izdevumi 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Iekšlietu ministrijas Informācijas centram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(budžeta apakšprogramma 02.03.00)</w:t>
            </w:r>
          </w:p>
        </w:tc>
      </w:tr>
      <w:tr w:rsidR="003A47CF" w:rsidRPr="00E15696" w:rsidTr="003A47C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kopā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146 874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144 664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2 210</w:t>
            </w:r>
          </w:p>
        </w:tc>
      </w:tr>
      <w:tr w:rsidR="003A47CF" w:rsidRPr="00E15696" w:rsidTr="003A47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138806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138 806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3A47CF" w:rsidRPr="00E15696" w:rsidTr="00AA20CC">
        <w:trPr>
          <w:trHeight w:val="228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1116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Mēnešalga amatpersonām ar speciālajām dienesta pakāpēm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galvenais inspektors (9 m.a.gr.)  - 1 397 EUR mēnesī (2 amati)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vecākais inspektors (7 m.a.gr.) -1 103 EUR mēnesī (2 amati)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inspektors (5 m.a.gr.)- 1 019 EUR mēnesī (2 amati)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br/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(1 397 EUR x 2 amati + 1 103 EUR x 2 amati x 1 019 EUR x 2 amati) x 12 mēn = 84 456 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84 456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84 456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AA20CC">
        <w:trPr>
          <w:trHeight w:val="155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1143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Piemaksas par speciālo dienesta pakāpi un diplomātisko rangu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majors - 106 EUR (2 amati)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kapteinis - 78 EUR (4 amati)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(106 EUR x 2 amati  + 78 EUR x 4 amati) x 12 mēn. = 6288 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6 288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AA20CC">
        <w:trPr>
          <w:trHeight w:val="11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1147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Piemaksa par papildu darbu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AA20CC" w:rsidRPr="00E15696" w:rsidRDefault="00E15696" w:rsidP="00A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br/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10 % no plānoto amatu vietu skaitam plānotās mēnešalgu kopsummas attiecīgajā kalendāra gadā.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8 446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AA20CC">
        <w:trPr>
          <w:trHeight w:val="11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Prēmijas un naudas balvas 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br/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10 % no plānoto amatu vietu skaitam plānotās mēnešalgu kopsummas attiecīgajā kalendāra gadā.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8 446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AA20CC">
        <w:trPr>
          <w:trHeight w:val="10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1210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br/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24,09% no EKK 1116, 1147, 1148 un EKK 1221 summas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26 947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26 947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3A47CF">
        <w:trPr>
          <w:trHeight w:val="18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1221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br/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Atvaļinājuma pabalsts. 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Tiek plānots 5 % no amatu vietu skaitam plānotās mēnešalgu kopsummas attiecīgajā kalendāra gadā.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4 223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4 223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3A47C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8 068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5 858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2 210</w:t>
            </w:r>
          </w:p>
        </w:tc>
      </w:tr>
      <w:tr w:rsidR="003A47CF" w:rsidRPr="00E15696" w:rsidTr="00AA20CC">
        <w:trPr>
          <w:trHeight w:val="15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2210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Izdevumi par sakaru pakalpojumiem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AA20CC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02.03.00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Stacionāro telefonu izmaksas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Vidējās izmaksas uz vienu amatpersonu ar SPD mēnesī – 5,69 EUR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 xml:space="preserve">2021.gadā un turpmāk ik gadu: 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6×5,69×12=409,68 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</w:tr>
      <w:tr w:rsidR="003A47CF" w:rsidRPr="00E15696" w:rsidTr="00AA20CC">
        <w:trPr>
          <w:trHeight w:val="18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2242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Transportlīdzekļu uzturēšana un remonts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br/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KASKO apdrošināšana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vidēji 5% no transportlīdzekļa vērtības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14 900 EUR x 5% = 745 EUR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Vidējās transportlīdzekļa remonta un uzturēšanas izmaksas gadā vienam transportlīdzeklim - 540 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1 285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AA20CC">
        <w:trPr>
          <w:trHeight w:val="14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2311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Biroja preces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Vidējie izdevumu uz vienu nodarbināto mēnesī 14 EUR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14 EUR x 6 personas x 12 mēn. = 1 008 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1 008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AA20CC">
        <w:trPr>
          <w:trHeight w:val="18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Degviela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Plānotais nobraukums gadā 2 000 km, plānotais degvielas patēriņš uz 100 km 10 litri, viena degvielas litra cena vidēji 1,43 EUR/L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(2 000 km x 10 L)/100 km x 1,43 EUR = 286 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A47CF" w:rsidRPr="00E15696" w:rsidTr="00AA20CC">
        <w:trPr>
          <w:trHeight w:val="33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Kārtējā remonta un iestāžu uzturēšanas materiāli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AA20CC" w:rsidRDefault="00E15696" w:rsidP="00A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Vidējie izdevumu uz vienu nodarbināto mēnesī 7EUR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7 EUR x 6 personas x 12 mēn. = 504 EUR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</w:p>
          <w:p w:rsidR="00E15696" w:rsidRPr="00E15696" w:rsidRDefault="00E15696" w:rsidP="00AA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02.03.00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Informācijas, sakaru līdzekļu, biroja tehnikas kārtējā remonta un uzturēšanas materiāli (toneri printeriem, rezerves daļas u.c.). Vidējie izdevumi uz vienu nodarbināto mēnesī 25 EUR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6x25x12 = 1 800 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2 304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1800</w:t>
            </w:r>
          </w:p>
        </w:tc>
      </w:tr>
      <w:tr w:rsidR="003A47CF" w:rsidRPr="00E15696" w:rsidTr="003A47CF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2364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Formas tērpi un speciālais apģērbs</w:t>
            </w:r>
          </w:p>
        </w:tc>
        <w:tc>
          <w:tcPr>
            <w:tcW w:w="511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Budžeta apakšprogramma 06.01.00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Fiormas tērpa atjaunošanas izmaksas 1 amatpersonai gadā - 462,50 EUR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E15696">
              <w:rPr>
                <w:rFonts w:ascii="Times New Roman" w:eastAsia="Times New Roman" w:hAnsi="Times New Roman" w:cs="Times New Roman"/>
                <w:color w:val="000000"/>
                <w:u w:val="single"/>
                <w:lang w:eastAsia="lv-LV"/>
              </w:rPr>
              <w:t>2021.gadā un turpmāk ik gadu:</w:t>
            </w: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462,50 EUR x 6 personas = 2 775 EUR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2 775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15696" w:rsidRPr="00E15696" w:rsidRDefault="00E15696" w:rsidP="00E1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1569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</w:tbl>
    <w:p w:rsidR="00A519D6" w:rsidRPr="00E15696" w:rsidRDefault="00A519D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6" w:rsidRPr="00E15696" w:rsidRDefault="00A519D6" w:rsidP="003B2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E46" w:rsidRPr="00E15696" w:rsidRDefault="0073086B" w:rsidP="00DF228C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696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="0008209D" w:rsidRPr="00E15696">
        <w:rPr>
          <w:rFonts w:ascii="Times New Roman" w:hAnsi="Times New Roman" w:cs="Times New Roman"/>
          <w:sz w:val="28"/>
          <w:szCs w:val="28"/>
        </w:rPr>
        <w:tab/>
        <w:t>Sandis Ģirģens</w:t>
      </w:r>
    </w:p>
    <w:p w:rsidR="00986E46" w:rsidRPr="00E15696" w:rsidRDefault="00986E46" w:rsidP="003B2534">
      <w:pPr>
        <w:tabs>
          <w:tab w:val="left" w:pos="117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46" w:rsidRPr="00E15696" w:rsidRDefault="00986E46" w:rsidP="003B2534">
      <w:pPr>
        <w:pStyle w:val="naisf"/>
        <w:tabs>
          <w:tab w:val="left" w:pos="5954"/>
          <w:tab w:val="left" w:pos="11766"/>
        </w:tabs>
        <w:spacing w:before="0" w:beforeAutospacing="0" w:after="0" w:afterAutospacing="0"/>
        <w:rPr>
          <w:sz w:val="28"/>
          <w:szCs w:val="28"/>
        </w:rPr>
      </w:pPr>
      <w:r w:rsidRPr="00E15696">
        <w:rPr>
          <w:sz w:val="28"/>
          <w:szCs w:val="28"/>
        </w:rPr>
        <w:t xml:space="preserve">Vīza: </w:t>
      </w:r>
    </w:p>
    <w:p w:rsidR="00986E46" w:rsidRPr="00E15696" w:rsidRDefault="0073086B" w:rsidP="00DF228C">
      <w:pPr>
        <w:pStyle w:val="naisf"/>
        <w:tabs>
          <w:tab w:val="left" w:pos="11766"/>
        </w:tabs>
        <w:spacing w:before="0" w:beforeAutospacing="0" w:after="0" w:afterAutospacing="0"/>
        <w:rPr>
          <w:sz w:val="28"/>
          <w:szCs w:val="28"/>
        </w:rPr>
      </w:pPr>
      <w:r w:rsidRPr="00E15696">
        <w:rPr>
          <w:sz w:val="28"/>
          <w:szCs w:val="28"/>
        </w:rPr>
        <w:t xml:space="preserve">Valsts sekretārs </w:t>
      </w:r>
      <w:r w:rsidR="0008209D" w:rsidRPr="00E15696">
        <w:rPr>
          <w:sz w:val="28"/>
          <w:szCs w:val="28"/>
        </w:rPr>
        <w:tab/>
      </w:r>
      <w:r w:rsidR="00986E46" w:rsidRPr="00E15696">
        <w:rPr>
          <w:sz w:val="28"/>
          <w:szCs w:val="28"/>
        </w:rPr>
        <w:t>Dimitrijs Trofimovs</w:t>
      </w:r>
    </w:p>
    <w:p w:rsidR="00543074" w:rsidRPr="00E15696" w:rsidRDefault="00543074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543074" w:rsidRPr="00E15696" w:rsidRDefault="00543074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AA20CC" w:rsidRDefault="00AA20CC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p w:rsidR="001C6A8D" w:rsidRPr="00E15696" w:rsidRDefault="001C6A8D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E15696">
        <w:rPr>
          <w:rFonts w:ascii="Times New Roman" w:hAnsi="Times New Roman" w:cs="Times New Roman"/>
          <w:noProof/>
          <w:sz w:val="20"/>
          <w:szCs w:val="20"/>
          <w:lang w:eastAsia="lv-LV"/>
        </w:rPr>
        <w:t>I.Dzene 67075548</w:t>
      </w:r>
    </w:p>
    <w:p w:rsidR="00DE1BF7" w:rsidRPr="00E15696" w:rsidRDefault="005D4368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hyperlink r:id="rId8" w:history="1">
        <w:r w:rsidR="001C6A8D" w:rsidRPr="00E15696">
          <w:rPr>
            <w:rStyle w:val="Hyperlink"/>
            <w:rFonts w:ascii="Times New Roman" w:hAnsi="Times New Roman" w:cs="Times New Roman"/>
            <w:noProof/>
            <w:sz w:val="20"/>
            <w:szCs w:val="20"/>
            <w:lang w:eastAsia="lv-LV"/>
          </w:rPr>
          <w:t>ilze.dzene@vp.gov.lv</w:t>
        </w:r>
      </w:hyperlink>
      <w:r w:rsidR="001C6A8D" w:rsidRPr="00E15696"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</w:t>
      </w:r>
    </w:p>
    <w:p w:rsidR="00E40EF6" w:rsidRPr="00E15696" w:rsidRDefault="00E40EF6" w:rsidP="00E40EF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E15696">
        <w:rPr>
          <w:noProof/>
          <w:sz w:val="20"/>
          <w:szCs w:val="20"/>
        </w:rPr>
        <w:t>A.Kronberga 67208712</w:t>
      </w:r>
    </w:p>
    <w:p w:rsidR="00E40EF6" w:rsidRPr="00E15696" w:rsidRDefault="005D4368" w:rsidP="00E40EF6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hyperlink r:id="rId9" w:history="1">
        <w:r w:rsidR="00E40EF6" w:rsidRPr="00E15696">
          <w:rPr>
            <w:rStyle w:val="Hyperlink"/>
            <w:noProof/>
            <w:sz w:val="20"/>
            <w:szCs w:val="20"/>
          </w:rPr>
          <w:t>arta.kronberga@ic.iem.gov.lv</w:t>
        </w:r>
      </w:hyperlink>
      <w:r w:rsidR="00E40EF6" w:rsidRPr="00E15696">
        <w:rPr>
          <w:noProof/>
          <w:sz w:val="20"/>
          <w:szCs w:val="20"/>
        </w:rPr>
        <w:t xml:space="preserve"> </w:t>
      </w:r>
    </w:p>
    <w:p w:rsidR="00E40EF6" w:rsidRPr="00E15696" w:rsidRDefault="00E40EF6" w:rsidP="003B2534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</w:p>
    <w:sectPr w:rsidR="00E40EF6" w:rsidRPr="00E15696" w:rsidSect="00AA2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68" w:rsidRDefault="005D4368" w:rsidP="00F404A7">
      <w:pPr>
        <w:spacing w:after="0" w:line="240" w:lineRule="auto"/>
      </w:pPr>
      <w:r>
        <w:separator/>
      </w:r>
    </w:p>
  </w:endnote>
  <w:endnote w:type="continuationSeparator" w:id="0">
    <w:p w:rsidR="005D4368" w:rsidRDefault="005D4368" w:rsidP="00F4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5D" w:rsidRDefault="00221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84" w:rsidRPr="008E0977" w:rsidRDefault="002F4484">
    <w:pPr>
      <w:pStyle w:val="Footer"/>
      <w:rPr>
        <w:rFonts w:ascii="Times New Roman" w:hAnsi="Times New Roman" w:cs="Times New Roman"/>
        <w:sz w:val="20"/>
        <w:szCs w:val="20"/>
      </w:rPr>
    </w:pPr>
    <w:r w:rsidRPr="008E0977">
      <w:rPr>
        <w:rFonts w:ascii="Times New Roman" w:hAnsi="Times New Roman" w:cs="Times New Roman"/>
        <w:sz w:val="20"/>
        <w:szCs w:val="20"/>
      </w:rPr>
      <w:fldChar w:fldCharType="begin"/>
    </w:r>
    <w:r w:rsidRPr="008E09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E0977">
      <w:rPr>
        <w:rFonts w:ascii="Times New Roman" w:hAnsi="Times New Roman" w:cs="Times New Roman"/>
        <w:sz w:val="20"/>
        <w:szCs w:val="20"/>
      </w:rPr>
      <w:fldChar w:fldCharType="separate"/>
    </w:r>
    <w:r w:rsidR="001C7E1B">
      <w:rPr>
        <w:rFonts w:ascii="Times New Roman" w:hAnsi="Times New Roman" w:cs="Times New Roman"/>
        <w:noProof/>
        <w:sz w:val="20"/>
        <w:szCs w:val="20"/>
      </w:rPr>
      <w:t>IEMAnotp6_12</w:t>
    </w:r>
    <w:bookmarkStart w:id="1" w:name="_GoBack"/>
    <w:bookmarkEnd w:id="1"/>
    <w:r w:rsidR="000C343E">
      <w:rPr>
        <w:rFonts w:ascii="Times New Roman" w:hAnsi="Times New Roman" w:cs="Times New Roman"/>
        <w:noProof/>
        <w:sz w:val="20"/>
        <w:szCs w:val="20"/>
      </w:rPr>
      <w:t>09</w:t>
    </w:r>
    <w:r w:rsidR="0061211E">
      <w:rPr>
        <w:rFonts w:ascii="Times New Roman" w:hAnsi="Times New Roman" w:cs="Times New Roman"/>
        <w:noProof/>
        <w:sz w:val="20"/>
        <w:szCs w:val="20"/>
      </w:rPr>
      <w:t>19_ADR</w:t>
    </w:r>
    <w:r w:rsidRPr="008E09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84" w:rsidRPr="008E0977" w:rsidRDefault="002F4484">
    <w:pPr>
      <w:pStyle w:val="Footer"/>
      <w:rPr>
        <w:rFonts w:ascii="Times New Roman" w:hAnsi="Times New Roman" w:cs="Times New Roman"/>
        <w:sz w:val="20"/>
        <w:szCs w:val="20"/>
      </w:rPr>
    </w:pPr>
    <w:r w:rsidRPr="008E0977">
      <w:rPr>
        <w:rFonts w:ascii="Times New Roman" w:hAnsi="Times New Roman" w:cs="Times New Roman"/>
        <w:sz w:val="20"/>
        <w:szCs w:val="20"/>
      </w:rPr>
      <w:fldChar w:fldCharType="begin"/>
    </w:r>
    <w:r w:rsidRPr="008E097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8E0977">
      <w:rPr>
        <w:rFonts w:ascii="Times New Roman" w:hAnsi="Times New Roman" w:cs="Times New Roman"/>
        <w:sz w:val="20"/>
        <w:szCs w:val="20"/>
      </w:rPr>
      <w:fldChar w:fldCharType="separate"/>
    </w:r>
    <w:r w:rsidR="001C7E1B">
      <w:rPr>
        <w:rFonts w:ascii="Times New Roman" w:hAnsi="Times New Roman" w:cs="Times New Roman"/>
        <w:noProof/>
        <w:sz w:val="20"/>
        <w:szCs w:val="20"/>
      </w:rPr>
      <w:t>IEMAnotp6_12</w:t>
    </w:r>
    <w:r w:rsidR="000C343E">
      <w:rPr>
        <w:rFonts w:ascii="Times New Roman" w:hAnsi="Times New Roman" w:cs="Times New Roman"/>
        <w:noProof/>
        <w:sz w:val="20"/>
        <w:szCs w:val="20"/>
      </w:rPr>
      <w:t>09</w:t>
    </w:r>
    <w:r w:rsidR="0061211E">
      <w:rPr>
        <w:rFonts w:ascii="Times New Roman" w:hAnsi="Times New Roman" w:cs="Times New Roman"/>
        <w:noProof/>
        <w:sz w:val="20"/>
        <w:szCs w:val="20"/>
      </w:rPr>
      <w:t>19_ADR</w:t>
    </w:r>
    <w:r w:rsidRPr="008E097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68" w:rsidRDefault="005D4368" w:rsidP="00F404A7">
      <w:pPr>
        <w:spacing w:after="0" w:line="240" w:lineRule="auto"/>
      </w:pPr>
      <w:r>
        <w:separator/>
      </w:r>
    </w:p>
  </w:footnote>
  <w:footnote w:type="continuationSeparator" w:id="0">
    <w:p w:rsidR="005D4368" w:rsidRDefault="005D4368" w:rsidP="00F4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5D" w:rsidRDefault="00221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06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484" w:rsidRPr="00F404A7" w:rsidRDefault="002F44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4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4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04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E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04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4484" w:rsidRDefault="002F4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90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322541" w:rsidRPr="00322541" w:rsidRDefault="00322541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322541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322541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322541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C7E1B">
          <w:rPr>
            <w:rFonts w:ascii="Times New Roman" w:hAnsi="Times New Roman" w:cs="Times New Roman"/>
            <w:noProof/>
            <w:sz w:val="24"/>
            <w:szCs w:val="20"/>
          </w:rPr>
          <w:t>1</w:t>
        </w:r>
        <w:r w:rsidRPr="00322541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  <w:p w:rsidR="00322541" w:rsidRDefault="00322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530"/>
    <w:multiLevelType w:val="multilevel"/>
    <w:tmpl w:val="55F40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71F06"/>
    <w:multiLevelType w:val="hybridMultilevel"/>
    <w:tmpl w:val="17AA3944"/>
    <w:lvl w:ilvl="0" w:tplc="94A4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266"/>
    <w:multiLevelType w:val="hybridMultilevel"/>
    <w:tmpl w:val="41BE8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4AF"/>
    <w:multiLevelType w:val="multilevel"/>
    <w:tmpl w:val="4CE0B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773D9"/>
    <w:multiLevelType w:val="multilevel"/>
    <w:tmpl w:val="06927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DA70CC"/>
    <w:multiLevelType w:val="multilevel"/>
    <w:tmpl w:val="3D041B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675DA5"/>
    <w:multiLevelType w:val="multilevel"/>
    <w:tmpl w:val="1B2E04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93906"/>
    <w:multiLevelType w:val="hybridMultilevel"/>
    <w:tmpl w:val="1378505A"/>
    <w:lvl w:ilvl="0" w:tplc="25349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5586"/>
    <w:multiLevelType w:val="hybridMultilevel"/>
    <w:tmpl w:val="33442250"/>
    <w:lvl w:ilvl="0" w:tplc="45F659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604CB"/>
    <w:multiLevelType w:val="hybridMultilevel"/>
    <w:tmpl w:val="17AA3944"/>
    <w:lvl w:ilvl="0" w:tplc="94A4D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553E5"/>
    <w:multiLevelType w:val="multilevel"/>
    <w:tmpl w:val="6E728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073B5F"/>
    <w:multiLevelType w:val="hybridMultilevel"/>
    <w:tmpl w:val="CCD6C5AC"/>
    <w:lvl w:ilvl="0" w:tplc="9DC88A7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5768"/>
    <w:multiLevelType w:val="hybridMultilevel"/>
    <w:tmpl w:val="0046D1D6"/>
    <w:lvl w:ilvl="0" w:tplc="57862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642"/>
    <w:multiLevelType w:val="multilevel"/>
    <w:tmpl w:val="EF240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2B44AB"/>
    <w:multiLevelType w:val="hybridMultilevel"/>
    <w:tmpl w:val="4EC075A4"/>
    <w:lvl w:ilvl="0" w:tplc="40566CC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C438F2"/>
    <w:multiLevelType w:val="hybridMultilevel"/>
    <w:tmpl w:val="2E9C6AD2"/>
    <w:lvl w:ilvl="0" w:tplc="C96A85C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B152E7C"/>
    <w:multiLevelType w:val="multilevel"/>
    <w:tmpl w:val="4CE0B0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BE7A3B"/>
    <w:multiLevelType w:val="multilevel"/>
    <w:tmpl w:val="DFD695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206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4"/>
  </w:num>
  <w:num w:numId="8">
    <w:abstractNumId w:val="13"/>
  </w:num>
  <w:num w:numId="9">
    <w:abstractNumId w:val="17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85"/>
    <w:rsid w:val="00005095"/>
    <w:rsid w:val="0001488C"/>
    <w:rsid w:val="00020CB0"/>
    <w:rsid w:val="0002483B"/>
    <w:rsid w:val="00041A0C"/>
    <w:rsid w:val="000529B7"/>
    <w:rsid w:val="00053ECF"/>
    <w:rsid w:val="0005401D"/>
    <w:rsid w:val="00061D54"/>
    <w:rsid w:val="0006444D"/>
    <w:rsid w:val="0007179B"/>
    <w:rsid w:val="000736D3"/>
    <w:rsid w:val="00081C77"/>
    <w:rsid w:val="0008209D"/>
    <w:rsid w:val="00087D62"/>
    <w:rsid w:val="000B2DC9"/>
    <w:rsid w:val="000C08A4"/>
    <w:rsid w:val="000C2CAB"/>
    <w:rsid w:val="000C343E"/>
    <w:rsid w:val="000C3609"/>
    <w:rsid w:val="000C47C8"/>
    <w:rsid w:val="000E2DF9"/>
    <w:rsid w:val="000F3BF9"/>
    <w:rsid w:val="00100626"/>
    <w:rsid w:val="0012340C"/>
    <w:rsid w:val="00133EA8"/>
    <w:rsid w:val="00134A4C"/>
    <w:rsid w:val="00137C84"/>
    <w:rsid w:val="00146FD4"/>
    <w:rsid w:val="00160C55"/>
    <w:rsid w:val="00165C95"/>
    <w:rsid w:val="00167080"/>
    <w:rsid w:val="001859A0"/>
    <w:rsid w:val="001943A4"/>
    <w:rsid w:val="00195673"/>
    <w:rsid w:val="001B031E"/>
    <w:rsid w:val="001B6109"/>
    <w:rsid w:val="001C6A8D"/>
    <w:rsid w:val="001C7E1B"/>
    <w:rsid w:val="001D18D6"/>
    <w:rsid w:val="001D1C77"/>
    <w:rsid w:val="001E5DE0"/>
    <w:rsid w:val="001E6BA2"/>
    <w:rsid w:val="001F31A3"/>
    <w:rsid w:val="00205FEC"/>
    <w:rsid w:val="002060BF"/>
    <w:rsid w:val="00212217"/>
    <w:rsid w:val="002207D5"/>
    <w:rsid w:val="0022135D"/>
    <w:rsid w:val="0022493D"/>
    <w:rsid w:val="002320A6"/>
    <w:rsid w:val="002321FD"/>
    <w:rsid w:val="002357BE"/>
    <w:rsid w:val="00252938"/>
    <w:rsid w:val="00253373"/>
    <w:rsid w:val="002573E5"/>
    <w:rsid w:val="00261426"/>
    <w:rsid w:val="00263B59"/>
    <w:rsid w:val="0027206F"/>
    <w:rsid w:val="002740FF"/>
    <w:rsid w:val="00276B48"/>
    <w:rsid w:val="002864C3"/>
    <w:rsid w:val="002945FF"/>
    <w:rsid w:val="002A5221"/>
    <w:rsid w:val="002B5D26"/>
    <w:rsid w:val="002B6B3F"/>
    <w:rsid w:val="002B77FD"/>
    <w:rsid w:val="002B7EF5"/>
    <w:rsid w:val="002C087F"/>
    <w:rsid w:val="002D378C"/>
    <w:rsid w:val="002D6D80"/>
    <w:rsid w:val="002D7A32"/>
    <w:rsid w:val="002E1EDE"/>
    <w:rsid w:val="002F4484"/>
    <w:rsid w:val="002F7A58"/>
    <w:rsid w:val="0030192B"/>
    <w:rsid w:val="003019F5"/>
    <w:rsid w:val="003102A3"/>
    <w:rsid w:val="00310E3A"/>
    <w:rsid w:val="003112AF"/>
    <w:rsid w:val="0031693A"/>
    <w:rsid w:val="00322541"/>
    <w:rsid w:val="00322EB9"/>
    <w:rsid w:val="003234F2"/>
    <w:rsid w:val="00325EC0"/>
    <w:rsid w:val="00331174"/>
    <w:rsid w:val="00342B01"/>
    <w:rsid w:val="00344969"/>
    <w:rsid w:val="003453B3"/>
    <w:rsid w:val="0035158C"/>
    <w:rsid w:val="0035438B"/>
    <w:rsid w:val="00365E6F"/>
    <w:rsid w:val="00371309"/>
    <w:rsid w:val="00382A52"/>
    <w:rsid w:val="00396252"/>
    <w:rsid w:val="003A3DAD"/>
    <w:rsid w:val="003A47CF"/>
    <w:rsid w:val="003A587F"/>
    <w:rsid w:val="003B23AE"/>
    <w:rsid w:val="003B2534"/>
    <w:rsid w:val="003B4B93"/>
    <w:rsid w:val="003B5206"/>
    <w:rsid w:val="003B7788"/>
    <w:rsid w:val="003C20CC"/>
    <w:rsid w:val="003C2D0F"/>
    <w:rsid w:val="003E4938"/>
    <w:rsid w:val="003F19DC"/>
    <w:rsid w:val="003F2359"/>
    <w:rsid w:val="003F3622"/>
    <w:rsid w:val="00400805"/>
    <w:rsid w:val="00405AC3"/>
    <w:rsid w:val="00423DF1"/>
    <w:rsid w:val="00430D43"/>
    <w:rsid w:val="004335BD"/>
    <w:rsid w:val="004378B1"/>
    <w:rsid w:val="00444918"/>
    <w:rsid w:val="0044495C"/>
    <w:rsid w:val="00467176"/>
    <w:rsid w:val="0047203D"/>
    <w:rsid w:val="00473C2A"/>
    <w:rsid w:val="00474BD5"/>
    <w:rsid w:val="00476645"/>
    <w:rsid w:val="004808AA"/>
    <w:rsid w:val="004816DD"/>
    <w:rsid w:val="00484828"/>
    <w:rsid w:val="004850BF"/>
    <w:rsid w:val="004939EB"/>
    <w:rsid w:val="00494119"/>
    <w:rsid w:val="00494370"/>
    <w:rsid w:val="004A07F5"/>
    <w:rsid w:val="004B6040"/>
    <w:rsid w:val="004E2288"/>
    <w:rsid w:val="004E32D3"/>
    <w:rsid w:val="0050017C"/>
    <w:rsid w:val="00501904"/>
    <w:rsid w:val="00502890"/>
    <w:rsid w:val="00506123"/>
    <w:rsid w:val="00506F97"/>
    <w:rsid w:val="0051443A"/>
    <w:rsid w:val="00522CBF"/>
    <w:rsid w:val="00526A97"/>
    <w:rsid w:val="00543074"/>
    <w:rsid w:val="0057733C"/>
    <w:rsid w:val="00581F52"/>
    <w:rsid w:val="0059179A"/>
    <w:rsid w:val="005A2F07"/>
    <w:rsid w:val="005A7D02"/>
    <w:rsid w:val="005C2B37"/>
    <w:rsid w:val="005C3DE7"/>
    <w:rsid w:val="005C6BF9"/>
    <w:rsid w:val="005D4368"/>
    <w:rsid w:val="005D59F4"/>
    <w:rsid w:val="005D79BF"/>
    <w:rsid w:val="005E483C"/>
    <w:rsid w:val="005F3096"/>
    <w:rsid w:val="005F5301"/>
    <w:rsid w:val="005F7F9B"/>
    <w:rsid w:val="00601BCE"/>
    <w:rsid w:val="0061211E"/>
    <w:rsid w:val="00612C8E"/>
    <w:rsid w:val="00614AFA"/>
    <w:rsid w:val="0062554C"/>
    <w:rsid w:val="006257B5"/>
    <w:rsid w:val="006279C2"/>
    <w:rsid w:val="00634E03"/>
    <w:rsid w:val="00635DE0"/>
    <w:rsid w:val="00635E38"/>
    <w:rsid w:val="00640A96"/>
    <w:rsid w:val="00641189"/>
    <w:rsid w:val="00656285"/>
    <w:rsid w:val="00691E21"/>
    <w:rsid w:val="006A582A"/>
    <w:rsid w:val="006C2654"/>
    <w:rsid w:val="006D29D4"/>
    <w:rsid w:val="006D5002"/>
    <w:rsid w:val="006E7AFB"/>
    <w:rsid w:val="006E7C9D"/>
    <w:rsid w:val="006F2F45"/>
    <w:rsid w:val="00701AC2"/>
    <w:rsid w:val="007114D4"/>
    <w:rsid w:val="00717CA2"/>
    <w:rsid w:val="007243BB"/>
    <w:rsid w:val="007260BD"/>
    <w:rsid w:val="00726A4A"/>
    <w:rsid w:val="0073086B"/>
    <w:rsid w:val="007313F9"/>
    <w:rsid w:val="00736B4F"/>
    <w:rsid w:val="007573CB"/>
    <w:rsid w:val="00764475"/>
    <w:rsid w:val="007666F2"/>
    <w:rsid w:val="00770988"/>
    <w:rsid w:val="0077780A"/>
    <w:rsid w:val="007851C2"/>
    <w:rsid w:val="00792DBE"/>
    <w:rsid w:val="007A1436"/>
    <w:rsid w:val="007B1FF2"/>
    <w:rsid w:val="007B248B"/>
    <w:rsid w:val="007E17B1"/>
    <w:rsid w:val="007F22F9"/>
    <w:rsid w:val="0080073A"/>
    <w:rsid w:val="00804ADE"/>
    <w:rsid w:val="00814C0A"/>
    <w:rsid w:val="0082211B"/>
    <w:rsid w:val="00837EA1"/>
    <w:rsid w:val="008468F6"/>
    <w:rsid w:val="0085418C"/>
    <w:rsid w:val="008662B2"/>
    <w:rsid w:val="00870A04"/>
    <w:rsid w:val="00874C47"/>
    <w:rsid w:val="008805E1"/>
    <w:rsid w:val="00894AD0"/>
    <w:rsid w:val="008A19DC"/>
    <w:rsid w:val="008A2A29"/>
    <w:rsid w:val="008D283A"/>
    <w:rsid w:val="008D70E7"/>
    <w:rsid w:val="008E0977"/>
    <w:rsid w:val="008E48A7"/>
    <w:rsid w:val="008F032F"/>
    <w:rsid w:val="0090291E"/>
    <w:rsid w:val="009229F1"/>
    <w:rsid w:val="00960729"/>
    <w:rsid w:val="009722A9"/>
    <w:rsid w:val="009852E8"/>
    <w:rsid w:val="00986E46"/>
    <w:rsid w:val="00992632"/>
    <w:rsid w:val="00993D93"/>
    <w:rsid w:val="009A1EBC"/>
    <w:rsid w:val="009A6FCE"/>
    <w:rsid w:val="009B277D"/>
    <w:rsid w:val="009B5DD9"/>
    <w:rsid w:val="009C0D5A"/>
    <w:rsid w:val="009D4590"/>
    <w:rsid w:val="009E05FD"/>
    <w:rsid w:val="00A001C3"/>
    <w:rsid w:val="00A02A85"/>
    <w:rsid w:val="00A03913"/>
    <w:rsid w:val="00A12815"/>
    <w:rsid w:val="00A13952"/>
    <w:rsid w:val="00A14C38"/>
    <w:rsid w:val="00A26513"/>
    <w:rsid w:val="00A519D6"/>
    <w:rsid w:val="00A54B33"/>
    <w:rsid w:val="00A72FDD"/>
    <w:rsid w:val="00A73372"/>
    <w:rsid w:val="00A73970"/>
    <w:rsid w:val="00A75A88"/>
    <w:rsid w:val="00A84342"/>
    <w:rsid w:val="00A97702"/>
    <w:rsid w:val="00AA20CC"/>
    <w:rsid w:val="00AB2194"/>
    <w:rsid w:val="00AB4ABF"/>
    <w:rsid w:val="00AC61EB"/>
    <w:rsid w:val="00AD49D6"/>
    <w:rsid w:val="00AF6B79"/>
    <w:rsid w:val="00AF75AF"/>
    <w:rsid w:val="00B1592F"/>
    <w:rsid w:val="00B32B04"/>
    <w:rsid w:val="00B341DB"/>
    <w:rsid w:val="00B421A3"/>
    <w:rsid w:val="00B44A96"/>
    <w:rsid w:val="00B467B7"/>
    <w:rsid w:val="00B538C6"/>
    <w:rsid w:val="00B57F95"/>
    <w:rsid w:val="00B62433"/>
    <w:rsid w:val="00B62D4D"/>
    <w:rsid w:val="00B76E44"/>
    <w:rsid w:val="00BB29EF"/>
    <w:rsid w:val="00BC5C44"/>
    <w:rsid w:val="00BD4DF3"/>
    <w:rsid w:val="00BD5929"/>
    <w:rsid w:val="00BD663E"/>
    <w:rsid w:val="00BD6EAC"/>
    <w:rsid w:val="00BD72E0"/>
    <w:rsid w:val="00BE06F7"/>
    <w:rsid w:val="00BE4FAD"/>
    <w:rsid w:val="00BF242E"/>
    <w:rsid w:val="00C05EBB"/>
    <w:rsid w:val="00C274D2"/>
    <w:rsid w:val="00C313BD"/>
    <w:rsid w:val="00C44359"/>
    <w:rsid w:val="00C60A7D"/>
    <w:rsid w:val="00C67ECF"/>
    <w:rsid w:val="00C70BDE"/>
    <w:rsid w:val="00C75EAB"/>
    <w:rsid w:val="00C77DCE"/>
    <w:rsid w:val="00C82F49"/>
    <w:rsid w:val="00C96C66"/>
    <w:rsid w:val="00CB3ACF"/>
    <w:rsid w:val="00CC0A22"/>
    <w:rsid w:val="00CC1676"/>
    <w:rsid w:val="00CC1793"/>
    <w:rsid w:val="00CE1354"/>
    <w:rsid w:val="00CE2DC8"/>
    <w:rsid w:val="00CE3429"/>
    <w:rsid w:val="00CE6278"/>
    <w:rsid w:val="00D13BEF"/>
    <w:rsid w:val="00D220E9"/>
    <w:rsid w:val="00D2580D"/>
    <w:rsid w:val="00D31C38"/>
    <w:rsid w:val="00D42DAF"/>
    <w:rsid w:val="00D44F4D"/>
    <w:rsid w:val="00D463BD"/>
    <w:rsid w:val="00D50C37"/>
    <w:rsid w:val="00D625BC"/>
    <w:rsid w:val="00D678CF"/>
    <w:rsid w:val="00D679D4"/>
    <w:rsid w:val="00D7492D"/>
    <w:rsid w:val="00D74DC6"/>
    <w:rsid w:val="00D81BC4"/>
    <w:rsid w:val="00D908F2"/>
    <w:rsid w:val="00DA06FD"/>
    <w:rsid w:val="00DC5922"/>
    <w:rsid w:val="00DD3A61"/>
    <w:rsid w:val="00DD5FD7"/>
    <w:rsid w:val="00DE1BF7"/>
    <w:rsid w:val="00DE7318"/>
    <w:rsid w:val="00DF228C"/>
    <w:rsid w:val="00DF3FA2"/>
    <w:rsid w:val="00DF6827"/>
    <w:rsid w:val="00E11636"/>
    <w:rsid w:val="00E12690"/>
    <w:rsid w:val="00E14E3D"/>
    <w:rsid w:val="00E15696"/>
    <w:rsid w:val="00E27AAB"/>
    <w:rsid w:val="00E30FB4"/>
    <w:rsid w:val="00E40EF6"/>
    <w:rsid w:val="00E41752"/>
    <w:rsid w:val="00E5750B"/>
    <w:rsid w:val="00E6314A"/>
    <w:rsid w:val="00E6709E"/>
    <w:rsid w:val="00E7263C"/>
    <w:rsid w:val="00E749E5"/>
    <w:rsid w:val="00E75078"/>
    <w:rsid w:val="00E81053"/>
    <w:rsid w:val="00E82414"/>
    <w:rsid w:val="00EA0A47"/>
    <w:rsid w:val="00EA1316"/>
    <w:rsid w:val="00EA1567"/>
    <w:rsid w:val="00EB0D8A"/>
    <w:rsid w:val="00EB2EBE"/>
    <w:rsid w:val="00ED1EA8"/>
    <w:rsid w:val="00ED2E8B"/>
    <w:rsid w:val="00ED6E5A"/>
    <w:rsid w:val="00EE2849"/>
    <w:rsid w:val="00EE293A"/>
    <w:rsid w:val="00EE2C14"/>
    <w:rsid w:val="00EE3847"/>
    <w:rsid w:val="00EF1597"/>
    <w:rsid w:val="00F00012"/>
    <w:rsid w:val="00F02B60"/>
    <w:rsid w:val="00F04B47"/>
    <w:rsid w:val="00F06741"/>
    <w:rsid w:val="00F17796"/>
    <w:rsid w:val="00F2314E"/>
    <w:rsid w:val="00F33E3A"/>
    <w:rsid w:val="00F404A7"/>
    <w:rsid w:val="00F53EFD"/>
    <w:rsid w:val="00FA27F6"/>
    <w:rsid w:val="00FA380A"/>
    <w:rsid w:val="00FA3EE4"/>
    <w:rsid w:val="00FB7DAC"/>
    <w:rsid w:val="00FC3DBB"/>
    <w:rsid w:val="00FC6F78"/>
    <w:rsid w:val="00FD32B1"/>
    <w:rsid w:val="00FD75E1"/>
    <w:rsid w:val="00FE5300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BD9"/>
  <w15:chartTrackingRefBased/>
  <w15:docId w15:val="{8425D852-0FC2-4DE8-8CA4-5A8595A3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0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A7"/>
  </w:style>
  <w:style w:type="paragraph" w:styleId="Footer">
    <w:name w:val="footer"/>
    <w:basedOn w:val="Normal"/>
    <w:link w:val="FooterChar"/>
    <w:unhideWhenUsed/>
    <w:rsid w:val="00F404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A7"/>
  </w:style>
  <w:style w:type="paragraph" w:styleId="BalloonText">
    <w:name w:val="Balloon Text"/>
    <w:basedOn w:val="Normal"/>
    <w:link w:val="BalloonTextChar"/>
    <w:unhideWhenUsed/>
    <w:rsid w:val="00B4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2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E46"/>
    <w:rPr>
      <w:color w:val="0000FF"/>
      <w:u w:val="single"/>
    </w:rPr>
  </w:style>
  <w:style w:type="paragraph" w:customStyle="1" w:styleId="naisf">
    <w:name w:val="naisf"/>
    <w:basedOn w:val="Normal"/>
    <w:rsid w:val="009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1">
    <w:name w:val="No List1"/>
    <w:next w:val="NoList"/>
    <w:semiHidden/>
    <w:rsid w:val="000529B7"/>
  </w:style>
  <w:style w:type="table" w:styleId="TableGrid">
    <w:name w:val="Table Grid"/>
    <w:basedOn w:val="TableNormal"/>
    <w:rsid w:val="0005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529B7"/>
  </w:style>
  <w:style w:type="character" w:styleId="CommentReference">
    <w:name w:val="annotation reference"/>
    <w:rsid w:val="00052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529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52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F3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a.kronberga@ic.i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B23E-D340-43D8-BAEC-1BC44B8A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4161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IEMAnotp6_110919_ADR</vt:lpstr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IEMAnotp6_120919_ADR</dc:title>
  <dc:subject/>
  <dc:creator>Santa Šaicāne</dc:creator>
  <cp:keywords/>
  <dc:description/>
  <cp:lastModifiedBy>Indulis Zālītis</cp:lastModifiedBy>
  <cp:revision>311</cp:revision>
  <cp:lastPrinted>2019-06-07T09:27:00Z</cp:lastPrinted>
  <dcterms:created xsi:type="dcterms:W3CDTF">2018-12-18T06:38:00Z</dcterms:created>
  <dcterms:modified xsi:type="dcterms:W3CDTF">2019-09-12T05:08:00Z</dcterms:modified>
</cp:coreProperties>
</file>