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D22F7E" w:rsidR="00513461" w:rsidP="00D22F7E" w:rsidRDefault="00513461">
      <w:pPr>
        <w:pStyle w:val="naisf"/>
        <w:spacing w:before="0" w:after="0"/>
        <w:ind w:firstLine="0"/>
        <w:jc w:val="center"/>
        <w:rPr>
          <w:b/>
          <w:bCs/>
          <w:sz w:val="22"/>
          <w:szCs w:val="22"/>
        </w:rPr>
      </w:pPr>
      <w:r w:rsidRPr="00D22F7E">
        <w:rPr>
          <w:b/>
          <w:bCs/>
          <w:sz w:val="22"/>
          <w:szCs w:val="22"/>
        </w:rPr>
        <w:t>Izziņa par atzinumos sniegtajiem iebildumiem</w:t>
      </w:r>
    </w:p>
    <w:p w:rsidRPr="00D22F7E" w:rsidR="00743D8A" w:rsidP="00D22F7E" w:rsidRDefault="00513461">
      <w:pPr>
        <w:pStyle w:val="naisf"/>
        <w:spacing w:before="0" w:after="0"/>
        <w:jc w:val="center"/>
        <w:rPr>
          <w:b/>
          <w:bCs/>
          <w:sz w:val="22"/>
          <w:szCs w:val="22"/>
        </w:rPr>
      </w:pPr>
      <w:r w:rsidRPr="00D22F7E">
        <w:rPr>
          <w:b/>
          <w:bCs/>
          <w:sz w:val="22"/>
          <w:szCs w:val="22"/>
        </w:rPr>
        <w:t xml:space="preserve">par Ministru kabineta </w:t>
      </w:r>
      <w:r w:rsidRPr="00D22F7E" w:rsidR="000E328D">
        <w:rPr>
          <w:b/>
          <w:bCs/>
          <w:sz w:val="22"/>
          <w:szCs w:val="22"/>
        </w:rPr>
        <w:t>noteikumu</w:t>
      </w:r>
      <w:r w:rsidRPr="00D22F7E" w:rsidR="00921A73">
        <w:rPr>
          <w:b/>
          <w:bCs/>
          <w:sz w:val="22"/>
          <w:szCs w:val="22"/>
        </w:rPr>
        <w:t xml:space="preserve"> </w:t>
      </w:r>
      <w:r w:rsidRPr="00D22F7E" w:rsidR="007D5C7C">
        <w:rPr>
          <w:b/>
          <w:sz w:val="22"/>
          <w:szCs w:val="22"/>
        </w:rPr>
        <w:t>projektu „</w:t>
      </w:r>
      <w:r w:rsidRPr="00D22F7E" w:rsidR="00743D8A">
        <w:rPr>
          <w:b/>
          <w:bCs/>
          <w:sz w:val="22"/>
          <w:szCs w:val="22"/>
        </w:rPr>
        <w:t xml:space="preserve">Kultūras ministrijas padotībā esošo profesionālās izglītības iestāžu </w:t>
      </w:r>
    </w:p>
    <w:p w:rsidRPr="00D22F7E" w:rsidR="00BB10F1" w:rsidP="00D22F7E" w:rsidRDefault="00743D8A">
      <w:pPr>
        <w:pStyle w:val="naisf"/>
        <w:spacing w:before="0" w:after="0"/>
        <w:ind w:firstLine="0"/>
        <w:jc w:val="center"/>
        <w:rPr>
          <w:b/>
          <w:bCs/>
          <w:sz w:val="22"/>
          <w:szCs w:val="22"/>
        </w:rPr>
      </w:pPr>
      <w:r w:rsidRPr="00D22F7E">
        <w:rPr>
          <w:b/>
          <w:bCs/>
          <w:sz w:val="22"/>
          <w:szCs w:val="22"/>
        </w:rPr>
        <w:t>maksas pakalpojumu cenrādis</w:t>
      </w:r>
      <w:r w:rsidRPr="00D22F7E" w:rsidR="0066082C">
        <w:rPr>
          <w:b/>
          <w:bCs/>
          <w:sz w:val="22"/>
          <w:szCs w:val="22"/>
        </w:rPr>
        <w:t>”</w:t>
      </w:r>
    </w:p>
    <w:p w:rsidRPr="00D22F7E" w:rsidR="00513461" w:rsidP="00D22F7E" w:rsidRDefault="00513461">
      <w:pPr>
        <w:pStyle w:val="naisf"/>
        <w:spacing w:before="0" w:after="0"/>
        <w:ind w:firstLine="0"/>
        <w:rPr>
          <w:b/>
          <w:sz w:val="22"/>
          <w:szCs w:val="22"/>
        </w:rPr>
      </w:pPr>
    </w:p>
    <w:p w:rsidRPr="00D22F7E" w:rsidR="001B26F0" w:rsidP="00D22F7E" w:rsidRDefault="001B26F0">
      <w:pPr>
        <w:pStyle w:val="naisf"/>
        <w:spacing w:before="0" w:after="0"/>
        <w:ind w:firstLine="0"/>
        <w:jc w:val="center"/>
        <w:rPr>
          <w:b/>
          <w:sz w:val="22"/>
          <w:szCs w:val="22"/>
        </w:rPr>
      </w:pPr>
      <w:r w:rsidRPr="00D22F7E">
        <w:rPr>
          <w:b/>
          <w:sz w:val="22"/>
          <w:szCs w:val="22"/>
        </w:rPr>
        <w:t>I. Jautājumi, par kuriem saskaņošanā vienošanās nav panākta</w:t>
      </w:r>
    </w:p>
    <w:p w:rsidRPr="00D22F7E" w:rsidR="001B26F0" w:rsidP="00D22F7E" w:rsidRDefault="001B26F0">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734"/>
        <w:gridCol w:w="2918"/>
        <w:gridCol w:w="2978"/>
        <w:gridCol w:w="2975"/>
        <w:gridCol w:w="1985"/>
        <w:gridCol w:w="2631"/>
      </w:tblGrid>
      <w:tr w:rsidRPr="00D22F7E" w:rsidR="00C65D70" w:rsidTr="00440A64">
        <w:tc>
          <w:tcPr>
            <w:tcW w:w="258" w:type="pct"/>
            <w:tcBorders>
              <w:top w:val="single" w:color="000000" w:sz="6" w:space="0"/>
              <w:left w:val="single" w:color="000000" w:sz="6" w:space="0"/>
              <w:bottom w:val="single" w:color="000000" w:sz="6" w:space="0"/>
              <w:right w:val="single" w:color="000000" w:sz="6" w:space="0"/>
            </w:tcBorders>
            <w:vAlign w:val="center"/>
          </w:tcPr>
          <w:p w:rsidRPr="00D22F7E" w:rsidR="00C65D70" w:rsidP="00440A64" w:rsidRDefault="00C65D70">
            <w:pPr>
              <w:pStyle w:val="naisc"/>
              <w:spacing w:before="0" w:after="0"/>
            </w:pPr>
            <w:r w:rsidRPr="00D22F7E">
              <w:rPr>
                <w:sz w:val="22"/>
                <w:szCs w:val="22"/>
              </w:rPr>
              <w:t>Nr. p.k.</w:t>
            </w:r>
          </w:p>
        </w:tc>
        <w:tc>
          <w:tcPr>
            <w:tcW w:w="1026" w:type="pct"/>
            <w:tcBorders>
              <w:top w:val="single" w:color="000000" w:sz="6" w:space="0"/>
              <w:left w:val="single" w:color="000000" w:sz="6" w:space="0"/>
              <w:bottom w:val="single" w:color="000000" w:sz="6" w:space="0"/>
              <w:right w:val="single" w:color="000000" w:sz="6" w:space="0"/>
            </w:tcBorders>
            <w:vAlign w:val="center"/>
          </w:tcPr>
          <w:p w:rsidRPr="00D22F7E" w:rsidR="00C65D70" w:rsidP="00440A64" w:rsidRDefault="00C65D70">
            <w:pPr>
              <w:pStyle w:val="naisc"/>
              <w:spacing w:before="0" w:after="0"/>
              <w:ind w:firstLine="12"/>
            </w:pPr>
            <w:r w:rsidRPr="00D22F7E">
              <w:rPr>
                <w:sz w:val="22"/>
                <w:szCs w:val="22"/>
              </w:rPr>
              <w:t>Saskaņošanai nosūtītā projekta redakcija (konkrēta punkta (panta) redakcija)</w:t>
            </w:r>
          </w:p>
        </w:tc>
        <w:tc>
          <w:tcPr>
            <w:tcW w:w="1047" w:type="pct"/>
            <w:tcBorders>
              <w:top w:val="single" w:color="000000" w:sz="6" w:space="0"/>
              <w:left w:val="single" w:color="000000" w:sz="6" w:space="0"/>
              <w:bottom w:val="single" w:color="000000" w:sz="6" w:space="0"/>
              <w:right w:val="single" w:color="000000" w:sz="6" w:space="0"/>
            </w:tcBorders>
            <w:vAlign w:val="center"/>
          </w:tcPr>
          <w:p w:rsidRPr="00D22F7E" w:rsidR="00C65D70" w:rsidP="00440A64" w:rsidRDefault="00C65D70">
            <w:pPr>
              <w:pStyle w:val="naisc"/>
              <w:spacing w:before="0" w:after="0"/>
              <w:ind w:right="3"/>
            </w:pPr>
            <w:r w:rsidRPr="00D22F7E">
              <w:rPr>
                <w:sz w:val="22"/>
                <w:szCs w:val="22"/>
              </w:rPr>
              <w:t>Atzinumā norādītais ministrijas (citas institūcijas) iebildums, kā arī saskaņošanā papildus izteiktais iebildums par projekta konkrēto punktu (pantu)</w:t>
            </w:r>
          </w:p>
        </w:tc>
        <w:tc>
          <w:tcPr>
            <w:tcW w:w="1046" w:type="pct"/>
            <w:tcBorders>
              <w:top w:val="single" w:color="000000" w:sz="6" w:space="0"/>
              <w:left w:val="single" w:color="000000" w:sz="6" w:space="0"/>
              <w:bottom w:val="single" w:color="000000" w:sz="6" w:space="0"/>
              <w:right w:val="single" w:color="000000" w:sz="6" w:space="0"/>
            </w:tcBorders>
            <w:vAlign w:val="center"/>
          </w:tcPr>
          <w:p w:rsidRPr="00D22F7E" w:rsidR="00C65D70" w:rsidP="00440A64" w:rsidRDefault="00C65D70">
            <w:pPr>
              <w:pStyle w:val="naisc"/>
              <w:spacing w:before="0" w:after="0"/>
              <w:ind w:firstLine="21"/>
            </w:pPr>
            <w:r w:rsidRPr="00D22F7E">
              <w:rPr>
                <w:sz w:val="22"/>
                <w:szCs w:val="22"/>
              </w:rPr>
              <w:t>Atbildīgās ministrijas pamatojums iebilduma noraidījumam</w:t>
            </w:r>
          </w:p>
        </w:tc>
        <w:tc>
          <w:tcPr>
            <w:tcW w:w="698" w:type="pct"/>
            <w:tcBorders>
              <w:top w:val="single" w:color="auto" w:sz="4" w:space="0"/>
              <w:left w:val="single" w:color="auto" w:sz="4" w:space="0"/>
              <w:bottom w:val="single" w:color="auto" w:sz="4" w:space="0"/>
              <w:right w:val="single" w:color="auto" w:sz="4" w:space="0"/>
            </w:tcBorders>
            <w:vAlign w:val="center"/>
          </w:tcPr>
          <w:p w:rsidRPr="00D22F7E" w:rsidR="00C65D70" w:rsidP="00440A64" w:rsidRDefault="00C65D70">
            <w:pPr>
              <w:jc w:val="center"/>
            </w:pPr>
            <w:r w:rsidRPr="00D22F7E">
              <w:rPr>
                <w:sz w:val="22"/>
                <w:szCs w:val="22"/>
              </w:rPr>
              <w:t>Atzinuma sniedzēja uzturētais iebildums, ja tas atšķiras no atzinumā norādītā iebilduma pamatojuma</w:t>
            </w:r>
          </w:p>
        </w:tc>
        <w:tc>
          <w:tcPr>
            <w:tcW w:w="925" w:type="pct"/>
            <w:tcBorders>
              <w:top w:val="single" w:color="auto" w:sz="4" w:space="0"/>
              <w:left w:val="single" w:color="auto" w:sz="4" w:space="0"/>
              <w:bottom w:val="single" w:color="auto" w:sz="4" w:space="0"/>
            </w:tcBorders>
            <w:vAlign w:val="center"/>
          </w:tcPr>
          <w:p w:rsidRPr="00D22F7E" w:rsidR="00C65D70" w:rsidP="00440A64" w:rsidRDefault="00C65D70">
            <w:pPr>
              <w:jc w:val="center"/>
            </w:pPr>
            <w:r w:rsidRPr="00D22F7E">
              <w:rPr>
                <w:sz w:val="22"/>
                <w:szCs w:val="22"/>
              </w:rPr>
              <w:t>Projekta attiecīgā punkta (panta) galīgā redakcija</w:t>
            </w:r>
          </w:p>
        </w:tc>
      </w:tr>
      <w:tr w:rsidRPr="00D22F7E" w:rsidR="00C65D70" w:rsidTr="00440A64">
        <w:trPr>
          <w:trHeight w:val="274"/>
        </w:trPr>
        <w:tc>
          <w:tcPr>
            <w:tcW w:w="258" w:type="pct"/>
            <w:tcBorders>
              <w:top w:val="single" w:color="000000" w:sz="6" w:space="0"/>
              <w:left w:val="single" w:color="000000" w:sz="6" w:space="0"/>
              <w:bottom w:val="single" w:color="000000" w:sz="6" w:space="0"/>
              <w:right w:val="single" w:color="000000" w:sz="6" w:space="0"/>
            </w:tcBorders>
          </w:tcPr>
          <w:p w:rsidRPr="00D22F7E" w:rsidR="00C65D70" w:rsidP="00440A64" w:rsidRDefault="00C65D70">
            <w:pPr>
              <w:pStyle w:val="naisc"/>
              <w:spacing w:before="0" w:after="0"/>
            </w:pPr>
            <w:r w:rsidRPr="00D22F7E">
              <w:rPr>
                <w:sz w:val="22"/>
                <w:szCs w:val="22"/>
              </w:rPr>
              <w:t>1</w:t>
            </w:r>
          </w:p>
        </w:tc>
        <w:tc>
          <w:tcPr>
            <w:tcW w:w="1026" w:type="pct"/>
            <w:tcBorders>
              <w:top w:val="single" w:color="000000" w:sz="6" w:space="0"/>
              <w:left w:val="single" w:color="000000" w:sz="6" w:space="0"/>
              <w:bottom w:val="single" w:color="000000" w:sz="6" w:space="0"/>
              <w:right w:val="single" w:color="000000" w:sz="6" w:space="0"/>
            </w:tcBorders>
          </w:tcPr>
          <w:p w:rsidRPr="00D22F7E" w:rsidR="00C65D70" w:rsidP="00440A64" w:rsidRDefault="00C65D70">
            <w:pPr>
              <w:pStyle w:val="naisc"/>
              <w:spacing w:before="0" w:after="0"/>
              <w:ind w:firstLine="720"/>
            </w:pPr>
            <w:r w:rsidRPr="00D22F7E">
              <w:rPr>
                <w:sz w:val="22"/>
                <w:szCs w:val="22"/>
              </w:rPr>
              <w:t>2</w:t>
            </w:r>
          </w:p>
        </w:tc>
        <w:tc>
          <w:tcPr>
            <w:tcW w:w="1047" w:type="pct"/>
            <w:tcBorders>
              <w:top w:val="single" w:color="000000" w:sz="6" w:space="0"/>
              <w:left w:val="single" w:color="000000" w:sz="6" w:space="0"/>
              <w:bottom w:val="single" w:color="000000" w:sz="6" w:space="0"/>
              <w:right w:val="single" w:color="000000" w:sz="6" w:space="0"/>
            </w:tcBorders>
          </w:tcPr>
          <w:p w:rsidRPr="00D22F7E" w:rsidR="00C65D70" w:rsidP="00440A64" w:rsidRDefault="00C65D70">
            <w:pPr>
              <w:pStyle w:val="naisc"/>
              <w:spacing w:before="0" w:after="0"/>
              <w:ind w:firstLine="720"/>
            </w:pPr>
            <w:r w:rsidRPr="00D22F7E">
              <w:rPr>
                <w:sz w:val="22"/>
                <w:szCs w:val="22"/>
              </w:rPr>
              <w:t>3</w:t>
            </w:r>
          </w:p>
        </w:tc>
        <w:tc>
          <w:tcPr>
            <w:tcW w:w="1046" w:type="pct"/>
            <w:tcBorders>
              <w:top w:val="single" w:color="000000" w:sz="6" w:space="0"/>
              <w:left w:val="single" w:color="000000" w:sz="6" w:space="0"/>
              <w:bottom w:val="single" w:color="000000" w:sz="6" w:space="0"/>
              <w:right w:val="single" w:color="000000" w:sz="6" w:space="0"/>
            </w:tcBorders>
          </w:tcPr>
          <w:p w:rsidRPr="00D22F7E" w:rsidR="00C65D70" w:rsidP="00440A64" w:rsidRDefault="00C65D70">
            <w:pPr>
              <w:pStyle w:val="naisc"/>
              <w:spacing w:before="0" w:after="0"/>
              <w:ind w:firstLine="720"/>
            </w:pPr>
            <w:r w:rsidRPr="00D22F7E">
              <w:rPr>
                <w:sz w:val="22"/>
                <w:szCs w:val="22"/>
              </w:rPr>
              <w:t>4</w:t>
            </w:r>
          </w:p>
        </w:tc>
        <w:tc>
          <w:tcPr>
            <w:tcW w:w="698" w:type="pct"/>
            <w:tcBorders>
              <w:top w:val="single" w:color="auto" w:sz="4" w:space="0"/>
              <w:left w:val="single" w:color="auto" w:sz="4" w:space="0"/>
              <w:bottom w:val="single" w:color="auto" w:sz="4" w:space="0"/>
              <w:right w:val="single" w:color="auto" w:sz="4" w:space="0"/>
            </w:tcBorders>
          </w:tcPr>
          <w:p w:rsidRPr="00D22F7E" w:rsidR="00C65D70" w:rsidP="00440A64" w:rsidRDefault="00C65D70">
            <w:pPr>
              <w:jc w:val="center"/>
            </w:pPr>
            <w:r w:rsidRPr="00D22F7E">
              <w:rPr>
                <w:sz w:val="22"/>
                <w:szCs w:val="22"/>
              </w:rPr>
              <w:t>5</w:t>
            </w:r>
          </w:p>
        </w:tc>
        <w:tc>
          <w:tcPr>
            <w:tcW w:w="925" w:type="pct"/>
            <w:tcBorders>
              <w:top w:val="single" w:color="auto" w:sz="4" w:space="0"/>
              <w:left w:val="single" w:color="auto" w:sz="4" w:space="0"/>
              <w:bottom w:val="single" w:color="auto" w:sz="4" w:space="0"/>
            </w:tcBorders>
          </w:tcPr>
          <w:p w:rsidRPr="00D22F7E" w:rsidR="00C65D70" w:rsidP="00440A64" w:rsidRDefault="00C65D70">
            <w:pPr>
              <w:jc w:val="center"/>
            </w:pPr>
            <w:r w:rsidRPr="00D22F7E">
              <w:rPr>
                <w:sz w:val="22"/>
                <w:szCs w:val="22"/>
              </w:rPr>
              <w:t>6</w:t>
            </w:r>
          </w:p>
        </w:tc>
      </w:tr>
      <w:tr w:rsidRPr="00D22F7E" w:rsidR="00C65D70" w:rsidTr="00440A64">
        <w:trPr>
          <w:trHeight w:val="274"/>
        </w:trPr>
        <w:tc>
          <w:tcPr>
            <w:tcW w:w="258" w:type="pct"/>
            <w:tcBorders>
              <w:top w:val="single" w:color="000000" w:sz="6" w:space="0"/>
              <w:left w:val="single" w:color="000000" w:sz="6" w:space="0"/>
              <w:bottom w:val="single" w:color="000000" w:sz="6" w:space="0"/>
              <w:right w:val="single" w:color="000000" w:sz="6" w:space="0"/>
            </w:tcBorders>
          </w:tcPr>
          <w:p w:rsidRPr="00D22F7E" w:rsidR="00C65D70" w:rsidP="00440A64" w:rsidRDefault="00C65D70">
            <w:pPr>
              <w:pStyle w:val="naisc"/>
              <w:spacing w:before="0" w:after="0"/>
            </w:pPr>
          </w:p>
        </w:tc>
        <w:tc>
          <w:tcPr>
            <w:tcW w:w="1026" w:type="pct"/>
            <w:tcBorders>
              <w:top w:val="single" w:color="000000" w:sz="6" w:space="0"/>
              <w:left w:val="single" w:color="000000" w:sz="6" w:space="0"/>
              <w:bottom w:val="single" w:color="000000" w:sz="6" w:space="0"/>
              <w:right w:val="single" w:color="000000" w:sz="6" w:space="0"/>
            </w:tcBorders>
          </w:tcPr>
          <w:p w:rsidRPr="00D22F7E" w:rsidR="00C65D70" w:rsidP="00440A64" w:rsidRDefault="00C65D70">
            <w:pPr>
              <w:pStyle w:val="naisc"/>
              <w:spacing w:before="0" w:after="0"/>
              <w:jc w:val="both"/>
            </w:pPr>
          </w:p>
        </w:tc>
        <w:tc>
          <w:tcPr>
            <w:tcW w:w="1047" w:type="pct"/>
            <w:tcBorders>
              <w:top w:val="single" w:color="000000" w:sz="6" w:space="0"/>
              <w:left w:val="single" w:color="000000" w:sz="6" w:space="0"/>
              <w:bottom w:val="single" w:color="000000" w:sz="6" w:space="0"/>
              <w:right w:val="single" w:color="000000" w:sz="6" w:space="0"/>
            </w:tcBorders>
          </w:tcPr>
          <w:p w:rsidRPr="00D22F7E" w:rsidR="00C65D70" w:rsidP="00440A64" w:rsidRDefault="00C65D70">
            <w:pPr>
              <w:jc w:val="both"/>
            </w:pPr>
          </w:p>
        </w:tc>
        <w:tc>
          <w:tcPr>
            <w:tcW w:w="1046" w:type="pct"/>
            <w:tcBorders>
              <w:top w:val="single" w:color="000000" w:sz="6" w:space="0"/>
              <w:left w:val="single" w:color="000000" w:sz="6" w:space="0"/>
              <w:bottom w:val="single" w:color="000000" w:sz="6" w:space="0"/>
              <w:right w:val="single" w:color="000000" w:sz="6" w:space="0"/>
            </w:tcBorders>
          </w:tcPr>
          <w:p w:rsidRPr="00D22F7E" w:rsidR="00C65D70" w:rsidP="00440A64" w:rsidRDefault="00C65D70">
            <w:pPr>
              <w:jc w:val="both"/>
            </w:pPr>
          </w:p>
        </w:tc>
        <w:tc>
          <w:tcPr>
            <w:tcW w:w="698" w:type="pct"/>
            <w:tcBorders>
              <w:top w:val="single" w:color="auto" w:sz="4" w:space="0"/>
              <w:left w:val="single" w:color="auto" w:sz="4" w:space="0"/>
              <w:bottom w:val="single" w:color="auto" w:sz="4" w:space="0"/>
              <w:right w:val="single" w:color="auto" w:sz="4" w:space="0"/>
            </w:tcBorders>
          </w:tcPr>
          <w:p w:rsidRPr="00D22F7E" w:rsidR="00C65D70" w:rsidP="00440A64" w:rsidRDefault="00C65D70">
            <w:pPr>
              <w:jc w:val="center"/>
            </w:pPr>
          </w:p>
        </w:tc>
        <w:tc>
          <w:tcPr>
            <w:tcW w:w="925" w:type="pct"/>
            <w:tcBorders>
              <w:top w:val="single" w:color="auto" w:sz="4" w:space="0"/>
              <w:left w:val="single" w:color="auto" w:sz="4" w:space="0"/>
              <w:bottom w:val="single" w:color="auto" w:sz="4" w:space="0"/>
              <w:right w:val="single" w:color="auto" w:sz="4" w:space="0"/>
            </w:tcBorders>
          </w:tcPr>
          <w:p w:rsidRPr="00D22F7E" w:rsidR="00C65D70" w:rsidP="00440A64" w:rsidRDefault="00C65D70">
            <w:pPr>
              <w:jc w:val="both"/>
            </w:pPr>
          </w:p>
        </w:tc>
      </w:tr>
    </w:tbl>
    <w:p w:rsidRPr="00D22F7E" w:rsidR="00C65D70" w:rsidP="00D22F7E" w:rsidRDefault="00C65D70">
      <w:pPr>
        <w:pStyle w:val="naisf"/>
        <w:spacing w:before="0" w:after="0"/>
        <w:ind w:firstLine="0"/>
        <w:rPr>
          <w:sz w:val="22"/>
          <w:szCs w:val="22"/>
        </w:rPr>
      </w:pPr>
    </w:p>
    <w:p w:rsidRPr="00F871A3" w:rsidR="003236C1" w:rsidP="003236C1" w:rsidRDefault="003236C1">
      <w:pPr>
        <w:pStyle w:val="naisf"/>
        <w:spacing w:before="0" w:after="0"/>
        <w:ind w:firstLine="0"/>
        <w:rPr>
          <w:b/>
          <w:sz w:val="22"/>
          <w:szCs w:val="22"/>
        </w:rPr>
      </w:pPr>
      <w:r w:rsidRPr="00F871A3">
        <w:rPr>
          <w:b/>
          <w:sz w:val="22"/>
          <w:szCs w:val="22"/>
        </w:rPr>
        <w:t>  Informācija par elektronisko saskaņošanu:</w:t>
      </w:r>
    </w:p>
    <w:p w:rsidR="003236C1" w:rsidP="003236C1" w:rsidRDefault="003236C1">
      <w:pPr>
        <w:pStyle w:val="naisf"/>
        <w:spacing w:before="0" w:after="0"/>
        <w:ind w:firstLine="0"/>
        <w:rPr>
          <w:sz w:val="22"/>
          <w:szCs w:val="22"/>
        </w:rPr>
      </w:pPr>
    </w:p>
    <w:tbl>
      <w:tblPr>
        <w:tblW w:w="13599" w:type="dxa"/>
        <w:tblInd w:w="108" w:type="dxa"/>
        <w:tblLook w:val="00A0"/>
      </w:tblPr>
      <w:tblGrid>
        <w:gridCol w:w="6379"/>
        <w:gridCol w:w="1651"/>
        <w:gridCol w:w="5569"/>
      </w:tblGrid>
      <w:tr w:rsidRPr="006C10D7" w:rsidR="003236C1" w:rsidTr="00440A64">
        <w:tc>
          <w:tcPr>
            <w:tcW w:w="6379" w:type="dxa"/>
            <w:hideMark/>
          </w:tcPr>
          <w:p w:rsidRPr="006C10D7" w:rsidR="003236C1" w:rsidP="00440A64" w:rsidRDefault="003236C1">
            <w:pPr>
              <w:pStyle w:val="naisf"/>
              <w:spacing w:before="0" w:after="0"/>
              <w:ind w:firstLine="0"/>
              <w:rPr>
                <w:lang w:eastAsia="en-US"/>
              </w:rPr>
            </w:pPr>
            <w:r w:rsidRPr="006C10D7">
              <w:rPr>
                <w:sz w:val="22"/>
                <w:szCs w:val="22"/>
                <w:lang w:eastAsia="en-US"/>
              </w:rPr>
              <w:t>Datums</w:t>
            </w:r>
          </w:p>
        </w:tc>
        <w:tc>
          <w:tcPr>
            <w:tcW w:w="7220" w:type="dxa"/>
            <w:gridSpan w:val="2"/>
            <w:tcBorders>
              <w:top w:val="nil"/>
              <w:left w:val="nil"/>
              <w:bottom w:val="single" w:color="auto" w:sz="4" w:space="0"/>
              <w:right w:val="nil"/>
            </w:tcBorders>
            <w:hideMark/>
          </w:tcPr>
          <w:p w:rsidRPr="006C10D7" w:rsidR="003236C1" w:rsidP="003236C1" w:rsidRDefault="003236C1">
            <w:pPr>
              <w:pStyle w:val="ParastaisWeb"/>
              <w:spacing w:before="0" w:beforeAutospacing="0" w:after="0" w:afterAutospacing="0"/>
              <w:rPr>
                <w:lang w:eastAsia="en-US"/>
              </w:rPr>
            </w:pPr>
            <w:r w:rsidRPr="00F871A3">
              <w:rPr>
                <w:sz w:val="22"/>
                <w:szCs w:val="22"/>
              </w:rPr>
              <w:t xml:space="preserve">2019.gada </w:t>
            </w:r>
            <w:r w:rsidR="002B3715">
              <w:rPr>
                <w:sz w:val="22"/>
                <w:szCs w:val="22"/>
              </w:rPr>
              <w:t>6</w:t>
            </w:r>
            <w:r w:rsidRPr="00F871A3">
              <w:rPr>
                <w:sz w:val="22"/>
                <w:szCs w:val="22"/>
              </w:rPr>
              <w:t>.</w:t>
            </w:r>
            <w:r>
              <w:rPr>
                <w:sz w:val="22"/>
                <w:szCs w:val="22"/>
              </w:rPr>
              <w:t>novembris</w:t>
            </w:r>
          </w:p>
        </w:tc>
      </w:tr>
      <w:tr w:rsidRPr="006C10D7" w:rsidR="003236C1" w:rsidTr="00440A64">
        <w:tc>
          <w:tcPr>
            <w:tcW w:w="6379" w:type="dxa"/>
          </w:tcPr>
          <w:p w:rsidRPr="006C10D7" w:rsidR="003236C1" w:rsidP="00440A64" w:rsidRDefault="003236C1">
            <w:pPr>
              <w:pStyle w:val="naisf"/>
              <w:spacing w:before="0" w:after="0"/>
              <w:rPr>
                <w:lang w:eastAsia="en-US"/>
              </w:rPr>
            </w:pPr>
          </w:p>
        </w:tc>
        <w:tc>
          <w:tcPr>
            <w:tcW w:w="7220" w:type="dxa"/>
            <w:gridSpan w:val="2"/>
            <w:tcBorders>
              <w:top w:val="single" w:color="auto" w:sz="4" w:space="0"/>
              <w:left w:val="nil"/>
              <w:bottom w:val="nil"/>
              <w:right w:val="nil"/>
            </w:tcBorders>
          </w:tcPr>
          <w:p w:rsidRPr="006C10D7" w:rsidR="003236C1" w:rsidP="00440A64" w:rsidRDefault="003236C1">
            <w:pPr>
              <w:pStyle w:val="ParastaisWeb"/>
              <w:spacing w:before="0" w:beforeAutospacing="0" w:after="0" w:afterAutospacing="0"/>
              <w:ind w:firstLine="720"/>
              <w:rPr>
                <w:lang w:eastAsia="en-US"/>
              </w:rPr>
            </w:pPr>
          </w:p>
        </w:tc>
      </w:tr>
      <w:tr w:rsidRPr="006C10D7" w:rsidR="003236C1" w:rsidTr="00440A64">
        <w:tc>
          <w:tcPr>
            <w:tcW w:w="6379" w:type="dxa"/>
            <w:hideMark/>
          </w:tcPr>
          <w:p w:rsidRPr="006C10D7" w:rsidR="003236C1" w:rsidP="00440A64" w:rsidRDefault="003236C1">
            <w:pPr>
              <w:pStyle w:val="naiskr"/>
              <w:spacing w:before="0" w:after="0"/>
              <w:rPr>
                <w:lang w:eastAsia="en-US"/>
              </w:rPr>
            </w:pPr>
            <w:r w:rsidRPr="006C10D7">
              <w:rPr>
                <w:sz w:val="22"/>
                <w:szCs w:val="22"/>
                <w:lang w:eastAsia="en-US"/>
              </w:rPr>
              <w:t>Saskaņošanas dalībnieki</w:t>
            </w:r>
          </w:p>
        </w:tc>
        <w:tc>
          <w:tcPr>
            <w:tcW w:w="7220" w:type="dxa"/>
            <w:gridSpan w:val="2"/>
            <w:tcBorders>
              <w:top w:val="nil"/>
              <w:left w:val="nil"/>
              <w:bottom w:val="single" w:color="auto" w:sz="4" w:space="0"/>
              <w:right w:val="nil"/>
            </w:tcBorders>
            <w:hideMark/>
          </w:tcPr>
          <w:p w:rsidRPr="006C10D7" w:rsidR="003236C1" w:rsidP="00440A64" w:rsidRDefault="003236C1">
            <w:pPr>
              <w:pStyle w:val="ParastaisWeb"/>
              <w:spacing w:before="0" w:beforeAutospacing="0" w:after="0" w:afterAutospacing="0"/>
              <w:jc w:val="both"/>
              <w:rPr>
                <w:lang w:eastAsia="en-US"/>
              </w:rPr>
            </w:pPr>
            <w:r w:rsidRPr="00D22F7E">
              <w:rPr>
                <w:sz w:val="22"/>
                <w:szCs w:val="22"/>
              </w:rPr>
              <w:t>Tieslietu ministrija, Finanšu ministrija, Izglītības un zinātnes ministrija</w:t>
            </w:r>
            <w:r>
              <w:rPr>
                <w:sz w:val="22"/>
                <w:szCs w:val="22"/>
              </w:rPr>
              <w:t>,</w:t>
            </w:r>
            <w:r w:rsidRPr="00D22F7E">
              <w:rPr>
                <w:sz w:val="22"/>
                <w:szCs w:val="22"/>
              </w:rPr>
              <w:t xml:space="preserve"> Labklājības ministrija</w:t>
            </w:r>
            <w:r>
              <w:rPr>
                <w:sz w:val="22"/>
                <w:szCs w:val="22"/>
              </w:rPr>
              <w:t>,</w:t>
            </w:r>
            <w:r w:rsidRPr="00D22F7E">
              <w:rPr>
                <w:sz w:val="22"/>
                <w:szCs w:val="22"/>
              </w:rPr>
              <w:t xml:space="preserve"> Vides aizsardzības un r</w:t>
            </w:r>
            <w:r>
              <w:rPr>
                <w:sz w:val="22"/>
                <w:szCs w:val="22"/>
              </w:rPr>
              <w:t>eģionālās attīstības ministrija un</w:t>
            </w:r>
            <w:r w:rsidRPr="00D22F7E">
              <w:rPr>
                <w:sz w:val="22"/>
                <w:szCs w:val="22"/>
              </w:rPr>
              <w:t xml:space="preserve"> Latvijas Brīvo arodbiedrību savienība</w:t>
            </w:r>
          </w:p>
        </w:tc>
      </w:tr>
      <w:tr w:rsidRPr="006C10D7" w:rsidR="003236C1" w:rsidTr="00440A64">
        <w:trPr>
          <w:trHeight w:val="208"/>
        </w:trPr>
        <w:tc>
          <w:tcPr>
            <w:tcW w:w="6379" w:type="dxa"/>
          </w:tcPr>
          <w:p w:rsidRPr="006C10D7" w:rsidR="003236C1" w:rsidP="00440A64" w:rsidRDefault="003236C1">
            <w:pPr>
              <w:pStyle w:val="naiskr"/>
              <w:spacing w:before="0" w:after="0"/>
              <w:rPr>
                <w:lang w:eastAsia="en-US"/>
              </w:rPr>
            </w:pPr>
          </w:p>
        </w:tc>
        <w:tc>
          <w:tcPr>
            <w:tcW w:w="1651" w:type="dxa"/>
          </w:tcPr>
          <w:p w:rsidRPr="006C10D7" w:rsidR="003236C1" w:rsidP="00440A64" w:rsidRDefault="003236C1">
            <w:pPr>
              <w:pStyle w:val="naiskr"/>
              <w:spacing w:before="0" w:after="0"/>
              <w:ind w:firstLine="720"/>
              <w:rPr>
                <w:lang w:eastAsia="en-US"/>
              </w:rPr>
            </w:pPr>
          </w:p>
        </w:tc>
        <w:tc>
          <w:tcPr>
            <w:tcW w:w="5569" w:type="dxa"/>
          </w:tcPr>
          <w:p w:rsidRPr="006C10D7" w:rsidR="003236C1" w:rsidP="00440A64" w:rsidRDefault="003236C1">
            <w:pPr>
              <w:pStyle w:val="naiskr"/>
              <w:spacing w:before="0" w:after="0"/>
              <w:ind w:firstLine="12"/>
              <w:rPr>
                <w:lang w:eastAsia="en-US"/>
              </w:rPr>
            </w:pPr>
          </w:p>
        </w:tc>
      </w:tr>
      <w:tr w:rsidRPr="006C10D7" w:rsidR="003236C1" w:rsidTr="00440A64">
        <w:trPr>
          <w:trHeight w:val="461"/>
        </w:trPr>
        <w:tc>
          <w:tcPr>
            <w:tcW w:w="6379" w:type="dxa"/>
            <w:hideMark/>
          </w:tcPr>
          <w:p w:rsidR="003236C1" w:rsidP="00440A64" w:rsidRDefault="003236C1">
            <w:pPr>
              <w:pStyle w:val="naiskr"/>
              <w:spacing w:before="0" w:after="0"/>
              <w:ind w:right="500"/>
              <w:rPr>
                <w:lang w:eastAsia="en-US"/>
              </w:rPr>
            </w:pPr>
          </w:p>
          <w:p w:rsidRPr="006C10D7" w:rsidR="003236C1" w:rsidP="00440A64" w:rsidRDefault="003236C1">
            <w:pPr>
              <w:pStyle w:val="naiskr"/>
              <w:spacing w:before="0" w:after="0"/>
              <w:ind w:right="500"/>
              <w:rPr>
                <w:lang w:eastAsia="en-US"/>
              </w:rPr>
            </w:pPr>
            <w:r w:rsidRPr="006C10D7">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003236C1" w:rsidP="00440A64" w:rsidRDefault="003236C1">
            <w:pPr>
              <w:pStyle w:val="naiskr"/>
              <w:spacing w:before="0" w:after="0"/>
              <w:ind w:right="500"/>
            </w:pPr>
          </w:p>
          <w:p w:rsidRPr="006C10D7" w:rsidR="003236C1" w:rsidP="00440A64" w:rsidRDefault="003236C1">
            <w:pPr>
              <w:pStyle w:val="naiskr"/>
              <w:spacing w:before="0" w:after="0"/>
              <w:ind w:right="500"/>
              <w:jc w:val="both"/>
              <w:rPr>
                <w:lang w:eastAsia="en-US"/>
              </w:rPr>
            </w:pPr>
            <w:r w:rsidRPr="00D22F7E">
              <w:rPr>
                <w:sz w:val="22"/>
                <w:szCs w:val="22"/>
              </w:rPr>
              <w:t>Finanšu ministrija, Vides aizsardzības un reģionālās attīstības ministrija</w:t>
            </w:r>
            <w:r>
              <w:rPr>
                <w:sz w:val="22"/>
                <w:szCs w:val="22"/>
              </w:rPr>
              <w:t xml:space="preserve"> un</w:t>
            </w:r>
            <w:r w:rsidRPr="00D22F7E">
              <w:rPr>
                <w:sz w:val="22"/>
                <w:szCs w:val="22"/>
              </w:rPr>
              <w:t xml:space="preserve"> Izglītības un zinātnes ministrija</w:t>
            </w:r>
          </w:p>
        </w:tc>
      </w:tr>
      <w:tr w:rsidRPr="006C10D7" w:rsidR="003236C1" w:rsidTr="00440A64">
        <w:trPr>
          <w:trHeight w:val="224"/>
        </w:trPr>
        <w:tc>
          <w:tcPr>
            <w:tcW w:w="13599" w:type="dxa"/>
            <w:gridSpan w:val="3"/>
          </w:tcPr>
          <w:p w:rsidRPr="006C10D7" w:rsidR="003236C1" w:rsidP="00440A64" w:rsidRDefault="003236C1">
            <w:pPr>
              <w:pStyle w:val="naisc"/>
              <w:spacing w:before="0" w:after="0"/>
              <w:ind w:right="500"/>
              <w:rPr>
                <w:lang w:eastAsia="en-US"/>
              </w:rPr>
            </w:pPr>
          </w:p>
        </w:tc>
      </w:tr>
      <w:tr w:rsidRPr="006C10D7" w:rsidR="003236C1" w:rsidTr="00440A64">
        <w:tc>
          <w:tcPr>
            <w:tcW w:w="6379" w:type="dxa"/>
            <w:hideMark/>
          </w:tcPr>
          <w:p w:rsidRPr="006C10D7" w:rsidR="003236C1" w:rsidP="00440A64" w:rsidRDefault="003236C1">
            <w:pPr>
              <w:pStyle w:val="naiskr"/>
              <w:spacing w:before="0" w:after="0"/>
              <w:ind w:right="500"/>
              <w:rPr>
                <w:lang w:eastAsia="en-US"/>
              </w:rPr>
            </w:pPr>
            <w:r w:rsidRPr="006C10D7">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6C10D7" w:rsidR="003236C1" w:rsidP="00440A64" w:rsidRDefault="003236C1">
            <w:pPr>
              <w:pStyle w:val="naiskr"/>
              <w:spacing w:before="0" w:after="0"/>
              <w:ind w:right="500" w:firstLine="720"/>
              <w:rPr>
                <w:lang w:eastAsia="en-US"/>
              </w:rPr>
            </w:pPr>
          </w:p>
        </w:tc>
      </w:tr>
    </w:tbl>
    <w:p w:rsidR="003236C1" w:rsidP="003236C1" w:rsidRDefault="003236C1">
      <w:pPr>
        <w:pStyle w:val="naisf"/>
        <w:spacing w:before="0" w:after="0"/>
        <w:ind w:firstLine="0"/>
        <w:rPr>
          <w:sz w:val="22"/>
          <w:szCs w:val="22"/>
        </w:rPr>
      </w:pPr>
    </w:p>
    <w:p w:rsidRPr="00F871A3" w:rsidR="003236C1" w:rsidP="003236C1" w:rsidRDefault="003236C1">
      <w:pPr>
        <w:pStyle w:val="naisf"/>
        <w:spacing w:before="0" w:after="0"/>
        <w:ind w:firstLine="0"/>
        <w:rPr>
          <w:sz w:val="22"/>
          <w:szCs w:val="22"/>
        </w:rPr>
      </w:pPr>
    </w:p>
    <w:tbl>
      <w:tblPr>
        <w:tblW w:w="14283" w:type="dxa"/>
        <w:tblLayout w:type="fixed"/>
        <w:tblLook w:val="00A0"/>
      </w:tblPr>
      <w:tblGrid>
        <w:gridCol w:w="14283"/>
      </w:tblGrid>
      <w:tr w:rsidRPr="00F871A3" w:rsidR="003236C1" w:rsidTr="00440A64">
        <w:tc>
          <w:tcPr>
            <w:tcW w:w="14283" w:type="dxa"/>
          </w:tcPr>
          <w:p w:rsidRPr="00F871A3" w:rsidR="003236C1" w:rsidP="00440A64" w:rsidRDefault="003236C1">
            <w:pPr>
              <w:pStyle w:val="naisf"/>
              <w:spacing w:before="0" w:after="0"/>
              <w:ind w:firstLine="0"/>
            </w:pPr>
          </w:p>
        </w:tc>
      </w:tr>
    </w:tbl>
    <w:p w:rsidR="003236C1" w:rsidP="00D22F7E" w:rsidRDefault="003236C1">
      <w:pPr>
        <w:pStyle w:val="naisf"/>
        <w:spacing w:before="0" w:after="0"/>
        <w:ind w:firstLine="0"/>
        <w:rPr>
          <w:b/>
          <w:sz w:val="22"/>
          <w:szCs w:val="22"/>
        </w:rPr>
      </w:pPr>
    </w:p>
    <w:p w:rsidRPr="00D22F7E" w:rsidR="00C8468F" w:rsidP="00D22F7E" w:rsidRDefault="00C8468F">
      <w:pPr>
        <w:pStyle w:val="naisf"/>
        <w:spacing w:before="0" w:after="0"/>
        <w:ind w:firstLine="0"/>
        <w:jc w:val="center"/>
        <w:rPr>
          <w:b/>
          <w:sz w:val="22"/>
          <w:szCs w:val="22"/>
        </w:rPr>
      </w:pPr>
      <w:r w:rsidRPr="00D22F7E">
        <w:rPr>
          <w:b/>
          <w:sz w:val="22"/>
          <w:szCs w:val="22"/>
        </w:rPr>
        <w:lastRenderedPageBreak/>
        <w:t>II. Jautājumi, par kuriem saskaņošanā vienošanās ir panākta</w:t>
      </w:r>
    </w:p>
    <w:p w:rsidRPr="00D22F7E" w:rsidR="00C8468F" w:rsidP="00D22F7E" w:rsidRDefault="00C8468F">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728"/>
        <w:gridCol w:w="3154"/>
        <w:gridCol w:w="3882"/>
        <w:gridCol w:w="2833"/>
        <w:gridCol w:w="3624"/>
      </w:tblGrid>
      <w:tr w:rsidRPr="002B3715" w:rsidR="002B3715" w:rsidTr="005B63FD">
        <w:tc>
          <w:tcPr>
            <w:tcW w:w="256" w:type="pct"/>
            <w:tcBorders>
              <w:top w:val="single" w:color="000000" w:sz="6" w:space="0"/>
              <w:left w:val="single" w:color="000000" w:sz="6" w:space="0"/>
              <w:bottom w:val="single" w:color="000000" w:sz="6" w:space="0"/>
              <w:right w:val="single" w:color="000000" w:sz="6" w:space="0"/>
            </w:tcBorders>
            <w:vAlign w:val="center"/>
          </w:tcPr>
          <w:p w:rsidRPr="002B3715" w:rsidR="00C8468F" w:rsidP="00D22F7E" w:rsidRDefault="00C8468F">
            <w:pPr>
              <w:pStyle w:val="naisc"/>
              <w:spacing w:before="0" w:after="0"/>
            </w:pPr>
            <w:r w:rsidRPr="002B3715">
              <w:rPr>
                <w:sz w:val="22"/>
                <w:szCs w:val="22"/>
              </w:rPr>
              <w:t>Nr. p.k.</w:t>
            </w:r>
          </w:p>
        </w:tc>
        <w:tc>
          <w:tcPr>
            <w:tcW w:w="1109" w:type="pct"/>
            <w:tcBorders>
              <w:top w:val="single" w:color="000000" w:sz="6" w:space="0"/>
              <w:left w:val="single" w:color="000000" w:sz="6" w:space="0"/>
              <w:bottom w:val="single" w:color="000000" w:sz="6" w:space="0"/>
              <w:right w:val="single" w:color="000000" w:sz="6" w:space="0"/>
            </w:tcBorders>
            <w:vAlign w:val="center"/>
          </w:tcPr>
          <w:p w:rsidRPr="002B3715" w:rsidR="00C8468F" w:rsidP="00D22F7E" w:rsidRDefault="00C8468F">
            <w:pPr>
              <w:pStyle w:val="naisc"/>
              <w:spacing w:before="0" w:after="0"/>
              <w:ind w:firstLine="12"/>
            </w:pPr>
            <w:r w:rsidRPr="002B3715">
              <w:rPr>
                <w:sz w:val="22"/>
                <w:szCs w:val="22"/>
              </w:rPr>
              <w:t>Saskaņošanai nosūtītā projekta redakcija (konkrēta punkta (panta) redakcija)</w:t>
            </w:r>
          </w:p>
        </w:tc>
        <w:tc>
          <w:tcPr>
            <w:tcW w:w="1365" w:type="pct"/>
            <w:tcBorders>
              <w:top w:val="single" w:color="000000" w:sz="6" w:space="0"/>
              <w:left w:val="single" w:color="000000" w:sz="6" w:space="0"/>
              <w:bottom w:val="single" w:color="000000" w:sz="6" w:space="0"/>
              <w:right w:val="single" w:color="000000" w:sz="6" w:space="0"/>
            </w:tcBorders>
            <w:vAlign w:val="center"/>
          </w:tcPr>
          <w:p w:rsidRPr="002B3715" w:rsidR="00C8468F" w:rsidP="00D22F7E" w:rsidRDefault="00C8468F">
            <w:pPr>
              <w:pStyle w:val="naisc"/>
              <w:spacing w:before="0" w:after="0"/>
              <w:ind w:right="3"/>
            </w:pPr>
            <w:r w:rsidRPr="002B3715">
              <w:rPr>
                <w:sz w:val="22"/>
                <w:szCs w:val="22"/>
              </w:rPr>
              <w:t>Atzinumā norādītais ministrijas (citas institūcijas) iebildums, kā arī saskaņošanā papildus izteiktais iebildums par projekta konkrēto punktu (pantu)</w:t>
            </w:r>
          </w:p>
        </w:tc>
        <w:tc>
          <w:tcPr>
            <w:tcW w:w="996" w:type="pct"/>
            <w:tcBorders>
              <w:top w:val="single" w:color="000000" w:sz="6" w:space="0"/>
              <w:left w:val="single" w:color="000000" w:sz="6" w:space="0"/>
              <w:bottom w:val="single" w:color="000000" w:sz="6" w:space="0"/>
              <w:right w:val="single" w:color="000000" w:sz="6" w:space="0"/>
            </w:tcBorders>
            <w:vAlign w:val="center"/>
          </w:tcPr>
          <w:p w:rsidRPr="002B3715" w:rsidR="00C8468F" w:rsidP="00D22F7E" w:rsidRDefault="00C8468F">
            <w:pPr>
              <w:pStyle w:val="naisc"/>
              <w:spacing w:before="0" w:after="0"/>
              <w:ind w:firstLine="21"/>
            </w:pPr>
            <w:r w:rsidRPr="002B3715">
              <w:rPr>
                <w:sz w:val="22"/>
                <w:szCs w:val="22"/>
              </w:rPr>
              <w:t>Atbildīgās ministrijas norāde par to, ka iebildums ir ņemts vērā, vai informācija par saskaņošanā panākto alternatīvo risinājumu</w:t>
            </w:r>
          </w:p>
        </w:tc>
        <w:tc>
          <w:tcPr>
            <w:tcW w:w="1274" w:type="pct"/>
            <w:tcBorders>
              <w:top w:val="single" w:color="auto" w:sz="4" w:space="0"/>
              <w:left w:val="single" w:color="auto" w:sz="4" w:space="0"/>
              <w:bottom w:val="single" w:color="auto" w:sz="4" w:space="0"/>
            </w:tcBorders>
            <w:vAlign w:val="center"/>
          </w:tcPr>
          <w:p w:rsidRPr="002B3715" w:rsidR="00C8468F" w:rsidP="00D22F7E" w:rsidRDefault="00C8468F">
            <w:pPr>
              <w:jc w:val="center"/>
            </w:pPr>
            <w:r w:rsidRPr="002B3715">
              <w:rPr>
                <w:sz w:val="22"/>
                <w:szCs w:val="22"/>
              </w:rPr>
              <w:t>Projekta attiecīgā punkta (panta) galīgā redakcija</w:t>
            </w:r>
          </w:p>
        </w:tc>
      </w:tr>
      <w:tr w:rsidRPr="002B3715" w:rsidR="002B3715" w:rsidTr="002B3715">
        <w:trPr>
          <w:trHeight w:val="79"/>
        </w:trPr>
        <w:tc>
          <w:tcPr>
            <w:tcW w:w="256" w:type="pct"/>
            <w:tcBorders>
              <w:top w:val="single" w:color="000000" w:sz="6" w:space="0"/>
              <w:left w:val="single" w:color="000000" w:sz="6" w:space="0"/>
              <w:bottom w:val="single" w:color="000000" w:sz="6" w:space="0"/>
              <w:right w:val="single" w:color="000000" w:sz="6" w:space="0"/>
            </w:tcBorders>
          </w:tcPr>
          <w:p w:rsidRPr="002B3715" w:rsidR="00C8468F" w:rsidP="00D22F7E" w:rsidRDefault="00C8468F">
            <w:pPr>
              <w:pStyle w:val="naisc"/>
              <w:spacing w:before="0" w:after="0"/>
            </w:pPr>
            <w:r w:rsidRPr="002B3715">
              <w:rPr>
                <w:sz w:val="22"/>
                <w:szCs w:val="22"/>
              </w:rPr>
              <w:t>1</w:t>
            </w:r>
          </w:p>
        </w:tc>
        <w:tc>
          <w:tcPr>
            <w:tcW w:w="1109" w:type="pct"/>
            <w:tcBorders>
              <w:top w:val="single" w:color="000000" w:sz="6" w:space="0"/>
              <w:left w:val="single" w:color="000000" w:sz="6" w:space="0"/>
              <w:bottom w:val="single" w:color="000000" w:sz="6" w:space="0"/>
              <w:right w:val="single" w:color="000000" w:sz="6" w:space="0"/>
            </w:tcBorders>
          </w:tcPr>
          <w:p w:rsidRPr="002B3715" w:rsidR="00C8468F" w:rsidP="00D22F7E" w:rsidRDefault="00C8468F">
            <w:pPr>
              <w:pStyle w:val="naisc"/>
              <w:spacing w:before="0" w:after="0"/>
              <w:ind w:firstLine="720"/>
            </w:pPr>
            <w:r w:rsidRPr="002B3715">
              <w:rPr>
                <w:sz w:val="22"/>
                <w:szCs w:val="22"/>
              </w:rPr>
              <w:t>2</w:t>
            </w:r>
          </w:p>
        </w:tc>
        <w:tc>
          <w:tcPr>
            <w:tcW w:w="1365" w:type="pct"/>
            <w:tcBorders>
              <w:top w:val="single" w:color="000000" w:sz="6" w:space="0"/>
              <w:left w:val="single" w:color="000000" w:sz="6" w:space="0"/>
              <w:bottom w:val="single" w:color="000000" w:sz="6" w:space="0"/>
              <w:right w:val="single" w:color="000000" w:sz="6" w:space="0"/>
            </w:tcBorders>
          </w:tcPr>
          <w:p w:rsidRPr="002B3715" w:rsidR="00C8468F" w:rsidP="00D22F7E" w:rsidRDefault="00C8468F">
            <w:pPr>
              <w:pStyle w:val="naisc"/>
              <w:spacing w:before="0" w:after="0"/>
              <w:ind w:firstLine="720"/>
            </w:pPr>
            <w:r w:rsidRPr="002B3715">
              <w:rPr>
                <w:sz w:val="22"/>
                <w:szCs w:val="22"/>
              </w:rPr>
              <w:t>3</w:t>
            </w:r>
          </w:p>
        </w:tc>
        <w:tc>
          <w:tcPr>
            <w:tcW w:w="996" w:type="pct"/>
            <w:tcBorders>
              <w:top w:val="single" w:color="000000" w:sz="6" w:space="0"/>
              <w:left w:val="single" w:color="000000" w:sz="6" w:space="0"/>
              <w:bottom w:val="single" w:color="auto" w:sz="4" w:space="0"/>
              <w:right w:val="single" w:color="000000" w:sz="6" w:space="0"/>
            </w:tcBorders>
          </w:tcPr>
          <w:p w:rsidRPr="002B3715" w:rsidR="00C8468F" w:rsidP="00D22F7E" w:rsidRDefault="00C8468F">
            <w:pPr>
              <w:pStyle w:val="naisc"/>
              <w:spacing w:before="0" w:after="0"/>
              <w:ind w:firstLine="720"/>
            </w:pPr>
            <w:r w:rsidRPr="002B3715">
              <w:rPr>
                <w:sz w:val="22"/>
                <w:szCs w:val="22"/>
              </w:rPr>
              <w:t>4</w:t>
            </w:r>
          </w:p>
        </w:tc>
        <w:tc>
          <w:tcPr>
            <w:tcW w:w="1274" w:type="pct"/>
            <w:tcBorders>
              <w:top w:val="single" w:color="auto" w:sz="4" w:space="0"/>
              <w:left w:val="single" w:color="auto" w:sz="4" w:space="0"/>
              <w:bottom w:val="single" w:color="auto" w:sz="4" w:space="0"/>
            </w:tcBorders>
          </w:tcPr>
          <w:p w:rsidRPr="002B3715" w:rsidR="00C8468F" w:rsidP="00D22F7E" w:rsidRDefault="00C8468F">
            <w:pPr>
              <w:jc w:val="center"/>
            </w:pPr>
            <w:r w:rsidRPr="002B3715">
              <w:rPr>
                <w:sz w:val="22"/>
                <w:szCs w:val="22"/>
              </w:rPr>
              <w:t>5</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743D8A" w:rsidP="002B3715" w:rsidRDefault="002B3715">
            <w:pPr>
              <w:pStyle w:val="naisc"/>
              <w:spacing w:before="0" w:after="0"/>
              <w:ind w:left="-142"/>
            </w:pPr>
            <w:r w:rsidRPr="002B3715">
              <w:rPr>
                <w:sz w:val="22"/>
                <w:szCs w:val="22"/>
              </w:rPr>
              <w:t>1.</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743D8A" w:rsidP="00440A64" w:rsidRDefault="00743D8A">
            <w:pPr>
              <w:pStyle w:val="naisc"/>
              <w:jc w:val="both"/>
            </w:pPr>
            <w:r w:rsidRPr="002B3715">
              <w:rPr>
                <w:sz w:val="22"/>
                <w:szCs w:val="22"/>
              </w:rPr>
              <w:t>Ministru kabineta noteikumu projekta pielikums</w:t>
            </w:r>
            <w:r w:rsidRPr="002B3715" w:rsidR="00793F56">
              <w:rPr>
                <w:sz w:val="22"/>
                <w:szCs w:val="22"/>
              </w:rPr>
              <w:t>.</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457F5E" w:rsidP="00D22F7E" w:rsidRDefault="00D96EC0">
            <w:pPr>
              <w:pStyle w:val="Sarakstarindkopa"/>
              <w:widowControl w:val="0"/>
              <w:ind w:left="0"/>
              <w:rPr>
                <w:b/>
              </w:rPr>
            </w:pPr>
            <w:r w:rsidRPr="002B3715">
              <w:rPr>
                <w:b/>
                <w:sz w:val="22"/>
                <w:szCs w:val="22"/>
              </w:rPr>
              <w:t>Finanšu ministrija:</w:t>
            </w:r>
          </w:p>
          <w:p w:rsidRPr="002B3715" w:rsidR="00457F5E" w:rsidP="00D22F7E" w:rsidRDefault="00CC31E9">
            <w:pPr>
              <w:pStyle w:val="Sarakstarindkopa"/>
              <w:widowControl w:val="0"/>
              <w:ind w:left="0"/>
              <w:jc w:val="both"/>
            </w:pPr>
            <w:r w:rsidRPr="002B3715">
              <w:rPr>
                <w:sz w:val="22"/>
                <w:szCs w:val="22"/>
              </w:rPr>
              <w:t>Saskaņā ar noteikumu projekta 2.punktu profesionālās izglītības iestādes sniedz maksas pakalpojumus saskaņā ar cenrādi (pielikums). Līdz ar to, uzskatām, ka visiem pakalpojumu izcenojumiem jābūt iekļautiem pielikumā,</w:t>
            </w:r>
            <w:proofErr w:type="gramStart"/>
            <w:r w:rsidRPr="002B3715">
              <w:rPr>
                <w:sz w:val="22"/>
                <w:szCs w:val="22"/>
              </w:rPr>
              <w:t xml:space="preserve">  </w:t>
            </w:r>
            <w:proofErr w:type="gramEnd"/>
            <w:r w:rsidRPr="002B3715">
              <w:rPr>
                <w:sz w:val="22"/>
                <w:szCs w:val="22"/>
              </w:rPr>
              <w:t xml:space="preserve">kurā nepārprotami atspoguļota maksas pakalpojuma cena </w:t>
            </w:r>
            <w:r w:rsidRPr="002B3715">
              <w:rPr>
                <w:i/>
                <w:sz w:val="22"/>
                <w:szCs w:val="22"/>
              </w:rPr>
              <w:t>euro</w:t>
            </w:r>
            <w:r w:rsidRPr="002B3715">
              <w:rPr>
                <w:sz w:val="22"/>
                <w:szCs w:val="22"/>
              </w:rPr>
              <w:t>. Atsevišķos gadījumos var būt situācijas, ka pakalpojumam ir paredzēts noteikt cenu saskaņā ar noslēgto līgumu, t.i., līgumcena. Arī šajā gadījumā sniegtajam pakalpojumam jānorāda vai tam piemēro, vai nepiemēro pievienotās vērtības nodokļa (turpmāk – PVN). Tādējādi lūdzam precizēt noteikumu projekta pielikuma tabulā minētos pakalpojumus, kuriem cena norādīta kā “tāme”, vienlaikus norādot arī PVN piemērošanu katram pakalpojumam.</w:t>
            </w:r>
          </w:p>
          <w:p w:rsidRPr="002B3715" w:rsidR="0019696A" w:rsidP="00D22F7E" w:rsidRDefault="0019696A">
            <w:pPr>
              <w:pStyle w:val="Sarakstarindkopa"/>
              <w:widowControl w:val="0"/>
              <w:ind w:left="0"/>
              <w:jc w:val="both"/>
            </w:pPr>
          </w:p>
          <w:p w:rsidRPr="002B3715" w:rsidR="0019696A" w:rsidP="00D22F7E" w:rsidRDefault="0019696A">
            <w:pPr>
              <w:pStyle w:val="Sarakstarindkopa"/>
              <w:widowControl w:val="0"/>
              <w:ind w:left="0"/>
              <w:jc w:val="both"/>
              <w:rPr>
                <w:b/>
              </w:rPr>
            </w:pPr>
            <w:r w:rsidRPr="002B3715">
              <w:rPr>
                <w:b/>
                <w:sz w:val="22"/>
                <w:szCs w:val="22"/>
              </w:rPr>
              <w:t>Izg</w:t>
            </w:r>
            <w:r w:rsidRPr="002B3715" w:rsidR="00D96EC0">
              <w:rPr>
                <w:b/>
                <w:sz w:val="22"/>
                <w:szCs w:val="22"/>
              </w:rPr>
              <w:t>lītības un zinātnes ministrija:</w:t>
            </w:r>
          </w:p>
          <w:p w:rsidRPr="002B3715" w:rsidR="00743D8A" w:rsidP="00D22F7E" w:rsidRDefault="004B52FB">
            <w:pPr>
              <w:pStyle w:val="Sarakstarindkopa"/>
              <w:widowControl w:val="0"/>
              <w:ind w:left="0"/>
              <w:jc w:val="both"/>
            </w:pPr>
            <w:r w:rsidRPr="002B3715">
              <w:rPr>
                <w:sz w:val="22"/>
                <w:szCs w:val="22"/>
              </w:rPr>
              <w:t xml:space="preserve">Pielikuma “Kultūras ministrijas padotībā esošo izglītības iestāžu publisko maksas pakalpojumu cenu kalkulācija” 5. punkta “Profesionālās izglītības kompetences centrs „Ventspils Mūzikas vidusskola” 5.12.apakšpunktā “Viena mūzikas </w:t>
            </w:r>
            <w:r w:rsidRPr="002B3715">
              <w:rPr>
                <w:sz w:val="22"/>
                <w:szCs w:val="22"/>
              </w:rPr>
              <w:lastRenderedPageBreak/>
              <w:t>instrumenta noma pārējām personām” nav norādes par PVN likmes piemērošanu vai nepiemērošanu.</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Pr="002B3715" w:rsidR="00743D8A" w:rsidP="00D22F7E" w:rsidRDefault="009222A0">
            <w:pPr>
              <w:pStyle w:val="naisc"/>
              <w:spacing w:before="0" w:after="0"/>
              <w:rPr>
                <w:b/>
              </w:rPr>
            </w:pPr>
            <w:r w:rsidRPr="002B3715">
              <w:rPr>
                <w:b/>
                <w:sz w:val="22"/>
                <w:szCs w:val="22"/>
              </w:rPr>
              <w:lastRenderedPageBreak/>
              <w:t>Ņemts vērā</w:t>
            </w:r>
          </w:p>
        </w:tc>
        <w:tc>
          <w:tcPr>
            <w:tcW w:w="1274" w:type="pct"/>
            <w:tcBorders>
              <w:top w:val="single" w:color="auto" w:sz="4" w:space="0"/>
              <w:left w:val="single" w:color="auto" w:sz="4" w:space="0"/>
            </w:tcBorders>
            <w:shd w:val="clear" w:color="auto" w:fill="auto"/>
          </w:tcPr>
          <w:p w:rsidRPr="002B3715" w:rsidR="00743D8A" w:rsidP="007E3239" w:rsidRDefault="009222A0">
            <w:pPr>
              <w:pStyle w:val="naisc"/>
              <w:spacing w:before="0" w:after="0"/>
              <w:jc w:val="both"/>
            </w:pPr>
            <w:r w:rsidRPr="002B3715">
              <w:rPr>
                <w:sz w:val="22"/>
                <w:szCs w:val="22"/>
              </w:rPr>
              <w:t>Precizēt</w:t>
            </w:r>
            <w:r w:rsidRPr="002B3715" w:rsidR="009F6613">
              <w:rPr>
                <w:sz w:val="22"/>
                <w:szCs w:val="22"/>
              </w:rPr>
              <w:t>i</w:t>
            </w:r>
            <w:r w:rsidRPr="002B3715">
              <w:rPr>
                <w:sz w:val="22"/>
                <w:szCs w:val="22"/>
              </w:rPr>
              <w:t xml:space="preserve"> </w:t>
            </w:r>
            <w:r w:rsidR="00440A64">
              <w:rPr>
                <w:sz w:val="22"/>
                <w:szCs w:val="22"/>
              </w:rPr>
              <w:t xml:space="preserve">šādi </w:t>
            </w:r>
            <w:r w:rsidRPr="002B3715">
              <w:rPr>
                <w:sz w:val="22"/>
                <w:szCs w:val="22"/>
              </w:rPr>
              <w:t>Ministru kabineta noteikumu projekta pielikum</w:t>
            </w:r>
            <w:r w:rsidRPr="002B3715" w:rsidR="009F6613">
              <w:rPr>
                <w:sz w:val="22"/>
                <w:szCs w:val="22"/>
              </w:rPr>
              <w:t>a</w:t>
            </w:r>
            <w:r w:rsidRPr="002B3715">
              <w:rPr>
                <w:sz w:val="22"/>
                <w:szCs w:val="22"/>
              </w:rPr>
              <w:t xml:space="preserve"> un </w:t>
            </w:r>
            <w:r w:rsidRPr="002B3715" w:rsidR="009F6613">
              <w:rPr>
                <w:sz w:val="22"/>
                <w:szCs w:val="22"/>
              </w:rPr>
              <w:t>Ministru kabineta noteikumu projekta sākotnējās ietekmes novērtējuma ziņojuma (</w:t>
            </w:r>
            <w:r w:rsidRPr="002B3715">
              <w:rPr>
                <w:sz w:val="22"/>
                <w:szCs w:val="22"/>
              </w:rPr>
              <w:t>a</w:t>
            </w:r>
            <w:r w:rsidRPr="002B3715" w:rsidR="004462A5">
              <w:rPr>
                <w:sz w:val="22"/>
                <w:szCs w:val="22"/>
              </w:rPr>
              <w:t>n</w:t>
            </w:r>
            <w:r w:rsidRPr="002B3715">
              <w:rPr>
                <w:sz w:val="22"/>
                <w:szCs w:val="22"/>
              </w:rPr>
              <w:t>otācijas</w:t>
            </w:r>
            <w:r w:rsidRPr="002B3715" w:rsidR="009F6613">
              <w:rPr>
                <w:sz w:val="22"/>
                <w:szCs w:val="22"/>
              </w:rPr>
              <w:t>)</w:t>
            </w:r>
            <w:r w:rsidRPr="002B3715">
              <w:rPr>
                <w:sz w:val="22"/>
                <w:szCs w:val="22"/>
              </w:rPr>
              <w:t xml:space="preserve"> pielikuma punkti: 1.2., 1.3., 1.4., 1.5., 1.6., </w:t>
            </w:r>
            <w:r w:rsidRPr="002B3715" w:rsidR="00FB7931">
              <w:rPr>
                <w:sz w:val="22"/>
                <w:szCs w:val="22"/>
              </w:rPr>
              <w:t xml:space="preserve">1.13., </w:t>
            </w:r>
            <w:r w:rsidRPr="002B3715">
              <w:rPr>
                <w:sz w:val="22"/>
                <w:szCs w:val="22"/>
              </w:rPr>
              <w:t xml:space="preserve">2.2., 2.3., 2.10., 2.11., 2.12., 3.6., 3.7., </w:t>
            </w:r>
            <w:r w:rsidRPr="002B3715" w:rsidR="00CC31E9">
              <w:rPr>
                <w:sz w:val="22"/>
                <w:szCs w:val="22"/>
              </w:rPr>
              <w:t>3.9.,</w:t>
            </w:r>
            <w:r w:rsidRPr="002B3715">
              <w:rPr>
                <w:sz w:val="22"/>
                <w:szCs w:val="22"/>
              </w:rPr>
              <w:t xml:space="preserve"> 4.3., 5.3., 5.4., 5.5., 5.6., 5.9., 5.10., 5.12., 6.7., 9.10., 9.32., 9.37.</w:t>
            </w:r>
            <w:r w:rsidRPr="002B3715" w:rsidR="009F6613">
              <w:rPr>
                <w:sz w:val="22"/>
                <w:szCs w:val="22"/>
              </w:rPr>
              <w:t xml:space="preserve"> un</w:t>
            </w:r>
            <w:r w:rsidRPr="002B3715">
              <w:rPr>
                <w:sz w:val="22"/>
                <w:szCs w:val="22"/>
              </w:rPr>
              <w:t xml:space="preserve"> 9.38.</w:t>
            </w:r>
            <w:r w:rsidRPr="002B3715" w:rsidR="00756909">
              <w:rPr>
                <w:sz w:val="22"/>
                <w:szCs w:val="22"/>
              </w:rPr>
              <w:t>apakš</w:t>
            </w:r>
            <w:r w:rsidRPr="002B3715">
              <w:rPr>
                <w:sz w:val="22"/>
                <w:szCs w:val="22"/>
              </w:rPr>
              <w:t>punkt</w:t>
            </w:r>
            <w:r w:rsidRPr="002B3715" w:rsidR="009F6613">
              <w:rPr>
                <w:sz w:val="22"/>
                <w:szCs w:val="22"/>
              </w:rPr>
              <w:t>s</w:t>
            </w:r>
            <w:r w:rsidRPr="002B3715">
              <w:rPr>
                <w:sz w:val="22"/>
                <w:szCs w:val="22"/>
              </w:rPr>
              <w:t>.</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9222A0" w:rsidP="002B3715" w:rsidRDefault="002B3715">
            <w:pPr>
              <w:pStyle w:val="naisc"/>
              <w:spacing w:before="0" w:after="0"/>
            </w:pPr>
            <w:r>
              <w:rPr>
                <w:sz w:val="22"/>
                <w:szCs w:val="22"/>
              </w:rPr>
              <w:lastRenderedPageBreak/>
              <w:t>2.</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9222A0" w:rsidP="00D22F7E" w:rsidRDefault="00AC0E97">
            <w:pPr>
              <w:pStyle w:val="naisc"/>
              <w:spacing w:before="0" w:after="0"/>
              <w:jc w:val="both"/>
            </w:pPr>
            <w:r w:rsidRPr="002B3715">
              <w:rPr>
                <w:sz w:val="22"/>
                <w:szCs w:val="22"/>
              </w:rPr>
              <w:t>Ministru kabineta noteikumu projekta pielikum</w:t>
            </w:r>
            <w:r w:rsidRPr="002B3715" w:rsidR="00931DDC">
              <w:rPr>
                <w:sz w:val="22"/>
                <w:szCs w:val="22"/>
              </w:rPr>
              <w:t>a 2.7., 10.11. un 10.12.apakšpunkts</w:t>
            </w:r>
            <w:r w:rsidRPr="002B3715" w:rsidR="00DF391A">
              <w:rPr>
                <w:sz w:val="22"/>
                <w:szCs w:val="22"/>
              </w:rPr>
              <w:t>.</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AC0E97" w:rsidP="00D22F7E" w:rsidRDefault="00D96EC0">
            <w:pPr>
              <w:pStyle w:val="Sarakstarindkopa"/>
              <w:widowControl w:val="0"/>
              <w:ind w:left="0"/>
              <w:rPr>
                <w:b/>
              </w:rPr>
            </w:pPr>
            <w:r w:rsidRPr="002B3715">
              <w:rPr>
                <w:b/>
                <w:sz w:val="22"/>
                <w:szCs w:val="22"/>
              </w:rPr>
              <w:t>Finanšu ministrija:</w:t>
            </w:r>
          </w:p>
          <w:p w:rsidRPr="002B3715" w:rsidR="009222A0" w:rsidP="00D22F7E" w:rsidRDefault="00CC31E9">
            <w:pPr>
              <w:pStyle w:val="Sarakstarindkopa"/>
              <w:widowControl w:val="0"/>
              <w:ind w:left="0"/>
              <w:jc w:val="both"/>
            </w:pPr>
            <w:r w:rsidRPr="002B3715">
              <w:rPr>
                <w:sz w:val="22"/>
                <w:szCs w:val="22"/>
              </w:rPr>
              <w:t>Lūdzam izvērtēt un precizēt atbrīvojuma no PVN piemērošanu noteikumu projekta pielikuma tabulas 2.7., 10.11. un 10.12.apakšpunktā norādītajam pakalpojumam. Vēršam uzmanību, ka instrumenta noma citām personām, kas nav izglītības iestādes izglītojamie, kā arī iekārtas un studijas noma citām personām ir ar PVN apliekams darījums, tādējādi, sniedzot šos pakalpojumus, PVN ir piemērojams vispārējā kārtībā un atsauce uz Pievienotās vērtības nodokļa likuma 52.panta pirmās daļas 12.punktu nav korekta.</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Pr="002B3715" w:rsidR="009222A0" w:rsidP="007F0ACC" w:rsidRDefault="00AC0E97">
            <w:pPr>
              <w:pStyle w:val="naisc"/>
              <w:spacing w:before="0" w:after="0"/>
              <w:rPr>
                <w:b/>
              </w:rPr>
            </w:pPr>
            <w:r w:rsidRPr="002B3715">
              <w:rPr>
                <w:b/>
                <w:sz w:val="22"/>
                <w:szCs w:val="22"/>
              </w:rPr>
              <w:t>Ņemts vērā</w:t>
            </w:r>
          </w:p>
        </w:tc>
        <w:tc>
          <w:tcPr>
            <w:tcW w:w="1274" w:type="pct"/>
            <w:tcBorders>
              <w:top w:val="single" w:color="auto" w:sz="4" w:space="0"/>
              <w:left w:val="single" w:color="auto" w:sz="4" w:space="0"/>
            </w:tcBorders>
            <w:shd w:val="clear" w:color="auto" w:fill="auto"/>
          </w:tcPr>
          <w:p w:rsidRPr="002B3715" w:rsidR="009222A0" w:rsidP="00440A64" w:rsidRDefault="00AC0E97">
            <w:pPr>
              <w:pStyle w:val="naisc"/>
              <w:spacing w:before="0" w:after="0"/>
              <w:jc w:val="both"/>
            </w:pPr>
            <w:r w:rsidRPr="002B3715">
              <w:rPr>
                <w:sz w:val="22"/>
                <w:szCs w:val="22"/>
              </w:rPr>
              <w:t>Pr</w:t>
            </w:r>
            <w:r w:rsidR="00440A64">
              <w:rPr>
                <w:sz w:val="22"/>
                <w:szCs w:val="22"/>
              </w:rPr>
              <w:t>ecizēts</w:t>
            </w:r>
            <w:r w:rsidRPr="002B3715">
              <w:rPr>
                <w:sz w:val="22"/>
                <w:szCs w:val="22"/>
              </w:rPr>
              <w:t xml:space="preserve"> Ministru kabineta noteikumu projekta pielikuma un </w:t>
            </w:r>
            <w:r w:rsidRPr="002B3715" w:rsidR="00DF391A">
              <w:rPr>
                <w:sz w:val="22"/>
                <w:szCs w:val="22"/>
              </w:rPr>
              <w:t xml:space="preserve">Ministru kabineta noteikumu projekta sākotnējās ietekmes novērtējuma ziņojuma (anotācijas) </w:t>
            </w:r>
            <w:r w:rsidRPr="002B3715">
              <w:rPr>
                <w:sz w:val="22"/>
                <w:szCs w:val="22"/>
              </w:rPr>
              <w:t>pielikuma 2.7., 10.11. un 10.12.</w:t>
            </w:r>
            <w:r w:rsidRPr="002B3715" w:rsidR="00756909">
              <w:rPr>
                <w:sz w:val="22"/>
                <w:szCs w:val="22"/>
              </w:rPr>
              <w:t>apakš</w:t>
            </w:r>
            <w:r w:rsidRPr="002B3715">
              <w:rPr>
                <w:sz w:val="22"/>
                <w:szCs w:val="22"/>
              </w:rPr>
              <w:t>punkt</w:t>
            </w:r>
            <w:r w:rsidR="00440A64">
              <w:rPr>
                <w:sz w:val="22"/>
                <w:szCs w:val="22"/>
              </w:rPr>
              <w:t>s</w:t>
            </w:r>
            <w:r w:rsidRPr="002B3715">
              <w:rPr>
                <w:sz w:val="22"/>
                <w:szCs w:val="22"/>
              </w:rPr>
              <w:t>.</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9C0E7B" w:rsidP="002B3715" w:rsidRDefault="002B3715">
            <w:pPr>
              <w:pStyle w:val="naisc"/>
              <w:spacing w:before="0" w:after="0"/>
            </w:pPr>
            <w:r>
              <w:rPr>
                <w:sz w:val="22"/>
                <w:szCs w:val="22"/>
              </w:rPr>
              <w:t>3.</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9C0E7B" w:rsidP="00D22F7E" w:rsidRDefault="009C0E7B">
            <w:pPr>
              <w:pStyle w:val="naisc"/>
              <w:spacing w:before="0" w:after="0"/>
              <w:jc w:val="both"/>
            </w:pPr>
            <w:r w:rsidRPr="002B3715">
              <w:rPr>
                <w:sz w:val="22"/>
                <w:szCs w:val="22"/>
              </w:rPr>
              <w:t>Ministru kabineta noteikumu projekta pielikum</w:t>
            </w:r>
            <w:r w:rsidRPr="002B3715" w:rsidR="0034738A">
              <w:rPr>
                <w:sz w:val="22"/>
                <w:szCs w:val="22"/>
              </w:rPr>
              <w:t>a 2.8.2., 6.6.5. un 6.6.6.apakšpunkts</w:t>
            </w:r>
            <w:r w:rsidRPr="002B3715" w:rsidR="00BF5803">
              <w:rPr>
                <w:sz w:val="22"/>
                <w:szCs w:val="22"/>
              </w:rPr>
              <w:t>.</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9C0E7B" w:rsidP="00D22F7E" w:rsidRDefault="00D96EC0">
            <w:pPr>
              <w:pStyle w:val="Sarakstarindkopa"/>
              <w:widowControl w:val="0"/>
              <w:ind w:left="0"/>
              <w:rPr>
                <w:b/>
              </w:rPr>
            </w:pPr>
            <w:r w:rsidRPr="002B3715">
              <w:rPr>
                <w:b/>
                <w:sz w:val="22"/>
                <w:szCs w:val="22"/>
              </w:rPr>
              <w:t>Finanšu ministrija:</w:t>
            </w:r>
          </w:p>
          <w:p w:rsidRPr="002B3715" w:rsidR="009C0E7B" w:rsidP="00D22F7E" w:rsidRDefault="00CC31E9">
            <w:pPr>
              <w:pStyle w:val="Sarakstarindkopa"/>
              <w:widowControl w:val="0"/>
              <w:ind w:left="0"/>
              <w:jc w:val="both"/>
            </w:pPr>
            <w:r w:rsidRPr="002B3715">
              <w:rPr>
                <w:sz w:val="22"/>
                <w:szCs w:val="22"/>
              </w:rPr>
              <w:t>Lūdzam precizēt atbrīvojuma no PVN piemērošanu noteikumu projekta pielikuma tabulas 2.8.2., 6.6.5. un 6.6.6.apakšpunktā norādītajam pakalpojumam. Vēršam uzmanību, ka citu personu, kas nav izglītības iestādes izglītojamie vai pedagogi, samaksa par dienesta viesnīcas pakalpojumiem ir ar PVN samazināto likmi apliekams darījums atbilstoši Pievienotās vērtības nodokļa likuma 42.panta desmitajai daļai.</w:t>
            </w:r>
          </w:p>
          <w:p w:rsidRPr="002B3715" w:rsidR="00D22F7E" w:rsidP="00D22F7E" w:rsidRDefault="00D22F7E">
            <w:pPr>
              <w:pStyle w:val="Sarakstarindkopa"/>
              <w:widowControl w:val="0"/>
              <w:ind w:left="0"/>
              <w:jc w:val="both"/>
            </w:pPr>
          </w:p>
          <w:p w:rsidRPr="002B3715" w:rsidR="0019696A" w:rsidP="00D22F7E" w:rsidRDefault="004B52FB">
            <w:pPr>
              <w:pStyle w:val="Sarakstarindkopa"/>
              <w:widowControl w:val="0"/>
              <w:ind w:left="0"/>
              <w:jc w:val="both"/>
              <w:rPr>
                <w:b/>
              </w:rPr>
            </w:pPr>
            <w:r w:rsidRPr="002B3715">
              <w:rPr>
                <w:b/>
                <w:sz w:val="22"/>
                <w:szCs w:val="22"/>
              </w:rPr>
              <w:t>Izglītība</w:t>
            </w:r>
            <w:r w:rsidRPr="002B3715" w:rsidR="00D96EC0">
              <w:rPr>
                <w:b/>
                <w:sz w:val="22"/>
                <w:szCs w:val="22"/>
              </w:rPr>
              <w:t>s un zinātnes ministrija:</w:t>
            </w:r>
          </w:p>
          <w:p w:rsidRPr="002B3715" w:rsidR="0019696A" w:rsidP="00D3676C" w:rsidRDefault="004B52FB">
            <w:pPr>
              <w:pStyle w:val="Sarakstarindkopa"/>
              <w:widowControl w:val="0"/>
              <w:ind w:left="0"/>
              <w:jc w:val="both"/>
            </w:pPr>
            <w:r w:rsidRPr="002B3715">
              <w:rPr>
                <w:sz w:val="22"/>
                <w:szCs w:val="22"/>
              </w:rPr>
              <w:t>Vienādiem pakalpojumiem dažādās izglītības iestādēs norādāmas vienādas atsauces uz PVN piemērošanas vai nepiemērošanas pamatojumu, piemēram, 2. punkta “Staņislava Broka Daugavpils Mūzikas vidusskola” un 6. punkta “Rēzeknes Mākslas un dizaina vidusskola”, pakalpojums attiecīgi 2.8.2. apakšpunktā “Dienesta viesnīcas maksa citiem interesentiem” un 6.6.6. “Dienesta viesnīcas maksa pārējām personām” PVN minēts ar atsauci 1 (Pievienotās vērtības nodokli nepiemēro saskaņā ar Pievienotās vērtības nodokļa likuma 52. panta pirmās daļas 12. punktu), turpretī citām skolām tāda paša pakalpojuma cenā kā PVN nepiemērošanas pamatojums minēta atsauce 3 (Pievienotās vērtības nodokli nepiemēro saskaņā ar Pievienotās vērtības nodokļa likuma 59. panta pirmo daļu).</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Pr="002B3715" w:rsidR="009C0E7B" w:rsidP="007F0ACC" w:rsidRDefault="009C0E7B">
            <w:pPr>
              <w:pStyle w:val="naisc"/>
              <w:spacing w:before="0" w:after="0"/>
              <w:rPr>
                <w:b/>
              </w:rPr>
            </w:pPr>
            <w:r w:rsidRPr="002B3715">
              <w:rPr>
                <w:b/>
                <w:sz w:val="22"/>
                <w:szCs w:val="22"/>
              </w:rPr>
              <w:t>Ņemts vērā</w:t>
            </w:r>
          </w:p>
        </w:tc>
        <w:tc>
          <w:tcPr>
            <w:tcW w:w="1274" w:type="pct"/>
            <w:tcBorders>
              <w:top w:val="single" w:color="auto" w:sz="4" w:space="0"/>
              <w:left w:val="single" w:color="auto" w:sz="4" w:space="0"/>
            </w:tcBorders>
            <w:shd w:val="clear" w:color="auto" w:fill="auto"/>
          </w:tcPr>
          <w:p w:rsidRPr="002B3715" w:rsidR="009C0E7B" w:rsidP="00440A64" w:rsidRDefault="00440A64">
            <w:pPr>
              <w:pStyle w:val="naisc"/>
              <w:spacing w:before="0" w:after="0"/>
              <w:jc w:val="both"/>
            </w:pPr>
            <w:r>
              <w:rPr>
                <w:sz w:val="22"/>
                <w:szCs w:val="22"/>
              </w:rPr>
              <w:t>Precizēts</w:t>
            </w:r>
            <w:r w:rsidRPr="002B3715" w:rsidR="009C0E7B">
              <w:rPr>
                <w:sz w:val="22"/>
                <w:szCs w:val="22"/>
              </w:rPr>
              <w:t xml:space="preserve"> Ministru kabineta noteikumu projekta pielikuma un </w:t>
            </w:r>
            <w:r w:rsidRPr="002B3715" w:rsidR="00BF5803">
              <w:rPr>
                <w:sz w:val="22"/>
                <w:szCs w:val="22"/>
              </w:rPr>
              <w:t xml:space="preserve">Ministru kabineta noteikumu projekta sākotnējās ietekmes novērtējuma ziņojuma (anotācijas) </w:t>
            </w:r>
            <w:r w:rsidRPr="002B3715" w:rsidR="009C0E7B">
              <w:rPr>
                <w:sz w:val="22"/>
                <w:szCs w:val="22"/>
              </w:rPr>
              <w:t>pielikuma 2.8.2., 6.6.5. un 6.6.6.</w:t>
            </w:r>
            <w:r w:rsidRPr="002B3715" w:rsidR="00756909">
              <w:rPr>
                <w:sz w:val="22"/>
                <w:szCs w:val="22"/>
              </w:rPr>
              <w:t>apakš</w:t>
            </w:r>
            <w:r w:rsidRPr="002B3715" w:rsidR="009C0E7B">
              <w:rPr>
                <w:sz w:val="22"/>
                <w:szCs w:val="22"/>
              </w:rPr>
              <w:t>punkt</w:t>
            </w:r>
            <w:r>
              <w:rPr>
                <w:sz w:val="22"/>
                <w:szCs w:val="22"/>
              </w:rPr>
              <w:t>s</w:t>
            </w:r>
            <w:r w:rsidRPr="002B3715" w:rsidR="009C0E7B">
              <w:rPr>
                <w:sz w:val="22"/>
                <w:szCs w:val="22"/>
              </w:rPr>
              <w:t xml:space="preserve">. </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9C0E7B" w:rsidP="002B3715" w:rsidRDefault="002B3715">
            <w:pPr>
              <w:pStyle w:val="naisc"/>
              <w:spacing w:before="0" w:after="0"/>
            </w:pPr>
            <w:r>
              <w:rPr>
                <w:sz w:val="22"/>
                <w:szCs w:val="22"/>
              </w:rPr>
              <w:t>4.</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9C0E7B" w:rsidP="00D22F7E" w:rsidRDefault="00816D0F">
            <w:pPr>
              <w:pStyle w:val="naisc"/>
              <w:spacing w:before="0" w:after="0"/>
              <w:jc w:val="both"/>
            </w:pPr>
            <w:r w:rsidRPr="002B3715">
              <w:rPr>
                <w:sz w:val="22"/>
                <w:szCs w:val="22"/>
              </w:rPr>
              <w:t>Ministru kabineta noteikumu projekta pielikum</w:t>
            </w:r>
            <w:r w:rsidRPr="002B3715" w:rsidR="00BF7884">
              <w:rPr>
                <w:sz w:val="22"/>
                <w:szCs w:val="22"/>
              </w:rPr>
              <w:t>a 2.9.1.apakšpunkts.</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816D0F" w:rsidP="00D22F7E" w:rsidRDefault="00816D0F">
            <w:pPr>
              <w:pStyle w:val="Sarakstarindkopa"/>
              <w:widowControl w:val="0"/>
              <w:ind w:left="0"/>
              <w:jc w:val="both"/>
            </w:pPr>
            <w:r w:rsidRPr="002B3715">
              <w:rPr>
                <w:b/>
                <w:sz w:val="22"/>
                <w:szCs w:val="22"/>
              </w:rPr>
              <w:t>Finanšu ministrija:</w:t>
            </w:r>
          </w:p>
          <w:p w:rsidRPr="002B3715" w:rsidR="00C92F66" w:rsidP="00D22F7E" w:rsidRDefault="00CC31E9">
            <w:pPr>
              <w:pStyle w:val="Sarakstarindkopa"/>
              <w:widowControl w:val="0"/>
              <w:ind w:left="0"/>
              <w:jc w:val="both"/>
            </w:pPr>
            <w:r w:rsidRPr="002B3715">
              <w:rPr>
                <w:sz w:val="22"/>
                <w:szCs w:val="22"/>
              </w:rPr>
              <w:t>Lūdzam precizēt noteikumu projekta pielikuma tabulas 2.9.1.apakšpunktā norādīta pakalpojuma nosaukumu, jo nav skaidrs, kāda izziņa tiks izsniegta personai un kāpēc ir piemērojams atbrīvojums no PVN.</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Pr="002B3715" w:rsidR="00EE56CF" w:rsidP="00D22F7E" w:rsidRDefault="00EE56CF">
            <w:pPr>
              <w:pStyle w:val="naisc"/>
              <w:spacing w:before="0" w:after="0"/>
              <w:rPr>
                <w:b/>
              </w:rPr>
            </w:pPr>
            <w:r w:rsidRPr="002B3715">
              <w:rPr>
                <w:b/>
                <w:sz w:val="22"/>
                <w:szCs w:val="22"/>
              </w:rPr>
              <w:t>Ņemts vērā</w:t>
            </w:r>
          </w:p>
          <w:p w:rsidRPr="002B3715" w:rsidR="009C0E7B" w:rsidP="005B0387" w:rsidRDefault="00EE56CF">
            <w:pPr>
              <w:pStyle w:val="naisc"/>
              <w:spacing w:before="0" w:after="0"/>
              <w:jc w:val="both"/>
              <w:rPr>
                <w:b/>
              </w:rPr>
            </w:pPr>
            <w:r w:rsidRPr="002B3715">
              <w:rPr>
                <w:sz w:val="22"/>
                <w:szCs w:val="22"/>
              </w:rPr>
              <w:t xml:space="preserve">Izvērtējot </w:t>
            </w:r>
            <w:r w:rsidRPr="002B3715" w:rsidR="005B0387">
              <w:rPr>
                <w:sz w:val="22"/>
                <w:szCs w:val="22"/>
              </w:rPr>
              <w:t xml:space="preserve">Ministru kabineta </w:t>
            </w:r>
            <w:r w:rsidRPr="002B3715">
              <w:rPr>
                <w:sz w:val="22"/>
                <w:szCs w:val="22"/>
              </w:rPr>
              <w:t>noteikumu projekta 2.9.1.apakšpunktā paredzētā pakalpojuma būtību, secinā</w:t>
            </w:r>
            <w:r w:rsidRPr="002B3715" w:rsidR="00C92F66">
              <w:rPr>
                <w:sz w:val="22"/>
                <w:szCs w:val="22"/>
              </w:rPr>
              <w:t>t</w:t>
            </w:r>
            <w:r w:rsidRPr="002B3715">
              <w:rPr>
                <w:sz w:val="22"/>
                <w:szCs w:val="22"/>
              </w:rPr>
              <w:t>s, ka šāda pakalpojuma sniegšana turpmāk nav aktuāla un attiecīgi šāds pakalpojums cenrādī nav nepieciešams.</w:t>
            </w:r>
          </w:p>
        </w:tc>
        <w:tc>
          <w:tcPr>
            <w:tcW w:w="1274" w:type="pct"/>
            <w:tcBorders>
              <w:top w:val="single" w:color="auto" w:sz="4" w:space="0"/>
              <w:left w:val="single" w:color="auto" w:sz="4" w:space="0"/>
            </w:tcBorders>
            <w:shd w:val="clear" w:color="auto" w:fill="auto"/>
          </w:tcPr>
          <w:p w:rsidRPr="002B3715" w:rsidR="00B03BCD" w:rsidRDefault="00EE56CF">
            <w:pPr>
              <w:pStyle w:val="naisc"/>
              <w:spacing w:before="0" w:after="0"/>
              <w:jc w:val="both"/>
            </w:pPr>
            <w:r w:rsidRPr="002B3715">
              <w:rPr>
                <w:sz w:val="22"/>
                <w:szCs w:val="22"/>
              </w:rPr>
              <w:t xml:space="preserve">Svītrots Ministru kabineta noteikumu projekta pielikuma un </w:t>
            </w:r>
            <w:r w:rsidRPr="002B3715" w:rsidR="00C349DE">
              <w:rPr>
                <w:sz w:val="22"/>
                <w:szCs w:val="22"/>
              </w:rPr>
              <w:t xml:space="preserve">Ministru kabineta noteikumu projekta sākotnējās ietekmes </w:t>
            </w:r>
            <w:r w:rsidRPr="002B3715" w:rsidR="00B84099">
              <w:rPr>
                <w:sz w:val="22"/>
                <w:szCs w:val="22"/>
              </w:rPr>
              <w:t>novērtējuma ziņojuma (anotācijas) pielikuma 2.9.1.apakšpunkts un</w:t>
            </w:r>
            <w:r w:rsidRPr="002B3715">
              <w:rPr>
                <w:sz w:val="22"/>
                <w:szCs w:val="22"/>
              </w:rPr>
              <w:t xml:space="preserve"> attiecīgi precizēts 2.9.punkts.</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9C0E7B" w:rsidP="002B3715" w:rsidRDefault="002B3715">
            <w:pPr>
              <w:pStyle w:val="naisc"/>
              <w:spacing w:before="0" w:after="0"/>
            </w:pPr>
            <w:r>
              <w:rPr>
                <w:sz w:val="22"/>
                <w:szCs w:val="22"/>
              </w:rPr>
              <w:t>5.</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9C0E7B" w:rsidP="00D22F7E" w:rsidRDefault="00816D0F">
            <w:pPr>
              <w:pStyle w:val="naisc"/>
              <w:spacing w:before="0" w:after="0"/>
              <w:jc w:val="both"/>
            </w:pPr>
            <w:r w:rsidRPr="002B3715">
              <w:rPr>
                <w:sz w:val="22"/>
                <w:szCs w:val="22"/>
              </w:rPr>
              <w:t>Ministru kabineta noteikumu projekta pielikum</w:t>
            </w:r>
            <w:r w:rsidRPr="002B3715" w:rsidR="00577AD5">
              <w:rPr>
                <w:sz w:val="22"/>
                <w:szCs w:val="22"/>
              </w:rPr>
              <w:t>a</w:t>
            </w:r>
            <w:r w:rsidRPr="002B3715" w:rsidR="000811BD">
              <w:rPr>
                <w:sz w:val="22"/>
                <w:szCs w:val="22"/>
              </w:rPr>
              <w:t xml:space="preserve"> </w:t>
            </w:r>
            <w:r w:rsidRPr="002B3715" w:rsidR="00577AD5">
              <w:rPr>
                <w:sz w:val="22"/>
                <w:szCs w:val="22"/>
              </w:rPr>
              <w:t>3.9.apakšpunkts.</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816D0F" w:rsidP="00D22F7E" w:rsidRDefault="00816D0F">
            <w:pPr>
              <w:pStyle w:val="Sarakstarindkopa"/>
              <w:widowControl w:val="0"/>
              <w:ind w:left="0"/>
              <w:jc w:val="both"/>
            </w:pPr>
            <w:r w:rsidRPr="002B3715">
              <w:rPr>
                <w:b/>
                <w:sz w:val="22"/>
                <w:szCs w:val="22"/>
              </w:rPr>
              <w:t>Finanšu ministrija:</w:t>
            </w:r>
          </w:p>
          <w:p w:rsidRPr="002B3715" w:rsidR="009C0E7B" w:rsidP="00577AD5" w:rsidRDefault="00CC31E9">
            <w:pPr>
              <w:pStyle w:val="Sarakstarindkopa"/>
              <w:widowControl w:val="0"/>
              <w:ind w:left="0"/>
              <w:jc w:val="both"/>
            </w:pPr>
            <w:r w:rsidRPr="002B3715">
              <w:rPr>
                <w:sz w:val="22"/>
                <w:szCs w:val="22"/>
              </w:rPr>
              <w:t>Lūdzam precizēt atbrīvojuma no PVN piemērošanu noteikumu projekta pielikuma tabulas 3.9.apakšpunktā norādītajam pakalpojumam. Atsaucē pie šā pakalpojuma ir norādīts, ka PVN nepiemēro saskaņā ar Pievienotās vērtības nodokļa likuma 34.panta sesto daļu. Vēršam uzmanību, ka šis regulējums neparedz atbrīvojuma no PVN piemērošanu, bet nosaka, ka starpniecības pakalpojuma ar PVN apliekamā vērtība ir starpniecības atlīdzība. Vienlaikus atzīmējam, ja minētais pakalpojums ir iekļauts šajā cenrādī, tad ir jānorāda pakalpojuma cena euro un nav veidojama atsauce uz Latvijas Lauksaimniecības universitātes cenrādi.</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Pr="002B3715" w:rsidR="009C0E7B" w:rsidP="00D22F7E" w:rsidRDefault="001B1F06">
            <w:pPr>
              <w:pStyle w:val="naisc"/>
              <w:spacing w:before="0" w:after="0"/>
              <w:rPr>
                <w:b/>
              </w:rPr>
            </w:pPr>
            <w:r w:rsidRPr="002B3715">
              <w:rPr>
                <w:b/>
                <w:sz w:val="22"/>
                <w:szCs w:val="22"/>
              </w:rPr>
              <w:t>Ņemts vērā</w:t>
            </w:r>
          </w:p>
        </w:tc>
        <w:tc>
          <w:tcPr>
            <w:tcW w:w="1274" w:type="pct"/>
            <w:tcBorders>
              <w:top w:val="single" w:color="auto" w:sz="4" w:space="0"/>
              <w:left w:val="single" w:color="auto" w:sz="4" w:space="0"/>
            </w:tcBorders>
            <w:shd w:val="clear" w:color="auto" w:fill="auto"/>
          </w:tcPr>
          <w:p w:rsidRPr="002B3715" w:rsidR="004462A5" w:rsidP="00D22F7E" w:rsidRDefault="000811BD">
            <w:pPr>
              <w:pStyle w:val="naisc"/>
              <w:spacing w:before="0" w:after="0"/>
              <w:jc w:val="both"/>
            </w:pPr>
            <w:r w:rsidRPr="002B3715">
              <w:rPr>
                <w:sz w:val="22"/>
                <w:szCs w:val="22"/>
              </w:rPr>
              <w:t xml:space="preserve">Precizēts </w:t>
            </w:r>
            <w:r w:rsidRPr="002B3715" w:rsidR="00A06549">
              <w:rPr>
                <w:sz w:val="22"/>
                <w:szCs w:val="22"/>
              </w:rPr>
              <w:t xml:space="preserve">Ministru kabineta </w:t>
            </w:r>
            <w:r w:rsidRPr="002B3715">
              <w:rPr>
                <w:sz w:val="22"/>
                <w:szCs w:val="22"/>
              </w:rPr>
              <w:t xml:space="preserve">noteikumu </w:t>
            </w:r>
            <w:r w:rsidRPr="002B3715" w:rsidR="00A06549">
              <w:rPr>
                <w:sz w:val="22"/>
                <w:szCs w:val="22"/>
              </w:rPr>
              <w:t xml:space="preserve">projekta </w:t>
            </w:r>
            <w:r w:rsidRPr="002B3715">
              <w:rPr>
                <w:sz w:val="22"/>
                <w:szCs w:val="22"/>
              </w:rPr>
              <w:t xml:space="preserve">pielikuma </w:t>
            </w:r>
            <w:r w:rsidRPr="002B3715" w:rsidR="00A06549">
              <w:rPr>
                <w:sz w:val="22"/>
                <w:szCs w:val="22"/>
              </w:rPr>
              <w:t xml:space="preserve">un Ministru kabineta noteikumu projekta sākotnējās ietekmes novērtējuma ziņojuma (anotācijas) pielikuma </w:t>
            </w:r>
            <w:r w:rsidRPr="002B3715">
              <w:rPr>
                <w:sz w:val="22"/>
                <w:szCs w:val="22"/>
              </w:rPr>
              <w:t>3.9.</w:t>
            </w:r>
            <w:r w:rsidRPr="002B3715" w:rsidR="00A06549">
              <w:rPr>
                <w:sz w:val="22"/>
                <w:szCs w:val="22"/>
              </w:rPr>
              <w:t>apakš</w:t>
            </w:r>
            <w:r w:rsidRPr="002B3715">
              <w:rPr>
                <w:sz w:val="22"/>
                <w:szCs w:val="22"/>
              </w:rPr>
              <w:t>punkts</w:t>
            </w:r>
            <w:r w:rsidRPr="002B3715" w:rsidR="004462A5">
              <w:rPr>
                <w:sz w:val="22"/>
                <w:szCs w:val="22"/>
              </w:rPr>
              <w:t>.</w:t>
            </w:r>
          </w:p>
          <w:p w:rsidRPr="002B3715" w:rsidR="00E34B2C" w:rsidP="00D22F7E" w:rsidRDefault="00E34B2C">
            <w:pPr>
              <w:pStyle w:val="naisc"/>
              <w:spacing w:before="0" w:after="0"/>
              <w:jc w:val="both"/>
            </w:pPr>
          </w:p>
          <w:p w:rsidRPr="002B3715" w:rsidR="009C0E7B" w:rsidP="00D22F7E" w:rsidRDefault="004462A5">
            <w:pPr>
              <w:pStyle w:val="naisc"/>
              <w:spacing w:before="0" w:after="0"/>
              <w:jc w:val="both"/>
            </w:pPr>
            <w:r w:rsidRPr="002B3715">
              <w:rPr>
                <w:sz w:val="22"/>
                <w:szCs w:val="22"/>
              </w:rPr>
              <w:t>P</w:t>
            </w:r>
            <w:r w:rsidRPr="002B3715" w:rsidR="000811BD">
              <w:rPr>
                <w:sz w:val="22"/>
                <w:szCs w:val="22"/>
              </w:rPr>
              <w:t>apildināt</w:t>
            </w:r>
            <w:r w:rsidRPr="002B3715" w:rsidR="007B16D1">
              <w:rPr>
                <w:sz w:val="22"/>
                <w:szCs w:val="22"/>
              </w:rPr>
              <w:t>s</w:t>
            </w:r>
            <w:r w:rsidRPr="002B3715" w:rsidR="000811BD">
              <w:rPr>
                <w:sz w:val="22"/>
                <w:szCs w:val="22"/>
              </w:rPr>
              <w:t xml:space="preserve"> </w:t>
            </w:r>
            <w:r w:rsidRPr="002B3715" w:rsidR="007B16D1">
              <w:rPr>
                <w:sz w:val="22"/>
                <w:szCs w:val="22"/>
              </w:rPr>
              <w:t>Ministru kabineta noteikumu projekta sākotnējās ietekmes novērtējuma ziņojuma (anotācijas)</w:t>
            </w:r>
            <w:r w:rsidR="00440A64">
              <w:rPr>
                <w:sz w:val="22"/>
                <w:szCs w:val="22"/>
              </w:rPr>
              <w:t xml:space="preserve"> I</w:t>
            </w:r>
            <w:r w:rsidRPr="002B3715" w:rsidR="007B16D1">
              <w:rPr>
                <w:sz w:val="22"/>
                <w:szCs w:val="22"/>
              </w:rPr>
              <w:t xml:space="preserve"> sa</w:t>
            </w:r>
            <w:r w:rsidRPr="002B3715" w:rsidR="000811BD">
              <w:rPr>
                <w:sz w:val="22"/>
                <w:szCs w:val="22"/>
              </w:rPr>
              <w:t>daļas 2.</w:t>
            </w:r>
            <w:r w:rsidRPr="002B3715" w:rsidR="007B16D1">
              <w:rPr>
                <w:sz w:val="22"/>
                <w:szCs w:val="22"/>
              </w:rPr>
              <w:t>punkts šādā redakcijā:</w:t>
            </w:r>
          </w:p>
          <w:p w:rsidRPr="002B3715" w:rsidR="001261D2" w:rsidP="00D22F7E" w:rsidRDefault="004462A5">
            <w:pPr>
              <w:pStyle w:val="naisc"/>
              <w:spacing w:before="0" w:after="0"/>
              <w:jc w:val="both"/>
            </w:pPr>
            <w:r w:rsidRPr="002B3715">
              <w:rPr>
                <w:sz w:val="22"/>
                <w:szCs w:val="22"/>
              </w:rPr>
              <w:t>„</w:t>
            </w:r>
            <w:r w:rsidRPr="002B3715" w:rsidR="001261D2">
              <w:rPr>
                <w:sz w:val="22"/>
                <w:szCs w:val="22"/>
              </w:rPr>
              <w:t>[..]</w:t>
            </w:r>
          </w:p>
          <w:p w:rsidRPr="002B3715" w:rsidR="00C850CC" w:rsidP="00C850CC" w:rsidRDefault="00C850CC">
            <w:pPr>
              <w:pStyle w:val="naiskr"/>
              <w:spacing w:before="0" w:after="0"/>
              <w:jc w:val="both"/>
            </w:pPr>
            <w:r w:rsidRPr="002B3715">
              <w:rPr>
                <w:sz w:val="22"/>
                <w:szCs w:val="22"/>
              </w:rPr>
              <w:t>Projekta pielikuma 3.9.apakšpunktā Jelgavas Mūzikas vidusskolā paredzēts pakalpojums „Izglītības iestādes izglītojamo izmitināšana Latvijas Lauksaimniecības universitātes dienesta viesnīcā”. Jelgavas Mūzikas vidusskolai nav savas dienesta viesnīcas, tādēļ Latvijas Lauksaimniecības universitāte un Jelgavas Mūzikas vidusskola pirms katra mācību gada noslēdz līgumu, kurā tiek atrunāts, cik izglītojamie un par kādu maksu tiks izmitināti Latvijas Lauksaimniecības universitātes dienesta viesnīcā. Jelgavas Mūzikas vidusskola ar katru izglītojamo, kas tiek izmitināts Latvijas Lauksaimniecības universitātes dienesta viesnīcā, noslēdz līgumu, paredzot tajā arī to, ka maksa par dienesta viesnīcas izmantošanu būs vienāda ar maksu, ko Jelgavas Mūzikas vidusskola maksās Latvijas Lauksaimniecības universitātei. Latvijas Lauksaimniecības universitāte izmitina savā dienesta viesnīcā Jelgavas Mūzikas vidusskolas izglītojamos. Pēc tam Latvijas Lauksaimniecības universitāte katru mēnesi izraksta Jelgavas Mūzikas vidusskolai rēķinu (bez PVN) par Jelgavas Mūzikas vidusskolas izglītojamo dienesta viesnīcas izmantošanu. Pēc tam, atbilstoši Latvijas Lauksaimniecības universitātes rēķinam, Jelgavas Mūzikas vidusskola piestāda katram izglītojamam, kas dzīvo dienesta viesnīcā, rēķinu (bez PVN) par summu, kādu Latvijas Lauksaimniecības universitāte piestādīja Jelgavas Mūzikas vidusskolai par konkrēto izglītojamo. Pēc būtības Jelgavas Mūzikas vidusskola negūst par minēto pakalpojumu nekādus ienākumus un starpniecības pakalpojumu maksu. Tādēļ minētajam pakalpojumam neveidojas pievienotā vērtība, jo šiem ienākumiem pēc to ekonomiskās būtības ir kompensācijas raksturs. Šie pakalpojumi pēc savas būtības neveido ar pievienotās vērtības nodokli apliekamu objektu. Tādēļ Projekta pielikuma 3.9.apakšpunktā noteiktajam pakalpojumam ir paredzēts noteikt līgumcenu, kas paredzēta izglītības iestādes noslēgtajā līgumā ar izglītojamo un, kas būs vienāda ar Latvijas Lauksaimniecības universitātes piestādīto rēķinu.</w:t>
            </w:r>
          </w:p>
          <w:p w:rsidRPr="002B3715" w:rsidR="004462A5" w:rsidP="00D22F7E" w:rsidRDefault="001261D2">
            <w:pPr>
              <w:pStyle w:val="naisc"/>
              <w:spacing w:before="0" w:after="0"/>
              <w:jc w:val="both"/>
            </w:pPr>
            <w:r w:rsidRPr="002B3715">
              <w:rPr>
                <w:sz w:val="22"/>
                <w:szCs w:val="22"/>
              </w:rPr>
              <w:t>[..]</w:t>
            </w:r>
            <w:r w:rsidRPr="002B3715" w:rsidR="004462A5">
              <w:rPr>
                <w:sz w:val="22"/>
                <w:szCs w:val="22"/>
              </w:rPr>
              <w:t>”</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756909" w:rsidP="002B3715" w:rsidRDefault="002B3715">
            <w:pPr>
              <w:pStyle w:val="naisc"/>
              <w:spacing w:before="0" w:after="0"/>
            </w:pPr>
            <w:r>
              <w:rPr>
                <w:sz w:val="22"/>
                <w:szCs w:val="22"/>
              </w:rPr>
              <w:t>6.</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756909" w:rsidP="00D22F7E" w:rsidRDefault="00756909">
            <w:pPr>
              <w:pStyle w:val="naisc"/>
              <w:spacing w:before="0" w:after="0"/>
              <w:jc w:val="both"/>
            </w:pPr>
            <w:r w:rsidRPr="002B3715">
              <w:rPr>
                <w:sz w:val="22"/>
                <w:szCs w:val="22"/>
              </w:rPr>
              <w:t>Ministru kabineta noteikumu projekta pielikum</w:t>
            </w:r>
            <w:r w:rsidRPr="002B3715" w:rsidR="006F1BC8">
              <w:rPr>
                <w:sz w:val="22"/>
                <w:szCs w:val="22"/>
              </w:rPr>
              <w:t>a 10.5., 10.6. un 10.7.apakšpunkts.</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756909" w:rsidP="00D22F7E" w:rsidRDefault="00756909">
            <w:pPr>
              <w:pStyle w:val="Sarakstarindkopa"/>
              <w:widowControl w:val="0"/>
              <w:ind w:left="0"/>
              <w:jc w:val="both"/>
              <w:rPr>
                <w:b/>
              </w:rPr>
            </w:pPr>
            <w:r w:rsidRPr="002B3715">
              <w:rPr>
                <w:b/>
                <w:sz w:val="22"/>
                <w:szCs w:val="22"/>
              </w:rPr>
              <w:t>Finanšu ministrija:</w:t>
            </w:r>
          </w:p>
          <w:p w:rsidRPr="002B3715" w:rsidR="00756909" w:rsidP="00D22F7E" w:rsidRDefault="00CC31E9">
            <w:pPr>
              <w:pStyle w:val="Sarakstarindkopa"/>
              <w:widowControl w:val="0"/>
              <w:ind w:left="0"/>
              <w:jc w:val="both"/>
            </w:pPr>
            <w:r w:rsidRPr="002B3715">
              <w:rPr>
                <w:sz w:val="22"/>
                <w:szCs w:val="22"/>
              </w:rPr>
              <w:t>Lai nodrošinātu vienotu pieeju attiecībā uz PVN piemērošanu vienādiem pakalpojumiem, lūdzam precizēt PVN piemērošanu noteikumu projekta pielikuma tabulas 10.5., 10.6. un 10.7.apakšpunktā norādītajam pakalpojumam, proti, piemērojot atbrīvojumu no PVN atbilstoši Pievienotās vērtības nodokļa likuma 52.panta pirmās daļas 12.punktam, kā tas ir norādīts noteikumu projekta pielikuma tabulas 9.33. un 9.34.apakšpunktā minētājiem pakalpojumiem.</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Pr="002B3715" w:rsidR="00756909" w:rsidP="00D96EC0" w:rsidRDefault="00756909">
            <w:pPr>
              <w:pStyle w:val="naisc"/>
              <w:spacing w:before="0" w:after="0"/>
              <w:rPr>
                <w:b/>
              </w:rPr>
            </w:pPr>
            <w:r w:rsidRPr="002B3715">
              <w:rPr>
                <w:b/>
                <w:sz w:val="22"/>
                <w:szCs w:val="22"/>
              </w:rPr>
              <w:t>Ņemts vērā</w:t>
            </w:r>
          </w:p>
        </w:tc>
        <w:tc>
          <w:tcPr>
            <w:tcW w:w="1274" w:type="pct"/>
            <w:tcBorders>
              <w:top w:val="single" w:color="auto" w:sz="4" w:space="0"/>
              <w:left w:val="single" w:color="auto" w:sz="4" w:space="0"/>
            </w:tcBorders>
            <w:shd w:val="clear" w:color="auto" w:fill="auto"/>
          </w:tcPr>
          <w:p w:rsidRPr="002B3715" w:rsidR="00756909" w:rsidP="00F21A61" w:rsidRDefault="00440A64">
            <w:pPr>
              <w:pStyle w:val="naisc"/>
              <w:spacing w:before="0" w:after="0"/>
              <w:jc w:val="both"/>
            </w:pPr>
            <w:r>
              <w:rPr>
                <w:sz w:val="22"/>
                <w:szCs w:val="22"/>
              </w:rPr>
              <w:t>Precizēts</w:t>
            </w:r>
            <w:r w:rsidRPr="002B3715" w:rsidR="00756909">
              <w:rPr>
                <w:sz w:val="22"/>
                <w:szCs w:val="22"/>
              </w:rPr>
              <w:t xml:space="preserve"> Ministru kabineta noteikumu projekta pielikuma un</w:t>
            </w:r>
            <w:r w:rsidRPr="002B3715" w:rsidR="00F21A61">
              <w:rPr>
                <w:sz w:val="22"/>
                <w:szCs w:val="22"/>
              </w:rPr>
              <w:t xml:space="preserve"> Ministru kabineta noteikumu projekta sākotnējās ietekmes novērtējuma ziņojuma (anotācijas)</w:t>
            </w:r>
            <w:r w:rsidRPr="002B3715" w:rsidR="00756909">
              <w:rPr>
                <w:sz w:val="22"/>
                <w:szCs w:val="22"/>
              </w:rPr>
              <w:t xml:space="preserve"> pielikuma </w:t>
            </w:r>
            <w:r>
              <w:rPr>
                <w:sz w:val="22"/>
                <w:szCs w:val="22"/>
              </w:rPr>
              <w:t>10.5., 10.6. un 10.7.apakšpunkts</w:t>
            </w:r>
            <w:r w:rsidRPr="002B3715" w:rsidR="00756909">
              <w:rPr>
                <w:sz w:val="22"/>
                <w:szCs w:val="22"/>
              </w:rPr>
              <w:t>.</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EC460B" w:rsidP="002B3715" w:rsidRDefault="002B3715">
            <w:pPr>
              <w:pStyle w:val="naisc"/>
              <w:spacing w:before="0" w:after="0"/>
            </w:pPr>
            <w:r>
              <w:rPr>
                <w:sz w:val="22"/>
                <w:szCs w:val="22"/>
              </w:rPr>
              <w:t>7.</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EC460B" w:rsidP="00893CB3" w:rsidRDefault="009A24FE">
            <w:pPr>
              <w:pStyle w:val="naisc"/>
              <w:spacing w:before="0" w:after="0"/>
              <w:jc w:val="both"/>
            </w:pPr>
            <w:r w:rsidRPr="002B3715">
              <w:rPr>
                <w:sz w:val="22"/>
                <w:szCs w:val="22"/>
              </w:rPr>
              <w:t xml:space="preserve">Ministru kabineta noteikumu projekta </w:t>
            </w:r>
            <w:r w:rsidRPr="002B3715" w:rsidR="00893CB3">
              <w:rPr>
                <w:sz w:val="22"/>
                <w:szCs w:val="22"/>
              </w:rPr>
              <w:t>sākotnējās ietekmes novērtējuma ziņojuma (anotācijas) I sadaļas 2.punkts.</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9A24FE" w:rsidP="00D22F7E" w:rsidRDefault="009A24FE">
            <w:pPr>
              <w:pStyle w:val="Sarakstarindkopa"/>
              <w:widowControl w:val="0"/>
              <w:ind w:left="0"/>
              <w:jc w:val="both"/>
              <w:rPr>
                <w:b/>
              </w:rPr>
            </w:pPr>
            <w:r w:rsidRPr="002B3715">
              <w:rPr>
                <w:b/>
                <w:sz w:val="22"/>
                <w:szCs w:val="22"/>
              </w:rPr>
              <w:t>Finanšu ministrija:</w:t>
            </w:r>
          </w:p>
          <w:p w:rsidRPr="002B3715" w:rsidR="00EC460B" w:rsidP="00D22F7E" w:rsidRDefault="00CC31E9">
            <w:pPr>
              <w:pStyle w:val="Sarakstarindkopa"/>
              <w:widowControl w:val="0"/>
              <w:ind w:left="0"/>
              <w:jc w:val="both"/>
            </w:pPr>
            <w:r w:rsidRPr="002B3715">
              <w:rPr>
                <w:sz w:val="22"/>
                <w:szCs w:val="22"/>
              </w:rPr>
              <w:t>Anotācija ir papildināma, norādot, ka atsevišķām cenrāža pozīcijām tiks piemērota tāme. Tāpat lūdzam norādīt kādas būs tāmes standarta pozīcijas, piemēram, tādiem, pakalpojumiem, kā  “Dalības maksa izglītības iestādes rīkotajā seminārā, tālākizglītības kursos, meistarklasēs vai koncertā”, “Kafejnīcas telpu iznomāšana ēdināšanas pakalpojumu sniedzējam”, “Tirdzniecības vietas noma automātiem”, “Transportlīdzekļa noma (ar šoferi) par 1km un 1stunda”.</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Pr="002B3715" w:rsidR="00EC460B" w:rsidP="00D22F7E" w:rsidRDefault="001A6CA3">
            <w:pPr>
              <w:pStyle w:val="naisc"/>
              <w:spacing w:before="0" w:after="0"/>
              <w:rPr>
                <w:b/>
              </w:rPr>
            </w:pPr>
            <w:r w:rsidRPr="002B3715">
              <w:rPr>
                <w:b/>
                <w:sz w:val="22"/>
                <w:szCs w:val="22"/>
              </w:rPr>
              <w:t>Ņemts vērā</w:t>
            </w:r>
          </w:p>
        </w:tc>
        <w:tc>
          <w:tcPr>
            <w:tcW w:w="1274" w:type="pct"/>
            <w:tcBorders>
              <w:top w:val="single" w:color="auto" w:sz="4" w:space="0"/>
              <w:left w:val="single" w:color="auto" w:sz="4" w:space="0"/>
            </w:tcBorders>
            <w:shd w:val="clear" w:color="auto" w:fill="auto"/>
          </w:tcPr>
          <w:p w:rsidRPr="002B3715" w:rsidR="004D5B00" w:rsidP="004D5B00" w:rsidRDefault="001A6CA3">
            <w:pPr>
              <w:pStyle w:val="naisc"/>
              <w:spacing w:before="0" w:after="0"/>
              <w:jc w:val="both"/>
            </w:pPr>
            <w:r w:rsidRPr="002B3715">
              <w:rPr>
                <w:sz w:val="22"/>
                <w:szCs w:val="22"/>
              </w:rPr>
              <w:t>Papildināt</w:t>
            </w:r>
            <w:r w:rsidRPr="002B3715" w:rsidR="00AA51F5">
              <w:rPr>
                <w:sz w:val="22"/>
                <w:szCs w:val="22"/>
              </w:rPr>
              <w:t>s</w:t>
            </w:r>
            <w:r w:rsidRPr="002B3715">
              <w:rPr>
                <w:sz w:val="22"/>
                <w:szCs w:val="22"/>
              </w:rPr>
              <w:t xml:space="preserve"> </w:t>
            </w:r>
            <w:r w:rsidRPr="002B3715" w:rsidR="004D5B00">
              <w:rPr>
                <w:sz w:val="22"/>
                <w:szCs w:val="22"/>
              </w:rPr>
              <w:t>Ministru kabineta noteikumu projekta sākotnējās ietekmes novērtējuma ziņojuma (anotācijas</w:t>
            </w:r>
            <w:r w:rsidR="00440A64">
              <w:rPr>
                <w:sz w:val="22"/>
                <w:szCs w:val="22"/>
              </w:rPr>
              <w:t>) I</w:t>
            </w:r>
            <w:r w:rsidRPr="002B3715" w:rsidR="00B03BCD">
              <w:rPr>
                <w:sz w:val="22"/>
                <w:szCs w:val="22"/>
              </w:rPr>
              <w:t xml:space="preserve"> sadaļas 2.punkts šādā redakcijā:</w:t>
            </w:r>
          </w:p>
          <w:p w:rsidRPr="002B3715" w:rsidR="004D5B00" w:rsidP="00D22F7E" w:rsidRDefault="006D5F2E">
            <w:pPr>
              <w:pStyle w:val="naisc"/>
              <w:spacing w:before="0" w:after="0"/>
              <w:jc w:val="both"/>
            </w:pPr>
            <w:r w:rsidRPr="002B3715">
              <w:rPr>
                <w:sz w:val="22"/>
                <w:szCs w:val="22"/>
              </w:rPr>
              <w:t>„</w:t>
            </w:r>
            <w:r w:rsidRPr="002B3715" w:rsidR="004D5B00">
              <w:rPr>
                <w:sz w:val="22"/>
                <w:szCs w:val="22"/>
              </w:rPr>
              <w:t>[..]</w:t>
            </w:r>
          </w:p>
          <w:p w:rsidRPr="002B3715" w:rsidR="00E64BB6" w:rsidP="00E64BB6" w:rsidRDefault="00E64BB6">
            <w:pPr>
              <w:pStyle w:val="naiskr"/>
              <w:spacing w:before="0" w:after="0"/>
              <w:jc w:val="both"/>
            </w:pPr>
            <w:r w:rsidRPr="002B3715">
              <w:rPr>
                <w:sz w:val="22"/>
                <w:szCs w:val="22"/>
              </w:rPr>
              <w:t>Izglītības iestādes īsteno tādus ar iestādes mantas vai telpu izmantošanu saistītus pakalpojumus, kuru izmaksas ir mainīgas un atkarīgas no pakalpojuma sniegšanas faktiskajām tiešajām izmaksām, kuras var mainīties salīdzinoši īsā periodā. Šādi pakalpojumi ir, piemēram, kafejnīcas telpu iznomāšana ēdināšanas pakalpojumu sniedzējam un tirdzniecības vietas noma automātiem. Šādos gadījumos telpu nomā iekļautās izmaksas var būt atkarīgas no tā, kāda ir vienošanās par izmaksu pozīcijām, kādas tiek iekļautas nomas maksā un kuras nodrošinās iznomātājs, pamatojoties uz noslēgtā līguma nosacījumiem.</w:t>
            </w:r>
          </w:p>
          <w:p w:rsidRPr="002B3715" w:rsidR="00E64BB6" w:rsidP="00E64BB6" w:rsidRDefault="00E64BB6">
            <w:pPr>
              <w:pStyle w:val="naiskr"/>
              <w:spacing w:before="0" w:after="0"/>
              <w:jc w:val="both"/>
            </w:pPr>
            <w:r w:rsidRPr="002B3715">
              <w:rPr>
                <w:sz w:val="22"/>
                <w:szCs w:val="22"/>
              </w:rPr>
              <w:t>Atkarībā no gadalaika, ceļa apstākļiem un izvēlētā maršruta, mainīgas var būt izglītības iestāžu sniegto pakalpojumu transportlīdzekļa ekspluatācijas izmaksas un ar to saistītās darba algas izmaksas (piemēram, samaksa par darba laikā veiktu darbu, darbu ārpus normālā darba laika, vai virsstundu darbu, utt.). Tādēļ, lai nodrošinātu atbilstošu samaksu par sniegto pakalpojumu transportlīdzekļa nomas (ar šoferi) pakalpojumam, ir nepieciešams piemērot cenu, kuru izglītības iestāde aprēķina saskaņā ar katra pakalpojuma tāmi.</w:t>
            </w:r>
          </w:p>
          <w:p w:rsidRPr="002B3715" w:rsidR="00E64BB6" w:rsidP="00E64BB6" w:rsidRDefault="00E64BB6">
            <w:pPr>
              <w:pStyle w:val="naiskr"/>
              <w:spacing w:before="0" w:after="0"/>
              <w:jc w:val="both"/>
            </w:pPr>
            <w:r w:rsidRPr="002B3715">
              <w:rPr>
                <w:sz w:val="22"/>
                <w:szCs w:val="22"/>
              </w:rPr>
              <w:t>Ņemot vērā minēto, atsevišķām Projekta pielikuma (cenrāža) un Projekta sākotnējās ietekmes novērtējuma ziņojuma (anotācijas) pielikuma pozīcijām cenas aprēķinam tiks piemērota tāme (sk. Projekta pielikuma 1.2. – 1.6.punkts, 1.13., 2.2., 2.3., 2.10 – 2.12., 3.6., 3.7., 4.3., 5.3. – 5.6., 5.9., 5.10., 6.7., 9.10., 9.37., 9.38. un 10.4.apakšpunkti).</w:t>
            </w:r>
          </w:p>
          <w:p w:rsidRPr="002B3715" w:rsidR="00E64BB6" w:rsidP="00E64BB6" w:rsidRDefault="00E64BB6">
            <w:pPr>
              <w:pStyle w:val="naiskr"/>
              <w:spacing w:before="0" w:after="0"/>
              <w:jc w:val="both"/>
            </w:pPr>
            <w:r w:rsidRPr="002B3715">
              <w:rPr>
                <w:sz w:val="22"/>
                <w:szCs w:val="22"/>
              </w:rPr>
              <w:t>Lai nodrošinātu vienotu pieeju visu maksas pakalpojumu cenu aprēķinā, arī gadījumos, kad Projekta cenrāža pozīcijai tiks piemērota tāme, sastādot izmaksu tāmi izglītības iestādes izmantos MK noteikumos Nr.333 noteiktos principus, aizpildot un apstiprinot katram pakalpojumam maksas pakalpojuma izcenojuma aprēķinu atbilstoši MK noteikumu Nr.333 1.pielikumam, kurā tiks iekļautas konkrētā maksas pakalpojuma tiešās un netiešās izmaksas un cena noteikta, paredzot plānoto pakalpojumu vienību skaitu.</w:t>
            </w:r>
          </w:p>
          <w:p w:rsidRPr="002B3715" w:rsidR="004462A5" w:rsidP="006D5F2E" w:rsidRDefault="00B03BCD">
            <w:pPr>
              <w:pStyle w:val="naisc"/>
              <w:spacing w:before="0" w:after="0"/>
              <w:jc w:val="both"/>
            </w:pPr>
            <w:r w:rsidRPr="002B3715">
              <w:rPr>
                <w:sz w:val="22"/>
                <w:szCs w:val="22"/>
              </w:rPr>
              <w:t>[..]”</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EC460B" w:rsidP="002B3715" w:rsidRDefault="002B3715">
            <w:pPr>
              <w:pStyle w:val="naisc"/>
              <w:spacing w:before="0" w:after="0"/>
            </w:pPr>
            <w:r>
              <w:rPr>
                <w:sz w:val="22"/>
                <w:szCs w:val="22"/>
              </w:rPr>
              <w:t>8.</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EC460B" w:rsidP="00411EB3" w:rsidRDefault="001A6CA3">
            <w:pPr>
              <w:pStyle w:val="naisc"/>
              <w:spacing w:before="0" w:after="0"/>
              <w:jc w:val="both"/>
            </w:pPr>
            <w:r w:rsidRPr="002B3715">
              <w:rPr>
                <w:sz w:val="22"/>
                <w:szCs w:val="22"/>
              </w:rPr>
              <w:t xml:space="preserve">Ministru kabineta noteikumu projekta </w:t>
            </w:r>
            <w:r w:rsidRPr="002B3715" w:rsidR="00411EB3">
              <w:rPr>
                <w:sz w:val="22"/>
                <w:szCs w:val="22"/>
              </w:rPr>
              <w:t>sākotnējās ietekmes novērtējuma ziņojuma (anotācijas) I sadaļas 2.punkts.</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1A6CA3" w:rsidP="00D22F7E" w:rsidRDefault="001A6CA3">
            <w:pPr>
              <w:pStyle w:val="Sarakstarindkopa"/>
              <w:widowControl w:val="0"/>
              <w:ind w:left="0"/>
              <w:jc w:val="both"/>
              <w:rPr>
                <w:b/>
              </w:rPr>
            </w:pPr>
            <w:r w:rsidRPr="002B3715">
              <w:rPr>
                <w:b/>
                <w:sz w:val="22"/>
                <w:szCs w:val="22"/>
              </w:rPr>
              <w:t>Finanšu ministrija:</w:t>
            </w:r>
          </w:p>
          <w:p w:rsidRPr="002B3715" w:rsidR="00EC460B" w:rsidP="00D22F7E" w:rsidRDefault="00766A4E">
            <w:pPr>
              <w:pStyle w:val="Sarakstarindkopa"/>
              <w:widowControl w:val="0"/>
              <w:ind w:left="0"/>
              <w:jc w:val="both"/>
            </w:pPr>
            <w:r w:rsidRPr="002B3715">
              <w:rPr>
                <w:sz w:val="22"/>
                <w:szCs w:val="22"/>
              </w:rPr>
              <w:t>Anotācija ir papildināma ar papildu skaidrojumu, ņemot vērā, ka pakalpojuma “Mācību maksa par profesionālās ievirzes mūzikas izglītības programmas apguvi” tiešajās izmaksās Atalgojums ir nulle.</w:t>
            </w:r>
          </w:p>
          <w:p w:rsidRPr="002B3715" w:rsidR="0048213E" w:rsidP="00D22F7E" w:rsidRDefault="0048213E">
            <w:pPr>
              <w:pStyle w:val="Sarakstarindkopa"/>
              <w:widowControl w:val="0"/>
              <w:ind w:left="0"/>
              <w:jc w:val="both"/>
            </w:pPr>
          </w:p>
          <w:p w:rsidRPr="002B3715" w:rsidR="0048213E" w:rsidP="00D22F7E" w:rsidRDefault="00924803">
            <w:pPr>
              <w:pStyle w:val="Sarakstarindkopa"/>
              <w:widowControl w:val="0"/>
              <w:ind w:left="0"/>
              <w:jc w:val="both"/>
              <w:rPr>
                <w:b/>
              </w:rPr>
            </w:pPr>
            <w:r w:rsidRPr="002B3715">
              <w:rPr>
                <w:b/>
                <w:sz w:val="22"/>
                <w:szCs w:val="22"/>
              </w:rPr>
              <w:t>Izglītības un zinātnes ministrija:</w:t>
            </w:r>
          </w:p>
          <w:p w:rsidRPr="002B3715" w:rsidR="0048213E" w:rsidP="00D22F7E" w:rsidRDefault="00924803">
            <w:pPr>
              <w:pStyle w:val="Sarakstarindkopa"/>
              <w:widowControl w:val="0"/>
              <w:ind w:left="0"/>
              <w:jc w:val="both"/>
            </w:pPr>
            <w:r w:rsidRPr="002B3715">
              <w:rPr>
                <w:sz w:val="22"/>
                <w:szCs w:val="22"/>
              </w:rPr>
              <w:t>Pielikumā “Kultūras ministrijas padotībā esošo izglītības iestāžu publisko maksas pakalpojumu cenu kalkulācija” pakalpojumam “Mācību maksa par profesionālās ievirzes izglītības programmas apguvi” tiešajās izmaksās tiek iekļautas Materiālu un pakalpojumu izmaksas un netiešajās Pamatlīdzekļu nolietojums un Administratīvās izmaksas. Izglītības pakalpojumu tiešajās izmaksās būtu jāiekļauj atlīdzība pedagogiem, kuri nodrošina programmas apguvi, jo tā ir būtiskākā mācību maksas sastāvdaļa, ne administratīvās izmaksas.</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Pr="002B3715" w:rsidR="00EC460B" w:rsidP="00D22F7E" w:rsidRDefault="001A6CA3">
            <w:pPr>
              <w:pStyle w:val="naisc"/>
              <w:spacing w:before="0" w:after="0"/>
              <w:rPr>
                <w:b/>
              </w:rPr>
            </w:pPr>
            <w:r w:rsidRPr="002B3715">
              <w:rPr>
                <w:b/>
                <w:sz w:val="22"/>
                <w:szCs w:val="22"/>
              </w:rPr>
              <w:t>Ņemts vērā</w:t>
            </w:r>
          </w:p>
        </w:tc>
        <w:tc>
          <w:tcPr>
            <w:tcW w:w="1274" w:type="pct"/>
            <w:tcBorders>
              <w:top w:val="single" w:color="auto" w:sz="4" w:space="0"/>
              <w:left w:val="single" w:color="auto" w:sz="4" w:space="0"/>
            </w:tcBorders>
            <w:shd w:val="clear" w:color="auto" w:fill="auto"/>
          </w:tcPr>
          <w:p w:rsidRPr="002B3715" w:rsidR="00D74F99" w:rsidP="00D74F99" w:rsidRDefault="00D74F99">
            <w:pPr>
              <w:pStyle w:val="naisc"/>
              <w:spacing w:before="0" w:after="0"/>
              <w:jc w:val="both"/>
            </w:pPr>
            <w:r w:rsidRPr="002B3715">
              <w:rPr>
                <w:sz w:val="22"/>
                <w:szCs w:val="22"/>
              </w:rPr>
              <w:t>Papildināts Ministru kabineta noteikumu projekta sākotnējās ietekmes novērtējuma ziņojuma (anotācijas</w:t>
            </w:r>
            <w:r w:rsidR="00440A64">
              <w:rPr>
                <w:sz w:val="22"/>
                <w:szCs w:val="22"/>
              </w:rPr>
              <w:t>) I</w:t>
            </w:r>
            <w:r w:rsidRPr="002B3715" w:rsidR="00B03BCD">
              <w:rPr>
                <w:sz w:val="22"/>
                <w:szCs w:val="22"/>
              </w:rPr>
              <w:t xml:space="preserve"> sadaļas 2.punkts šādā redakcijā:</w:t>
            </w:r>
          </w:p>
          <w:p w:rsidRPr="002B3715" w:rsidR="00F617EB" w:rsidP="00D22F7E" w:rsidRDefault="00D74F99">
            <w:pPr>
              <w:pStyle w:val="naisc"/>
              <w:spacing w:before="0" w:after="0"/>
              <w:jc w:val="both"/>
            </w:pPr>
            <w:r w:rsidRPr="002B3715">
              <w:rPr>
                <w:sz w:val="22"/>
                <w:szCs w:val="22"/>
              </w:rPr>
              <w:t>„[..]</w:t>
            </w:r>
          </w:p>
          <w:p w:rsidRPr="002B3715" w:rsidR="00A32D11" w:rsidP="00A32D11" w:rsidRDefault="00A32D11">
            <w:pPr>
              <w:pStyle w:val="naiskr"/>
              <w:spacing w:before="0" w:after="0"/>
              <w:jc w:val="both"/>
            </w:pPr>
            <w:r w:rsidRPr="002B3715">
              <w:rPr>
                <w:sz w:val="22"/>
                <w:szCs w:val="22"/>
              </w:rPr>
              <w:t xml:space="preserve">Attiecībā uz </w:t>
            </w:r>
            <w:r w:rsidRPr="002B3715">
              <w:rPr>
                <w:iCs/>
                <w:sz w:val="22"/>
                <w:szCs w:val="22"/>
              </w:rPr>
              <w:t xml:space="preserve">Projekta izglītības iestāžu cenrādī ietvertajiem </w:t>
            </w:r>
            <w:r w:rsidRPr="002B3715">
              <w:rPr>
                <w:sz w:val="22"/>
                <w:szCs w:val="22"/>
              </w:rPr>
              <w:t xml:space="preserve">pakalpojumiem, kas saistīti ar mācību maksu profesionālās ievirzes izglītības programmās, pakalpojuma izmaksu kalkulācijā netiek ietverta pedagogu atlīdzība, jo tā tiek nodrošināta no valsts budžeta dotācijas. Līdz ar to, mācību maksas aprēķinā (pakalpojuma izmaksu kalkulācijā) profesionālās ievirzes izglītības programmās atlīdzības apmērs ir nulle. Savukārt citās izglītības programmās (kas nav pamatizglītības programmas, profesionālās vidējās izglītības programmās un profesionālās ievirzes izglītības programmas) mācību maksa tiek noteikta atbilstoši vispārīgajiem MK noteikumos Nr.333 noteiktajiem principiem, iekļaujot tajā visus ar pakalpojuma sniegšanu saistītos izdevumus. Atbilstoši izglītības iestāžu darbības specifikai iestādes īsteno arī vienreizējus ar izglītības procesu saistītus pasākumus, piemēram, tālākizglītības kursus, seminārus, koncertus, meistarklases, un citus tamlīdzīgus pasākumus, kuru izmaksas katrā konkrētajā gadījumā var manīties atkarībā no tā, kādi speciālisti un par kādu samaksu tiek piesaistīt, kādi materiāli un preces tiek izmantotas pakalpojuma sniegšanai. </w:t>
            </w:r>
          </w:p>
          <w:p w:rsidRPr="002B3715" w:rsidR="004462A5" w:rsidP="00D22F7E" w:rsidRDefault="00B03BCD">
            <w:pPr>
              <w:pStyle w:val="naisc"/>
              <w:spacing w:before="0" w:after="0"/>
              <w:jc w:val="both"/>
            </w:pPr>
            <w:r w:rsidRPr="002B3715">
              <w:rPr>
                <w:sz w:val="22"/>
                <w:szCs w:val="22"/>
              </w:rPr>
              <w:t>[..]”</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EC460B" w:rsidP="002B3715" w:rsidRDefault="002B3715">
            <w:pPr>
              <w:pStyle w:val="naisc"/>
              <w:spacing w:before="0" w:after="0"/>
            </w:pPr>
            <w:r>
              <w:rPr>
                <w:sz w:val="22"/>
                <w:szCs w:val="22"/>
              </w:rPr>
              <w:t>9.</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EC460B" w:rsidP="00943D31" w:rsidRDefault="000133AB">
            <w:pPr>
              <w:pStyle w:val="naisc"/>
              <w:spacing w:before="0" w:after="0"/>
              <w:jc w:val="both"/>
            </w:pPr>
            <w:r w:rsidRPr="002B3715">
              <w:rPr>
                <w:sz w:val="22"/>
                <w:szCs w:val="22"/>
              </w:rPr>
              <w:t xml:space="preserve">Ministru kabineta noteikumu projekta </w:t>
            </w:r>
            <w:r w:rsidRPr="002B3715" w:rsidR="00943D31">
              <w:rPr>
                <w:sz w:val="22"/>
                <w:szCs w:val="22"/>
              </w:rPr>
              <w:t>sākotnējās ietekmes novērtējuma ziņojuma (anotācijas)</w:t>
            </w:r>
            <w:r w:rsidRPr="002B3715">
              <w:rPr>
                <w:sz w:val="22"/>
                <w:szCs w:val="22"/>
              </w:rPr>
              <w:t xml:space="preserve"> pielikums</w:t>
            </w:r>
            <w:r w:rsidRPr="002B3715" w:rsidR="00943D31">
              <w:rPr>
                <w:sz w:val="22"/>
                <w:szCs w:val="22"/>
              </w:rPr>
              <w:t>.</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0133AB" w:rsidP="00D22F7E" w:rsidRDefault="000133AB">
            <w:pPr>
              <w:pStyle w:val="Sarakstarindkopa"/>
              <w:widowControl w:val="0"/>
              <w:ind w:left="0"/>
              <w:jc w:val="both"/>
              <w:rPr>
                <w:b/>
              </w:rPr>
            </w:pPr>
            <w:r w:rsidRPr="002B3715">
              <w:rPr>
                <w:b/>
                <w:sz w:val="22"/>
                <w:szCs w:val="22"/>
              </w:rPr>
              <w:t>Finanšu ministrija:</w:t>
            </w:r>
          </w:p>
          <w:p w:rsidRPr="002B3715" w:rsidR="00EC460B" w:rsidP="00D22F7E" w:rsidRDefault="00CC31E9">
            <w:pPr>
              <w:pStyle w:val="Sarakstarindkopa"/>
              <w:widowControl w:val="0"/>
              <w:ind w:left="0"/>
              <w:jc w:val="both"/>
            </w:pPr>
            <w:r w:rsidRPr="002B3715">
              <w:rPr>
                <w:sz w:val="22"/>
                <w:szCs w:val="22"/>
              </w:rPr>
              <w:t>Anotācijas pielikuma tabulai ir veicami tehniski precizējumi un gan zem tiešajām, gan netiešajām izmaksām izdevumu klasifikācijas kodi ir norādāmi atbilstoši 2005.gada 27.decembra Ministru kabineta noteikumiem Nr.1031 “Noteikumi par budžetu izdevumu klasifikāciju atbilstoši ekonomiskajām kategorijām”</w:t>
            </w:r>
            <w:r w:rsidRPr="002B3715" w:rsidR="00943D31">
              <w:rPr>
                <w:sz w:val="22"/>
                <w:szCs w:val="22"/>
              </w:rPr>
              <w:t>.</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Pr="002B3715" w:rsidR="00EC460B" w:rsidP="007F0ACC" w:rsidRDefault="000133AB">
            <w:pPr>
              <w:pStyle w:val="naisc"/>
              <w:spacing w:before="0" w:after="0"/>
              <w:rPr>
                <w:b/>
              </w:rPr>
            </w:pPr>
            <w:r w:rsidRPr="002B3715">
              <w:rPr>
                <w:b/>
                <w:sz w:val="22"/>
                <w:szCs w:val="22"/>
              </w:rPr>
              <w:t>Ņemts vērā</w:t>
            </w:r>
          </w:p>
        </w:tc>
        <w:tc>
          <w:tcPr>
            <w:tcW w:w="1274" w:type="pct"/>
            <w:tcBorders>
              <w:top w:val="single" w:color="auto" w:sz="4" w:space="0"/>
              <w:left w:val="single" w:color="auto" w:sz="4" w:space="0"/>
            </w:tcBorders>
            <w:shd w:val="clear" w:color="auto" w:fill="auto"/>
          </w:tcPr>
          <w:p w:rsidRPr="002B3715" w:rsidR="00EC460B" w:rsidP="00C452FA" w:rsidRDefault="000133AB">
            <w:pPr>
              <w:pStyle w:val="naisc"/>
              <w:spacing w:before="0" w:after="0"/>
              <w:jc w:val="both"/>
            </w:pPr>
            <w:r w:rsidRPr="002B3715">
              <w:rPr>
                <w:sz w:val="22"/>
                <w:szCs w:val="22"/>
              </w:rPr>
              <w:t>Precizēt</w:t>
            </w:r>
            <w:r w:rsidRPr="002B3715" w:rsidR="0049742B">
              <w:rPr>
                <w:sz w:val="22"/>
                <w:szCs w:val="22"/>
              </w:rPr>
              <w:t>i</w:t>
            </w:r>
            <w:r w:rsidRPr="002B3715">
              <w:rPr>
                <w:sz w:val="22"/>
                <w:szCs w:val="22"/>
              </w:rPr>
              <w:t xml:space="preserve"> </w:t>
            </w:r>
            <w:r w:rsidRPr="002B3715" w:rsidR="00C452FA">
              <w:rPr>
                <w:sz w:val="22"/>
                <w:szCs w:val="22"/>
              </w:rPr>
              <w:t xml:space="preserve">Ministru kabineta noteikumu projekta sākotnējās ietekmes novērtējuma ziņojuma (anotācijas) pielikuma </w:t>
            </w:r>
            <w:r w:rsidRPr="002B3715">
              <w:rPr>
                <w:sz w:val="22"/>
                <w:szCs w:val="22"/>
              </w:rPr>
              <w:t>tabulas kolonnu virsraksti</w:t>
            </w:r>
            <w:r w:rsidRPr="002B3715" w:rsidR="00C452FA">
              <w:rPr>
                <w:sz w:val="22"/>
                <w:szCs w:val="22"/>
              </w:rPr>
              <w:t>.</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EC460B" w:rsidP="002B3715" w:rsidRDefault="002B3715">
            <w:pPr>
              <w:pStyle w:val="naisc"/>
              <w:spacing w:before="0" w:after="0"/>
            </w:pPr>
            <w:r>
              <w:rPr>
                <w:sz w:val="22"/>
                <w:szCs w:val="22"/>
              </w:rPr>
              <w:t>10.</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EC460B" w:rsidP="00555A89" w:rsidRDefault="00FF5C54">
            <w:pPr>
              <w:pStyle w:val="naisc"/>
              <w:spacing w:before="0" w:after="0"/>
              <w:jc w:val="both"/>
            </w:pPr>
            <w:r w:rsidRPr="002B3715">
              <w:rPr>
                <w:sz w:val="22"/>
                <w:szCs w:val="22"/>
              </w:rPr>
              <w:t xml:space="preserve">Ministru kabineta noteikumu projekta </w:t>
            </w:r>
            <w:r w:rsidRPr="002B3715" w:rsidR="00555A89">
              <w:rPr>
                <w:sz w:val="22"/>
                <w:szCs w:val="22"/>
              </w:rPr>
              <w:t>sākotnējās ietekmes novērtējuma ziņojuma (anotācijas) pielikuma 10.11.apakšpunkts.</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FF5C54" w:rsidP="00D22F7E" w:rsidRDefault="00FF5C54">
            <w:pPr>
              <w:widowControl w:val="0"/>
              <w:jc w:val="both"/>
              <w:rPr>
                <w:b/>
              </w:rPr>
            </w:pPr>
            <w:r w:rsidRPr="002B3715">
              <w:rPr>
                <w:b/>
                <w:sz w:val="22"/>
                <w:szCs w:val="22"/>
              </w:rPr>
              <w:t>Finanšu ministrija:</w:t>
            </w:r>
          </w:p>
          <w:p w:rsidRPr="002B3715" w:rsidR="00EC460B" w:rsidP="000607AC" w:rsidRDefault="00FF5C54">
            <w:pPr>
              <w:pStyle w:val="Sarakstarindkopa"/>
              <w:widowControl w:val="0"/>
              <w:ind w:left="0"/>
              <w:jc w:val="both"/>
            </w:pPr>
            <w:r w:rsidRPr="002B3715">
              <w:rPr>
                <w:sz w:val="22"/>
                <w:szCs w:val="22"/>
              </w:rPr>
              <w:t>Anotācijas pielikuma 10.11.apakšpunktā ir precizējama kopsumma kolon</w:t>
            </w:r>
            <w:r w:rsidRPr="002B3715" w:rsidR="008C18E8">
              <w:rPr>
                <w:sz w:val="22"/>
                <w:szCs w:val="22"/>
              </w:rPr>
              <w:t>n</w:t>
            </w:r>
            <w:r w:rsidRPr="002B3715">
              <w:rPr>
                <w:sz w:val="22"/>
                <w:szCs w:val="22"/>
              </w:rPr>
              <w:t>ā “Cena bez PVN (euro)”, attiecīgi precizējot arī summu kolon</w:t>
            </w:r>
            <w:r w:rsidRPr="002B3715" w:rsidR="008C18E8">
              <w:rPr>
                <w:sz w:val="22"/>
                <w:szCs w:val="22"/>
              </w:rPr>
              <w:t>n</w:t>
            </w:r>
            <w:r w:rsidRPr="002B3715">
              <w:rPr>
                <w:sz w:val="22"/>
                <w:szCs w:val="22"/>
              </w:rPr>
              <w:t>ā “Cena ar PVN (euro) un noteikumu projekta pielikumā.</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Pr="002B3715" w:rsidR="00FF5C54" w:rsidP="00D22F7E" w:rsidRDefault="00FF5C54">
            <w:pPr>
              <w:pStyle w:val="naisc"/>
              <w:spacing w:before="0" w:after="0"/>
              <w:rPr>
                <w:b/>
              </w:rPr>
            </w:pPr>
            <w:r w:rsidRPr="002B3715">
              <w:rPr>
                <w:b/>
                <w:sz w:val="22"/>
                <w:szCs w:val="22"/>
              </w:rPr>
              <w:t>Ņemts vērā</w:t>
            </w:r>
          </w:p>
          <w:p w:rsidRPr="002B3715" w:rsidR="00EC460B" w:rsidP="00B76D96" w:rsidRDefault="00B76D96">
            <w:pPr>
              <w:jc w:val="both"/>
              <w:rPr>
                <w:b/>
              </w:rPr>
            </w:pPr>
            <w:r w:rsidRPr="002B3715">
              <w:rPr>
                <w:sz w:val="22"/>
                <w:szCs w:val="22"/>
              </w:rPr>
              <w:t xml:space="preserve">Ministru kabineta noteikumu projekta sākotnējās ietekmes novērtējuma ziņojuma (anotācijas) pielikuma </w:t>
            </w:r>
            <w:r w:rsidRPr="002B3715" w:rsidR="00A234BB">
              <w:rPr>
                <w:sz w:val="22"/>
                <w:szCs w:val="22"/>
              </w:rPr>
              <w:t>10.11.apakšpunktā minētajam pakalpojumam neprecizitāte kopsummās ir radusies, jo kļūdaini tika norādītas netiešās izmaksas kolonnā „Pamatlīdzekļu nolietojums (</w:t>
            </w:r>
            <w:r w:rsidRPr="002B3715" w:rsidR="00A234BB">
              <w:rPr>
                <w:i/>
                <w:sz w:val="22"/>
                <w:szCs w:val="22"/>
              </w:rPr>
              <w:t>euro</w:t>
            </w:r>
            <w:r w:rsidRPr="002B3715" w:rsidR="00A234BB">
              <w:rPr>
                <w:sz w:val="22"/>
                <w:szCs w:val="22"/>
              </w:rPr>
              <w:t>)</w:t>
            </w:r>
            <w:r w:rsidRPr="002B3715" w:rsidR="007F0ACC">
              <w:rPr>
                <w:sz w:val="22"/>
                <w:szCs w:val="22"/>
              </w:rPr>
              <w:t xml:space="preserve"> </w:t>
            </w:r>
            <w:r w:rsidRPr="002B3715" w:rsidR="00A234BB">
              <w:rPr>
                <w:sz w:val="22"/>
                <w:szCs w:val="22"/>
              </w:rPr>
              <w:t>(EKK 5000)</w:t>
            </w:r>
            <w:r w:rsidRPr="002B3715" w:rsidR="003C34AE">
              <w:rPr>
                <w:sz w:val="22"/>
                <w:szCs w:val="22"/>
              </w:rPr>
              <w:t>”</w:t>
            </w:r>
            <w:r w:rsidRPr="002B3715" w:rsidR="00267739">
              <w:rPr>
                <w:sz w:val="22"/>
                <w:szCs w:val="22"/>
              </w:rPr>
              <w:t xml:space="preserve"> </w:t>
            </w:r>
            <w:r w:rsidRPr="002B3715" w:rsidR="00A234BB">
              <w:rPr>
                <w:sz w:val="22"/>
                <w:szCs w:val="22"/>
              </w:rPr>
              <w:t>izdevum</w:t>
            </w:r>
            <w:r w:rsidRPr="002B3715" w:rsidR="003C34AE">
              <w:rPr>
                <w:sz w:val="22"/>
                <w:szCs w:val="22"/>
              </w:rPr>
              <w:t>i</w:t>
            </w:r>
            <w:r w:rsidRPr="002B3715">
              <w:rPr>
                <w:sz w:val="22"/>
                <w:szCs w:val="22"/>
              </w:rPr>
              <w:t>.</w:t>
            </w:r>
          </w:p>
        </w:tc>
        <w:tc>
          <w:tcPr>
            <w:tcW w:w="1274" w:type="pct"/>
            <w:tcBorders>
              <w:top w:val="single" w:color="auto" w:sz="4" w:space="0"/>
              <w:left w:val="single" w:color="auto" w:sz="4" w:space="0"/>
            </w:tcBorders>
            <w:shd w:val="clear" w:color="auto" w:fill="auto"/>
          </w:tcPr>
          <w:p w:rsidRPr="002B3715" w:rsidR="00B84099" w:rsidP="00B84099" w:rsidRDefault="003D0F81">
            <w:pPr>
              <w:jc w:val="both"/>
            </w:pPr>
            <w:r w:rsidRPr="002B3715">
              <w:rPr>
                <w:sz w:val="22"/>
                <w:szCs w:val="22"/>
              </w:rPr>
              <w:t xml:space="preserve">Ministru kabineta noteikumu projekta sākotnējās ietekmes novērtējuma ziņojuma (anotācijas) </w:t>
            </w:r>
            <w:r w:rsidRPr="002B3715" w:rsidR="00FF5C54">
              <w:rPr>
                <w:sz w:val="22"/>
                <w:szCs w:val="22"/>
              </w:rPr>
              <w:t xml:space="preserve">pielikuma 10.11.apakšpunktā </w:t>
            </w:r>
            <w:r w:rsidRPr="002B3715" w:rsidR="00A234BB">
              <w:rPr>
                <w:sz w:val="22"/>
                <w:szCs w:val="22"/>
              </w:rPr>
              <w:t>noteiktajam pakalpojumam papildināta kolonna „Pamatlīdzekļu nolietojums (</w:t>
            </w:r>
            <w:r w:rsidRPr="002B3715" w:rsidR="00A234BB">
              <w:rPr>
                <w:i/>
                <w:sz w:val="22"/>
                <w:szCs w:val="22"/>
              </w:rPr>
              <w:t>euro</w:t>
            </w:r>
            <w:r w:rsidRPr="002B3715" w:rsidR="00A234BB">
              <w:rPr>
                <w:sz w:val="22"/>
                <w:szCs w:val="22"/>
              </w:rPr>
              <w:t>)</w:t>
            </w:r>
            <w:r w:rsidRPr="002B3715" w:rsidR="003C34AE">
              <w:rPr>
                <w:sz w:val="22"/>
                <w:szCs w:val="22"/>
              </w:rPr>
              <w:t xml:space="preserve"> </w:t>
            </w:r>
            <w:r w:rsidRPr="002B3715" w:rsidR="00A234BB">
              <w:rPr>
                <w:sz w:val="22"/>
                <w:szCs w:val="22"/>
              </w:rPr>
              <w:t>(EKK 5000)</w:t>
            </w:r>
            <w:r w:rsidRPr="002B3715" w:rsidR="003C34AE">
              <w:rPr>
                <w:sz w:val="22"/>
                <w:szCs w:val="22"/>
              </w:rPr>
              <w:t>”</w:t>
            </w:r>
            <w:r w:rsidRPr="002B3715">
              <w:rPr>
                <w:sz w:val="22"/>
                <w:szCs w:val="22"/>
              </w:rPr>
              <w:t>.</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EC460B" w:rsidP="002B3715" w:rsidRDefault="002B3715">
            <w:pPr>
              <w:pStyle w:val="naisc"/>
              <w:spacing w:before="0" w:after="0"/>
            </w:pPr>
            <w:r>
              <w:rPr>
                <w:sz w:val="22"/>
                <w:szCs w:val="22"/>
              </w:rPr>
              <w:t>11.</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EC460B" w:rsidP="00E416FD" w:rsidRDefault="003C34AE">
            <w:pPr>
              <w:pStyle w:val="naisc"/>
              <w:spacing w:before="0" w:after="0"/>
              <w:jc w:val="both"/>
            </w:pPr>
            <w:r w:rsidRPr="002B3715">
              <w:rPr>
                <w:sz w:val="22"/>
                <w:szCs w:val="22"/>
              </w:rPr>
              <w:t xml:space="preserve">Ministru kabineta noteikumu projekta </w:t>
            </w:r>
            <w:r w:rsidRPr="002B3715" w:rsidR="00E416FD">
              <w:rPr>
                <w:sz w:val="22"/>
                <w:szCs w:val="22"/>
              </w:rPr>
              <w:t>sākotnējās ietekmes novērtējuma ziņojuma (anotācijas) pielikuma 4.2. un 9.17.apakšpunkts.</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3C34AE" w:rsidP="00D22F7E" w:rsidRDefault="003C34AE">
            <w:pPr>
              <w:pStyle w:val="Sarakstarindkopa"/>
              <w:widowControl w:val="0"/>
              <w:ind w:left="0"/>
              <w:jc w:val="both"/>
              <w:rPr>
                <w:b/>
              </w:rPr>
            </w:pPr>
            <w:r w:rsidRPr="002B3715">
              <w:rPr>
                <w:b/>
                <w:sz w:val="22"/>
                <w:szCs w:val="22"/>
              </w:rPr>
              <w:t>Izglītības un zinātnes ministrija:</w:t>
            </w:r>
          </w:p>
          <w:p w:rsidRPr="002B3715" w:rsidR="00EC460B" w:rsidP="00D22F7E" w:rsidRDefault="00924803">
            <w:pPr>
              <w:pStyle w:val="Sarakstarindkopa"/>
              <w:widowControl w:val="0"/>
              <w:ind w:left="0"/>
              <w:jc w:val="both"/>
            </w:pPr>
            <w:r w:rsidRPr="002B3715">
              <w:rPr>
                <w:sz w:val="22"/>
                <w:szCs w:val="22"/>
              </w:rPr>
              <w:t>Vienādiem pakalpojumiem būtu norādāmas vienādas izmaksu pozīcijas, piemēram, 4. punkta “Jāņa Ivanova Rēzeknes mūzikas vidusskola” 4.2. apakšpunktā “Dienesta viesnīcas maksa izglītojamam” un 9. punkta “Profesionālās izglītības kompetences centrs „Nacionālā Mākslu vidusskola”” 9.17. apakšpunktā “Dienesta viesnīcas pakalpojumi izglītības iestādes izglītojamajam” būtu jāiekļauj arī Pamatlīdzekļu nolietojums un Administratīvās izmaksas, jo arī šīs izmaksas veido kopējās dienesta viesnīcu izmaksas, kā tas ir norādīts pārējām izglītības iestādēm pie šī pakalpojuma.</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Pr="002B3715" w:rsidR="003C34AE" w:rsidP="00D22F7E" w:rsidRDefault="003C34AE">
            <w:pPr>
              <w:pStyle w:val="naisc"/>
              <w:spacing w:before="0" w:after="0"/>
              <w:rPr>
                <w:b/>
              </w:rPr>
            </w:pPr>
            <w:r w:rsidRPr="002B3715">
              <w:rPr>
                <w:b/>
                <w:sz w:val="22"/>
                <w:szCs w:val="22"/>
              </w:rPr>
              <w:t>Ņemts vērā</w:t>
            </w:r>
          </w:p>
          <w:p w:rsidRPr="002B3715" w:rsidR="00EC460B" w:rsidP="002F28D6" w:rsidRDefault="00326582">
            <w:pPr>
              <w:pStyle w:val="naisc"/>
              <w:spacing w:before="0" w:after="0"/>
              <w:jc w:val="both"/>
            </w:pPr>
            <w:r w:rsidRPr="002B3715">
              <w:rPr>
                <w:sz w:val="22"/>
                <w:szCs w:val="22"/>
              </w:rPr>
              <w:t>Pārskatītas</w:t>
            </w:r>
            <w:r w:rsidRPr="002B3715" w:rsidR="002F28D6">
              <w:rPr>
                <w:sz w:val="22"/>
                <w:szCs w:val="22"/>
              </w:rPr>
              <w:t xml:space="preserve"> Ministru kabineta noteikumu projekta sākotnējās ietekmes novērtējuma ziņojuma (anotācijas) </w:t>
            </w:r>
            <w:r w:rsidRPr="002B3715">
              <w:rPr>
                <w:sz w:val="22"/>
                <w:szCs w:val="22"/>
              </w:rPr>
              <w:t>pielikuma 4.2. un 9.17.apakšpunktā noteikto pakalpojumu kalkulācijas un precizē</w:t>
            </w:r>
            <w:r w:rsidRPr="002B3715" w:rsidR="002F28D6">
              <w:rPr>
                <w:sz w:val="22"/>
                <w:szCs w:val="22"/>
              </w:rPr>
              <w:t>t</w:t>
            </w:r>
            <w:r w:rsidRPr="002B3715">
              <w:rPr>
                <w:sz w:val="22"/>
                <w:szCs w:val="22"/>
              </w:rPr>
              <w:t>s izmaksu sadalījums starp tiešo un netiešo izmaksu pozīcijām. J</w:t>
            </w:r>
            <w:r w:rsidRPr="002B3715" w:rsidR="002F28D6">
              <w:rPr>
                <w:sz w:val="22"/>
                <w:szCs w:val="22"/>
              </w:rPr>
              <w:t xml:space="preserve">āņa </w:t>
            </w:r>
            <w:r w:rsidRPr="002B3715">
              <w:rPr>
                <w:sz w:val="22"/>
                <w:szCs w:val="22"/>
              </w:rPr>
              <w:t>Ivanova Rēzeknes Mūzikas vidusskolai neveidojas pamatlīdzekļu nolietojuma izmaksas, jo dienesta viesnīcas telpas kopā ar aprīkojumu tiek nomātas no Rēzeknes pilsētas domes un tādējādi nolietojuma izdevumi neveidojas.</w:t>
            </w:r>
          </w:p>
        </w:tc>
        <w:tc>
          <w:tcPr>
            <w:tcW w:w="1274" w:type="pct"/>
            <w:tcBorders>
              <w:top w:val="single" w:color="auto" w:sz="4" w:space="0"/>
              <w:left w:val="single" w:color="auto" w:sz="4" w:space="0"/>
            </w:tcBorders>
            <w:shd w:val="clear" w:color="auto" w:fill="auto"/>
          </w:tcPr>
          <w:p w:rsidRPr="002B3715" w:rsidR="00EC460B" w:rsidP="00FE5A07" w:rsidRDefault="00FE5A07">
            <w:pPr>
              <w:jc w:val="both"/>
            </w:pPr>
            <w:r w:rsidRPr="002B3715">
              <w:rPr>
                <w:sz w:val="22"/>
                <w:szCs w:val="22"/>
              </w:rPr>
              <w:t xml:space="preserve">Ministru kabineta noteikumu projekta sākotnējās ietekmes novērtējuma ziņojuma (anotācijas) </w:t>
            </w:r>
            <w:r w:rsidRPr="002B3715" w:rsidR="003C34AE">
              <w:rPr>
                <w:sz w:val="22"/>
                <w:szCs w:val="22"/>
              </w:rPr>
              <w:t xml:space="preserve">pielikuma </w:t>
            </w:r>
            <w:r w:rsidRPr="002B3715" w:rsidR="00924803">
              <w:rPr>
                <w:sz w:val="22"/>
                <w:szCs w:val="22"/>
              </w:rPr>
              <w:t>4.2.</w:t>
            </w:r>
            <w:r w:rsidRPr="002B3715" w:rsidR="003C34AE">
              <w:rPr>
                <w:sz w:val="22"/>
                <w:szCs w:val="22"/>
              </w:rPr>
              <w:t xml:space="preserve"> un 9.17.apakšpunktā noteiktajiem pakalpojumiem papildināta kolonna „Pamatlīdzekļu nolietojums (</w:t>
            </w:r>
            <w:r w:rsidRPr="002B3715" w:rsidR="003C34AE">
              <w:rPr>
                <w:i/>
                <w:sz w:val="22"/>
                <w:szCs w:val="22"/>
              </w:rPr>
              <w:t>euro</w:t>
            </w:r>
            <w:r w:rsidRPr="002B3715" w:rsidR="003C34AE">
              <w:rPr>
                <w:sz w:val="22"/>
                <w:szCs w:val="22"/>
              </w:rPr>
              <w:t>) (EKK 5000) kapitālie izdevumi</w:t>
            </w:r>
            <w:r w:rsidRPr="002B3715">
              <w:rPr>
                <w:sz w:val="22"/>
                <w:szCs w:val="22"/>
              </w:rPr>
              <w:t>”</w:t>
            </w:r>
            <w:r w:rsidRPr="002B3715" w:rsidR="003C34AE">
              <w:rPr>
                <w:sz w:val="22"/>
                <w:szCs w:val="22"/>
              </w:rPr>
              <w:t xml:space="preserve"> un kolonna „Administratīvās izmaksas (euro)</w:t>
            </w:r>
            <w:r w:rsidRPr="002B3715">
              <w:rPr>
                <w:sz w:val="22"/>
                <w:szCs w:val="22"/>
              </w:rPr>
              <w:t xml:space="preserve"> </w:t>
            </w:r>
            <w:r w:rsidRPr="002B3715" w:rsidR="003C34AE">
              <w:rPr>
                <w:sz w:val="22"/>
                <w:szCs w:val="22"/>
              </w:rPr>
              <w:t>(EKK 2000)”.</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D2660E" w:rsidP="002B3715" w:rsidRDefault="002B3715">
            <w:pPr>
              <w:pStyle w:val="naisc"/>
              <w:spacing w:before="0" w:after="0"/>
            </w:pPr>
            <w:r>
              <w:rPr>
                <w:sz w:val="22"/>
                <w:szCs w:val="22"/>
              </w:rPr>
              <w:t>12.</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D2660E" w:rsidP="00D22F7E" w:rsidRDefault="00621A58">
            <w:pPr>
              <w:pStyle w:val="naisc"/>
              <w:spacing w:before="0" w:after="0"/>
              <w:jc w:val="both"/>
            </w:pPr>
            <w:r w:rsidRPr="002B3715">
              <w:rPr>
                <w:sz w:val="22"/>
                <w:szCs w:val="22"/>
              </w:rPr>
              <w:t>Ministru kabineta noteikumu projekta pielikum</w:t>
            </w:r>
            <w:r w:rsidRPr="002B3715" w:rsidR="00F31C90">
              <w:rPr>
                <w:sz w:val="22"/>
                <w:szCs w:val="22"/>
              </w:rPr>
              <w:t>a 2.8.2., 6.6.6. un 10.14.apakšpunkts.</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D2660E" w:rsidP="00D22F7E" w:rsidRDefault="00D2660E">
            <w:pPr>
              <w:pStyle w:val="Sarakstarindkopa"/>
              <w:widowControl w:val="0"/>
              <w:ind w:left="0"/>
              <w:jc w:val="both"/>
              <w:rPr>
                <w:b/>
              </w:rPr>
            </w:pPr>
            <w:r w:rsidRPr="002B3715">
              <w:rPr>
                <w:b/>
                <w:sz w:val="22"/>
                <w:szCs w:val="22"/>
              </w:rPr>
              <w:t>Izglītības un zinātnes ministrija:</w:t>
            </w:r>
          </w:p>
          <w:p w:rsidRPr="002B3715" w:rsidR="00D2660E" w:rsidP="00D22F7E" w:rsidRDefault="004B52FB">
            <w:pPr>
              <w:pStyle w:val="Sarakstarindkopa"/>
              <w:widowControl w:val="0"/>
              <w:ind w:left="0"/>
              <w:jc w:val="both"/>
            </w:pPr>
            <w:r w:rsidRPr="002B3715">
              <w:rPr>
                <w:sz w:val="22"/>
                <w:szCs w:val="22"/>
              </w:rPr>
              <w:t>Vienādiem pakalpojumiem dažādās izglītības iestādēs būtu norādāms vienāds izmaksu pozīcijas nosaukums, piemēram, 2. punkta “Staņislava Broka Daugavpils Mūzikas vidusskola” 2.8.2. apakšpunktā “Dienesta viesnīcas maksa citiem interesentiem”, 6. punkta “Rēzeknes Mākslas un dizaina vidusskola” 6.6.6. apakšpunktā “Dienesta viesnīcas maksa pārējām personām”, 10. punkta “Profesionālās izglītības kompetences centrs „Liepājas Mūzikas, mākslas un dizaina vidusskola”” 10.14. apakšpunktā “Dienesta viesnīcas pakalpojumi citām personām”.</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Pr="002B3715" w:rsidR="00D2660E" w:rsidP="00D22F7E" w:rsidRDefault="00D2660E">
            <w:pPr>
              <w:pStyle w:val="naisc"/>
              <w:spacing w:before="0" w:after="0"/>
              <w:rPr>
                <w:b/>
              </w:rPr>
            </w:pPr>
            <w:r w:rsidRPr="002B3715">
              <w:rPr>
                <w:b/>
                <w:sz w:val="22"/>
                <w:szCs w:val="22"/>
              </w:rPr>
              <w:t>Ņemts vērā</w:t>
            </w:r>
          </w:p>
        </w:tc>
        <w:tc>
          <w:tcPr>
            <w:tcW w:w="1274" w:type="pct"/>
            <w:tcBorders>
              <w:top w:val="single" w:color="auto" w:sz="4" w:space="0"/>
              <w:left w:val="single" w:color="auto" w:sz="4" w:space="0"/>
            </w:tcBorders>
            <w:shd w:val="clear" w:color="auto" w:fill="auto"/>
          </w:tcPr>
          <w:p w:rsidRPr="002B3715" w:rsidR="00B84099" w:rsidRDefault="00D2660E">
            <w:pPr>
              <w:pStyle w:val="naisc"/>
              <w:spacing w:before="0" w:after="0"/>
              <w:jc w:val="both"/>
            </w:pPr>
            <w:r w:rsidRPr="002B3715">
              <w:rPr>
                <w:sz w:val="22"/>
                <w:szCs w:val="22"/>
              </w:rPr>
              <w:t>Precizēt</w:t>
            </w:r>
            <w:r w:rsidRPr="002B3715" w:rsidR="00206B16">
              <w:rPr>
                <w:sz w:val="22"/>
                <w:szCs w:val="22"/>
              </w:rPr>
              <w:t>s</w:t>
            </w:r>
            <w:r w:rsidRPr="002B3715">
              <w:rPr>
                <w:sz w:val="22"/>
                <w:szCs w:val="22"/>
              </w:rPr>
              <w:t xml:space="preserve"> Ministru kabineta noteikumu projekta pielikuma un </w:t>
            </w:r>
            <w:r w:rsidRPr="002B3715" w:rsidR="000F5359">
              <w:rPr>
                <w:sz w:val="22"/>
                <w:szCs w:val="22"/>
              </w:rPr>
              <w:t xml:space="preserve">Ministru kabineta noteikumu projekta sākotnējās ietekmes novērtējuma ziņojuma (anotācijas) </w:t>
            </w:r>
            <w:r w:rsidRPr="002B3715">
              <w:rPr>
                <w:sz w:val="22"/>
                <w:szCs w:val="22"/>
              </w:rPr>
              <w:t>pielikuma 2.8.2., 5.8., 9.19. un 10.14.apakšpunkt</w:t>
            </w:r>
            <w:r w:rsidRPr="002B3715" w:rsidR="000F5359">
              <w:rPr>
                <w:sz w:val="22"/>
                <w:szCs w:val="22"/>
              </w:rPr>
              <w:t>s</w:t>
            </w:r>
            <w:r w:rsidRPr="002B3715">
              <w:rPr>
                <w:sz w:val="22"/>
                <w:szCs w:val="22"/>
              </w:rPr>
              <w:t>.</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D2660E" w:rsidP="002B3715" w:rsidRDefault="002B3715">
            <w:pPr>
              <w:pStyle w:val="naisc"/>
              <w:spacing w:before="0" w:after="0"/>
            </w:pPr>
            <w:r>
              <w:rPr>
                <w:sz w:val="22"/>
                <w:szCs w:val="22"/>
              </w:rPr>
              <w:t>13.</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D2660E" w:rsidP="00CC2B7C" w:rsidRDefault="00B22D01">
            <w:pPr>
              <w:pStyle w:val="naisc"/>
              <w:spacing w:before="0" w:after="0"/>
              <w:jc w:val="both"/>
            </w:pPr>
            <w:r w:rsidRPr="002B3715">
              <w:rPr>
                <w:sz w:val="22"/>
                <w:szCs w:val="22"/>
              </w:rPr>
              <w:t xml:space="preserve">Ministru kabineta noteikumu projekta </w:t>
            </w:r>
            <w:r w:rsidRPr="002B3715" w:rsidR="00CC2B7C">
              <w:rPr>
                <w:sz w:val="22"/>
                <w:szCs w:val="22"/>
              </w:rPr>
              <w:t xml:space="preserve">sākotnējās ietekmes novērtējuma ziņojuma (anotācijas) </w:t>
            </w:r>
            <w:r w:rsidR="00440A64">
              <w:rPr>
                <w:sz w:val="22"/>
                <w:szCs w:val="22"/>
              </w:rPr>
              <w:t>III</w:t>
            </w:r>
            <w:r w:rsidRPr="002B3715" w:rsidR="00CC2B7C">
              <w:rPr>
                <w:sz w:val="22"/>
                <w:szCs w:val="22"/>
              </w:rPr>
              <w:t xml:space="preserve"> sadaļa.</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7451F1" w:rsidP="00D22F7E" w:rsidRDefault="007451F1">
            <w:pPr>
              <w:pStyle w:val="Sarakstarindkopa"/>
              <w:widowControl w:val="0"/>
              <w:ind w:left="0"/>
              <w:jc w:val="both"/>
              <w:rPr>
                <w:b/>
              </w:rPr>
            </w:pPr>
            <w:r w:rsidRPr="002B3715">
              <w:rPr>
                <w:b/>
                <w:sz w:val="22"/>
                <w:szCs w:val="22"/>
              </w:rPr>
              <w:t>Izglītības un zinātnes ministrija:</w:t>
            </w:r>
          </w:p>
          <w:p w:rsidRPr="002B3715" w:rsidR="00D2660E" w:rsidP="00D22F7E" w:rsidRDefault="004B52FB">
            <w:pPr>
              <w:pStyle w:val="Sarakstarindkopa"/>
              <w:widowControl w:val="0"/>
              <w:ind w:left="0"/>
              <w:jc w:val="both"/>
            </w:pPr>
            <w:r w:rsidRPr="002B3715">
              <w:rPr>
                <w:sz w:val="22"/>
                <w:szCs w:val="22"/>
              </w:rPr>
              <w:t>Anotācijas III. sadaļas 8.punktā  norādīts: “2019.gadā Kultūras ministrijas budžeta programmā 20.00.00 „Kultūrizglītība” pašlaik plānotais kopējais finansējums ir 53 390 453 euro, tajā skaitā pašu ieņēmumi 567 898 euro. 2020.gadā un turpmākajos gados Kultūras ministrijas budžeta programmā 20.00.00 „Kultūrizglītība” pašlaik plānotais kopējais finansējums ir 56 060 178 euro, tajā skaitā pašu ieņēmumi 584 920 euro.” Savukārt III. sadaļas  “Tiesību akta projekta ietekme uz valsts budžetu un pašvaldību budžetiem”, 1., 1.1., 2., 2.1. punktā  ailēs “izmaiņas, salīdzinot ar vidēja termiņa budžeta ietvaru 2020., 2021. gadam” maksas pakalpojumu un citu pašu ieņēmumu un budžeta izdevumu  palielinājums 17 022 euro nav norādīts.</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Pr="002B3715" w:rsidR="00D2660E" w:rsidP="00D22F7E" w:rsidRDefault="007451F1">
            <w:pPr>
              <w:pStyle w:val="naisc"/>
              <w:spacing w:before="0" w:after="0"/>
              <w:rPr>
                <w:b/>
              </w:rPr>
            </w:pPr>
            <w:r w:rsidRPr="002B3715">
              <w:rPr>
                <w:b/>
                <w:sz w:val="22"/>
                <w:szCs w:val="22"/>
              </w:rPr>
              <w:t>Ņemts vērā</w:t>
            </w:r>
          </w:p>
        </w:tc>
        <w:tc>
          <w:tcPr>
            <w:tcW w:w="1274" w:type="pct"/>
            <w:tcBorders>
              <w:top w:val="single" w:color="auto" w:sz="4" w:space="0"/>
              <w:left w:val="single" w:color="auto" w:sz="4" w:space="0"/>
            </w:tcBorders>
            <w:shd w:val="clear" w:color="auto" w:fill="auto"/>
          </w:tcPr>
          <w:p w:rsidRPr="002B3715" w:rsidR="00D2660E" w:rsidP="00440A64" w:rsidRDefault="004B3C04">
            <w:pPr>
              <w:pStyle w:val="naisc"/>
              <w:spacing w:before="0" w:after="0"/>
              <w:jc w:val="both"/>
            </w:pPr>
            <w:r w:rsidRPr="002B3715">
              <w:rPr>
                <w:sz w:val="22"/>
                <w:szCs w:val="22"/>
              </w:rPr>
              <w:t>Precizēta Ministru kabineta noteikumu projekta sākotnējās ietekmes novērtējuma ziņojuma (anotācijas) III sadaļa.</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D2660E" w:rsidP="002B3715" w:rsidRDefault="002B3715">
            <w:pPr>
              <w:pStyle w:val="naisc"/>
              <w:spacing w:before="0" w:after="0"/>
            </w:pPr>
            <w:r>
              <w:rPr>
                <w:sz w:val="22"/>
                <w:szCs w:val="22"/>
              </w:rPr>
              <w:t>14.</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D2660E" w:rsidP="00D22F7E" w:rsidRDefault="00E03D01">
            <w:pPr>
              <w:pStyle w:val="naisc"/>
              <w:spacing w:before="0" w:after="0"/>
              <w:jc w:val="both"/>
            </w:pPr>
            <w:r w:rsidRPr="002B3715">
              <w:rPr>
                <w:sz w:val="22"/>
                <w:szCs w:val="22"/>
              </w:rPr>
              <w:t xml:space="preserve">Ministru kabineta noteikumu projekta sākotnējās ietekmes novērtējuma ziņojuma (anotācijas) </w:t>
            </w:r>
            <w:r w:rsidR="00440A64">
              <w:rPr>
                <w:sz w:val="22"/>
                <w:szCs w:val="22"/>
              </w:rPr>
              <w:t>I</w:t>
            </w:r>
            <w:r w:rsidRPr="002B3715">
              <w:rPr>
                <w:sz w:val="22"/>
                <w:szCs w:val="22"/>
              </w:rPr>
              <w:t xml:space="preserve"> sadaļas 2.punkts.</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713B2B" w:rsidP="00D22F7E" w:rsidRDefault="004B52FB">
            <w:pPr>
              <w:pStyle w:val="Sarakstarindkopa"/>
              <w:widowControl w:val="0"/>
              <w:ind w:left="0"/>
              <w:jc w:val="both"/>
              <w:rPr>
                <w:b/>
              </w:rPr>
            </w:pPr>
            <w:r w:rsidRPr="002B3715">
              <w:rPr>
                <w:b/>
                <w:sz w:val="22"/>
                <w:szCs w:val="22"/>
              </w:rPr>
              <w:t>Vides aizsardzības un reģionālās attīstības ministrija</w:t>
            </w:r>
            <w:r w:rsidRPr="002B3715" w:rsidR="00D96EC0">
              <w:rPr>
                <w:b/>
                <w:sz w:val="22"/>
                <w:szCs w:val="22"/>
              </w:rPr>
              <w:t>:</w:t>
            </w:r>
          </w:p>
          <w:p w:rsidRPr="002B3715" w:rsidR="00713B2B" w:rsidP="00D22F7E" w:rsidRDefault="004B52FB">
            <w:pPr>
              <w:pStyle w:val="Sarakstarindkopa"/>
              <w:widowControl w:val="0"/>
              <w:ind w:left="0"/>
              <w:jc w:val="both"/>
              <w:rPr>
                <w:b/>
              </w:rPr>
            </w:pPr>
            <w:r w:rsidRPr="002B3715">
              <w:rPr>
                <w:sz w:val="22"/>
                <w:szCs w:val="22"/>
              </w:rPr>
              <w:t xml:space="preserve">Saskaņā ar Ministru kabineta 2009. gada 15. decembra instrukciju Nr. 19 “Tiesību akta projekta sākotnējās ietekmes izvērtēšanas kārtība”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rsidRPr="002B3715" w:rsidR="00B22D01" w:rsidP="00D22F7E" w:rsidRDefault="004B52FB">
            <w:pPr>
              <w:jc w:val="both"/>
            </w:pPr>
            <w:r w:rsidRPr="002B3715">
              <w:rPr>
                <w:sz w:val="22"/>
                <w:szCs w:val="22"/>
              </w:rPr>
              <w:t xml:space="preserve">Ņemot vērā minēto, lūdzam cenrādī norādīto pakalpojumu nosaukumus, kuri atbilst valsts pārvaldes pakalpojumu definīcijai, kas noteikta Ministru kabineta 2017. gada 4. jūlija noteikumu Nr.399 “Valsts pārvaldes pakalpojumu uzskaites, kvalitātes kontroles un sniegšanas kārtība” (turpmāk – MK noteikumi Nr.399) 2.1. apakšpunktā, norādīt noteikumu projekta anotācijas I sadaļas 2. punktā. </w:t>
            </w:r>
          </w:p>
          <w:p w:rsidRPr="002B3715" w:rsidR="00B22D01" w:rsidP="00D96EC0" w:rsidRDefault="004B52FB">
            <w:pPr>
              <w:jc w:val="both"/>
              <w:rPr>
                <w:b/>
              </w:rPr>
            </w:pPr>
            <w:r w:rsidRPr="002B3715">
              <w:rPr>
                <w:sz w:val="22"/>
                <w:szCs w:val="22"/>
              </w:rPr>
              <w:t>Papildus minētajam, saskaņā ar MK noteikumu Nr.399 17. punktu pakalpojumu pieprasīšanas un saņemšanas kanāli iedalāmi klātienes un neklātienes kanālos. Neklātienes kanāli iedalāmi elektroniskos, telefoniskos un pasta starpniecības kanālos. Ņemot vērā minēto, lūdzam sākotnējā ietekmes novērtējuma ziņojuma I sadaļas 2. punktā norādīt valsts pārvaldes pakalpojumu sniegšanas kanālus.</w:t>
            </w:r>
          </w:p>
        </w:tc>
        <w:tc>
          <w:tcPr>
            <w:tcW w:w="996" w:type="pct"/>
            <w:tcBorders>
              <w:top w:val="single" w:color="000000" w:sz="6" w:space="0"/>
              <w:left w:val="single" w:color="000000" w:sz="6" w:space="0"/>
              <w:bottom w:val="single" w:color="000000" w:sz="6" w:space="0"/>
              <w:right w:val="single" w:color="000000" w:sz="6" w:space="0"/>
            </w:tcBorders>
            <w:shd w:val="clear" w:color="auto" w:fill="auto"/>
          </w:tcPr>
          <w:p w:rsidRPr="002B3715" w:rsidR="00D2660E" w:rsidP="00D22F7E" w:rsidRDefault="00B22D01">
            <w:pPr>
              <w:pStyle w:val="naisc"/>
              <w:spacing w:before="0" w:after="0"/>
              <w:rPr>
                <w:b/>
              </w:rPr>
            </w:pPr>
            <w:r w:rsidRPr="002B3715">
              <w:rPr>
                <w:b/>
                <w:sz w:val="22"/>
                <w:szCs w:val="22"/>
              </w:rPr>
              <w:t>Ņemts vērā</w:t>
            </w:r>
          </w:p>
        </w:tc>
        <w:tc>
          <w:tcPr>
            <w:tcW w:w="1274" w:type="pct"/>
            <w:tcBorders>
              <w:top w:val="single" w:color="auto" w:sz="4" w:space="0"/>
              <w:left w:val="single" w:color="auto" w:sz="4" w:space="0"/>
              <w:bottom w:val="single" w:color="auto" w:sz="4" w:space="0"/>
            </w:tcBorders>
            <w:shd w:val="clear" w:color="auto" w:fill="auto"/>
          </w:tcPr>
          <w:p w:rsidRPr="002B3715" w:rsidR="00412D75" w:rsidP="00D22F7E" w:rsidRDefault="006716A2">
            <w:pPr>
              <w:pStyle w:val="naisc"/>
              <w:spacing w:before="0" w:after="0"/>
              <w:jc w:val="both"/>
            </w:pPr>
            <w:r w:rsidRPr="002B3715">
              <w:rPr>
                <w:sz w:val="22"/>
                <w:szCs w:val="22"/>
              </w:rPr>
              <w:t xml:space="preserve">Papildināts Ministru kabineta noteikumu projekta sākotnējās ietekmes novērtējuma ziņojuma (anotācijas) </w:t>
            </w:r>
            <w:r w:rsidR="00440A64">
              <w:rPr>
                <w:sz w:val="22"/>
                <w:szCs w:val="22"/>
              </w:rPr>
              <w:t>I</w:t>
            </w:r>
            <w:r w:rsidRPr="002B3715">
              <w:rPr>
                <w:sz w:val="22"/>
                <w:szCs w:val="22"/>
              </w:rPr>
              <w:t xml:space="preserve"> sadaļas 2.punkts šādā redakcijā:</w:t>
            </w:r>
          </w:p>
          <w:p w:rsidRPr="002B3715" w:rsidR="00412D75" w:rsidP="00D22F7E" w:rsidRDefault="00412D75">
            <w:pPr>
              <w:pStyle w:val="naisc"/>
              <w:spacing w:before="0" w:after="0"/>
              <w:jc w:val="both"/>
            </w:pPr>
          </w:p>
          <w:p w:rsidRPr="002B3715" w:rsidR="006716A2" w:rsidP="00D22F7E" w:rsidRDefault="00F43304">
            <w:pPr>
              <w:pStyle w:val="naisc"/>
              <w:spacing w:before="0" w:after="0"/>
              <w:jc w:val="both"/>
            </w:pPr>
            <w:r w:rsidRPr="002B3715">
              <w:rPr>
                <w:sz w:val="22"/>
                <w:szCs w:val="22"/>
              </w:rPr>
              <w:t>„</w:t>
            </w:r>
            <w:r w:rsidRPr="002B3715" w:rsidR="006716A2">
              <w:rPr>
                <w:sz w:val="22"/>
                <w:szCs w:val="22"/>
              </w:rPr>
              <w:t>[..]</w:t>
            </w:r>
          </w:p>
          <w:p w:rsidRPr="002B3715" w:rsidR="006716A2" w:rsidP="00D22F7E" w:rsidRDefault="00F43304">
            <w:pPr>
              <w:pStyle w:val="naisc"/>
              <w:spacing w:before="0" w:after="0"/>
              <w:jc w:val="both"/>
            </w:pPr>
            <w:r w:rsidRPr="002B3715">
              <w:rPr>
                <w:sz w:val="22"/>
                <w:szCs w:val="22"/>
              </w:rPr>
              <w:t xml:space="preserve">Visi pakalpojumi, kuri tiek norādīti </w:t>
            </w:r>
            <w:r w:rsidRPr="002B3715" w:rsidR="00EE2B14">
              <w:rPr>
                <w:sz w:val="22"/>
                <w:szCs w:val="22"/>
              </w:rPr>
              <w:t xml:space="preserve">Projektā ietvertajā izglītības iestāžu </w:t>
            </w:r>
            <w:r w:rsidRPr="002B3715">
              <w:rPr>
                <w:sz w:val="22"/>
                <w:szCs w:val="22"/>
              </w:rPr>
              <w:t>cenrādī, un to cenas Ministru kabinetā tiek apstiprināti pirmo reizi, līdz ar to, pēc būtības tie ir uzskatāmi par jauniem pakalpojumiem.</w:t>
            </w:r>
          </w:p>
          <w:p w:rsidRPr="002B3715" w:rsidR="00F43304" w:rsidP="00D22F7E" w:rsidRDefault="006716A2">
            <w:pPr>
              <w:pStyle w:val="naisc"/>
              <w:spacing w:before="0" w:after="0"/>
              <w:jc w:val="both"/>
            </w:pPr>
            <w:r w:rsidRPr="002B3715">
              <w:rPr>
                <w:sz w:val="22"/>
                <w:szCs w:val="22"/>
              </w:rPr>
              <w:t>[..]</w:t>
            </w:r>
          </w:p>
          <w:p w:rsidRPr="002B3715" w:rsidR="006716A2" w:rsidP="00D22F7E" w:rsidRDefault="0017079D">
            <w:pPr>
              <w:pStyle w:val="naisc"/>
              <w:spacing w:before="0" w:after="0"/>
              <w:jc w:val="both"/>
            </w:pPr>
            <w:r w:rsidRPr="002B3715">
              <w:rPr>
                <w:iCs/>
                <w:sz w:val="22"/>
                <w:szCs w:val="22"/>
              </w:rPr>
              <w:t xml:space="preserve">Projekta izglītības iestāžu cenrādī ietvertie </w:t>
            </w:r>
            <w:r w:rsidRPr="002B3715">
              <w:rPr>
                <w:sz w:val="22"/>
                <w:szCs w:val="22"/>
              </w:rPr>
              <w:t>i</w:t>
            </w:r>
            <w:r w:rsidRPr="002B3715" w:rsidR="00F43304">
              <w:rPr>
                <w:sz w:val="22"/>
                <w:szCs w:val="22"/>
              </w:rPr>
              <w:t>zglītības iestāžu pakalpojumi tiks sniegti</w:t>
            </w:r>
            <w:r w:rsidRPr="002B3715">
              <w:rPr>
                <w:sz w:val="22"/>
                <w:szCs w:val="22"/>
              </w:rPr>
              <w:t>,</w:t>
            </w:r>
            <w:r w:rsidRPr="002B3715" w:rsidR="00F43304">
              <w:rPr>
                <w:sz w:val="22"/>
                <w:szCs w:val="22"/>
              </w:rPr>
              <w:t xml:space="preserve"> izmantojot klātienes kanālus, nav plānots veidot elektroniskos kanālus pakalpojumu sniegšanai. Maksu par </w:t>
            </w:r>
            <w:r w:rsidRPr="002B3715">
              <w:rPr>
                <w:sz w:val="22"/>
                <w:szCs w:val="22"/>
              </w:rPr>
              <w:t xml:space="preserve">izglītības iestāžu </w:t>
            </w:r>
            <w:r w:rsidRPr="002B3715" w:rsidR="00F43304">
              <w:rPr>
                <w:sz w:val="22"/>
                <w:szCs w:val="22"/>
              </w:rPr>
              <w:t>sniegtajiem pakalpojumiem izglītības iestādes iekasēs</w:t>
            </w:r>
            <w:r w:rsidRPr="002B3715">
              <w:rPr>
                <w:sz w:val="22"/>
                <w:szCs w:val="22"/>
              </w:rPr>
              <w:t>,</w:t>
            </w:r>
            <w:r w:rsidRPr="002B3715" w:rsidR="00F43304">
              <w:rPr>
                <w:sz w:val="22"/>
                <w:szCs w:val="22"/>
              </w:rPr>
              <w:t xml:space="preserve"> izmantojot bezskaidras naudas norēķinus, t.i., maksājumus uz </w:t>
            </w:r>
            <w:r w:rsidRPr="002B3715">
              <w:rPr>
                <w:sz w:val="22"/>
                <w:szCs w:val="22"/>
              </w:rPr>
              <w:t>izglītības iestādes</w:t>
            </w:r>
            <w:r w:rsidRPr="002B3715" w:rsidR="00F43304">
              <w:rPr>
                <w:sz w:val="22"/>
                <w:szCs w:val="22"/>
              </w:rPr>
              <w:t xml:space="preserve"> kontu Valsts kasē vai POS terminālu, ja tāds izglītības iestādē ir pieejams.</w:t>
            </w:r>
          </w:p>
          <w:p w:rsidRPr="002B3715" w:rsidR="00B84099" w:rsidRDefault="006716A2">
            <w:pPr>
              <w:pStyle w:val="naisc"/>
              <w:spacing w:before="0" w:after="0"/>
              <w:jc w:val="both"/>
            </w:pPr>
            <w:r w:rsidRPr="002B3715">
              <w:rPr>
                <w:sz w:val="22"/>
                <w:szCs w:val="22"/>
              </w:rPr>
              <w:t>[..]</w:t>
            </w:r>
            <w:r w:rsidRPr="002B3715" w:rsidR="00F43304">
              <w:rPr>
                <w:sz w:val="22"/>
                <w:szCs w:val="22"/>
              </w:rPr>
              <w:t>”</w:t>
            </w:r>
          </w:p>
        </w:tc>
      </w:tr>
      <w:tr w:rsidRPr="002B3715" w:rsidR="002B3715" w:rsidTr="005B63FD">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2B3715" w:rsidR="00F53B2E" w:rsidP="002B3715" w:rsidRDefault="002B3715">
            <w:pPr>
              <w:pStyle w:val="naisc"/>
              <w:spacing w:before="0" w:after="0"/>
            </w:pPr>
            <w:r>
              <w:rPr>
                <w:sz w:val="22"/>
                <w:szCs w:val="22"/>
              </w:rPr>
              <w:t>15.</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2B3715" w:rsidR="00F53B2E" w:rsidP="00D22F7E" w:rsidRDefault="00440A64">
            <w:pPr>
              <w:pStyle w:val="naisc"/>
              <w:spacing w:before="0" w:after="0"/>
              <w:jc w:val="both"/>
            </w:pPr>
            <w:r w:rsidRPr="002B3715">
              <w:rPr>
                <w:sz w:val="22"/>
                <w:szCs w:val="22"/>
              </w:rPr>
              <w:t>Ministru kabineta noteikumu projekt</w:t>
            </w:r>
            <w:r>
              <w:rPr>
                <w:sz w:val="22"/>
                <w:szCs w:val="22"/>
              </w:rPr>
              <w:t>s.</w:t>
            </w:r>
          </w:p>
        </w:tc>
        <w:tc>
          <w:tcPr>
            <w:tcW w:w="1365" w:type="pct"/>
            <w:tcBorders>
              <w:top w:val="single" w:color="000000" w:sz="6" w:space="0"/>
              <w:left w:val="single" w:color="000000" w:sz="6" w:space="0"/>
              <w:bottom w:val="single" w:color="000000" w:sz="6" w:space="0"/>
              <w:right w:val="single" w:color="000000" w:sz="6" w:space="0"/>
            </w:tcBorders>
            <w:shd w:val="clear" w:color="auto" w:fill="auto"/>
          </w:tcPr>
          <w:p w:rsidRPr="002B3715" w:rsidR="00F43304" w:rsidP="00D22F7E" w:rsidRDefault="00F43304">
            <w:pPr>
              <w:pStyle w:val="Sarakstarindkopa"/>
              <w:widowControl w:val="0"/>
              <w:ind w:left="0"/>
              <w:jc w:val="both"/>
              <w:rPr>
                <w:b/>
              </w:rPr>
            </w:pPr>
            <w:r w:rsidRPr="002B3715">
              <w:rPr>
                <w:b/>
                <w:sz w:val="22"/>
                <w:szCs w:val="22"/>
              </w:rPr>
              <w:t>Vides aizsardzības un reģionālās attīstības ministrija</w:t>
            </w:r>
            <w:r w:rsidRPr="002B3715" w:rsidR="00D96EC0">
              <w:rPr>
                <w:b/>
                <w:sz w:val="22"/>
                <w:szCs w:val="22"/>
              </w:rPr>
              <w:t>:</w:t>
            </w:r>
          </w:p>
          <w:p w:rsidRPr="002B3715" w:rsidR="00F53B2E" w:rsidP="00BC6BB1" w:rsidRDefault="00F43304">
            <w:pPr>
              <w:pStyle w:val="Sarakstarindkopa"/>
              <w:widowControl w:val="0"/>
              <w:ind w:left="0"/>
              <w:jc w:val="both"/>
            </w:pPr>
            <w:r w:rsidRPr="002B3715">
              <w:rPr>
                <w:sz w:val="22"/>
                <w:szCs w:val="22"/>
              </w:rPr>
              <w:t xml:space="preserve">Pēc Ministru kabineta noteikumu projekta Kultūras ministrijas padotībā esošo profesionālās izglītības iestāžu maksas pakalpojumu cenrādis” (VSS-1011) spēkā stāšanās lūdzam nodrošināt pakalpojuma aprakstīšanu valsts pārvaldes pakalpojumu portālā </w:t>
            </w:r>
            <w:proofErr w:type="spellStart"/>
            <w:r w:rsidRPr="002B3715">
              <w:rPr>
                <w:sz w:val="22"/>
                <w:szCs w:val="22"/>
              </w:rPr>
              <w:t>Latvija.lv</w:t>
            </w:r>
            <w:proofErr w:type="spellEnd"/>
            <w:r w:rsidRPr="002B3715">
              <w:rPr>
                <w:sz w:val="22"/>
                <w:szCs w:val="22"/>
              </w:rPr>
              <w:t>, iekļaujot MK noteikumu Nr.399 “Valsts pārvaldes pakalpojumu uzskaites, kvalitātes kontroles un sniegšanas kārtība” 9.punktā minēto informāciju par pakalpojumiem.</w:t>
            </w:r>
          </w:p>
        </w:tc>
        <w:tc>
          <w:tcPr>
            <w:tcW w:w="996" w:type="pct"/>
            <w:tcBorders>
              <w:top w:val="single" w:color="000000" w:sz="6" w:space="0"/>
              <w:left w:val="single" w:color="000000" w:sz="6" w:space="0"/>
              <w:bottom w:val="single" w:color="auto" w:sz="4" w:space="0"/>
              <w:right w:val="single" w:color="000000" w:sz="6" w:space="0"/>
            </w:tcBorders>
            <w:shd w:val="clear" w:color="auto" w:fill="auto"/>
          </w:tcPr>
          <w:p w:rsidR="00F53B2E" w:rsidP="00D22F7E" w:rsidRDefault="00F43304">
            <w:pPr>
              <w:pStyle w:val="naisc"/>
              <w:spacing w:before="0" w:after="0"/>
              <w:rPr>
                <w:b/>
              </w:rPr>
            </w:pPr>
            <w:r w:rsidRPr="002B3715">
              <w:rPr>
                <w:b/>
                <w:sz w:val="22"/>
                <w:szCs w:val="22"/>
              </w:rPr>
              <w:t>Ņemts vērā</w:t>
            </w:r>
          </w:p>
          <w:p w:rsidRPr="00440A64" w:rsidR="00440A64" w:rsidP="00A15A56" w:rsidRDefault="00440A64">
            <w:pPr>
              <w:pStyle w:val="naisc"/>
              <w:spacing w:before="0" w:after="0"/>
              <w:jc w:val="both"/>
            </w:pPr>
            <w:r w:rsidRPr="00440A64">
              <w:rPr>
                <w:sz w:val="22"/>
                <w:szCs w:val="22"/>
              </w:rPr>
              <w:t xml:space="preserve">Pēc </w:t>
            </w:r>
            <w:r w:rsidRPr="002B3715">
              <w:rPr>
                <w:sz w:val="22"/>
                <w:szCs w:val="22"/>
              </w:rPr>
              <w:t>Ministru kabineta noteikumu projekt</w:t>
            </w:r>
            <w:r>
              <w:rPr>
                <w:sz w:val="22"/>
                <w:szCs w:val="22"/>
              </w:rPr>
              <w:t>a spēkā stāšanās tiks nodrošināta pakalpojum</w:t>
            </w:r>
            <w:r w:rsidR="00A15A56">
              <w:rPr>
                <w:sz w:val="22"/>
                <w:szCs w:val="22"/>
              </w:rPr>
              <w:t>u</w:t>
            </w:r>
            <w:r>
              <w:rPr>
                <w:sz w:val="22"/>
                <w:szCs w:val="22"/>
              </w:rPr>
              <w:t xml:space="preserve"> aprakstīšana</w:t>
            </w:r>
            <w:r w:rsidRPr="002B3715">
              <w:rPr>
                <w:sz w:val="22"/>
                <w:szCs w:val="22"/>
              </w:rPr>
              <w:t xml:space="preserve"> valsts pārvaldes pakalpojumu </w:t>
            </w:r>
            <w:r w:rsidR="00A15A56">
              <w:rPr>
                <w:sz w:val="22"/>
                <w:szCs w:val="22"/>
              </w:rPr>
              <w:t xml:space="preserve">portālā </w:t>
            </w:r>
            <w:proofErr w:type="spellStart"/>
            <w:r w:rsidR="00A15A56">
              <w:rPr>
                <w:sz w:val="22"/>
                <w:szCs w:val="22"/>
              </w:rPr>
              <w:t>Latvija.lv</w:t>
            </w:r>
            <w:proofErr w:type="spellEnd"/>
            <w:r w:rsidR="00A15A56">
              <w:rPr>
                <w:sz w:val="22"/>
                <w:szCs w:val="22"/>
              </w:rPr>
              <w:t>, iekļaujot Ministru kabineta 2017.</w:t>
            </w:r>
            <w:r w:rsidRPr="00A15A56" w:rsidR="00A15A56">
              <w:rPr>
                <w:sz w:val="22"/>
                <w:szCs w:val="22"/>
              </w:rPr>
              <w:t>gada 4.</w:t>
            </w:r>
            <w:r w:rsidR="00A15A56">
              <w:rPr>
                <w:sz w:val="22"/>
                <w:szCs w:val="22"/>
              </w:rPr>
              <w:t>jūlija noteikumu Nr.399 „</w:t>
            </w:r>
            <w:r w:rsidRPr="002B3715">
              <w:rPr>
                <w:sz w:val="22"/>
                <w:szCs w:val="22"/>
              </w:rPr>
              <w:t>Valsts pārvaldes pakalpojumu uzskaites, kvalitātes kontroles un sniegšanas kārtība” 9.punktā minēto informāciju par pakalpojumiem</w:t>
            </w:r>
            <w:r w:rsidR="00A15A56">
              <w:rPr>
                <w:sz w:val="22"/>
                <w:szCs w:val="22"/>
              </w:rPr>
              <w:t>.</w:t>
            </w:r>
          </w:p>
        </w:tc>
        <w:tc>
          <w:tcPr>
            <w:tcW w:w="1274" w:type="pct"/>
            <w:tcBorders>
              <w:top w:val="single" w:color="auto" w:sz="4" w:space="0"/>
              <w:left w:val="single" w:color="auto" w:sz="4" w:space="0"/>
            </w:tcBorders>
            <w:shd w:val="clear" w:color="auto" w:fill="auto"/>
          </w:tcPr>
          <w:p w:rsidRPr="002B3715" w:rsidR="00F53B2E" w:rsidP="00D22F7E" w:rsidRDefault="00440A64">
            <w:pPr>
              <w:pStyle w:val="naisc"/>
              <w:spacing w:before="0" w:after="0"/>
              <w:jc w:val="both"/>
            </w:pPr>
            <w:r w:rsidRPr="002B3715">
              <w:rPr>
                <w:sz w:val="22"/>
                <w:szCs w:val="22"/>
              </w:rPr>
              <w:t>Ministru kabineta noteikumu projekt</w:t>
            </w:r>
            <w:r>
              <w:rPr>
                <w:sz w:val="22"/>
                <w:szCs w:val="22"/>
              </w:rPr>
              <w:t>s.</w:t>
            </w:r>
          </w:p>
        </w:tc>
      </w:tr>
    </w:tbl>
    <w:p w:rsidRPr="006E1D45" w:rsidR="00D96EC0" w:rsidP="00D22F7E" w:rsidRDefault="00D96EC0">
      <w:pPr>
        <w:rPr>
          <w:sz w:val="16"/>
          <w:szCs w:val="16"/>
        </w:rPr>
      </w:pPr>
      <w:bookmarkStart w:name="_GoBack" w:id="0"/>
      <w:bookmarkEnd w:id="0"/>
    </w:p>
    <w:p w:rsidRPr="00D22F7E" w:rsidR="0014229B" w:rsidP="00D22F7E" w:rsidRDefault="006C77FA">
      <w:pPr>
        <w:rPr>
          <w:sz w:val="20"/>
          <w:szCs w:val="20"/>
        </w:rPr>
      </w:pPr>
      <w:r>
        <w:rPr>
          <w:sz w:val="20"/>
          <w:szCs w:val="20"/>
        </w:rPr>
        <w:t xml:space="preserve">Roventa </w:t>
      </w:r>
      <w:r w:rsidRPr="00D22F7E" w:rsidR="00F53B2E">
        <w:rPr>
          <w:sz w:val="20"/>
          <w:szCs w:val="20"/>
        </w:rPr>
        <w:t>Putniņa</w:t>
      </w:r>
    </w:p>
    <w:p w:rsidR="006E1D45" w:rsidP="00D22F7E" w:rsidRDefault="00F53B2E">
      <w:pPr>
        <w:rPr>
          <w:sz w:val="20"/>
          <w:szCs w:val="20"/>
        </w:rPr>
      </w:pPr>
      <w:r w:rsidRPr="00D22F7E">
        <w:rPr>
          <w:sz w:val="20"/>
          <w:szCs w:val="20"/>
        </w:rPr>
        <w:t xml:space="preserve">Kultūras ministrijas </w:t>
      </w:r>
    </w:p>
    <w:p w:rsidRPr="00D22F7E" w:rsidR="00F53B2E" w:rsidP="00D22F7E" w:rsidRDefault="00F53B2E">
      <w:pPr>
        <w:rPr>
          <w:sz w:val="20"/>
          <w:szCs w:val="20"/>
        </w:rPr>
      </w:pPr>
      <w:r w:rsidRPr="00D22F7E">
        <w:rPr>
          <w:sz w:val="20"/>
          <w:szCs w:val="20"/>
        </w:rPr>
        <w:t>Budžeta nodaļas</w:t>
      </w:r>
      <w:r w:rsidR="006E1D45">
        <w:rPr>
          <w:sz w:val="20"/>
          <w:szCs w:val="20"/>
        </w:rPr>
        <w:t xml:space="preserve"> </w:t>
      </w:r>
      <w:r w:rsidR="002B3715">
        <w:rPr>
          <w:sz w:val="20"/>
          <w:szCs w:val="20"/>
        </w:rPr>
        <w:t>p</w:t>
      </w:r>
      <w:r w:rsidRPr="00D22F7E">
        <w:rPr>
          <w:sz w:val="20"/>
          <w:szCs w:val="20"/>
        </w:rPr>
        <w:t>ārvaldes vecākā referente</w:t>
      </w:r>
    </w:p>
    <w:p w:rsidRPr="00D22F7E" w:rsidR="00F53B2E" w:rsidP="00D22F7E" w:rsidRDefault="0014229B">
      <w:pPr>
        <w:rPr>
          <w:sz w:val="22"/>
          <w:szCs w:val="22"/>
        </w:rPr>
      </w:pPr>
      <w:bookmarkStart w:name="OLE_LINK7" w:id="1"/>
      <w:bookmarkStart w:name="OLE_LINK8" w:id="2"/>
      <w:r w:rsidRPr="00D22F7E">
        <w:rPr>
          <w:sz w:val="20"/>
          <w:szCs w:val="20"/>
        </w:rPr>
        <w:t>Tālr.</w:t>
      </w:r>
      <w:r w:rsidRPr="00D22F7E" w:rsidR="005238D2">
        <w:rPr>
          <w:sz w:val="20"/>
          <w:szCs w:val="20"/>
        </w:rPr>
        <w:t xml:space="preserve"> </w:t>
      </w:r>
      <w:bookmarkEnd w:id="1"/>
      <w:bookmarkEnd w:id="2"/>
      <w:r w:rsidRPr="00D22F7E" w:rsidR="00F53B2E">
        <w:rPr>
          <w:sz w:val="20"/>
          <w:szCs w:val="20"/>
        </w:rPr>
        <w:t>67330288</w:t>
      </w:r>
      <w:r w:rsidR="006C77FA">
        <w:rPr>
          <w:sz w:val="20"/>
          <w:szCs w:val="20"/>
        </w:rPr>
        <w:t xml:space="preserve">; </w:t>
      </w:r>
      <w:hyperlink w:history="1" r:id="rId12">
        <w:r w:rsidRPr="00D22F7E" w:rsidR="00F53B2E">
          <w:rPr>
            <w:rStyle w:val="Hipersaite"/>
            <w:sz w:val="20"/>
            <w:szCs w:val="20"/>
          </w:rPr>
          <w:t>Roventa.Putnina@km.gov.lv</w:t>
        </w:r>
      </w:hyperlink>
    </w:p>
    <w:sectPr w:rsidRPr="00D22F7E" w:rsidR="00F53B2E" w:rsidSect="00D62265">
      <w:headerReference w:type="default" r:id="rId13"/>
      <w:footerReference w:type="default" r:id="rId14"/>
      <w:footerReference w:type="first" r:id="rId15"/>
      <w:pgSz w:w="16840" w:h="11907" w:orient="landscape"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64" w:rsidRDefault="00440A64" w:rsidP="00BF3E77">
      <w:r>
        <w:separator/>
      </w:r>
    </w:p>
  </w:endnote>
  <w:endnote w:type="continuationSeparator" w:id="0">
    <w:p w:rsidR="00440A64" w:rsidRDefault="00440A64" w:rsidP="00BF3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64" w:rsidRPr="00D22F7E" w:rsidRDefault="00440A64" w:rsidP="00D22F7E">
    <w:pPr>
      <w:pStyle w:val="Kjene"/>
      <w:rPr>
        <w:szCs w:val="20"/>
      </w:rPr>
    </w:pPr>
    <w:r w:rsidRPr="00D22F7E">
      <w:rPr>
        <w:sz w:val="20"/>
        <w:szCs w:val="20"/>
      </w:rPr>
      <w:t>KMIzz_</w:t>
    </w:r>
    <w:r w:rsidR="00D44428">
      <w:rPr>
        <w:sz w:val="20"/>
        <w:szCs w:val="20"/>
      </w:rPr>
      <w:t>19</w:t>
    </w:r>
    <w:r w:rsidRPr="00D22F7E">
      <w:rPr>
        <w:sz w:val="20"/>
        <w:szCs w:val="20"/>
      </w:rPr>
      <w:t>1</w:t>
    </w:r>
    <w:r>
      <w:rPr>
        <w:sz w:val="20"/>
        <w:szCs w:val="20"/>
      </w:rPr>
      <w:t>1</w:t>
    </w:r>
    <w:r w:rsidRPr="00D22F7E">
      <w:rPr>
        <w:sz w:val="20"/>
        <w:szCs w:val="20"/>
      </w:rPr>
      <w:t>19_</w:t>
    </w:r>
    <w:r>
      <w:rPr>
        <w:sz w:val="20"/>
        <w:szCs w:val="20"/>
      </w:rPr>
      <w:t>KM</w:t>
    </w:r>
    <w:r w:rsidRPr="00D22F7E">
      <w:rPr>
        <w:sz w:val="20"/>
        <w:szCs w:val="20"/>
      </w:rPr>
      <w:t>_skol</w:t>
    </w:r>
    <w:r>
      <w:rPr>
        <w:sz w:val="20"/>
        <w:szCs w:val="20"/>
      </w:rPr>
      <w:t>u_cenradis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64" w:rsidRPr="00D22F7E" w:rsidRDefault="00440A64" w:rsidP="007E3B24">
    <w:pPr>
      <w:pStyle w:val="Kjene"/>
      <w:rPr>
        <w:sz w:val="20"/>
        <w:szCs w:val="20"/>
      </w:rPr>
    </w:pPr>
    <w:r w:rsidRPr="00D22F7E">
      <w:rPr>
        <w:sz w:val="20"/>
        <w:szCs w:val="20"/>
      </w:rPr>
      <w:t>KMIzz_</w:t>
    </w:r>
    <w:r w:rsidR="00D44428">
      <w:rPr>
        <w:sz w:val="20"/>
        <w:szCs w:val="20"/>
      </w:rPr>
      <w:t>19</w:t>
    </w:r>
    <w:r w:rsidRPr="00D22F7E">
      <w:rPr>
        <w:sz w:val="20"/>
        <w:szCs w:val="20"/>
      </w:rPr>
      <w:t>1</w:t>
    </w:r>
    <w:r>
      <w:rPr>
        <w:sz w:val="20"/>
        <w:szCs w:val="20"/>
      </w:rPr>
      <w:t>1</w:t>
    </w:r>
    <w:r w:rsidRPr="00D22F7E">
      <w:rPr>
        <w:sz w:val="20"/>
        <w:szCs w:val="20"/>
      </w:rPr>
      <w:t>19_</w:t>
    </w:r>
    <w:r>
      <w:rPr>
        <w:sz w:val="20"/>
        <w:szCs w:val="20"/>
      </w:rPr>
      <w:t>KM</w:t>
    </w:r>
    <w:r w:rsidRPr="00D22F7E">
      <w:rPr>
        <w:sz w:val="20"/>
        <w:szCs w:val="20"/>
      </w:rPr>
      <w:t>_skol</w:t>
    </w:r>
    <w:r>
      <w:rPr>
        <w:sz w:val="20"/>
        <w:szCs w:val="20"/>
      </w:rPr>
      <w:t>u_cenradis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64" w:rsidRDefault="00440A64" w:rsidP="00BF3E77">
      <w:r>
        <w:separator/>
      </w:r>
    </w:p>
  </w:footnote>
  <w:footnote w:type="continuationSeparator" w:id="0">
    <w:p w:rsidR="00440A64" w:rsidRDefault="00440A64" w:rsidP="00BF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55842"/>
      <w:docPartObj>
        <w:docPartGallery w:val="Page Numbers (Top of Page)"/>
        <w:docPartUnique/>
      </w:docPartObj>
    </w:sdtPr>
    <w:sdtContent>
      <w:p w:rsidRPr="00C50A68" w:rsidR="00440A64" w:rsidRDefault="00484D5F">
        <w:pPr>
          <w:pStyle w:val="Galvene"/>
          <w:jc w:val="center"/>
          <w:rPr>
            <w:sz w:val="22"/>
            <w:szCs w:val="22"/>
          </w:rPr>
        </w:pPr>
        <w:r w:rsidRPr="00C50A68">
          <w:rPr>
            <w:sz w:val="22"/>
            <w:szCs w:val="22"/>
          </w:rPr>
          <w:fldChar w:fldCharType="begin"/>
        </w:r>
        <w:r w:rsidRPr="00C50A68" w:rsidR="00440A64">
          <w:rPr>
            <w:sz w:val="22"/>
            <w:szCs w:val="22"/>
          </w:rPr>
          <w:instrText xml:space="preserve"> PAGE   \* MERGEFORMAT </w:instrText>
        </w:r>
        <w:r w:rsidRPr="00C50A68">
          <w:rPr>
            <w:sz w:val="22"/>
            <w:szCs w:val="22"/>
          </w:rPr>
          <w:fldChar w:fldCharType="separate"/>
        </w:r>
        <w:r w:rsidR="006E1D45">
          <w:rPr>
            <w:noProof/>
            <w:sz w:val="22"/>
            <w:szCs w:val="22"/>
          </w:rPr>
          <w:t>13</w:t>
        </w:r>
        <w:r w:rsidRPr="00C50A68">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F2D"/>
    <w:multiLevelType w:val="hybridMultilevel"/>
    <w:tmpl w:val="F360527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27265D"/>
    <w:multiLevelType w:val="hybridMultilevel"/>
    <w:tmpl w:val="4606A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5A656CA"/>
    <w:multiLevelType w:val="multilevel"/>
    <w:tmpl w:val="8DEE7BD0"/>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29A57FB"/>
    <w:multiLevelType w:val="hybridMultilevel"/>
    <w:tmpl w:val="EF3C7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776C96"/>
    <w:multiLevelType w:val="hybridMultilevel"/>
    <w:tmpl w:val="298C4E0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E36032"/>
    <w:multiLevelType w:val="hybridMultilevel"/>
    <w:tmpl w:val="618E03AE"/>
    <w:lvl w:ilvl="0" w:tplc="0426000D">
      <w:start w:val="1"/>
      <w:numFmt w:val="bullet"/>
      <w:lvlText w:val=""/>
      <w:lvlJc w:val="left"/>
      <w:pPr>
        <w:ind w:left="1515" w:hanging="360"/>
      </w:pPr>
      <w:rPr>
        <w:rFonts w:ascii="Wingdings" w:hAnsi="Wingdings"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nsid w:val="1A921774"/>
    <w:multiLevelType w:val="multilevel"/>
    <w:tmpl w:val="C4EA00D6"/>
    <w:lvl w:ilvl="0">
      <w:start w:val="12"/>
      <w:numFmt w:val="decimal"/>
      <w:lvlText w:val="%1."/>
      <w:lvlJc w:val="left"/>
      <w:pPr>
        <w:ind w:left="720" w:hanging="72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8">
    <w:nsid w:val="1ABE20EA"/>
    <w:multiLevelType w:val="hybridMultilevel"/>
    <w:tmpl w:val="4C1E6850"/>
    <w:lvl w:ilvl="0" w:tplc="FB30F17A">
      <w:start w:val="1"/>
      <w:numFmt w:val="decimal"/>
      <w:lvlText w:val="%1."/>
      <w:lvlJc w:val="left"/>
      <w:pPr>
        <w:ind w:left="1211" w:hanging="360"/>
      </w:pPr>
      <w:rPr>
        <w:rFonts w:ascii="Times New Roman" w:eastAsia="Calibri" w:hAnsi="Times New Roman" w:cs="Times New Roman"/>
      </w:rPr>
    </w:lvl>
    <w:lvl w:ilvl="1" w:tplc="74C078B4" w:tentative="1">
      <w:start w:val="1"/>
      <w:numFmt w:val="lowerLetter"/>
      <w:lvlText w:val="%2."/>
      <w:lvlJc w:val="left"/>
      <w:pPr>
        <w:ind w:left="1647" w:hanging="360"/>
      </w:pPr>
    </w:lvl>
    <w:lvl w:ilvl="2" w:tplc="00B09C48" w:tentative="1">
      <w:start w:val="1"/>
      <w:numFmt w:val="lowerRoman"/>
      <w:lvlText w:val="%3."/>
      <w:lvlJc w:val="right"/>
      <w:pPr>
        <w:ind w:left="2367" w:hanging="180"/>
      </w:pPr>
    </w:lvl>
    <w:lvl w:ilvl="3" w:tplc="25E66FAE" w:tentative="1">
      <w:start w:val="1"/>
      <w:numFmt w:val="decimal"/>
      <w:lvlText w:val="%4."/>
      <w:lvlJc w:val="left"/>
      <w:pPr>
        <w:ind w:left="3087" w:hanging="360"/>
      </w:pPr>
    </w:lvl>
    <w:lvl w:ilvl="4" w:tplc="E70C6AD4" w:tentative="1">
      <w:start w:val="1"/>
      <w:numFmt w:val="lowerLetter"/>
      <w:lvlText w:val="%5."/>
      <w:lvlJc w:val="left"/>
      <w:pPr>
        <w:ind w:left="3807" w:hanging="360"/>
      </w:pPr>
    </w:lvl>
    <w:lvl w:ilvl="5" w:tplc="A7087D5E" w:tentative="1">
      <w:start w:val="1"/>
      <w:numFmt w:val="lowerRoman"/>
      <w:lvlText w:val="%6."/>
      <w:lvlJc w:val="right"/>
      <w:pPr>
        <w:ind w:left="4527" w:hanging="180"/>
      </w:pPr>
    </w:lvl>
    <w:lvl w:ilvl="6" w:tplc="DDBC35D0" w:tentative="1">
      <w:start w:val="1"/>
      <w:numFmt w:val="decimal"/>
      <w:lvlText w:val="%7."/>
      <w:lvlJc w:val="left"/>
      <w:pPr>
        <w:ind w:left="5247" w:hanging="360"/>
      </w:pPr>
    </w:lvl>
    <w:lvl w:ilvl="7" w:tplc="C0B0AABA" w:tentative="1">
      <w:start w:val="1"/>
      <w:numFmt w:val="lowerLetter"/>
      <w:lvlText w:val="%8."/>
      <w:lvlJc w:val="left"/>
      <w:pPr>
        <w:ind w:left="5967" w:hanging="360"/>
      </w:pPr>
    </w:lvl>
    <w:lvl w:ilvl="8" w:tplc="3452A634" w:tentative="1">
      <w:start w:val="1"/>
      <w:numFmt w:val="lowerRoman"/>
      <w:lvlText w:val="%9."/>
      <w:lvlJc w:val="right"/>
      <w:pPr>
        <w:ind w:left="6687" w:hanging="180"/>
      </w:pPr>
    </w:lvl>
  </w:abstractNum>
  <w:abstractNum w:abstractNumId="9">
    <w:nsid w:val="1CDE1682"/>
    <w:multiLevelType w:val="hybridMultilevel"/>
    <w:tmpl w:val="0A0CCCB2"/>
    <w:lvl w:ilvl="0" w:tplc="4BC4EEBC">
      <w:start w:val="1"/>
      <w:numFmt w:val="decimal"/>
      <w:lvlText w:val="%1)"/>
      <w:lvlJc w:val="left"/>
      <w:pPr>
        <w:ind w:left="785"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0">
    <w:nsid w:val="1F664E7A"/>
    <w:multiLevelType w:val="multilevel"/>
    <w:tmpl w:val="B1EC37E4"/>
    <w:lvl w:ilvl="0">
      <w:start w:val="15"/>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1701060"/>
    <w:multiLevelType w:val="hybridMultilevel"/>
    <w:tmpl w:val="0A0CCCB2"/>
    <w:lvl w:ilvl="0" w:tplc="4BC4EEBC">
      <w:start w:val="1"/>
      <w:numFmt w:val="decimal"/>
      <w:lvlText w:val="%1)"/>
      <w:lvlJc w:val="left"/>
      <w:pPr>
        <w:ind w:left="785"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2">
    <w:nsid w:val="26A65875"/>
    <w:multiLevelType w:val="hybridMultilevel"/>
    <w:tmpl w:val="96A239D0"/>
    <w:lvl w:ilvl="0" w:tplc="225C9A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B104401"/>
    <w:multiLevelType w:val="hybridMultilevel"/>
    <w:tmpl w:val="96A239D0"/>
    <w:lvl w:ilvl="0" w:tplc="225C9A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CA73A01"/>
    <w:multiLevelType w:val="hybridMultilevel"/>
    <w:tmpl w:val="6D88675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33877B33"/>
    <w:multiLevelType w:val="hybridMultilevel"/>
    <w:tmpl w:val="D94E0684"/>
    <w:lvl w:ilvl="0" w:tplc="E2F455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381131A6"/>
    <w:multiLevelType w:val="hybridMultilevel"/>
    <w:tmpl w:val="F9C4559A"/>
    <w:lvl w:ilvl="0" w:tplc="D87CC95A">
      <w:start w:val="1"/>
      <w:numFmt w:val="decimal"/>
      <w:lvlText w:val="%1)"/>
      <w:lvlJc w:val="left"/>
      <w:pPr>
        <w:ind w:left="1365" w:hanging="375"/>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8">
    <w:nsid w:val="3915290D"/>
    <w:multiLevelType w:val="hybridMultilevel"/>
    <w:tmpl w:val="91445068"/>
    <w:lvl w:ilvl="0" w:tplc="8EE6B790">
      <w:start w:val="1"/>
      <w:numFmt w:val="decimal"/>
      <w:lvlText w:val="%1."/>
      <w:lvlJc w:val="left"/>
      <w:pPr>
        <w:ind w:left="3196" w:hanging="360"/>
      </w:pPr>
      <w:rPr>
        <w:rFonts w:hint="default"/>
      </w:rPr>
    </w:lvl>
    <w:lvl w:ilvl="1" w:tplc="04260019" w:tentative="1">
      <w:start w:val="1"/>
      <w:numFmt w:val="lowerLetter"/>
      <w:lvlText w:val="%2."/>
      <w:lvlJc w:val="left"/>
      <w:pPr>
        <w:ind w:left="3916" w:hanging="360"/>
      </w:pPr>
    </w:lvl>
    <w:lvl w:ilvl="2" w:tplc="0426001B" w:tentative="1">
      <w:start w:val="1"/>
      <w:numFmt w:val="lowerRoman"/>
      <w:lvlText w:val="%3."/>
      <w:lvlJc w:val="right"/>
      <w:pPr>
        <w:ind w:left="4636" w:hanging="180"/>
      </w:pPr>
    </w:lvl>
    <w:lvl w:ilvl="3" w:tplc="0426000F" w:tentative="1">
      <w:start w:val="1"/>
      <w:numFmt w:val="decimal"/>
      <w:lvlText w:val="%4."/>
      <w:lvlJc w:val="left"/>
      <w:pPr>
        <w:ind w:left="5356" w:hanging="360"/>
      </w:pPr>
    </w:lvl>
    <w:lvl w:ilvl="4" w:tplc="04260019" w:tentative="1">
      <w:start w:val="1"/>
      <w:numFmt w:val="lowerLetter"/>
      <w:lvlText w:val="%5."/>
      <w:lvlJc w:val="left"/>
      <w:pPr>
        <w:ind w:left="6076" w:hanging="360"/>
      </w:pPr>
    </w:lvl>
    <w:lvl w:ilvl="5" w:tplc="0426001B" w:tentative="1">
      <w:start w:val="1"/>
      <w:numFmt w:val="lowerRoman"/>
      <w:lvlText w:val="%6."/>
      <w:lvlJc w:val="right"/>
      <w:pPr>
        <w:ind w:left="6796" w:hanging="180"/>
      </w:pPr>
    </w:lvl>
    <w:lvl w:ilvl="6" w:tplc="0426000F" w:tentative="1">
      <w:start w:val="1"/>
      <w:numFmt w:val="decimal"/>
      <w:lvlText w:val="%7."/>
      <w:lvlJc w:val="left"/>
      <w:pPr>
        <w:ind w:left="7516" w:hanging="360"/>
      </w:pPr>
    </w:lvl>
    <w:lvl w:ilvl="7" w:tplc="04260019" w:tentative="1">
      <w:start w:val="1"/>
      <w:numFmt w:val="lowerLetter"/>
      <w:lvlText w:val="%8."/>
      <w:lvlJc w:val="left"/>
      <w:pPr>
        <w:ind w:left="8236" w:hanging="360"/>
      </w:pPr>
    </w:lvl>
    <w:lvl w:ilvl="8" w:tplc="0426001B" w:tentative="1">
      <w:start w:val="1"/>
      <w:numFmt w:val="lowerRoman"/>
      <w:lvlText w:val="%9."/>
      <w:lvlJc w:val="right"/>
      <w:pPr>
        <w:ind w:left="8956" w:hanging="180"/>
      </w:pPr>
    </w:lvl>
  </w:abstractNum>
  <w:abstractNum w:abstractNumId="19">
    <w:nsid w:val="3F5D00F7"/>
    <w:multiLevelType w:val="multilevel"/>
    <w:tmpl w:val="7BD89AD8"/>
    <w:lvl w:ilvl="0">
      <w:start w:val="14"/>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2131A8D"/>
    <w:multiLevelType w:val="multilevel"/>
    <w:tmpl w:val="B7B2A6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4BAD64C8"/>
    <w:multiLevelType w:val="hybridMultilevel"/>
    <w:tmpl w:val="1AD8275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BBA5063"/>
    <w:multiLevelType w:val="multilevel"/>
    <w:tmpl w:val="7C4C14FC"/>
    <w:lvl w:ilvl="0">
      <w:start w:val="1"/>
      <w:numFmt w:val="decimal"/>
      <w:lvlText w:val="%1."/>
      <w:lvlJc w:val="left"/>
      <w:pPr>
        <w:ind w:left="927"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4BC63EB6"/>
    <w:multiLevelType w:val="hybridMultilevel"/>
    <w:tmpl w:val="A990AC2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8E757F8"/>
    <w:multiLevelType w:val="hybridMultilevel"/>
    <w:tmpl w:val="A8AC7BA8"/>
    <w:lvl w:ilvl="0" w:tplc="16B2F55C">
      <w:start w:val="1"/>
      <w:numFmt w:val="decimal"/>
      <w:lvlText w:val="%1."/>
      <w:lvlJc w:val="left"/>
      <w:pPr>
        <w:ind w:left="1080" w:hanging="360"/>
      </w:pPr>
      <w:rPr>
        <w:rFonts w:hint="default"/>
      </w:rPr>
    </w:lvl>
    <w:lvl w:ilvl="1" w:tplc="7E1EE960" w:tentative="1">
      <w:start w:val="1"/>
      <w:numFmt w:val="lowerLetter"/>
      <w:lvlText w:val="%2."/>
      <w:lvlJc w:val="left"/>
      <w:pPr>
        <w:ind w:left="1800" w:hanging="360"/>
      </w:pPr>
    </w:lvl>
    <w:lvl w:ilvl="2" w:tplc="B34E42B8" w:tentative="1">
      <w:start w:val="1"/>
      <w:numFmt w:val="lowerRoman"/>
      <w:lvlText w:val="%3."/>
      <w:lvlJc w:val="right"/>
      <w:pPr>
        <w:ind w:left="2520" w:hanging="180"/>
      </w:pPr>
    </w:lvl>
    <w:lvl w:ilvl="3" w:tplc="DBAAB8FA" w:tentative="1">
      <w:start w:val="1"/>
      <w:numFmt w:val="decimal"/>
      <w:lvlText w:val="%4."/>
      <w:lvlJc w:val="left"/>
      <w:pPr>
        <w:ind w:left="3240" w:hanging="360"/>
      </w:pPr>
    </w:lvl>
    <w:lvl w:ilvl="4" w:tplc="CD26BD62" w:tentative="1">
      <w:start w:val="1"/>
      <w:numFmt w:val="lowerLetter"/>
      <w:lvlText w:val="%5."/>
      <w:lvlJc w:val="left"/>
      <w:pPr>
        <w:ind w:left="3960" w:hanging="360"/>
      </w:pPr>
    </w:lvl>
    <w:lvl w:ilvl="5" w:tplc="FE606E5E" w:tentative="1">
      <w:start w:val="1"/>
      <w:numFmt w:val="lowerRoman"/>
      <w:lvlText w:val="%6."/>
      <w:lvlJc w:val="right"/>
      <w:pPr>
        <w:ind w:left="4680" w:hanging="180"/>
      </w:pPr>
    </w:lvl>
    <w:lvl w:ilvl="6" w:tplc="696252D2" w:tentative="1">
      <w:start w:val="1"/>
      <w:numFmt w:val="decimal"/>
      <w:lvlText w:val="%7."/>
      <w:lvlJc w:val="left"/>
      <w:pPr>
        <w:ind w:left="5400" w:hanging="360"/>
      </w:pPr>
    </w:lvl>
    <w:lvl w:ilvl="7" w:tplc="9D369000" w:tentative="1">
      <w:start w:val="1"/>
      <w:numFmt w:val="lowerLetter"/>
      <w:lvlText w:val="%8."/>
      <w:lvlJc w:val="left"/>
      <w:pPr>
        <w:ind w:left="6120" w:hanging="360"/>
      </w:pPr>
    </w:lvl>
    <w:lvl w:ilvl="8" w:tplc="F5F8D23E" w:tentative="1">
      <w:start w:val="1"/>
      <w:numFmt w:val="lowerRoman"/>
      <w:lvlText w:val="%9."/>
      <w:lvlJc w:val="right"/>
      <w:pPr>
        <w:ind w:left="6840" w:hanging="180"/>
      </w:pPr>
    </w:lvl>
  </w:abstractNum>
  <w:abstractNum w:abstractNumId="25">
    <w:nsid w:val="59380320"/>
    <w:multiLevelType w:val="hybridMultilevel"/>
    <w:tmpl w:val="25904B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61567200"/>
    <w:multiLevelType w:val="hybridMultilevel"/>
    <w:tmpl w:val="1396B5B8"/>
    <w:lvl w:ilvl="0" w:tplc="020E45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nsid w:val="62023BB4"/>
    <w:multiLevelType w:val="multilevel"/>
    <w:tmpl w:val="4EC4184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39D3F1E"/>
    <w:multiLevelType w:val="hybridMultilevel"/>
    <w:tmpl w:val="B8648CC2"/>
    <w:lvl w:ilvl="0" w:tplc="DBB0696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nsid w:val="667B5ACE"/>
    <w:multiLevelType w:val="hybridMultilevel"/>
    <w:tmpl w:val="8878DF04"/>
    <w:lvl w:ilvl="0" w:tplc="86D40F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701A4E"/>
    <w:multiLevelType w:val="hybridMultilevel"/>
    <w:tmpl w:val="B65C7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29B6B42"/>
    <w:multiLevelType w:val="multilevel"/>
    <w:tmpl w:val="53DA4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2EE6947"/>
    <w:multiLevelType w:val="multilevel"/>
    <w:tmpl w:val="3F92522C"/>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nsid w:val="74716CAF"/>
    <w:multiLevelType w:val="hybridMultilevel"/>
    <w:tmpl w:val="5E904C92"/>
    <w:lvl w:ilvl="0" w:tplc="D4A2FF0A">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64A42CD"/>
    <w:multiLevelType w:val="multilevel"/>
    <w:tmpl w:val="3F24B390"/>
    <w:lvl w:ilvl="0">
      <w:start w:val="1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5">
    <w:nsid w:val="785B0124"/>
    <w:multiLevelType w:val="multilevel"/>
    <w:tmpl w:val="F44230B0"/>
    <w:lvl w:ilvl="0">
      <w:start w:val="3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8632E00"/>
    <w:multiLevelType w:val="hybridMultilevel"/>
    <w:tmpl w:val="F9C4559A"/>
    <w:lvl w:ilvl="0" w:tplc="D87CC95A">
      <w:start w:val="1"/>
      <w:numFmt w:val="decimal"/>
      <w:lvlText w:val="%1)"/>
      <w:lvlJc w:val="left"/>
      <w:pPr>
        <w:ind w:left="1365" w:hanging="375"/>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7">
    <w:nsid w:val="78E660DC"/>
    <w:multiLevelType w:val="multilevel"/>
    <w:tmpl w:val="5AEEB97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37"/>
  </w:num>
  <w:num w:numId="2">
    <w:abstractNumId w:val="14"/>
  </w:num>
  <w:num w:numId="3">
    <w:abstractNumId w:val="32"/>
  </w:num>
  <w:num w:numId="4">
    <w:abstractNumId w:val="29"/>
  </w:num>
  <w:num w:numId="5">
    <w:abstractNumId w:val="34"/>
  </w:num>
  <w:num w:numId="6">
    <w:abstractNumId w:val="1"/>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27"/>
  </w:num>
  <w:num w:numId="12">
    <w:abstractNumId w:val="10"/>
  </w:num>
  <w:num w:numId="13">
    <w:abstractNumId w:val="35"/>
  </w:num>
  <w:num w:numId="14">
    <w:abstractNumId w:val="13"/>
  </w:num>
  <w:num w:numId="15">
    <w:abstractNumId w:val="20"/>
  </w:num>
  <w:num w:numId="16">
    <w:abstractNumId w:val="12"/>
  </w:num>
  <w:num w:numId="17">
    <w:abstractNumId w:val="36"/>
  </w:num>
  <w:num w:numId="18">
    <w:abstractNumId w:val="17"/>
  </w:num>
  <w:num w:numId="19">
    <w:abstractNumId w:val="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1"/>
  </w:num>
  <w:num w:numId="23">
    <w:abstractNumId w:val="3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2"/>
  </w:num>
  <w:num w:numId="28">
    <w:abstractNumId w:val="21"/>
  </w:num>
  <w:num w:numId="29">
    <w:abstractNumId w:val="16"/>
  </w:num>
  <w:num w:numId="30">
    <w:abstractNumId w:val="23"/>
  </w:num>
  <w:num w:numId="31">
    <w:abstractNumId w:val="30"/>
  </w:num>
  <w:num w:numId="32">
    <w:abstractNumId w:val="0"/>
  </w:num>
  <w:num w:numId="33">
    <w:abstractNumId w:val="25"/>
  </w:num>
  <w:num w:numId="34">
    <w:abstractNumId w:val="6"/>
  </w:num>
  <w:num w:numId="35">
    <w:abstractNumId w:val="8"/>
  </w:num>
  <w:num w:numId="36">
    <w:abstractNumId w:val="11"/>
  </w:num>
  <w:num w:numId="37">
    <w:abstractNumId w:val="22"/>
  </w:num>
  <w:num w:numId="38">
    <w:abstractNumId w:val="9"/>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rsids>
    <w:rsidRoot w:val="00586EC0"/>
    <w:rsid w:val="00000F11"/>
    <w:rsid w:val="0000224B"/>
    <w:rsid w:val="000025BD"/>
    <w:rsid w:val="0000357D"/>
    <w:rsid w:val="00003735"/>
    <w:rsid w:val="000049CC"/>
    <w:rsid w:val="00004D39"/>
    <w:rsid w:val="00005650"/>
    <w:rsid w:val="000063F9"/>
    <w:rsid w:val="0000640E"/>
    <w:rsid w:val="00011003"/>
    <w:rsid w:val="00011054"/>
    <w:rsid w:val="00011A9A"/>
    <w:rsid w:val="00012E5A"/>
    <w:rsid w:val="000133AB"/>
    <w:rsid w:val="00013B1E"/>
    <w:rsid w:val="00013E76"/>
    <w:rsid w:val="000149DA"/>
    <w:rsid w:val="00014DEC"/>
    <w:rsid w:val="00014E86"/>
    <w:rsid w:val="00016040"/>
    <w:rsid w:val="000173F1"/>
    <w:rsid w:val="00017437"/>
    <w:rsid w:val="00017A0E"/>
    <w:rsid w:val="00017B77"/>
    <w:rsid w:val="00017C8F"/>
    <w:rsid w:val="00017F73"/>
    <w:rsid w:val="000200D2"/>
    <w:rsid w:val="0002120C"/>
    <w:rsid w:val="00021D21"/>
    <w:rsid w:val="0002218D"/>
    <w:rsid w:val="000239F8"/>
    <w:rsid w:val="00024414"/>
    <w:rsid w:val="00027939"/>
    <w:rsid w:val="00027FD4"/>
    <w:rsid w:val="00030DBF"/>
    <w:rsid w:val="00031FED"/>
    <w:rsid w:val="00037051"/>
    <w:rsid w:val="000412B9"/>
    <w:rsid w:val="000418CA"/>
    <w:rsid w:val="00041A77"/>
    <w:rsid w:val="000422CA"/>
    <w:rsid w:val="000438AA"/>
    <w:rsid w:val="000441EF"/>
    <w:rsid w:val="00044ECB"/>
    <w:rsid w:val="00045CF5"/>
    <w:rsid w:val="00047B09"/>
    <w:rsid w:val="00047E8D"/>
    <w:rsid w:val="00050079"/>
    <w:rsid w:val="00050A72"/>
    <w:rsid w:val="00050D78"/>
    <w:rsid w:val="00050EDE"/>
    <w:rsid w:val="00054A75"/>
    <w:rsid w:val="0005518A"/>
    <w:rsid w:val="000570C9"/>
    <w:rsid w:val="000570E3"/>
    <w:rsid w:val="000576B2"/>
    <w:rsid w:val="00060557"/>
    <w:rsid w:val="000607AC"/>
    <w:rsid w:val="00061586"/>
    <w:rsid w:val="00062A62"/>
    <w:rsid w:val="00062C18"/>
    <w:rsid w:val="00063619"/>
    <w:rsid w:val="00063C40"/>
    <w:rsid w:val="000732D3"/>
    <w:rsid w:val="000752C2"/>
    <w:rsid w:val="000811BD"/>
    <w:rsid w:val="00081E5B"/>
    <w:rsid w:val="00081F6B"/>
    <w:rsid w:val="00082A83"/>
    <w:rsid w:val="00082ED4"/>
    <w:rsid w:val="00082FAC"/>
    <w:rsid w:val="000856DA"/>
    <w:rsid w:val="00086A56"/>
    <w:rsid w:val="000923E1"/>
    <w:rsid w:val="000939ED"/>
    <w:rsid w:val="0009436C"/>
    <w:rsid w:val="00097E7C"/>
    <w:rsid w:val="000A0F3C"/>
    <w:rsid w:val="000A3328"/>
    <w:rsid w:val="000A3DBE"/>
    <w:rsid w:val="000A7E6D"/>
    <w:rsid w:val="000B3212"/>
    <w:rsid w:val="000B35AD"/>
    <w:rsid w:val="000B3700"/>
    <w:rsid w:val="000B5FDD"/>
    <w:rsid w:val="000B6D2A"/>
    <w:rsid w:val="000B7084"/>
    <w:rsid w:val="000C0099"/>
    <w:rsid w:val="000C1828"/>
    <w:rsid w:val="000C2A57"/>
    <w:rsid w:val="000C356F"/>
    <w:rsid w:val="000C5096"/>
    <w:rsid w:val="000C516F"/>
    <w:rsid w:val="000C54A1"/>
    <w:rsid w:val="000C59F2"/>
    <w:rsid w:val="000C65D6"/>
    <w:rsid w:val="000D2193"/>
    <w:rsid w:val="000D2FB8"/>
    <w:rsid w:val="000D3144"/>
    <w:rsid w:val="000D6087"/>
    <w:rsid w:val="000D6828"/>
    <w:rsid w:val="000D7D43"/>
    <w:rsid w:val="000D7F11"/>
    <w:rsid w:val="000E0925"/>
    <w:rsid w:val="000E0A63"/>
    <w:rsid w:val="000E0AB5"/>
    <w:rsid w:val="000E1477"/>
    <w:rsid w:val="000E2378"/>
    <w:rsid w:val="000E29B8"/>
    <w:rsid w:val="000E2DD4"/>
    <w:rsid w:val="000E30E8"/>
    <w:rsid w:val="000E328D"/>
    <w:rsid w:val="000E47E1"/>
    <w:rsid w:val="000E4F89"/>
    <w:rsid w:val="000E62D6"/>
    <w:rsid w:val="000E6912"/>
    <w:rsid w:val="000F2F4C"/>
    <w:rsid w:val="000F5359"/>
    <w:rsid w:val="000F55FD"/>
    <w:rsid w:val="000F5F21"/>
    <w:rsid w:val="000F6D01"/>
    <w:rsid w:val="000F7844"/>
    <w:rsid w:val="000F7C32"/>
    <w:rsid w:val="000F7ED1"/>
    <w:rsid w:val="00101083"/>
    <w:rsid w:val="00101397"/>
    <w:rsid w:val="001019E5"/>
    <w:rsid w:val="001063CE"/>
    <w:rsid w:val="0010796F"/>
    <w:rsid w:val="00107E84"/>
    <w:rsid w:val="0011012A"/>
    <w:rsid w:val="00111BB0"/>
    <w:rsid w:val="001121A7"/>
    <w:rsid w:val="00112C95"/>
    <w:rsid w:val="00113BB9"/>
    <w:rsid w:val="00113F06"/>
    <w:rsid w:val="00116A3F"/>
    <w:rsid w:val="00120EC9"/>
    <w:rsid w:val="00121F88"/>
    <w:rsid w:val="001228A8"/>
    <w:rsid w:val="00123CCC"/>
    <w:rsid w:val="00124423"/>
    <w:rsid w:val="00125AE7"/>
    <w:rsid w:val="001261D2"/>
    <w:rsid w:val="001263CD"/>
    <w:rsid w:val="001265ED"/>
    <w:rsid w:val="00127840"/>
    <w:rsid w:val="001301B8"/>
    <w:rsid w:val="00131204"/>
    <w:rsid w:val="00131E9A"/>
    <w:rsid w:val="00132ABB"/>
    <w:rsid w:val="00132AC7"/>
    <w:rsid w:val="00133EC5"/>
    <w:rsid w:val="00135140"/>
    <w:rsid w:val="001351A5"/>
    <w:rsid w:val="00135CEF"/>
    <w:rsid w:val="00136AA8"/>
    <w:rsid w:val="00142200"/>
    <w:rsid w:val="0014229B"/>
    <w:rsid w:val="0014299D"/>
    <w:rsid w:val="00145908"/>
    <w:rsid w:val="00146434"/>
    <w:rsid w:val="001503EF"/>
    <w:rsid w:val="0015331E"/>
    <w:rsid w:val="00153409"/>
    <w:rsid w:val="00153D42"/>
    <w:rsid w:val="00154772"/>
    <w:rsid w:val="0015681B"/>
    <w:rsid w:val="00157576"/>
    <w:rsid w:val="00160AF9"/>
    <w:rsid w:val="0016126A"/>
    <w:rsid w:val="00161BA9"/>
    <w:rsid w:val="0016221F"/>
    <w:rsid w:val="00162957"/>
    <w:rsid w:val="001642F7"/>
    <w:rsid w:val="00164C8F"/>
    <w:rsid w:val="0016579B"/>
    <w:rsid w:val="00165E44"/>
    <w:rsid w:val="00166219"/>
    <w:rsid w:val="00166D8E"/>
    <w:rsid w:val="00167341"/>
    <w:rsid w:val="0017079D"/>
    <w:rsid w:val="00170D4C"/>
    <w:rsid w:val="00171086"/>
    <w:rsid w:val="001714D1"/>
    <w:rsid w:val="00171762"/>
    <w:rsid w:val="001717D2"/>
    <w:rsid w:val="00174389"/>
    <w:rsid w:val="00174B1D"/>
    <w:rsid w:val="00174DF1"/>
    <w:rsid w:val="00175715"/>
    <w:rsid w:val="00175C7E"/>
    <w:rsid w:val="001763E7"/>
    <w:rsid w:val="001816B9"/>
    <w:rsid w:val="00182333"/>
    <w:rsid w:val="00184FC6"/>
    <w:rsid w:val="00185D03"/>
    <w:rsid w:val="0018626E"/>
    <w:rsid w:val="001863C6"/>
    <w:rsid w:val="001865E2"/>
    <w:rsid w:val="00190FB2"/>
    <w:rsid w:val="001914D6"/>
    <w:rsid w:val="00192178"/>
    <w:rsid w:val="001942EC"/>
    <w:rsid w:val="001946F7"/>
    <w:rsid w:val="001965A0"/>
    <w:rsid w:val="0019696A"/>
    <w:rsid w:val="001A13CF"/>
    <w:rsid w:val="001A361E"/>
    <w:rsid w:val="001A3F96"/>
    <w:rsid w:val="001A5922"/>
    <w:rsid w:val="001A6163"/>
    <w:rsid w:val="001A68BE"/>
    <w:rsid w:val="001A6CA3"/>
    <w:rsid w:val="001A755F"/>
    <w:rsid w:val="001A7AF1"/>
    <w:rsid w:val="001B148B"/>
    <w:rsid w:val="001B1F06"/>
    <w:rsid w:val="001B26F0"/>
    <w:rsid w:val="001B2AE5"/>
    <w:rsid w:val="001B3E39"/>
    <w:rsid w:val="001B5E72"/>
    <w:rsid w:val="001B68BB"/>
    <w:rsid w:val="001B68F9"/>
    <w:rsid w:val="001B6A9E"/>
    <w:rsid w:val="001C21BF"/>
    <w:rsid w:val="001C3800"/>
    <w:rsid w:val="001C4982"/>
    <w:rsid w:val="001C4A11"/>
    <w:rsid w:val="001C6164"/>
    <w:rsid w:val="001C6B26"/>
    <w:rsid w:val="001D01AA"/>
    <w:rsid w:val="001D0987"/>
    <w:rsid w:val="001D35A8"/>
    <w:rsid w:val="001D4EAC"/>
    <w:rsid w:val="001D67DD"/>
    <w:rsid w:val="001D75DA"/>
    <w:rsid w:val="001D77C5"/>
    <w:rsid w:val="001E00F0"/>
    <w:rsid w:val="001E11CE"/>
    <w:rsid w:val="001E1EB1"/>
    <w:rsid w:val="001E771B"/>
    <w:rsid w:val="001F0382"/>
    <w:rsid w:val="001F1C2C"/>
    <w:rsid w:val="001F264F"/>
    <w:rsid w:val="001F39C1"/>
    <w:rsid w:val="001F4675"/>
    <w:rsid w:val="001F4997"/>
    <w:rsid w:val="001F4D31"/>
    <w:rsid w:val="001F5688"/>
    <w:rsid w:val="001F62DB"/>
    <w:rsid w:val="001F6418"/>
    <w:rsid w:val="001F6A08"/>
    <w:rsid w:val="001F75DE"/>
    <w:rsid w:val="00200DA8"/>
    <w:rsid w:val="00201B4B"/>
    <w:rsid w:val="0020372B"/>
    <w:rsid w:val="00203750"/>
    <w:rsid w:val="00203CEC"/>
    <w:rsid w:val="00205F63"/>
    <w:rsid w:val="00206B16"/>
    <w:rsid w:val="00210E2C"/>
    <w:rsid w:val="00212170"/>
    <w:rsid w:val="0021330A"/>
    <w:rsid w:val="00213D2A"/>
    <w:rsid w:val="002149E1"/>
    <w:rsid w:val="002151EA"/>
    <w:rsid w:val="00215F1B"/>
    <w:rsid w:val="00216154"/>
    <w:rsid w:val="00222544"/>
    <w:rsid w:val="00223E3B"/>
    <w:rsid w:val="00225ED7"/>
    <w:rsid w:val="00233D81"/>
    <w:rsid w:val="00234CF3"/>
    <w:rsid w:val="0023517C"/>
    <w:rsid w:val="00235470"/>
    <w:rsid w:val="0023674F"/>
    <w:rsid w:val="00236AD9"/>
    <w:rsid w:val="002371D8"/>
    <w:rsid w:val="002416DE"/>
    <w:rsid w:val="00242721"/>
    <w:rsid w:val="002431F1"/>
    <w:rsid w:val="00243684"/>
    <w:rsid w:val="00245E4D"/>
    <w:rsid w:val="00250010"/>
    <w:rsid w:val="002509B1"/>
    <w:rsid w:val="00251CC9"/>
    <w:rsid w:val="00251EB2"/>
    <w:rsid w:val="00252818"/>
    <w:rsid w:val="00252821"/>
    <w:rsid w:val="0025329C"/>
    <w:rsid w:val="00253868"/>
    <w:rsid w:val="00255F16"/>
    <w:rsid w:val="002572EC"/>
    <w:rsid w:val="002578D7"/>
    <w:rsid w:val="00257C07"/>
    <w:rsid w:val="002605A2"/>
    <w:rsid w:val="0026167F"/>
    <w:rsid w:val="002622F1"/>
    <w:rsid w:val="00262501"/>
    <w:rsid w:val="00263D72"/>
    <w:rsid w:val="0026493D"/>
    <w:rsid w:val="002664DA"/>
    <w:rsid w:val="00267739"/>
    <w:rsid w:val="0027007E"/>
    <w:rsid w:val="00270776"/>
    <w:rsid w:val="00272160"/>
    <w:rsid w:val="00272289"/>
    <w:rsid w:val="0027265D"/>
    <w:rsid w:val="002733B4"/>
    <w:rsid w:val="00276C76"/>
    <w:rsid w:val="002807CC"/>
    <w:rsid w:val="00281990"/>
    <w:rsid w:val="00283F73"/>
    <w:rsid w:val="00284C05"/>
    <w:rsid w:val="00287ECC"/>
    <w:rsid w:val="00290555"/>
    <w:rsid w:val="00290E48"/>
    <w:rsid w:val="00290F05"/>
    <w:rsid w:val="00290FED"/>
    <w:rsid w:val="002916B1"/>
    <w:rsid w:val="0029229A"/>
    <w:rsid w:val="00293500"/>
    <w:rsid w:val="00297853"/>
    <w:rsid w:val="00297D68"/>
    <w:rsid w:val="002A1673"/>
    <w:rsid w:val="002A1ED7"/>
    <w:rsid w:val="002A4D1B"/>
    <w:rsid w:val="002A5412"/>
    <w:rsid w:val="002A5608"/>
    <w:rsid w:val="002A5701"/>
    <w:rsid w:val="002A7D25"/>
    <w:rsid w:val="002A7DBF"/>
    <w:rsid w:val="002B3715"/>
    <w:rsid w:val="002B3D2A"/>
    <w:rsid w:val="002B4645"/>
    <w:rsid w:val="002B46C4"/>
    <w:rsid w:val="002B557A"/>
    <w:rsid w:val="002B58D3"/>
    <w:rsid w:val="002B629A"/>
    <w:rsid w:val="002B674D"/>
    <w:rsid w:val="002C0E8D"/>
    <w:rsid w:val="002C23FA"/>
    <w:rsid w:val="002C2CB1"/>
    <w:rsid w:val="002C32C5"/>
    <w:rsid w:val="002C33B6"/>
    <w:rsid w:val="002C5154"/>
    <w:rsid w:val="002D1FEB"/>
    <w:rsid w:val="002D208B"/>
    <w:rsid w:val="002D2228"/>
    <w:rsid w:val="002D23A6"/>
    <w:rsid w:val="002D3171"/>
    <w:rsid w:val="002D6232"/>
    <w:rsid w:val="002E010E"/>
    <w:rsid w:val="002E098A"/>
    <w:rsid w:val="002E13F4"/>
    <w:rsid w:val="002E140D"/>
    <w:rsid w:val="002E281D"/>
    <w:rsid w:val="002E2FF5"/>
    <w:rsid w:val="002E4708"/>
    <w:rsid w:val="002E4E98"/>
    <w:rsid w:val="002E5180"/>
    <w:rsid w:val="002E51DF"/>
    <w:rsid w:val="002E732B"/>
    <w:rsid w:val="002E7786"/>
    <w:rsid w:val="002F05FC"/>
    <w:rsid w:val="002F1DC7"/>
    <w:rsid w:val="002F2692"/>
    <w:rsid w:val="002F28D6"/>
    <w:rsid w:val="002F3CB5"/>
    <w:rsid w:val="002F4AD7"/>
    <w:rsid w:val="002F6D37"/>
    <w:rsid w:val="003006AA"/>
    <w:rsid w:val="00300A7F"/>
    <w:rsid w:val="003021AC"/>
    <w:rsid w:val="0030369B"/>
    <w:rsid w:val="003043DF"/>
    <w:rsid w:val="00304C72"/>
    <w:rsid w:val="003051AC"/>
    <w:rsid w:val="0030538A"/>
    <w:rsid w:val="00305FCD"/>
    <w:rsid w:val="00306821"/>
    <w:rsid w:val="00306D0F"/>
    <w:rsid w:val="003070C8"/>
    <w:rsid w:val="00307BCA"/>
    <w:rsid w:val="0031048A"/>
    <w:rsid w:val="00310D83"/>
    <w:rsid w:val="00311095"/>
    <w:rsid w:val="00313478"/>
    <w:rsid w:val="00314CAB"/>
    <w:rsid w:val="00316A5B"/>
    <w:rsid w:val="00321477"/>
    <w:rsid w:val="00321ABD"/>
    <w:rsid w:val="003236C1"/>
    <w:rsid w:val="00323FEF"/>
    <w:rsid w:val="003244FE"/>
    <w:rsid w:val="003245EF"/>
    <w:rsid w:val="00325512"/>
    <w:rsid w:val="00326582"/>
    <w:rsid w:val="003276F2"/>
    <w:rsid w:val="00332EC8"/>
    <w:rsid w:val="00332ECB"/>
    <w:rsid w:val="00333B52"/>
    <w:rsid w:val="003344A4"/>
    <w:rsid w:val="0033501A"/>
    <w:rsid w:val="00335885"/>
    <w:rsid w:val="003375BB"/>
    <w:rsid w:val="00337678"/>
    <w:rsid w:val="00337AF1"/>
    <w:rsid w:val="0034075B"/>
    <w:rsid w:val="0034167B"/>
    <w:rsid w:val="00342C5E"/>
    <w:rsid w:val="00344370"/>
    <w:rsid w:val="0034738A"/>
    <w:rsid w:val="00347EBB"/>
    <w:rsid w:val="00347F92"/>
    <w:rsid w:val="00353AE1"/>
    <w:rsid w:val="003562C3"/>
    <w:rsid w:val="0035798F"/>
    <w:rsid w:val="00357C6A"/>
    <w:rsid w:val="00360EFE"/>
    <w:rsid w:val="003611F5"/>
    <w:rsid w:val="003612C3"/>
    <w:rsid w:val="0036215D"/>
    <w:rsid w:val="00362AA8"/>
    <w:rsid w:val="00362D55"/>
    <w:rsid w:val="00365CAF"/>
    <w:rsid w:val="00366425"/>
    <w:rsid w:val="0036723C"/>
    <w:rsid w:val="003703A9"/>
    <w:rsid w:val="0037152C"/>
    <w:rsid w:val="00371838"/>
    <w:rsid w:val="00372678"/>
    <w:rsid w:val="0037284D"/>
    <w:rsid w:val="00374846"/>
    <w:rsid w:val="00374A2B"/>
    <w:rsid w:val="00374D6B"/>
    <w:rsid w:val="00374F02"/>
    <w:rsid w:val="00376B48"/>
    <w:rsid w:val="00377657"/>
    <w:rsid w:val="003808BF"/>
    <w:rsid w:val="003829FD"/>
    <w:rsid w:val="00383E7E"/>
    <w:rsid w:val="00385B0D"/>
    <w:rsid w:val="00386FAF"/>
    <w:rsid w:val="0038704C"/>
    <w:rsid w:val="00387091"/>
    <w:rsid w:val="00387564"/>
    <w:rsid w:val="00391090"/>
    <w:rsid w:val="003910C4"/>
    <w:rsid w:val="00392180"/>
    <w:rsid w:val="0039275B"/>
    <w:rsid w:val="003959B5"/>
    <w:rsid w:val="00396821"/>
    <w:rsid w:val="00396FCD"/>
    <w:rsid w:val="003A2409"/>
    <w:rsid w:val="003A2539"/>
    <w:rsid w:val="003A2567"/>
    <w:rsid w:val="003A3723"/>
    <w:rsid w:val="003A37DE"/>
    <w:rsid w:val="003A4C74"/>
    <w:rsid w:val="003A4F61"/>
    <w:rsid w:val="003A5346"/>
    <w:rsid w:val="003A5FD2"/>
    <w:rsid w:val="003A69D4"/>
    <w:rsid w:val="003A792F"/>
    <w:rsid w:val="003B09FD"/>
    <w:rsid w:val="003B1488"/>
    <w:rsid w:val="003B2919"/>
    <w:rsid w:val="003B2CF0"/>
    <w:rsid w:val="003B2E5E"/>
    <w:rsid w:val="003B3913"/>
    <w:rsid w:val="003B3BF8"/>
    <w:rsid w:val="003B447B"/>
    <w:rsid w:val="003B4908"/>
    <w:rsid w:val="003B500A"/>
    <w:rsid w:val="003B7D80"/>
    <w:rsid w:val="003C04A9"/>
    <w:rsid w:val="003C0B24"/>
    <w:rsid w:val="003C0D04"/>
    <w:rsid w:val="003C0F68"/>
    <w:rsid w:val="003C1131"/>
    <w:rsid w:val="003C15C2"/>
    <w:rsid w:val="003C23DD"/>
    <w:rsid w:val="003C2AC9"/>
    <w:rsid w:val="003C2B95"/>
    <w:rsid w:val="003C34AE"/>
    <w:rsid w:val="003C3610"/>
    <w:rsid w:val="003C40E0"/>
    <w:rsid w:val="003C4C1F"/>
    <w:rsid w:val="003C4C30"/>
    <w:rsid w:val="003C5B61"/>
    <w:rsid w:val="003C5DD8"/>
    <w:rsid w:val="003C6763"/>
    <w:rsid w:val="003D0F81"/>
    <w:rsid w:val="003D449A"/>
    <w:rsid w:val="003D774B"/>
    <w:rsid w:val="003D791F"/>
    <w:rsid w:val="003E191D"/>
    <w:rsid w:val="003E218C"/>
    <w:rsid w:val="003E42BD"/>
    <w:rsid w:val="003E4AD6"/>
    <w:rsid w:val="003E653B"/>
    <w:rsid w:val="003E67B1"/>
    <w:rsid w:val="003E6A4D"/>
    <w:rsid w:val="003E76B4"/>
    <w:rsid w:val="003F206C"/>
    <w:rsid w:val="003F2333"/>
    <w:rsid w:val="003F27E6"/>
    <w:rsid w:val="003F3708"/>
    <w:rsid w:val="003F5F1B"/>
    <w:rsid w:val="003F6806"/>
    <w:rsid w:val="003F69F0"/>
    <w:rsid w:val="003F7218"/>
    <w:rsid w:val="00400D76"/>
    <w:rsid w:val="00401FD8"/>
    <w:rsid w:val="0040359E"/>
    <w:rsid w:val="00403BB3"/>
    <w:rsid w:val="004060CA"/>
    <w:rsid w:val="0040642D"/>
    <w:rsid w:val="0041157A"/>
    <w:rsid w:val="00411EB3"/>
    <w:rsid w:val="00412D75"/>
    <w:rsid w:val="004139EB"/>
    <w:rsid w:val="00413AC0"/>
    <w:rsid w:val="004150F1"/>
    <w:rsid w:val="00416666"/>
    <w:rsid w:val="00416E02"/>
    <w:rsid w:val="004214A6"/>
    <w:rsid w:val="00422243"/>
    <w:rsid w:val="00423100"/>
    <w:rsid w:val="00423B2F"/>
    <w:rsid w:val="00423FE9"/>
    <w:rsid w:val="0042688C"/>
    <w:rsid w:val="00427CF2"/>
    <w:rsid w:val="004311B2"/>
    <w:rsid w:val="00431777"/>
    <w:rsid w:val="0043265D"/>
    <w:rsid w:val="00432C47"/>
    <w:rsid w:val="00432DD2"/>
    <w:rsid w:val="00433251"/>
    <w:rsid w:val="00434D15"/>
    <w:rsid w:val="00440A64"/>
    <w:rsid w:val="00441688"/>
    <w:rsid w:val="004433B8"/>
    <w:rsid w:val="00445C89"/>
    <w:rsid w:val="004462A5"/>
    <w:rsid w:val="00446BAF"/>
    <w:rsid w:val="0044785F"/>
    <w:rsid w:val="0045181C"/>
    <w:rsid w:val="00451FF2"/>
    <w:rsid w:val="00454D3B"/>
    <w:rsid w:val="004573C4"/>
    <w:rsid w:val="00457F5E"/>
    <w:rsid w:val="00460ABF"/>
    <w:rsid w:val="00461CC5"/>
    <w:rsid w:val="00463ECE"/>
    <w:rsid w:val="004655B1"/>
    <w:rsid w:val="00466419"/>
    <w:rsid w:val="0046641B"/>
    <w:rsid w:val="00466DB9"/>
    <w:rsid w:val="00467B0B"/>
    <w:rsid w:val="00467D5C"/>
    <w:rsid w:val="00467DCA"/>
    <w:rsid w:val="00470194"/>
    <w:rsid w:val="00470573"/>
    <w:rsid w:val="00470F73"/>
    <w:rsid w:val="004728E2"/>
    <w:rsid w:val="00473B0B"/>
    <w:rsid w:val="00474081"/>
    <w:rsid w:val="00474731"/>
    <w:rsid w:val="00474E20"/>
    <w:rsid w:val="00476B16"/>
    <w:rsid w:val="00476B30"/>
    <w:rsid w:val="004773D8"/>
    <w:rsid w:val="00477654"/>
    <w:rsid w:val="00480D80"/>
    <w:rsid w:val="00481267"/>
    <w:rsid w:val="0048213E"/>
    <w:rsid w:val="00484522"/>
    <w:rsid w:val="00484D5F"/>
    <w:rsid w:val="00485253"/>
    <w:rsid w:val="0048627B"/>
    <w:rsid w:val="00487053"/>
    <w:rsid w:val="00492D3D"/>
    <w:rsid w:val="00492F29"/>
    <w:rsid w:val="00493E66"/>
    <w:rsid w:val="0049480B"/>
    <w:rsid w:val="00494C34"/>
    <w:rsid w:val="00495229"/>
    <w:rsid w:val="004955F4"/>
    <w:rsid w:val="004963C1"/>
    <w:rsid w:val="00496F8E"/>
    <w:rsid w:val="0049742B"/>
    <w:rsid w:val="004A101C"/>
    <w:rsid w:val="004A6672"/>
    <w:rsid w:val="004A6ABC"/>
    <w:rsid w:val="004A7CB4"/>
    <w:rsid w:val="004B0D5E"/>
    <w:rsid w:val="004B1998"/>
    <w:rsid w:val="004B19B9"/>
    <w:rsid w:val="004B377F"/>
    <w:rsid w:val="004B3C04"/>
    <w:rsid w:val="004B52FB"/>
    <w:rsid w:val="004B689C"/>
    <w:rsid w:val="004B70BB"/>
    <w:rsid w:val="004C02AA"/>
    <w:rsid w:val="004C0B56"/>
    <w:rsid w:val="004C0E36"/>
    <w:rsid w:val="004C2916"/>
    <w:rsid w:val="004C52B0"/>
    <w:rsid w:val="004D072D"/>
    <w:rsid w:val="004D1F2D"/>
    <w:rsid w:val="004D2354"/>
    <w:rsid w:val="004D3FE0"/>
    <w:rsid w:val="004D4278"/>
    <w:rsid w:val="004D4D70"/>
    <w:rsid w:val="004D5038"/>
    <w:rsid w:val="004D5AF1"/>
    <w:rsid w:val="004D5B00"/>
    <w:rsid w:val="004D6305"/>
    <w:rsid w:val="004E21F4"/>
    <w:rsid w:val="004E24B7"/>
    <w:rsid w:val="004E37F6"/>
    <w:rsid w:val="004E42EC"/>
    <w:rsid w:val="004E49FC"/>
    <w:rsid w:val="004E52D5"/>
    <w:rsid w:val="004E67D3"/>
    <w:rsid w:val="004E7776"/>
    <w:rsid w:val="004F2DFF"/>
    <w:rsid w:val="004F3E89"/>
    <w:rsid w:val="004F48B5"/>
    <w:rsid w:val="004F49E5"/>
    <w:rsid w:val="004F5E32"/>
    <w:rsid w:val="004F74E6"/>
    <w:rsid w:val="005040C7"/>
    <w:rsid w:val="00504102"/>
    <w:rsid w:val="00506099"/>
    <w:rsid w:val="00506B9A"/>
    <w:rsid w:val="00510C93"/>
    <w:rsid w:val="00513446"/>
    <w:rsid w:val="00513461"/>
    <w:rsid w:val="00514B92"/>
    <w:rsid w:val="0051539E"/>
    <w:rsid w:val="00515A39"/>
    <w:rsid w:val="0051714F"/>
    <w:rsid w:val="005215DB"/>
    <w:rsid w:val="00521682"/>
    <w:rsid w:val="005238D2"/>
    <w:rsid w:val="0052397A"/>
    <w:rsid w:val="00526149"/>
    <w:rsid w:val="005271A6"/>
    <w:rsid w:val="005301C9"/>
    <w:rsid w:val="005313D4"/>
    <w:rsid w:val="005315B9"/>
    <w:rsid w:val="00532BA5"/>
    <w:rsid w:val="005336BD"/>
    <w:rsid w:val="005352DC"/>
    <w:rsid w:val="00537190"/>
    <w:rsid w:val="00537B01"/>
    <w:rsid w:val="00540409"/>
    <w:rsid w:val="0054067A"/>
    <w:rsid w:val="005409F1"/>
    <w:rsid w:val="00545258"/>
    <w:rsid w:val="00546B99"/>
    <w:rsid w:val="005472FD"/>
    <w:rsid w:val="00550DBE"/>
    <w:rsid w:val="0055226B"/>
    <w:rsid w:val="00552819"/>
    <w:rsid w:val="00552C96"/>
    <w:rsid w:val="00554A23"/>
    <w:rsid w:val="00555A89"/>
    <w:rsid w:val="005579E8"/>
    <w:rsid w:val="00557D93"/>
    <w:rsid w:val="0056142B"/>
    <w:rsid w:val="00563023"/>
    <w:rsid w:val="005636B0"/>
    <w:rsid w:val="00564837"/>
    <w:rsid w:val="005660E9"/>
    <w:rsid w:val="0056690D"/>
    <w:rsid w:val="00566A9B"/>
    <w:rsid w:val="00567789"/>
    <w:rsid w:val="00570A8A"/>
    <w:rsid w:val="00570E8E"/>
    <w:rsid w:val="005721EE"/>
    <w:rsid w:val="005747CC"/>
    <w:rsid w:val="005765EC"/>
    <w:rsid w:val="00576E7E"/>
    <w:rsid w:val="005775D7"/>
    <w:rsid w:val="00577A0D"/>
    <w:rsid w:val="00577AD5"/>
    <w:rsid w:val="0058162A"/>
    <w:rsid w:val="0058366C"/>
    <w:rsid w:val="00584902"/>
    <w:rsid w:val="005856CA"/>
    <w:rsid w:val="00586EC0"/>
    <w:rsid w:val="00590281"/>
    <w:rsid w:val="005919E2"/>
    <w:rsid w:val="005927FF"/>
    <w:rsid w:val="005928CE"/>
    <w:rsid w:val="00593324"/>
    <w:rsid w:val="00593470"/>
    <w:rsid w:val="00593FF5"/>
    <w:rsid w:val="0059488A"/>
    <w:rsid w:val="005948D8"/>
    <w:rsid w:val="00595092"/>
    <w:rsid w:val="00596336"/>
    <w:rsid w:val="005A3D69"/>
    <w:rsid w:val="005A416D"/>
    <w:rsid w:val="005A4E7E"/>
    <w:rsid w:val="005A5808"/>
    <w:rsid w:val="005A63D6"/>
    <w:rsid w:val="005A7629"/>
    <w:rsid w:val="005A77F3"/>
    <w:rsid w:val="005B0387"/>
    <w:rsid w:val="005B1891"/>
    <w:rsid w:val="005B2C4F"/>
    <w:rsid w:val="005B49E7"/>
    <w:rsid w:val="005B5ADB"/>
    <w:rsid w:val="005B5B85"/>
    <w:rsid w:val="005B63FD"/>
    <w:rsid w:val="005B671F"/>
    <w:rsid w:val="005B7561"/>
    <w:rsid w:val="005B7D62"/>
    <w:rsid w:val="005C0F35"/>
    <w:rsid w:val="005C16A2"/>
    <w:rsid w:val="005C1BE5"/>
    <w:rsid w:val="005C1CAD"/>
    <w:rsid w:val="005C2CCE"/>
    <w:rsid w:val="005C44C8"/>
    <w:rsid w:val="005C50B6"/>
    <w:rsid w:val="005C558C"/>
    <w:rsid w:val="005C5798"/>
    <w:rsid w:val="005C6101"/>
    <w:rsid w:val="005D190F"/>
    <w:rsid w:val="005D315B"/>
    <w:rsid w:val="005D3233"/>
    <w:rsid w:val="005D34F1"/>
    <w:rsid w:val="005D3F68"/>
    <w:rsid w:val="005D76A0"/>
    <w:rsid w:val="005E3249"/>
    <w:rsid w:val="005E547E"/>
    <w:rsid w:val="005E573C"/>
    <w:rsid w:val="005E5DBF"/>
    <w:rsid w:val="005E5E3F"/>
    <w:rsid w:val="005E605E"/>
    <w:rsid w:val="005E699C"/>
    <w:rsid w:val="005E7D8F"/>
    <w:rsid w:val="005F0A71"/>
    <w:rsid w:val="005F17CB"/>
    <w:rsid w:val="005F1827"/>
    <w:rsid w:val="005F1B5E"/>
    <w:rsid w:val="005F2CAB"/>
    <w:rsid w:val="005F2D9E"/>
    <w:rsid w:val="005F3FFF"/>
    <w:rsid w:val="005F485A"/>
    <w:rsid w:val="005F69C8"/>
    <w:rsid w:val="005F7107"/>
    <w:rsid w:val="005F7DAB"/>
    <w:rsid w:val="00600DBF"/>
    <w:rsid w:val="0060184A"/>
    <w:rsid w:val="00601DAF"/>
    <w:rsid w:val="00602A98"/>
    <w:rsid w:val="00602E1F"/>
    <w:rsid w:val="00607487"/>
    <w:rsid w:val="00610C1D"/>
    <w:rsid w:val="00610ED2"/>
    <w:rsid w:val="0061205B"/>
    <w:rsid w:val="00612D5C"/>
    <w:rsid w:val="00612F1B"/>
    <w:rsid w:val="006137E8"/>
    <w:rsid w:val="00616ABF"/>
    <w:rsid w:val="00616B86"/>
    <w:rsid w:val="00617DCF"/>
    <w:rsid w:val="006219E7"/>
    <w:rsid w:val="00621A58"/>
    <w:rsid w:val="00621FB4"/>
    <w:rsid w:val="006222A5"/>
    <w:rsid w:val="00623773"/>
    <w:rsid w:val="0062402D"/>
    <w:rsid w:val="00625BB0"/>
    <w:rsid w:val="006272C5"/>
    <w:rsid w:val="00630D18"/>
    <w:rsid w:val="006322CC"/>
    <w:rsid w:val="0063230D"/>
    <w:rsid w:val="00632A37"/>
    <w:rsid w:val="006335E2"/>
    <w:rsid w:val="006336C6"/>
    <w:rsid w:val="00633ABD"/>
    <w:rsid w:val="0063416E"/>
    <w:rsid w:val="006344F1"/>
    <w:rsid w:val="006348DF"/>
    <w:rsid w:val="00641491"/>
    <w:rsid w:val="006415BD"/>
    <w:rsid w:val="006430F3"/>
    <w:rsid w:val="0064354F"/>
    <w:rsid w:val="00643D1E"/>
    <w:rsid w:val="006446FE"/>
    <w:rsid w:val="0064490A"/>
    <w:rsid w:val="00644D20"/>
    <w:rsid w:val="00645286"/>
    <w:rsid w:val="00645965"/>
    <w:rsid w:val="006461BE"/>
    <w:rsid w:val="0064696D"/>
    <w:rsid w:val="0065005E"/>
    <w:rsid w:val="006507F9"/>
    <w:rsid w:val="00652CFF"/>
    <w:rsid w:val="00654A9D"/>
    <w:rsid w:val="00655728"/>
    <w:rsid w:val="00656EA8"/>
    <w:rsid w:val="006570BB"/>
    <w:rsid w:val="00657A87"/>
    <w:rsid w:val="0066082C"/>
    <w:rsid w:val="00660F14"/>
    <w:rsid w:val="0066220B"/>
    <w:rsid w:val="00664A61"/>
    <w:rsid w:val="00665858"/>
    <w:rsid w:val="006716A2"/>
    <w:rsid w:val="006723ED"/>
    <w:rsid w:val="006769DC"/>
    <w:rsid w:val="0067738E"/>
    <w:rsid w:val="006819AE"/>
    <w:rsid w:val="00681DCC"/>
    <w:rsid w:val="006842F0"/>
    <w:rsid w:val="00684629"/>
    <w:rsid w:val="006850B0"/>
    <w:rsid w:val="0068671F"/>
    <w:rsid w:val="00686776"/>
    <w:rsid w:val="006903F1"/>
    <w:rsid w:val="00692858"/>
    <w:rsid w:val="00692A63"/>
    <w:rsid w:val="006935F0"/>
    <w:rsid w:val="00694056"/>
    <w:rsid w:val="00694556"/>
    <w:rsid w:val="00694F5B"/>
    <w:rsid w:val="006A027E"/>
    <w:rsid w:val="006A118C"/>
    <w:rsid w:val="006A29F6"/>
    <w:rsid w:val="006A4116"/>
    <w:rsid w:val="006A4468"/>
    <w:rsid w:val="006A4D77"/>
    <w:rsid w:val="006A5547"/>
    <w:rsid w:val="006A6FF8"/>
    <w:rsid w:val="006B1E5D"/>
    <w:rsid w:val="006B2354"/>
    <w:rsid w:val="006B2805"/>
    <w:rsid w:val="006B2CB2"/>
    <w:rsid w:val="006B2FDA"/>
    <w:rsid w:val="006B3235"/>
    <w:rsid w:val="006B6284"/>
    <w:rsid w:val="006C3B3F"/>
    <w:rsid w:val="006C3BFF"/>
    <w:rsid w:val="006C3C9D"/>
    <w:rsid w:val="006C77FA"/>
    <w:rsid w:val="006D1427"/>
    <w:rsid w:val="006D33F2"/>
    <w:rsid w:val="006D367C"/>
    <w:rsid w:val="006D3F04"/>
    <w:rsid w:val="006D4153"/>
    <w:rsid w:val="006D5322"/>
    <w:rsid w:val="006D5F2E"/>
    <w:rsid w:val="006D6430"/>
    <w:rsid w:val="006D6A88"/>
    <w:rsid w:val="006D768E"/>
    <w:rsid w:val="006E133E"/>
    <w:rsid w:val="006E1C20"/>
    <w:rsid w:val="006E1D45"/>
    <w:rsid w:val="006E2496"/>
    <w:rsid w:val="006E284A"/>
    <w:rsid w:val="006E4D08"/>
    <w:rsid w:val="006E6806"/>
    <w:rsid w:val="006F01C3"/>
    <w:rsid w:val="006F1BC8"/>
    <w:rsid w:val="006F1F67"/>
    <w:rsid w:val="006F249C"/>
    <w:rsid w:val="006F3B58"/>
    <w:rsid w:val="006F5EF4"/>
    <w:rsid w:val="006F6106"/>
    <w:rsid w:val="0070129B"/>
    <w:rsid w:val="00701871"/>
    <w:rsid w:val="007022E3"/>
    <w:rsid w:val="0070516B"/>
    <w:rsid w:val="00710011"/>
    <w:rsid w:val="00711A57"/>
    <w:rsid w:val="0071243E"/>
    <w:rsid w:val="00713B2B"/>
    <w:rsid w:val="0071648E"/>
    <w:rsid w:val="00716939"/>
    <w:rsid w:val="00720DEF"/>
    <w:rsid w:val="00721FB0"/>
    <w:rsid w:val="00723682"/>
    <w:rsid w:val="00724D28"/>
    <w:rsid w:val="00727113"/>
    <w:rsid w:val="00730CE6"/>
    <w:rsid w:val="0073277E"/>
    <w:rsid w:val="00732EEC"/>
    <w:rsid w:val="00734676"/>
    <w:rsid w:val="00735A15"/>
    <w:rsid w:val="00736744"/>
    <w:rsid w:val="007374E1"/>
    <w:rsid w:val="00737772"/>
    <w:rsid w:val="00740491"/>
    <w:rsid w:val="00740E95"/>
    <w:rsid w:val="00742D1F"/>
    <w:rsid w:val="00743C4D"/>
    <w:rsid w:val="00743D8A"/>
    <w:rsid w:val="00743E17"/>
    <w:rsid w:val="007451F1"/>
    <w:rsid w:val="00750FE5"/>
    <w:rsid w:val="00751162"/>
    <w:rsid w:val="007520E7"/>
    <w:rsid w:val="007528FF"/>
    <w:rsid w:val="00753319"/>
    <w:rsid w:val="00753F40"/>
    <w:rsid w:val="00754DA8"/>
    <w:rsid w:val="00756909"/>
    <w:rsid w:val="00756EB6"/>
    <w:rsid w:val="00757C26"/>
    <w:rsid w:val="007603A2"/>
    <w:rsid w:val="00763009"/>
    <w:rsid w:val="00763188"/>
    <w:rsid w:val="00766A4E"/>
    <w:rsid w:val="00766E13"/>
    <w:rsid w:val="00767EF2"/>
    <w:rsid w:val="00770CA1"/>
    <w:rsid w:val="007719D0"/>
    <w:rsid w:val="0077242F"/>
    <w:rsid w:val="0077253E"/>
    <w:rsid w:val="00773209"/>
    <w:rsid w:val="00773F0D"/>
    <w:rsid w:val="007745D4"/>
    <w:rsid w:val="007746D4"/>
    <w:rsid w:val="00774C90"/>
    <w:rsid w:val="007750D4"/>
    <w:rsid w:val="007760A7"/>
    <w:rsid w:val="00777B6E"/>
    <w:rsid w:val="00777C1D"/>
    <w:rsid w:val="00780316"/>
    <w:rsid w:val="00781EFC"/>
    <w:rsid w:val="00782682"/>
    <w:rsid w:val="0078343C"/>
    <w:rsid w:val="00783AD7"/>
    <w:rsid w:val="00784777"/>
    <w:rsid w:val="00787518"/>
    <w:rsid w:val="007925F4"/>
    <w:rsid w:val="00792A51"/>
    <w:rsid w:val="0079327B"/>
    <w:rsid w:val="00793400"/>
    <w:rsid w:val="00793F56"/>
    <w:rsid w:val="0079430C"/>
    <w:rsid w:val="0079594C"/>
    <w:rsid w:val="00796157"/>
    <w:rsid w:val="0079661C"/>
    <w:rsid w:val="00796800"/>
    <w:rsid w:val="00796BB2"/>
    <w:rsid w:val="007A4607"/>
    <w:rsid w:val="007A5137"/>
    <w:rsid w:val="007A5254"/>
    <w:rsid w:val="007A5358"/>
    <w:rsid w:val="007A595B"/>
    <w:rsid w:val="007A7F2A"/>
    <w:rsid w:val="007B16D1"/>
    <w:rsid w:val="007B1FCF"/>
    <w:rsid w:val="007B4203"/>
    <w:rsid w:val="007B4678"/>
    <w:rsid w:val="007B657C"/>
    <w:rsid w:val="007B68D8"/>
    <w:rsid w:val="007B715D"/>
    <w:rsid w:val="007C0278"/>
    <w:rsid w:val="007C0DF4"/>
    <w:rsid w:val="007C1748"/>
    <w:rsid w:val="007C38F9"/>
    <w:rsid w:val="007C50BF"/>
    <w:rsid w:val="007C64A9"/>
    <w:rsid w:val="007C7B6D"/>
    <w:rsid w:val="007C7C3C"/>
    <w:rsid w:val="007D0E69"/>
    <w:rsid w:val="007D1C70"/>
    <w:rsid w:val="007D2F0D"/>
    <w:rsid w:val="007D31D5"/>
    <w:rsid w:val="007D3F37"/>
    <w:rsid w:val="007D5C7C"/>
    <w:rsid w:val="007D5EDB"/>
    <w:rsid w:val="007D60F7"/>
    <w:rsid w:val="007D673B"/>
    <w:rsid w:val="007D7DD8"/>
    <w:rsid w:val="007E0F54"/>
    <w:rsid w:val="007E3239"/>
    <w:rsid w:val="007E3B24"/>
    <w:rsid w:val="007E4031"/>
    <w:rsid w:val="007E4C87"/>
    <w:rsid w:val="007E5346"/>
    <w:rsid w:val="007E5844"/>
    <w:rsid w:val="007E6FD8"/>
    <w:rsid w:val="007F0A99"/>
    <w:rsid w:val="007F0ACC"/>
    <w:rsid w:val="007F0E90"/>
    <w:rsid w:val="007F2F9B"/>
    <w:rsid w:val="007F3131"/>
    <w:rsid w:val="007F3CC9"/>
    <w:rsid w:val="007F5199"/>
    <w:rsid w:val="007F6B38"/>
    <w:rsid w:val="007F6DBF"/>
    <w:rsid w:val="007F6EEC"/>
    <w:rsid w:val="008013FF"/>
    <w:rsid w:val="00803AB9"/>
    <w:rsid w:val="00810942"/>
    <w:rsid w:val="00811FA2"/>
    <w:rsid w:val="0081201A"/>
    <w:rsid w:val="00812102"/>
    <w:rsid w:val="00813394"/>
    <w:rsid w:val="00813F58"/>
    <w:rsid w:val="00815237"/>
    <w:rsid w:val="00815D9D"/>
    <w:rsid w:val="00816D0F"/>
    <w:rsid w:val="00821C30"/>
    <w:rsid w:val="0082262D"/>
    <w:rsid w:val="00826447"/>
    <w:rsid w:val="00827587"/>
    <w:rsid w:val="00830F14"/>
    <w:rsid w:val="00834598"/>
    <w:rsid w:val="00834A52"/>
    <w:rsid w:val="00835F33"/>
    <w:rsid w:val="00836275"/>
    <w:rsid w:val="008403A4"/>
    <w:rsid w:val="008408E0"/>
    <w:rsid w:val="0084272D"/>
    <w:rsid w:val="00844179"/>
    <w:rsid w:val="00845207"/>
    <w:rsid w:val="00850CDB"/>
    <w:rsid w:val="008511D9"/>
    <w:rsid w:val="008534F2"/>
    <w:rsid w:val="00855657"/>
    <w:rsid w:val="00855979"/>
    <w:rsid w:val="00856048"/>
    <w:rsid w:val="008579FC"/>
    <w:rsid w:val="0086076D"/>
    <w:rsid w:val="008611DA"/>
    <w:rsid w:val="00863C6D"/>
    <w:rsid w:val="00864071"/>
    <w:rsid w:val="00867120"/>
    <w:rsid w:val="00871186"/>
    <w:rsid w:val="00871310"/>
    <w:rsid w:val="008713AD"/>
    <w:rsid w:val="008726D7"/>
    <w:rsid w:val="00872B21"/>
    <w:rsid w:val="00874DF7"/>
    <w:rsid w:val="008751A1"/>
    <w:rsid w:val="008803B3"/>
    <w:rsid w:val="00880508"/>
    <w:rsid w:val="008809D7"/>
    <w:rsid w:val="00880E44"/>
    <w:rsid w:val="00884B1F"/>
    <w:rsid w:val="008859CB"/>
    <w:rsid w:val="00885D43"/>
    <w:rsid w:val="00886D52"/>
    <w:rsid w:val="00887362"/>
    <w:rsid w:val="00887DB0"/>
    <w:rsid w:val="00890C3A"/>
    <w:rsid w:val="0089185E"/>
    <w:rsid w:val="008922C8"/>
    <w:rsid w:val="00893CB3"/>
    <w:rsid w:val="008941B9"/>
    <w:rsid w:val="008943BA"/>
    <w:rsid w:val="008948DD"/>
    <w:rsid w:val="008951E8"/>
    <w:rsid w:val="008952F8"/>
    <w:rsid w:val="00895860"/>
    <w:rsid w:val="00895B2E"/>
    <w:rsid w:val="008962D4"/>
    <w:rsid w:val="00896BC0"/>
    <w:rsid w:val="008A017A"/>
    <w:rsid w:val="008A0427"/>
    <w:rsid w:val="008A05F5"/>
    <w:rsid w:val="008A0F4C"/>
    <w:rsid w:val="008A27B0"/>
    <w:rsid w:val="008A3CDB"/>
    <w:rsid w:val="008A5566"/>
    <w:rsid w:val="008A6D1E"/>
    <w:rsid w:val="008A6D47"/>
    <w:rsid w:val="008A7655"/>
    <w:rsid w:val="008B1869"/>
    <w:rsid w:val="008B2FCA"/>
    <w:rsid w:val="008B3DD8"/>
    <w:rsid w:val="008B41F9"/>
    <w:rsid w:val="008B46DF"/>
    <w:rsid w:val="008B4FD4"/>
    <w:rsid w:val="008B523B"/>
    <w:rsid w:val="008B5825"/>
    <w:rsid w:val="008B69EF"/>
    <w:rsid w:val="008B6EF8"/>
    <w:rsid w:val="008C0FCA"/>
    <w:rsid w:val="008C11F1"/>
    <w:rsid w:val="008C18E8"/>
    <w:rsid w:val="008C2BC8"/>
    <w:rsid w:val="008C38BA"/>
    <w:rsid w:val="008C70DB"/>
    <w:rsid w:val="008C781F"/>
    <w:rsid w:val="008C7DB1"/>
    <w:rsid w:val="008D00F9"/>
    <w:rsid w:val="008D02FD"/>
    <w:rsid w:val="008D0FC2"/>
    <w:rsid w:val="008D3BD2"/>
    <w:rsid w:val="008D3D5C"/>
    <w:rsid w:val="008D3F60"/>
    <w:rsid w:val="008D401A"/>
    <w:rsid w:val="008D719D"/>
    <w:rsid w:val="008D7C2B"/>
    <w:rsid w:val="008E1F6D"/>
    <w:rsid w:val="008E38A0"/>
    <w:rsid w:val="008E38C6"/>
    <w:rsid w:val="008E5766"/>
    <w:rsid w:val="008E5921"/>
    <w:rsid w:val="008E64C6"/>
    <w:rsid w:val="008E6967"/>
    <w:rsid w:val="008E6D84"/>
    <w:rsid w:val="008E736F"/>
    <w:rsid w:val="008E7E2B"/>
    <w:rsid w:val="008F09CC"/>
    <w:rsid w:val="008F2B83"/>
    <w:rsid w:val="008F4138"/>
    <w:rsid w:val="009004E0"/>
    <w:rsid w:val="009006A9"/>
    <w:rsid w:val="0090361A"/>
    <w:rsid w:val="00903733"/>
    <w:rsid w:val="00905159"/>
    <w:rsid w:val="00905DBD"/>
    <w:rsid w:val="00907C81"/>
    <w:rsid w:val="00910BE1"/>
    <w:rsid w:val="00910D5F"/>
    <w:rsid w:val="00911275"/>
    <w:rsid w:val="00912807"/>
    <w:rsid w:val="00913C49"/>
    <w:rsid w:val="009146F3"/>
    <w:rsid w:val="00915E11"/>
    <w:rsid w:val="009162BA"/>
    <w:rsid w:val="0092092F"/>
    <w:rsid w:val="00920D3D"/>
    <w:rsid w:val="00921976"/>
    <w:rsid w:val="00921A73"/>
    <w:rsid w:val="009222A0"/>
    <w:rsid w:val="00923A4A"/>
    <w:rsid w:val="00923D7B"/>
    <w:rsid w:val="00924803"/>
    <w:rsid w:val="00924A5D"/>
    <w:rsid w:val="009257A8"/>
    <w:rsid w:val="00926949"/>
    <w:rsid w:val="00927C63"/>
    <w:rsid w:val="00931CA6"/>
    <w:rsid w:val="00931DDC"/>
    <w:rsid w:val="00932AE0"/>
    <w:rsid w:val="009330BD"/>
    <w:rsid w:val="00933C30"/>
    <w:rsid w:val="00934B60"/>
    <w:rsid w:val="00935110"/>
    <w:rsid w:val="009354AC"/>
    <w:rsid w:val="00940DF1"/>
    <w:rsid w:val="00942745"/>
    <w:rsid w:val="0094328C"/>
    <w:rsid w:val="00943B04"/>
    <w:rsid w:val="00943D31"/>
    <w:rsid w:val="009445A8"/>
    <w:rsid w:val="00946323"/>
    <w:rsid w:val="00946AD4"/>
    <w:rsid w:val="00947531"/>
    <w:rsid w:val="00950CE1"/>
    <w:rsid w:val="00953A4C"/>
    <w:rsid w:val="00953D0E"/>
    <w:rsid w:val="00953F83"/>
    <w:rsid w:val="0095485C"/>
    <w:rsid w:val="0095604C"/>
    <w:rsid w:val="00956C1F"/>
    <w:rsid w:val="009571AE"/>
    <w:rsid w:val="00960CE9"/>
    <w:rsid w:val="009610A2"/>
    <w:rsid w:val="00961681"/>
    <w:rsid w:val="00965144"/>
    <w:rsid w:val="009653FA"/>
    <w:rsid w:val="009671B4"/>
    <w:rsid w:val="00967B6E"/>
    <w:rsid w:val="009704F8"/>
    <w:rsid w:val="00970739"/>
    <w:rsid w:val="00970B32"/>
    <w:rsid w:val="00970F47"/>
    <w:rsid w:val="00972A46"/>
    <w:rsid w:val="00975638"/>
    <w:rsid w:val="009769A6"/>
    <w:rsid w:val="00977077"/>
    <w:rsid w:val="00977208"/>
    <w:rsid w:val="009808E9"/>
    <w:rsid w:val="00983D91"/>
    <w:rsid w:val="00986414"/>
    <w:rsid w:val="00987B22"/>
    <w:rsid w:val="00987C17"/>
    <w:rsid w:val="00991BF5"/>
    <w:rsid w:val="00992110"/>
    <w:rsid w:val="009923B8"/>
    <w:rsid w:val="00992B49"/>
    <w:rsid w:val="009932A5"/>
    <w:rsid w:val="00993512"/>
    <w:rsid w:val="00994AB3"/>
    <w:rsid w:val="00995165"/>
    <w:rsid w:val="00995DB6"/>
    <w:rsid w:val="00995E13"/>
    <w:rsid w:val="00996BE0"/>
    <w:rsid w:val="00997D69"/>
    <w:rsid w:val="009A1E86"/>
    <w:rsid w:val="009A237E"/>
    <w:rsid w:val="009A24FE"/>
    <w:rsid w:val="009A45C5"/>
    <w:rsid w:val="009A5A4A"/>
    <w:rsid w:val="009A798E"/>
    <w:rsid w:val="009A7D19"/>
    <w:rsid w:val="009A7F91"/>
    <w:rsid w:val="009B0D68"/>
    <w:rsid w:val="009B0FB8"/>
    <w:rsid w:val="009B1164"/>
    <w:rsid w:val="009B167D"/>
    <w:rsid w:val="009B1D1A"/>
    <w:rsid w:val="009B55A9"/>
    <w:rsid w:val="009C03A9"/>
    <w:rsid w:val="009C0DA6"/>
    <w:rsid w:val="009C0E7B"/>
    <w:rsid w:val="009C42FF"/>
    <w:rsid w:val="009C51C5"/>
    <w:rsid w:val="009C5273"/>
    <w:rsid w:val="009C6E74"/>
    <w:rsid w:val="009D0ADF"/>
    <w:rsid w:val="009D0C1C"/>
    <w:rsid w:val="009D3DEA"/>
    <w:rsid w:val="009D5BA1"/>
    <w:rsid w:val="009D603F"/>
    <w:rsid w:val="009D7D65"/>
    <w:rsid w:val="009E0B99"/>
    <w:rsid w:val="009E14A4"/>
    <w:rsid w:val="009E281A"/>
    <w:rsid w:val="009E2A48"/>
    <w:rsid w:val="009E31E4"/>
    <w:rsid w:val="009E49C5"/>
    <w:rsid w:val="009E5104"/>
    <w:rsid w:val="009E6916"/>
    <w:rsid w:val="009E7EF4"/>
    <w:rsid w:val="009F0134"/>
    <w:rsid w:val="009F0392"/>
    <w:rsid w:val="009F0DE8"/>
    <w:rsid w:val="009F1158"/>
    <w:rsid w:val="009F1640"/>
    <w:rsid w:val="009F5A39"/>
    <w:rsid w:val="009F6613"/>
    <w:rsid w:val="00A01B00"/>
    <w:rsid w:val="00A02D48"/>
    <w:rsid w:val="00A02E29"/>
    <w:rsid w:val="00A03BBF"/>
    <w:rsid w:val="00A04A1F"/>
    <w:rsid w:val="00A061A9"/>
    <w:rsid w:val="00A06549"/>
    <w:rsid w:val="00A0660D"/>
    <w:rsid w:val="00A1141F"/>
    <w:rsid w:val="00A1234E"/>
    <w:rsid w:val="00A14707"/>
    <w:rsid w:val="00A15351"/>
    <w:rsid w:val="00A15A56"/>
    <w:rsid w:val="00A15AC2"/>
    <w:rsid w:val="00A15E01"/>
    <w:rsid w:val="00A20F04"/>
    <w:rsid w:val="00A221DA"/>
    <w:rsid w:val="00A23117"/>
    <w:rsid w:val="00A23160"/>
    <w:rsid w:val="00A234BB"/>
    <w:rsid w:val="00A242DF"/>
    <w:rsid w:val="00A24588"/>
    <w:rsid w:val="00A249B5"/>
    <w:rsid w:val="00A262BA"/>
    <w:rsid w:val="00A30042"/>
    <w:rsid w:val="00A32D11"/>
    <w:rsid w:val="00A34258"/>
    <w:rsid w:val="00A34589"/>
    <w:rsid w:val="00A3537D"/>
    <w:rsid w:val="00A353E4"/>
    <w:rsid w:val="00A3622D"/>
    <w:rsid w:val="00A36BC4"/>
    <w:rsid w:val="00A37A8F"/>
    <w:rsid w:val="00A40695"/>
    <w:rsid w:val="00A4107C"/>
    <w:rsid w:val="00A41113"/>
    <w:rsid w:val="00A4158E"/>
    <w:rsid w:val="00A429C2"/>
    <w:rsid w:val="00A4661C"/>
    <w:rsid w:val="00A476D3"/>
    <w:rsid w:val="00A506CF"/>
    <w:rsid w:val="00A50721"/>
    <w:rsid w:val="00A52450"/>
    <w:rsid w:val="00A52CD6"/>
    <w:rsid w:val="00A53F00"/>
    <w:rsid w:val="00A54202"/>
    <w:rsid w:val="00A56FCB"/>
    <w:rsid w:val="00A60C83"/>
    <w:rsid w:val="00A62D5A"/>
    <w:rsid w:val="00A63877"/>
    <w:rsid w:val="00A65ECD"/>
    <w:rsid w:val="00A66105"/>
    <w:rsid w:val="00A675E5"/>
    <w:rsid w:val="00A67649"/>
    <w:rsid w:val="00A702F5"/>
    <w:rsid w:val="00A70833"/>
    <w:rsid w:val="00A72843"/>
    <w:rsid w:val="00A72EC9"/>
    <w:rsid w:val="00A75227"/>
    <w:rsid w:val="00A75263"/>
    <w:rsid w:val="00A754FF"/>
    <w:rsid w:val="00A765EB"/>
    <w:rsid w:val="00A85816"/>
    <w:rsid w:val="00A8624B"/>
    <w:rsid w:val="00A87B71"/>
    <w:rsid w:val="00A94B38"/>
    <w:rsid w:val="00A96210"/>
    <w:rsid w:val="00A96C1F"/>
    <w:rsid w:val="00A97C6B"/>
    <w:rsid w:val="00A97DF9"/>
    <w:rsid w:val="00AA0303"/>
    <w:rsid w:val="00AA0530"/>
    <w:rsid w:val="00AA15C8"/>
    <w:rsid w:val="00AA3051"/>
    <w:rsid w:val="00AA31EA"/>
    <w:rsid w:val="00AA3904"/>
    <w:rsid w:val="00AA51F5"/>
    <w:rsid w:val="00AA6A6D"/>
    <w:rsid w:val="00AB0283"/>
    <w:rsid w:val="00AB2343"/>
    <w:rsid w:val="00AB2C94"/>
    <w:rsid w:val="00AB3061"/>
    <w:rsid w:val="00AB3986"/>
    <w:rsid w:val="00AB3A2F"/>
    <w:rsid w:val="00AB4862"/>
    <w:rsid w:val="00AB4AE6"/>
    <w:rsid w:val="00AB4E50"/>
    <w:rsid w:val="00AB5478"/>
    <w:rsid w:val="00AB680A"/>
    <w:rsid w:val="00AB6D03"/>
    <w:rsid w:val="00AB7D11"/>
    <w:rsid w:val="00AC0E97"/>
    <w:rsid w:val="00AC2C76"/>
    <w:rsid w:val="00AC2D80"/>
    <w:rsid w:val="00AC4293"/>
    <w:rsid w:val="00AC4664"/>
    <w:rsid w:val="00AC4C49"/>
    <w:rsid w:val="00AC67BC"/>
    <w:rsid w:val="00AC72CB"/>
    <w:rsid w:val="00AC7BF0"/>
    <w:rsid w:val="00AD089B"/>
    <w:rsid w:val="00AD1077"/>
    <w:rsid w:val="00AD54BB"/>
    <w:rsid w:val="00AD55F7"/>
    <w:rsid w:val="00AD5996"/>
    <w:rsid w:val="00AD7BF3"/>
    <w:rsid w:val="00AE301F"/>
    <w:rsid w:val="00AE3591"/>
    <w:rsid w:val="00AE3892"/>
    <w:rsid w:val="00AE38D1"/>
    <w:rsid w:val="00AE3B96"/>
    <w:rsid w:val="00AE5A84"/>
    <w:rsid w:val="00AE5DE7"/>
    <w:rsid w:val="00AE7C22"/>
    <w:rsid w:val="00AF0F20"/>
    <w:rsid w:val="00AF2288"/>
    <w:rsid w:val="00AF2478"/>
    <w:rsid w:val="00AF33DE"/>
    <w:rsid w:val="00AF426F"/>
    <w:rsid w:val="00AF46C7"/>
    <w:rsid w:val="00AF67E9"/>
    <w:rsid w:val="00AF7CE0"/>
    <w:rsid w:val="00B008E2"/>
    <w:rsid w:val="00B03BCD"/>
    <w:rsid w:val="00B03D94"/>
    <w:rsid w:val="00B03DCA"/>
    <w:rsid w:val="00B06155"/>
    <w:rsid w:val="00B06387"/>
    <w:rsid w:val="00B07F5D"/>
    <w:rsid w:val="00B12E63"/>
    <w:rsid w:val="00B13582"/>
    <w:rsid w:val="00B1360F"/>
    <w:rsid w:val="00B14B14"/>
    <w:rsid w:val="00B14E24"/>
    <w:rsid w:val="00B15E25"/>
    <w:rsid w:val="00B162B4"/>
    <w:rsid w:val="00B17793"/>
    <w:rsid w:val="00B21C16"/>
    <w:rsid w:val="00B22D01"/>
    <w:rsid w:val="00B23731"/>
    <w:rsid w:val="00B2798D"/>
    <w:rsid w:val="00B33230"/>
    <w:rsid w:val="00B3449F"/>
    <w:rsid w:val="00B35362"/>
    <w:rsid w:val="00B35971"/>
    <w:rsid w:val="00B36F34"/>
    <w:rsid w:val="00B37B2A"/>
    <w:rsid w:val="00B42F4A"/>
    <w:rsid w:val="00B45978"/>
    <w:rsid w:val="00B46233"/>
    <w:rsid w:val="00B46EDF"/>
    <w:rsid w:val="00B51D77"/>
    <w:rsid w:val="00B520DF"/>
    <w:rsid w:val="00B55191"/>
    <w:rsid w:val="00B570FB"/>
    <w:rsid w:val="00B57D3E"/>
    <w:rsid w:val="00B61B51"/>
    <w:rsid w:val="00B6261C"/>
    <w:rsid w:val="00B6618C"/>
    <w:rsid w:val="00B66844"/>
    <w:rsid w:val="00B66E1F"/>
    <w:rsid w:val="00B6798E"/>
    <w:rsid w:val="00B7099D"/>
    <w:rsid w:val="00B713D2"/>
    <w:rsid w:val="00B73933"/>
    <w:rsid w:val="00B7676F"/>
    <w:rsid w:val="00B76D96"/>
    <w:rsid w:val="00B806AF"/>
    <w:rsid w:val="00B809B0"/>
    <w:rsid w:val="00B810AB"/>
    <w:rsid w:val="00B81CA9"/>
    <w:rsid w:val="00B82301"/>
    <w:rsid w:val="00B829B4"/>
    <w:rsid w:val="00B82B4F"/>
    <w:rsid w:val="00B84099"/>
    <w:rsid w:val="00B84591"/>
    <w:rsid w:val="00B84E24"/>
    <w:rsid w:val="00B8512D"/>
    <w:rsid w:val="00B8645F"/>
    <w:rsid w:val="00B91C39"/>
    <w:rsid w:val="00B925DA"/>
    <w:rsid w:val="00B934CA"/>
    <w:rsid w:val="00B93CDE"/>
    <w:rsid w:val="00B95EC9"/>
    <w:rsid w:val="00B96BC7"/>
    <w:rsid w:val="00B971BB"/>
    <w:rsid w:val="00B9749B"/>
    <w:rsid w:val="00BA1700"/>
    <w:rsid w:val="00BA26CE"/>
    <w:rsid w:val="00BA2E43"/>
    <w:rsid w:val="00BA2FCC"/>
    <w:rsid w:val="00BA41AE"/>
    <w:rsid w:val="00BA4285"/>
    <w:rsid w:val="00BA5824"/>
    <w:rsid w:val="00BA7E44"/>
    <w:rsid w:val="00BB06C2"/>
    <w:rsid w:val="00BB10F1"/>
    <w:rsid w:val="00BB13AD"/>
    <w:rsid w:val="00BB1546"/>
    <w:rsid w:val="00BB31E0"/>
    <w:rsid w:val="00BB3D50"/>
    <w:rsid w:val="00BB42D8"/>
    <w:rsid w:val="00BB46EB"/>
    <w:rsid w:val="00BB4E4B"/>
    <w:rsid w:val="00BB6109"/>
    <w:rsid w:val="00BB6D4E"/>
    <w:rsid w:val="00BC10B3"/>
    <w:rsid w:val="00BC23FD"/>
    <w:rsid w:val="00BC249C"/>
    <w:rsid w:val="00BC2A6E"/>
    <w:rsid w:val="00BC4301"/>
    <w:rsid w:val="00BC468E"/>
    <w:rsid w:val="00BC6BB1"/>
    <w:rsid w:val="00BD0F22"/>
    <w:rsid w:val="00BD22C8"/>
    <w:rsid w:val="00BD6596"/>
    <w:rsid w:val="00BD7380"/>
    <w:rsid w:val="00BD73E0"/>
    <w:rsid w:val="00BE0A98"/>
    <w:rsid w:val="00BE5B81"/>
    <w:rsid w:val="00BE74C6"/>
    <w:rsid w:val="00BE7B9A"/>
    <w:rsid w:val="00BF0430"/>
    <w:rsid w:val="00BF0776"/>
    <w:rsid w:val="00BF08D5"/>
    <w:rsid w:val="00BF0AD9"/>
    <w:rsid w:val="00BF14ED"/>
    <w:rsid w:val="00BF15D5"/>
    <w:rsid w:val="00BF1654"/>
    <w:rsid w:val="00BF1B48"/>
    <w:rsid w:val="00BF34A5"/>
    <w:rsid w:val="00BF3975"/>
    <w:rsid w:val="00BF3BEF"/>
    <w:rsid w:val="00BF3E77"/>
    <w:rsid w:val="00BF5803"/>
    <w:rsid w:val="00BF5ABC"/>
    <w:rsid w:val="00BF7884"/>
    <w:rsid w:val="00BF7A58"/>
    <w:rsid w:val="00C008F1"/>
    <w:rsid w:val="00C013FD"/>
    <w:rsid w:val="00C02519"/>
    <w:rsid w:val="00C02568"/>
    <w:rsid w:val="00C02994"/>
    <w:rsid w:val="00C038FC"/>
    <w:rsid w:val="00C063E5"/>
    <w:rsid w:val="00C06774"/>
    <w:rsid w:val="00C0748C"/>
    <w:rsid w:val="00C07BA6"/>
    <w:rsid w:val="00C07D55"/>
    <w:rsid w:val="00C1071F"/>
    <w:rsid w:val="00C10D13"/>
    <w:rsid w:val="00C11928"/>
    <w:rsid w:val="00C135A8"/>
    <w:rsid w:val="00C153DE"/>
    <w:rsid w:val="00C156C0"/>
    <w:rsid w:val="00C15A37"/>
    <w:rsid w:val="00C15DBA"/>
    <w:rsid w:val="00C17ABD"/>
    <w:rsid w:val="00C17BE7"/>
    <w:rsid w:val="00C20F32"/>
    <w:rsid w:val="00C21188"/>
    <w:rsid w:val="00C21A28"/>
    <w:rsid w:val="00C2471A"/>
    <w:rsid w:val="00C24979"/>
    <w:rsid w:val="00C27CA2"/>
    <w:rsid w:val="00C27F55"/>
    <w:rsid w:val="00C3000C"/>
    <w:rsid w:val="00C30347"/>
    <w:rsid w:val="00C30609"/>
    <w:rsid w:val="00C320B9"/>
    <w:rsid w:val="00C349DE"/>
    <w:rsid w:val="00C359CA"/>
    <w:rsid w:val="00C35D8F"/>
    <w:rsid w:val="00C36AA6"/>
    <w:rsid w:val="00C37EBE"/>
    <w:rsid w:val="00C40F2D"/>
    <w:rsid w:val="00C43EF1"/>
    <w:rsid w:val="00C452FA"/>
    <w:rsid w:val="00C458D7"/>
    <w:rsid w:val="00C470B4"/>
    <w:rsid w:val="00C50A68"/>
    <w:rsid w:val="00C50D7C"/>
    <w:rsid w:val="00C51CBA"/>
    <w:rsid w:val="00C52D43"/>
    <w:rsid w:val="00C52D6C"/>
    <w:rsid w:val="00C54C96"/>
    <w:rsid w:val="00C55B9C"/>
    <w:rsid w:val="00C571BF"/>
    <w:rsid w:val="00C6294F"/>
    <w:rsid w:val="00C63E18"/>
    <w:rsid w:val="00C63FD7"/>
    <w:rsid w:val="00C647A4"/>
    <w:rsid w:val="00C65ABA"/>
    <w:rsid w:val="00C65D70"/>
    <w:rsid w:val="00C677E5"/>
    <w:rsid w:val="00C73F5C"/>
    <w:rsid w:val="00C74218"/>
    <w:rsid w:val="00C74F98"/>
    <w:rsid w:val="00C75009"/>
    <w:rsid w:val="00C7531A"/>
    <w:rsid w:val="00C75B6B"/>
    <w:rsid w:val="00C75C3F"/>
    <w:rsid w:val="00C7719B"/>
    <w:rsid w:val="00C807C6"/>
    <w:rsid w:val="00C814B4"/>
    <w:rsid w:val="00C83FD6"/>
    <w:rsid w:val="00C84114"/>
    <w:rsid w:val="00C8468F"/>
    <w:rsid w:val="00C846C4"/>
    <w:rsid w:val="00C850CC"/>
    <w:rsid w:val="00C85B5A"/>
    <w:rsid w:val="00C85DA9"/>
    <w:rsid w:val="00C87305"/>
    <w:rsid w:val="00C8750D"/>
    <w:rsid w:val="00C909BF"/>
    <w:rsid w:val="00C90CE1"/>
    <w:rsid w:val="00C90F39"/>
    <w:rsid w:val="00C92F66"/>
    <w:rsid w:val="00C9492A"/>
    <w:rsid w:val="00C95AF6"/>
    <w:rsid w:val="00C96094"/>
    <w:rsid w:val="00C968F0"/>
    <w:rsid w:val="00C97A36"/>
    <w:rsid w:val="00CA0176"/>
    <w:rsid w:val="00CA1044"/>
    <w:rsid w:val="00CA11C6"/>
    <w:rsid w:val="00CA14D1"/>
    <w:rsid w:val="00CA21C3"/>
    <w:rsid w:val="00CA32FA"/>
    <w:rsid w:val="00CA3A95"/>
    <w:rsid w:val="00CA401B"/>
    <w:rsid w:val="00CA554E"/>
    <w:rsid w:val="00CA6FC8"/>
    <w:rsid w:val="00CA7C61"/>
    <w:rsid w:val="00CB0A93"/>
    <w:rsid w:val="00CB0D19"/>
    <w:rsid w:val="00CB1575"/>
    <w:rsid w:val="00CB1696"/>
    <w:rsid w:val="00CB1AB4"/>
    <w:rsid w:val="00CB28DF"/>
    <w:rsid w:val="00CB3313"/>
    <w:rsid w:val="00CB34D6"/>
    <w:rsid w:val="00CB60A6"/>
    <w:rsid w:val="00CB763F"/>
    <w:rsid w:val="00CC281C"/>
    <w:rsid w:val="00CC2B7C"/>
    <w:rsid w:val="00CC31E9"/>
    <w:rsid w:val="00CC438C"/>
    <w:rsid w:val="00CC4A41"/>
    <w:rsid w:val="00CC53F4"/>
    <w:rsid w:val="00CC5DFC"/>
    <w:rsid w:val="00CC67BF"/>
    <w:rsid w:val="00CC7DFC"/>
    <w:rsid w:val="00CD1AAA"/>
    <w:rsid w:val="00CD2095"/>
    <w:rsid w:val="00CD52EB"/>
    <w:rsid w:val="00CD67C5"/>
    <w:rsid w:val="00CD7682"/>
    <w:rsid w:val="00CD7A7F"/>
    <w:rsid w:val="00CE079D"/>
    <w:rsid w:val="00CE1775"/>
    <w:rsid w:val="00CE19FC"/>
    <w:rsid w:val="00CE27A8"/>
    <w:rsid w:val="00CE3CDA"/>
    <w:rsid w:val="00CE5268"/>
    <w:rsid w:val="00CE7179"/>
    <w:rsid w:val="00CF0228"/>
    <w:rsid w:val="00CF1F62"/>
    <w:rsid w:val="00CF1FD3"/>
    <w:rsid w:val="00CF2361"/>
    <w:rsid w:val="00CF40A1"/>
    <w:rsid w:val="00CF40B0"/>
    <w:rsid w:val="00CF4723"/>
    <w:rsid w:val="00CF4966"/>
    <w:rsid w:val="00CF55A6"/>
    <w:rsid w:val="00CF58F4"/>
    <w:rsid w:val="00CF5C7A"/>
    <w:rsid w:val="00CF7275"/>
    <w:rsid w:val="00CF7D26"/>
    <w:rsid w:val="00D02746"/>
    <w:rsid w:val="00D040AD"/>
    <w:rsid w:val="00D04741"/>
    <w:rsid w:val="00D04CC7"/>
    <w:rsid w:val="00D04E38"/>
    <w:rsid w:val="00D05440"/>
    <w:rsid w:val="00D05A7A"/>
    <w:rsid w:val="00D05ED9"/>
    <w:rsid w:val="00D0787B"/>
    <w:rsid w:val="00D14E6D"/>
    <w:rsid w:val="00D157EF"/>
    <w:rsid w:val="00D158BF"/>
    <w:rsid w:val="00D1715B"/>
    <w:rsid w:val="00D20A5C"/>
    <w:rsid w:val="00D22350"/>
    <w:rsid w:val="00D22702"/>
    <w:rsid w:val="00D2291C"/>
    <w:rsid w:val="00D22F7E"/>
    <w:rsid w:val="00D23D7A"/>
    <w:rsid w:val="00D25178"/>
    <w:rsid w:val="00D260EC"/>
    <w:rsid w:val="00D2660E"/>
    <w:rsid w:val="00D266F6"/>
    <w:rsid w:val="00D2760C"/>
    <w:rsid w:val="00D3205C"/>
    <w:rsid w:val="00D322F4"/>
    <w:rsid w:val="00D32C8D"/>
    <w:rsid w:val="00D33EC0"/>
    <w:rsid w:val="00D3646D"/>
    <w:rsid w:val="00D3676C"/>
    <w:rsid w:val="00D370B0"/>
    <w:rsid w:val="00D4139B"/>
    <w:rsid w:val="00D42031"/>
    <w:rsid w:val="00D423FC"/>
    <w:rsid w:val="00D42442"/>
    <w:rsid w:val="00D44428"/>
    <w:rsid w:val="00D44894"/>
    <w:rsid w:val="00D454E4"/>
    <w:rsid w:val="00D466B7"/>
    <w:rsid w:val="00D51FDB"/>
    <w:rsid w:val="00D520DA"/>
    <w:rsid w:val="00D52A7D"/>
    <w:rsid w:val="00D52F08"/>
    <w:rsid w:val="00D60670"/>
    <w:rsid w:val="00D61A4B"/>
    <w:rsid w:val="00D62265"/>
    <w:rsid w:val="00D63A4C"/>
    <w:rsid w:val="00D667EE"/>
    <w:rsid w:val="00D70658"/>
    <w:rsid w:val="00D7066D"/>
    <w:rsid w:val="00D70E7B"/>
    <w:rsid w:val="00D717EF"/>
    <w:rsid w:val="00D71FC4"/>
    <w:rsid w:val="00D7261E"/>
    <w:rsid w:val="00D74707"/>
    <w:rsid w:val="00D74F99"/>
    <w:rsid w:val="00D7561A"/>
    <w:rsid w:val="00D75F7E"/>
    <w:rsid w:val="00D77CD1"/>
    <w:rsid w:val="00D77F83"/>
    <w:rsid w:val="00D8074A"/>
    <w:rsid w:val="00D80DEE"/>
    <w:rsid w:val="00D80E26"/>
    <w:rsid w:val="00D8200D"/>
    <w:rsid w:val="00D82619"/>
    <w:rsid w:val="00D83DE2"/>
    <w:rsid w:val="00D84348"/>
    <w:rsid w:val="00D85CDB"/>
    <w:rsid w:val="00D875E9"/>
    <w:rsid w:val="00D90483"/>
    <w:rsid w:val="00D9119E"/>
    <w:rsid w:val="00D93FF0"/>
    <w:rsid w:val="00D94BED"/>
    <w:rsid w:val="00D95DDE"/>
    <w:rsid w:val="00D96EC0"/>
    <w:rsid w:val="00D970FA"/>
    <w:rsid w:val="00D975D9"/>
    <w:rsid w:val="00DA0786"/>
    <w:rsid w:val="00DA079A"/>
    <w:rsid w:val="00DA2238"/>
    <w:rsid w:val="00DA392C"/>
    <w:rsid w:val="00DA3E8C"/>
    <w:rsid w:val="00DA470C"/>
    <w:rsid w:val="00DB04C0"/>
    <w:rsid w:val="00DB1C41"/>
    <w:rsid w:val="00DB235B"/>
    <w:rsid w:val="00DB27A8"/>
    <w:rsid w:val="00DB2EF5"/>
    <w:rsid w:val="00DB312E"/>
    <w:rsid w:val="00DB35EE"/>
    <w:rsid w:val="00DB3FAF"/>
    <w:rsid w:val="00DB41DA"/>
    <w:rsid w:val="00DB4606"/>
    <w:rsid w:val="00DB5EBE"/>
    <w:rsid w:val="00DB6E64"/>
    <w:rsid w:val="00DB7A87"/>
    <w:rsid w:val="00DC164A"/>
    <w:rsid w:val="00DC2855"/>
    <w:rsid w:val="00DC30AF"/>
    <w:rsid w:val="00DC3A06"/>
    <w:rsid w:val="00DC5F26"/>
    <w:rsid w:val="00DD0512"/>
    <w:rsid w:val="00DD0A64"/>
    <w:rsid w:val="00DD0D7E"/>
    <w:rsid w:val="00DD2F22"/>
    <w:rsid w:val="00DD59F8"/>
    <w:rsid w:val="00DD5CFE"/>
    <w:rsid w:val="00DE1E3D"/>
    <w:rsid w:val="00DE1FAE"/>
    <w:rsid w:val="00DE2FEF"/>
    <w:rsid w:val="00DE35A0"/>
    <w:rsid w:val="00DE4A11"/>
    <w:rsid w:val="00DE64B6"/>
    <w:rsid w:val="00DE77BF"/>
    <w:rsid w:val="00DF04AC"/>
    <w:rsid w:val="00DF14A4"/>
    <w:rsid w:val="00DF31D8"/>
    <w:rsid w:val="00DF391A"/>
    <w:rsid w:val="00DF3B3D"/>
    <w:rsid w:val="00DF549E"/>
    <w:rsid w:val="00DF582C"/>
    <w:rsid w:val="00E00232"/>
    <w:rsid w:val="00E00E14"/>
    <w:rsid w:val="00E00FE2"/>
    <w:rsid w:val="00E020A1"/>
    <w:rsid w:val="00E02BB2"/>
    <w:rsid w:val="00E03321"/>
    <w:rsid w:val="00E03D01"/>
    <w:rsid w:val="00E041B5"/>
    <w:rsid w:val="00E04452"/>
    <w:rsid w:val="00E053B9"/>
    <w:rsid w:val="00E06ADC"/>
    <w:rsid w:val="00E07428"/>
    <w:rsid w:val="00E07AA1"/>
    <w:rsid w:val="00E10E6E"/>
    <w:rsid w:val="00E1338F"/>
    <w:rsid w:val="00E13E9C"/>
    <w:rsid w:val="00E20464"/>
    <w:rsid w:val="00E236D2"/>
    <w:rsid w:val="00E24D22"/>
    <w:rsid w:val="00E269DD"/>
    <w:rsid w:val="00E26D7E"/>
    <w:rsid w:val="00E270CE"/>
    <w:rsid w:val="00E30227"/>
    <w:rsid w:val="00E30290"/>
    <w:rsid w:val="00E312CB"/>
    <w:rsid w:val="00E3180C"/>
    <w:rsid w:val="00E32141"/>
    <w:rsid w:val="00E32EEA"/>
    <w:rsid w:val="00E32F02"/>
    <w:rsid w:val="00E334D9"/>
    <w:rsid w:val="00E33978"/>
    <w:rsid w:val="00E33B47"/>
    <w:rsid w:val="00E33C2B"/>
    <w:rsid w:val="00E33D0C"/>
    <w:rsid w:val="00E34B2C"/>
    <w:rsid w:val="00E362BF"/>
    <w:rsid w:val="00E416FD"/>
    <w:rsid w:val="00E41E4B"/>
    <w:rsid w:val="00E44C33"/>
    <w:rsid w:val="00E44FB4"/>
    <w:rsid w:val="00E474C6"/>
    <w:rsid w:val="00E47552"/>
    <w:rsid w:val="00E47C4A"/>
    <w:rsid w:val="00E507BD"/>
    <w:rsid w:val="00E51C3B"/>
    <w:rsid w:val="00E51F2F"/>
    <w:rsid w:val="00E52321"/>
    <w:rsid w:val="00E52BFD"/>
    <w:rsid w:val="00E52C15"/>
    <w:rsid w:val="00E52ED6"/>
    <w:rsid w:val="00E534C2"/>
    <w:rsid w:val="00E544AF"/>
    <w:rsid w:val="00E55B42"/>
    <w:rsid w:val="00E56ABC"/>
    <w:rsid w:val="00E571B7"/>
    <w:rsid w:val="00E604C0"/>
    <w:rsid w:val="00E63D90"/>
    <w:rsid w:val="00E64BB6"/>
    <w:rsid w:val="00E651CC"/>
    <w:rsid w:val="00E66C0C"/>
    <w:rsid w:val="00E71584"/>
    <w:rsid w:val="00E71864"/>
    <w:rsid w:val="00E73456"/>
    <w:rsid w:val="00E73861"/>
    <w:rsid w:val="00E74085"/>
    <w:rsid w:val="00E7560D"/>
    <w:rsid w:val="00E758C4"/>
    <w:rsid w:val="00E769A7"/>
    <w:rsid w:val="00E808A7"/>
    <w:rsid w:val="00E81D87"/>
    <w:rsid w:val="00E81FB6"/>
    <w:rsid w:val="00E82ADB"/>
    <w:rsid w:val="00E83488"/>
    <w:rsid w:val="00E8510E"/>
    <w:rsid w:val="00E85CF4"/>
    <w:rsid w:val="00E90FCC"/>
    <w:rsid w:val="00E9378F"/>
    <w:rsid w:val="00E94E04"/>
    <w:rsid w:val="00E972EB"/>
    <w:rsid w:val="00EA0D2F"/>
    <w:rsid w:val="00EA1716"/>
    <w:rsid w:val="00EA1B40"/>
    <w:rsid w:val="00EA2879"/>
    <w:rsid w:val="00EA2918"/>
    <w:rsid w:val="00EA3E98"/>
    <w:rsid w:val="00EA5DCC"/>
    <w:rsid w:val="00EA5F0B"/>
    <w:rsid w:val="00EA70C7"/>
    <w:rsid w:val="00EA7F1B"/>
    <w:rsid w:val="00EB139D"/>
    <w:rsid w:val="00EB19E5"/>
    <w:rsid w:val="00EB2021"/>
    <w:rsid w:val="00EB3101"/>
    <w:rsid w:val="00EB5563"/>
    <w:rsid w:val="00EB6167"/>
    <w:rsid w:val="00EB63AF"/>
    <w:rsid w:val="00EB6D92"/>
    <w:rsid w:val="00EB7205"/>
    <w:rsid w:val="00EC083A"/>
    <w:rsid w:val="00EC2AA9"/>
    <w:rsid w:val="00EC2B1B"/>
    <w:rsid w:val="00EC460B"/>
    <w:rsid w:val="00EC4FEE"/>
    <w:rsid w:val="00EC5250"/>
    <w:rsid w:val="00ED0DC0"/>
    <w:rsid w:val="00ED2B2C"/>
    <w:rsid w:val="00ED3509"/>
    <w:rsid w:val="00ED384B"/>
    <w:rsid w:val="00ED6ED4"/>
    <w:rsid w:val="00ED7EDC"/>
    <w:rsid w:val="00EE1D5E"/>
    <w:rsid w:val="00EE2AFD"/>
    <w:rsid w:val="00EE2B14"/>
    <w:rsid w:val="00EE5594"/>
    <w:rsid w:val="00EE56A5"/>
    <w:rsid w:val="00EE56CF"/>
    <w:rsid w:val="00EE5A4B"/>
    <w:rsid w:val="00EE7EF3"/>
    <w:rsid w:val="00EF0321"/>
    <w:rsid w:val="00EF17C7"/>
    <w:rsid w:val="00EF2032"/>
    <w:rsid w:val="00EF3B76"/>
    <w:rsid w:val="00EF4A0D"/>
    <w:rsid w:val="00EF59A8"/>
    <w:rsid w:val="00EF675F"/>
    <w:rsid w:val="00EF6BEC"/>
    <w:rsid w:val="00EF719B"/>
    <w:rsid w:val="00EF7BA3"/>
    <w:rsid w:val="00F0275F"/>
    <w:rsid w:val="00F04A4C"/>
    <w:rsid w:val="00F053A0"/>
    <w:rsid w:val="00F06066"/>
    <w:rsid w:val="00F0656F"/>
    <w:rsid w:val="00F0673C"/>
    <w:rsid w:val="00F068C1"/>
    <w:rsid w:val="00F1050B"/>
    <w:rsid w:val="00F10D30"/>
    <w:rsid w:val="00F10FD1"/>
    <w:rsid w:val="00F1122A"/>
    <w:rsid w:val="00F122C3"/>
    <w:rsid w:val="00F12A99"/>
    <w:rsid w:val="00F15A09"/>
    <w:rsid w:val="00F15B0A"/>
    <w:rsid w:val="00F15EEC"/>
    <w:rsid w:val="00F17A67"/>
    <w:rsid w:val="00F21A61"/>
    <w:rsid w:val="00F2298E"/>
    <w:rsid w:val="00F23B31"/>
    <w:rsid w:val="00F24700"/>
    <w:rsid w:val="00F25CF6"/>
    <w:rsid w:val="00F25EA6"/>
    <w:rsid w:val="00F25F95"/>
    <w:rsid w:val="00F3060F"/>
    <w:rsid w:val="00F31C90"/>
    <w:rsid w:val="00F333E4"/>
    <w:rsid w:val="00F34D0D"/>
    <w:rsid w:val="00F34E9A"/>
    <w:rsid w:val="00F35715"/>
    <w:rsid w:val="00F35E4A"/>
    <w:rsid w:val="00F36909"/>
    <w:rsid w:val="00F36BBE"/>
    <w:rsid w:val="00F36D1D"/>
    <w:rsid w:val="00F40181"/>
    <w:rsid w:val="00F42300"/>
    <w:rsid w:val="00F43304"/>
    <w:rsid w:val="00F44C64"/>
    <w:rsid w:val="00F44CD4"/>
    <w:rsid w:val="00F44DBF"/>
    <w:rsid w:val="00F5161E"/>
    <w:rsid w:val="00F5183C"/>
    <w:rsid w:val="00F5237F"/>
    <w:rsid w:val="00F5378B"/>
    <w:rsid w:val="00F53B2E"/>
    <w:rsid w:val="00F53D97"/>
    <w:rsid w:val="00F5736D"/>
    <w:rsid w:val="00F60B3E"/>
    <w:rsid w:val="00F617EB"/>
    <w:rsid w:val="00F662B1"/>
    <w:rsid w:val="00F705D1"/>
    <w:rsid w:val="00F70B46"/>
    <w:rsid w:val="00F70E13"/>
    <w:rsid w:val="00F7190D"/>
    <w:rsid w:val="00F7198F"/>
    <w:rsid w:val="00F73BCB"/>
    <w:rsid w:val="00F73D3A"/>
    <w:rsid w:val="00F74270"/>
    <w:rsid w:val="00F7512B"/>
    <w:rsid w:val="00F75DE1"/>
    <w:rsid w:val="00F760D4"/>
    <w:rsid w:val="00F76171"/>
    <w:rsid w:val="00F76E9C"/>
    <w:rsid w:val="00F8276A"/>
    <w:rsid w:val="00F82E91"/>
    <w:rsid w:val="00F83310"/>
    <w:rsid w:val="00F835F0"/>
    <w:rsid w:val="00F85520"/>
    <w:rsid w:val="00F859EB"/>
    <w:rsid w:val="00F86B74"/>
    <w:rsid w:val="00F90824"/>
    <w:rsid w:val="00F93389"/>
    <w:rsid w:val="00F9498D"/>
    <w:rsid w:val="00F966DF"/>
    <w:rsid w:val="00F97144"/>
    <w:rsid w:val="00FA05FE"/>
    <w:rsid w:val="00FA4AF9"/>
    <w:rsid w:val="00FA61A0"/>
    <w:rsid w:val="00FA627A"/>
    <w:rsid w:val="00FA7C96"/>
    <w:rsid w:val="00FB0306"/>
    <w:rsid w:val="00FB0C3E"/>
    <w:rsid w:val="00FB19D3"/>
    <w:rsid w:val="00FB24BE"/>
    <w:rsid w:val="00FB36D6"/>
    <w:rsid w:val="00FB39B3"/>
    <w:rsid w:val="00FB5551"/>
    <w:rsid w:val="00FB5810"/>
    <w:rsid w:val="00FB7931"/>
    <w:rsid w:val="00FB7985"/>
    <w:rsid w:val="00FC042F"/>
    <w:rsid w:val="00FC2E87"/>
    <w:rsid w:val="00FC3597"/>
    <w:rsid w:val="00FC4E4A"/>
    <w:rsid w:val="00FC569F"/>
    <w:rsid w:val="00FC608A"/>
    <w:rsid w:val="00FC6BFB"/>
    <w:rsid w:val="00FC6F94"/>
    <w:rsid w:val="00FD2906"/>
    <w:rsid w:val="00FD2E16"/>
    <w:rsid w:val="00FD4B15"/>
    <w:rsid w:val="00FD6A22"/>
    <w:rsid w:val="00FE0207"/>
    <w:rsid w:val="00FE0907"/>
    <w:rsid w:val="00FE1BF9"/>
    <w:rsid w:val="00FE303E"/>
    <w:rsid w:val="00FE3226"/>
    <w:rsid w:val="00FE5A07"/>
    <w:rsid w:val="00FF0D8C"/>
    <w:rsid w:val="00FF13A8"/>
    <w:rsid w:val="00FF1C20"/>
    <w:rsid w:val="00FF3168"/>
    <w:rsid w:val="00FF3753"/>
    <w:rsid w:val="00FF375C"/>
    <w:rsid w:val="00FF4A74"/>
    <w:rsid w:val="00FF4ED5"/>
    <w:rsid w:val="00FF5C5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4158E"/>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rsid w:val="00C8468F"/>
    <w:pPr>
      <w:spacing w:before="100" w:beforeAutospacing="1" w:after="100" w:afterAutospacing="1"/>
    </w:pPr>
  </w:style>
  <w:style w:type="paragraph" w:customStyle="1" w:styleId="naisf">
    <w:name w:val="naisf"/>
    <w:basedOn w:val="Parastais"/>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ais"/>
    <w:uiPriority w:val="34"/>
    <w:qFormat/>
    <w:rsid w:val="00736744"/>
    <w:pPr>
      <w:ind w:left="720"/>
      <w:contextualSpacing/>
    </w:pPr>
  </w:style>
  <w:style w:type="paragraph" w:styleId="Komentrateksts">
    <w:name w:val="annotation text"/>
    <w:basedOn w:val="Parastais"/>
    <w:link w:val="KomentratekstsRakstz"/>
    <w:uiPriority w:val="99"/>
    <w:semiHidden/>
    <w:unhideWhenUsed/>
    <w:rsid w:val="00C85DA9"/>
    <w:rPr>
      <w:sz w:val="20"/>
      <w:szCs w:val="20"/>
    </w:rPr>
  </w:style>
  <w:style w:type="character" w:customStyle="1" w:styleId="KomentratekstsRakstz">
    <w:name w:val="Komentāra teksts Rakstz."/>
    <w:basedOn w:val="Noklusjumarindkopasfonts"/>
    <w:link w:val="Komentrateksts"/>
    <w:uiPriority w:val="99"/>
    <w:semiHidden/>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ai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Theme="minorHAnsi"/>
      <w:sz w:val="28"/>
      <w:szCs w:val="28"/>
    </w:rPr>
  </w:style>
  <w:style w:type="character" w:styleId="Vresatsauce">
    <w:name w:val="footnote reference"/>
    <w:semiHidden/>
    <w:rsid w:val="00C06774"/>
    <w:rPr>
      <w:vertAlign w:val="superscript"/>
    </w:rPr>
  </w:style>
  <w:style w:type="paragraph" w:styleId="Vresteksts">
    <w:name w:val="footnote text"/>
    <w:basedOn w:val="Parastai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ais"/>
    <w:rsid w:val="00EB7205"/>
    <w:pPr>
      <w:spacing w:before="100" w:beforeAutospacing="1" w:after="100" w:afterAutospacing="1"/>
    </w:pPr>
  </w:style>
  <w:style w:type="paragraph" w:customStyle="1" w:styleId="tv2132">
    <w:name w:val="tv2132"/>
    <w:basedOn w:val="Parastai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paragraph" w:styleId="Nosaukums">
    <w:name w:val="Title"/>
    <w:basedOn w:val="Parastais"/>
    <w:link w:val="NosaukumsRakstz"/>
    <w:qFormat/>
    <w:rsid w:val="008713AD"/>
    <w:pPr>
      <w:jc w:val="center"/>
    </w:pPr>
    <w:rPr>
      <w:sz w:val="28"/>
      <w:szCs w:val="20"/>
      <w:lang w:eastAsia="en-US"/>
    </w:rPr>
  </w:style>
  <w:style w:type="character" w:customStyle="1" w:styleId="NosaukumsRakstz">
    <w:name w:val="Nosaukums Rakstz."/>
    <w:basedOn w:val="Noklusjumarindkopasfonts"/>
    <w:link w:val="Nosaukums"/>
    <w:rsid w:val="008713AD"/>
    <w:rPr>
      <w:rFonts w:ascii="Times New Roman" w:eastAsia="Times New Roman" w:hAnsi="Times New Roman" w:cs="Times New Roman"/>
      <w:sz w:val="28"/>
      <w:szCs w:val="20"/>
      <w:lang w:val="lv-LV"/>
    </w:rPr>
  </w:style>
  <w:style w:type="character" w:customStyle="1" w:styleId="Bodytext">
    <w:name w:val="Body text_"/>
    <w:basedOn w:val="Noklusjumarindkopasfonts"/>
    <w:link w:val="BodyText1"/>
    <w:rsid w:val="00C55B9C"/>
    <w:rPr>
      <w:rFonts w:ascii="Times New Roman" w:eastAsia="Times New Roman" w:hAnsi="Times New Roman" w:cs="Times New Roman"/>
      <w:shd w:val="clear" w:color="auto" w:fill="FFFFFF"/>
    </w:rPr>
  </w:style>
  <w:style w:type="character" w:customStyle="1" w:styleId="BodytextItalic">
    <w:name w:val="Body text + Italic"/>
    <w:basedOn w:val="Bodytext"/>
    <w:rsid w:val="00C55B9C"/>
    <w:rPr>
      <w:rFonts w:ascii="Times New Roman" w:eastAsia="Times New Roman" w:hAnsi="Times New Roman" w:cs="Times New Roman"/>
      <w:i/>
      <w:iCs/>
      <w:shd w:val="clear" w:color="auto" w:fill="FFFFFF"/>
    </w:rPr>
  </w:style>
  <w:style w:type="paragraph" w:customStyle="1" w:styleId="BodyText1">
    <w:name w:val="Body Text1"/>
    <w:basedOn w:val="Parastais"/>
    <w:link w:val="Bodytext"/>
    <w:rsid w:val="00C55B9C"/>
    <w:pPr>
      <w:shd w:val="clear" w:color="auto" w:fill="FFFFFF"/>
      <w:spacing w:before="360" w:after="360" w:line="0" w:lineRule="atLeast"/>
    </w:pPr>
    <w:rPr>
      <w:sz w:val="22"/>
      <w:szCs w:val="22"/>
      <w:lang w:val="en-US" w:eastAsia="en-US"/>
    </w:rPr>
  </w:style>
  <w:style w:type="character" w:styleId="Izmantotahipersaite">
    <w:name w:val="FollowedHyperlink"/>
    <w:basedOn w:val="Noklusjumarindkopasfonts"/>
    <w:uiPriority w:val="99"/>
    <w:semiHidden/>
    <w:unhideWhenUsed/>
    <w:rsid w:val="006557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62174937">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58319448">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656542347">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65718498">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venta.Putnina@k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6BC2-42A9-46C8-A6E2-52C9F5D64A5F}">
  <ds:schemaRefs>
    <ds:schemaRef ds:uri="http://schemas.microsoft.com/sharepoint/v3/contenttype/forms"/>
  </ds:schemaRefs>
</ds:datastoreItem>
</file>

<file path=customXml/itemProps2.xml><?xml version="1.0" encoding="utf-8"?>
<ds:datastoreItem xmlns:ds="http://schemas.openxmlformats.org/officeDocument/2006/customXml" ds:itemID="{F83E5AF8-04C2-4A3D-B406-D86F027E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AF56B3-1B7F-4205-B31F-EF49B15AD9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6B1237-4D53-4259-8DD0-0C2404DB5963}">
  <ds:schemaRefs>
    <ds:schemaRef ds:uri="http://schemas.openxmlformats.org/officeDocument/2006/bibliography"/>
  </ds:schemaRefs>
</ds:datastoreItem>
</file>

<file path=customXml/itemProps5.xml><?xml version="1.0" encoding="utf-8"?>
<ds:datastoreItem xmlns:ds="http://schemas.openxmlformats.org/officeDocument/2006/customXml" ds:itemID="{1819C313-ECC3-49C4-873A-3BF93575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14770</Words>
  <Characters>8419</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pamatbudžeta apropriācijas pārdali Kultūras ministrijas programmā 21.00.00 „Kultūras mantojums”</vt:lpstr>
      <vt:lpstr>Par pamatbudžeta apropriācijas pārdali Kultūras ministrijas programmā 21.00.00 „Kultūras mantojums”</vt:lpstr>
    </vt:vector>
  </TitlesOfParts>
  <Company>LR Kultūras Ministrija</Company>
  <LinksUpToDate>false</LinksUpToDate>
  <CharactersWithSpaces>23143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pamatbudžeta apropriācijas pārdali Kultūras ministrijas programmā 21.00.00 „Kultūras mantojums”</dc:title>
  <dc:subject>Izziņa par atzinumos sniegtajiem iebildumiem</dc:subject>
  <dc:creator>Vivita Vīksna</dc:creator>
  <cp:keywords>KMIzz_180119_eiropas_kulturas_celi</cp:keywords>
  <dc:description>V.Vīksna
67228505, vivita.viksna@mantojums.lv</dc:description>
  <cp:lastModifiedBy>inesed</cp:lastModifiedBy>
  <cp:revision>4</cp:revision>
  <dcterms:created xsi:type="dcterms:W3CDTF">2019-11-19T14:35:00Z</dcterms:created>
  <dcterms:modified xsi:type="dcterms:W3CDTF">2019-11-20T07:30:00Z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