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5A" w:rsidRPr="00B66252" w:rsidRDefault="000E5FB7" w:rsidP="00E83F5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7CB334E7FFED494F94EA9AA2F16FD1C5"/>
          </w:placeholder>
        </w:sdtPr>
        <w:sdtEndPr/>
        <w:sdtContent>
          <w:r w:rsidR="00E83F5A" w:rsidRPr="00B66252">
            <w:rPr>
              <w:rFonts w:ascii="Times New Roman" w:eastAsia="Times New Roman" w:hAnsi="Times New Roman" w:cs="Times New Roman"/>
              <w:b/>
              <w:bCs/>
              <w:color w:val="414142"/>
              <w:sz w:val="28"/>
              <w:szCs w:val="24"/>
              <w:lang w:eastAsia="lv-LV"/>
            </w:rPr>
            <w:t>Ministru kabineta noteikumu projekta “Grozījum</w:t>
          </w:r>
          <w:r w:rsidR="00E83F5A">
            <w:rPr>
              <w:rFonts w:ascii="Times New Roman" w:eastAsia="Times New Roman" w:hAnsi="Times New Roman" w:cs="Times New Roman"/>
              <w:b/>
              <w:bCs/>
              <w:color w:val="414142"/>
              <w:sz w:val="28"/>
              <w:szCs w:val="24"/>
              <w:lang w:eastAsia="lv-LV"/>
            </w:rPr>
            <w:t>i</w:t>
          </w:r>
          <w:r w:rsidR="00E83F5A" w:rsidRPr="00B66252">
            <w:rPr>
              <w:rFonts w:ascii="Times New Roman" w:eastAsia="Times New Roman" w:hAnsi="Times New Roman" w:cs="Times New Roman"/>
              <w:b/>
              <w:bCs/>
              <w:color w:val="414142"/>
              <w:sz w:val="28"/>
              <w:szCs w:val="24"/>
              <w:lang w:eastAsia="lv-LV"/>
            </w:rPr>
            <w:t xml:space="preserve"> Ministru kabineta 2014. gada 23. decembra noteikumos Nr. 805 "Noteikumi par prognozējamas invaliditātes, invaliditātes un darbspēju zaudējuma noteikšanas kritērijiem, termiņiem un kārtību””</w:t>
          </w:r>
        </w:sdtContent>
      </w:sdt>
      <w:r w:rsidR="00E83F5A" w:rsidRPr="00B66252">
        <w:rPr>
          <w:rFonts w:ascii="Times New Roman" w:eastAsia="Times New Roman" w:hAnsi="Times New Roman" w:cs="Times New Roman"/>
          <w:b/>
          <w:bCs/>
          <w:color w:val="414142"/>
          <w:sz w:val="28"/>
          <w:szCs w:val="24"/>
          <w:lang w:eastAsia="lv-LV"/>
        </w:rPr>
        <w:t xml:space="preserve"> projekta sākotnējās ietekmes novērtējuma ziņojums (anotācija)</w:t>
      </w:r>
    </w:p>
    <w:p w:rsidR="00E83F5A" w:rsidRPr="00B66252" w:rsidRDefault="00E83F5A" w:rsidP="00E83F5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2"/>
        <w:gridCol w:w="6002"/>
      </w:tblGrid>
      <w:tr w:rsidR="00E83F5A" w:rsidTr="0032197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E83F5A" w:rsidRDefault="00E83F5A" w:rsidP="0032197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E83F5A" w:rsidTr="0032197B">
        <w:trPr>
          <w:tblCellSpacing w:w="15" w:type="dxa"/>
        </w:trPr>
        <w:tc>
          <w:tcPr>
            <w:tcW w:w="1670" w:type="pct"/>
            <w:tcBorders>
              <w:top w:val="outset" w:sz="6" w:space="0" w:color="auto"/>
              <w:left w:val="outset" w:sz="6" w:space="0" w:color="auto"/>
              <w:bottom w:val="outset" w:sz="6" w:space="0" w:color="auto"/>
              <w:right w:val="outset" w:sz="6" w:space="0" w:color="auto"/>
            </w:tcBorders>
            <w:hideMark/>
          </w:tcPr>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280" w:type="pct"/>
            <w:tcBorders>
              <w:top w:val="outset" w:sz="6" w:space="0" w:color="auto"/>
              <w:left w:val="outset" w:sz="6" w:space="0" w:color="auto"/>
              <w:bottom w:val="outset" w:sz="6" w:space="0" w:color="auto"/>
              <w:right w:val="outset" w:sz="6" w:space="0" w:color="auto"/>
            </w:tcBorders>
            <w:hideMark/>
          </w:tcPr>
          <w:p w:rsidR="00E83F5A" w:rsidRPr="00815A17"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Noteikumu p</w:t>
            </w:r>
            <w:r w:rsidRPr="004339CD">
              <w:rPr>
                <w:rFonts w:ascii="Times New Roman" w:eastAsia="Calibri" w:hAnsi="Times New Roman" w:cs="Times New Roman"/>
                <w:sz w:val="24"/>
                <w:szCs w:val="24"/>
              </w:rPr>
              <w:t>rojekt</w:t>
            </w:r>
            <w:r>
              <w:rPr>
                <w:rFonts w:ascii="Times New Roman" w:eastAsia="Calibri" w:hAnsi="Times New Roman" w:cs="Times New Roman"/>
                <w:sz w:val="24"/>
                <w:szCs w:val="24"/>
              </w:rPr>
              <w:t>a</w:t>
            </w:r>
            <w:r w:rsidRPr="004339CD">
              <w:rPr>
                <w:rFonts w:ascii="Times New Roman" w:eastAsia="Calibri" w:hAnsi="Times New Roman" w:cs="Times New Roman"/>
                <w:sz w:val="24"/>
                <w:szCs w:val="24"/>
              </w:rPr>
              <w:t xml:space="preserve"> </w:t>
            </w:r>
            <w:r>
              <w:rPr>
                <w:rFonts w:ascii="Times New Roman" w:eastAsia="Calibri" w:hAnsi="Times New Roman" w:cs="Times New Roman"/>
                <w:sz w:val="24"/>
                <w:szCs w:val="24"/>
              </w:rPr>
              <w:t>mērķis ir</w:t>
            </w:r>
            <w:r w:rsidRPr="004339CD">
              <w:rPr>
                <w:rFonts w:ascii="Times New Roman" w:eastAsia="Calibri" w:hAnsi="Times New Roman" w:cs="Times New Roman"/>
                <w:sz w:val="24"/>
                <w:szCs w:val="24"/>
              </w:rPr>
              <w:t xml:space="preserve"> nodrošināt </w:t>
            </w:r>
            <w:r w:rsidRPr="00DF22BA">
              <w:rPr>
                <w:rFonts w:ascii="Times New Roman" w:eastAsia="Calibri" w:hAnsi="Times New Roman" w:cs="Times New Roman"/>
                <w:sz w:val="24"/>
                <w:szCs w:val="24"/>
              </w:rPr>
              <w:t>Veselības un darbspēju ekspertīzes ārstu valsts komisij</w:t>
            </w:r>
            <w:r>
              <w:rPr>
                <w:rFonts w:ascii="Times New Roman" w:eastAsia="Calibri" w:hAnsi="Times New Roman" w:cs="Times New Roman"/>
                <w:sz w:val="24"/>
                <w:szCs w:val="24"/>
              </w:rPr>
              <w:t>ai</w:t>
            </w:r>
            <w:r w:rsidRPr="00DF22BA">
              <w:rPr>
                <w:rFonts w:ascii="Times New Roman" w:eastAsia="Calibri" w:hAnsi="Times New Roman" w:cs="Times New Roman"/>
                <w:sz w:val="24"/>
                <w:szCs w:val="24"/>
              </w:rPr>
              <w:t xml:space="preserve"> </w:t>
            </w:r>
            <w:r w:rsidRPr="00B66252">
              <w:rPr>
                <w:rFonts w:ascii="Times New Roman" w:eastAsia="Times New Roman" w:hAnsi="Times New Roman" w:cs="Times New Roman"/>
                <w:iCs/>
                <w:sz w:val="24"/>
                <w:szCs w:val="24"/>
                <w:lang w:eastAsia="lv-LV"/>
              </w:rPr>
              <w:t xml:space="preserve">(turpmāk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 xml:space="preserve">omisija) </w:t>
            </w:r>
            <w:r w:rsidRPr="004339CD">
              <w:rPr>
                <w:rFonts w:ascii="Times New Roman" w:eastAsia="Calibri" w:hAnsi="Times New Roman" w:cs="Times New Roman"/>
                <w:sz w:val="24"/>
                <w:szCs w:val="24"/>
              </w:rPr>
              <w:t>tiesības noteikt invaliditāti bez atkārtota invaliditātes termiņa (uz mūžu) personām ar invaliditāti, kurām pēc 18 gadu</w:t>
            </w:r>
            <w:r>
              <w:rPr>
                <w:rFonts w:ascii="Times New Roman" w:eastAsia="Calibri" w:hAnsi="Times New Roman" w:cs="Times New Roman"/>
                <w:sz w:val="24"/>
                <w:szCs w:val="24"/>
              </w:rPr>
              <w:t xml:space="preserve"> vecuma</w:t>
            </w:r>
            <w:r w:rsidRPr="004339CD">
              <w:rPr>
                <w:rFonts w:ascii="Times New Roman" w:eastAsia="Calibri" w:hAnsi="Times New Roman" w:cs="Times New Roman"/>
                <w:sz w:val="24"/>
                <w:szCs w:val="24"/>
              </w:rPr>
              <w:t xml:space="preserve"> sasniegšanas ir stabili</w:t>
            </w:r>
            <w:r>
              <w:rPr>
                <w:rFonts w:ascii="Times New Roman" w:eastAsia="Calibri" w:hAnsi="Times New Roman" w:cs="Times New Roman"/>
                <w:sz w:val="24"/>
                <w:szCs w:val="24"/>
              </w:rPr>
              <w:t>,</w:t>
            </w:r>
            <w:r w:rsidRPr="004339CD">
              <w:rPr>
                <w:rFonts w:ascii="Times New Roman" w:eastAsia="Calibri" w:hAnsi="Times New Roman" w:cs="Times New Roman"/>
                <w:sz w:val="24"/>
                <w:szCs w:val="24"/>
              </w:rPr>
              <w:t xml:space="preserve"> neatgriezeniski funkcionēšanas traucējumi un ir pamats uzskatīt, ka invaliditāte </w:t>
            </w:r>
            <w:r>
              <w:rPr>
                <w:rFonts w:ascii="Times New Roman" w:eastAsia="Calibri" w:hAnsi="Times New Roman" w:cs="Times New Roman"/>
                <w:sz w:val="24"/>
                <w:szCs w:val="24"/>
              </w:rPr>
              <w:t xml:space="preserve">turpmāk </w:t>
            </w:r>
            <w:r w:rsidRPr="004339CD">
              <w:rPr>
                <w:rFonts w:ascii="Times New Roman" w:eastAsia="Calibri" w:hAnsi="Times New Roman" w:cs="Times New Roman"/>
                <w:sz w:val="24"/>
                <w:szCs w:val="24"/>
              </w:rPr>
              <w:t xml:space="preserve">būs nepārtraukti noteikta ne mazāk kā piecus gadus, kā arī </w:t>
            </w:r>
            <w:r>
              <w:rPr>
                <w:rFonts w:ascii="Times New Roman" w:eastAsia="Calibri" w:hAnsi="Times New Roman" w:cs="Times New Roman"/>
                <w:sz w:val="24"/>
                <w:szCs w:val="24"/>
              </w:rPr>
              <w:t xml:space="preserve">efektivizēt invaliditātes ekspertīzes procesu. </w:t>
            </w:r>
            <w:r w:rsidRPr="00983BCB">
              <w:rPr>
                <w:rFonts w:ascii="Times New Roman" w:eastAsia="Calibri" w:hAnsi="Times New Roman" w:cs="Times New Roman"/>
                <w:sz w:val="24"/>
                <w:szCs w:val="24"/>
              </w:rPr>
              <w:t>Noteikumu projekts stāsies spēkā vispārējā kārtībā atbilstoši Oficiālo publikāciju un tiesiskās informācijas likumam.</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E83F5A" w:rsidRPr="00B66252" w:rsidTr="003219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val="sv-SE" w:eastAsia="lv-LV"/>
              </w:rPr>
            </w:pPr>
            <w:r w:rsidRPr="00B66252">
              <w:rPr>
                <w:rFonts w:ascii="Times New Roman" w:eastAsia="Times New Roman" w:hAnsi="Times New Roman" w:cs="Times New Roman"/>
                <w:b/>
                <w:bCs/>
                <w:iCs/>
                <w:color w:val="414142"/>
                <w:sz w:val="24"/>
                <w:szCs w:val="24"/>
                <w:lang w:val="sv-SE" w:eastAsia="lv-LV"/>
              </w:rPr>
              <w:t>I. Tiesību akta projekta izstrādes nepieciešamība</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2E57">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5A2E57">
              <w:rPr>
                <w:rFonts w:ascii="Times New Roman" w:eastAsia="Times New Roman" w:hAnsi="Times New Roman" w:cs="Times New Roman"/>
                <w:iCs/>
                <w:sz w:val="24"/>
                <w:szCs w:val="24"/>
                <w:lang w:eastAsia="lv-LV"/>
              </w:rPr>
              <w:t xml:space="preserve"> “Grozījumi Ministru kabineta 2014.gada 23.decembra noteikumos Nr.805 "Noteikumi par prognozējamas invaliditātes, invaliditātes un darbspēju zaudējuma noteikšanas kritērijiem, termiņiem un kārtību” (turpmāk – projekts) </w:t>
            </w:r>
            <w:r>
              <w:rPr>
                <w:rFonts w:ascii="Times New Roman" w:eastAsia="Times New Roman" w:hAnsi="Times New Roman" w:cs="Times New Roman"/>
                <w:iCs/>
                <w:sz w:val="24"/>
                <w:szCs w:val="24"/>
                <w:lang w:eastAsia="lv-LV"/>
              </w:rPr>
              <w:t>izstrādāts pēc Labklājības ministrijas iniciatīvas</w:t>
            </w:r>
            <w:r w:rsidRPr="00B66252">
              <w:rPr>
                <w:rFonts w:ascii="Times New Roman" w:eastAsia="Times New Roman" w:hAnsi="Times New Roman" w:cs="Times New Roman"/>
                <w:iCs/>
                <w:sz w:val="24"/>
                <w:szCs w:val="24"/>
                <w:lang w:eastAsia="lv-LV"/>
              </w:rPr>
              <w:t>.</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E83F5A"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rPr>
                <w:rFonts w:ascii="Times New Roman" w:eastAsia="Times New Roman" w:hAnsi="Times New Roman" w:cs="Times New Roman"/>
                <w:sz w:val="24"/>
                <w:szCs w:val="24"/>
                <w:lang w:eastAsia="lv-LV"/>
              </w:rPr>
            </w:pPr>
          </w:p>
          <w:p w:rsidR="00E83F5A" w:rsidRDefault="00E83F5A" w:rsidP="0032197B">
            <w:pPr>
              <w:rPr>
                <w:rFonts w:ascii="Times New Roman" w:eastAsia="Times New Roman" w:hAnsi="Times New Roman" w:cs="Times New Roman"/>
                <w:sz w:val="24"/>
                <w:szCs w:val="24"/>
                <w:lang w:eastAsia="lv-LV"/>
              </w:rPr>
            </w:pPr>
          </w:p>
          <w:p w:rsidR="00E83F5A" w:rsidRPr="00DF22BA" w:rsidRDefault="00E83F5A" w:rsidP="0032197B">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rsidR="00E83F5A" w:rsidRDefault="00E83F5A" w:rsidP="0032197B">
            <w:pPr>
              <w:spacing w:after="0" w:line="240" w:lineRule="auto"/>
              <w:jc w:val="both"/>
              <w:rPr>
                <w:rFonts w:ascii="Times New Roman" w:eastAsia="Times New Roman" w:hAnsi="Times New Roman" w:cs="Times New Roman"/>
                <w:bCs/>
                <w:iCs/>
                <w:sz w:val="24"/>
                <w:szCs w:val="24"/>
                <w:lang w:eastAsia="lv-LV"/>
              </w:rPr>
            </w:pPr>
            <w:r w:rsidRPr="00B66252">
              <w:rPr>
                <w:rFonts w:ascii="Times New Roman" w:eastAsia="Times New Roman" w:hAnsi="Times New Roman" w:cs="Times New Roman"/>
                <w:iCs/>
                <w:sz w:val="24"/>
                <w:szCs w:val="24"/>
                <w:lang w:eastAsia="lv-LV"/>
              </w:rPr>
              <w:lastRenderedPageBreak/>
              <w:t>Saskaņā ar Invaliditātes likumu invaliditāte ir</w:t>
            </w:r>
            <w:r w:rsidRPr="00B66252">
              <w:t xml:space="preserve"> </w:t>
            </w:r>
            <w:r w:rsidRPr="00B66252">
              <w:rPr>
                <w:rFonts w:ascii="Times New Roman" w:eastAsia="Times New Roman" w:hAnsi="Times New Roman" w:cs="Times New Roman"/>
                <w:iCs/>
                <w:sz w:val="24"/>
                <w:szCs w:val="24"/>
                <w:lang w:eastAsia="lv-LV"/>
              </w:rPr>
              <w:t xml:space="preserve">ilgstošs vai nepārejošs ļoti smagas, smagas vai mērenas pakāpes funkcionēšanas ierobežojums, kas ietekmē personas garīgās vai fiziskās spējas, darbspējas, pašaprūpi un iekļaušanos sabiedrībā. Atbilstoši likumā noteiktajam, </w:t>
            </w:r>
            <w:r w:rsidRPr="00086346">
              <w:rPr>
                <w:rFonts w:ascii="Times New Roman" w:eastAsia="Times New Roman" w:hAnsi="Times New Roman" w:cs="Times New Roman"/>
                <w:iCs/>
                <w:sz w:val="24"/>
                <w:szCs w:val="24"/>
                <w:lang w:eastAsia="lv-LV"/>
              </w:rPr>
              <w:t>personām no 18 gadu vecuma līdz valsts vecuma pensijas piešķiršanai nepieciešamajam vecumam</w:t>
            </w:r>
            <w:r>
              <w:rPr>
                <w:rFonts w:ascii="Times New Roman" w:eastAsia="Times New Roman" w:hAnsi="Times New Roman" w:cs="Times New Roman"/>
                <w:iCs/>
                <w:sz w:val="24"/>
                <w:szCs w:val="24"/>
                <w:lang w:eastAsia="lv-LV"/>
              </w:rPr>
              <w:t>,</w:t>
            </w:r>
            <w:r w:rsidRPr="00086346">
              <w:rPr>
                <w:rFonts w:ascii="Times New Roman" w:eastAsia="Times New Roman" w:hAnsi="Times New Roman" w:cs="Times New Roman"/>
                <w:iCs/>
                <w:sz w:val="24"/>
                <w:szCs w:val="24"/>
                <w:lang w:eastAsia="lv-LV"/>
              </w:rPr>
              <w:t xml:space="preserve"> </w:t>
            </w:r>
            <w:r w:rsidRPr="00B66252">
              <w:rPr>
                <w:rFonts w:ascii="Times New Roman" w:eastAsia="Times New Roman" w:hAnsi="Times New Roman" w:cs="Times New Roman"/>
                <w:iCs/>
                <w:sz w:val="24"/>
                <w:szCs w:val="24"/>
                <w:lang w:eastAsia="lv-LV"/>
              </w:rPr>
              <w:t xml:space="preserve">pamatojoties uz </w:t>
            </w:r>
            <w:r>
              <w:rPr>
                <w:rFonts w:ascii="Times New Roman" w:eastAsia="Times New Roman" w:hAnsi="Times New Roman" w:cs="Times New Roman"/>
                <w:iCs/>
                <w:sz w:val="24"/>
                <w:szCs w:val="24"/>
                <w:lang w:eastAsia="lv-LV"/>
              </w:rPr>
              <w:t>personas</w:t>
            </w:r>
            <w:r w:rsidRPr="00B66252">
              <w:rPr>
                <w:rFonts w:ascii="Times New Roman" w:eastAsia="Times New Roman" w:hAnsi="Times New Roman" w:cs="Times New Roman"/>
                <w:iCs/>
                <w:sz w:val="24"/>
                <w:szCs w:val="24"/>
                <w:lang w:eastAsia="lv-LV"/>
              </w:rPr>
              <w:t xml:space="preserve"> funkcionēšanas ierobežojuma izvērtējumu, </w:t>
            </w:r>
            <w:r>
              <w:rPr>
                <w:rFonts w:ascii="Times New Roman" w:eastAsia="Times New Roman" w:hAnsi="Times New Roman" w:cs="Times New Roman"/>
                <w:iCs/>
                <w:sz w:val="24"/>
                <w:szCs w:val="24"/>
                <w:lang w:eastAsia="lv-LV"/>
              </w:rPr>
              <w:t>Ko</w:t>
            </w:r>
            <w:r w:rsidRPr="00B66252">
              <w:rPr>
                <w:rFonts w:ascii="Times New Roman" w:eastAsia="Times New Roman" w:hAnsi="Times New Roman" w:cs="Times New Roman"/>
                <w:iCs/>
                <w:sz w:val="24"/>
                <w:szCs w:val="24"/>
                <w:lang w:eastAsia="lv-LV"/>
              </w:rPr>
              <w:t xml:space="preserve">misijas amatpersona </w:t>
            </w:r>
            <w:r w:rsidRPr="00086346">
              <w:rPr>
                <w:rFonts w:ascii="Times New Roman" w:eastAsia="Times New Roman" w:hAnsi="Times New Roman" w:cs="Times New Roman"/>
                <w:iCs/>
                <w:sz w:val="24"/>
                <w:szCs w:val="24"/>
                <w:lang w:eastAsia="lv-LV"/>
              </w:rPr>
              <w:t>nosaka darbspēju zaudējumu procentos un</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invaliditātes grupu. Savukārt pēc vecuma pensijas piešķiršanai nepieciešamā vecuma sasniegšanas, personai izvērtē funkcionēšanas ierobežojuma pakāpi un nosaka atbilstošo grupu. </w:t>
            </w:r>
            <w:r w:rsidRPr="006E737E">
              <w:rPr>
                <w:rFonts w:ascii="Times New Roman" w:eastAsia="Times New Roman" w:hAnsi="Times New Roman" w:cs="Times New Roman"/>
                <w:bCs/>
                <w:iCs/>
                <w:sz w:val="24"/>
                <w:szCs w:val="24"/>
                <w:lang w:eastAsia="lv-LV"/>
              </w:rPr>
              <w:t xml:space="preserve">Atbilstoši funkcionēšanas ierobežojuma pakāpei </w:t>
            </w:r>
            <w:r>
              <w:rPr>
                <w:rFonts w:ascii="Times New Roman" w:eastAsia="Times New Roman" w:hAnsi="Times New Roman" w:cs="Times New Roman"/>
                <w:bCs/>
                <w:iCs/>
                <w:sz w:val="24"/>
                <w:szCs w:val="24"/>
                <w:lang w:eastAsia="lv-LV"/>
              </w:rPr>
              <w:t>Komisija uz invaliditātes laiku var</w:t>
            </w:r>
            <w:r w:rsidRPr="006E737E">
              <w:rPr>
                <w:rFonts w:ascii="Times New Roman" w:eastAsia="Times New Roman" w:hAnsi="Times New Roman" w:cs="Times New Roman"/>
                <w:bCs/>
                <w:iCs/>
                <w:sz w:val="24"/>
                <w:szCs w:val="24"/>
                <w:lang w:eastAsia="lv-LV"/>
              </w:rPr>
              <w:t xml:space="preserve"> iz</w:t>
            </w:r>
            <w:r>
              <w:rPr>
                <w:rFonts w:ascii="Times New Roman" w:eastAsia="Times New Roman" w:hAnsi="Times New Roman" w:cs="Times New Roman"/>
                <w:bCs/>
                <w:iCs/>
                <w:sz w:val="24"/>
                <w:szCs w:val="24"/>
                <w:lang w:eastAsia="lv-LV"/>
              </w:rPr>
              <w:t>sniegt</w:t>
            </w:r>
            <w:r w:rsidRPr="006E737E">
              <w:rPr>
                <w:rFonts w:ascii="Times New Roman" w:eastAsia="Times New Roman" w:hAnsi="Times New Roman" w:cs="Times New Roman"/>
                <w:bCs/>
                <w:iCs/>
                <w:sz w:val="24"/>
                <w:szCs w:val="24"/>
                <w:lang w:eastAsia="lv-LV"/>
              </w:rPr>
              <w:t xml:space="preserve"> atzinum</w:t>
            </w:r>
            <w:r>
              <w:rPr>
                <w:rFonts w:ascii="Times New Roman" w:eastAsia="Times New Roman" w:hAnsi="Times New Roman" w:cs="Times New Roman"/>
                <w:bCs/>
                <w:iCs/>
                <w:sz w:val="24"/>
                <w:szCs w:val="24"/>
                <w:lang w:eastAsia="lv-LV"/>
              </w:rPr>
              <w:t>u</w:t>
            </w:r>
            <w:r w:rsidRPr="006E737E">
              <w:rPr>
                <w:rFonts w:ascii="Times New Roman" w:eastAsia="Times New Roman" w:hAnsi="Times New Roman" w:cs="Times New Roman"/>
                <w:bCs/>
                <w:iCs/>
                <w:sz w:val="24"/>
                <w:szCs w:val="24"/>
                <w:lang w:eastAsia="lv-LV"/>
              </w:rPr>
              <w:t xml:space="preserve"> par īpašas kopšanas nepieciešamību, </w:t>
            </w:r>
            <w:r>
              <w:rPr>
                <w:rFonts w:ascii="Times New Roman" w:eastAsia="Times New Roman" w:hAnsi="Times New Roman" w:cs="Times New Roman"/>
                <w:bCs/>
                <w:iCs/>
                <w:sz w:val="24"/>
                <w:szCs w:val="24"/>
                <w:lang w:eastAsia="lv-LV"/>
              </w:rPr>
              <w:t xml:space="preserve"> kā arī</w:t>
            </w:r>
            <w:r w:rsidRPr="006E737E">
              <w:rPr>
                <w:rFonts w:ascii="Times New Roman" w:eastAsia="Times New Roman" w:hAnsi="Times New Roman" w:cs="Times New Roman"/>
                <w:bCs/>
                <w:iCs/>
                <w:sz w:val="24"/>
                <w:szCs w:val="24"/>
                <w:lang w:eastAsia="lv-LV"/>
              </w:rPr>
              <w:t xml:space="preserve"> atbilstoši funkcionēšanas ierobežojumu veidam </w:t>
            </w:r>
            <w:r>
              <w:rPr>
                <w:rFonts w:ascii="Times New Roman" w:eastAsia="Times New Roman" w:hAnsi="Times New Roman" w:cs="Times New Roman"/>
                <w:bCs/>
                <w:iCs/>
                <w:sz w:val="24"/>
                <w:szCs w:val="24"/>
                <w:lang w:eastAsia="lv-LV"/>
              </w:rPr>
              <w:t>K</w:t>
            </w:r>
            <w:r w:rsidRPr="00B51D5A">
              <w:rPr>
                <w:rFonts w:ascii="Times New Roman" w:eastAsia="Times New Roman" w:hAnsi="Times New Roman" w:cs="Times New Roman"/>
                <w:bCs/>
                <w:iCs/>
                <w:sz w:val="24"/>
                <w:szCs w:val="24"/>
                <w:lang w:eastAsia="lv-LV"/>
              </w:rPr>
              <w:t xml:space="preserve">omisija var izsniegt atzinumu </w:t>
            </w:r>
            <w:r w:rsidRPr="006E737E">
              <w:rPr>
                <w:rFonts w:ascii="Times New Roman" w:eastAsia="Times New Roman" w:hAnsi="Times New Roman" w:cs="Times New Roman"/>
                <w:bCs/>
                <w:iCs/>
                <w:sz w:val="24"/>
                <w:szCs w:val="24"/>
                <w:lang w:eastAsia="lv-LV"/>
              </w:rPr>
              <w:t>par</w:t>
            </w:r>
            <w:r w:rsidRPr="006E737E">
              <w:rPr>
                <w:rFonts w:ascii="Times New Roman" w:eastAsia="Times New Roman" w:hAnsi="Times New Roman" w:cs="Times New Roman"/>
                <w:iCs/>
                <w:sz w:val="24"/>
                <w:szCs w:val="24"/>
                <w:lang w:eastAsia="lv-LV"/>
              </w:rPr>
              <w:t xml:space="preserve"> </w:t>
            </w:r>
            <w:r w:rsidRPr="006E737E">
              <w:rPr>
                <w:rFonts w:ascii="Times New Roman" w:eastAsia="Times New Roman" w:hAnsi="Times New Roman" w:cs="Times New Roman"/>
                <w:bCs/>
                <w:iCs/>
                <w:sz w:val="24"/>
                <w:szCs w:val="24"/>
                <w:lang w:eastAsia="lv-LV"/>
              </w:rPr>
              <w:t>medicīnisk</w:t>
            </w:r>
            <w:r>
              <w:rPr>
                <w:rFonts w:ascii="Times New Roman" w:eastAsia="Times New Roman" w:hAnsi="Times New Roman" w:cs="Times New Roman"/>
                <w:bCs/>
                <w:iCs/>
                <w:sz w:val="24"/>
                <w:szCs w:val="24"/>
                <w:lang w:eastAsia="lv-LV"/>
              </w:rPr>
              <w:t xml:space="preserve">ajām </w:t>
            </w:r>
            <w:r w:rsidRPr="006E737E">
              <w:rPr>
                <w:rFonts w:ascii="Times New Roman" w:eastAsia="Times New Roman" w:hAnsi="Times New Roman" w:cs="Times New Roman"/>
                <w:bCs/>
                <w:iCs/>
                <w:sz w:val="24"/>
                <w:szCs w:val="24"/>
                <w:lang w:eastAsia="lv-LV"/>
              </w:rPr>
              <w:t>indikācij</w:t>
            </w:r>
            <w:r>
              <w:rPr>
                <w:rFonts w:ascii="Times New Roman" w:eastAsia="Times New Roman" w:hAnsi="Times New Roman" w:cs="Times New Roman"/>
                <w:bCs/>
                <w:iCs/>
                <w:sz w:val="24"/>
                <w:szCs w:val="24"/>
                <w:lang w:eastAsia="lv-LV"/>
              </w:rPr>
              <w:t>ām</w:t>
            </w:r>
            <w:r w:rsidRPr="006E737E">
              <w:rPr>
                <w:rFonts w:ascii="Times New Roman" w:eastAsia="Times New Roman" w:hAnsi="Times New Roman" w:cs="Times New Roman"/>
                <w:bCs/>
                <w:iCs/>
                <w:sz w:val="24"/>
                <w:szCs w:val="24"/>
                <w:lang w:eastAsia="lv-LV"/>
              </w:rPr>
              <w:t xml:space="preserve"> vieglā automobiļa speciālai pielāgošanai un pabalsta saņemšanai transporta izdevumu kompensēšanai.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463264">
              <w:rPr>
                <w:rFonts w:ascii="Times New Roman" w:eastAsia="Times New Roman" w:hAnsi="Times New Roman" w:cs="Times New Roman"/>
                <w:iCs/>
                <w:sz w:val="24"/>
                <w:szCs w:val="24"/>
                <w:lang w:eastAsia="lv-LV"/>
              </w:rPr>
              <w:t>Saskaņā ar</w:t>
            </w:r>
            <w:r>
              <w:t xml:space="preserve"> </w:t>
            </w:r>
            <w:r w:rsidRPr="00463264">
              <w:rPr>
                <w:rFonts w:ascii="Times New Roman" w:eastAsia="Times New Roman" w:hAnsi="Times New Roman" w:cs="Times New Roman"/>
                <w:iCs/>
                <w:sz w:val="24"/>
                <w:szCs w:val="24"/>
                <w:lang w:eastAsia="lv-LV"/>
              </w:rPr>
              <w:t>Ministru kabineta 2014.gada 23.decembra noteikum</w:t>
            </w:r>
            <w:r>
              <w:rPr>
                <w:rFonts w:ascii="Times New Roman" w:eastAsia="Times New Roman" w:hAnsi="Times New Roman" w:cs="Times New Roman"/>
                <w:iCs/>
                <w:sz w:val="24"/>
                <w:szCs w:val="24"/>
                <w:lang w:eastAsia="lv-LV"/>
              </w:rPr>
              <w:t>os</w:t>
            </w:r>
            <w:r w:rsidRPr="00463264">
              <w:rPr>
                <w:rFonts w:ascii="Times New Roman" w:eastAsia="Times New Roman" w:hAnsi="Times New Roman" w:cs="Times New Roman"/>
                <w:iCs/>
                <w:sz w:val="24"/>
                <w:szCs w:val="24"/>
                <w:lang w:eastAsia="lv-LV"/>
              </w:rPr>
              <w:t xml:space="preserve"> Nr.805 "Noteikumi par prognozējamas</w:t>
            </w:r>
            <w:r>
              <w:t xml:space="preserve"> </w:t>
            </w:r>
            <w:r w:rsidRPr="00463264">
              <w:rPr>
                <w:rFonts w:ascii="Times New Roman" w:eastAsia="Times New Roman" w:hAnsi="Times New Roman" w:cs="Times New Roman"/>
                <w:iCs/>
                <w:sz w:val="24"/>
                <w:szCs w:val="24"/>
                <w:lang w:eastAsia="lv-LV"/>
              </w:rPr>
              <w:t xml:space="preserve">invaliditātes, invaliditātes un darbspēju zaudējuma </w:t>
            </w:r>
            <w:r w:rsidRPr="00463264">
              <w:rPr>
                <w:rFonts w:ascii="Times New Roman" w:eastAsia="Times New Roman" w:hAnsi="Times New Roman" w:cs="Times New Roman"/>
                <w:iCs/>
                <w:sz w:val="24"/>
                <w:szCs w:val="24"/>
                <w:lang w:eastAsia="lv-LV"/>
              </w:rPr>
              <w:lastRenderedPageBreak/>
              <w:t xml:space="preserve">noteikšanas kritērijiem, termiņiem un kārtību” (turpmāk – noteikumi) noteikto ekspertīzi veic </w:t>
            </w:r>
            <w:r>
              <w:rPr>
                <w:rFonts w:ascii="Times New Roman" w:eastAsia="Times New Roman" w:hAnsi="Times New Roman" w:cs="Times New Roman"/>
                <w:iCs/>
                <w:sz w:val="24"/>
                <w:szCs w:val="24"/>
                <w:lang w:eastAsia="lv-LV"/>
              </w:rPr>
              <w:t>K</w:t>
            </w:r>
            <w:r w:rsidRPr="00463264">
              <w:rPr>
                <w:rFonts w:ascii="Times New Roman" w:eastAsia="Times New Roman" w:hAnsi="Times New Roman" w:cs="Times New Roman"/>
                <w:iCs/>
                <w:sz w:val="24"/>
                <w:szCs w:val="24"/>
                <w:lang w:eastAsia="lv-LV"/>
              </w:rPr>
              <w:t xml:space="preserve">omisijas ārsts bez </w:t>
            </w:r>
            <w:r>
              <w:rPr>
                <w:rFonts w:ascii="Times New Roman" w:eastAsia="Times New Roman" w:hAnsi="Times New Roman" w:cs="Times New Roman"/>
                <w:iCs/>
                <w:sz w:val="24"/>
                <w:szCs w:val="24"/>
                <w:lang w:eastAsia="lv-LV"/>
              </w:rPr>
              <w:t>personas</w:t>
            </w:r>
            <w:r w:rsidRPr="00463264">
              <w:rPr>
                <w:rFonts w:ascii="Times New Roman" w:eastAsia="Times New Roman" w:hAnsi="Times New Roman" w:cs="Times New Roman"/>
                <w:iCs/>
                <w:sz w:val="24"/>
                <w:szCs w:val="24"/>
                <w:lang w:eastAsia="lv-LV"/>
              </w:rPr>
              <w:t xml:space="preserve"> klātbūtnes, pamatojoties uz </w:t>
            </w:r>
            <w:r>
              <w:rPr>
                <w:rFonts w:ascii="Times New Roman" w:eastAsia="Times New Roman" w:hAnsi="Times New Roman" w:cs="Times New Roman"/>
                <w:iCs/>
                <w:sz w:val="24"/>
                <w:szCs w:val="24"/>
                <w:lang w:eastAsia="lv-LV"/>
              </w:rPr>
              <w:t xml:space="preserve">personas </w:t>
            </w:r>
            <w:r w:rsidRPr="00463264">
              <w:rPr>
                <w:rFonts w:ascii="Times New Roman" w:eastAsia="Times New Roman" w:hAnsi="Times New Roman" w:cs="Times New Roman"/>
                <w:iCs/>
                <w:sz w:val="24"/>
                <w:szCs w:val="24"/>
                <w:lang w:eastAsia="lv-LV"/>
              </w:rPr>
              <w:t xml:space="preserve">iesniegumu, kam pievienots nosūtījums uz </w:t>
            </w:r>
            <w:r>
              <w:rPr>
                <w:rFonts w:ascii="Times New Roman" w:eastAsia="Times New Roman" w:hAnsi="Times New Roman" w:cs="Times New Roman"/>
                <w:iCs/>
                <w:sz w:val="24"/>
                <w:szCs w:val="24"/>
                <w:lang w:eastAsia="lv-LV"/>
              </w:rPr>
              <w:t>K</w:t>
            </w:r>
            <w:r w:rsidRPr="00463264">
              <w:rPr>
                <w:rFonts w:ascii="Times New Roman" w:eastAsia="Times New Roman" w:hAnsi="Times New Roman" w:cs="Times New Roman"/>
                <w:iCs/>
                <w:sz w:val="24"/>
                <w:szCs w:val="24"/>
                <w:lang w:eastAsia="lv-LV"/>
              </w:rPr>
              <w:t xml:space="preserve">omisiju, ko noformē ģimenes ārsts vai ārstējošais ārsts.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Šobrīd</w:t>
            </w:r>
            <w:r>
              <w:rPr>
                <w:rFonts w:ascii="Times New Roman" w:eastAsia="Times New Roman" w:hAnsi="Times New Roman" w:cs="Times New Roman"/>
                <w:iCs/>
                <w:sz w:val="24"/>
                <w:szCs w:val="24"/>
                <w:lang w:eastAsia="lv-LV"/>
              </w:rPr>
              <w:t xml:space="preserve"> </w:t>
            </w:r>
            <w:r w:rsidRPr="00B66252">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 xml:space="preserve">u </w:t>
            </w:r>
            <w:r w:rsidRPr="00B66252">
              <w:rPr>
                <w:rFonts w:ascii="Times New Roman" w:eastAsia="Times New Roman" w:hAnsi="Times New Roman" w:cs="Times New Roman"/>
                <w:iCs/>
                <w:sz w:val="24"/>
                <w:szCs w:val="24"/>
                <w:lang w:eastAsia="lv-LV"/>
              </w:rPr>
              <w:t xml:space="preserve"> 20.1.apakšpunkts paredz, ka personai </w:t>
            </w:r>
            <w:r>
              <w:rPr>
                <w:rFonts w:ascii="Times New Roman" w:eastAsia="Times New Roman" w:hAnsi="Times New Roman" w:cs="Times New Roman"/>
                <w:iCs/>
                <w:sz w:val="24"/>
                <w:szCs w:val="24"/>
                <w:lang w:eastAsia="lv-LV"/>
              </w:rPr>
              <w:t>pēc</w:t>
            </w:r>
            <w:r w:rsidRPr="00B66252">
              <w:rPr>
                <w:rFonts w:ascii="Times New Roman" w:eastAsia="Times New Roman" w:hAnsi="Times New Roman" w:cs="Times New Roman"/>
                <w:iCs/>
                <w:sz w:val="24"/>
                <w:szCs w:val="24"/>
                <w:lang w:eastAsia="lv-LV"/>
              </w:rPr>
              <w:t xml:space="preserve"> 18 gadu vecuma</w:t>
            </w:r>
            <w:r>
              <w:rPr>
                <w:rFonts w:ascii="Times New Roman" w:eastAsia="Times New Roman" w:hAnsi="Times New Roman" w:cs="Times New Roman"/>
                <w:iCs/>
                <w:sz w:val="24"/>
                <w:szCs w:val="24"/>
                <w:lang w:eastAsia="lv-LV"/>
              </w:rPr>
              <w:t xml:space="preserve"> sasniegšanas</w:t>
            </w:r>
            <w:r w:rsidRPr="00B66252">
              <w:rPr>
                <w:rFonts w:ascii="Times New Roman" w:eastAsia="Times New Roman" w:hAnsi="Times New Roman" w:cs="Times New Roman"/>
                <w:iCs/>
                <w:sz w:val="24"/>
                <w:szCs w:val="24"/>
                <w:lang w:eastAsia="lv-LV"/>
              </w:rPr>
              <w:t xml:space="preserve"> invaliditāti nosaka uz noteiktu termiņu: sešiem mēnešiem, vienu gadu, diviem vai pieciem gadiem. Savukārt </w:t>
            </w:r>
            <w:r>
              <w:rPr>
                <w:rFonts w:ascii="Times New Roman" w:eastAsia="Times New Roman" w:hAnsi="Times New Roman" w:cs="Times New Roman"/>
                <w:iCs/>
                <w:sz w:val="24"/>
                <w:szCs w:val="24"/>
                <w:lang w:eastAsia="lv-LV"/>
              </w:rPr>
              <w:t>bez atkārtota invaliditātes ekspertīzes termiņa (uz mūžu) var noteikt tādai personai</w:t>
            </w:r>
            <w:r w:rsidRPr="00B66252">
              <w:rPr>
                <w:rFonts w:ascii="Times New Roman" w:eastAsia="Times New Roman" w:hAnsi="Times New Roman" w:cs="Times New Roman"/>
                <w:iCs/>
                <w:sz w:val="24"/>
                <w:szCs w:val="24"/>
                <w:lang w:eastAsia="lv-LV"/>
              </w:rPr>
              <w:t>, kura</w:t>
            </w:r>
            <w:r>
              <w:rPr>
                <w:rFonts w:ascii="Times New Roman" w:eastAsia="Times New Roman" w:hAnsi="Times New Roman" w:cs="Times New Roman"/>
                <w:iCs/>
                <w:sz w:val="24"/>
                <w:szCs w:val="24"/>
                <w:lang w:eastAsia="lv-LV"/>
              </w:rPr>
              <w:t>i</w:t>
            </w:r>
            <w:r w:rsidRPr="00B66252">
              <w:rPr>
                <w:rFonts w:ascii="Times New Roman" w:eastAsia="Times New Roman" w:hAnsi="Times New Roman" w:cs="Times New Roman"/>
                <w:iCs/>
                <w:sz w:val="24"/>
                <w:szCs w:val="24"/>
                <w:lang w:eastAsia="lv-LV"/>
              </w:rPr>
              <w:t xml:space="preserve"> konstatēti šo noteikumu 7.pielikumā uzskaitītie anatomiskie defekti vai veselības traucējumi, vai arī, ja</w:t>
            </w:r>
            <w:r>
              <w:rPr>
                <w:rFonts w:ascii="Times New Roman" w:eastAsia="Times New Roman" w:hAnsi="Times New Roman" w:cs="Times New Roman"/>
                <w:iCs/>
                <w:sz w:val="24"/>
                <w:szCs w:val="24"/>
                <w:lang w:eastAsia="lv-LV"/>
              </w:rPr>
              <w:t xml:space="preserve"> personai</w:t>
            </w:r>
            <w:r w:rsidRPr="00B66252">
              <w:rPr>
                <w:rFonts w:ascii="Times New Roman" w:eastAsia="Times New Roman" w:hAnsi="Times New Roman" w:cs="Times New Roman"/>
                <w:iCs/>
                <w:sz w:val="24"/>
                <w:szCs w:val="24"/>
                <w:lang w:eastAsia="lv-LV"/>
              </w:rPr>
              <w:t xml:space="preserve"> </w:t>
            </w:r>
            <w:r w:rsidRPr="00873B8F">
              <w:rPr>
                <w:rFonts w:ascii="Times New Roman" w:eastAsia="Times New Roman" w:hAnsi="Times New Roman" w:cs="Times New Roman"/>
                <w:iCs/>
                <w:sz w:val="24"/>
                <w:szCs w:val="24"/>
                <w:lang w:eastAsia="lv-LV"/>
              </w:rPr>
              <w:t>ir stabili un neatgriezeniski funkcionēšanas ierobežojumi, kuru dēļ invaliditāte ir bijusi nepārtraukti noteikta ne mazāk kā piecus gadus.</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Līdz ar to</w:t>
            </w:r>
            <w:r>
              <w:rPr>
                <w:rFonts w:ascii="Times New Roman" w:eastAsia="Times New Roman" w:hAnsi="Times New Roman" w:cs="Times New Roman"/>
                <w:iCs/>
                <w:sz w:val="24"/>
                <w:szCs w:val="24"/>
                <w:lang w:eastAsia="lv-LV"/>
              </w:rPr>
              <w:t>, ja</w:t>
            </w:r>
            <w:r w:rsidRPr="00C75648">
              <w:rPr>
                <w:rFonts w:ascii="Times New Roman" w:eastAsia="Times New Roman" w:hAnsi="Times New Roman" w:cs="Times New Roman"/>
                <w:iCs/>
                <w:sz w:val="24"/>
                <w:szCs w:val="24"/>
                <w:lang w:eastAsia="lv-LV"/>
              </w:rPr>
              <w:t xml:space="preserve"> šobrīd </w:t>
            </w:r>
            <w:r>
              <w:rPr>
                <w:rFonts w:ascii="Times New Roman" w:eastAsia="Times New Roman" w:hAnsi="Times New Roman" w:cs="Times New Roman"/>
                <w:iCs/>
                <w:sz w:val="24"/>
                <w:szCs w:val="24"/>
                <w:lang w:eastAsia="lv-LV"/>
              </w:rPr>
              <w:t>pilngadīgai personai</w:t>
            </w:r>
            <w:r w:rsidRPr="00C75648">
              <w:rPr>
                <w:rFonts w:ascii="Times New Roman" w:eastAsia="Times New Roman" w:hAnsi="Times New Roman" w:cs="Times New Roman"/>
                <w:iCs/>
                <w:sz w:val="24"/>
                <w:szCs w:val="24"/>
                <w:lang w:eastAsia="lv-LV"/>
              </w:rPr>
              <w:t xml:space="preserve"> saslimšanas vai traumas dēļ ir radušies stabili un neatgriezeniski funkcionēšanas ierobežojumi, kuri būtu par pamatu invaliditātes noteikšanai visa mūža garumā,  bet kuri neatbilst noteikumu 7.pielikumā minētajiem veselības traucējumiem,  </w:t>
            </w:r>
            <w:r>
              <w:rPr>
                <w:rFonts w:ascii="Times New Roman" w:eastAsia="Times New Roman" w:hAnsi="Times New Roman" w:cs="Times New Roman"/>
                <w:iCs/>
                <w:sz w:val="24"/>
                <w:szCs w:val="24"/>
                <w:lang w:eastAsia="lv-LV"/>
              </w:rPr>
              <w:t>K</w:t>
            </w:r>
            <w:r w:rsidRPr="00C75648">
              <w:rPr>
                <w:rFonts w:ascii="Times New Roman" w:eastAsia="Times New Roman" w:hAnsi="Times New Roman" w:cs="Times New Roman"/>
                <w:iCs/>
                <w:sz w:val="24"/>
                <w:szCs w:val="24"/>
                <w:lang w:eastAsia="lv-LV"/>
              </w:rPr>
              <w:t xml:space="preserve">omisija, veicot pirmreizēju invaliditātes ekspertīzi, var noteikt invaliditāti tikai uz terminētu periodu – līdz 5 gadiem. Līdz ar to, lai personai varētu noteikt invaliditāti ar termiņu uz mūžu, personai pēc pieciem gadiem būs jāveic atkārtota invaliditātes ekspertīze, un attiecīgi personai </w:t>
            </w:r>
            <w:r>
              <w:rPr>
                <w:rFonts w:ascii="Times New Roman" w:eastAsia="Times New Roman" w:hAnsi="Times New Roman" w:cs="Times New Roman"/>
                <w:iCs/>
                <w:sz w:val="24"/>
                <w:szCs w:val="24"/>
                <w:lang w:eastAsia="lv-LV"/>
              </w:rPr>
              <w:t xml:space="preserve">atkārtoti </w:t>
            </w:r>
            <w:r w:rsidRPr="00C75648">
              <w:rPr>
                <w:rFonts w:ascii="Times New Roman" w:eastAsia="Times New Roman" w:hAnsi="Times New Roman" w:cs="Times New Roman"/>
                <w:iCs/>
                <w:sz w:val="24"/>
                <w:szCs w:val="24"/>
                <w:lang w:eastAsia="lv-LV"/>
              </w:rPr>
              <w:t xml:space="preserve">būs jāvāc un jāiesniedz nepieciešamā dokumentācija </w:t>
            </w:r>
            <w:r>
              <w:rPr>
                <w:rFonts w:ascii="Times New Roman" w:eastAsia="Times New Roman" w:hAnsi="Times New Roman" w:cs="Times New Roman"/>
                <w:iCs/>
                <w:sz w:val="24"/>
                <w:szCs w:val="24"/>
                <w:lang w:eastAsia="lv-LV"/>
              </w:rPr>
              <w:t>K</w:t>
            </w:r>
            <w:r w:rsidRPr="00C75648">
              <w:rPr>
                <w:rFonts w:ascii="Times New Roman" w:eastAsia="Times New Roman" w:hAnsi="Times New Roman" w:cs="Times New Roman"/>
                <w:iCs/>
                <w:sz w:val="24"/>
                <w:szCs w:val="24"/>
                <w:lang w:eastAsia="lv-LV"/>
              </w:rPr>
              <w:t xml:space="preserve">omisijā.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Saskaņā ar </w:t>
            </w:r>
            <w:r w:rsidRPr="00427F25">
              <w:rPr>
                <w:rFonts w:ascii="Times New Roman" w:eastAsia="Times New Roman" w:hAnsi="Times New Roman" w:cs="Times New Roman"/>
                <w:iCs/>
                <w:sz w:val="24"/>
                <w:szCs w:val="24"/>
                <w:lang w:eastAsia="lv-LV"/>
              </w:rPr>
              <w:t>Labklājības informācijas sistēmas (</w:t>
            </w:r>
            <w:proofErr w:type="spellStart"/>
            <w:r w:rsidRPr="00427F25">
              <w:rPr>
                <w:rFonts w:ascii="Times New Roman" w:eastAsia="Times New Roman" w:hAnsi="Times New Roman" w:cs="Times New Roman"/>
                <w:iCs/>
                <w:sz w:val="24"/>
                <w:szCs w:val="24"/>
                <w:lang w:eastAsia="lv-LV"/>
              </w:rPr>
              <w:t>LabIS</w:t>
            </w:r>
            <w:proofErr w:type="spellEnd"/>
            <w:r w:rsidRPr="00427F25">
              <w:rPr>
                <w:rFonts w:ascii="Times New Roman" w:eastAsia="Times New Roman" w:hAnsi="Times New Roman" w:cs="Times New Roman"/>
                <w:iCs/>
                <w:sz w:val="24"/>
                <w:szCs w:val="24"/>
                <w:lang w:eastAsia="lv-LV"/>
              </w:rPr>
              <w:t xml:space="preserve">) </w:t>
            </w:r>
            <w:r w:rsidRPr="00C75648">
              <w:rPr>
                <w:rFonts w:ascii="Times New Roman" w:eastAsia="Times New Roman" w:hAnsi="Times New Roman" w:cs="Times New Roman"/>
                <w:iCs/>
                <w:sz w:val="24"/>
                <w:szCs w:val="24"/>
                <w:lang w:eastAsia="lv-LV"/>
              </w:rPr>
              <w:t>datiem 2018.gadā kopumā invaliditāte bija noteikta 1</w:t>
            </w:r>
            <w:r>
              <w:rPr>
                <w:rFonts w:ascii="Times New Roman" w:eastAsia="Times New Roman" w:hAnsi="Times New Roman" w:cs="Times New Roman"/>
                <w:iCs/>
                <w:sz w:val="24"/>
                <w:szCs w:val="24"/>
                <w:lang w:eastAsia="lv-LV"/>
              </w:rPr>
              <w:t>83 610</w:t>
            </w: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pilngadīgām </w:t>
            </w:r>
            <w:r w:rsidRPr="00C75648">
              <w:rPr>
                <w:rFonts w:ascii="Times New Roman" w:eastAsia="Times New Roman" w:hAnsi="Times New Roman" w:cs="Times New Roman"/>
                <w:iCs/>
                <w:sz w:val="24"/>
                <w:szCs w:val="24"/>
                <w:lang w:eastAsia="lv-LV"/>
              </w:rPr>
              <w:t>personām, no kurām 16 949 personām invaliditāte tika noteikta pirmo reizi. No visām personām, kurām 2018.gadā invaliditāte tika noteikta pirmo reizi, uz termiņu pieci gadi invali</w:t>
            </w:r>
            <w:r>
              <w:rPr>
                <w:rFonts w:ascii="Times New Roman" w:eastAsia="Times New Roman" w:hAnsi="Times New Roman" w:cs="Times New Roman"/>
                <w:iCs/>
                <w:sz w:val="24"/>
                <w:szCs w:val="24"/>
                <w:lang w:eastAsia="lv-LV"/>
              </w:rPr>
              <w:t>di</w:t>
            </w:r>
            <w:r w:rsidRPr="00C75648">
              <w:rPr>
                <w:rFonts w:ascii="Times New Roman" w:eastAsia="Times New Roman" w:hAnsi="Times New Roman" w:cs="Times New Roman"/>
                <w:iCs/>
                <w:sz w:val="24"/>
                <w:szCs w:val="24"/>
                <w:lang w:eastAsia="lv-LV"/>
              </w:rPr>
              <w:t>tāte bija noteikta 1871 personai jeb 11</w:t>
            </w:r>
            <w:r>
              <w:rPr>
                <w:rFonts w:ascii="Times New Roman" w:eastAsia="Times New Roman" w:hAnsi="Times New Roman" w:cs="Times New Roman"/>
                <w:iCs/>
                <w:sz w:val="24"/>
                <w:szCs w:val="24"/>
                <w:lang w:eastAsia="lv-LV"/>
              </w:rPr>
              <w:t>,</w:t>
            </w:r>
            <w:r w:rsidRPr="00C75648">
              <w:rPr>
                <w:rFonts w:ascii="Times New Roman" w:eastAsia="Times New Roman" w:hAnsi="Times New Roman" w:cs="Times New Roman"/>
                <w:iCs/>
                <w:sz w:val="24"/>
                <w:szCs w:val="24"/>
                <w:lang w:eastAsia="lv-LV"/>
              </w:rPr>
              <w:t>03%, bet uz mūžu invaliditāte tika noteikta 526 personām jeb 3,10%.</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Pr="00C75648">
              <w:rPr>
                <w:rFonts w:ascii="Times New Roman" w:eastAsia="Times New Roman" w:hAnsi="Times New Roman" w:cs="Times New Roman"/>
                <w:iCs/>
                <w:sz w:val="24"/>
                <w:szCs w:val="24"/>
                <w:lang w:eastAsia="lv-LV"/>
              </w:rPr>
              <w:t>ērniem līdz 18 gadu vecuma sasniegšanai invaliditāti nosaka bez iedalīšanas invaliditātes grupās</w:t>
            </w:r>
            <w:r>
              <w:rPr>
                <w:rFonts w:ascii="Times New Roman" w:eastAsia="Times New Roman" w:hAnsi="Times New Roman" w:cs="Times New Roman"/>
                <w:iCs/>
                <w:sz w:val="24"/>
                <w:szCs w:val="24"/>
                <w:lang w:eastAsia="lv-LV"/>
              </w:rPr>
              <w:t xml:space="preserve">, bet bērnam, sasniedzot 18 gadu vecumu, ir nepieciešams veikt invaliditātes ekspertīzi un atbilstoši funkcionēšanas ierobežojumu smaguma pakāpei noteikt invaliditātes grupu, un atkarībā no  nepieciešamā atbalsta izsniegt atzinumus. Saskaņā ar </w:t>
            </w:r>
            <w:proofErr w:type="spellStart"/>
            <w:r>
              <w:rPr>
                <w:rFonts w:ascii="Times New Roman" w:eastAsia="Times New Roman" w:hAnsi="Times New Roman" w:cs="Times New Roman"/>
                <w:iCs/>
                <w:sz w:val="24"/>
                <w:szCs w:val="24"/>
                <w:lang w:eastAsia="lv-LV"/>
              </w:rPr>
              <w:t>LabIS</w:t>
            </w:r>
            <w:proofErr w:type="spellEnd"/>
            <w:r>
              <w:rPr>
                <w:rFonts w:ascii="Times New Roman" w:eastAsia="Times New Roman" w:hAnsi="Times New Roman" w:cs="Times New Roman"/>
                <w:iCs/>
                <w:sz w:val="24"/>
                <w:szCs w:val="24"/>
                <w:lang w:eastAsia="lv-LV"/>
              </w:rPr>
              <w:t xml:space="preserve"> datiem 18 gadu vecumā invaliditāte bija noteikta 529 personām, no kurām 171 personai invaliditāte ir noteikta uz termiņu pieci gadi, savukārt uz mūžu invaliditāte noteikta 44 personām. Domājams, ka daļai bērnu, sasniedzot 18 gadu vecumu, saslimšanas, sevišķi, ja bērnam saslimšanas no dzimšanas radītie funkcionēšanas ierobežojumi ir neatgriezeniski un jau kļuvuši stabili, un nav prognozējams, ka dzīves laikā viņu veselības stāvoklis būtiski mainīsies. Taču, ja bērna veselības stāvoklis 18 gadu vecumā neatbilst noteikumu 7.pielikumā </w:t>
            </w:r>
            <w:r w:rsidRPr="001952EE">
              <w:rPr>
                <w:rFonts w:ascii="Times New Roman" w:eastAsia="Times New Roman" w:hAnsi="Times New Roman" w:cs="Times New Roman"/>
                <w:iCs/>
                <w:sz w:val="24"/>
                <w:szCs w:val="24"/>
                <w:lang w:eastAsia="lv-LV"/>
              </w:rPr>
              <w:t>uzskaitīt</w:t>
            </w:r>
            <w:r>
              <w:rPr>
                <w:rFonts w:ascii="Times New Roman" w:eastAsia="Times New Roman" w:hAnsi="Times New Roman" w:cs="Times New Roman"/>
                <w:iCs/>
                <w:sz w:val="24"/>
                <w:szCs w:val="24"/>
                <w:lang w:eastAsia="lv-LV"/>
              </w:rPr>
              <w:t>ajiem</w:t>
            </w:r>
            <w:r w:rsidRPr="001952EE">
              <w:rPr>
                <w:rFonts w:ascii="Times New Roman" w:eastAsia="Times New Roman" w:hAnsi="Times New Roman" w:cs="Times New Roman"/>
                <w:iCs/>
                <w:sz w:val="24"/>
                <w:szCs w:val="24"/>
                <w:lang w:eastAsia="lv-LV"/>
              </w:rPr>
              <w:t xml:space="preserve"> anatomisk</w:t>
            </w:r>
            <w:r>
              <w:rPr>
                <w:rFonts w:ascii="Times New Roman" w:eastAsia="Times New Roman" w:hAnsi="Times New Roman" w:cs="Times New Roman"/>
                <w:iCs/>
                <w:sz w:val="24"/>
                <w:szCs w:val="24"/>
                <w:lang w:eastAsia="lv-LV"/>
              </w:rPr>
              <w:t>ajiem</w:t>
            </w:r>
            <w:r w:rsidRPr="001952EE">
              <w:rPr>
                <w:rFonts w:ascii="Times New Roman" w:eastAsia="Times New Roman" w:hAnsi="Times New Roman" w:cs="Times New Roman"/>
                <w:iCs/>
                <w:sz w:val="24"/>
                <w:szCs w:val="24"/>
                <w:lang w:eastAsia="lv-LV"/>
              </w:rPr>
              <w:t xml:space="preserve"> defekti</w:t>
            </w:r>
            <w:r>
              <w:rPr>
                <w:rFonts w:ascii="Times New Roman" w:eastAsia="Times New Roman" w:hAnsi="Times New Roman" w:cs="Times New Roman"/>
                <w:iCs/>
                <w:sz w:val="24"/>
                <w:szCs w:val="24"/>
                <w:lang w:eastAsia="lv-LV"/>
              </w:rPr>
              <w:t>em</w:t>
            </w:r>
            <w:r w:rsidRPr="001952EE">
              <w:rPr>
                <w:rFonts w:ascii="Times New Roman" w:eastAsia="Times New Roman" w:hAnsi="Times New Roman" w:cs="Times New Roman"/>
                <w:iCs/>
                <w:sz w:val="24"/>
                <w:szCs w:val="24"/>
                <w:lang w:eastAsia="lv-LV"/>
              </w:rPr>
              <w:t xml:space="preserve"> vai veselības traucējumi</w:t>
            </w:r>
            <w:r>
              <w:rPr>
                <w:rFonts w:ascii="Times New Roman" w:eastAsia="Times New Roman" w:hAnsi="Times New Roman" w:cs="Times New Roman"/>
                <w:iCs/>
                <w:sz w:val="24"/>
                <w:szCs w:val="24"/>
                <w:lang w:eastAsia="lv-LV"/>
              </w:rPr>
              <w:t xml:space="preserve">em, invaliditāte tiek </w:t>
            </w:r>
            <w:r>
              <w:rPr>
                <w:rFonts w:ascii="Times New Roman" w:eastAsia="Times New Roman" w:hAnsi="Times New Roman" w:cs="Times New Roman"/>
                <w:iCs/>
                <w:sz w:val="24"/>
                <w:szCs w:val="24"/>
                <w:lang w:eastAsia="lv-LV"/>
              </w:rPr>
              <w:lastRenderedPageBreak/>
              <w:t>noteikta uz pieciem gadiem, un tikai nākamajā ekspertīzes laikā invaliditāte tiek noteikta uz mūžu.</w:t>
            </w:r>
            <w:r w:rsidRPr="00C75648">
              <w:rPr>
                <w:rFonts w:ascii="Times New Roman" w:eastAsia="Times New Roman" w:hAnsi="Times New Roman" w:cs="Times New Roman"/>
                <w:iCs/>
                <w:sz w:val="24"/>
                <w:szCs w:val="24"/>
                <w:lang w:eastAsia="lv-LV"/>
              </w:rPr>
              <w:t xml:space="preserve">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p>
          <w:p w:rsidR="00E83F5A" w:rsidRPr="00C75648"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persona jebkurā dzīves posmā, t.i., 30 gadu, 50 gadu  vai jau ļoti cienījamā vecumā, var saskarties ar saslimšanu vai traumu, kas personai var radīt neatgriezeniskus funkcionēšanas ierobežojumus, kas saglabāsies uz visu atlikušo dzīvi. </w:t>
            </w:r>
            <w:r w:rsidRPr="00C75648">
              <w:rPr>
                <w:rFonts w:ascii="Times New Roman" w:eastAsia="Times New Roman" w:hAnsi="Times New Roman" w:cs="Times New Roman"/>
                <w:iCs/>
                <w:sz w:val="24"/>
                <w:szCs w:val="24"/>
                <w:lang w:eastAsia="lv-LV"/>
              </w:rPr>
              <w:t xml:space="preserve">No visām personām, kurām 2018.gadā pirmreizēji </w:t>
            </w:r>
            <w:r>
              <w:rPr>
                <w:rFonts w:ascii="Times New Roman" w:eastAsia="Times New Roman" w:hAnsi="Times New Roman" w:cs="Times New Roman"/>
                <w:iCs/>
                <w:sz w:val="24"/>
                <w:szCs w:val="24"/>
                <w:lang w:eastAsia="lv-LV"/>
              </w:rPr>
              <w:t xml:space="preserve">tika </w:t>
            </w:r>
            <w:r w:rsidRPr="00C75648">
              <w:rPr>
                <w:rFonts w:ascii="Times New Roman" w:eastAsia="Times New Roman" w:hAnsi="Times New Roman" w:cs="Times New Roman"/>
                <w:iCs/>
                <w:sz w:val="24"/>
                <w:szCs w:val="24"/>
                <w:lang w:eastAsia="lv-LV"/>
              </w:rPr>
              <w:t>noteikta invaliditāte uz piecu gadu termiņu, 1623 personas jeb 86,75 % ir vecumā virs 65 gadiem, tāpat 281 personai jeb 53,42% pēc 65 gadu vecuma sasniegšanas invaliditāte ir noteikta uz mūžu.</w:t>
            </w:r>
          </w:p>
          <w:p w:rsidR="00E83F5A" w:rsidRPr="00C75648" w:rsidRDefault="00E83F5A" w:rsidP="0032197B">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Tas skaidrojams ar to, ka </w:t>
            </w:r>
            <w:r>
              <w:rPr>
                <w:rFonts w:ascii="Times New Roman" w:eastAsia="Times New Roman" w:hAnsi="Times New Roman" w:cs="Times New Roman"/>
                <w:iCs/>
                <w:sz w:val="24"/>
                <w:szCs w:val="24"/>
                <w:lang w:eastAsia="lv-LV"/>
              </w:rPr>
              <w:t>g</w:t>
            </w:r>
            <w:r w:rsidRPr="00C75648">
              <w:rPr>
                <w:rFonts w:ascii="Times New Roman" w:eastAsia="Times New Roman" w:hAnsi="Times New Roman" w:cs="Times New Roman"/>
                <w:iCs/>
                <w:sz w:val="24"/>
                <w:szCs w:val="24"/>
                <w:lang w:eastAsia="lv-LV"/>
              </w:rPr>
              <w:t>ados ve</w:t>
            </w:r>
            <w:r>
              <w:rPr>
                <w:rFonts w:ascii="Times New Roman" w:eastAsia="Times New Roman" w:hAnsi="Times New Roman" w:cs="Times New Roman"/>
                <w:iCs/>
                <w:sz w:val="24"/>
                <w:szCs w:val="24"/>
                <w:lang w:eastAsia="lv-LV"/>
              </w:rPr>
              <w:t xml:space="preserve">cāki </w:t>
            </w:r>
            <w:r w:rsidRPr="00C75648">
              <w:rPr>
                <w:rFonts w:ascii="Times New Roman" w:eastAsia="Times New Roman" w:hAnsi="Times New Roman" w:cs="Times New Roman"/>
                <w:iCs/>
                <w:sz w:val="24"/>
                <w:szCs w:val="24"/>
                <w:lang w:eastAsia="lv-LV"/>
              </w:rPr>
              <w:t>cilvēki kļūst uzņēmīgāki pret slimībām, pieaug dažādu hronisko slimību varbūtība, kā</w:t>
            </w:r>
            <w:r>
              <w:rPr>
                <w:rFonts w:ascii="Times New Roman" w:eastAsia="Times New Roman" w:hAnsi="Times New Roman" w:cs="Times New Roman"/>
                <w:iCs/>
                <w:sz w:val="24"/>
                <w:szCs w:val="24"/>
                <w:lang w:eastAsia="lv-LV"/>
              </w:rPr>
              <w:t xml:space="preserve"> arī </w:t>
            </w:r>
            <w:r w:rsidRPr="00C75648">
              <w:rPr>
                <w:rFonts w:ascii="Times New Roman" w:eastAsia="Times New Roman" w:hAnsi="Times New Roman" w:cs="Times New Roman"/>
                <w:iCs/>
                <w:sz w:val="24"/>
                <w:szCs w:val="24"/>
                <w:lang w:eastAsia="lv-LV"/>
              </w:rPr>
              <w:t>ir lielāks risks iegūt traumas,</w:t>
            </w:r>
            <w:r>
              <w:rPr>
                <w:rFonts w:ascii="Times New Roman" w:eastAsia="Times New Roman" w:hAnsi="Times New Roman" w:cs="Times New Roman"/>
                <w:iCs/>
                <w:sz w:val="24"/>
                <w:szCs w:val="24"/>
                <w:lang w:eastAsia="lv-LV"/>
              </w:rPr>
              <w:t xml:space="preserve"> jo</w:t>
            </w:r>
            <w:r w:rsidRPr="00C75648">
              <w:rPr>
                <w:rFonts w:ascii="Times New Roman" w:eastAsia="Times New Roman" w:hAnsi="Times New Roman" w:cs="Times New Roman"/>
                <w:iCs/>
                <w:sz w:val="24"/>
                <w:szCs w:val="24"/>
                <w:lang w:eastAsia="lv-LV"/>
              </w:rPr>
              <w:t xml:space="preserve"> notiek gan bioloģi</w:t>
            </w:r>
            <w:r>
              <w:rPr>
                <w:rFonts w:ascii="Times New Roman" w:eastAsia="Times New Roman" w:hAnsi="Times New Roman" w:cs="Times New Roman"/>
                <w:iCs/>
                <w:sz w:val="24"/>
                <w:szCs w:val="24"/>
                <w:lang w:eastAsia="lv-LV"/>
              </w:rPr>
              <w:t>s</w:t>
            </w:r>
            <w:r w:rsidRPr="00C75648">
              <w:rPr>
                <w:rFonts w:ascii="Times New Roman" w:eastAsia="Times New Roman" w:hAnsi="Times New Roman" w:cs="Times New Roman"/>
                <w:iCs/>
                <w:sz w:val="24"/>
                <w:szCs w:val="24"/>
                <w:lang w:eastAsia="lv-LV"/>
              </w:rPr>
              <w:t>kā, gan psiholoģiskā novecošanās, kad personai grūti ir pielāgoties jauniem apstākļiem</w:t>
            </w:r>
            <w:r>
              <w:rPr>
                <w:rFonts w:ascii="Times New Roman" w:eastAsia="Times New Roman" w:hAnsi="Times New Roman" w:cs="Times New Roman"/>
                <w:iCs/>
                <w:sz w:val="24"/>
                <w:szCs w:val="24"/>
                <w:lang w:eastAsia="lv-LV"/>
              </w:rPr>
              <w:t>. Novecošanas un slimību</w:t>
            </w: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 rezultātā</w:t>
            </w:r>
            <w:r w:rsidRPr="00C75648">
              <w:rPr>
                <w:rFonts w:ascii="Times New Roman" w:eastAsia="Times New Roman" w:hAnsi="Times New Roman" w:cs="Times New Roman"/>
                <w:iCs/>
                <w:sz w:val="24"/>
                <w:szCs w:val="24"/>
                <w:lang w:eastAsia="lv-LV"/>
              </w:rPr>
              <w:t xml:space="preserve"> cilvēka organismā notiekošās izmaiņas ir neatgriezeniskas.</w:t>
            </w:r>
            <w:r>
              <w:rPr>
                <w:rFonts w:ascii="Times New Roman" w:eastAsia="Times New Roman" w:hAnsi="Times New Roman" w:cs="Times New Roman"/>
                <w:iCs/>
                <w:sz w:val="24"/>
                <w:szCs w:val="24"/>
                <w:lang w:eastAsia="lv-LV"/>
              </w:rPr>
              <w:t xml:space="preserve"> Taču arī šajos gadījumos, lai arī personai ir iestājušies stabili un neatgriezeniski funkcionēšanas ierobežojumi, ja tie nav saistīti ar </w:t>
            </w:r>
            <w:r w:rsidRPr="001952EE">
              <w:rPr>
                <w:rFonts w:ascii="Times New Roman" w:eastAsia="Times New Roman" w:hAnsi="Times New Roman" w:cs="Times New Roman"/>
                <w:iCs/>
                <w:sz w:val="24"/>
                <w:szCs w:val="24"/>
                <w:lang w:eastAsia="lv-LV"/>
              </w:rPr>
              <w:t>7.pielikumā uzskaitītajiem anatomiskajiem defektiem vai veselības traucējumiem, invaliditāte</w:t>
            </w:r>
            <w:r>
              <w:rPr>
                <w:rFonts w:ascii="Times New Roman" w:eastAsia="Times New Roman" w:hAnsi="Times New Roman" w:cs="Times New Roman"/>
                <w:iCs/>
                <w:sz w:val="24"/>
                <w:szCs w:val="24"/>
                <w:lang w:eastAsia="lv-LV"/>
              </w:rPr>
              <w:t xml:space="preserve"> personai  pirmreizēji tiks</w:t>
            </w:r>
            <w:r w:rsidRPr="001952EE">
              <w:rPr>
                <w:rFonts w:ascii="Times New Roman" w:eastAsia="Times New Roman" w:hAnsi="Times New Roman" w:cs="Times New Roman"/>
                <w:iCs/>
                <w:sz w:val="24"/>
                <w:szCs w:val="24"/>
                <w:lang w:eastAsia="lv-LV"/>
              </w:rPr>
              <w:t xml:space="preserve"> noteikta uz pieciem gadiem, un tikai nākamajā ekspertīzes laikā invaliditāte tik</w:t>
            </w:r>
            <w:r>
              <w:rPr>
                <w:rFonts w:ascii="Times New Roman" w:eastAsia="Times New Roman" w:hAnsi="Times New Roman" w:cs="Times New Roman"/>
                <w:iCs/>
                <w:sz w:val="24"/>
                <w:szCs w:val="24"/>
                <w:lang w:eastAsia="lv-LV"/>
              </w:rPr>
              <w:t>s</w:t>
            </w:r>
            <w:r w:rsidRPr="001952EE">
              <w:rPr>
                <w:rFonts w:ascii="Times New Roman" w:eastAsia="Times New Roman" w:hAnsi="Times New Roman" w:cs="Times New Roman"/>
                <w:iCs/>
                <w:sz w:val="24"/>
                <w:szCs w:val="24"/>
                <w:lang w:eastAsia="lv-LV"/>
              </w:rPr>
              <w:t xml:space="preserve"> noteikta uz mūžu</w:t>
            </w:r>
            <w:r>
              <w:rPr>
                <w:rFonts w:ascii="Times New Roman" w:eastAsia="Times New Roman" w:hAnsi="Times New Roman" w:cs="Times New Roman"/>
                <w:iCs/>
                <w:sz w:val="24"/>
                <w:szCs w:val="24"/>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pastāv iespēja, ka kādai no personām, kurām invaliditāte noteikta uz termiņu seši mēneši, vienu gadu vai diviem gadiem, kas ir apmēram 30,0 % no kopējā personu ar invaliditāti skaita, noteiktajā invaliditātes termiņā rodas stabili un neatgriezeniski funkcionēšanas ierobežojumi, kas būtu par pamatu invaliditātei visa mūža garumā. Taču saskaņā ar šobrīd spēkā esošo regulējumu minētajai personai invaliditāti uz mūžu varēs noteikt tikai pēc divām atkārtoti veiktām invaliditātes ekspertīzēm, t.i., vienu reizi uz pieciem gadiem un otrajā reizē uz mūžu.</w:t>
            </w:r>
          </w:p>
          <w:p w:rsidR="00E83F5A" w:rsidRPr="00B519BA" w:rsidRDefault="00E83F5A" w:rsidP="0032197B">
            <w:pPr>
              <w:spacing w:after="0" w:line="240" w:lineRule="auto"/>
              <w:jc w:val="both"/>
              <w:rPr>
                <w:rFonts w:ascii="Times New Roman" w:eastAsia="Times New Roman" w:hAnsi="Times New Roman" w:cs="Times New Roman"/>
                <w:iCs/>
                <w:sz w:val="24"/>
                <w:szCs w:val="24"/>
                <w:lang w:eastAsia="lv-LV"/>
              </w:rPr>
            </w:pPr>
            <w:r w:rsidRPr="00B519BA">
              <w:rPr>
                <w:rFonts w:ascii="Times New Roman" w:eastAsia="Times New Roman" w:hAnsi="Times New Roman" w:cs="Times New Roman"/>
                <w:iCs/>
                <w:sz w:val="24"/>
                <w:szCs w:val="24"/>
                <w:lang w:eastAsia="lv-LV"/>
              </w:rPr>
              <w:t xml:space="preserve">Projekta 4.punkts paredz noteikumu 20.2.2.2. apakšpunktu izteikt jaunā redakcijā, </w:t>
            </w:r>
            <w:r>
              <w:rPr>
                <w:rFonts w:ascii="Times New Roman" w:eastAsia="Times New Roman" w:hAnsi="Times New Roman" w:cs="Times New Roman"/>
                <w:iCs/>
                <w:sz w:val="24"/>
                <w:szCs w:val="24"/>
                <w:lang w:eastAsia="lv-LV"/>
              </w:rPr>
              <w:t>lai</w:t>
            </w:r>
            <w:r w:rsidRPr="00B519BA">
              <w:rPr>
                <w:rFonts w:ascii="Times New Roman" w:eastAsia="Times New Roman" w:hAnsi="Times New Roman" w:cs="Times New Roman"/>
                <w:iCs/>
                <w:sz w:val="24"/>
                <w:szCs w:val="24"/>
                <w:lang w:eastAsia="lv-LV"/>
              </w:rPr>
              <w:t xml:space="preserve"> noteik</w:t>
            </w:r>
            <w:r>
              <w:rPr>
                <w:rFonts w:ascii="Times New Roman" w:eastAsia="Times New Roman" w:hAnsi="Times New Roman" w:cs="Times New Roman"/>
                <w:iCs/>
                <w:sz w:val="24"/>
                <w:szCs w:val="24"/>
                <w:lang w:eastAsia="lv-LV"/>
              </w:rPr>
              <w:t>tu,</w:t>
            </w:r>
            <w:r w:rsidRPr="00B519BA">
              <w:rPr>
                <w:rFonts w:ascii="Times New Roman" w:eastAsia="Times New Roman" w:hAnsi="Times New Roman" w:cs="Times New Roman"/>
                <w:iCs/>
                <w:sz w:val="24"/>
                <w:szCs w:val="24"/>
                <w:lang w:eastAsia="lv-LV"/>
              </w:rPr>
              <w:t xml:space="preserve"> ka bez atkārtota invaliditātes ekspertīzes termiņa invaliditāti varēs noteikt personai</w:t>
            </w:r>
            <w:r>
              <w:rPr>
                <w:rFonts w:ascii="Times New Roman" w:eastAsia="Times New Roman" w:hAnsi="Times New Roman" w:cs="Times New Roman"/>
                <w:iCs/>
                <w:sz w:val="24"/>
                <w:szCs w:val="24"/>
                <w:lang w:eastAsia="lv-LV"/>
              </w:rPr>
              <w:t>, kurai</w:t>
            </w:r>
            <w:r w:rsidRPr="00B519BA">
              <w:rPr>
                <w:rFonts w:ascii="Times New Roman" w:eastAsia="Times New Roman" w:hAnsi="Times New Roman" w:cs="Times New Roman"/>
                <w:iCs/>
                <w:sz w:val="24"/>
                <w:szCs w:val="24"/>
                <w:lang w:eastAsia="lv-LV"/>
              </w:rPr>
              <w:t xml:space="preserve"> ir stabili un neatgriezeniski funkcionēšanas ierobežojumi, kuru dēļ invaliditāte ir bijusi nepārtraukti noteikta ne mazāk kā piecus gadus</w:t>
            </w:r>
            <w:r>
              <w:rPr>
                <w:rFonts w:ascii="Times New Roman" w:eastAsia="Times New Roman" w:hAnsi="Times New Roman" w:cs="Times New Roman"/>
                <w:iCs/>
                <w:sz w:val="24"/>
                <w:szCs w:val="24"/>
                <w:lang w:eastAsia="lv-LV"/>
              </w:rPr>
              <w:t>,</w:t>
            </w:r>
            <w:r w:rsidRPr="00B519BA">
              <w:rPr>
                <w:rFonts w:ascii="Times New Roman" w:eastAsia="Times New Roman" w:hAnsi="Times New Roman" w:cs="Times New Roman"/>
                <w:iCs/>
                <w:sz w:val="24"/>
                <w:szCs w:val="24"/>
                <w:lang w:eastAsia="lv-LV"/>
              </w:rPr>
              <w:t xml:space="preserve"> vai arī, ja </w:t>
            </w:r>
            <w:r>
              <w:rPr>
                <w:rFonts w:ascii="Times New Roman" w:eastAsia="Times New Roman" w:hAnsi="Times New Roman" w:cs="Times New Roman"/>
                <w:iCs/>
                <w:sz w:val="24"/>
                <w:szCs w:val="24"/>
                <w:lang w:eastAsia="lv-LV"/>
              </w:rPr>
              <w:t>K</w:t>
            </w:r>
            <w:r w:rsidRPr="00B519BA">
              <w:rPr>
                <w:rFonts w:ascii="Times New Roman" w:eastAsia="Times New Roman" w:hAnsi="Times New Roman" w:cs="Times New Roman"/>
                <w:iCs/>
                <w:sz w:val="24"/>
                <w:szCs w:val="24"/>
                <w:lang w:eastAsia="lv-LV"/>
              </w:rPr>
              <w:t>omisijai ir pamats uzskatīt, ka invaliditāte varētu tikt noteikta nepārtraukti vairāk kā uz pieciem gadiem.</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Tādejādi </w:t>
            </w:r>
            <w:r w:rsidRPr="00CF494F">
              <w:rPr>
                <w:rFonts w:ascii="Times New Roman" w:eastAsia="Times New Roman" w:hAnsi="Times New Roman" w:cs="Times New Roman"/>
                <w:iCs/>
                <w:sz w:val="24"/>
                <w:szCs w:val="24"/>
                <w:lang w:eastAsia="lv-LV"/>
              </w:rPr>
              <w:t>projekts risin</w:t>
            </w:r>
            <w:r>
              <w:rPr>
                <w:rFonts w:ascii="Times New Roman" w:eastAsia="Times New Roman" w:hAnsi="Times New Roman" w:cs="Times New Roman"/>
                <w:iCs/>
                <w:sz w:val="24"/>
                <w:szCs w:val="24"/>
                <w:lang w:eastAsia="lv-LV"/>
              </w:rPr>
              <w:t>ās</w:t>
            </w:r>
            <w:r w:rsidRPr="00CF49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problēmu</w:t>
            </w:r>
            <w:r w:rsidRPr="00CF494F">
              <w:rPr>
                <w:rFonts w:ascii="Times New Roman" w:eastAsia="Times New Roman" w:hAnsi="Times New Roman" w:cs="Times New Roman"/>
                <w:iCs/>
                <w:sz w:val="24"/>
                <w:szCs w:val="24"/>
                <w:lang w:eastAsia="lv-LV"/>
              </w:rPr>
              <w:t xml:space="preserve">, ka </w:t>
            </w:r>
            <w:r>
              <w:rPr>
                <w:rFonts w:ascii="Times New Roman" w:eastAsia="Times New Roman" w:hAnsi="Times New Roman" w:cs="Times New Roman"/>
                <w:iCs/>
                <w:sz w:val="24"/>
                <w:szCs w:val="24"/>
                <w:lang w:eastAsia="lv-LV"/>
              </w:rPr>
              <w:t>personai</w:t>
            </w:r>
            <w:r w:rsidRPr="00CF49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iestājušies</w:t>
            </w:r>
            <w:r w:rsidRPr="00CF494F">
              <w:rPr>
                <w:rFonts w:ascii="Times New Roman" w:eastAsia="Times New Roman" w:hAnsi="Times New Roman" w:cs="Times New Roman"/>
                <w:iCs/>
                <w:sz w:val="24"/>
                <w:szCs w:val="24"/>
                <w:lang w:eastAsia="lv-LV"/>
              </w:rPr>
              <w:t xml:space="preserve"> slimības vai traumas radīti stabili un neatgriezeniski funkcionēšanas ierobežojumi, </w:t>
            </w:r>
            <w:r>
              <w:rPr>
                <w:rFonts w:ascii="Times New Roman" w:eastAsia="Times New Roman" w:hAnsi="Times New Roman" w:cs="Times New Roman"/>
                <w:iCs/>
                <w:sz w:val="24"/>
                <w:szCs w:val="24"/>
                <w:lang w:eastAsia="lv-LV"/>
              </w:rPr>
              <w:t xml:space="preserve">kas būtu par pamatu invaliditātei visa mūža garumā, bet </w:t>
            </w:r>
            <w:r w:rsidRPr="00CF494F">
              <w:rPr>
                <w:rFonts w:ascii="Times New Roman" w:eastAsia="Times New Roman" w:hAnsi="Times New Roman" w:cs="Times New Roman"/>
                <w:iCs/>
                <w:sz w:val="24"/>
                <w:szCs w:val="24"/>
                <w:lang w:eastAsia="lv-LV"/>
              </w:rPr>
              <w:t>kas nav saistīti ar 7.pielikumā uzskaitītajiem anatomiskajiem defektiem un</w:t>
            </w:r>
            <w:r>
              <w:rPr>
                <w:rFonts w:ascii="Times New Roman" w:eastAsia="Times New Roman" w:hAnsi="Times New Roman" w:cs="Times New Roman"/>
                <w:iCs/>
                <w:sz w:val="24"/>
                <w:szCs w:val="24"/>
                <w:lang w:eastAsia="lv-LV"/>
              </w:rPr>
              <w:t>/</w:t>
            </w:r>
            <w:r w:rsidRPr="00CF494F">
              <w:rPr>
                <w:rFonts w:ascii="Times New Roman" w:eastAsia="Times New Roman" w:hAnsi="Times New Roman" w:cs="Times New Roman"/>
                <w:iCs/>
                <w:sz w:val="24"/>
                <w:szCs w:val="24"/>
                <w:lang w:eastAsia="lv-LV"/>
              </w:rPr>
              <w:t>vai veselības traucējumi</w:t>
            </w:r>
            <w:r>
              <w:rPr>
                <w:rFonts w:ascii="Times New Roman" w:eastAsia="Times New Roman" w:hAnsi="Times New Roman" w:cs="Times New Roman"/>
                <w:iCs/>
                <w:sz w:val="24"/>
                <w:szCs w:val="24"/>
                <w:lang w:eastAsia="lv-LV"/>
              </w:rPr>
              <w:t>em, bet šobrīd nav iespējams noteikt</w:t>
            </w:r>
            <w:r w:rsidRPr="00B66252">
              <w:rPr>
                <w:rFonts w:ascii="Times New Roman" w:eastAsia="Times New Roman" w:hAnsi="Times New Roman" w:cs="Times New Roman"/>
                <w:iCs/>
                <w:sz w:val="24"/>
                <w:szCs w:val="24"/>
                <w:lang w:eastAsia="lv-LV"/>
              </w:rPr>
              <w:t xml:space="preserve"> invaliditāti bez atkātota ekspertīzes termiņa </w:t>
            </w:r>
            <w:r>
              <w:rPr>
                <w:rFonts w:ascii="Times New Roman" w:eastAsia="Times New Roman" w:hAnsi="Times New Roman" w:cs="Times New Roman"/>
                <w:iCs/>
                <w:sz w:val="24"/>
                <w:szCs w:val="24"/>
                <w:lang w:eastAsia="lv-LV"/>
              </w:rPr>
              <w:t>jeb uz mūžu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Ja komisija, veicot pirmreizēju vai atkārtotu invaliditātes </w:t>
            </w:r>
            <w:r>
              <w:rPr>
                <w:rFonts w:ascii="Times New Roman" w:eastAsia="Times New Roman" w:hAnsi="Times New Roman" w:cs="Times New Roman"/>
                <w:iCs/>
                <w:sz w:val="24"/>
                <w:szCs w:val="24"/>
                <w:lang w:eastAsia="lv-LV"/>
              </w:rPr>
              <w:lastRenderedPageBreak/>
              <w:t xml:space="preserve">ekspertīzi, pēc iesniegtajos dokumentos esošās informācijas varēs pamatoti secināt, ka minētie funkcionēšanas ierobežojumi personai saglabāsies visas dzīves laika, Komisija būs tiesīga noteikt personai invaliditāti bez atkārtota invaliditātes ekspertīzes termiņa jeb uz mūžu.  </w:t>
            </w:r>
            <w:r w:rsidRPr="00B66252">
              <w:rPr>
                <w:rFonts w:ascii="Times New Roman" w:eastAsia="Times New Roman" w:hAnsi="Times New Roman" w:cs="Times New Roman"/>
                <w:iCs/>
                <w:sz w:val="24"/>
                <w:szCs w:val="24"/>
                <w:lang w:eastAsia="lv-LV"/>
              </w:rPr>
              <w:t xml:space="preserve">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Tas savukārt dos iespēju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personām </w:t>
            </w:r>
            <w:r w:rsidRPr="00B66252">
              <w:rPr>
                <w:rFonts w:ascii="Times New Roman" w:eastAsia="Times New Roman" w:hAnsi="Times New Roman" w:cs="Times New Roman"/>
                <w:iCs/>
                <w:sz w:val="24"/>
                <w:szCs w:val="24"/>
                <w:lang w:eastAsia="lv-LV"/>
              </w:rPr>
              <w:t>saņemt sociālās garantijas</w:t>
            </w:r>
            <w:r>
              <w:rPr>
                <w:rFonts w:ascii="Times New Roman" w:eastAsia="Times New Roman" w:hAnsi="Times New Roman" w:cs="Times New Roman"/>
                <w:iCs/>
                <w:sz w:val="24"/>
                <w:szCs w:val="24"/>
                <w:lang w:eastAsia="lv-LV"/>
              </w:rPr>
              <w:t xml:space="preserve"> visa mūža garumā</w:t>
            </w:r>
            <w:r w:rsidRPr="00B66252">
              <w:rPr>
                <w:rFonts w:ascii="Times New Roman" w:eastAsia="Times New Roman" w:hAnsi="Times New Roman" w:cs="Times New Roman"/>
                <w:iCs/>
                <w:sz w:val="24"/>
                <w:szCs w:val="24"/>
                <w:lang w:eastAsia="lv-LV"/>
              </w:rPr>
              <w:t xml:space="preserve"> bez atkārtotas dokumentu kārtošanas un iesniegšanas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omisijā.</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minētais projekts neizslēdz iespēju, lai arī personai būs noteikta </w:t>
            </w:r>
            <w:r w:rsidRPr="00A17A9D">
              <w:rPr>
                <w:rFonts w:ascii="Times New Roman" w:eastAsia="Times New Roman" w:hAnsi="Times New Roman" w:cs="Times New Roman"/>
                <w:iCs/>
                <w:sz w:val="24"/>
                <w:szCs w:val="24"/>
                <w:lang w:eastAsia="lv-LV"/>
              </w:rPr>
              <w:t xml:space="preserve">invaliditāte </w:t>
            </w:r>
            <w:r>
              <w:rPr>
                <w:rFonts w:ascii="Times New Roman" w:eastAsia="Times New Roman" w:hAnsi="Times New Roman" w:cs="Times New Roman"/>
                <w:iCs/>
                <w:sz w:val="24"/>
                <w:szCs w:val="24"/>
                <w:lang w:eastAsia="lv-LV"/>
              </w:rPr>
              <w:t>uz mūžu,</w:t>
            </w:r>
            <w:r w:rsidRPr="00A17A9D">
              <w:rPr>
                <w:rFonts w:ascii="Times New Roman" w:eastAsia="Times New Roman" w:hAnsi="Times New Roman" w:cs="Times New Roman"/>
                <w:iCs/>
                <w:sz w:val="24"/>
                <w:szCs w:val="24"/>
                <w:lang w:eastAsia="lv-LV"/>
              </w:rPr>
              <w:t xml:space="preserve"> mainoties funkcionēšanas ierobežojumu smaguma pakāpei</w:t>
            </w:r>
            <w:r>
              <w:rPr>
                <w:rFonts w:ascii="Times New Roman" w:eastAsia="Times New Roman" w:hAnsi="Times New Roman" w:cs="Times New Roman"/>
                <w:iCs/>
                <w:sz w:val="24"/>
                <w:szCs w:val="24"/>
                <w:lang w:eastAsia="lv-LV"/>
              </w:rPr>
              <w:t>,</w:t>
            </w:r>
            <w:r w:rsidRPr="00A17A9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iesniegt pieprasījumu</w:t>
            </w:r>
            <w:r w:rsidRPr="00A17A9D">
              <w:rPr>
                <w:rFonts w:ascii="Times New Roman" w:eastAsia="Times New Roman" w:hAnsi="Times New Roman" w:cs="Times New Roman"/>
                <w:iCs/>
                <w:sz w:val="24"/>
                <w:szCs w:val="24"/>
                <w:lang w:eastAsia="lv-LV"/>
              </w:rPr>
              <w:t xml:space="preserve"> veikt atkārtotu ekspertīzi.</w:t>
            </w:r>
          </w:p>
          <w:p w:rsidR="00E83F5A" w:rsidRDefault="00E83F5A"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 xml:space="preserve">Saskaņā ar noteikumu 2.punktu un 3.punktu, lai veiktu prognozējamas invaliditātes ekspertīzi, invaliditātes vai darbspēju ekspertīzi, persona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 xml:space="preserve">omisijā iesniedz </w:t>
            </w:r>
            <w:r w:rsidR="00F50343">
              <w:rPr>
                <w:rFonts w:ascii="Times New Roman" w:eastAsia="Times New Roman" w:hAnsi="Times New Roman" w:cs="Times New Roman"/>
                <w:iCs/>
                <w:sz w:val="24"/>
                <w:szCs w:val="24"/>
                <w:lang w:eastAsia="lv-LV"/>
              </w:rPr>
              <w:t xml:space="preserve">iesniegumu un tai </w:t>
            </w:r>
            <w:r w:rsidRPr="00912FE0">
              <w:rPr>
                <w:rFonts w:ascii="Times New Roman" w:eastAsia="Times New Roman" w:hAnsi="Times New Roman" w:cs="Times New Roman"/>
                <w:iCs/>
                <w:sz w:val="24"/>
                <w:szCs w:val="24"/>
                <w:lang w:eastAsia="lv-LV"/>
              </w:rPr>
              <w:t>nepieciešamos dokumentus, tai skaitā  darbnespējas lapu B, ja tāda ir izsniegta.</w:t>
            </w:r>
          </w:p>
          <w:p w:rsidR="005E3F5B" w:rsidRPr="005E3F5B" w:rsidRDefault="00F50343" w:rsidP="005E3F5B">
            <w:pPr>
              <w:spacing w:after="0" w:line="240" w:lineRule="auto"/>
              <w:jc w:val="both"/>
              <w:rPr>
                <w:rFonts w:ascii="Times New Roman" w:eastAsia="Times New Roman" w:hAnsi="Times New Roman" w:cs="Times New Roman"/>
                <w:iCs/>
                <w:sz w:val="24"/>
                <w:szCs w:val="24"/>
                <w:lang w:eastAsia="lv-LV"/>
              </w:rPr>
            </w:pPr>
            <w:r w:rsidRPr="005E3F5B">
              <w:rPr>
                <w:rFonts w:ascii="Times New Roman" w:eastAsia="Times New Roman" w:hAnsi="Times New Roman" w:cs="Times New Roman"/>
                <w:iCs/>
                <w:sz w:val="24"/>
                <w:szCs w:val="24"/>
                <w:lang w:eastAsia="lv-LV"/>
              </w:rPr>
              <w:t xml:space="preserve">Lai saņemtu invaliditātes ekspertīzes pakalpojumu, persona iesniegumu un dokumentus komisijai var iesniegt </w:t>
            </w:r>
            <w:r w:rsidR="0038408F" w:rsidRPr="005E3F5B">
              <w:rPr>
                <w:rFonts w:ascii="Times New Roman" w:eastAsia="Times New Roman" w:hAnsi="Times New Roman" w:cs="Times New Roman"/>
                <w:iCs/>
                <w:sz w:val="24"/>
                <w:szCs w:val="24"/>
                <w:lang w:eastAsia="lv-LV"/>
              </w:rPr>
              <w:t>personīgi vai ar</w:t>
            </w:r>
            <w:r w:rsidR="0038408F" w:rsidRPr="005E3F5B">
              <w:t xml:space="preserve"> </w:t>
            </w:r>
            <w:r w:rsidR="0038408F" w:rsidRPr="005E3F5B">
              <w:rPr>
                <w:rFonts w:ascii="Times New Roman" w:eastAsia="Times New Roman" w:hAnsi="Times New Roman" w:cs="Times New Roman"/>
                <w:iCs/>
                <w:sz w:val="24"/>
                <w:szCs w:val="24"/>
                <w:lang w:eastAsia="lv-LV"/>
              </w:rPr>
              <w:t xml:space="preserve">pilnvarotās personas starpniecību </w:t>
            </w:r>
            <w:r w:rsidR="005E3F5B" w:rsidRPr="005E3F5B">
              <w:rPr>
                <w:rFonts w:ascii="Times New Roman" w:eastAsia="Times New Roman" w:hAnsi="Times New Roman" w:cs="Times New Roman"/>
                <w:iCs/>
                <w:sz w:val="24"/>
                <w:szCs w:val="24"/>
                <w:lang w:eastAsia="lv-LV"/>
              </w:rPr>
              <w:t>izmantojot gan klātienes</w:t>
            </w:r>
            <w:r w:rsidR="005E3F5B">
              <w:rPr>
                <w:rFonts w:ascii="Times New Roman" w:eastAsia="Times New Roman" w:hAnsi="Times New Roman" w:cs="Times New Roman"/>
                <w:iCs/>
                <w:sz w:val="24"/>
                <w:szCs w:val="24"/>
                <w:lang w:eastAsia="lv-LV"/>
              </w:rPr>
              <w:t xml:space="preserve"> </w:t>
            </w:r>
            <w:r w:rsidR="005E3F5B" w:rsidRPr="005E3F5B">
              <w:rPr>
                <w:rFonts w:ascii="Times New Roman" w:eastAsia="Times New Roman" w:hAnsi="Times New Roman" w:cs="Times New Roman"/>
                <w:iCs/>
                <w:sz w:val="24"/>
                <w:szCs w:val="24"/>
                <w:lang w:eastAsia="lv-LV"/>
              </w:rPr>
              <w:t>(uzrādot personu apliecinošu dokumentu</w:t>
            </w:r>
            <w:r w:rsidR="005E3F5B">
              <w:rPr>
                <w:rFonts w:ascii="Times New Roman" w:eastAsia="Times New Roman" w:hAnsi="Times New Roman" w:cs="Times New Roman"/>
                <w:iCs/>
                <w:sz w:val="24"/>
                <w:szCs w:val="24"/>
                <w:lang w:eastAsia="lv-LV"/>
              </w:rPr>
              <w:t xml:space="preserve"> un pilnvaru, ja iesniedz pilnvarotā persona</w:t>
            </w:r>
            <w:r w:rsidR="005E3F5B" w:rsidRPr="005E3F5B">
              <w:rPr>
                <w:rFonts w:ascii="Times New Roman" w:eastAsia="Times New Roman" w:hAnsi="Times New Roman" w:cs="Times New Roman"/>
                <w:iCs/>
                <w:sz w:val="24"/>
                <w:szCs w:val="24"/>
                <w:lang w:eastAsia="lv-LV"/>
              </w:rPr>
              <w:t>), gan neklātienes kanālus (pa pastu, elektroniski (parakstītu ar drošu elektronisko parakstu), izmantojot oficiālo elektronisko adresi</w:t>
            </w:r>
            <w:r w:rsidR="005E3F5B">
              <w:rPr>
                <w:rFonts w:ascii="Times New Roman" w:eastAsia="Times New Roman" w:hAnsi="Times New Roman" w:cs="Times New Roman"/>
                <w:iCs/>
                <w:sz w:val="24"/>
                <w:szCs w:val="24"/>
                <w:lang w:eastAsia="lv-LV"/>
              </w:rPr>
              <w:t>,</w:t>
            </w:r>
            <w:r w:rsidR="005E3F5B" w:rsidRPr="005E3F5B">
              <w:rPr>
                <w:rFonts w:ascii="Times New Roman" w:eastAsia="Times New Roman" w:hAnsi="Times New Roman" w:cs="Times New Roman"/>
                <w:iCs/>
                <w:sz w:val="24"/>
                <w:szCs w:val="24"/>
                <w:lang w:eastAsia="lv-LV"/>
              </w:rPr>
              <w:t xml:space="preserve"> vai iesniedzot iesniegumu iestādei, izmantojot valsts pārvaldes pakalpojumu portālu www.latvija.lv).</w:t>
            </w:r>
          </w:p>
          <w:p w:rsidR="005E3F5B" w:rsidRPr="005E3F5B" w:rsidRDefault="005E3F5B" w:rsidP="005E3F5B">
            <w:pPr>
              <w:spacing w:after="0" w:line="240" w:lineRule="auto"/>
              <w:jc w:val="both"/>
              <w:rPr>
                <w:rFonts w:ascii="Times New Roman" w:eastAsia="Times New Roman" w:hAnsi="Times New Roman" w:cs="Times New Roman"/>
                <w:iCs/>
                <w:sz w:val="24"/>
                <w:szCs w:val="24"/>
                <w:lang w:eastAsia="lv-LV"/>
              </w:rPr>
            </w:pPr>
            <w:r w:rsidRPr="005E3F5B">
              <w:rPr>
                <w:rFonts w:ascii="Times New Roman" w:eastAsia="Times New Roman" w:hAnsi="Times New Roman" w:cs="Times New Roman"/>
                <w:iCs/>
                <w:sz w:val="24"/>
                <w:szCs w:val="24"/>
                <w:lang w:eastAsia="lv-LV"/>
              </w:rPr>
              <w:t xml:space="preserve">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912FE0">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a 1. un 2.punkts</w:t>
            </w:r>
            <w:r w:rsidRPr="00912FE0">
              <w:rPr>
                <w:rFonts w:ascii="Times New Roman" w:eastAsia="Times New Roman" w:hAnsi="Times New Roman" w:cs="Times New Roman"/>
                <w:iCs/>
                <w:sz w:val="24"/>
                <w:szCs w:val="24"/>
                <w:lang w:eastAsia="lv-LV"/>
              </w:rPr>
              <w:t xml:space="preserve"> paredz svītrot </w:t>
            </w:r>
            <w:r>
              <w:rPr>
                <w:rFonts w:ascii="Times New Roman" w:eastAsia="Times New Roman" w:hAnsi="Times New Roman" w:cs="Times New Roman"/>
                <w:iCs/>
                <w:sz w:val="24"/>
                <w:szCs w:val="24"/>
                <w:lang w:eastAsia="lv-LV"/>
              </w:rPr>
              <w:t>noteikumu</w:t>
            </w:r>
            <w:r>
              <w:t xml:space="preserve"> </w:t>
            </w:r>
            <w:r w:rsidRPr="00912FE0">
              <w:rPr>
                <w:rFonts w:ascii="Times New Roman" w:eastAsia="Times New Roman" w:hAnsi="Times New Roman" w:cs="Times New Roman"/>
                <w:iCs/>
                <w:sz w:val="24"/>
                <w:szCs w:val="24"/>
                <w:lang w:eastAsia="lv-LV"/>
              </w:rPr>
              <w:t>2.3.apakšpunktu un 3.4.apakšpunktu, kas uzliek par pienākumu personai kopā ar iesniegumu invaliditātes ekspertīzei un invaliditātes un darbspēju ekspertīzei iesniegt darba nespējas lapu</w:t>
            </w:r>
            <w:r>
              <w:rPr>
                <w:rFonts w:ascii="Times New Roman" w:eastAsia="Times New Roman" w:hAnsi="Times New Roman" w:cs="Times New Roman"/>
                <w:iCs/>
                <w:sz w:val="24"/>
                <w:szCs w:val="24"/>
                <w:lang w:eastAsia="lv-LV"/>
              </w:rPr>
              <w:t xml:space="preserve"> B.</w:t>
            </w:r>
            <w:r w:rsidRPr="00912FE0">
              <w:rPr>
                <w:rFonts w:ascii="Times New Roman" w:eastAsia="Times New Roman" w:hAnsi="Times New Roman" w:cs="Times New Roman"/>
                <w:iCs/>
                <w:sz w:val="24"/>
                <w:szCs w:val="24"/>
                <w:lang w:eastAsia="lv-LV"/>
              </w:rPr>
              <w:t xml:space="preserve"> </w:t>
            </w:r>
          </w:p>
          <w:p w:rsidR="00E83F5A" w:rsidRPr="00912FE0" w:rsidRDefault="00E83F5A" w:rsidP="0032197B">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 xml:space="preserve">Atbilstoši Ministru kabineta 2001.gada 3.aprīļa noteikumiem Nr.152 „Darbnespējas lapu izsniegšanas kārtība” no 2018.gada 1.janvāra darbnespējas lapa tiek sagatavota un reģistrēta </w:t>
            </w:r>
            <w:r>
              <w:rPr>
                <w:rFonts w:ascii="Times New Roman" w:eastAsia="Times New Roman" w:hAnsi="Times New Roman" w:cs="Times New Roman"/>
                <w:iCs/>
                <w:sz w:val="24"/>
                <w:szCs w:val="24"/>
                <w:lang w:eastAsia="lv-LV"/>
              </w:rPr>
              <w:t xml:space="preserve">Vienotajā veselības nozares elektroniskajā informācijas sistēmā (turpmāk - </w:t>
            </w:r>
            <w:r w:rsidRPr="007A68ED">
              <w:rPr>
                <w:rFonts w:ascii="Times New Roman" w:eastAsia="Times New Roman" w:hAnsi="Times New Roman" w:cs="Times New Roman"/>
                <w:iCs/>
                <w:sz w:val="24"/>
                <w:szCs w:val="24"/>
                <w:lang w:eastAsia="lv-LV"/>
              </w:rPr>
              <w:t>E-veselības sistēma</w:t>
            </w:r>
            <w:r>
              <w:rPr>
                <w:rFonts w:ascii="Times New Roman" w:eastAsia="Times New Roman" w:hAnsi="Times New Roman" w:cs="Times New Roman"/>
                <w:iCs/>
                <w:sz w:val="24"/>
                <w:szCs w:val="24"/>
                <w:lang w:eastAsia="lv-LV"/>
              </w:rPr>
              <w:t>)</w:t>
            </w:r>
            <w:r w:rsidRPr="00912FE0">
              <w:rPr>
                <w:rFonts w:ascii="Times New Roman" w:eastAsia="Times New Roman" w:hAnsi="Times New Roman" w:cs="Times New Roman"/>
                <w:iCs/>
                <w:sz w:val="24"/>
                <w:szCs w:val="24"/>
                <w:lang w:eastAsia="lv-LV"/>
              </w:rPr>
              <w:t>. Tas nozīmē, ka no 2018.gada 1.j</w:t>
            </w:r>
            <w:r>
              <w:rPr>
                <w:rFonts w:ascii="Times New Roman" w:eastAsia="Times New Roman" w:hAnsi="Times New Roman" w:cs="Times New Roman"/>
                <w:iCs/>
                <w:sz w:val="24"/>
                <w:szCs w:val="24"/>
                <w:lang w:eastAsia="lv-LV"/>
              </w:rPr>
              <w:t>a</w:t>
            </w:r>
            <w:r w:rsidRPr="00912FE0">
              <w:rPr>
                <w:rFonts w:ascii="Times New Roman" w:eastAsia="Times New Roman" w:hAnsi="Times New Roman" w:cs="Times New Roman"/>
                <w:iCs/>
                <w:sz w:val="24"/>
                <w:szCs w:val="24"/>
                <w:lang w:eastAsia="lv-LV"/>
              </w:rPr>
              <w:t>nvāra darbnespējas lapas ti</w:t>
            </w:r>
            <w:r>
              <w:rPr>
                <w:rFonts w:ascii="Times New Roman" w:eastAsia="Times New Roman" w:hAnsi="Times New Roman" w:cs="Times New Roman"/>
                <w:iCs/>
                <w:sz w:val="24"/>
                <w:szCs w:val="24"/>
                <w:lang w:eastAsia="lv-LV"/>
              </w:rPr>
              <w:t>ek</w:t>
            </w:r>
            <w:r w:rsidRPr="00912FE0">
              <w:rPr>
                <w:rFonts w:ascii="Times New Roman" w:eastAsia="Times New Roman" w:hAnsi="Times New Roman" w:cs="Times New Roman"/>
                <w:iCs/>
                <w:sz w:val="24"/>
                <w:szCs w:val="24"/>
                <w:lang w:eastAsia="lv-LV"/>
              </w:rPr>
              <w:t xml:space="preserve"> atvērtas, </w:t>
            </w:r>
            <w:r>
              <w:rPr>
                <w:rFonts w:ascii="Times New Roman" w:eastAsia="Times New Roman" w:hAnsi="Times New Roman" w:cs="Times New Roman"/>
                <w:iCs/>
                <w:sz w:val="24"/>
                <w:szCs w:val="24"/>
                <w:lang w:eastAsia="lv-LV"/>
              </w:rPr>
              <w:t>p</w:t>
            </w:r>
            <w:r w:rsidRPr="00912FE0">
              <w:rPr>
                <w:rFonts w:ascii="Times New Roman" w:eastAsia="Times New Roman" w:hAnsi="Times New Roman" w:cs="Times New Roman"/>
                <w:iCs/>
                <w:sz w:val="24"/>
                <w:szCs w:val="24"/>
                <w:lang w:eastAsia="lv-LV"/>
              </w:rPr>
              <w:t xml:space="preserve">agarinātas un noslēgtas elektroniski un papīra formā personai vairs </w:t>
            </w:r>
            <w:r w:rsidRPr="00E83F5A">
              <w:rPr>
                <w:rFonts w:ascii="Times New Roman" w:eastAsia="Times New Roman" w:hAnsi="Times New Roman" w:cs="Times New Roman"/>
                <w:iCs/>
                <w:sz w:val="24"/>
                <w:szCs w:val="24"/>
                <w:lang w:eastAsia="lv-LV"/>
              </w:rPr>
              <w:t>netiek</w:t>
            </w:r>
            <w:r>
              <w:rPr>
                <w:rFonts w:ascii="Times New Roman" w:eastAsia="Times New Roman" w:hAnsi="Times New Roman" w:cs="Times New Roman"/>
                <w:iCs/>
                <w:sz w:val="24"/>
                <w:szCs w:val="24"/>
                <w:lang w:eastAsia="lv-LV"/>
              </w:rPr>
              <w:t xml:space="preserve"> </w:t>
            </w:r>
            <w:r w:rsidRPr="00912FE0">
              <w:rPr>
                <w:rFonts w:ascii="Times New Roman" w:eastAsia="Times New Roman" w:hAnsi="Times New Roman" w:cs="Times New Roman"/>
                <w:iCs/>
                <w:sz w:val="24"/>
                <w:szCs w:val="24"/>
                <w:lang w:eastAsia="lv-LV"/>
              </w:rPr>
              <w:t>izsniegtas.</w:t>
            </w:r>
          </w:p>
          <w:p w:rsidR="00E83F5A" w:rsidRPr="00912FE0" w:rsidRDefault="00E83F5A" w:rsidP="0032197B">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 xml:space="preserve">Pacientu tiesību likuma </w:t>
            </w:r>
            <w:r w:rsidRPr="00E83F5A">
              <w:rPr>
                <w:rFonts w:ascii="Times New Roman" w:eastAsia="Times New Roman" w:hAnsi="Times New Roman" w:cs="Times New Roman"/>
                <w:iCs/>
                <w:sz w:val="24"/>
                <w:szCs w:val="24"/>
                <w:lang w:eastAsia="lv-LV"/>
              </w:rPr>
              <w:t xml:space="preserve">10.panta </w:t>
            </w:r>
            <w:r w:rsidRPr="00912FE0">
              <w:rPr>
                <w:rFonts w:ascii="Times New Roman" w:eastAsia="Times New Roman" w:hAnsi="Times New Roman" w:cs="Times New Roman"/>
                <w:iCs/>
                <w:sz w:val="24"/>
                <w:szCs w:val="24"/>
                <w:lang w:eastAsia="lv-LV"/>
              </w:rPr>
              <w:t>5.</w:t>
            </w:r>
            <w:r w:rsidRPr="00912FE0">
              <w:rPr>
                <w:rFonts w:ascii="Times New Roman" w:eastAsia="Times New Roman" w:hAnsi="Times New Roman" w:cs="Times New Roman"/>
                <w:iCs/>
                <w:sz w:val="24"/>
                <w:szCs w:val="24"/>
                <w:vertAlign w:val="superscript"/>
                <w:lang w:eastAsia="lv-LV"/>
              </w:rPr>
              <w:t xml:space="preserve">2 </w:t>
            </w:r>
            <w:r>
              <w:rPr>
                <w:rFonts w:ascii="Times New Roman" w:eastAsia="Times New Roman" w:hAnsi="Times New Roman" w:cs="Times New Roman"/>
                <w:iCs/>
                <w:sz w:val="24"/>
                <w:szCs w:val="24"/>
                <w:lang w:eastAsia="lv-LV"/>
              </w:rPr>
              <w:t>daļa p</w:t>
            </w:r>
            <w:r w:rsidRPr="00912FE0">
              <w:rPr>
                <w:rFonts w:ascii="Times New Roman" w:eastAsia="Times New Roman" w:hAnsi="Times New Roman" w:cs="Times New Roman"/>
                <w:iCs/>
                <w:sz w:val="24"/>
                <w:szCs w:val="24"/>
                <w:lang w:eastAsia="lv-LV"/>
              </w:rPr>
              <w:t xml:space="preserve">aredz, ka  </w:t>
            </w:r>
            <w:r w:rsidRPr="003B16DB">
              <w:rPr>
                <w:rFonts w:ascii="Times New Roman" w:eastAsia="Times New Roman" w:hAnsi="Times New Roman" w:cs="Times New Roman"/>
                <w:iCs/>
                <w:sz w:val="24"/>
                <w:szCs w:val="24"/>
                <w:lang w:eastAsia="lv-LV"/>
              </w:rPr>
              <w:t>E-veselības sistēma</w:t>
            </w:r>
            <w:r w:rsidRPr="00912FE0">
              <w:rPr>
                <w:rFonts w:ascii="Times New Roman" w:eastAsia="Times New Roman" w:hAnsi="Times New Roman" w:cs="Times New Roman"/>
                <w:iCs/>
                <w:sz w:val="24"/>
                <w:szCs w:val="24"/>
                <w:lang w:eastAsia="lv-LV"/>
              </w:rPr>
              <w:t xml:space="preserve"> uzkrāto informāciju par pacientu normatīvajos aktos par </w:t>
            </w:r>
            <w:r w:rsidRPr="007A68ED">
              <w:rPr>
                <w:rFonts w:ascii="Times New Roman" w:eastAsia="Times New Roman" w:hAnsi="Times New Roman" w:cs="Times New Roman"/>
                <w:iCs/>
                <w:sz w:val="24"/>
                <w:szCs w:val="24"/>
                <w:lang w:eastAsia="lv-LV"/>
              </w:rPr>
              <w:t xml:space="preserve">E-veselības sistēma </w:t>
            </w:r>
            <w:r w:rsidRPr="00912FE0">
              <w:rPr>
                <w:rFonts w:ascii="Times New Roman" w:eastAsia="Times New Roman" w:hAnsi="Times New Roman" w:cs="Times New Roman"/>
                <w:iCs/>
                <w:sz w:val="24"/>
                <w:szCs w:val="24"/>
                <w:lang w:eastAsia="lv-LV"/>
              </w:rPr>
              <w:t xml:space="preserve">apstrādājamiem datiem noteiktajā kārtībā un apjomā prognozējamas invaliditātes un invaliditātes ekspertīzei un darbspēju zaudējuma noteikšanai apstrādā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omisija.</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E83F5A">
              <w:rPr>
                <w:rFonts w:ascii="Times New Roman" w:eastAsia="Times New Roman" w:hAnsi="Times New Roman" w:cs="Times New Roman"/>
                <w:iCs/>
                <w:sz w:val="24"/>
                <w:szCs w:val="24"/>
                <w:lang w:eastAsia="lv-LV"/>
              </w:rPr>
              <w:t xml:space="preserve">2019.gada 20.augustā starp Valsts komisiju un Nacionālo veselības dienestu ir noslēgts līgums </w:t>
            </w:r>
            <w:r w:rsidRPr="007A68ED">
              <w:rPr>
                <w:rFonts w:ascii="Times New Roman" w:eastAsia="Times New Roman" w:hAnsi="Times New Roman" w:cs="Times New Roman"/>
                <w:iCs/>
                <w:sz w:val="24"/>
                <w:szCs w:val="24"/>
                <w:lang w:eastAsia="lv-LV"/>
              </w:rPr>
              <w:t xml:space="preserve">par </w:t>
            </w:r>
            <w:r w:rsidRPr="003B16DB">
              <w:rPr>
                <w:rFonts w:ascii="Times New Roman" w:eastAsia="Times New Roman" w:hAnsi="Times New Roman" w:cs="Times New Roman"/>
                <w:iCs/>
                <w:sz w:val="24"/>
                <w:szCs w:val="24"/>
                <w:lang w:eastAsia="lv-LV"/>
              </w:rPr>
              <w:t xml:space="preserve">E-veselības sistēma </w:t>
            </w:r>
            <w:r w:rsidRPr="007A68ED">
              <w:rPr>
                <w:rFonts w:ascii="Times New Roman" w:eastAsia="Times New Roman" w:hAnsi="Times New Roman" w:cs="Times New Roman"/>
                <w:iCs/>
                <w:sz w:val="24"/>
                <w:szCs w:val="24"/>
                <w:lang w:eastAsia="lv-LV"/>
              </w:rPr>
              <w:t>izmantošanu</w:t>
            </w:r>
            <w:r>
              <w:rPr>
                <w:rFonts w:ascii="Times New Roman" w:eastAsia="Times New Roman" w:hAnsi="Times New Roman" w:cs="Times New Roman"/>
                <w:iCs/>
                <w:sz w:val="24"/>
                <w:szCs w:val="24"/>
                <w:lang w:eastAsia="lv-LV"/>
              </w:rPr>
              <w:t xml:space="preserve">. Saskaņā  ar līgumu komisijai ir nodrošināta piekļuve E-veselības sistēmai, kā arī ir tiesības veikt personu </w:t>
            </w:r>
            <w:r>
              <w:rPr>
                <w:rFonts w:ascii="Times New Roman" w:eastAsia="Times New Roman" w:hAnsi="Times New Roman" w:cs="Times New Roman"/>
                <w:iCs/>
                <w:sz w:val="24"/>
                <w:szCs w:val="24"/>
                <w:lang w:eastAsia="lv-LV"/>
              </w:rPr>
              <w:lastRenderedPageBreak/>
              <w:t xml:space="preserve">datu apstrādi. </w:t>
            </w:r>
            <w:r w:rsidRPr="00912FE0">
              <w:rPr>
                <w:rFonts w:ascii="Times New Roman" w:eastAsia="Times New Roman" w:hAnsi="Times New Roman" w:cs="Times New Roman"/>
                <w:iCs/>
                <w:sz w:val="24"/>
                <w:szCs w:val="24"/>
                <w:lang w:eastAsia="lv-LV"/>
              </w:rPr>
              <w:t xml:space="preserve">Līdz ar to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omisija</w:t>
            </w:r>
            <w:r>
              <w:rPr>
                <w:rFonts w:ascii="Times New Roman" w:eastAsia="Times New Roman" w:hAnsi="Times New Roman" w:cs="Times New Roman"/>
                <w:iCs/>
                <w:sz w:val="24"/>
                <w:szCs w:val="24"/>
                <w:lang w:eastAsia="lv-LV"/>
              </w:rPr>
              <w:t>s ārsti</w:t>
            </w:r>
            <w:r w:rsidRPr="00912FE0">
              <w:rPr>
                <w:rFonts w:ascii="Times New Roman" w:eastAsia="Times New Roman" w:hAnsi="Times New Roman" w:cs="Times New Roman"/>
                <w:iCs/>
                <w:sz w:val="24"/>
                <w:szCs w:val="24"/>
                <w:lang w:eastAsia="lv-LV"/>
              </w:rPr>
              <w:t xml:space="preserve"> prognozējamas invaliditātes un invaliditātes ekspertīzei par personai izsniegto darbnespējas lapu B var pārliecināties </w:t>
            </w:r>
            <w:r>
              <w:rPr>
                <w:rFonts w:ascii="Times New Roman" w:eastAsia="Times New Roman" w:hAnsi="Times New Roman" w:cs="Times New Roman"/>
                <w:iCs/>
                <w:sz w:val="24"/>
                <w:szCs w:val="24"/>
                <w:lang w:eastAsia="lv-LV"/>
              </w:rPr>
              <w:t>E-veselības sistēmā</w:t>
            </w:r>
            <w:r w:rsidRPr="00912FE0">
              <w:rPr>
                <w:rFonts w:ascii="Times New Roman" w:eastAsia="Times New Roman" w:hAnsi="Times New Roman" w:cs="Times New Roman"/>
                <w:iCs/>
                <w:sz w:val="24"/>
                <w:szCs w:val="24"/>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noteikumu 7.punktu, j</w:t>
            </w:r>
            <w:r w:rsidRPr="00881090">
              <w:rPr>
                <w:rFonts w:ascii="Times New Roman" w:eastAsia="Times New Roman" w:hAnsi="Times New Roman" w:cs="Times New Roman"/>
                <w:iCs/>
                <w:sz w:val="24"/>
                <w:szCs w:val="24"/>
                <w:lang w:eastAsia="lv-LV"/>
              </w:rPr>
              <w:t>a, nosakot medicīniskās indikācijas īpašai kopšanai personai no 18 gadu vecuma, ir nepieciešams ikdienā veicamo darbību un vides novērtējums</w:t>
            </w:r>
            <w:r>
              <w:rPr>
                <w:rFonts w:ascii="Times New Roman" w:eastAsia="Times New Roman" w:hAnsi="Times New Roman" w:cs="Times New Roman"/>
                <w:iCs/>
                <w:sz w:val="24"/>
                <w:szCs w:val="24"/>
                <w:lang w:eastAsia="lv-LV"/>
              </w:rPr>
              <w:t xml:space="preserve"> (turpmāk – novērtējums)</w:t>
            </w:r>
            <w:r w:rsidRPr="00881090">
              <w:rPr>
                <w:rFonts w:ascii="Times New Roman" w:eastAsia="Times New Roman" w:hAnsi="Times New Roman" w:cs="Times New Roman"/>
                <w:iCs/>
                <w:sz w:val="24"/>
                <w:szCs w:val="24"/>
                <w:lang w:eastAsia="lv-LV"/>
              </w:rPr>
              <w:t xml:space="preserve">, pēc </w:t>
            </w:r>
            <w:r>
              <w:rPr>
                <w:rFonts w:ascii="Times New Roman" w:eastAsia="Times New Roman" w:hAnsi="Times New Roman" w:cs="Times New Roman"/>
                <w:iCs/>
                <w:sz w:val="24"/>
                <w:szCs w:val="24"/>
                <w:lang w:eastAsia="lv-LV"/>
              </w:rPr>
              <w:t>K</w:t>
            </w:r>
            <w:r w:rsidRPr="00881090">
              <w:rPr>
                <w:rFonts w:ascii="Times New Roman" w:eastAsia="Times New Roman" w:hAnsi="Times New Roman" w:cs="Times New Roman"/>
                <w:iCs/>
                <w:sz w:val="24"/>
                <w:szCs w:val="24"/>
                <w:lang w:eastAsia="lv-LV"/>
              </w:rPr>
              <w:t>omisijas pieprasījuma to veic pašvaldības sociālā dienesta</w:t>
            </w:r>
            <w:r>
              <w:rPr>
                <w:rFonts w:ascii="Times New Roman" w:eastAsia="Times New Roman" w:hAnsi="Times New Roman" w:cs="Times New Roman"/>
                <w:iCs/>
                <w:sz w:val="24"/>
                <w:szCs w:val="24"/>
                <w:lang w:eastAsia="lv-LV"/>
              </w:rPr>
              <w:t xml:space="preserve"> (turpmāk - dienests)</w:t>
            </w:r>
            <w:r w:rsidRPr="00881090">
              <w:rPr>
                <w:rFonts w:ascii="Times New Roman" w:eastAsia="Times New Roman" w:hAnsi="Times New Roman" w:cs="Times New Roman"/>
                <w:iCs/>
                <w:sz w:val="24"/>
                <w:szCs w:val="24"/>
                <w:lang w:eastAsia="lv-LV"/>
              </w:rPr>
              <w:t xml:space="preserve"> sociālais darbinieks vai pašvaldības sociālā dienesta ergoterapeits</w:t>
            </w:r>
            <w:r>
              <w:rPr>
                <w:rFonts w:ascii="Times New Roman" w:eastAsia="Times New Roman" w:hAnsi="Times New Roman" w:cs="Times New Roman"/>
                <w:iCs/>
                <w:sz w:val="24"/>
                <w:szCs w:val="24"/>
                <w:lang w:eastAsia="lv-LV"/>
              </w:rPr>
              <w:t>. Tas nozīmē, ka, ja no personas iesniegtajiem dokumentiem nav izsecināms vai persona atbilst kritērijiem atzinuma par īpašas kopšanas nepieciešamību izsniegšanai, Komisija nosūta dienestam pieprasījumu veikt</w:t>
            </w:r>
            <w:r>
              <w:t xml:space="preserve"> </w:t>
            </w:r>
            <w:r w:rsidRPr="00D442F1">
              <w:rPr>
                <w:rFonts w:ascii="Times New Roman" w:eastAsia="Times New Roman" w:hAnsi="Times New Roman" w:cs="Times New Roman"/>
                <w:iCs/>
                <w:sz w:val="24"/>
                <w:szCs w:val="24"/>
                <w:lang w:eastAsia="lv-LV"/>
              </w:rPr>
              <w:t>novērtējum</w:t>
            </w:r>
            <w:r>
              <w:rPr>
                <w:rFonts w:ascii="Times New Roman" w:eastAsia="Times New Roman" w:hAnsi="Times New Roman" w:cs="Times New Roman"/>
                <w:iCs/>
                <w:sz w:val="24"/>
                <w:szCs w:val="24"/>
                <w:lang w:eastAsia="lv-LV"/>
              </w:rPr>
              <w:t>u  saskaņā ar noteikumu 8.pielikuma 2.punktu. Administratīvā procesa likuma 64.panta pirmā daļa nosaka, ka, j</w:t>
            </w:r>
            <w:r w:rsidRPr="00350166">
              <w:rPr>
                <w:rFonts w:ascii="Times New Roman" w:eastAsia="Times New Roman" w:hAnsi="Times New Roman" w:cs="Times New Roman"/>
                <w:iCs/>
                <w:sz w:val="24"/>
                <w:szCs w:val="24"/>
                <w:lang w:eastAsia="lv-LV"/>
              </w:rPr>
              <w:t xml:space="preserve">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w:t>
            </w:r>
            <w:r>
              <w:rPr>
                <w:rFonts w:ascii="Times New Roman" w:eastAsia="Times New Roman" w:hAnsi="Times New Roman" w:cs="Times New Roman"/>
                <w:iCs/>
                <w:sz w:val="24"/>
                <w:szCs w:val="24"/>
                <w:lang w:eastAsia="lv-LV"/>
              </w:rPr>
              <w:t>Savukārt, j</w:t>
            </w:r>
            <w:r w:rsidRPr="00B2656F">
              <w:rPr>
                <w:rFonts w:ascii="Times New Roman" w:eastAsia="Times New Roman" w:hAnsi="Times New Roman" w:cs="Times New Roman"/>
                <w:iCs/>
                <w:sz w:val="24"/>
                <w:szCs w:val="24"/>
                <w:lang w:eastAsia="lv-LV"/>
              </w:rPr>
              <w:t>a objektīvu iemeslu dēļ šā panta pirmajā daļā noteikto termiņu nav iespējams ievērot, iestāde to var pagarināt uz laiku, ne ilgāku par četriem mēnešiem no iesnieguma saņemšanas dienas, par to paziņojot iesniedzējam.</w:t>
            </w:r>
            <w:r>
              <w:rPr>
                <w:rFonts w:ascii="Times New Roman" w:eastAsia="Times New Roman" w:hAnsi="Times New Roman" w:cs="Times New Roman"/>
                <w:iCs/>
                <w:sz w:val="24"/>
                <w:szCs w:val="24"/>
                <w:lang w:eastAsia="lv-LV"/>
              </w:rPr>
              <w:t xml:space="preserve"> Tas nozīmē, ka Komisijai lēmums par invaliditātes noteikšanu vai nenoteikšanu vispārējā gadījumā ir jāpieņem mēneša laikā, bet, </w:t>
            </w:r>
            <w:r w:rsidRPr="00B2656F">
              <w:rPr>
                <w:rFonts w:ascii="Times New Roman" w:eastAsia="Times New Roman" w:hAnsi="Times New Roman" w:cs="Times New Roman"/>
                <w:iCs/>
                <w:sz w:val="24"/>
                <w:szCs w:val="24"/>
                <w:lang w:eastAsia="lv-LV"/>
              </w:rPr>
              <w:t xml:space="preserve">ja objektīvu iemeslu dēļ </w:t>
            </w:r>
            <w:r>
              <w:rPr>
                <w:rFonts w:ascii="Times New Roman" w:eastAsia="Times New Roman" w:hAnsi="Times New Roman" w:cs="Times New Roman"/>
                <w:iCs/>
                <w:sz w:val="24"/>
                <w:szCs w:val="24"/>
                <w:lang w:eastAsia="lv-LV"/>
              </w:rPr>
              <w:t>mēneša</w:t>
            </w:r>
            <w:r w:rsidRPr="00B2656F">
              <w:rPr>
                <w:rFonts w:ascii="Times New Roman" w:eastAsia="Times New Roman" w:hAnsi="Times New Roman" w:cs="Times New Roman"/>
                <w:iCs/>
                <w:sz w:val="24"/>
                <w:szCs w:val="24"/>
                <w:lang w:eastAsia="lv-LV"/>
              </w:rPr>
              <w:t xml:space="preserve"> termiņu</w:t>
            </w:r>
            <w:r>
              <w:rPr>
                <w:rFonts w:ascii="Times New Roman" w:eastAsia="Times New Roman" w:hAnsi="Times New Roman" w:cs="Times New Roman"/>
                <w:iCs/>
                <w:sz w:val="24"/>
                <w:szCs w:val="24"/>
                <w:lang w:eastAsia="lv-LV"/>
              </w:rPr>
              <w:t xml:space="preserve"> tai</w:t>
            </w:r>
            <w:r w:rsidRPr="00B2656F">
              <w:rPr>
                <w:rFonts w:ascii="Times New Roman" w:eastAsia="Times New Roman" w:hAnsi="Times New Roman" w:cs="Times New Roman"/>
                <w:iCs/>
                <w:sz w:val="24"/>
                <w:szCs w:val="24"/>
                <w:lang w:eastAsia="lv-LV"/>
              </w:rPr>
              <w:t xml:space="preserve"> nav iespējams ievērot, </w:t>
            </w:r>
            <w:r>
              <w:rPr>
                <w:rFonts w:ascii="Times New Roman" w:eastAsia="Times New Roman" w:hAnsi="Times New Roman" w:cs="Times New Roman"/>
                <w:iCs/>
                <w:sz w:val="24"/>
                <w:szCs w:val="24"/>
                <w:lang w:eastAsia="lv-LV"/>
              </w:rPr>
              <w:t xml:space="preserve">Komisija </w:t>
            </w:r>
            <w:r w:rsidRPr="00B2656F">
              <w:rPr>
                <w:rFonts w:ascii="Times New Roman" w:eastAsia="Times New Roman" w:hAnsi="Times New Roman" w:cs="Times New Roman"/>
                <w:iCs/>
                <w:sz w:val="24"/>
                <w:szCs w:val="24"/>
                <w:lang w:eastAsia="lv-LV"/>
              </w:rPr>
              <w:t xml:space="preserve">var </w:t>
            </w:r>
            <w:r>
              <w:rPr>
                <w:rFonts w:ascii="Times New Roman" w:eastAsia="Times New Roman" w:hAnsi="Times New Roman" w:cs="Times New Roman"/>
                <w:iCs/>
                <w:sz w:val="24"/>
                <w:szCs w:val="24"/>
                <w:lang w:eastAsia="lv-LV"/>
              </w:rPr>
              <w:t xml:space="preserve">atlikt lēmuma pieņemšanu uz </w:t>
            </w:r>
            <w:r w:rsidRPr="00B2656F">
              <w:rPr>
                <w:rFonts w:ascii="Times New Roman" w:eastAsia="Times New Roman" w:hAnsi="Times New Roman" w:cs="Times New Roman"/>
                <w:iCs/>
                <w:sz w:val="24"/>
                <w:szCs w:val="24"/>
                <w:lang w:eastAsia="lv-LV"/>
              </w:rPr>
              <w:t>laiku, ne ilgāku par četriem mēnešiem</w:t>
            </w:r>
            <w:r>
              <w:rPr>
                <w:rFonts w:ascii="Times New Roman" w:eastAsia="Times New Roman" w:hAnsi="Times New Roman" w:cs="Times New Roman"/>
                <w:iCs/>
                <w:sz w:val="24"/>
                <w:szCs w:val="24"/>
                <w:lang w:eastAsia="lv-LV"/>
              </w:rPr>
              <w:t>.</w:t>
            </w:r>
            <w:r>
              <w:t xml:space="preserve"> </w:t>
            </w:r>
            <w:r w:rsidRPr="00815A17">
              <w:rPr>
                <w:rFonts w:ascii="Times New Roman" w:eastAsia="Times New Roman" w:hAnsi="Times New Roman" w:cs="Times New Roman"/>
                <w:iCs/>
                <w:sz w:val="24"/>
                <w:szCs w:val="24"/>
                <w:lang w:eastAsia="lv-LV"/>
              </w:rPr>
              <w:t>P</w:t>
            </w:r>
            <w:r w:rsidRPr="006D3313">
              <w:rPr>
                <w:rFonts w:ascii="Times New Roman" w:eastAsia="Times New Roman" w:hAnsi="Times New Roman" w:cs="Times New Roman"/>
                <w:iCs/>
                <w:sz w:val="24"/>
                <w:szCs w:val="24"/>
                <w:lang w:eastAsia="lv-LV"/>
              </w:rPr>
              <w:t>ersonas ar invaliditāti interesēs ir, lai lēmums par atzinuma par īpašas kopšanas nepieciešamību izsniegšanu būtu pieņemts pēc iespējas ātrāk, jo no tā ir atkarīga</w:t>
            </w:r>
            <w:r>
              <w:rPr>
                <w:rFonts w:ascii="Times New Roman" w:eastAsia="Times New Roman" w:hAnsi="Times New Roman" w:cs="Times New Roman"/>
                <w:iCs/>
                <w:sz w:val="24"/>
                <w:szCs w:val="24"/>
                <w:lang w:eastAsia="lv-LV"/>
              </w:rPr>
              <w:t>s</w:t>
            </w:r>
            <w:r w:rsidRPr="006D3313">
              <w:rPr>
                <w:rFonts w:ascii="Times New Roman" w:eastAsia="Times New Roman" w:hAnsi="Times New Roman" w:cs="Times New Roman"/>
                <w:iCs/>
                <w:sz w:val="24"/>
                <w:szCs w:val="24"/>
                <w:lang w:eastAsia="lv-LV"/>
              </w:rPr>
              <w:t xml:space="preserve"> personas tiesības</w:t>
            </w:r>
            <w:r>
              <w:rPr>
                <w:rFonts w:ascii="Times New Roman" w:eastAsia="Times New Roman" w:hAnsi="Times New Roman" w:cs="Times New Roman"/>
                <w:iCs/>
                <w:sz w:val="24"/>
                <w:szCs w:val="24"/>
                <w:lang w:eastAsia="lv-LV"/>
              </w:rPr>
              <w:t xml:space="preserve"> saņemt īpašas kopšanas pabalstu, kas būtiski atvieglo personas, kurai ir ļoti smagi funkcionēšanas ierobežojumi, ikdienu un</w:t>
            </w:r>
            <w:r w:rsidRPr="00FB0F9A">
              <w:rPr>
                <w:rFonts w:ascii="Times New Roman" w:eastAsia="Times New Roman" w:hAnsi="Times New Roman" w:cs="Times New Roman"/>
                <w:iCs/>
                <w:sz w:val="24"/>
                <w:szCs w:val="24"/>
                <w:lang w:eastAsia="lv-LV"/>
              </w:rPr>
              <w:t xml:space="preserve"> </w:t>
            </w:r>
            <w:r w:rsidRPr="006D3313">
              <w:rPr>
                <w:rFonts w:ascii="Times New Roman" w:eastAsia="Times New Roman" w:hAnsi="Times New Roman" w:cs="Times New Roman"/>
                <w:iCs/>
                <w:sz w:val="24"/>
                <w:szCs w:val="24"/>
                <w:lang w:eastAsia="lv-LV"/>
              </w:rPr>
              <w:t>aprūpes vajadzīb</w:t>
            </w:r>
            <w:r>
              <w:rPr>
                <w:rFonts w:ascii="Times New Roman" w:eastAsia="Times New Roman" w:hAnsi="Times New Roman" w:cs="Times New Roman"/>
                <w:iCs/>
                <w:sz w:val="24"/>
                <w:szCs w:val="24"/>
                <w:lang w:eastAsia="lv-LV"/>
              </w:rPr>
              <w:t>u nodrošināšanu</w:t>
            </w:r>
            <w:r w:rsidRPr="006D3313">
              <w:rPr>
                <w:rFonts w:ascii="Times New Roman" w:eastAsia="Times New Roman" w:hAnsi="Times New Roman" w:cs="Times New Roman"/>
                <w:iCs/>
                <w:sz w:val="24"/>
                <w:szCs w:val="24"/>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normatīvajos aktos nav atrunāts, cik ilgā laikā Komisijai, ja tas nepieciešams, ir jānosūta pieprasījums dienestam. Līdz ar to pastāv iespēja, ka Komisija var  savlaicīgi nenosūtīt pieprasījumu dienestam veikt novērtējumu, kas būtiski var ietekmēt lēmuma par atzinuma par īpašas kopšanas nepieciešamību izsniegšanas pieņemšanas termiņu.</w:t>
            </w:r>
            <w:r w:rsidR="005945D3">
              <w:rPr>
                <w:rFonts w:ascii="Times New Roman" w:eastAsia="Times New Roman" w:hAnsi="Times New Roman" w:cs="Times New Roman"/>
                <w:iCs/>
                <w:sz w:val="24"/>
                <w:szCs w:val="24"/>
                <w:lang w:eastAsia="lv-LV"/>
              </w:rPr>
              <w:t xml:space="preserve"> Līdz ar to, lai novērstu riskus, ka pieprasījums</w:t>
            </w:r>
            <w:r w:rsidR="005945D3">
              <w:t xml:space="preserve"> </w:t>
            </w:r>
            <w:r w:rsidR="005945D3" w:rsidRPr="005945D3">
              <w:rPr>
                <w:rFonts w:ascii="Times New Roman" w:eastAsia="Times New Roman" w:hAnsi="Times New Roman" w:cs="Times New Roman"/>
                <w:iCs/>
                <w:sz w:val="24"/>
                <w:szCs w:val="24"/>
                <w:lang w:eastAsia="lv-LV"/>
              </w:rPr>
              <w:t>veikt novērtējumu</w:t>
            </w:r>
            <w:r w:rsidR="005945D3">
              <w:rPr>
                <w:rFonts w:ascii="Times New Roman" w:eastAsia="Times New Roman" w:hAnsi="Times New Roman" w:cs="Times New Roman"/>
                <w:iCs/>
                <w:sz w:val="24"/>
                <w:szCs w:val="24"/>
                <w:lang w:eastAsia="lv-LV"/>
              </w:rPr>
              <w:t xml:space="preserve"> netiek savlaicīgi n</w:t>
            </w:r>
            <w:r w:rsidR="007534B3">
              <w:rPr>
                <w:rFonts w:ascii="Times New Roman" w:eastAsia="Times New Roman" w:hAnsi="Times New Roman" w:cs="Times New Roman"/>
                <w:iCs/>
                <w:sz w:val="24"/>
                <w:szCs w:val="24"/>
                <w:lang w:eastAsia="lv-LV"/>
              </w:rPr>
              <w:t xml:space="preserve">osūtīts </w:t>
            </w:r>
            <w:r w:rsidR="0038408F">
              <w:rPr>
                <w:rFonts w:ascii="Times New Roman" w:eastAsia="Times New Roman" w:hAnsi="Times New Roman" w:cs="Times New Roman"/>
                <w:iCs/>
                <w:sz w:val="24"/>
                <w:szCs w:val="24"/>
                <w:lang w:eastAsia="lv-LV"/>
              </w:rPr>
              <w:t>dienestam, kā arī, lai ievērotu labas pārvaldības principus, ir nepieciešams noteikt</w:t>
            </w:r>
            <w:r w:rsidR="0038408F">
              <w:t xml:space="preserve"> </w:t>
            </w:r>
            <w:r w:rsidR="0038408F" w:rsidRPr="0038408F">
              <w:rPr>
                <w:rFonts w:ascii="Times New Roman" w:eastAsia="Times New Roman" w:hAnsi="Times New Roman" w:cs="Times New Roman"/>
                <w:iCs/>
                <w:sz w:val="24"/>
                <w:szCs w:val="24"/>
                <w:lang w:eastAsia="lv-LV"/>
              </w:rPr>
              <w:t>cik ilgā laikā Komisijai, ja tas nepieciešams, ir jānosūta pieprasījums dienestam.</w:t>
            </w:r>
            <w:r w:rsidR="0038408F">
              <w:rPr>
                <w:rFonts w:ascii="Times New Roman" w:eastAsia="Times New Roman" w:hAnsi="Times New Roman" w:cs="Times New Roman"/>
                <w:iCs/>
                <w:sz w:val="24"/>
                <w:szCs w:val="24"/>
                <w:lang w:eastAsia="lv-LV"/>
              </w:rPr>
              <w:t xml:space="preserve"> Izvērtējot </w:t>
            </w:r>
            <w:r w:rsidR="00B84D94">
              <w:rPr>
                <w:rFonts w:ascii="Times New Roman" w:eastAsia="Times New Roman" w:hAnsi="Times New Roman" w:cs="Times New Roman"/>
                <w:iCs/>
                <w:sz w:val="24"/>
                <w:szCs w:val="24"/>
                <w:lang w:eastAsia="lv-LV"/>
              </w:rPr>
              <w:t xml:space="preserve">Komisijas </w:t>
            </w:r>
            <w:r w:rsidR="0038408F">
              <w:rPr>
                <w:rFonts w:ascii="Times New Roman" w:eastAsia="Times New Roman" w:hAnsi="Times New Roman" w:cs="Times New Roman"/>
                <w:iCs/>
                <w:sz w:val="24"/>
                <w:szCs w:val="24"/>
                <w:lang w:eastAsia="lv-LV"/>
              </w:rPr>
              <w:t>lietvedības vadības procesu (dokumentu saņemšana, reģistrācija, nodošana izpildei</w:t>
            </w:r>
            <w:r w:rsidR="00B84D94">
              <w:rPr>
                <w:rFonts w:ascii="Times New Roman" w:eastAsia="Times New Roman" w:hAnsi="Times New Roman" w:cs="Times New Roman"/>
                <w:iCs/>
                <w:sz w:val="24"/>
                <w:szCs w:val="24"/>
                <w:lang w:eastAsia="lv-LV"/>
              </w:rPr>
              <w:t xml:space="preserve"> ārstam ekspertam</w:t>
            </w:r>
            <w:r w:rsidR="0038408F">
              <w:rPr>
                <w:rFonts w:ascii="Times New Roman" w:eastAsia="Times New Roman" w:hAnsi="Times New Roman" w:cs="Times New Roman"/>
                <w:iCs/>
                <w:sz w:val="24"/>
                <w:szCs w:val="24"/>
                <w:lang w:eastAsia="lv-LV"/>
              </w:rPr>
              <w:t xml:space="preserve">), nepieciešamo laiku  dokumentu izvērtēšanai un </w:t>
            </w:r>
            <w:r w:rsidR="0038408F">
              <w:rPr>
                <w:rFonts w:ascii="Times New Roman" w:eastAsia="Times New Roman" w:hAnsi="Times New Roman" w:cs="Times New Roman"/>
                <w:iCs/>
                <w:sz w:val="24"/>
                <w:szCs w:val="24"/>
                <w:lang w:eastAsia="lv-LV"/>
              </w:rPr>
              <w:lastRenderedPageBreak/>
              <w:t xml:space="preserve">pieprasījuma sagatavošanai, </w:t>
            </w:r>
            <w:r w:rsidR="00B84D94">
              <w:rPr>
                <w:rFonts w:ascii="Times New Roman" w:eastAsia="Times New Roman" w:hAnsi="Times New Roman" w:cs="Times New Roman"/>
                <w:iCs/>
                <w:sz w:val="24"/>
                <w:szCs w:val="24"/>
                <w:lang w:eastAsia="lv-LV"/>
              </w:rPr>
              <w:t>tika secināts, ka iepriekš minētie invaliditātes ekspertīzes procesa etapi var aizņemt no piecām līdz 10 dienām atkarībā no Komisijas nodaļu noslodzes.</w:t>
            </w:r>
          </w:p>
          <w:p w:rsidR="00E83F5A" w:rsidRPr="00B66252" w:rsidRDefault="00B84D94"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Līdz ar to, l</w:t>
            </w:r>
            <w:r w:rsidR="00E83F5A">
              <w:rPr>
                <w:rFonts w:ascii="Times New Roman" w:eastAsia="Times New Roman" w:hAnsi="Times New Roman" w:cs="Times New Roman"/>
                <w:iCs/>
                <w:sz w:val="24"/>
                <w:szCs w:val="24"/>
                <w:lang w:eastAsia="lv-LV"/>
              </w:rPr>
              <w:t>ai veicinātu ātrāku lēmuma pieņemšanu, projekta 3.punkts paredz p</w:t>
            </w:r>
            <w:r w:rsidR="00E83F5A" w:rsidRPr="00912FE0">
              <w:rPr>
                <w:rFonts w:ascii="Times New Roman" w:eastAsia="Times New Roman" w:hAnsi="Times New Roman" w:cs="Times New Roman"/>
                <w:iCs/>
                <w:sz w:val="24"/>
                <w:szCs w:val="24"/>
                <w:lang w:eastAsia="lv-LV"/>
              </w:rPr>
              <w:t xml:space="preserve">apildināt </w:t>
            </w:r>
            <w:r w:rsidR="00E83F5A">
              <w:rPr>
                <w:rFonts w:ascii="Times New Roman" w:eastAsia="Times New Roman" w:hAnsi="Times New Roman" w:cs="Times New Roman"/>
                <w:iCs/>
                <w:sz w:val="24"/>
                <w:szCs w:val="24"/>
                <w:lang w:eastAsia="lv-LV"/>
              </w:rPr>
              <w:t xml:space="preserve">noteikumu </w:t>
            </w:r>
            <w:r w:rsidR="00E83F5A" w:rsidRPr="00912FE0">
              <w:rPr>
                <w:rFonts w:ascii="Times New Roman" w:eastAsia="Times New Roman" w:hAnsi="Times New Roman" w:cs="Times New Roman"/>
                <w:iCs/>
                <w:sz w:val="24"/>
                <w:szCs w:val="24"/>
                <w:lang w:eastAsia="lv-LV"/>
              </w:rPr>
              <w:t>7.punktu</w:t>
            </w:r>
            <w:r w:rsidR="00E83F5A">
              <w:rPr>
                <w:rFonts w:ascii="Times New Roman" w:eastAsia="Times New Roman" w:hAnsi="Times New Roman" w:cs="Times New Roman"/>
                <w:iCs/>
                <w:sz w:val="24"/>
                <w:szCs w:val="24"/>
                <w:lang w:eastAsia="lv-LV"/>
              </w:rPr>
              <w:t xml:space="preserve"> ar pienākumu Komisijai, ja, nosakot </w:t>
            </w:r>
            <w:r w:rsidR="00E83F5A" w:rsidRPr="00350166">
              <w:rPr>
                <w:rFonts w:ascii="Times New Roman" w:eastAsia="Times New Roman" w:hAnsi="Times New Roman" w:cs="Times New Roman"/>
                <w:iCs/>
                <w:sz w:val="24"/>
                <w:szCs w:val="24"/>
                <w:lang w:eastAsia="lv-LV"/>
              </w:rPr>
              <w:t>medicīniskās indikācijas īpašai kopšanai</w:t>
            </w:r>
            <w:r w:rsidR="00E83F5A">
              <w:rPr>
                <w:rFonts w:ascii="Times New Roman" w:eastAsia="Times New Roman" w:hAnsi="Times New Roman" w:cs="Times New Roman"/>
                <w:iCs/>
                <w:sz w:val="24"/>
                <w:szCs w:val="24"/>
                <w:lang w:eastAsia="lv-LV"/>
              </w:rPr>
              <w:t xml:space="preserve">, ir nepieciešams </w:t>
            </w:r>
            <w:r w:rsidR="00E83F5A" w:rsidRPr="00912FE0">
              <w:rPr>
                <w:rFonts w:ascii="Times New Roman" w:eastAsia="Times New Roman" w:hAnsi="Times New Roman" w:cs="Times New Roman"/>
                <w:iCs/>
                <w:sz w:val="24"/>
                <w:szCs w:val="24"/>
                <w:lang w:eastAsia="lv-LV"/>
              </w:rPr>
              <w:t>veikt novērtējumu</w:t>
            </w:r>
            <w:r w:rsidR="00E83F5A">
              <w:rPr>
                <w:rFonts w:ascii="Times New Roman" w:eastAsia="Times New Roman" w:hAnsi="Times New Roman" w:cs="Times New Roman"/>
                <w:iCs/>
                <w:sz w:val="24"/>
                <w:szCs w:val="24"/>
                <w:lang w:eastAsia="lv-LV"/>
              </w:rPr>
              <w:t xml:space="preserve">, pieprasījumu </w:t>
            </w:r>
            <w:r w:rsidR="00E83F5A" w:rsidRPr="00350166">
              <w:rPr>
                <w:rFonts w:ascii="Times New Roman" w:eastAsia="Times New Roman" w:hAnsi="Times New Roman" w:cs="Times New Roman"/>
                <w:iCs/>
                <w:sz w:val="24"/>
                <w:szCs w:val="24"/>
                <w:lang w:eastAsia="lv-LV"/>
              </w:rPr>
              <w:t>dienestam</w:t>
            </w:r>
            <w:r w:rsidR="00E83F5A">
              <w:rPr>
                <w:rFonts w:ascii="Times New Roman" w:eastAsia="Times New Roman" w:hAnsi="Times New Roman" w:cs="Times New Roman"/>
                <w:iCs/>
                <w:sz w:val="24"/>
                <w:szCs w:val="24"/>
                <w:lang w:eastAsia="lv-LV"/>
              </w:rPr>
              <w:t xml:space="preserve"> jānosūta</w:t>
            </w:r>
            <w:r w:rsidR="00E83F5A" w:rsidRPr="00350166">
              <w:rPr>
                <w:rFonts w:ascii="Times New Roman" w:eastAsia="Times New Roman" w:hAnsi="Times New Roman" w:cs="Times New Roman"/>
                <w:iCs/>
                <w:sz w:val="24"/>
                <w:szCs w:val="24"/>
                <w:lang w:eastAsia="lv-LV"/>
              </w:rPr>
              <w:t xml:space="preserve"> desmit dienu laikā no </w:t>
            </w:r>
            <w:r w:rsidR="00E83F5A">
              <w:rPr>
                <w:rFonts w:ascii="Times New Roman" w:eastAsia="Times New Roman" w:hAnsi="Times New Roman" w:cs="Times New Roman"/>
                <w:iCs/>
                <w:sz w:val="24"/>
                <w:szCs w:val="24"/>
                <w:lang w:eastAsia="lv-LV"/>
              </w:rPr>
              <w:t>iesnieguma un</w:t>
            </w:r>
            <w:r w:rsidR="00E83F5A">
              <w:t xml:space="preserve"> </w:t>
            </w:r>
            <w:r w:rsidR="00E83F5A" w:rsidRPr="00350166">
              <w:rPr>
                <w:rFonts w:ascii="Times New Roman" w:eastAsia="Times New Roman" w:hAnsi="Times New Roman" w:cs="Times New Roman"/>
                <w:iCs/>
                <w:sz w:val="24"/>
                <w:szCs w:val="24"/>
                <w:lang w:eastAsia="lv-LV"/>
              </w:rPr>
              <w:t xml:space="preserve">invaliditātes ekspertīzes veikšanai  </w:t>
            </w:r>
            <w:r w:rsidR="00E83F5A">
              <w:rPr>
                <w:rFonts w:ascii="Times New Roman" w:eastAsia="Times New Roman" w:hAnsi="Times New Roman" w:cs="Times New Roman"/>
                <w:iCs/>
                <w:sz w:val="24"/>
                <w:szCs w:val="24"/>
                <w:lang w:eastAsia="lv-LV"/>
              </w:rPr>
              <w:t xml:space="preserve">nepieciešamo dokumentu </w:t>
            </w:r>
            <w:r w:rsidR="00E83F5A" w:rsidRPr="00350166">
              <w:rPr>
                <w:rFonts w:ascii="Times New Roman" w:eastAsia="Times New Roman" w:hAnsi="Times New Roman" w:cs="Times New Roman"/>
                <w:iCs/>
                <w:sz w:val="24"/>
                <w:szCs w:val="24"/>
                <w:lang w:eastAsia="lv-LV"/>
              </w:rPr>
              <w:t>saņemšanas dienas</w:t>
            </w:r>
            <w:r w:rsidR="00E83F5A">
              <w:rPr>
                <w:rFonts w:ascii="Times New Roman" w:eastAsia="Times New Roman" w:hAnsi="Times New Roman" w:cs="Times New Roman"/>
                <w:iCs/>
                <w:sz w:val="24"/>
                <w:szCs w:val="24"/>
                <w:lang w:eastAsia="lv-LV"/>
              </w:rPr>
              <w:t>.</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Komisija.</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
        <w:gridCol w:w="30"/>
        <w:gridCol w:w="2256"/>
        <w:gridCol w:w="30"/>
        <w:gridCol w:w="6419"/>
      </w:tblGrid>
      <w:tr w:rsidR="00E83F5A" w:rsidRPr="00B66252" w:rsidTr="0032197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83F5A" w:rsidRPr="00B66252" w:rsidTr="003219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0"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gridSpan w:val="2"/>
            <w:tcBorders>
              <w:top w:val="outset" w:sz="6" w:space="0" w:color="auto"/>
              <w:left w:val="outset" w:sz="6" w:space="0" w:color="auto"/>
              <w:bottom w:val="outset" w:sz="6" w:space="0" w:color="auto"/>
              <w:right w:val="outset" w:sz="6" w:space="0" w:color="auto"/>
            </w:tcBorders>
            <w:hideMark/>
          </w:tcPr>
          <w:p w:rsidR="00E83F5A" w:rsidRPr="00347298" w:rsidRDefault="00E83F5A" w:rsidP="0032197B">
            <w:pPr>
              <w:spacing w:after="0" w:line="240" w:lineRule="auto"/>
              <w:jc w:val="both"/>
              <w:rPr>
                <w:rFonts w:ascii="Times New Roman" w:eastAsia="Times New Roman" w:hAnsi="Times New Roman" w:cs="Times New Roman"/>
                <w:iCs/>
                <w:sz w:val="24"/>
                <w:szCs w:val="24"/>
                <w:lang w:eastAsia="lv-LV"/>
              </w:rPr>
            </w:pPr>
            <w:bookmarkStart w:id="0" w:name="_Hlk21351288"/>
            <w:r w:rsidRPr="00347298">
              <w:rPr>
                <w:rFonts w:ascii="Times New Roman" w:eastAsia="Times New Roman" w:hAnsi="Times New Roman" w:cs="Times New Roman"/>
                <w:iCs/>
                <w:sz w:val="24"/>
                <w:szCs w:val="24"/>
                <w:lang w:eastAsia="lv-LV"/>
              </w:rPr>
              <w:t>Projekta izmaiņas ietekmēs</w:t>
            </w:r>
            <w:r>
              <w:rPr>
                <w:rFonts w:ascii="Times New Roman" w:eastAsia="Times New Roman" w:hAnsi="Times New Roman" w:cs="Times New Roman"/>
                <w:iCs/>
                <w:sz w:val="24"/>
                <w:szCs w:val="24"/>
                <w:lang w:eastAsia="lv-LV"/>
              </w:rPr>
              <w:t xml:space="preserve"> </w:t>
            </w:r>
            <w:r w:rsidR="005945D3">
              <w:rPr>
                <w:rFonts w:ascii="Times New Roman" w:eastAsia="Times New Roman" w:hAnsi="Times New Roman" w:cs="Times New Roman"/>
                <w:iCs/>
                <w:sz w:val="24"/>
                <w:szCs w:val="24"/>
                <w:lang w:eastAsia="lv-LV"/>
              </w:rPr>
              <w:t xml:space="preserve">Komisiju un </w:t>
            </w:r>
            <w:r w:rsidRPr="00347298">
              <w:rPr>
                <w:rFonts w:ascii="Times New Roman" w:eastAsia="Times New Roman" w:hAnsi="Times New Roman" w:cs="Times New Roman"/>
                <w:iCs/>
                <w:sz w:val="24"/>
                <w:szCs w:val="24"/>
                <w:lang w:eastAsia="lv-LV"/>
              </w:rPr>
              <w:t>personas</w:t>
            </w:r>
            <w:r>
              <w:rPr>
                <w:rFonts w:ascii="Times New Roman" w:eastAsia="Times New Roman" w:hAnsi="Times New Roman" w:cs="Times New Roman"/>
                <w:iCs/>
                <w:sz w:val="24"/>
                <w:szCs w:val="24"/>
                <w:lang w:eastAsia="lv-LV"/>
              </w:rPr>
              <w:t>, kurām</w:t>
            </w:r>
            <w:r>
              <w:t xml:space="preserve"> </w:t>
            </w:r>
            <w:r>
              <w:rPr>
                <w:rFonts w:ascii="Times New Roman" w:eastAsia="Times New Roman" w:hAnsi="Times New Roman" w:cs="Times New Roman"/>
                <w:iCs/>
                <w:sz w:val="24"/>
                <w:szCs w:val="24"/>
                <w:lang w:eastAsia="lv-LV"/>
              </w:rPr>
              <w:t>saslimšanas vai traumas dēļ ir radušies</w:t>
            </w:r>
            <w:r w:rsidRPr="00347298">
              <w:rPr>
                <w:rFonts w:ascii="Times New Roman" w:eastAsia="Times New Roman" w:hAnsi="Times New Roman" w:cs="Times New Roman"/>
                <w:iCs/>
                <w:sz w:val="24"/>
                <w:szCs w:val="24"/>
                <w:lang w:eastAsia="lv-LV"/>
              </w:rPr>
              <w:t xml:space="preserve"> stabili un neatgriezeniski funkcionēšanas ierobežojumi</w:t>
            </w:r>
            <w:r>
              <w:rPr>
                <w:rFonts w:ascii="Times New Roman" w:eastAsia="Times New Roman" w:hAnsi="Times New Roman" w:cs="Times New Roman"/>
                <w:iCs/>
                <w:sz w:val="24"/>
                <w:szCs w:val="24"/>
                <w:lang w:eastAsia="lv-LV"/>
              </w:rPr>
              <w:t xml:space="preserve">, un </w:t>
            </w:r>
            <w:r w:rsidRPr="00347298">
              <w:rPr>
                <w:rFonts w:ascii="Times New Roman" w:eastAsia="Times New Roman" w:hAnsi="Times New Roman" w:cs="Times New Roman"/>
                <w:iCs/>
                <w:sz w:val="24"/>
                <w:szCs w:val="24"/>
                <w:lang w:eastAsia="lv-LV"/>
              </w:rPr>
              <w:t>invaliditāt</w:t>
            </w:r>
            <w:r>
              <w:rPr>
                <w:rFonts w:ascii="Times New Roman" w:eastAsia="Times New Roman" w:hAnsi="Times New Roman" w:cs="Times New Roman"/>
                <w:iCs/>
                <w:sz w:val="24"/>
                <w:szCs w:val="24"/>
                <w:lang w:eastAsia="lv-LV"/>
              </w:rPr>
              <w:t>e</w:t>
            </w:r>
            <w:r>
              <w:t xml:space="preserve"> </w:t>
            </w:r>
            <w:r w:rsidRPr="00BF1D23">
              <w:rPr>
                <w:rFonts w:ascii="Times New Roman" w:eastAsia="Times New Roman" w:hAnsi="Times New Roman" w:cs="Times New Roman"/>
                <w:iCs/>
                <w:sz w:val="24"/>
                <w:szCs w:val="24"/>
                <w:lang w:eastAsia="lv-LV"/>
              </w:rPr>
              <w:t>pēc 18 gadu vecuma sasniegšanas</w:t>
            </w:r>
            <w:r w:rsidRPr="00347298">
              <w:rPr>
                <w:rFonts w:ascii="Times New Roman" w:eastAsia="Times New Roman" w:hAnsi="Times New Roman" w:cs="Times New Roman"/>
                <w:iCs/>
                <w:sz w:val="24"/>
                <w:szCs w:val="24"/>
                <w:lang w:eastAsia="lv-LV"/>
              </w:rPr>
              <w:t xml:space="preserve"> ti</w:t>
            </w:r>
            <w:r>
              <w:rPr>
                <w:rFonts w:ascii="Times New Roman" w:eastAsia="Times New Roman" w:hAnsi="Times New Roman" w:cs="Times New Roman"/>
                <w:iCs/>
                <w:sz w:val="24"/>
                <w:szCs w:val="24"/>
                <w:lang w:eastAsia="lv-LV"/>
              </w:rPr>
              <w:t>ks</w:t>
            </w:r>
            <w:r w:rsidRPr="00347298">
              <w:rPr>
                <w:rFonts w:ascii="Times New Roman" w:eastAsia="Times New Roman" w:hAnsi="Times New Roman" w:cs="Times New Roman"/>
                <w:iCs/>
                <w:sz w:val="24"/>
                <w:szCs w:val="24"/>
                <w:lang w:eastAsia="lv-LV"/>
              </w:rPr>
              <w:t xml:space="preserve"> noteikta pirmreizēji, kā arī personas ar invaliditāti, kurām noteikta invaliditāte uz </w:t>
            </w:r>
            <w:r>
              <w:rPr>
                <w:rFonts w:ascii="Times New Roman" w:eastAsia="Times New Roman" w:hAnsi="Times New Roman" w:cs="Times New Roman"/>
                <w:iCs/>
                <w:sz w:val="24"/>
                <w:szCs w:val="24"/>
                <w:lang w:eastAsia="lv-LV"/>
              </w:rPr>
              <w:t xml:space="preserve">noteiktu </w:t>
            </w:r>
            <w:r w:rsidRPr="00347298">
              <w:rPr>
                <w:rFonts w:ascii="Times New Roman" w:eastAsia="Times New Roman" w:hAnsi="Times New Roman" w:cs="Times New Roman"/>
                <w:iCs/>
                <w:sz w:val="24"/>
                <w:szCs w:val="24"/>
                <w:lang w:eastAsia="lv-LV"/>
              </w:rPr>
              <w:t>termiņu un ir iestājušies stabili un neatgriezeniski funkcionēšanas ierobežojumi</w:t>
            </w:r>
            <w:r>
              <w:rPr>
                <w:rFonts w:ascii="Times New Roman" w:eastAsia="Times New Roman" w:hAnsi="Times New Roman" w:cs="Times New Roman"/>
                <w:iCs/>
                <w:sz w:val="24"/>
                <w:szCs w:val="24"/>
                <w:lang w:eastAsia="lv-LV"/>
              </w:rPr>
              <w:t xml:space="preserve">, kas nav minēti noteikumos. Tāpat projekts </w:t>
            </w:r>
            <w:r w:rsidR="005945D3">
              <w:rPr>
                <w:rFonts w:ascii="Times New Roman" w:eastAsia="Times New Roman" w:hAnsi="Times New Roman" w:cs="Times New Roman"/>
                <w:iCs/>
                <w:sz w:val="24"/>
                <w:szCs w:val="24"/>
                <w:lang w:eastAsia="lv-LV"/>
              </w:rPr>
              <w:t>varētu ietekmēt</w:t>
            </w:r>
            <w:r>
              <w:rPr>
                <w:rFonts w:ascii="Times New Roman" w:eastAsia="Times New Roman" w:hAnsi="Times New Roman" w:cs="Times New Roman"/>
                <w:iCs/>
                <w:sz w:val="24"/>
                <w:szCs w:val="24"/>
                <w:lang w:eastAsia="lv-LV"/>
              </w:rPr>
              <w:t xml:space="preserve"> </w:t>
            </w:r>
            <w:r w:rsidR="005945D3">
              <w:rPr>
                <w:rFonts w:ascii="Times New Roman" w:eastAsia="Times New Roman" w:hAnsi="Times New Roman" w:cs="Times New Roman"/>
                <w:iCs/>
                <w:sz w:val="24"/>
                <w:szCs w:val="24"/>
                <w:lang w:eastAsia="lv-LV"/>
              </w:rPr>
              <w:t>pašvaldību sociālos dienestus.</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347298">
              <w:rPr>
                <w:rFonts w:ascii="Times New Roman" w:eastAsia="Times New Roman" w:hAnsi="Times New Roman" w:cs="Times New Roman"/>
                <w:iCs/>
                <w:sz w:val="24"/>
                <w:szCs w:val="24"/>
                <w:lang w:eastAsia="lv-LV"/>
              </w:rPr>
              <w:t xml:space="preserve">Saskaņā ar </w:t>
            </w:r>
            <w:proofErr w:type="spellStart"/>
            <w:r w:rsidRPr="00347298">
              <w:rPr>
                <w:rFonts w:ascii="Times New Roman" w:eastAsia="Times New Roman" w:hAnsi="Times New Roman" w:cs="Times New Roman"/>
                <w:iCs/>
                <w:sz w:val="24"/>
                <w:szCs w:val="24"/>
                <w:lang w:eastAsia="lv-LV"/>
              </w:rPr>
              <w:t>LabIS</w:t>
            </w:r>
            <w:proofErr w:type="spellEnd"/>
            <w:r w:rsidRPr="00347298">
              <w:rPr>
                <w:rFonts w:ascii="Times New Roman" w:eastAsia="Times New Roman" w:hAnsi="Times New Roman" w:cs="Times New Roman"/>
                <w:iCs/>
                <w:sz w:val="24"/>
                <w:szCs w:val="24"/>
                <w:lang w:eastAsia="lv-LV"/>
              </w:rPr>
              <w:t xml:space="preserve"> datiem uz 2018.gada decembri invaliditāte bija noteikta 191 815 personām, </w:t>
            </w:r>
            <w:r>
              <w:rPr>
                <w:rFonts w:ascii="Times New Roman" w:eastAsia="Times New Roman" w:hAnsi="Times New Roman" w:cs="Times New Roman"/>
                <w:iCs/>
                <w:sz w:val="24"/>
                <w:szCs w:val="24"/>
                <w:lang w:eastAsia="lv-LV"/>
              </w:rPr>
              <w:t>no tām -</w:t>
            </w:r>
            <w:r w:rsidRPr="00347298">
              <w:rPr>
                <w:rFonts w:ascii="Times New Roman" w:eastAsia="Times New Roman" w:hAnsi="Times New Roman" w:cs="Times New Roman"/>
                <w:iCs/>
                <w:sz w:val="24"/>
                <w:szCs w:val="24"/>
                <w:lang w:eastAsia="lv-LV"/>
              </w:rPr>
              <w:t xml:space="preserve"> 183 610 pilngadīgām personām</w:t>
            </w:r>
            <w:r>
              <w:rPr>
                <w:rFonts w:ascii="Times New Roman" w:eastAsia="Times New Roman" w:hAnsi="Times New Roman" w:cs="Times New Roman"/>
                <w:iCs/>
                <w:sz w:val="24"/>
                <w:szCs w:val="24"/>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p>
          <w:tbl>
            <w:tblPr>
              <w:tblW w:w="4738" w:type="dxa"/>
              <w:tblInd w:w="737" w:type="dxa"/>
              <w:tblLook w:val="04A0" w:firstRow="1" w:lastRow="0" w:firstColumn="1" w:lastColumn="0" w:noHBand="0" w:noVBand="1"/>
            </w:tblPr>
            <w:tblGrid>
              <w:gridCol w:w="2760"/>
              <w:gridCol w:w="1978"/>
            </w:tblGrid>
            <w:tr w:rsidR="00E83F5A" w:rsidRPr="00347298" w:rsidTr="0032197B">
              <w:trPr>
                <w:trHeight w:val="533"/>
              </w:trPr>
              <w:tc>
                <w:tcPr>
                  <w:tcW w:w="2760"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E83F5A" w:rsidRPr="00347298" w:rsidRDefault="00E83F5A" w:rsidP="0032197B">
                  <w:pPr>
                    <w:spacing w:after="0" w:line="240" w:lineRule="auto"/>
                    <w:ind w:left="329"/>
                    <w:jc w:val="center"/>
                    <w:rPr>
                      <w:rFonts w:ascii="Times New Roman" w:eastAsia="Times New Roman" w:hAnsi="Times New Roman" w:cs="Times New Roman"/>
                      <w:b/>
                      <w:color w:val="000000"/>
                      <w:sz w:val="20"/>
                      <w:szCs w:val="20"/>
                      <w:lang w:eastAsia="lv-LV"/>
                    </w:rPr>
                  </w:pPr>
                </w:p>
              </w:tc>
              <w:tc>
                <w:tcPr>
                  <w:tcW w:w="1978"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E83F5A" w:rsidRPr="00347298" w:rsidRDefault="00E83F5A" w:rsidP="0032197B">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Kopā</w:t>
                  </w:r>
                </w:p>
              </w:tc>
            </w:tr>
            <w:tr w:rsidR="00E83F5A" w:rsidRPr="00347298" w:rsidTr="0032197B">
              <w:trPr>
                <w:trHeight w:val="450"/>
              </w:trPr>
              <w:tc>
                <w:tcPr>
                  <w:tcW w:w="2760" w:type="dxa"/>
                  <w:vMerge/>
                  <w:tcBorders>
                    <w:top w:val="single" w:sz="4" w:space="0" w:color="000000"/>
                    <w:left w:val="single" w:sz="4" w:space="0" w:color="000000"/>
                    <w:bottom w:val="single" w:sz="4" w:space="0" w:color="000000"/>
                    <w:right w:val="single" w:sz="4" w:space="0" w:color="000000"/>
                  </w:tcBorders>
                  <w:vAlign w:val="center"/>
                  <w:hideMark/>
                </w:tcPr>
                <w:p w:rsidR="00E83F5A" w:rsidRPr="00347298" w:rsidRDefault="00E83F5A" w:rsidP="0032197B">
                  <w:pPr>
                    <w:spacing w:after="0" w:line="240" w:lineRule="auto"/>
                    <w:rPr>
                      <w:rFonts w:ascii="Times New Roman" w:eastAsia="Times New Roman" w:hAnsi="Times New Roman" w:cs="Times New Roman"/>
                      <w:color w:val="000000"/>
                      <w:sz w:val="20"/>
                      <w:szCs w:val="20"/>
                      <w:lang w:eastAsia="lv-LV"/>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000000"/>
                      <w:lang w:eastAsia="lv-LV"/>
                    </w:rPr>
                  </w:pPr>
                </w:p>
              </w:tc>
            </w:tr>
            <w:tr w:rsidR="00E83F5A" w:rsidRPr="00347298" w:rsidTr="0032197B">
              <w:trPr>
                <w:trHeight w:val="353"/>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A71DCC">
                    <w:rPr>
                      <w:rFonts w:ascii="Times New Roman" w:eastAsia="Times New Roman" w:hAnsi="Times New Roman" w:cs="Times New Roman"/>
                      <w:b/>
                      <w:bCs/>
                      <w:color w:val="000000"/>
                      <w:sz w:val="20"/>
                      <w:szCs w:val="20"/>
                      <w:lang w:eastAsia="lv-LV"/>
                    </w:rPr>
                    <w:t xml:space="preserve">Personas ar invaliditāti </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b/>
                      <w:bCs/>
                      <w:color w:val="000000"/>
                      <w:lang w:eastAsia="lv-LV"/>
                    </w:rPr>
                  </w:pPr>
                  <w:r w:rsidRPr="00347298">
                    <w:rPr>
                      <w:rFonts w:ascii="Times New Roman" w:eastAsia="Times New Roman" w:hAnsi="Times New Roman" w:cs="Times New Roman"/>
                      <w:b/>
                      <w:bCs/>
                      <w:color w:val="000000"/>
                      <w:lang w:eastAsia="lv-LV"/>
                    </w:rPr>
                    <w:t>191 815</w:t>
                  </w: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no tām:</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bērni</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8 262</w:t>
                  </w: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 xml:space="preserve">pilngadīgie </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183 610</w:t>
                  </w: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tajā skaitā</w:t>
                  </w:r>
                  <w:r>
                    <w:rPr>
                      <w:rFonts w:ascii="Times New Roman" w:eastAsia="Times New Roman" w:hAnsi="Times New Roman" w:cs="Times New Roman"/>
                      <w:color w:val="333333"/>
                      <w:sz w:val="20"/>
                      <w:szCs w:val="20"/>
                      <w:lang w:eastAsia="lv-LV"/>
                    </w:rPr>
                    <w:t>*</w:t>
                  </w:r>
                  <w:r w:rsidRPr="00347298">
                    <w:rPr>
                      <w:rFonts w:ascii="Times New Roman" w:eastAsia="Times New Roman" w:hAnsi="Times New Roman" w:cs="Times New Roman"/>
                      <w:color w:val="333333"/>
                      <w:sz w:val="20"/>
                      <w:szCs w:val="20"/>
                      <w:lang w:eastAsia="lv-LV"/>
                    </w:rPr>
                    <w:t>:</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1.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26 808</w:t>
                  </w: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2.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86 7</w:t>
                  </w:r>
                  <w:r>
                    <w:rPr>
                      <w:rFonts w:ascii="Times New Roman" w:eastAsia="Times New Roman" w:hAnsi="Times New Roman" w:cs="Times New Roman"/>
                      <w:color w:val="333333"/>
                      <w:lang w:eastAsia="lv-LV"/>
                    </w:rPr>
                    <w:t>71</w:t>
                  </w:r>
                </w:p>
              </w:tc>
            </w:tr>
            <w:tr w:rsidR="00E83F5A" w:rsidRPr="00347298" w:rsidTr="0032197B">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83F5A" w:rsidRPr="00347298" w:rsidRDefault="00E83F5A" w:rsidP="0032197B">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3.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E83F5A" w:rsidRPr="00F834CE" w:rsidRDefault="00E83F5A" w:rsidP="0032197B">
                  <w:pPr>
                    <w:pStyle w:val="ListParagraph"/>
                    <w:spacing w:after="0" w:line="240" w:lineRule="auto"/>
                    <w:ind w:left="589"/>
                    <w:rPr>
                      <w:rFonts w:ascii="Times New Roman" w:eastAsia="Times New Roman" w:hAnsi="Times New Roman" w:cs="Times New Roman"/>
                      <w:color w:val="333333"/>
                      <w:lang w:eastAsia="lv-LV"/>
                    </w:rPr>
                  </w:pPr>
                  <w:r>
                    <w:rPr>
                      <w:rFonts w:ascii="Times New Roman" w:eastAsia="Times New Roman" w:hAnsi="Times New Roman" w:cs="Times New Roman"/>
                      <w:color w:val="333333"/>
                      <w:lang w:eastAsia="lv-LV"/>
                    </w:rPr>
                    <w:t>72 829</w:t>
                  </w:r>
                </w:p>
              </w:tc>
            </w:tr>
          </w:tbl>
          <w:p w:rsidR="00E83F5A" w:rsidRPr="00F834CE" w:rsidRDefault="00E83F5A" w:rsidP="0032197B">
            <w:pPr>
              <w:spacing w:after="0" w:line="240" w:lineRule="auto"/>
              <w:ind w:left="732"/>
              <w:jc w:val="both"/>
              <w:rPr>
                <w:rFonts w:ascii="Times New Roman" w:eastAsia="Times New Roman" w:hAnsi="Times New Roman" w:cs="Times New Roman"/>
                <w:iCs/>
                <w:lang w:eastAsia="lv-LV"/>
              </w:rPr>
            </w:pPr>
            <w:r w:rsidRPr="00F834CE">
              <w:rPr>
                <w:rFonts w:ascii="Times New Roman" w:eastAsia="Times New Roman" w:hAnsi="Times New Roman" w:cs="Times New Roman"/>
                <w:iCs/>
                <w:lang w:eastAsia="lv-LV"/>
              </w:rPr>
              <w:t xml:space="preserve">Datu avots: </w:t>
            </w:r>
            <w:proofErr w:type="spellStart"/>
            <w:r w:rsidRPr="00F834CE">
              <w:rPr>
                <w:rFonts w:ascii="Times New Roman" w:eastAsia="Times New Roman" w:hAnsi="Times New Roman" w:cs="Times New Roman"/>
                <w:iCs/>
                <w:lang w:eastAsia="lv-LV"/>
              </w:rPr>
              <w:t>Lab</w:t>
            </w:r>
            <w:r>
              <w:rPr>
                <w:rFonts w:ascii="Times New Roman" w:eastAsia="Times New Roman" w:hAnsi="Times New Roman" w:cs="Times New Roman"/>
                <w:iCs/>
                <w:lang w:eastAsia="lv-LV"/>
              </w:rPr>
              <w:t>I</w:t>
            </w:r>
            <w:r w:rsidRPr="00F834CE">
              <w:rPr>
                <w:rFonts w:ascii="Times New Roman" w:eastAsia="Times New Roman" w:hAnsi="Times New Roman" w:cs="Times New Roman"/>
                <w:iCs/>
                <w:lang w:eastAsia="lv-LV"/>
              </w:rPr>
              <w:t>S</w:t>
            </w:r>
            <w:proofErr w:type="spellEnd"/>
          </w:p>
          <w:p w:rsidR="00E83F5A" w:rsidRDefault="00E83F5A" w:rsidP="0032197B">
            <w:pPr>
              <w:spacing w:after="0" w:line="240" w:lineRule="auto"/>
              <w:ind w:left="449"/>
              <w:jc w:val="both"/>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 xml:space="preserve">* </w:t>
            </w:r>
            <w:r w:rsidRPr="00F834CE">
              <w:rPr>
                <w:rFonts w:ascii="Times New Roman" w:eastAsia="Times New Roman" w:hAnsi="Times New Roman" w:cs="Times New Roman"/>
                <w:iCs/>
                <w:lang w:eastAsia="lv-LV"/>
              </w:rPr>
              <w:t>vienai personai var būt noteiktas vairākas invaliditātes grupas ar dažādiem cēloņiem</w:t>
            </w:r>
            <w:r>
              <w:rPr>
                <w:rFonts w:ascii="Times New Roman" w:eastAsia="Times New Roman" w:hAnsi="Times New Roman" w:cs="Times New Roman"/>
                <w:iCs/>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Atbilstoši Labis datiem uz 2018.gada decembri invaliditātes termiņš uz sešiem mēnešiem</w:t>
            </w:r>
            <w:r>
              <w:t xml:space="preserve"> </w:t>
            </w:r>
            <w:r w:rsidRPr="004C078B">
              <w:rPr>
                <w:rFonts w:ascii="Times New Roman" w:eastAsia="Times New Roman" w:hAnsi="Times New Roman" w:cs="Times New Roman"/>
                <w:iCs/>
                <w:sz w:val="24"/>
                <w:szCs w:val="24"/>
                <w:lang w:eastAsia="lv-LV"/>
              </w:rPr>
              <w:t xml:space="preserve">ir noteikts </w:t>
            </w:r>
            <w:r>
              <w:rPr>
                <w:rFonts w:ascii="Times New Roman" w:eastAsia="Times New Roman" w:hAnsi="Times New Roman" w:cs="Times New Roman"/>
                <w:iCs/>
                <w:sz w:val="24"/>
                <w:szCs w:val="24"/>
                <w:lang w:eastAsia="lv-LV"/>
              </w:rPr>
              <w:t>0,53</w:t>
            </w:r>
            <w:r w:rsidRPr="004C078B">
              <w:rPr>
                <w:rFonts w:ascii="Times New Roman" w:eastAsia="Times New Roman" w:hAnsi="Times New Roman" w:cs="Times New Roman"/>
                <w:iCs/>
                <w:sz w:val="24"/>
                <w:szCs w:val="24"/>
                <w:lang w:eastAsia="lv-LV"/>
              </w:rPr>
              <w:t>% personām ar invaliditāti</w:t>
            </w:r>
            <w:r>
              <w:rPr>
                <w:rFonts w:ascii="Times New Roman" w:eastAsia="Times New Roman" w:hAnsi="Times New Roman" w:cs="Times New Roman"/>
                <w:iCs/>
                <w:sz w:val="24"/>
                <w:szCs w:val="24"/>
                <w:lang w:eastAsia="lv-LV"/>
              </w:rPr>
              <w:t>,</w:t>
            </w:r>
            <w:r>
              <w:t xml:space="preserve"> </w:t>
            </w:r>
            <w:r w:rsidRPr="004C078B">
              <w:rPr>
                <w:rFonts w:ascii="Times New Roman" w:hAnsi="Times New Roman" w:cs="Times New Roman"/>
                <w:sz w:val="24"/>
                <w:szCs w:val="24"/>
              </w:rPr>
              <w:t xml:space="preserve">termiņš uz </w:t>
            </w:r>
            <w:r>
              <w:rPr>
                <w:rFonts w:ascii="Times New Roman" w:hAnsi="Times New Roman" w:cs="Times New Roman"/>
                <w:sz w:val="24"/>
                <w:szCs w:val="24"/>
              </w:rPr>
              <w:t>vienu</w:t>
            </w:r>
            <w:r w:rsidRPr="004C078B">
              <w:rPr>
                <w:rFonts w:ascii="Times New Roman" w:hAnsi="Times New Roman" w:cs="Times New Roman"/>
                <w:sz w:val="24"/>
                <w:szCs w:val="24"/>
              </w:rPr>
              <w:t xml:space="preserve"> gadu </w:t>
            </w:r>
            <w:r w:rsidRPr="004C078B">
              <w:rPr>
                <w:rFonts w:ascii="Times New Roman" w:eastAsia="Times New Roman" w:hAnsi="Times New Roman" w:cs="Times New Roman"/>
                <w:iCs/>
                <w:sz w:val="24"/>
                <w:szCs w:val="24"/>
                <w:lang w:eastAsia="lv-LV"/>
              </w:rPr>
              <w:t xml:space="preserve">ir noteikts </w:t>
            </w:r>
            <w:r>
              <w:rPr>
                <w:rFonts w:ascii="Times New Roman" w:eastAsia="Times New Roman" w:hAnsi="Times New Roman" w:cs="Times New Roman"/>
                <w:iCs/>
                <w:sz w:val="24"/>
                <w:szCs w:val="24"/>
                <w:lang w:eastAsia="lv-LV"/>
              </w:rPr>
              <w:t>7,42</w:t>
            </w:r>
            <w:r w:rsidRPr="004C078B">
              <w:rPr>
                <w:rFonts w:ascii="Times New Roman" w:eastAsia="Times New Roman" w:hAnsi="Times New Roman" w:cs="Times New Roman"/>
                <w:iCs/>
                <w:sz w:val="24"/>
                <w:szCs w:val="24"/>
                <w:lang w:eastAsia="lv-LV"/>
              </w:rPr>
              <w:t>% personām ar invaliditāti</w:t>
            </w:r>
            <w:r>
              <w:rPr>
                <w:rFonts w:ascii="Times New Roman" w:eastAsia="Times New Roman" w:hAnsi="Times New Roman" w:cs="Times New Roman"/>
                <w:iCs/>
                <w:sz w:val="24"/>
                <w:szCs w:val="24"/>
                <w:lang w:eastAsia="lv-LV"/>
              </w:rPr>
              <w:t>, diviem gadiem ir noteikts 21,93% personām ar invaliditāti, termiņš uz pieciem gadiem – 19,72%</w:t>
            </w:r>
            <w:r>
              <w:t xml:space="preserve"> </w:t>
            </w:r>
            <w:r w:rsidRPr="004C078B">
              <w:rPr>
                <w:rFonts w:ascii="Times New Roman" w:eastAsia="Times New Roman" w:hAnsi="Times New Roman" w:cs="Times New Roman"/>
                <w:iCs/>
                <w:sz w:val="24"/>
                <w:szCs w:val="24"/>
                <w:lang w:eastAsia="lv-LV"/>
              </w:rPr>
              <w:t>personām ar invaliditāti,</w:t>
            </w:r>
            <w:r>
              <w:rPr>
                <w:rFonts w:ascii="Times New Roman" w:eastAsia="Times New Roman" w:hAnsi="Times New Roman" w:cs="Times New Roman"/>
                <w:iCs/>
                <w:sz w:val="24"/>
                <w:szCs w:val="24"/>
                <w:lang w:eastAsia="lv-LV"/>
              </w:rPr>
              <w:t xml:space="preserve"> bet bez atkārtota termiņa jeb uz mūžu 50,40%</w:t>
            </w:r>
            <w:r>
              <w:t xml:space="preserve"> </w:t>
            </w:r>
            <w:r w:rsidRPr="004C078B">
              <w:rPr>
                <w:rFonts w:ascii="Times New Roman" w:eastAsia="Times New Roman" w:hAnsi="Times New Roman" w:cs="Times New Roman"/>
                <w:iCs/>
                <w:sz w:val="24"/>
                <w:szCs w:val="24"/>
                <w:lang w:eastAsia="lv-LV"/>
              </w:rPr>
              <w:t>personām ar invaliditāti</w:t>
            </w:r>
            <w:r>
              <w:rPr>
                <w:rFonts w:ascii="Times New Roman" w:eastAsia="Times New Roman" w:hAnsi="Times New Roman" w:cs="Times New Roman"/>
                <w:iCs/>
                <w:sz w:val="24"/>
                <w:szCs w:val="24"/>
                <w:lang w:eastAsia="lv-LV"/>
              </w:rPr>
              <w: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2018.gadā pirmreizēji invaliditāte noteikta 16 949 personām, 2017.gadā 16 975 personām, 2016.gadā 17 883 personām.</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p>
          <w:tbl>
            <w:tblPr>
              <w:tblW w:w="6232" w:type="dxa"/>
              <w:tblLook w:val="04A0" w:firstRow="1" w:lastRow="0" w:firstColumn="1" w:lastColumn="0" w:noHBand="0" w:noVBand="1"/>
            </w:tblPr>
            <w:tblGrid>
              <w:gridCol w:w="1258"/>
              <w:gridCol w:w="1094"/>
              <w:gridCol w:w="833"/>
              <w:gridCol w:w="722"/>
              <w:gridCol w:w="695"/>
              <w:gridCol w:w="851"/>
              <w:gridCol w:w="851"/>
            </w:tblGrid>
            <w:tr w:rsidR="00E83F5A" w:rsidRPr="000B39FE" w:rsidTr="0032197B">
              <w:trPr>
                <w:trHeight w:val="315"/>
              </w:trPr>
              <w:tc>
                <w:tcPr>
                  <w:tcW w:w="1258" w:type="dxa"/>
                  <w:vMerge w:val="restart"/>
                  <w:tcBorders>
                    <w:top w:val="single" w:sz="4" w:space="0" w:color="auto"/>
                    <w:left w:val="single" w:sz="4" w:space="0" w:color="auto"/>
                    <w:bottom w:val="single" w:sz="4" w:space="0" w:color="000000"/>
                    <w:right w:val="single" w:sz="8" w:space="0" w:color="auto"/>
                  </w:tcBorders>
                  <w:shd w:val="clear" w:color="FFFFFF" w:fill="DEDEDE"/>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Gads</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sidRPr="00E807BF">
                    <w:rPr>
                      <w:rFonts w:ascii="Times New Roman" w:eastAsia="Times New Roman" w:hAnsi="Times New Roman" w:cs="Times New Roman"/>
                      <w:color w:val="000000"/>
                      <w:sz w:val="20"/>
                      <w:szCs w:val="20"/>
                      <w:lang w:eastAsia="lv-LV"/>
                    </w:rPr>
                    <w:t>Personu ar pirmreizēji noteiktu invaliditāti</w:t>
                  </w:r>
                  <w:r>
                    <w:rPr>
                      <w:rFonts w:ascii="Times New Roman" w:eastAsia="Times New Roman" w:hAnsi="Times New Roman" w:cs="Times New Roman"/>
                      <w:color w:val="000000"/>
                      <w:sz w:val="20"/>
                      <w:szCs w:val="20"/>
                      <w:lang w:eastAsia="lv-LV"/>
                    </w:rPr>
                    <w:t xml:space="preserve"> skaits</w:t>
                  </w:r>
                </w:p>
              </w:tc>
              <w:tc>
                <w:tcPr>
                  <w:tcW w:w="3952" w:type="dxa"/>
                  <w:gridSpan w:val="5"/>
                  <w:tcBorders>
                    <w:top w:val="single" w:sz="4" w:space="0" w:color="000000"/>
                    <w:left w:val="nil"/>
                    <w:bottom w:val="single" w:sz="4" w:space="0" w:color="000000"/>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Personām ar pirmreizēju invaliditāti noteiktais i</w:t>
                  </w:r>
                  <w:r w:rsidRPr="000B39FE">
                    <w:rPr>
                      <w:rFonts w:ascii="Times New Roman" w:eastAsia="Times New Roman" w:hAnsi="Times New Roman" w:cs="Times New Roman"/>
                      <w:color w:val="000000"/>
                      <w:sz w:val="20"/>
                      <w:szCs w:val="20"/>
                      <w:lang w:eastAsia="lv-LV"/>
                    </w:rPr>
                    <w:t>nvaliditātes termiņš</w:t>
                  </w:r>
                </w:p>
              </w:tc>
            </w:tr>
            <w:tr w:rsidR="00E83F5A" w:rsidRPr="000B39FE" w:rsidTr="0032197B">
              <w:trPr>
                <w:trHeight w:val="440"/>
              </w:trPr>
              <w:tc>
                <w:tcPr>
                  <w:tcW w:w="1258" w:type="dxa"/>
                  <w:vMerge/>
                  <w:tcBorders>
                    <w:top w:val="single" w:sz="4" w:space="0" w:color="auto"/>
                    <w:left w:val="single" w:sz="4" w:space="0" w:color="auto"/>
                    <w:bottom w:val="single" w:sz="4" w:space="0" w:color="000000"/>
                    <w:right w:val="single" w:sz="8" w:space="0" w:color="auto"/>
                  </w:tcBorders>
                  <w:vAlign w:val="center"/>
                  <w:hideMark/>
                </w:tcPr>
                <w:p w:rsidR="00E83F5A" w:rsidRPr="000B39FE" w:rsidRDefault="00E83F5A" w:rsidP="0032197B">
                  <w:pPr>
                    <w:spacing w:after="0" w:line="240" w:lineRule="auto"/>
                    <w:rPr>
                      <w:rFonts w:ascii="Times New Roman" w:eastAsia="Times New Roman" w:hAnsi="Times New Roman" w:cs="Times New Roman"/>
                      <w:color w:val="000000"/>
                      <w:sz w:val="20"/>
                      <w:szCs w:val="20"/>
                      <w:lang w:eastAsia="lv-LV"/>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E83F5A" w:rsidRPr="000B39FE" w:rsidRDefault="00E83F5A" w:rsidP="0032197B">
                  <w:pPr>
                    <w:spacing w:after="0" w:line="240" w:lineRule="auto"/>
                    <w:rPr>
                      <w:rFonts w:ascii="Times New Roman" w:eastAsia="Times New Roman" w:hAnsi="Times New Roman" w:cs="Times New Roman"/>
                      <w:color w:val="000000"/>
                      <w:sz w:val="20"/>
                      <w:szCs w:val="20"/>
                      <w:lang w:eastAsia="lv-LV"/>
                    </w:rPr>
                  </w:pPr>
                </w:p>
              </w:tc>
              <w:tc>
                <w:tcPr>
                  <w:tcW w:w="833" w:type="dxa"/>
                  <w:tcBorders>
                    <w:top w:val="single" w:sz="4" w:space="0" w:color="000000"/>
                    <w:left w:val="nil"/>
                    <w:bottom w:val="single" w:sz="4" w:space="0" w:color="auto"/>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6 mēneši</w:t>
                  </w:r>
                </w:p>
              </w:tc>
              <w:tc>
                <w:tcPr>
                  <w:tcW w:w="722" w:type="dxa"/>
                  <w:tcBorders>
                    <w:top w:val="single" w:sz="4" w:space="0" w:color="000000"/>
                    <w:left w:val="nil"/>
                    <w:bottom w:val="single" w:sz="4" w:space="0" w:color="auto"/>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1 gads</w:t>
                  </w:r>
                </w:p>
              </w:tc>
              <w:tc>
                <w:tcPr>
                  <w:tcW w:w="695" w:type="dxa"/>
                  <w:tcBorders>
                    <w:top w:val="single" w:sz="4" w:space="0" w:color="000000"/>
                    <w:left w:val="nil"/>
                    <w:bottom w:val="single" w:sz="4" w:space="0" w:color="auto"/>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2 gadi</w:t>
                  </w:r>
                </w:p>
              </w:tc>
              <w:tc>
                <w:tcPr>
                  <w:tcW w:w="851" w:type="dxa"/>
                  <w:tcBorders>
                    <w:top w:val="single" w:sz="4" w:space="0" w:color="000000"/>
                    <w:left w:val="nil"/>
                    <w:bottom w:val="single" w:sz="4" w:space="0" w:color="auto"/>
                    <w:right w:val="single" w:sz="4" w:space="0" w:color="000000"/>
                  </w:tcBorders>
                  <w:shd w:val="clear" w:color="FFFFFF" w:fill="DEDEDE"/>
                  <w:noWrap/>
                  <w:vAlign w:val="center"/>
                  <w:hideMark/>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5 gadi</w:t>
                  </w:r>
                </w:p>
              </w:tc>
              <w:tc>
                <w:tcPr>
                  <w:tcW w:w="851" w:type="dxa"/>
                  <w:tcBorders>
                    <w:top w:val="single" w:sz="4" w:space="0" w:color="000000"/>
                    <w:left w:val="nil"/>
                    <w:bottom w:val="single" w:sz="4" w:space="0" w:color="auto"/>
                    <w:right w:val="single" w:sz="4" w:space="0" w:color="000000"/>
                  </w:tcBorders>
                  <w:shd w:val="clear" w:color="FFFFFF" w:fill="DEDEDE"/>
                </w:tcPr>
                <w:p w:rsidR="00E83F5A" w:rsidRPr="000B39FE" w:rsidRDefault="00E83F5A" w:rsidP="0032197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w:t>
                  </w:r>
                  <w:r w:rsidRPr="000B39FE">
                    <w:rPr>
                      <w:rFonts w:ascii="Times New Roman" w:eastAsia="Times New Roman" w:hAnsi="Times New Roman" w:cs="Times New Roman"/>
                      <w:color w:val="000000"/>
                      <w:sz w:val="20"/>
                      <w:szCs w:val="20"/>
                      <w:lang w:eastAsia="lv-LV"/>
                    </w:rPr>
                    <w:t>z mūžu</w:t>
                  </w:r>
                </w:p>
              </w:tc>
            </w:tr>
            <w:tr w:rsidR="00E83F5A" w:rsidRPr="000B39FE" w:rsidTr="0032197B">
              <w:trPr>
                <w:trHeight w:val="224"/>
              </w:trPr>
              <w:tc>
                <w:tcPr>
                  <w:tcW w:w="1258"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E83F5A" w:rsidRPr="000B39FE" w:rsidRDefault="00E83F5A" w:rsidP="0032197B">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2018</w:t>
                  </w:r>
                </w:p>
              </w:tc>
              <w:tc>
                <w:tcPr>
                  <w:tcW w:w="1022" w:type="dxa"/>
                  <w:tcBorders>
                    <w:top w:val="single" w:sz="4" w:space="0" w:color="000000"/>
                    <w:left w:val="nil"/>
                    <w:bottom w:val="single" w:sz="4" w:space="0" w:color="auto"/>
                    <w:right w:val="single" w:sz="4" w:space="0" w:color="000000"/>
                  </w:tcBorders>
                  <w:shd w:val="clear" w:color="FFFFFF" w:fill="FFFFFF"/>
                  <w:noWrap/>
                  <w:vAlign w:val="center"/>
                  <w:hideMark/>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16 949</w:t>
                  </w:r>
                </w:p>
              </w:tc>
              <w:tc>
                <w:tcPr>
                  <w:tcW w:w="833" w:type="dxa"/>
                  <w:tcBorders>
                    <w:top w:val="single" w:sz="4" w:space="0" w:color="auto"/>
                    <w:left w:val="nil"/>
                    <w:bottom w:val="single" w:sz="4" w:space="0" w:color="auto"/>
                    <w:right w:val="single" w:sz="4" w:space="0" w:color="000000"/>
                  </w:tcBorders>
                  <w:shd w:val="clear" w:color="FFFFFF" w:fill="FFFFFF"/>
                  <w:noWrap/>
                  <w:vAlign w:val="center"/>
                  <w:hideMark/>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 xml:space="preserve"> 738</w:t>
                  </w:r>
                </w:p>
              </w:tc>
              <w:tc>
                <w:tcPr>
                  <w:tcW w:w="722" w:type="dxa"/>
                  <w:tcBorders>
                    <w:top w:val="single" w:sz="4" w:space="0" w:color="auto"/>
                    <w:left w:val="nil"/>
                    <w:bottom w:val="single" w:sz="4" w:space="0" w:color="auto"/>
                    <w:right w:val="single" w:sz="4" w:space="0" w:color="000000"/>
                  </w:tcBorders>
                  <w:shd w:val="clear" w:color="FFFFFF" w:fill="FFFFFF"/>
                  <w:noWrap/>
                  <w:vAlign w:val="center"/>
                  <w:hideMark/>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6 814</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7 020</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hideMark/>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1 871</w:t>
                  </w:r>
                </w:p>
              </w:tc>
              <w:tc>
                <w:tcPr>
                  <w:tcW w:w="851" w:type="dxa"/>
                  <w:tcBorders>
                    <w:top w:val="single" w:sz="4" w:space="0" w:color="auto"/>
                    <w:left w:val="nil"/>
                    <w:bottom w:val="single" w:sz="4" w:space="0" w:color="auto"/>
                    <w:right w:val="single" w:sz="4" w:space="0" w:color="000000"/>
                  </w:tcBorders>
                  <w:shd w:val="clear" w:color="FFFFFF" w:fill="FFFFFF"/>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526</w:t>
                  </w:r>
                </w:p>
              </w:tc>
            </w:tr>
            <w:tr w:rsidR="00E83F5A" w:rsidRPr="000B39FE" w:rsidTr="0032197B">
              <w:trPr>
                <w:trHeight w:val="224"/>
              </w:trPr>
              <w:tc>
                <w:tcPr>
                  <w:tcW w:w="1258"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2017</w:t>
                  </w:r>
                </w:p>
              </w:tc>
              <w:tc>
                <w:tcPr>
                  <w:tcW w:w="1022"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16 975</w:t>
                  </w:r>
                </w:p>
              </w:tc>
              <w:tc>
                <w:tcPr>
                  <w:tcW w:w="833"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639</w:t>
                  </w:r>
                </w:p>
              </w:tc>
              <w:tc>
                <w:tcPr>
                  <w:tcW w:w="722"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6 391</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7 071</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2 412</w:t>
                  </w:r>
                </w:p>
              </w:tc>
              <w:tc>
                <w:tcPr>
                  <w:tcW w:w="851" w:type="dxa"/>
                  <w:tcBorders>
                    <w:top w:val="single" w:sz="4" w:space="0" w:color="auto"/>
                    <w:left w:val="nil"/>
                    <w:bottom w:val="single" w:sz="4" w:space="0" w:color="auto"/>
                    <w:right w:val="single" w:sz="4" w:space="0" w:color="000000"/>
                  </w:tcBorders>
                  <w:shd w:val="clear" w:color="FFFFFF" w:fill="FFFFFF"/>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469</w:t>
                  </w:r>
                </w:p>
              </w:tc>
            </w:tr>
            <w:tr w:rsidR="00E83F5A" w:rsidRPr="000B39FE" w:rsidTr="0032197B">
              <w:trPr>
                <w:trHeight w:val="224"/>
              </w:trPr>
              <w:tc>
                <w:tcPr>
                  <w:tcW w:w="1258"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2016</w:t>
                  </w:r>
                </w:p>
              </w:tc>
              <w:tc>
                <w:tcPr>
                  <w:tcW w:w="1022"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17 883</w:t>
                  </w:r>
                </w:p>
              </w:tc>
              <w:tc>
                <w:tcPr>
                  <w:tcW w:w="833"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663</w:t>
                  </w:r>
                </w:p>
              </w:tc>
              <w:tc>
                <w:tcPr>
                  <w:tcW w:w="722"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7 617</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6 722</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2 354</w:t>
                  </w:r>
                </w:p>
              </w:tc>
              <w:tc>
                <w:tcPr>
                  <w:tcW w:w="851" w:type="dxa"/>
                  <w:tcBorders>
                    <w:top w:val="single" w:sz="4" w:space="0" w:color="auto"/>
                    <w:left w:val="nil"/>
                    <w:bottom w:val="single" w:sz="4" w:space="0" w:color="auto"/>
                    <w:right w:val="single" w:sz="4" w:space="0" w:color="000000"/>
                  </w:tcBorders>
                  <w:shd w:val="clear" w:color="FFFFFF" w:fill="FFFFFF"/>
                </w:tcPr>
                <w:p w:rsidR="00E83F5A" w:rsidRPr="000B39FE" w:rsidRDefault="00E83F5A" w:rsidP="0032197B">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547</w:t>
                  </w:r>
                </w:p>
              </w:tc>
            </w:tr>
          </w:tbl>
          <w:p w:rsidR="00E83F5A" w:rsidRPr="00B66252" w:rsidRDefault="00E83F5A" w:rsidP="0032197B">
            <w:pPr>
              <w:rPr>
                <w:rFonts w:ascii="Times New Roman" w:eastAsia="Times New Roman" w:hAnsi="Times New Roman" w:cs="Times New Roman"/>
                <w:iCs/>
                <w:sz w:val="24"/>
                <w:szCs w:val="24"/>
                <w:lang w:eastAsia="lv-LV"/>
              </w:rPr>
            </w:pPr>
            <w:r w:rsidRPr="000B39FE">
              <w:rPr>
                <w:rFonts w:ascii="Times New Roman" w:hAnsi="Times New Roman" w:cs="Times New Roman"/>
              </w:rPr>
              <w:t xml:space="preserve">Datu avots: </w:t>
            </w:r>
            <w:proofErr w:type="spellStart"/>
            <w:r w:rsidRPr="000B39FE">
              <w:rPr>
                <w:rFonts w:ascii="Times New Roman" w:hAnsi="Times New Roman" w:cs="Times New Roman"/>
              </w:rPr>
              <w:t>Lab</w:t>
            </w:r>
            <w:r>
              <w:rPr>
                <w:rFonts w:ascii="Times New Roman" w:hAnsi="Times New Roman" w:cs="Times New Roman"/>
              </w:rPr>
              <w:t>I</w:t>
            </w:r>
            <w:r w:rsidRPr="000B39FE">
              <w:rPr>
                <w:rFonts w:ascii="Times New Roman" w:hAnsi="Times New Roman" w:cs="Times New Roman"/>
              </w:rPr>
              <w:t>S</w:t>
            </w:r>
            <w:proofErr w:type="spellEnd"/>
            <w:r>
              <w:rPr>
                <w:rFonts w:ascii="Times New Roman" w:hAnsi="Times New Roman" w:cs="Times New Roman"/>
              </w:rPr>
              <w:t xml:space="preserve">. </w:t>
            </w:r>
            <w:bookmarkEnd w:id="0"/>
          </w:p>
        </w:tc>
      </w:tr>
      <w:tr w:rsidR="00E83F5A" w:rsidRPr="00B66252" w:rsidTr="0032197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2.</w:t>
            </w:r>
          </w:p>
        </w:tc>
        <w:tc>
          <w:tcPr>
            <w:tcW w:w="1380" w:type="pct"/>
            <w:gridSpan w:val="2"/>
            <w:tcBorders>
              <w:top w:val="outset" w:sz="6" w:space="0" w:color="auto"/>
              <w:left w:val="outset" w:sz="6" w:space="0" w:color="auto"/>
              <w:bottom w:val="outset" w:sz="6" w:space="0" w:color="auto"/>
              <w:right w:val="outset" w:sz="6" w:space="0" w:color="auto"/>
            </w:tcBorders>
            <w:hideMark/>
          </w:tcPr>
          <w:p w:rsidR="00E83F5A"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Tiesiskā regulējuma ietekme uz tautsaimniecību un administratīvo slogu</w:t>
            </w: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p w:rsidR="00E83F5A" w:rsidRPr="00376A1F" w:rsidRDefault="00E83F5A" w:rsidP="0032197B">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 xml:space="preserve">Projekts neparedz ieviest jaunas administratīvās procedūras, tomēr saistībā ar </w:t>
            </w:r>
            <w:r>
              <w:rPr>
                <w:rFonts w:ascii="Times New Roman" w:eastAsia="Times New Roman" w:hAnsi="Times New Roman" w:cs="Times New Roman"/>
                <w:iCs/>
                <w:sz w:val="24"/>
                <w:szCs w:val="24"/>
                <w:lang w:eastAsia="lv-LV"/>
              </w:rPr>
              <w:t>personu</w:t>
            </w:r>
            <w:r w:rsidRPr="00B66252">
              <w:rPr>
                <w:rFonts w:ascii="Times New Roman" w:eastAsia="Times New Roman" w:hAnsi="Times New Roman" w:cs="Times New Roman"/>
                <w:iCs/>
                <w:sz w:val="24"/>
                <w:szCs w:val="24"/>
                <w:lang w:eastAsia="lv-LV"/>
              </w:rPr>
              <w:t xml:space="preserve"> ar stabiliem un neatgriezeniskiem funkcionēšanas ierobežojumiem, kuri nav minēti noteikumu 7.pielikumā, ekspertīzēm šīs procedūras būs jāveic retāk, tādējādi samazinot administratīvo slogu.</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 xml:space="preserve">Projektā ietvertajam tiesiskajam regulējumam varētu būt pozitīva ietekme uz tautsaimniecību, jo paredzams, ka samazināsies administratīvais slogs gan projekta mērķa grupai, gan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omisijai</w:t>
            </w:r>
            <w:r>
              <w:rPr>
                <w:rFonts w:ascii="Times New Roman" w:eastAsia="Times New Roman" w:hAnsi="Times New Roman" w:cs="Times New Roman"/>
                <w:iCs/>
                <w:sz w:val="24"/>
                <w:szCs w:val="24"/>
                <w:lang w:eastAsia="lv-LV"/>
              </w:rPr>
              <w:t xml:space="preserve"> attiecībā uz veicamo ekspertīžu skaitu pilngadīgām personām.</w:t>
            </w:r>
            <w:r w:rsidRPr="00B66252">
              <w:rPr>
                <w:rFonts w:ascii="Times New Roman" w:eastAsia="Times New Roman" w:hAnsi="Times New Roman" w:cs="Times New Roman"/>
                <w:iCs/>
                <w:sz w:val="24"/>
                <w:szCs w:val="24"/>
                <w:lang w:eastAsia="lv-LV"/>
              </w:rPr>
              <w:t xml:space="preserve"> Gadījumos, kad </w:t>
            </w:r>
            <w:r>
              <w:rPr>
                <w:rFonts w:ascii="Times New Roman" w:eastAsia="Times New Roman" w:hAnsi="Times New Roman" w:cs="Times New Roman"/>
                <w:iCs/>
                <w:sz w:val="24"/>
                <w:szCs w:val="24"/>
                <w:lang w:eastAsia="lv-LV"/>
              </w:rPr>
              <w:t>personai</w:t>
            </w:r>
            <w:r w:rsidRPr="00B66252">
              <w:rPr>
                <w:rFonts w:ascii="Times New Roman" w:eastAsia="Times New Roman" w:hAnsi="Times New Roman" w:cs="Times New Roman"/>
                <w:iCs/>
                <w:sz w:val="24"/>
                <w:szCs w:val="24"/>
                <w:lang w:eastAsia="lv-LV"/>
              </w:rPr>
              <w:t xml:space="preserve"> tiks konstatēti stabili un neatgriezeniski funkcionēšanas ierobežojumi un attiecīgi noteikta invaliditāte </w:t>
            </w:r>
            <w:r>
              <w:rPr>
                <w:rFonts w:ascii="Times New Roman" w:eastAsia="Times New Roman" w:hAnsi="Times New Roman" w:cs="Times New Roman"/>
                <w:iCs/>
                <w:sz w:val="24"/>
                <w:szCs w:val="24"/>
                <w:lang w:eastAsia="lv-LV"/>
              </w:rPr>
              <w:t>uz mūžu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personai </w:t>
            </w:r>
            <w:r w:rsidRPr="00B66252">
              <w:rPr>
                <w:rFonts w:ascii="Times New Roman" w:eastAsia="Times New Roman" w:hAnsi="Times New Roman" w:cs="Times New Roman"/>
                <w:iCs/>
                <w:sz w:val="24"/>
                <w:szCs w:val="24"/>
                <w:lang w:eastAsia="lv-LV"/>
              </w:rPr>
              <w:t xml:space="preserve"> būs iespēja saņemt sociālās garantijas bez atkārtotas dokumentu kārtošanas</w:t>
            </w:r>
            <w:r w:rsidRPr="00B66252">
              <w:t xml:space="preserve"> </w:t>
            </w:r>
            <w:r w:rsidRPr="00B66252">
              <w:rPr>
                <w:rFonts w:ascii="Times New Roman" w:hAnsi="Times New Roman" w:cs="Times New Roman"/>
                <w:sz w:val="24"/>
                <w:szCs w:val="24"/>
              </w:rPr>
              <w:t xml:space="preserve">un iesniegšanas </w:t>
            </w:r>
            <w:r>
              <w:rPr>
                <w:rFonts w:ascii="Times New Roman" w:hAnsi="Times New Roman" w:cs="Times New Roman"/>
                <w:sz w:val="24"/>
                <w:szCs w:val="24"/>
              </w:rPr>
              <w:t>K</w:t>
            </w:r>
            <w:r w:rsidRPr="00B66252">
              <w:rPr>
                <w:rFonts w:ascii="Times New Roman" w:hAnsi="Times New Roman" w:cs="Times New Roman"/>
                <w:sz w:val="24"/>
                <w:szCs w:val="24"/>
              </w:rPr>
              <w:t>omisijā</w:t>
            </w:r>
            <w:r>
              <w:rPr>
                <w:rFonts w:ascii="Times New Roman" w:hAnsi="Times New Roman" w:cs="Times New Roman"/>
                <w:sz w:val="24"/>
                <w:szCs w:val="24"/>
              </w:rPr>
              <w:t>, kā rezultātā</w:t>
            </w:r>
            <w:r w:rsidRPr="00B66252">
              <w:rPr>
                <w:rFonts w:ascii="Times New Roman" w:eastAsia="Times New Roman" w:hAnsi="Times New Roman" w:cs="Times New Roman"/>
                <w:iCs/>
                <w:sz w:val="24"/>
                <w:szCs w:val="24"/>
                <w:lang w:eastAsia="lv-LV"/>
              </w:rPr>
              <w:t xml:space="preserve"> varētu samazināties veicamo atkārtoto ekspertīžu skaits </w:t>
            </w:r>
            <w:r>
              <w:rPr>
                <w:rFonts w:ascii="Times New Roman" w:eastAsia="Times New Roman" w:hAnsi="Times New Roman" w:cs="Times New Roman"/>
                <w:iCs/>
                <w:sz w:val="24"/>
                <w:szCs w:val="24"/>
                <w:lang w:eastAsia="lv-LV"/>
              </w:rPr>
              <w:t>personām ar invaliditāti</w:t>
            </w:r>
            <w:r w:rsidRPr="00B6625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jāņem vērā, ka jau šobrīd 50,40 %  pilngadīgām personām invaliditāte ir noteikta uz mūžu, savukārt 19,72 %  invaliditāte noteikta ar termiņu uz pieciem gadiem, kas </w:t>
            </w:r>
            <w:r w:rsidRPr="008B5A9C">
              <w:rPr>
                <w:rFonts w:ascii="Times New Roman" w:eastAsia="Times New Roman" w:hAnsi="Times New Roman" w:cs="Times New Roman"/>
                <w:iCs/>
                <w:sz w:val="24"/>
                <w:szCs w:val="24"/>
                <w:lang w:eastAsia="lv-LV"/>
              </w:rPr>
              <w:t xml:space="preserve">jau šobrīd </w:t>
            </w:r>
            <w:r>
              <w:rPr>
                <w:rFonts w:ascii="Times New Roman" w:eastAsia="Times New Roman" w:hAnsi="Times New Roman" w:cs="Times New Roman"/>
                <w:iCs/>
                <w:sz w:val="24"/>
                <w:szCs w:val="24"/>
                <w:lang w:eastAsia="lv-LV"/>
              </w:rPr>
              <w:t xml:space="preserve">minētajām personām dod tiesības pie atkārtotas invaliditātes noteikšanas, ja personai ir iestājušies stabili un neatgriezeniski funkcionēšanas ierobežojumi, noteikt invaliditāti uz mūžu. Savukārt, cik daudz personām, kurām šobrīd invaliditāte ir noteikta ar termiņu līdz  diviem gadiem (≈ 30% no personu ar invaliditāti skaita) ir iestājušies stabili un neatgriezeniski funkcionēšanas ierobežojumi, kas ļautu Komisijai </w:t>
            </w:r>
            <w:r w:rsidRPr="00112BB6">
              <w:rPr>
                <w:rFonts w:ascii="Times New Roman" w:eastAsia="Times New Roman" w:hAnsi="Times New Roman" w:cs="Times New Roman"/>
                <w:iCs/>
                <w:sz w:val="24"/>
                <w:szCs w:val="24"/>
                <w:lang w:eastAsia="lv-LV"/>
              </w:rPr>
              <w:t>uzskatīt, ka invaliditāte varētu tikt noteikta nepārtraukti vairāk kā uz pieciem gadiem</w:t>
            </w:r>
            <w:r>
              <w:rPr>
                <w:rFonts w:ascii="Times New Roman" w:eastAsia="Times New Roman" w:hAnsi="Times New Roman" w:cs="Times New Roman"/>
                <w:iCs/>
                <w:sz w:val="24"/>
                <w:szCs w:val="24"/>
                <w:lang w:eastAsia="lv-LV"/>
              </w:rPr>
              <w:t>, nav iespējams noteikt.</w:t>
            </w:r>
          </w:p>
          <w:p w:rsidR="00E83F5A"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nav iespējams noteikt, cik daudz no personām, kurām, veicot pirmreizēju invaliditātes ekspertīzi, varēs noteikt invaliditātes termiņu </w:t>
            </w:r>
            <w:r w:rsidRPr="00463264">
              <w:rPr>
                <w:rFonts w:ascii="Times New Roman" w:eastAsia="Times New Roman" w:hAnsi="Times New Roman" w:cs="Times New Roman"/>
                <w:iCs/>
                <w:sz w:val="24"/>
                <w:szCs w:val="24"/>
                <w:lang w:eastAsia="lv-LV"/>
              </w:rPr>
              <w:t>nevis uz pieciem gadiem</w:t>
            </w:r>
            <w:r>
              <w:rPr>
                <w:rFonts w:ascii="Times New Roman" w:eastAsia="Times New Roman" w:hAnsi="Times New Roman" w:cs="Times New Roman"/>
                <w:iCs/>
                <w:sz w:val="24"/>
                <w:szCs w:val="24"/>
                <w:lang w:eastAsia="lv-LV"/>
              </w:rPr>
              <w:t>, bet</w:t>
            </w:r>
            <w:r w:rsidRPr="0046326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uz mūžu, jo Komisijai būs pamats uzskatīt, ka personas veselības stāvoklis būs nemainīgs.</w:t>
            </w:r>
          </w:p>
          <w:p w:rsidR="00E83F5A" w:rsidRPr="00B66252" w:rsidRDefault="00E83F5A" w:rsidP="00321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Tāpat jāņem vērā, ka ik gadu</w:t>
            </w:r>
            <w:r w:rsidRPr="008C30D3">
              <w:rPr>
                <w:rFonts w:ascii="Times New Roman" w:eastAsia="Times New Roman" w:hAnsi="Times New Roman" w:cs="Times New Roman"/>
                <w:iCs/>
                <w:sz w:val="24"/>
                <w:szCs w:val="24"/>
                <w:lang w:eastAsia="lv-LV"/>
              </w:rPr>
              <w:t xml:space="preserve"> saistībā ar sabiedrības  novecošanos, informētību un citu faktoru dēļ</w:t>
            </w:r>
            <w:r>
              <w:rPr>
                <w:rFonts w:ascii="Times New Roman" w:eastAsia="Times New Roman" w:hAnsi="Times New Roman" w:cs="Times New Roman"/>
                <w:iCs/>
                <w:sz w:val="24"/>
                <w:szCs w:val="24"/>
                <w:lang w:eastAsia="lv-LV"/>
              </w:rPr>
              <w:t xml:space="preserve"> kopējais ekspertīžu skaits  pieaug. Saskaņā</w:t>
            </w:r>
            <w:r w:rsidRPr="00E447E7">
              <w:rPr>
                <w:rFonts w:ascii="Times New Roman" w:eastAsia="Times New Roman" w:hAnsi="Times New Roman" w:cs="Times New Roman"/>
                <w:iCs/>
                <w:sz w:val="24"/>
                <w:szCs w:val="24"/>
                <w:lang w:eastAsia="lv-LV"/>
              </w:rPr>
              <w:t xml:space="preserve"> ar </w:t>
            </w:r>
            <w:r>
              <w:rPr>
                <w:rFonts w:ascii="Times New Roman" w:eastAsia="Times New Roman" w:hAnsi="Times New Roman" w:cs="Times New Roman"/>
                <w:iCs/>
                <w:sz w:val="24"/>
                <w:szCs w:val="24"/>
                <w:lang w:eastAsia="lv-LV"/>
              </w:rPr>
              <w:t>Invaliditāte informācijas sistēmas</w:t>
            </w:r>
            <w:r w:rsidRPr="00E447E7">
              <w:rPr>
                <w:rFonts w:ascii="Times New Roman" w:eastAsia="Times New Roman" w:hAnsi="Times New Roman" w:cs="Times New Roman"/>
                <w:iCs/>
                <w:sz w:val="24"/>
                <w:szCs w:val="24"/>
                <w:lang w:eastAsia="lv-LV"/>
              </w:rPr>
              <w:t xml:space="preserve"> datiem</w:t>
            </w:r>
            <w:r>
              <w:rPr>
                <w:rFonts w:ascii="Times New Roman" w:eastAsia="Times New Roman" w:hAnsi="Times New Roman" w:cs="Times New Roman"/>
                <w:iCs/>
                <w:sz w:val="24"/>
                <w:szCs w:val="24"/>
                <w:lang w:eastAsia="lv-LV"/>
              </w:rPr>
              <w:t xml:space="preserve"> kopumā pirmreizējās ekspertīzes veiktas: </w:t>
            </w:r>
            <w:r w:rsidRPr="00112BB6">
              <w:rPr>
                <w:rFonts w:ascii="Times New Roman" w:eastAsia="Times New Roman" w:hAnsi="Times New Roman" w:cs="Times New Roman"/>
                <w:iCs/>
                <w:sz w:val="24"/>
                <w:szCs w:val="24"/>
                <w:lang w:eastAsia="lv-LV"/>
              </w:rPr>
              <w:t>2014. gadā – 60 625 personām, 2015. gadā – 61 520 personām, 2016. gadā – 66 441 personām</w:t>
            </w:r>
            <w:r>
              <w:rPr>
                <w:rFonts w:ascii="Times New Roman" w:eastAsia="Times New Roman" w:hAnsi="Times New Roman" w:cs="Times New Roman"/>
                <w:iCs/>
                <w:sz w:val="24"/>
                <w:szCs w:val="24"/>
                <w:lang w:eastAsia="lv-LV"/>
              </w:rPr>
              <w:t>,</w:t>
            </w:r>
            <w:r w:rsidRPr="00112BB6">
              <w:rPr>
                <w:rFonts w:ascii="Times New Roman" w:eastAsia="Times New Roman" w:hAnsi="Times New Roman" w:cs="Times New Roman"/>
                <w:iCs/>
                <w:sz w:val="24"/>
                <w:szCs w:val="24"/>
                <w:lang w:eastAsia="lv-LV"/>
              </w:rPr>
              <w:t xml:space="preserve"> 2017. gadā – 74 031 personām </w:t>
            </w:r>
            <w:r>
              <w:rPr>
                <w:rFonts w:ascii="Times New Roman" w:eastAsia="Times New Roman" w:hAnsi="Times New Roman" w:cs="Times New Roman"/>
                <w:iCs/>
                <w:sz w:val="24"/>
                <w:szCs w:val="24"/>
                <w:lang w:eastAsia="lv-LV"/>
              </w:rPr>
              <w:t xml:space="preserve"> un 2018.gadā – 69 601 personām. Tāpat pieaug ar invaliditāti saistīto lēmumu skaits (atzinumi)</w:t>
            </w:r>
            <w:r>
              <w:t xml:space="preserve"> </w:t>
            </w:r>
            <w:r w:rsidRPr="008B5A9C">
              <w:rPr>
                <w:rFonts w:ascii="Times New Roman" w:eastAsia="Times New Roman" w:hAnsi="Times New Roman" w:cs="Times New Roman"/>
                <w:iCs/>
                <w:sz w:val="24"/>
                <w:szCs w:val="24"/>
                <w:lang w:eastAsia="lv-LV"/>
              </w:rPr>
              <w:t xml:space="preserve">2016.gadā – </w:t>
            </w:r>
            <w:r>
              <w:rPr>
                <w:rFonts w:ascii="Times New Roman" w:eastAsia="Times New Roman" w:hAnsi="Times New Roman" w:cs="Times New Roman"/>
                <w:iCs/>
                <w:sz w:val="24"/>
                <w:szCs w:val="24"/>
                <w:lang w:eastAsia="lv-LV"/>
              </w:rPr>
              <w:t xml:space="preserve">39 798 atzinumi, </w:t>
            </w:r>
            <w:r w:rsidRPr="008B5A9C">
              <w:rPr>
                <w:rFonts w:ascii="Times New Roman" w:eastAsia="Times New Roman" w:hAnsi="Times New Roman" w:cs="Times New Roman"/>
                <w:iCs/>
                <w:sz w:val="24"/>
                <w:szCs w:val="24"/>
                <w:lang w:eastAsia="lv-LV"/>
              </w:rPr>
              <w:t xml:space="preserve">2017.gadā – </w:t>
            </w:r>
            <w:r>
              <w:rPr>
                <w:rFonts w:ascii="Times New Roman" w:eastAsia="Times New Roman" w:hAnsi="Times New Roman" w:cs="Times New Roman"/>
                <w:iCs/>
                <w:sz w:val="24"/>
                <w:szCs w:val="24"/>
                <w:lang w:eastAsia="lv-LV"/>
              </w:rPr>
              <w:t>41 081 atzinumi</w:t>
            </w:r>
            <w:r w:rsidRPr="008B5A9C">
              <w:rPr>
                <w:rFonts w:ascii="Times New Roman" w:eastAsia="Times New Roman" w:hAnsi="Times New Roman" w:cs="Times New Roman"/>
                <w:iCs/>
                <w:sz w:val="24"/>
                <w:szCs w:val="24"/>
                <w:lang w:eastAsia="lv-LV"/>
              </w:rPr>
              <w:t xml:space="preserve">, 2018.gadā – </w:t>
            </w:r>
            <w:r>
              <w:rPr>
                <w:rFonts w:ascii="Times New Roman" w:eastAsia="Times New Roman" w:hAnsi="Times New Roman" w:cs="Times New Roman"/>
                <w:iCs/>
                <w:sz w:val="24"/>
                <w:szCs w:val="24"/>
                <w:lang w:eastAsia="lv-LV"/>
              </w:rPr>
              <w:t>44 628 atzinumi</w:t>
            </w:r>
            <w:r w:rsidRPr="008B5A9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12BB6">
              <w:rPr>
                <w:rFonts w:ascii="Times New Roman" w:eastAsia="Times New Roman" w:hAnsi="Times New Roman" w:cs="Times New Roman"/>
                <w:iCs/>
                <w:sz w:val="24"/>
                <w:szCs w:val="24"/>
                <w:lang w:eastAsia="lv-LV"/>
              </w:rPr>
              <w:t>Tai skaitā, ņemot vērā</w:t>
            </w:r>
            <w:r>
              <w:rPr>
                <w:rFonts w:ascii="Times New Roman" w:eastAsia="Times New Roman" w:hAnsi="Times New Roman" w:cs="Times New Roman"/>
                <w:iCs/>
                <w:sz w:val="24"/>
                <w:szCs w:val="24"/>
                <w:lang w:eastAsia="lv-LV"/>
              </w:rPr>
              <w:t xml:space="preserve"> to</w:t>
            </w:r>
            <w:r w:rsidRPr="00112BB6">
              <w:rPr>
                <w:rFonts w:ascii="Times New Roman" w:eastAsia="Times New Roman" w:hAnsi="Times New Roman" w:cs="Times New Roman"/>
                <w:iCs/>
                <w:sz w:val="24"/>
                <w:szCs w:val="24"/>
                <w:lang w:eastAsia="lv-LV"/>
              </w:rPr>
              <w:t>, ka</w:t>
            </w:r>
            <w:r>
              <w:rPr>
                <w:rFonts w:ascii="Times New Roman" w:eastAsia="Times New Roman" w:hAnsi="Times New Roman" w:cs="Times New Roman"/>
                <w:iCs/>
                <w:sz w:val="24"/>
                <w:szCs w:val="24"/>
                <w:lang w:eastAsia="lv-LV"/>
              </w:rPr>
              <w:t xml:space="preserve">, </w:t>
            </w:r>
            <w:r w:rsidRPr="00BF1D23">
              <w:rPr>
                <w:rFonts w:ascii="Times New Roman" w:eastAsia="Times New Roman" w:hAnsi="Times New Roman" w:cs="Times New Roman"/>
                <w:iCs/>
                <w:sz w:val="24"/>
                <w:szCs w:val="24"/>
                <w:lang w:eastAsia="lv-LV"/>
              </w:rPr>
              <w:t>mainoties funkcionēšanas ierobežojumu smaguma pakāpei</w:t>
            </w:r>
            <w:r>
              <w:rPr>
                <w:rFonts w:ascii="Times New Roman" w:eastAsia="Times New Roman" w:hAnsi="Times New Roman" w:cs="Times New Roman"/>
                <w:iCs/>
                <w:sz w:val="24"/>
                <w:szCs w:val="24"/>
                <w:lang w:eastAsia="lv-LV"/>
              </w:rPr>
              <w:t>, kā arī</w:t>
            </w:r>
            <w:r w:rsidRPr="00BF1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to, ka </w:t>
            </w:r>
            <w:r w:rsidRPr="00112BB6">
              <w:rPr>
                <w:rFonts w:ascii="Times New Roman" w:eastAsia="Times New Roman" w:hAnsi="Times New Roman" w:cs="Times New Roman"/>
                <w:iCs/>
                <w:sz w:val="24"/>
                <w:szCs w:val="24"/>
                <w:lang w:eastAsia="lv-LV"/>
              </w:rPr>
              <w:t xml:space="preserve">atbilstoši funkcionēšanas ierobežojumu pakāpei vai veidam var tikt izsniegti atzinumi noteikta pabalsta vai pakalpojuma saņemšanai (skat. anotācijas I sadaļas 1.punktu), pastāv iespēja, ka persona, lai arī viņai ir noteikta invaliditāte uz mūžu, var lūgt veikt atkārtotu invaliditātes ekspertīzi, lai noteiktu smagāku invaliditātes grupu </w:t>
            </w:r>
            <w:r>
              <w:rPr>
                <w:rFonts w:ascii="Times New Roman" w:eastAsia="Times New Roman" w:hAnsi="Times New Roman" w:cs="Times New Roman"/>
                <w:iCs/>
                <w:sz w:val="24"/>
                <w:szCs w:val="24"/>
                <w:lang w:eastAsia="lv-LV"/>
              </w:rPr>
              <w:t>un/</w:t>
            </w:r>
            <w:r w:rsidRPr="00112BB6">
              <w:rPr>
                <w:rFonts w:ascii="Times New Roman" w:eastAsia="Times New Roman" w:hAnsi="Times New Roman" w:cs="Times New Roman"/>
                <w:iCs/>
                <w:sz w:val="24"/>
                <w:szCs w:val="24"/>
                <w:lang w:eastAsia="lv-LV"/>
              </w:rPr>
              <w:t xml:space="preserve">vai saņemtu kādu no </w:t>
            </w:r>
            <w:r>
              <w:rPr>
                <w:rFonts w:ascii="Times New Roman" w:eastAsia="Times New Roman" w:hAnsi="Times New Roman" w:cs="Times New Roman"/>
                <w:iCs/>
                <w:sz w:val="24"/>
                <w:szCs w:val="24"/>
                <w:lang w:eastAsia="lv-LV"/>
              </w:rPr>
              <w:t>K</w:t>
            </w:r>
            <w:r w:rsidRPr="00112BB6">
              <w:rPr>
                <w:rFonts w:ascii="Times New Roman" w:eastAsia="Times New Roman" w:hAnsi="Times New Roman" w:cs="Times New Roman"/>
                <w:iCs/>
                <w:sz w:val="24"/>
                <w:szCs w:val="24"/>
                <w:lang w:eastAsia="lv-LV"/>
              </w:rPr>
              <w:t>omisijas atzinumiem.</w:t>
            </w:r>
            <w:r>
              <w:rPr>
                <w:rFonts w:ascii="Times New Roman" w:eastAsia="Times New Roman" w:hAnsi="Times New Roman" w:cs="Times New Roman"/>
                <w:iCs/>
                <w:sz w:val="24"/>
                <w:szCs w:val="24"/>
                <w:lang w:eastAsia="lv-LV"/>
              </w:rPr>
              <w:t xml:space="preserve"> Līdz ar to </w:t>
            </w:r>
            <w:r w:rsidRPr="00591517">
              <w:rPr>
                <w:rFonts w:ascii="Times New Roman" w:eastAsia="Times New Roman" w:hAnsi="Times New Roman" w:cs="Times New Roman"/>
                <w:iCs/>
                <w:sz w:val="24"/>
                <w:szCs w:val="24"/>
                <w:lang w:eastAsia="lv-LV"/>
              </w:rPr>
              <w:t>praktiski kopējo veicamo ekspertīžu skait</w:t>
            </w:r>
            <w:r>
              <w:rPr>
                <w:rFonts w:ascii="Times New Roman" w:eastAsia="Times New Roman" w:hAnsi="Times New Roman" w:cs="Times New Roman"/>
                <w:iCs/>
                <w:sz w:val="24"/>
                <w:szCs w:val="24"/>
                <w:lang w:eastAsia="lv-LV"/>
              </w:rPr>
              <w:t xml:space="preserve">s varētu </w:t>
            </w:r>
            <w:r w:rsidRPr="00591517">
              <w:rPr>
                <w:rFonts w:ascii="Times New Roman" w:eastAsia="Times New Roman" w:hAnsi="Times New Roman" w:cs="Times New Roman"/>
                <w:iCs/>
                <w:sz w:val="24"/>
                <w:szCs w:val="24"/>
                <w:lang w:eastAsia="lv-LV"/>
              </w:rPr>
              <w:t>nesamazinā</w:t>
            </w:r>
            <w:r>
              <w:rPr>
                <w:rFonts w:ascii="Times New Roman" w:eastAsia="Times New Roman" w:hAnsi="Times New Roman" w:cs="Times New Roman"/>
                <w:iCs/>
                <w:sz w:val="24"/>
                <w:szCs w:val="24"/>
                <w:lang w:eastAsia="lv-LV"/>
              </w:rPr>
              <w:t>ties</w:t>
            </w:r>
            <w:r w:rsidRPr="00591517">
              <w:rPr>
                <w:rFonts w:ascii="Times New Roman" w:eastAsia="Times New Roman" w:hAnsi="Times New Roman" w:cs="Times New Roman"/>
                <w:iCs/>
                <w:sz w:val="24"/>
                <w:szCs w:val="24"/>
                <w:lang w:eastAsia="lv-LV"/>
              </w:rPr>
              <w:t xml:space="preserve"> un attiecīgi projekts ietekmi uz valsts budžetu un pašvaldības budžetiem neatstās</w:t>
            </w:r>
            <w:r>
              <w:rPr>
                <w:rFonts w:ascii="Times New Roman" w:eastAsia="Times New Roman" w:hAnsi="Times New Roman" w:cs="Times New Roman"/>
                <w:iCs/>
                <w:sz w:val="24"/>
                <w:szCs w:val="24"/>
                <w:lang w:eastAsia="lv-LV"/>
              </w:rPr>
              <w:t>.</w:t>
            </w:r>
          </w:p>
        </w:tc>
      </w:tr>
      <w:tr w:rsidR="00E83F5A" w:rsidRPr="00B66252" w:rsidTr="0032197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0"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 xml:space="preserve">Administratīvās izmaksas nav iespējams aprēķināt, jo nav zināms </w:t>
            </w:r>
            <w:r>
              <w:rPr>
                <w:rFonts w:ascii="Times New Roman" w:eastAsia="Times New Roman" w:hAnsi="Times New Roman" w:cs="Times New Roman"/>
                <w:iCs/>
                <w:sz w:val="24"/>
                <w:szCs w:val="24"/>
                <w:lang w:eastAsia="lv-LV"/>
              </w:rPr>
              <w:t>personu</w:t>
            </w:r>
            <w:r w:rsidRPr="00B66252">
              <w:rPr>
                <w:rFonts w:ascii="Times New Roman" w:eastAsia="Times New Roman" w:hAnsi="Times New Roman" w:cs="Times New Roman"/>
                <w:iCs/>
                <w:sz w:val="24"/>
                <w:szCs w:val="24"/>
                <w:lang w:eastAsia="lv-LV"/>
              </w:rPr>
              <w:t xml:space="preserve"> ar stabiliem un neatgriezeniskiem funkcionēšanas ierobežojumiem</w:t>
            </w:r>
            <w:r>
              <w:rPr>
                <w:rFonts w:ascii="Times New Roman" w:eastAsia="Times New Roman" w:hAnsi="Times New Roman" w:cs="Times New Roman"/>
                <w:iCs/>
                <w:sz w:val="24"/>
                <w:szCs w:val="24"/>
                <w:lang w:eastAsia="lv-LV"/>
              </w:rPr>
              <w:t xml:space="preserve"> skaits, </w:t>
            </w:r>
            <w:r w:rsidRPr="00B66252">
              <w:rPr>
                <w:rFonts w:ascii="Times New Roman" w:eastAsia="Times New Roman" w:hAnsi="Times New Roman" w:cs="Times New Roman"/>
                <w:iCs/>
                <w:sz w:val="24"/>
                <w:szCs w:val="24"/>
                <w:lang w:eastAsia="lv-LV"/>
              </w:rPr>
              <w:t>kuri neatbilst noteikumu 7.pielikumā minētajiem kritērijiem</w:t>
            </w:r>
            <w:r>
              <w:rPr>
                <w:rFonts w:ascii="Times New Roman" w:eastAsia="Times New Roman" w:hAnsi="Times New Roman" w:cs="Times New Roman"/>
                <w:iCs/>
                <w:sz w:val="24"/>
                <w:szCs w:val="24"/>
                <w:lang w:eastAsia="lv-LV"/>
              </w:rPr>
              <w:t xml:space="preserve">, bet kuru funkcionēšanas ierobežojumi ir tādi, kas ļautu Komisijai </w:t>
            </w:r>
            <w:r w:rsidRPr="00521119">
              <w:rPr>
                <w:rFonts w:ascii="Times New Roman" w:eastAsia="Times New Roman" w:hAnsi="Times New Roman" w:cs="Times New Roman"/>
                <w:iCs/>
                <w:sz w:val="24"/>
                <w:szCs w:val="24"/>
                <w:lang w:eastAsia="lv-LV"/>
              </w:rPr>
              <w:t xml:space="preserve">uzskatīt, ka invaliditāte </w:t>
            </w:r>
            <w:r>
              <w:rPr>
                <w:rFonts w:ascii="Times New Roman" w:eastAsia="Times New Roman" w:hAnsi="Times New Roman" w:cs="Times New Roman"/>
                <w:iCs/>
                <w:sz w:val="24"/>
                <w:szCs w:val="24"/>
                <w:lang w:eastAsia="lv-LV"/>
              </w:rPr>
              <w:t xml:space="preserve">personai </w:t>
            </w:r>
            <w:r w:rsidRPr="00521119">
              <w:rPr>
                <w:rFonts w:ascii="Times New Roman" w:eastAsia="Times New Roman" w:hAnsi="Times New Roman" w:cs="Times New Roman"/>
                <w:iCs/>
                <w:sz w:val="24"/>
                <w:szCs w:val="24"/>
                <w:lang w:eastAsia="lv-LV"/>
              </w:rPr>
              <w:t>varētu tikt noteikta nepārtraukti vairāk kā uz pieciem gadiem</w:t>
            </w:r>
            <w:r>
              <w:rPr>
                <w:rFonts w:ascii="Times New Roman" w:eastAsia="Times New Roman" w:hAnsi="Times New Roman" w:cs="Times New Roman"/>
                <w:iCs/>
                <w:sz w:val="24"/>
                <w:szCs w:val="24"/>
                <w:lang w:eastAsia="lv-LV"/>
              </w:rPr>
              <w:t>, t.i., uz mūžu.</w:t>
            </w:r>
          </w:p>
        </w:tc>
      </w:tr>
      <w:tr w:rsidR="00E83F5A" w:rsidRPr="00B66252" w:rsidTr="0032197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0"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Projekts šo jomu neskar.</w:t>
            </w:r>
          </w:p>
        </w:tc>
      </w:tr>
      <w:tr w:rsidR="00E83F5A" w:rsidRPr="00B66252" w:rsidTr="0032197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5.</w:t>
            </w:r>
          </w:p>
        </w:tc>
        <w:tc>
          <w:tcPr>
            <w:tcW w:w="1380" w:type="pct"/>
            <w:gridSpan w:val="2"/>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Nav</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83F5A" w:rsidRPr="00B66252" w:rsidTr="003219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E83F5A" w:rsidRPr="00B66252" w:rsidTr="003219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 Sabiedrības līdzdalība un komunikācijas aktivitātes</w:t>
            </w:r>
          </w:p>
        </w:tc>
      </w:tr>
      <w:tr w:rsidR="00E83F5A" w:rsidRPr="00B66252" w:rsidTr="0032197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rsidR="00E83F5A" w:rsidRPr="005E3F5B" w:rsidRDefault="00E83F5A"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E3F5B">
              <w:rPr>
                <w:rFonts w:ascii="Times New Roman" w:eastAsia="Times New Roman" w:hAnsi="Times New Roman" w:cs="Times New Roman"/>
                <w:iCs/>
                <w:sz w:val="24"/>
                <w:szCs w:val="24"/>
                <w:lang w:eastAsia="lv-LV"/>
              </w:rPr>
              <w:t xml:space="preserve">Pēc projekta pieņemšanas informācija par izmaiņām invaliditātes noteikšanas termiņos tiks sniegta personas ar invaliditāti pārstāvošajām organizācijām un publicēta Labklājības ministrijas  un Komisijas tīmekļvietnēs. </w:t>
            </w:r>
          </w:p>
        </w:tc>
      </w:tr>
      <w:tr w:rsidR="00E83F5A" w:rsidRPr="00B66252" w:rsidTr="0032197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2.</w:t>
            </w:r>
          </w:p>
        </w:tc>
        <w:tc>
          <w:tcPr>
            <w:tcW w:w="1383"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tcPr>
          <w:p w:rsidR="00E83F5A" w:rsidRPr="005E3F5B" w:rsidRDefault="00E83F5A"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E3F5B">
              <w:rPr>
                <w:rFonts w:ascii="Times New Roman" w:eastAsia="Times New Roman" w:hAnsi="Times New Roman" w:cs="Times New Roman"/>
                <w:iCs/>
                <w:sz w:val="24"/>
                <w:szCs w:val="24"/>
                <w:lang w:eastAsia="lv-LV"/>
              </w:rPr>
              <w:t>Labklājības ministrijas tīmekļvietnē (http://www.lm.gov.lv/lv/aktuali/lm-dokumentu-projekti) tika ievietots paziņojums par projekta būtību un iedzīvotāji bija aicināti izteikt viedokli elektroniski vai pa pastu. Papildus Labklājības ministrija e-pasta veidā 2019.gada 16.septembrī nosūtīja informāciju personas ar invaliditāti pārstāvošajām organizācijām par Labklājības ministrijas tīmekļvietnē ievietoto projektu.</w:t>
            </w:r>
          </w:p>
        </w:tc>
      </w:tr>
      <w:tr w:rsidR="00E83F5A" w:rsidRPr="00B66252" w:rsidTr="0032197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3.</w:t>
            </w:r>
          </w:p>
        </w:tc>
        <w:tc>
          <w:tcPr>
            <w:tcW w:w="1383"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rsidR="00E83F5A" w:rsidRPr="007F41E0" w:rsidRDefault="00E83F5A" w:rsidP="0032197B">
            <w:pPr>
              <w:spacing w:after="0" w:line="240" w:lineRule="auto"/>
              <w:jc w:val="both"/>
              <w:rPr>
                <w:rFonts w:ascii="Times New Roman" w:eastAsia="Times New Roman" w:hAnsi="Times New Roman" w:cs="Times New Roman"/>
                <w:iCs/>
                <w:sz w:val="24"/>
                <w:szCs w:val="24"/>
                <w:lang w:eastAsia="lv-LV"/>
              </w:rPr>
            </w:pPr>
            <w:r w:rsidRPr="007F41E0">
              <w:rPr>
                <w:rFonts w:ascii="Times New Roman" w:eastAsia="Times New Roman" w:hAnsi="Times New Roman" w:cs="Times New Roman"/>
                <w:iCs/>
                <w:sz w:val="24"/>
                <w:szCs w:val="24"/>
                <w:lang w:eastAsia="lv-LV"/>
              </w:rPr>
              <w:t xml:space="preserve">Sabiedrības pārstāvju viedokļi par projektu noteiktajā termiņā - līdz </w:t>
            </w:r>
            <w:r>
              <w:rPr>
                <w:rFonts w:ascii="Times New Roman" w:eastAsia="Times New Roman" w:hAnsi="Times New Roman" w:cs="Times New Roman"/>
                <w:iCs/>
                <w:sz w:val="24"/>
                <w:szCs w:val="24"/>
                <w:lang w:eastAsia="lv-LV"/>
              </w:rPr>
              <w:t xml:space="preserve">2019.gada 27.septembrim, kā arī līdz projekta uzsaukšanai  Valsts sekretāru sanāksmē </w:t>
            </w:r>
            <w:r w:rsidRPr="007F41E0">
              <w:rPr>
                <w:rFonts w:ascii="Times New Roman" w:eastAsia="Times New Roman" w:hAnsi="Times New Roman" w:cs="Times New Roman"/>
                <w:iCs/>
                <w:sz w:val="24"/>
                <w:szCs w:val="24"/>
                <w:lang w:eastAsia="lv-LV"/>
              </w:rPr>
              <w:t xml:space="preserve"> - netika saņemti.</w:t>
            </w:r>
          </w:p>
        </w:tc>
      </w:tr>
      <w:tr w:rsidR="00E83F5A" w:rsidRPr="00B66252" w:rsidTr="0032197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E83F5A" w:rsidRPr="00B66252" w:rsidRDefault="00E83F5A" w:rsidP="00E83F5A">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E83F5A" w:rsidRPr="00B66252" w:rsidTr="003219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F5A" w:rsidRPr="00B66252" w:rsidRDefault="00E83F5A" w:rsidP="0032197B">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Komisija, pašvaldību sociālie dienesti.</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ind w:right="-61"/>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izpildes ietekme uz pārvaldes funkcijām un institucionālo struktūru.</w:t>
            </w:r>
            <w:r w:rsidRPr="00B6625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rsidR="00E83F5A" w:rsidRDefault="00E83F5A" w:rsidP="0032197B">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Projektam nav ietekmes uz pārvaldes funkcijām un institucionālo struktūru, jaunu institūciju izveide, esošu institūciju likvidācija vai reorganizācija nav nepieciešama</w:t>
            </w:r>
            <w:r>
              <w:rPr>
                <w:rFonts w:ascii="Times New Roman" w:eastAsia="Times New Roman" w:hAnsi="Times New Roman" w:cs="Times New Roman"/>
                <w:iCs/>
                <w:sz w:val="24"/>
                <w:szCs w:val="24"/>
                <w:lang w:eastAsia="lv-LV"/>
              </w:rPr>
              <w:t>.</w:t>
            </w:r>
          </w:p>
          <w:p w:rsidR="00E83F5A" w:rsidRPr="00B66252" w:rsidRDefault="00E83F5A" w:rsidP="003219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w:t>
            </w:r>
            <w:r w:rsidRPr="00DF262C">
              <w:rPr>
                <w:rFonts w:ascii="Times New Roman" w:eastAsia="Times New Roman" w:hAnsi="Times New Roman" w:cs="Times New Roman"/>
                <w:iCs/>
                <w:sz w:val="24"/>
                <w:szCs w:val="24"/>
                <w:lang w:eastAsia="lv-LV"/>
              </w:rPr>
              <w:t xml:space="preserve">omisijas funkcijas netiek mainītas, nākotnē paredzams neliels atkārtoto ekspertīžu skaita samazinājums, kas ļaus </w:t>
            </w:r>
            <w:r>
              <w:rPr>
                <w:rFonts w:ascii="Times New Roman" w:eastAsia="Times New Roman" w:hAnsi="Times New Roman" w:cs="Times New Roman"/>
                <w:iCs/>
                <w:sz w:val="24"/>
                <w:szCs w:val="24"/>
                <w:lang w:eastAsia="lv-LV"/>
              </w:rPr>
              <w:t>kārtējo</w:t>
            </w:r>
            <w:r w:rsidRPr="00DF262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komisijas </w:t>
            </w:r>
            <w:r w:rsidRPr="00DF262C">
              <w:rPr>
                <w:rFonts w:ascii="Times New Roman" w:eastAsia="Times New Roman" w:hAnsi="Times New Roman" w:cs="Times New Roman"/>
                <w:iCs/>
                <w:sz w:val="24"/>
                <w:szCs w:val="24"/>
                <w:lang w:eastAsia="lv-LV"/>
              </w:rPr>
              <w:t xml:space="preserve">cilvēkresursu ietvaros veltīt </w:t>
            </w:r>
            <w:r w:rsidRPr="00C45D00">
              <w:rPr>
                <w:rFonts w:ascii="Times New Roman" w:eastAsia="Times New Roman" w:hAnsi="Times New Roman" w:cs="Times New Roman"/>
                <w:iCs/>
                <w:sz w:val="24"/>
                <w:szCs w:val="24"/>
                <w:lang w:eastAsia="lv-LV"/>
              </w:rPr>
              <w:t xml:space="preserve">vairāk laika citu tekošo iesniegumu izskatīšanai, </w:t>
            </w:r>
            <w:r w:rsidRPr="00DF262C">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uru skaits</w:t>
            </w:r>
            <w:r w:rsidRPr="00DF262C">
              <w:rPr>
                <w:rFonts w:ascii="Times New Roman" w:eastAsia="Times New Roman" w:hAnsi="Times New Roman" w:cs="Times New Roman"/>
                <w:iCs/>
                <w:sz w:val="24"/>
                <w:szCs w:val="24"/>
                <w:lang w:eastAsia="lv-LV"/>
              </w:rPr>
              <w:t xml:space="preserve"> pēdējo gad</w:t>
            </w:r>
            <w:r>
              <w:rPr>
                <w:rFonts w:ascii="Times New Roman" w:eastAsia="Times New Roman" w:hAnsi="Times New Roman" w:cs="Times New Roman"/>
                <w:iCs/>
                <w:sz w:val="24"/>
                <w:szCs w:val="24"/>
                <w:lang w:eastAsia="lv-LV"/>
              </w:rPr>
              <w:t xml:space="preserve">u laikā </w:t>
            </w:r>
            <w:r w:rsidRPr="00DF262C">
              <w:rPr>
                <w:rFonts w:ascii="Times New Roman" w:eastAsia="Times New Roman" w:hAnsi="Times New Roman" w:cs="Times New Roman"/>
                <w:iCs/>
                <w:sz w:val="24"/>
                <w:szCs w:val="24"/>
                <w:lang w:eastAsia="lv-LV"/>
              </w:rPr>
              <w:t>ir palielinājies.</w:t>
            </w:r>
          </w:p>
        </w:tc>
      </w:tr>
      <w:tr w:rsidR="00E83F5A" w:rsidRPr="00B66252" w:rsidTr="0032197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3.</w:t>
            </w:r>
          </w:p>
        </w:tc>
        <w:tc>
          <w:tcPr>
            <w:tcW w:w="1382"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83F5A" w:rsidRPr="00B66252" w:rsidRDefault="00E83F5A" w:rsidP="0032197B">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E83F5A" w:rsidRPr="00B66252" w:rsidRDefault="00E83F5A" w:rsidP="00E83F5A">
      <w:pPr>
        <w:spacing w:after="0" w:line="240" w:lineRule="auto"/>
        <w:rPr>
          <w:rFonts w:ascii="Times New Roman" w:hAnsi="Times New Roman" w:cs="Times New Roman"/>
          <w:sz w:val="28"/>
          <w:szCs w:val="28"/>
        </w:rPr>
      </w:pPr>
    </w:p>
    <w:p w:rsidR="00E83F5A" w:rsidRDefault="00E83F5A" w:rsidP="00E83F5A">
      <w:pPr>
        <w:spacing w:after="0" w:line="240" w:lineRule="auto"/>
        <w:rPr>
          <w:rFonts w:ascii="Times New Roman" w:hAnsi="Times New Roman" w:cs="Times New Roman"/>
          <w:sz w:val="28"/>
          <w:szCs w:val="28"/>
        </w:rPr>
      </w:pPr>
    </w:p>
    <w:p w:rsidR="00E83F5A" w:rsidRDefault="00E83F5A" w:rsidP="00E83F5A">
      <w:pPr>
        <w:spacing w:after="0" w:line="240" w:lineRule="auto"/>
        <w:rPr>
          <w:rFonts w:ascii="Times New Roman" w:hAnsi="Times New Roman" w:cs="Times New Roman"/>
          <w:sz w:val="28"/>
          <w:szCs w:val="28"/>
        </w:rPr>
      </w:pPr>
    </w:p>
    <w:p w:rsidR="00E83F5A" w:rsidRPr="00B66252" w:rsidRDefault="00E83F5A" w:rsidP="00E83F5A">
      <w:pPr>
        <w:spacing w:after="0" w:line="240" w:lineRule="auto"/>
        <w:rPr>
          <w:rFonts w:ascii="Times New Roman" w:hAnsi="Times New Roman" w:cs="Times New Roman"/>
          <w:sz w:val="28"/>
          <w:szCs w:val="28"/>
        </w:rPr>
      </w:pPr>
    </w:p>
    <w:p w:rsidR="00E83F5A" w:rsidRPr="00B66252" w:rsidRDefault="00E83F5A" w:rsidP="00E83F5A">
      <w:pPr>
        <w:tabs>
          <w:tab w:val="left" w:pos="6237"/>
        </w:tabs>
        <w:spacing w:after="0" w:line="240" w:lineRule="auto"/>
        <w:ind w:firstLine="720"/>
        <w:rPr>
          <w:rFonts w:ascii="Times New Roman" w:hAnsi="Times New Roman" w:cs="Times New Roman"/>
          <w:sz w:val="28"/>
          <w:szCs w:val="28"/>
        </w:rPr>
      </w:pPr>
      <w:r w:rsidRPr="00B66252">
        <w:rPr>
          <w:rFonts w:ascii="Times New Roman" w:hAnsi="Times New Roman" w:cs="Times New Roman"/>
          <w:sz w:val="28"/>
          <w:szCs w:val="28"/>
        </w:rPr>
        <w:t>Labklājības ministr</w:t>
      </w:r>
      <w:r>
        <w:rPr>
          <w:rFonts w:ascii="Times New Roman" w:hAnsi="Times New Roman" w:cs="Times New Roman"/>
          <w:sz w:val="28"/>
          <w:szCs w:val="28"/>
        </w:rPr>
        <w:t>e</w:t>
      </w:r>
      <w:r w:rsidRPr="00B66252">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rsidR="00E83F5A" w:rsidRPr="00B66252" w:rsidRDefault="00E83F5A" w:rsidP="00E83F5A">
      <w:pPr>
        <w:spacing w:after="0" w:line="240" w:lineRule="auto"/>
        <w:ind w:firstLine="720"/>
        <w:rPr>
          <w:rFonts w:ascii="Times New Roman" w:hAnsi="Times New Roman" w:cs="Times New Roman"/>
          <w:sz w:val="28"/>
          <w:szCs w:val="28"/>
        </w:rPr>
      </w:pPr>
    </w:p>
    <w:p w:rsidR="00E83F5A" w:rsidRPr="00B66252" w:rsidRDefault="00E83F5A" w:rsidP="00E83F5A">
      <w:pPr>
        <w:spacing w:after="0" w:line="240" w:lineRule="auto"/>
        <w:ind w:firstLine="720"/>
        <w:rPr>
          <w:rFonts w:ascii="Times New Roman" w:hAnsi="Times New Roman" w:cs="Times New Roman"/>
          <w:sz w:val="28"/>
          <w:szCs w:val="28"/>
        </w:rPr>
      </w:pPr>
    </w:p>
    <w:p w:rsidR="00E83F5A" w:rsidRPr="00B66252" w:rsidRDefault="00E83F5A" w:rsidP="00E83F5A">
      <w:pPr>
        <w:tabs>
          <w:tab w:val="left" w:pos="6237"/>
        </w:tabs>
        <w:spacing w:after="0" w:line="240" w:lineRule="auto"/>
        <w:ind w:firstLine="720"/>
        <w:rPr>
          <w:rFonts w:ascii="Times New Roman" w:hAnsi="Times New Roman" w:cs="Times New Roman"/>
          <w:sz w:val="28"/>
          <w:szCs w:val="28"/>
        </w:rPr>
      </w:pPr>
    </w:p>
    <w:p w:rsidR="00E83F5A" w:rsidRPr="00B66252" w:rsidRDefault="00E83F5A" w:rsidP="00E83F5A">
      <w:pPr>
        <w:tabs>
          <w:tab w:val="left" w:pos="6237"/>
        </w:tabs>
        <w:spacing w:after="0" w:line="240" w:lineRule="auto"/>
        <w:ind w:firstLine="720"/>
        <w:rPr>
          <w:rFonts w:ascii="Times New Roman" w:hAnsi="Times New Roman" w:cs="Times New Roman"/>
          <w:sz w:val="28"/>
          <w:szCs w:val="28"/>
        </w:rPr>
      </w:pPr>
    </w:p>
    <w:p w:rsidR="00E83F5A" w:rsidRPr="00B66252" w:rsidRDefault="00E83F5A" w:rsidP="00E83F5A">
      <w:pPr>
        <w:tabs>
          <w:tab w:val="left" w:pos="6237"/>
        </w:tabs>
        <w:spacing w:after="0" w:line="240" w:lineRule="auto"/>
        <w:rPr>
          <w:rFonts w:ascii="Times New Roman" w:hAnsi="Times New Roman" w:cs="Times New Roman"/>
          <w:sz w:val="24"/>
          <w:szCs w:val="28"/>
        </w:rPr>
      </w:pPr>
      <w:r w:rsidRPr="00B66252">
        <w:rPr>
          <w:rFonts w:ascii="Times New Roman" w:hAnsi="Times New Roman" w:cs="Times New Roman"/>
          <w:sz w:val="24"/>
          <w:szCs w:val="28"/>
        </w:rPr>
        <w:t>Grabe 67021594</w:t>
      </w:r>
    </w:p>
    <w:p w:rsidR="00E83F5A" w:rsidRDefault="00E83F5A" w:rsidP="00E83F5A">
      <w:pPr>
        <w:tabs>
          <w:tab w:val="left" w:pos="6237"/>
        </w:tabs>
        <w:spacing w:after="0" w:line="240" w:lineRule="auto"/>
      </w:pPr>
      <w:r w:rsidRPr="00B66252">
        <w:rPr>
          <w:rFonts w:ascii="Times New Roman" w:hAnsi="Times New Roman" w:cs="Times New Roman"/>
          <w:sz w:val="24"/>
          <w:szCs w:val="28"/>
        </w:rPr>
        <w:t>Daina.Grabe@lm.gov.lv</w:t>
      </w:r>
    </w:p>
    <w:p w:rsidR="00E83F5A" w:rsidRDefault="00E83F5A" w:rsidP="00E83F5A"/>
    <w:p w:rsidR="00E83F5A" w:rsidRDefault="00E83F5A" w:rsidP="00E83F5A"/>
    <w:p w:rsidR="00283671" w:rsidRDefault="00283671"/>
    <w:sectPr w:rsidR="00283671" w:rsidSect="008B439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43" w:rsidRDefault="00F50343" w:rsidP="00F50343">
      <w:pPr>
        <w:spacing w:after="0" w:line="240" w:lineRule="auto"/>
      </w:pPr>
      <w:r>
        <w:separator/>
      </w:r>
    </w:p>
  </w:endnote>
  <w:endnote w:type="continuationSeparator" w:id="0">
    <w:p w:rsidR="00F50343" w:rsidRDefault="00F50343" w:rsidP="00F5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B7" w:rsidRDefault="000E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94" w:rsidRPr="00C45D00" w:rsidRDefault="00B84D94" w:rsidP="008B4394">
    <w:pPr>
      <w:pStyle w:val="Footer"/>
    </w:pPr>
    <w:r w:rsidRPr="00C45D00">
      <w:rPr>
        <w:rFonts w:ascii="Times New Roman" w:hAnsi="Times New Roman" w:cs="Times New Roman"/>
      </w:rPr>
      <w:t>LMnot_MK805_</w:t>
    </w:r>
    <w:r w:rsidR="000E5FB7">
      <w:rPr>
        <w:rFonts w:ascii="Times New Roman" w:hAnsi="Times New Roman" w:cs="Times New Roman"/>
      </w:rPr>
      <w:t>0111</w:t>
    </w:r>
    <w:bookmarkStart w:id="1" w:name="_GoBack"/>
    <w:bookmarkEnd w:id="1"/>
    <w:r w:rsidRPr="00C45D00">
      <w:rPr>
        <w:rFonts w:ascii="Times New Roman" w:hAnsi="Times New Roman" w:cs="Times New Roman"/>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94" w:rsidRPr="00C45D00" w:rsidRDefault="00B84D94">
    <w:pPr>
      <w:pStyle w:val="Footer"/>
      <w:rPr>
        <w:rFonts w:ascii="Times New Roman" w:hAnsi="Times New Roman" w:cs="Times New Roman"/>
      </w:rPr>
    </w:pPr>
    <w:r w:rsidRPr="00C45D00">
      <w:rPr>
        <w:rFonts w:ascii="Times New Roman" w:hAnsi="Times New Roman" w:cs="Times New Roman"/>
      </w:rPr>
      <w:t>LMnot_MK805_</w:t>
    </w:r>
    <w:r w:rsidR="000E5FB7">
      <w:rPr>
        <w:rFonts w:ascii="Times New Roman" w:hAnsi="Times New Roman" w:cs="Times New Roman"/>
      </w:rPr>
      <w:t>0111</w:t>
    </w:r>
    <w:r w:rsidRPr="00C45D00">
      <w:rPr>
        <w:rFonts w:ascii="Times New Roman" w:hAnsi="Times New Roman" w:cs="Times New Roman"/>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43" w:rsidRDefault="00F50343" w:rsidP="00F50343">
      <w:pPr>
        <w:spacing w:after="0" w:line="240" w:lineRule="auto"/>
      </w:pPr>
      <w:r>
        <w:separator/>
      </w:r>
    </w:p>
  </w:footnote>
  <w:footnote w:type="continuationSeparator" w:id="0">
    <w:p w:rsidR="00F50343" w:rsidRDefault="00F50343" w:rsidP="00F5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B7" w:rsidRDefault="000E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B4394" w:rsidRPr="00C25B49" w:rsidRDefault="00B84D9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B7" w:rsidRDefault="000E5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5A"/>
    <w:rsid w:val="000E5FB7"/>
    <w:rsid w:val="00283671"/>
    <w:rsid w:val="0038408F"/>
    <w:rsid w:val="005945D3"/>
    <w:rsid w:val="005E3F5B"/>
    <w:rsid w:val="007534B3"/>
    <w:rsid w:val="00B84D94"/>
    <w:rsid w:val="00E83F5A"/>
    <w:rsid w:val="00F50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BBF8"/>
  <w15:chartTrackingRefBased/>
  <w15:docId w15:val="{734E6888-559A-41A2-AF3C-8D5E8EA9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F5A"/>
  </w:style>
  <w:style w:type="paragraph" w:styleId="Footer">
    <w:name w:val="footer"/>
    <w:basedOn w:val="Normal"/>
    <w:link w:val="FooterChar"/>
    <w:uiPriority w:val="99"/>
    <w:unhideWhenUsed/>
    <w:rsid w:val="00E83F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F5A"/>
  </w:style>
  <w:style w:type="paragraph" w:styleId="ListParagraph">
    <w:name w:val="List Paragraph"/>
    <w:basedOn w:val="Normal"/>
    <w:uiPriority w:val="34"/>
    <w:qFormat/>
    <w:rsid w:val="00E83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334E7FFED494F94EA9AA2F16FD1C5"/>
        <w:category>
          <w:name w:val="General"/>
          <w:gallery w:val="placeholder"/>
        </w:category>
        <w:types>
          <w:type w:val="bbPlcHdr"/>
        </w:types>
        <w:behaviors>
          <w:behavior w:val="content"/>
        </w:behaviors>
        <w:guid w:val="{4F0EB569-87CA-47B6-8AEB-7F7A4BA5A743}"/>
      </w:docPartPr>
      <w:docPartBody>
        <w:p w:rsidR="00B85C6E" w:rsidRDefault="00283997" w:rsidP="00283997">
          <w:pPr>
            <w:pStyle w:val="7CB334E7FFED494F94EA9AA2F16FD1C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97"/>
    <w:rsid w:val="00283997"/>
    <w:rsid w:val="00B85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997"/>
    <w:rPr>
      <w:color w:val="808080"/>
    </w:rPr>
  </w:style>
  <w:style w:type="paragraph" w:customStyle="1" w:styleId="7CB334E7FFED494F94EA9AA2F16FD1C5">
    <w:name w:val="7CB334E7FFED494F94EA9AA2F16FD1C5"/>
    <w:rsid w:val="00283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A40F-6A1D-44DC-AE56-8D4A7640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14093</Words>
  <Characters>8034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805 "Noteikumi par prognozējamas invaliditātes, invaliditātes un darbspēju zaudējuma noteikšanas kritērijiem, termiņiem un kārtību”” projekta sākotnējās ietekmes novērtējuma ziņojums (anotācija)</dc:title>
  <dc:subject/>
  <dc:creator>Daina Grabe</dc:creator>
  <cp:keywords/>
  <dc:description>D.Grabe 67021594
Daina.Grabe@lm.gov.lv</dc:description>
  <cp:lastModifiedBy>Daina Grabe</cp:lastModifiedBy>
  <cp:revision>3</cp:revision>
  <dcterms:created xsi:type="dcterms:W3CDTF">2019-10-25T13:30:00Z</dcterms:created>
  <dcterms:modified xsi:type="dcterms:W3CDTF">2019-11-04T11:25:00Z</dcterms:modified>
</cp:coreProperties>
</file>