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4F91" w:rsidR="0031438D" w:rsidP="00A14F91" w:rsidRDefault="00A14F91" w14:paraId="78D827D6" w14:textId="5287C950">
      <w:pPr>
        <w:jc w:val="center"/>
        <w:rPr>
          <w:b/>
          <w:bCs/>
          <w:color w:val="0D0D0D" w:themeColor="text1" w:themeTint="F2"/>
        </w:rPr>
      </w:pPr>
      <w:bookmarkStart w:name="_GoBack" w:id="0"/>
      <w:bookmarkEnd w:id="0"/>
      <w:r>
        <w:rPr>
          <w:b/>
          <w:bCs/>
          <w:color w:val="0D0D0D" w:themeColor="text1" w:themeTint="F2"/>
        </w:rPr>
        <w:t>Ministru kabineta rīkojuma projekta</w:t>
      </w:r>
      <w:r w:rsidRPr="009D2D72" w:rsidR="0031438D">
        <w:rPr>
          <w:b/>
          <w:bCs/>
          <w:color w:val="0D0D0D" w:themeColor="text1" w:themeTint="F2"/>
        </w:rPr>
        <w:t xml:space="preserve"> „</w:t>
      </w:r>
      <w:r w:rsidRPr="00A14F91">
        <w:rPr>
          <w:b/>
          <w:color w:val="0D0D0D" w:themeColor="text1" w:themeTint="F2"/>
        </w:rPr>
        <w:t>Par</w:t>
      </w:r>
      <w:r w:rsidR="001B165B">
        <w:rPr>
          <w:b/>
          <w:color w:val="0D0D0D" w:themeColor="text1" w:themeTint="F2"/>
        </w:rPr>
        <w:t xml:space="preserve"> valsts </w:t>
      </w:r>
      <w:r w:rsidRPr="00A14F91">
        <w:rPr>
          <w:b/>
          <w:color w:val="0D0D0D" w:themeColor="text1" w:themeTint="F2"/>
        </w:rPr>
        <w:t xml:space="preserve"> akciju sabiedrības “</w:t>
      </w:r>
      <w:r w:rsidR="00415A12">
        <w:rPr>
          <w:b/>
          <w:color w:val="0D0D0D" w:themeColor="text1" w:themeTint="F2"/>
        </w:rPr>
        <w:t>Ventas osta</w:t>
      </w:r>
      <w:r w:rsidRPr="00A14F91">
        <w:rPr>
          <w:b/>
          <w:color w:val="0D0D0D" w:themeColor="text1" w:themeTint="F2"/>
        </w:rPr>
        <w:t>” dibināšanu</w:t>
      </w:r>
      <w:r w:rsidR="00D8274A">
        <w:rPr>
          <w:b/>
          <w:color w:val="0D0D0D" w:themeColor="text1" w:themeTint="F2"/>
        </w:rPr>
        <w:t>”</w:t>
      </w:r>
      <w:r>
        <w:rPr>
          <w:b/>
          <w:bCs/>
          <w:color w:val="0D0D0D" w:themeColor="text1" w:themeTint="F2"/>
        </w:rPr>
        <w:t xml:space="preserve"> </w:t>
      </w:r>
      <w:r w:rsidR="00B07CD8">
        <w:rPr>
          <w:b/>
          <w:bCs/>
          <w:color w:val="0D0D0D" w:themeColor="text1" w:themeTint="F2"/>
        </w:rPr>
        <w:t xml:space="preserve">sākotnējās </w:t>
      </w:r>
      <w:r w:rsidRPr="009D2D72" w:rsidR="0031438D">
        <w:rPr>
          <w:b/>
          <w:bCs/>
          <w:color w:val="0D0D0D" w:themeColor="text1" w:themeTint="F2"/>
        </w:rPr>
        <w:t>ietekmes novērtējuma ziņojums (anotācija)</w:t>
      </w:r>
    </w:p>
    <w:p w:rsidRPr="009D2D72" w:rsidR="00BD5588" w:rsidP="00C57E86" w:rsidRDefault="00BD5588" w14:paraId="177D3EB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9D2D72" w:rsidR="009D2D72" w:rsidTr="00B07CD8" w14:paraId="4652DE21" w14:textId="77777777">
        <w:trPr>
          <w:cantSplit/>
        </w:trPr>
        <w:tc>
          <w:tcPr>
            <w:tcW w:w="9061" w:type="dxa"/>
            <w:gridSpan w:val="2"/>
            <w:shd w:val="clear" w:color="auto" w:fill="auto"/>
            <w:vAlign w:val="center"/>
            <w:hideMark/>
          </w:tcPr>
          <w:p w:rsidRPr="00D4107D" w:rsidR="00BD5588" w:rsidP="00C57E86" w:rsidRDefault="006E2E27" w14:paraId="3ADCDE8F" w14:textId="77777777">
            <w:pPr>
              <w:jc w:val="center"/>
              <w:rPr>
                <w:b/>
                <w:iCs/>
                <w:color w:val="0D0D0D" w:themeColor="text1" w:themeTint="F2"/>
                <w:lang w:eastAsia="en-US"/>
              </w:rPr>
            </w:pPr>
            <w:r w:rsidRPr="00D4107D">
              <w:rPr>
                <w:b/>
                <w:iCs/>
                <w:color w:val="0D0D0D" w:themeColor="text1" w:themeTint="F2"/>
                <w:lang w:eastAsia="en-US"/>
              </w:rPr>
              <w:t>Tiesību akta projekta anotācijas kopsavilkums</w:t>
            </w:r>
          </w:p>
        </w:tc>
      </w:tr>
      <w:tr w:rsidRPr="009D2D72" w:rsidR="009D2D72" w:rsidTr="00B07CD8" w14:paraId="43C2362B" w14:textId="77777777">
        <w:trPr>
          <w:cantSplit/>
        </w:trPr>
        <w:tc>
          <w:tcPr>
            <w:tcW w:w="3247" w:type="dxa"/>
            <w:shd w:val="clear" w:color="auto" w:fill="auto"/>
            <w:hideMark/>
          </w:tcPr>
          <w:p w:rsidRPr="00721444" w:rsidR="00BD5588" w:rsidP="00C57E86" w:rsidRDefault="006E2E27" w14:paraId="74206B15" w14:textId="77777777">
            <w:pPr>
              <w:rPr>
                <w:iCs/>
                <w:color w:val="0D0D0D" w:themeColor="text1" w:themeTint="F2"/>
                <w:lang w:eastAsia="en-US"/>
              </w:rPr>
            </w:pPr>
            <w:r w:rsidRPr="00721444">
              <w:rPr>
                <w:iCs/>
                <w:color w:val="0D0D0D" w:themeColor="text1" w:themeTint="F2"/>
                <w:lang w:eastAsia="en-US"/>
              </w:rPr>
              <w:t>Mērķis, risinājums un projekta spēkā stāšanās laiks (500 zīmes bez atstarpēm)</w:t>
            </w:r>
          </w:p>
        </w:tc>
        <w:tc>
          <w:tcPr>
            <w:tcW w:w="5814" w:type="dxa"/>
            <w:shd w:val="clear" w:color="auto" w:fill="auto"/>
            <w:hideMark/>
          </w:tcPr>
          <w:p w:rsidRPr="00721444" w:rsidR="00B878FF" w:rsidP="00BC5A90" w:rsidRDefault="00A14F91" w14:paraId="215EB34E" w14:textId="2EFA3488">
            <w:pPr>
              <w:widowControl w:val="0"/>
              <w:tabs>
                <w:tab w:val="left" w:pos="560"/>
              </w:tabs>
              <w:ind w:right="115"/>
              <w:jc w:val="both"/>
              <w:outlineLvl w:val="2"/>
              <w:rPr>
                <w:color w:val="0D0D0D" w:themeColor="text1" w:themeTint="F2"/>
              </w:rPr>
            </w:pPr>
            <w:r w:rsidRPr="00721444">
              <w:rPr>
                <w:color w:val="0D0D0D" w:themeColor="text1" w:themeTint="F2"/>
              </w:rPr>
              <w:t xml:space="preserve">Ministru kabineta rīkojuma projekta </w:t>
            </w:r>
            <w:r w:rsidRPr="00721444" w:rsidR="00BC5A90">
              <w:rPr>
                <w:color w:val="0D0D0D" w:themeColor="text1" w:themeTint="F2"/>
              </w:rPr>
              <w:t xml:space="preserve">mērķis ir </w:t>
            </w:r>
            <w:r w:rsidRPr="00721444">
              <w:rPr>
                <w:color w:val="0D0D0D" w:themeColor="text1" w:themeTint="F2"/>
              </w:rPr>
              <w:t xml:space="preserve">nodibināt </w:t>
            </w:r>
            <w:r w:rsidRPr="00721444" w:rsidR="007F5DEB">
              <w:rPr>
                <w:color w:val="0D0D0D" w:themeColor="text1" w:themeTint="F2"/>
              </w:rPr>
              <w:t>jaunu</w:t>
            </w:r>
            <w:r w:rsidR="001B165B">
              <w:rPr>
                <w:color w:val="0D0D0D" w:themeColor="text1" w:themeTint="F2"/>
              </w:rPr>
              <w:t xml:space="preserve"> valsts </w:t>
            </w:r>
            <w:r w:rsidRPr="00721444" w:rsidR="007F5DEB">
              <w:rPr>
                <w:color w:val="0D0D0D" w:themeColor="text1" w:themeTint="F2"/>
              </w:rPr>
              <w:t xml:space="preserve"> </w:t>
            </w:r>
            <w:r w:rsidRPr="00721444">
              <w:rPr>
                <w:color w:val="0D0D0D" w:themeColor="text1" w:themeTint="F2"/>
              </w:rPr>
              <w:t xml:space="preserve"> akciju sabiedrību </w:t>
            </w:r>
            <w:r w:rsidRPr="00415A12" w:rsidR="0090709F">
              <w:rPr>
                <w:color w:val="0D0D0D" w:themeColor="text1" w:themeTint="F2"/>
              </w:rPr>
              <w:t>“</w:t>
            </w:r>
            <w:r w:rsidRPr="00415A12" w:rsidR="00415A12">
              <w:rPr>
                <w:color w:val="0D0D0D" w:themeColor="text1" w:themeTint="F2"/>
              </w:rPr>
              <w:t>Ventas</w:t>
            </w:r>
            <w:r w:rsidR="00415A12">
              <w:rPr>
                <w:color w:val="0D0D0D" w:themeColor="text1" w:themeTint="F2"/>
              </w:rPr>
              <w:t xml:space="preserve"> osta</w:t>
            </w:r>
            <w:r w:rsidRPr="00721444">
              <w:rPr>
                <w:color w:val="0D0D0D" w:themeColor="text1" w:themeTint="F2"/>
              </w:rPr>
              <w:t xml:space="preserve">”, </w:t>
            </w:r>
            <w:r w:rsidRPr="00721444" w:rsidR="007F5DEB">
              <w:rPr>
                <w:color w:val="0D0D0D" w:themeColor="text1" w:themeTint="F2"/>
              </w:rPr>
              <w:t xml:space="preserve">kas nodrošinātu Ventspils </w:t>
            </w:r>
            <w:r w:rsidRPr="00721444" w:rsidR="00A066E4">
              <w:rPr>
                <w:color w:val="0D0D0D" w:themeColor="text1" w:themeTint="F2"/>
              </w:rPr>
              <w:t>pilsētā</w:t>
            </w:r>
            <w:r w:rsidRPr="00721444" w:rsidR="007F5DEB">
              <w:rPr>
                <w:color w:val="0D0D0D" w:themeColor="text1" w:themeTint="F2"/>
              </w:rPr>
              <w:t xml:space="preserve"> esošās ostas teritorijas pārvaldīšanu un apsaimniekošanu atvasinātās publiskās personas vietā</w:t>
            </w:r>
            <w:r w:rsidRPr="00721444" w:rsidR="00D4107D">
              <w:rPr>
                <w:color w:val="0D0D0D" w:themeColor="text1" w:themeTint="F2"/>
              </w:rPr>
              <w:t>.</w:t>
            </w:r>
            <w:r w:rsidRPr="00721444">
              <w:rPr>
                <w:color w:val="0D0D0D" w:themeColor="text1" w:themeTint="F2"/>
              </w:rPr>
              <w:t xml:space="preserve"> </w:t>
            </w:r>
          </w:p>
          <w:p w:rsidR="005865CF" w:rsidP="00B878FF" w:rsidRDefault="00ED6432" w14:paraId="471BA0B3" w14:textId="0EA3A33D">
            <w:pPr>
              <w:widowControl w:val="0"/>
              <w:tabs>
                <w:tab w:val="left" w:pos="560"/>
              </w:tabs>
              <w:ind w:right="115"/>
              <w:jc w:val="both"/>
              <w:outlineLvl w:val="2"/>
            </w:pPr>
            <w:r>
              <w:t>Ministru kabineta rīkojums stāsies spēkā tā parakstīšanas brīdī.</w:t>
            </w:r>
          </w:p>
          <w:p w:rsidR="00427EE9" w:rsidP="00B878FF" w:rsidRDefault="00427EE9" w14:paraId="36BA2185" w14:textId="77777777">
            <w:pPr>
              <w:widowControl w:val="0"/>
              <w:tabs>
                <w:tab w:val="left" w:pos="560"/>
              </w:tabs>
              <w:ind w:right="115"/>
              <w:jc w:val="both"/>
              <w:outlineLvl w:val="2"/>
            </w:pPr>
          </w:p>
          <w:p w:rsidRPr="00D4107D" w:rsidR="003A0705" w:rsidP="00B878FF" w:rsidRDefault="003A0705" w14:paraId="1AB8EF54" w14:textId="59E1D0FF">
            <w:pPr>
              <w:widowControl w:val="0"/>
              <w:tabs>
                <w:tab w:val="left" w:pos="560"/>
              </w:tabs>
              <w:ind w:right="115"/>
              <w:jc w:val="both"/>
              <w:outlineLvl w:val="2"/>
              <w:rPr>
                <w:color w:val="0D0D0D" w:themeColor="text1" w:themeTint="F2"/>
              </w:rPr>
            </w:pPr>
          </w:p>
        </w:tc>
      </w:tr>
    </w:tbl>
    <w:p w:rsidRPr="009D2D72" w:rsidR="004E5314" w:rsidP="00C57E86" w:rsidRDefault="004E5314" w14:paraId="250B1397" w14:textId="3AF0E9F1">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40"/>
        <w:gridCol w:w="2732"/>
        <w:gridCol w:w="6089"/>
      </w:tblGrid>
      <w:tr w:rsidRPr="009D2D72" w:rsidR="009D2D72" w:rsidTr="00737785" w14:paraId="712180B0" w14:textId="77777777">
        <w:trPr>
          <w:cantSplit/>
        </w:trPr>
        <w:tc>
          <w:tcPr>
            <w:tcW w:w="5000" w:type="pct"/>
            <w:gridSpan w:val="3"/>
            <w:vAlign w:val="center"/>
            <w:hideMark/>
          </w:tcPr>
          <w:p w:rsidRPr="009D2D72" w:rsidR="00BD5588" w:rsidP="00C57E86" w:rsidRDefault="006E2E27" w14:paraId="2C91D191" w14:textId="77777777">
            <w:pPr>
              <w:jc w:val="center"/>
              <w:rPr>
                <w:b/>
                <w:bCs/>
                <w:color w:val="0D0D0D" w:themeColor="text1" w:themeTint="F2"/>
              </w:rPr>
            </w:pPr>
            <w:r w:rsidRPr="009D2D72">
              <w:rPr>
                <w:b/>
                <w:bCs/>
                <w:color w:val="0D0D0D" w:themeColor="text1" w:themeTint="F2"/>
              </w:rPr>
              <w:t>I. Tiesību akta projekta izstrādes nepieciešamība</w:t>
            </w:r>
          </w:p>
        </w:tc>
      </w:tr>
      <w:tr w:rsidRPr="009D2D72" w:rsidR="009D2D72" w:rsidTr="00BC5A90" w14:paraId="6FA8504B" w14:textId="77777777">
        <w:tc>
          <w:tcPr>
            <w:tcW w:w="132" w:type="pct"/>
            <w:hideMark/>
          </w:tcPr>
          <w:p w:rsidRPr="009D2D72" w:rsidR="00BD5588" w:rsidP="00C57E86" w:rsidRDefault="006E2E27" w14:paraId="2D52D80D" w14:textId="77777777">
            <w:pPr>
              <w:jc w:val="center"/>
              <w:rPr>
                <w:color w:val="0D0D0D" w:themeColor="text1" w:themeTint="F2"/>
              </w:rPr>
            </w:pPr>
            <w:r w:rsidRPr="009D2D72">
              <w:rPr>
                <w:color w:val="0D0D0D" w:themeColor="text1" w:themeTint="F2"/>
              </w:rPr>
              <w:t>1.</w:t>
            </w:r>
          </w:p>
        </w:tc>
        <w:tc>
          <w:tcPr>
            <w:tcW w:w="1508" w:type="pct"/>
            <w:hideMark/>
          </w:tcPr>
          <w:p w:rsidRPr="00D4107D" w:rsidR="00BD5588" w:rsidP="00C57E86" w:rsidRDefault="006E2E27" w14:paraId="5E3724CA" w14:textId="77777777">
            <w:pPr>
              <w:rPr>
                <w:color w:val="0D0D0D" w:themeColor="text1" w:themeTint="F2"/>
              </w:rPr>
            </w:pPr>
            <w:r w:rsidRPr="00D4107D">
              <w:rPr>
                <w:color w:val="0D0D0D" w:themeColor="text1" w:themeTint="F2"/>
              </w:rPr>
              <w:t>Pamatojums</w:t>
            </w:r>
          </w:p>
        </w:tc>
        <w:tc>
          <w:tcPr>
            <w:tcW w:w="3360" w:type="pct"/>
            <w:hideMark/>
          </w:tcPr>
          <w:p w:rsidRPr="00855B1A" w:rsidR="00C97EDA" w:rsidP="00C97EDA" w:rsidRDefault="00C97EDA" w14:paraId="2F566512" w14:textId="49C67E0B">
            <w:pPr>
              <w:pStyle w:val="Standard"/>
              <w:numPr>
                <w:ilvl w:val="0"/>
                <w:numId w:val="16"/>
              </w:numPr>
              <w:tabs>
                <w:tab w:val="left" w:pos="262"/>
              </w:tabs>
              <w:ind w:left="0" w:right="100" w:hanging="22"/>
              <w:jc w:val="both"/>
            </w:pPr>
            <w:r w:rsidRPr="00B47BD1">
              <w:t>Deklarācijas par Artura Krišjāņa Kariņa vadītā Ministru kabineta iecerēto darbību 82. punkts</w:t>
            </w:r>
            <w:r w:rsidRPr="00E63DE7">
              <w:t>.</w:t>
            </w:r>
          </w:p>
          <w:p w:rsidRPr="004948C6" w:rsidR="007F5DEB" w:rsidP="00C97EDA" w:rsidRDefault="007F5DEB" w14:paraId="5EDE3859" w14:textId="37DE462C">
            <w:pPr>
              <w:pStyle w:val="Standard"/>
              <w:numPr>
                <w:ilvl w:val="0"/>
                <w:numId w:val="16"/>
              </w:numPr>
              <w:tabs>
                <w:tab w:val="left" w:pos="262"/>
              </w:tabs>
              <w:ind w:left="0" w:right="100" w:hanging="22"/>
              <w:jc w:val="both"/>
            </w:pPr>
            <w:r w:rsidRPr="004948C6">
              <w:t xml:space="preserve">Ministru kabineta 2019.gada 10.decembra sēdē panāktā konceptuālā vienošanās par </w:t>
            </w:r>
            <w:r w:rsidRPr="004948C6" w:rsidR="00A066E4">
              <w:t>j</w:t>
            </w:r>
            <w:r w:rsidRPr="004948C6">
              <w:t>aunas valsts kapitālsabiedrības dibināšanu.</w:t>
            </w:r>
          </w:p>
          <w:p w:rsidRPr="00855B1A" w:rsidR="004B6A3B" w:rsidP="00C97EDA" w:rsidRDefault="004B6A3B" w14:paraId="02A34FDF" w14:textId="09EDC99E">
            <w:pPr>
              <w:pStyle w:val="Standard"/>
              <w:numPr>
                <w:ilvl w:val="0"/>
                <w:numId w:val="16"/>
              </w:numPr>
              <w:tabs>
                <w:tab w:val="left" w:pos="262"/>
              </w:tabs>
              <w:ind w:left="0" w:right="100" w:hanging="22"/>
              <w:jc w:val="both"/>
              <w:rPr>
                <w:rFonts w:cs="Times New Roman"/>
                <w:color w:val="0D0D0D" w:themeColor="text1" w:themeTint="F2"/>
              </w:rPr>
            </w:pPr>
            <w:r w:rsidRPr="00B47BD1">
              <w:rPr>
                <w:rFonts w:cs="Times New Roman"/>
                <w:color w:val="0D0D0D" w:themeColor="text1" w:themeTint="F2"/>
              </w:rPr>
              <w:t>Publiskas personas kapitāla daļu un kapitālsabiedrību pārvaldības likuma 25.pant</w:t>
            </w:r>
            <w:r w:rsidRPr="00E63DE7">
              <w:rPr>
                <w:rFonts w:cs="Times New Roman"/>
                <w:color w:val="0D0D0D" w:themeColor="text1" w:themeTint="F2"/>
              </w:rPr>
              <w:t>s.</w:t>
            </w:r>
          </w:p>
          <w:p w:rsidRPr="003A0705" w:rsidR="004E5314" w:rsidP="007F5DEB" w:rsidRDefault="00C97EDA" w14:paraId="0FAF79D6" w14:textId="77777777">
            <w:pPr>
              <w:pStyle w:val="Standard"/>
              <w:numPr>
                <w:ilvl w:val="0"/>
                <w:numId w:val="16"/>
              </w:numPr>
              <w:tabs>
                <w:tab w:val="left" w:pos="262"/>
              </w:tabs>
              <w:ind w:left="0" w:right="100" w:hanging="22"/>
              <w:jc w:val="both"/>
              <w:rPr>
                <w:rFonts w:cs="Times New Roman"/>
                <w:color w:val="0D0D0D" w:themeColor="text1" w:themeTint="F2"/>
              </w:rPr>
            </w:pPr>
            <w:r w:rsidRPr="00755520">
              <w:t>Valsts pārvaldes iekārtas likuma 88.panta pirmā daļa</w:t>
            </w:r>
            <w:r w:rsidRPr="00755520" w:rsidR="00DC2DCD">
              <w:t>.</w:t>
            </w:r>
          </w:p>
          <w:p w:rsidRPr="00755520" w:rsidR="003A0705" w:rsidP="00190824" w:rsidRDefault="003A0705" w14:paraId="048B50D3" w14:textId="705533C2">
            <w:pPr>
              <w:pStyle w:val="Standard"/>
              <w:tabs>
                <w:tab w:val="left" w:pos="262"/>
              </w:tabs>
              <w:ind w:right="100"/>
              <w:jc w:val="both"/>
              <w:rPr>
                <w:rFonts w:cs="Times New Roman"/>
                <w:color w:val="0D0D0D" w:themeColor="text1" w:themeTint="F2"/>
              </w:rPr>
            </w:pPr>
          </w:p>
        </w:tc>
      </w:tr>
      <w:tr w:rsidRPr="009D2D72" w:rsidR="005865CF" w:rsidTr="00BC5A90" w14:paraId="43BCF0C4" w14:textId="77777777">
        <w:tc>
          <w:tcPr>
            <w:tcW w:w="132" w:type="pct"/>
            <w:hideMark/>
          </w:tcPr>
          <w:p w:rsidRPr="009D2D72" w:rsidR="005865CF" w:rsidP="005865CF" w:rsidRDefault="005865CF" w14:paraId="271D3C71" w14:textId="77777777">
            <w:pPr>
              <w:jc w:val="center"/>
              <w:rPr>
                <w:color w:val="0D0D0D" w:themeColor="text1" w:themeTint="F2"/>
              </w:rPr>
            </w:pPr>
            <w:r w:rsidRPr="009D2D72">
              <w:rPr>
                <w:color w:val="0D0D0D" w:themeColor="text1" w:themeTint="F2"/>
              </w:rPr>
              <w:t>2.</w:t>
            </w:r>
          </w:p>
        </w:tc>
        <w:tc>
          <w:tcPr>
            <w:tcW w:w="1508" w:type="pct"/>
            <w:hideMark/>
          </w:tcPr>
          <w:p w:rsidRPr="009D2D72" w:rsidR="005865CF" w:rsidP="005865CF" w:rsidRDefault="005865CF" w14:paraId="27A483CF" w14:textId="77777777">
            <w:pPr>
              <w:rPr>
                <w:color w:val="0D0D0D" w:themeColor="text1" w:themeTint="F2"/>
              </w:rPr>
            </w:pPr>
            <w:r w:rsidRPr="009D2D72">
              <w:rPr>
                <w:color w:val="0D0D0D" w:themeColor="text1" w:themeTint="F2"/>
              </w:rPr>
              <w:t>Pašreizējā situācija un problēmas, kuru risināšanai tiesību akta projekts izstrādāts, tiesiskā regulējuma mērķis un būtība</w:t>
            </w:r>
          </w:p>
          <w:p w:rsidRPr="009D2D72" w:rsidR="005865CF" w:rsidP="005865CF" w:rsidRDefault="005865CF" w14:paraId="6D615DFC" w14:textId="77777777">
            <w:pPr>
              <w:rPr>
                <w:color w:val="0D0D0D" w:themeColor="text1" w:themeTint="F2"/>
              </w:rPr>
            </w:pPr>
          </w:p>
          <w:p w:rsidRPr="009D2D72" w:rsidR="005865CF" w:rsidP="005865CF" w:rsidRDefault="005865CF" w14:paraId="4B5F78D1" w14:textId="77777777">
            <w:pPr>
              <w:rPr>
                <w:color w:val="0D0D0D" w:themeColor="text1" w:themeTint="F2"/>
              </w:rPr>
            </w:pPr>
          </w:p>
          <w:p w:rsidRPr="009D2D72" w:rsidR="005865CF" w:rsidP="005865CF" w:rsidRDefault="005865CF" w14:paraId="28AAD5E6" w14:textId="77777777">
            <w:pPr>
              <w:rPr>
                <w:color w:val="0D0D0D" w:themeColor="text1" w:themeTint="F2"/>
              </w:rPr>
            </w:pPr>
          </w:p>
          <w:p w:rsidRPr="009D2D72" w:rsidR="005865CF" w:rsidP="005865CF" w:rsidRDefault="005865CF" w14:paraId="3CDCA894" w14:textId="77777777">
            <w:pPr>
              <w:rPr>
                <w:color w:val="0D0D0D" w:themeColor="text1" w:themeTint="F2"/>
              </w:rPr>
            </w:pPr>
          </w:p>
          <w:p w:rsidRPr="009D2D72" w:rsidR="005865CF" w:rsidP="005865CF" w:rsidRDefault="005865CF" w14:paraId="783C0F4D" w14:textId="77777777">
            <w:pPr>
              <w:rPr>
                <w:color w:val="0D0D0D" w:themeColor="text1" w:themeTint="F2"/>
              </w:rPr>
            </w:pPr>
          </w:p>
          <w:p w:rsidRPr="009D2D72" w:rsidR="005865CF" w:rsidP="005865CF" w:rsidRDefault="005865CF" w14:paraId="3323FF80" w14:textId="77777777">
            <w:pPr>
              <w:rPr>
                <w:color w:val="0D0D0D" w:themeColor="text1" w:themeTint="F2"/>
              </w:rPr>
            </w:pPr>
          </w:p>
          <w:p w:rsidRPr="009D2D72" w:rsidR="005865CF" w:rsidP="005865CF" w:rsidRDefault="005865CF" w14:paraId="070D952A" w14:textId="77777777">
            <w:pPr>
              <w:rPr>
                <w:color w:val="0D0D0D" w:themeColor="text1" w:themeTint="F2"/>
              </w:rPr>
            </w:pPr>
          </w:p>
          <w:p w:rsidRPr="009D2D72" w:rsidR="005865CF" w:rsidP="005865CF" w:rsidRDefault="005865CF" w14:paraId="2F20208F" w14:textId="77777777">
            <w:pPr>
              <w:rPr>
                <w:color w:val="0D0D0D" w:themeColor="text1" w:themeTint="F2"/>
              </w:rPr>
            </w:pPr>
          </w:p>
          <w:p w:rsidRPr="009D2D72" w:rsidR="005865CF" w:rsidP="005865CF" w:rsidRDefault="005865CF" w14:paraId="7E8DDF8B" w14:textId="77777777">
            <w:pPr>
              <w:rPr>
                <w:color w:val="0D0D0D" w:themeColor="text1" w:themeTint="F2"/>
              </w:rPr>
            </w:pPr>
          </w:p>
          <w:p w:rsidRPr="009D2D72" w:rsidR="005865CF" w:rsidP="005865CF" w:rsidRDefault="005865CF" w14:paraId="23C5D048" w14:textId="77777777">
            <w:pPr>
              <w:rPr>
                <w:color w:val="0D0D0D" w:themeColor="text1" w:themeTint="F2"/>
              </w:rPr>
            </w:pPr>
          </w:p>
          <w:p w:rsidRPr="009D2D72" w:rsidR="005865CF" w:rsidP="005865CF" w:rsidRDefault="005865CF" w14:paraId="76D42C80" w14:textId="77777777">
            <w:pPr>
              <w:rPr>
                <w:color w:val="0D0D0D" w:themeColor="text1" w:themeTint="F2"/>
              </w:rPr>
            </w:pPr>
          </w:p>
          <w:p w:rsidRPr="009D2D72" w:rsidR="005865CF" w:rsidP="005865CF" w:rsidRDefault="005865CF" w14:paraId="44BC1C3E" w14:textId="77777777">
            <w:pPr>
              <w:rPr>
                <w:color w:val="0D0D0D" w:themeColor="text1" w:themeTint="F2"/>
              </w:rPr>
            </w:pPr>
          </w:p>
          <w:p w:rsidRPr="009D2D72" w:rsidR="005865CF" w:rsidP="005865CF" w:rsidRDefault="005865CF" w14:paraId="7F94462B" w14:textId="77777777">
            <w:pPr>
              <w:rPr>
                <w:color w:val="0D0D0D" w:themeColor="text1" w:themeTint="F2"/>
              </w:rPr>
            </w:pPr>
          </w:p>
          <w:p w:rsidRPr="009D2D72" w:rsidR="005865CF" w:rsidP="005865CF" w:rsidRDefault="005865CF" w14:paraId="7654E30B" w14:textId="77777777">
            <w:pPr>
              <w:rPr>
                <w:color w:val="0D0D0D" w:themeColor="text1" w:themeTint="F2"/>
              </w:rPr>
            </w:pPr>
          </w:p>
          <w:p w:rsidRPr="009D2D72" w:rsidR="005865CF" w:rsidP="005865CF" w:rsidRDefault="005865CF" w14:paraId="31970DEA" w14:textId="77777777">
            <w:pPr>
              <w:rPr>
                <w:color w:val="0D0D0D" w:themeColor="text1" w:themeTint="F2"/>
              </w:rPr>
            </w:pPr>
          </w:p>
          <w:p w:rsidRPr="009D2D72" w:rsidR="005865CF" w:rsidP="005865CF" w:rsidRDefault="005865CF" w14:paraId="0AFD99A9" w14:textId="77777777">
            <w:pPr>
              <w:rPr>
                <w:color w:val="0D0D0D" w:themeColor="text1" w:themeTint="F2"/>
              </w:rPr>
            </w:pPr>
          </w:p>
          <w:p w:rsidRPr="009D2D72" w:rsidR="005865CF" w:rsidP="005865CF" w:rsidRDefault="005865CF" w14:paraId="3DFC9F18" w14:textId="77777777">
            <w:pPr>
              <w:rPr>
                <w:color w:val="0D0D0D" w:themeColor="text1" w:themeTint="F2"/>
              </w:rPr>
            </w:pPr>
          </w:p>
          <w:p w:rsidRPr="009D2D72" w:rsidR="005865CF" w:rsidP="005865CF" w:rsidRDefault="005865CF" w14:paraId="1F702620" w14:textId="77777777">
            <w:pPr>
              <w:rPr>
                <w:color w:val="0D0D0D" w:themeColor="text1" w:themeTint="F2"/>
              </w:rPr>
            </w:pPr>
          </w:p>
          <w:p w:rsidRPr="009D2D72" w:rsidR="005865CF" w:rsidP="005865CF" w:rsidRDefault="005865CF" w14:paraId="2C735B44" w14:textId="77777777">
            <w:pPr>
              <w:rPr>
                <w:color w:val="0D0D0D" w:themeColor="text1" w:themeTint="F2"/>
              </w:rPr>
            </w:pPr>
          </w:p>
          <w:p w:rsidRPr="009D2D72" w:rsidR="005865CF" w:rsidP="005865CF" w:rsidRDefault="005865CF" w14:paraId="6080F7AC" w14:textId="77777777">
            <w:pPr>
              <w:rPr>
                <w:color w:val="0D0D0D" w:themeColor="text1" w:themeTint="F2"/>
              </w:rPr>
            </w:pPr>
          </w:p>
          <w:p w:rsidRPr="009D2D72" w:rsidR="005865CF" w:rsidP="005865CF" w:rsidRDefault="005865CF" w14:paraId="4EAA759F" w14:textId="77777777">
            <w:pPr>
              <w:rPr>
                <w:color w:val="0D0D0D" w:themeColor="text1" w:themeTint="F2"/>
              </w:rPr>
            </w:pPr>
          </w:p>
          <w:p w:rsidRPr="009D2D72" w:rsidR="005865CF" w:rsidP="005865CF" w:rsidRDefault="005865CF" w14:paraId="7C6F436D" w14:textId="77777777">
            <w:pPr>
              <w:rPr>
                <w:color w:val="0D0D0D" w:themeColor="text1" w:themeTint="F2"/>
              </w:rPr>
            </w:pPr>
          </w:p>
          <w:p w:rsidRPr="009D2D72" w:rsidR="005865CF" w:rsidP="005865CF" w:rsidRDefault="005865CF" w14:paraId="537AB7AA" w14:textId="77777777">
            <w:pPr>
              <w:rPr>
                <w:color w:val="0D0D0D" w:themeColor="text1" w:themeTint="F2"/>
              </w:rPr>
            </w:pPr>
          </w:p>
          <w:p w:rsidRPr="009D2D72" w:rsidR="005865CF" w:rsidP="005865CF" w:rsidRDefault="005865CF" w14:paraId="25E4D365" w14:textId="77777777">
            <w:pPr>
              <w:rPr>
                <w:color w:val="0D0D0D" w:themeColor="text1" w:themeTint="F2"/>
              </w:rPr>
            </w:pPr>
          </w:p>
          <w:p w:rsidRPr="009D2D72" w:rsidR="005865CF" w:rsidP="005865CF" w:rsidRDefault="005865CF" w14:paraId="568E8CFA" w14:textId="77777777">
            <w:pPr>
              <w:rPr>
                <w:color w:val="0D0D0D" w:themeColor="text1" w:themeTint="F2"/>
              </w:rPr>
            </w:pPr>
          </w:p>
          <w:p w:rsidRPr="009D2D72" w:rsidR="005865CF" w:rsidP="005865CF" w:rsidRDefault="005865CF" w14:paraId="35C33102" w14:textId="77777777">
            <w:pPr>
              <w:rPr>
                <w:color w:val="0D0D0D" w:themeColor="text1" w:themeTint="F2"/>
              </w:rPr>
            </w:pPr>
          </w:p>
          <w:p w:rsidRPr="009D2D72" w:rsidR="005865CF" w:rsidP="005865CF" w:rsidRDefault="005865CF" w14:paraId="1C3BD991" w14:textId="77777777">
            <w:pPr>
              <w:rPr>
                <w:color w:val="0D0D0D" w:themeColor="text1" w:themeTint="F2"/>
              </w:rPr>
            </w:pPr>
          </w:p>
          <w:p w:rsidRPr="009D2D72" w:rsidR="005865CF" w:rsidP="005865CF" w:rsidRDefault="005865CF" w14:paraId="3F166039" w14:textId="77777777">
            <w:pPr>
              <w:jc w:val="center"/>
              <w:rPr>
                <w:color w:val="0D0D0D" w:themeColor="text1" w:themeTint="F2"/>
              </w:rPr>
            </w:pPr>
          </w:p>
        </w:tc>
        <w:tc>
          <w:tcPr>
            <w:tcW w:w="3360" w:type="pct"/>
            <w:tcBorders>
              <w:top w:val="single" w:color="auto" w:sz="4" w:space="0"/>
              <w:left w:val="single" w:color="auto" w:sz="4" w:space="0"/>
              <w:bottom w:val="single" w:color="auto" w:sz="4" w:space="0"/>
              <w:right w:val="single" w:color="auto" w:sz="4" w:space="0"/>
            </w:tcBorders>
          </w:tcPr>
          <w:p w:rsidRPr="002248D5" w:rsidR="00A066E4" w:rsidP="00A066E4" w:rsidRDefault="00A066E4" w14:paraId="520A4396" w14:textId="77777777">
            <w:pPr>
              <w:ind w:firstLine="375"/>
              <w:jc w:val="both"/>
              <w:rPr>
                <w:lang w:eastAsia="en-US"/>
              </w:rPr>
            </w:pPr>
            <w:r w:rsidRPr="002248D5">
              <w:lastRenderedPageBreak/>
              <w:t>Deklarācijā par Artura Krišjāņa Kariņa vadītā Ministru kabineta iecerēto darbību (turpmāk – Valdības deklarācija) kā viena no valdības prioritātēm minēta cīņa ar korupciju (Valdības deklarācijas 33. punkts). Valdība kā vienu no prioritātēm norādījusi modernas pārvaldības īstenošanu, tai skaitā reformēt valsts pārvaldi, lai uzlabotu tās pakalpojumu sniegšanas kvalitāti un samazinātu korupcijas riskus. Valdība ir secinājusi, ka Ventspils osta ir pakļauta augstam korupcijas riskam, tādējādi nepieciešamas neatliekamas reformas šo ostu pārvaldībā, lai izpildītu valdības deklarācijā noteikto prioritāti cīņai pret korupciju un uzlabotu šo ostu pārvaldību.</w:t>
            </w:r>
          </w:p>
          <w:p w:rsidR="00C97EDA" w:rsidP="00366524" w:rsidRDefault="00A066E4" w14:paraId="1A424D1C" w14:textId="1C3AA8A5">
            <w:pPr>
              <w:ind w:left="-22" w:firstLine="425"/>
              <w:jc w:val="both"/>
            </w:pPr>
            <w:r>
              <w:t>Valdības deklarācijas</w:t>
            </w:r>
            <w:r w:rsidRPr="00A066E4" w:rsidR="00C97EDA">
              <w:t xml:space="preserve"> 82. punkts noteic, ka lielo ostu darbībā tiks piemēroti </w:t>
            </w:r>
            <w:r>
              <w:t xml:space="preserve">Ekonomiskās sadarbības un attīstības organizācijas (turpmāk – </w:t>
            </w:r>
            <w:r w:rsidRPr="00A066E4" w:rsidR="00C97EDA">
              <w:t>OECD</w:t>
            </w:r>
            <w:r>
              <w:t>)</w:t>
            </w:r>
            <w:r w:rsidRPr="00A066E4" w:rsidR="00C97EDA">
              <w:t xml:space="preserve"> valsts kapitālsabiedrību pārvaldības principi, tiks palielināta valsts ietekme lēmumu pieņemšanā un tiks nodrošināta efektīvāka resursu izmantošana; tiks izvērtēts un reformēts lielo ostu pārvaldības modelis, kā prioritāro risinājumu paredzot to pārveidošanu par valsts kapitālsabiedrībām.</w:t>
            </w:r>
          </w:p>
          <w:p w:rsidR="00E0571B" w:rsidP="00E0571B" w:rsidRDefault="00E0571B" w14:paraId="7CB26AFF" w14:textId="4FB6F297">
            <w:pPr>
              <w:pStyle w:val="ListParagraph"/>
              <w:ind w:left="0" w:firstLine="375"/>
              <w:jc w:val="both"/>
            </w:pPr>
            <w:r w:rsidRPr="002248D5">
              <w:t xml:space="preserve">Korupcijas riski </w:t>
            </w:r>
            <w:r w:rsidRPr="00620D19">
              <w:t xml:space="preserve">Ventspils </w:t>
            </w:r>
            <w:r>
              <w:t>pilsētā esošajā ostā (turpmāk –</w:t>
            </w:r>
            <w:r w:rsidRPr="0069303D">
              <w:t xml:space="preserve"> Osta</w:t>
            </w:r>
            <w:r>
              <w:t>)</w:t>
            </w:r>
            <w:r w:rsidRPr="0069303D">
              <w:t xml:space="preserve"> </w:t>
            </w:r>
            <w:r w:rsidRPr="002248D5">
              <w:t xml:space="preserve">ir iemesls arī Amerikas Savienoto valstu (turpmāk – ASV) Valsts kases Ārvalstu aktīvu kontroles biroja (turpmāk – ASV OFAC) 2019.gada 9.decembra lēmumam par sankciju noteikšanu pret Aivaru Lembergu un četrām ar viņu saistītām juridiskām personām -  Ventspils brīvostas pārvaldi, Ventspils Attīstības aģentūru, Biznesa attīstības asociāciju un Latvijas Tranzīta biznesa asociāciju. Šis ASV OFAC lēmums papildus pamato nepieciešamību nekavējoties rīkoties, lai izveidotu neatkarīgu valsts kapitālsabiedrību, kas veiktu Ostas pārvaldi, kas samazinātu korupcijas riskus šajā ostā. Noteiktās sankcijas balstītas uz tā dēvēto Magņitska likumu, kas vēršas pret </w:t>
            </w:r>
            <w:r w:rsidRPr="002248D5">
              <w:lastRenderedPageBreak/>
              <w:t>cilvēkiem, kas iesaistīti korupcijā vai smagos cilvēktiesību pārkāpumos.</w:t>
            </w:r>
          </w:p>
          <w:p w:rsidRPr="002248D5" w:rsidR="003A0705" w:rsidP="00E0571B" w:rsidRDefault="003A0705" w14:paraId="388563DF" w14:textId="77777777">
            <w:pPr>
              <w:pStyle w:val="ListParagraph"/>
              <w:ind w:left="0" w:firstLine="375"/>
              <w:jc w:val="both"/>
              <w:rPr>
                <w:lang w:eastAsia="en-US"/>
              </w:rPr>
            </w:pPr>
          </w:p>
          <w:p w:rsidRPr="002248D5" w:rsidR="00E0571B" w:rsidP="00E0571B" w:rsidRDefault="00E0571B" w14:paraId="69045F89" w14:textId="77777777">
            <w:pPr>
              <w:pStyle w:val="ListParagraph"/>
              <w:ind w:left="0" w:firstLine="375"/>
              <w:jc w:val="both"/>
              <w:rPr>
                <w:lang w:eastAsia="en-US"/>
              </w:rPr>
            </w:pPr>
            <w:r w:rsidRPr="002248D5">
              <w:t>Saskaņā ar noteiktajām sankcijām bloķēti visi A.Lemberga un iepriekš minēto struktūru īpašumi, daļas īpašumos un tieši vai netieši individuāli vai ar citu personu starpniecību piederošās struktūras, kurās viņu daļa ir virs 50%, kas atrodas ASV vai atrodas ASV personu īpašumā vai kontrolē, un par tām jāziņo OFAC.</w:t>
            </w:r>
          </w:p>
          <w:p w:rsidR="00147A5D" w:rsidP="00147A5D" w:rsidRDefault="00E0571B" w14:paraId="4478725B" w14:textId="03270E12">
            <w:pPr>
              <w:pStyle w:val="ListParagraph"/>
              <w:ind w:left="0" w:firstLine="375"/>
              <w:jc w:val="both"/>
            </w:pPr>
            <w:r w:rsidRPr="002248D5">
              <w:t>Lai arī sankcijas nav tieši vērstas pret tiem komersantiem, kas veic komercdarbību Ventspils ostā, tomēr faktiski šie komersanti ir pakļauti sankciju ietekmei.</w:t>
            </w:r>
            <w:r w:rsidRPr="00E0571B">
              <w:t xml:space="preserve"> </w:t>
            </w:r>
            <w:r w:rsidRPr="00964B05">
              <w:t>Tādējādi secināms, ka sankciju ietekmē faktiski ir radīta ļoti nelabvēlīga situācija tranzīta sektora Ostā darbības turpināšanai un šķēršļi iespējamai</w:t>
            </w:r>
            <w:r>
              <w:t xml:space="preserve"> Ostas</w:t>
            </w:r>
            <w:r w:rsidRPr="00964B05">
              <w:t xml:space="preserve"> attīstībai nākotnē. </w:t>
            </w:r>
            <w:r w:rsidRPr="00964B05" w:rsidR="00A066E4">
              <w:t xml:space="preserve">Osta ir </w:t>
            </w:r>
            <w:r w:rsidR="009B569F">
              <w:t>Latvijas otra lielākā osta</w:t>
            </w:r>
            <w:r w:rsidRPr="00964B05" w:rsidR="00A066E4">
              <w:t xml:space="preserve"> </w:t>
            </w:r>
            <w:r w:rsidR="009B569F">
              <w:t xml:space="preserve">ar </w:t>
            </w:r>
            <w:r w:rsidRPr="00964B05" w:rsidR="00A066E4">
              <w:t>kravu apgrozījum</w:t>
            </w:r>
            <w:r w:rsidR="009B569F">
              <w:t xml:space="preserve">u </w:t>
            </w:r>
            <w:r w:rsidRPr="00964B05" w:rsidR="00A066E4">
              <w:t xml:space="preserve"> apmēram 20 miljoni tonnu gadā un Ostas teritorijā esošajos uzņēmumos strādā vairāk nekā 2000 darbinieku.</w:t>
            </w:r>
            <w:r w:rsidRPr="00964B05" w:rsidR="00147A5D">
              <w:t xml:space="preserve"> Ostas teritorija atrodas stratēģiski svarīgā vietā, pie Baltijas jūras, tā ir iekļauta Eiropas TEN-T transporta pamattīklā un vēsturiski kalpo par stratēģisku Krievijas un NVS valstu eksporta preču tranzīta mezglu</w:t>
            </w:r>
            <w:r w:rsidR="000A0A1C">
              <w:t>.</w:t>
            </w:r>
          </w:p>
          <w:p w:rsidR="00147A5D" w:rsidP="005E1C45" w:rsidRDefault="000A0A1C" w14:paraId="6493E324" w14:textId="4C288651">
            <w:pPr>
              <w:pStyle w:val="ListParagraph"/>
              <w:ind w:left="0" w:firstLine="375"/>
              <w:jc w:val="both"/>
            </w:pPr>
            <w:r>
              <w:t>O</w:t>
            </w:r>
            <w:r w:rsidRPr="00964B05">
              <w:t xml:space="preserve">sta ir mūsdienīga daudzfunkcionāla  ar spēcīgu rūpnieciskā sektora klātbūtni. Osta visa gada garumā ir neaizsalstoša un nodrošina ātru un kvalitatīvu kuģu un kravu apkalpošanu. Tā spēj pieņemt lielākos kuģus, kādi var ienākt Baltijas jūrā – kuģus ar 150 000 DWT kravnesību. Ostas uzņēmumi specializējušies naftas, tās produktu, minerālmēslojuma, šķidro ķīmisko produktu, konteineru, ro-ro, graudu, ģenerālo kravu, tai skaitā metālu, koksnes, pārtikas (arī saldētās) pārkraušanā un pasažieru apkalpošanā. </w:t>
            </w:r>
          </w:p>
          <w:p w:rsidRPr="00964B05" w:rsidR="00A066E4" w:rsidP="00147A5D" w:rsidRDefault="00147A5D" w14:paraId="1B5C2191" w14:textId="187DC7D4">
            <w:pPr>
              <w:pStyle w:val="ListParagraph"/>
              <w:ind w:left="0" w:firstLine="375"/>
              <w:jc w:val="both"/>
              <w:rPr>
                <w:lang w:eastAsia="en-US"/>
              </w:rPr>
            </w:pPr>
            <w:r w:rsidRPr="00755520">
              <w:t>Osta ir būtiska Ziemeļatlantijas līguma organizācijas (NATO) sabiedroto spēku uzņemšanas ievaros. Osta vairākkārtēji ir izmantota militārās tehnikas pārvadājumu organizēšanā un pārvadājumu laikā ir veikta NATO militārās tehnikas pārkraušana. Ostas infrastruktūra ir būtiska, lai saglabātu to kā otru ostu ar dziļāko iegrimi un nodrošinātu iespēju sabiedroto spēku militāro kravu piegādei Latvijā.</w:t>
            </w:r>
          </w:p>
          <w:p w:rsidRPr="00964B05" w:rsidR="005C457A" w:rsidP="005C457A" w:rsidRDefault="005C457A" w14:paraId="72A61D78" w14:textId="77777777">
            <w:pPr>
              <w:pStyle w:val="ListParagraph"/>
              <w:ind w:left="0" w:firstLine="375"/>
              <w:jc w:val="both"/>
              <w:rPr>
                <w:lang w:eastAsia="en-US"/>
              </w:rPr>
            </w:pPr>
            <w:r w:rsidRPr="00964B05">
              <w:t xml:space="preserve">Lai nodrošinātu Ostas darbības nepārtrauktību, nekavētu kravu plūsmu un novērstu potenciālās negatīvās sekas uz kravu pārvadājumiem Ostā un uz Ostā strādājošajiem komersantiem, ir nekavējoties jānodala Ventspils brīvostas pārvalde, pret kuru ir noteiktas sankcijas, ņemot vērā A.Lemberga ietekmi uz šo institūciju, no Ostas kā teritorijas, kas ir veiksmīgi iekļāvusies transkontinentālajos multimodālajos transporta koridoros, piedāvājot pakalpojumus ar augstu pievienoto vērtību, nodrošinot lielus apstrādājamo kravu apjomus un pasažieru apkalpošanu. </w:t>
            </w:r>
          </w:p>
          <w:p w:rsidR="00E0571B" w:rsidP="005C457A" w:rsidRDefault="005C457A" w14:paraId="173B8FED" w14:textId="1F5C5A01">
            <w:pPr>
              <w:pStyle w:val="ListParagraph"/>
              <w:ind w:left="0" w:firstLine="375"/>
              <w:jc w:val="both"/>
            </w:pPr>
            <w:r w:rsidRPr="00964B05">
              <w:t xml:space="preserve">Izveidojot jaunu valsts kapitālsabiedrību, kura turpmāk nodrošinās Ostas kā teritorijas kopuma pārvaldīšanu, tiks novērsta Ostas un tās pārvaldošās institūcijas saistība ar ASV OFAC sankciju subjektiem. Līdz ar to tiks nodrošināta Ostas darbības nepārtrauktība un pēc iespējas samazinātas sankciju </w:t>
            </w:r>
            <w:r w:rsidRPr="00964B05">
              <w:lastRenderedPageBreak/>
              <w:t>iespējamās negatīvās sekas uz tranzīta sektoru un ekonomiku kopumā.</w:t>
            </w:r>
          </w:p>
          <w:p w:rsidRPr="00964B05" w:rsidR="003A0705" w:rsidP="005C457A" w:rsidRDefault="003A0705" w14:paraId="34F5AB3C" w14:textId="77777777">
            <w:pPr>
              <w:pStyle w:val="ListParagraph"/>
              <w:ind w:left="0" w:firstLine="375"/>
              <w:jc w:val="both"/>
            </w:pPr>
          </w:p>
          <w:p w:rsidRPr="00E0571B" w:rsidR="00BD184C" w:rsidP="00BD184C" w:rsidRDefault="00BD184C" w14:paraId="7920926D" w14:textId="08818E72">
            <w:pPr>
              <w:ind w:left="-22" w:firstLine="425"/>
              <w:jc w:val="both"/>
            </w:pPr>
            <w:r w:rsidRPr="00A066E4">
              <w:t>Ministru kabineta locekļi 2019.gada 10.decembrī konceptuāli vienoj</w:t>
            </w:r>
            <w:r w:rsidRPr="00A724C4" w:rsidR="004B6A3B">
              <w:t>ā</w:t>
            </w:r>
            <w:r w:rsidRPr="00620D19">
              <w:t>s, ka nekavējoties ir jāveic darbības, lai atbilst</w:t>
            </w:r>
            <w:r w:rsidRPr="00E0571B">
              <w:t xml:space="preserve">oši </w:t>
            </w:r>
            <w:r w:rsidR="00E0571B">
              <w:t xml:space="preserve">Valdības </w:t>
            </w:r>
            <w:r w:rsidRPr="00E0571B">
              <w:t xml:space="preserve">deklarācijai mainītu </w:t>
            </w:r>
            <w:r w:rsidR="00A13BD5">
              <w:t>O</w:t>
            </w:r>
            <w:r w:rsidRPr="00E0571B">
              <w:t>stas pārvaldības  modeli, dibinot jaunu valsts kontrolē esoš</w:t>
            </w:r>
            <w:r w:rsidR="00A13BD5">
              <w:t>u</w:t>
            </w:r>
            <w:r w:rsidRPr="00E0571B">
              <w:t xml:space="preserve"> akciju sabiedrību.</w:t>
            </w:r>
          </w:p>
          <w:p w:rsidRPr="005C457A" w:rsidR="00BD184C" w:rsidP="00BD184C" w:rsidRDefault="00BD184C" w14:paraId="6205D711" w14:textId="6D426C99">
            <w:pPr>
              <w:ind w:left="-22" w:firstLine="425"/>
              <w:jc w:val="both"/>
            </w:pPr>
            <w:r w:rsidRPr="00E0571B">
              <w:t xml:space="preserve">Nodibinātās akciju sabiedrības uzdevums </w:t>
            </w:r>
            <w:r w:rsidRPr="00E0571B" w:rsidR="004B6A3B">
              <w:t>ir</w:t>
            </w:r>
            <w:r w:rsidRPr="00E0571B">
              <w:t xml:space="preserve"> nodrošināt </w:t>
            </w:r>
            <w:r w:rsidR="00A13BD5">
              <w:t>Ostas</w:t>
            </w:r>
            <w:r w:rsidRPr="00E0571B">
              <w:t xml:space="preserve"> </w:t>
            </w:r>
            <w:r w:rsidRPr="00E0571B" w:rsidR="00DC2DCD">
              <w:t xml:space="preserve">teritorijas </w:t>
            </w:r>
            <w:r w:rsidRPr="00E0571B">
              <w:t>pārvaldīšanu</w:t>
            </w:r>
            <w:r w:rsidRPr="00E0571B" w:rsidR="00DC2DCD">
              <w:t xml:space="preserve"> un apsaimniekošanu.</w:t>
            </w:r>
          </w:p>
          <w:p w:rsidRPr="00A13BD5" w:rsidR="00A13BD5" w:rsidP="00BD184C" w:rsidRDefault="00A13BD5" w14:paraId="0577A852" w14:textId="77777777">
            <w:pPr>
              <w:ind w:left="-22" w:firstLine="425"/>
              <w:jc w:val="both"/>
            </w:pPr>
          </w:p>
          <w:p w:rsidR="00A13BD5" w:rsidP="00A13BD5" w:rsidRDefault="00A13BD5" w14:paraId="1DEB264A" w14:textId="01417B17">
            <w:pPr>
              <w:pStyle w:val="tv213"/>
              <w:shd w:val="clear" w:color="auto" w:fill="FFFFFF"/>
              <w:spacing w:before="0" w:beforeAutospacing="0" w:after="0" w:afterAutospacing="0" w:line="293" w:lineRule="atLeast"/>
              <w:ind w:firstLine="300"/>
              <w:jc w:val="both"/>
            </w:pPr>
            <w:r w:rsidRPr="00964B05">
              <w:t>Atbilstoši Valsts pārvaldes iekārtas likuma 88.panta pirm</w:t>
            </w:r>
            <w:r>
              <w:t xml:space="preserve">ās </w:t>
            </w:r>
            <w:r w:rsidRPr="00C528DE">
              <w:t>daļas 2. un 3.punktam</w:t>
            </w:r>
            <w:r w:rsidRPr="00964B05">
              <w:t xml:space="preserve"> publiska persona savu funkciju efektīvai izpildei var dibināt kapitālsabiedrību vai iegūt līdzdalību esošā kapitālsabiedrībā, ja publiskas personas kapitālsabiedrības darbības rezultātā tiek radītas preces vai pakalpojumi, kas ir stratēģiski svarīgi valsts vai pašvaldības administratīvās teritorijas attīstībai vai valsts drošībai</w:t>
            </w:r>
            <w:r>
              <w:t xml:space="preserve">, kā arī ja </w:t>
            </w:r>
            <w:r w:rsidRPr="00964B05">
              <w:t>tiek pārvaldīti tādi īpašumi, kas ir stratēģiski svarīgi valsts vai pašvaldības administratīvās teritorijas attīstībai vai valsts drošībai.</w:t>
            </w:r>
          </w:p>
          <w:p w:rsidR="00EC6E86" w:rsidP="00A13BD5" w:rsidRDefault="00A13BD5" w14:paraId="49FA4019" w14:textId="77777777">
            <w:pPr>
              <w:pStyle w:val="tv213"/>
              <w:shd w:val="clear" w:color="auto" w:fill="FFFFFF"/>
              <w:spacing w:before="0" w:beforeAutospacing="0" w:after="0" w:afterAutospacing="0" w:line="293" w:lineRule="atLeast"/>
              <w:ind w:firstLine="300"/>
              <w:jc w:val="both"/>
            </w:pPr>
            <w:r w:rsidRPr="00964B05">
              <w:t xml:space="preserve">Atbilstoši Likuma par ostām 4.panta trešajai un ceturtajai daļai ostas pārvalde ir ostas teritorijā esošās valsts zemes, akvatorijas, kā arī ostas kopējo hidrotehnisko būvju (molu, straumes regulēšanas dambju, viļņlaužu, krasta nostiprinājumu, kuģuceļu) valdītājs. Tādējādi kapitālsabiedrība būs pārvaldītājs stratēģiski svarīgiem valsts aktīviem. Turklāt jāņem vērā, ka ostas akvatorijas, kopējo hidrotehnisko būvju, kuģuceļu uzturēšana labā kārtībā ir stratēģiski svarīga Ostas darbības  un tranzīta kravu plūsmas nepārtrauktības nodrošināšanai, tomēr vienlaikus minētie uzdevumi prasa ievērojamus finanšu resursus. </w:t>
            </w:r>
          </w:p>
          <w:p w:rsidR="00A13BD5" w:rsidP="00A13BD5" w:rsidRDefault="00EC6E86" w14:paraId="481BDC5D" w14:textId="1205CC1E">
            <w:pPr>
              <w:pStyle w:val="tv213"/>
              <w:shd w:val="clear" w:color="auto" w:fill="FFFFFF"/>
              <w:spacing w:before="0" w:beforeAutospacing="0" w:after="0" w:afterAutospacing="0" w:line="293" w:lineRule="atLeast"/>
              <w:ind w:firstLine="300"/>
              <w:jc w:val="both"/>
            </w:pPr>
            <w:r w:rsidRPr="00EC6E86">
              <w:t>Tiks apzinātas visas Ventspils brīvostas pārvaldes saistības, t.sk. ar nomniekiem, pakalpojumu sniedzējiem, kreditoriem, investoriem, valsts un pašvaldības institūcijām, lai noteiktu saistību raksturu, apmēru, pielīgtos apgrūtinājumus u.c. Šajos konkrētajos apstākļos, kad ir noteiktas ASV OFAC sankcijas pret Ventspils brīvostas pārvaldi ir jāveic detalizēts saistību novērtējums, jo Ventspils brīvostas pārvaldei iespējams ir noslēgtas un spēkā esošas vienošanās ar juridiskajām personām, kuras ir iekļautas sankciju sarakstā. Līdz ar to vispārējas normas ietveršana normatīvajā aktā par saistību nodošanu vai pārņemšanu, šajā konkrētajā gadījumā būtu pretrunā ar šo normatīvo aktu mērķi nodalīt Ventspils ostas darbību no sankciju sarakstā esošo personu ietekmes. Ventspils brīvostas pārvaldes valdei būs uzdevums veikt pilnīgu Ventspils brīvostas pārvaldes saistību, mantas un aktīvu apzināšanu, lai piedāvātu Ministru kabinetam  un pašvaldībai priekšlikumus tālākām darbībām. Piemēram, nodot saistību, mantu vai aktīvu jaundibinātai kapitālsabiedrībai</w:t>
            </w:r>
            <w:r w:rsidR="009C63BA">
              <w:t>,</w:t>
            </w:r>
            <w:r w:rsidRPr="00EC6E86">
              <w:t xml:space="preserve"> nodot to pašvaldībai vai risināt jautājumu par noslēgtās vienošanās izbeigšanu (īpaši gadījumā, ja tiek konstatēts, ka līgum</w:t>
            </w:r>
            <w:r w:rsidR="009C63BA">
              <w:t>u</w:t>
            </w:r>
            <w:r w:rsidRPr="00EC6E86">
              <w:t xml:space="preserve">s slēgs </w:t>
            </w:r>
            <w:r w:rsidRPr="00EC6E86">
              <w:lastRenderedPageBreak/>
              <w:t>ar sankciju sarakstā esošu personu vai saistītajām personām). Šo uzdevumu izpildē būs jāiesaista Ventspils brīvostas pārvaldes valde, jaunās kapitālsabiedrības valde, kā arī valsts un pašvaldības pārstāvji.</w:t>
            </w:r>
          </w:p>
          <w:p w:rsidR="009C63BA" w:rsidP="00A13BD5" w:rsidRDefault="009C63BA" w14:paraId="03745AD1" w14:textId="694FC054">
            <w:pPr>
              <w:pStyle w:val="tv213"/>
              <w:shd w:val="clear" w:color="auto" w:fill="FFFFFF"/>
              <w:spacing w:before="0" w:beforeAutospacing="0" w:after="0" w:afterAutospacing="0" w:line="293" w:lineRule="atLeast"/>
              <w:ind w:firstLine="300"/>
              <w:jc w:val="both"/>
            </w:pPr>
            <w:r>
              <w:t xml:space="preserve">Saskaņā ar plānotajiem grozījumiem Likumā par ostām </w:t>
            </w:r>
            <w:r w:rsidRPr="009C63BA">
              <w:t>8.</w:t>
            </w:r>
            <w:r w:rsidRPr="009C63BA">
              <w:rPr>
                <w:vertAlign w:val="superscript"/>
              </w:rPr>
              <w:t>1</w:t>
            </w:r>
            <w:r w:rsidRPr="009C63BA">
              <w:t>panta otrajā daļā ietverto deleģējumu līdz 2020.gada 1.februārim tiks izdoti Ministru kabineta noteikumi par Ventspils ostas pārvaldes un VAS “Ventas osta” kompetences jom</w:t>
            </w:r>
            <w:r w:rsidR="00E80B67">
              <w:t>as</w:t>
            </w:r>
            <w:r w:rsidRPr="009C63BA">
              <w:t>, lēmumu pieņemšanas noteikumus un kārtību, kā arī finansēšanas un savstarpējo norēķinu veidu un kārtību</w:t>
            </w:r>
            <w:r>
              <w:t>, kur cita starpā varēs noteikt valsts attīstībai vai drošībai stratēģiski svarīgus īpašumus, vai pakalpojumus, kas kapitālsabiedrības darbības rezultātā tiek radīti un ir stratēģiski svarīgi valsts attīstībai vai drošībai.</w:t>
            </w:r>
          </w:p>
          <w:p w:rsidRPr="00964B05" w:rsidR="00A13BD5" w:rsidP="00A13BD5" w:rsidRDefault="00A13BD5" w14:paraId="6B5341E6" w14:textId="40C7BE4B">
            <w:pPr>
              <w:pStyle w:val="tv213"/>
              <w:shd w:val="clear" w:color="auto" w:fill="FFFFFF"/>
              <w:spacing w:before="0" w:beforeAutospacing="0" w:after="0" w:afterAutospacing="0" w:line="293" w:lineRule="atLeast"/>
              <w:ind w:firstLine="300"/>
              <w:jc w:val="both"/>
            </w:pPr>
            <w:r>
              <w:t xml:space="preserve">Ievērojot minēto, Satiksmes ministrija ir sagatavojusi Ministru kabineta rīkojuma projektu, paredzot dibināt </w:t>
            </w:r>
            <w:r w:rsidR="001B165B">
              <w:t xml:space="preserve">valsts </w:t>
            </w:r>
            <w:r>
              <w:t xml:space="preserve">akciju </w:t>
            </w:r>
            <w:r w:rsidRPr="00415A12">
              <w:t xml:space="preserve">sabiedrību </w:t>
            </w:r>
            <w:r w:rsidRPr="00415A12" w:rsidR="0090709F">
              <w:t>“</w:t>
            </w:r>
            <w:r w:rsidRPr="00415A12" w:rsidR="00415A12">
              <w:t>Ventas osta</w:t>
            </w:r>
            <w:r w:rsidRPr="00415A12" w:rsidR="0090709F">
              <w:t>”.</w:t>
            </w:r>
          </w:p>
          <w:p w:rsidRPr="00A066E4" w:rsidR="000E1074" w:rsidP="00BD184C" w:rsidRDefault="000E1074" w14:paraId="3636AEFB" w14:textId="1B60B2DB">
            <w:pPr>
              <w:ind w:left="-22" w:firstLine="425"/>
              <w:jc w:val="both"/>
            </w:pPr>
            <w:r w:rsidRPr="00A13BD5">
              <w:t xml:space="preserve">Jaundibināmās kapitālsabiedrības balsstiesīgās akcijas piederēs valstij </w:t>
            </w:r>
            <w:r w:rsidRPr="00A066E4" w:rsidR="00A94B3C">
              <w:t>un kapitālsabiedrības akcijas nedrīkst privatizēt</w:t>
            </w:r>
            <w:r w:rsidRPr="00A066E4" w:rsidR="0036484F">
              <w:t>, atsavināt, ieķīlāt un citādi apgrūtināt.</w:t>
            </w:r>
          </w:p>
          <w:p w:rsidR="005D3D2D" w:rsidP="00BD184C" w:rsidRDefault="005D3D2D" w14:paraId="2B48F49A" w14:textId="0831B490">
            <w:pPr>
              <w:ind w:firstLine="262"/>
              <w:jc w:val="both"/>
            </w:pPr>
            <w:r w:rsidRPr="00A066E4">
              <w:t>Saskaņā ar Publiskas personas kapitāla daļu un kapitālsabiedrību pārvaldības likuma 10. panta pirmās daļas 1.punktu Satiksmes ministrija tiks iecelta par kapitālsabiedrības kapitāla daļu turētāju.</w:t>
            </w:r>
          </w:p>
          <w:p w:rsidRPr="001D6F2D" w:rsidR="001D6F2D" w:rsidP="001D6F2D" w:rsidRDefault="001D6F2D" w14:paraId="7994BBBE" w14:textId="1C089B15">
            <w:pPr>
              <w:ind w:left="109" w:firstLine="283"/>
              <w:jc w:val="both"/>
              <w:rPr>
                <w:b/>
              </w:rPr>
            </w:pPr>
            <w:r w:rsidRPr="001D6F2D">
              <w:rPr>
                <w:b/>
              </w:rPr>
              <w:t xml:space="preserve">Kapitālsabiedrības pārvaldības institūcijas - padome un valde - tiks veidotas atbilstoši Publiskas personas kapitāla daļu un kapitālsabiedrību pārvaldības likuma noteikumiem, ne vēlāk kā viena gada laikā ieceļot valdes un padomes locekļus atklāta konkursa procedūrā, kas atbilst OECD noteiktajiem kapitālsabiedrību labas pārvaldības principiem. Līdz padomes un valdes iecelšanai konkursa procedūrā, kapitālsabiedrības pārvaldību nodrošinās pagaidu padome un valde. </w:t>
            </w:r>
          </w:p>
          <w:p w:rsidRPr="00A066E4" w:rsidR="001D6F2D" w:rsidP="00BD184C" w:rsidRDefault="001D6F2D" w14:paraId="75E8A87D" w14:textId="77777777">
            <w:pPr>
              <w:ind w:firstLine="262"/>
              <w:jc w:val="both"/>
            </w:pPr>
          </w:p>
          <w:p w:rsidRPr="00A13BD5" w:rsidR="00BD184C" w:rsidP="00BD184C" w:rsidRDefault="005D3D2D" w14:paraId="3C136AE7" w14:textId="337113F5">
            <w:pPr>
              <w:ind w:firstLine="262"/>
              <w:jc w:val="both"/>
            </w:pPr>
            <w:r w:rsidRPr="00A066E4">
              <w:t xml:space="preserve"> </w:t>
            </w:r>
            <w:r w:rsidRPr="00A066E4" w:rsidR="00BD184C">
              <w:t>Situācijas apraksts</w:t>
            </w:r>
            <w:r w:rsidR="00A13BD5">
              <w:t xml:space="preserve"> un rīcības izvērtējums</w:t>
            </w:r>
            <w:r w:rsidRPr="00A13BD5" w:rsidR="00BD184C">
              <w:t xml:space="preserve"> ir norādīts Satiksmes ministrijas sagatavotajā informatīvajā ziņojum</w:t>
            </w:r>
            <w:r w:rsidR="00A13BD5">
              <w:t>ā</w:t>
            </w:r>
            <w:r w:rsidRPr="00A13BD5" w:rsidR="00BD184C">
              <w:t xml:space="preserve"> “Par akciju sabiedrības </w:t>
            </w:r>
            <w:r w:rsidR="00A13BD5">
              <w:t>dibināšanu</w:t>
            </w:r>
            <w:r w:rsidRPr="00A13BD5" w:rsidR="00A13BD5">
              <w:t xml:space="preserve"> </w:t>
            </w:r>
            <w:r w:rsidRPr="00A13BD5" w:rsidR="00BD184C">
              <w:t xml:space="preserve">Ventspils ostas pārvaldīšanai”. </w:t>
            </w:r>
          </w:p>
          <w:p w:rsidR="00C97EDA" w:rsidP="00366524" w:rsidRDefault="00C97EDA" w14:paraId="76597609" w14:textId="14176B08">
            <w:pPr>
              <w:ind w:firstLine="403"/>
              <w:jc w:val="both"/>
            </w:pPr>
            <w:r w:rsidRPr="00ED1F8D">
              <w:t>Rīkojuma projekts skatāms kopā ar informatīv</w:t>
            </w:r>
            <w:r w:rsidR="00ED1F8D">
              <w:t>o</w:t>
            </w:r>
            <w:r w:rsidRPr="00ED1F8D">
              <w:t xml:space="preserve"> ziņojumu “</w:t>
            </w:r>
            <w:r w:rsidRPr="00ED1F8D" w:rsidR="003D7366">
              <w:t xml:space="preserve">Par akciju sabiedrības </w:t>
            </w:r>
            <w:r w:rsidR="00ED1F8D">
              <w:t>dibināšanu</w:t>
            </w:r>
            <w:r w:rsidRPr="00ED1F8D" w:rsidR="00ED1F8D">
              <w:t xml:space="preserve"> </w:t>
            </w:r>
            <w:r w:rsidRPr="00ED1F8D" w:rsidR="003D7366">
              <w:t>Ventspils ostas pārvaldīšanai”</w:t>
            </w:r>
            <w:r w:rsidR="00B47BD1">
              <w:t>.</w:t>
            </w:r>
            <w:r w:rsidRPr="00ED1F8D" w:rsidR="003D7366">
              <w:t xml:space="preserve"> </w:t>
            </w:r>
          </w:p>
          <w:p w:rsidRPr="00ED1F8D" w:rsidR="006E462A" w:rsidP="00366524" w:rsidRDefault="00BD16D7" w14:paraId="2AB6C5FE" w14:textId="1F876CD5">
            <w:pPr>
              <w:ind w:firstLine="403"/>
              <w:jc w:val="both"/>
            </w:pPr>
            <w:r>
              <w:t>A</w:t>
            </w:r>
            <w:r w:rsidRPr="00A066E4" w:rsidR="006E462A">
              <w:t>kcijas sabiedrības dibināšanai</w:t>
            </w:r>
            <w:r w:rsidR="006E462A">
              <w:t xml:space="preserve"> un reģistrācijai</w:t>
            </w:r>
            <w:r w:rsidRPr="00A066E4" w:rsidR="006E462A">
              <w:t xml:space="preserve"> </w:t>
            </w:r>
            <w:r w:rsidR="007D0789">
              <w:t>šobrīd</w:t>
            </w:r>
            <w:r w:rsidRPr="00A066E4" w:rsidR="006E462A">
              <w:t xml:space="preserve"> nepieciešami finanšu līdzekļi līdz</w:t>
            </w:r>
            <w:r w:rsidR="006E462A">
              <w:t xml:space="preserve"> 35 600</w:t>
            </w:r>
            <w:r w:rsidRPr="00A066E4" w:rsidR="006E462A">
              <w:t xml:space="preserve"> </w:t>
            </w:r>
            <w:r w:rsidRPr="00ED1F8D" w:rsidR="006E462A">
              <w:t>euro</w:t>
            </w:r>
            <w:r w:rsidR="006E462A">
              <w:t xml:space="preserve">. </w:t>
            </w:r>
            <w:r>
              <w:t>A</w:t>
            </w:r>
            <w:r w:rsidRPr="00A066E4" w:rsidR="006E462A">
              <w:t>kcij</w:t>
            </w:r>
            <w:r w:rsidR="00035DBF">
              <w:t>u</w:t>
            </w:r>
            <w:r w:rsidRPr="00A066E4" w:rsidR="006E462A">
              <w:t xml:space="preserve"> sabiedrības</w:t>
            </w:r>
            <w:r w:rsidR="006E462A">
              <w:t xml:space="preserve"> “Ventspils osta”  pamatkapitālā tiks ieguldīti 35 000 euro, bet ar </w:t>
            </w:r>
            <w:r w:rsidRPr="00A066E4" w:rsidR="006E462A">
              <w:t xml:space="preserve">kapitālsabiedrības reģistrāciju </w:t>
            </w:r>
            <w:r w:rsidR="006E462A">
              <w:t xml:space="preserve">saistītās izmaksas sastādīs  </w:t>
            </w:r>
            <w:r w:rsidRPr="00A066E4" w:rsidR="006E462A">
              <w:t xml:space="preserve">apmēram </w:t>
            </w:r>
            <w:r w:rsidR="006E462A">
              <w:t>6</w:t>
            </w:r>
            <w:r w:rsidRPr="00A066E4" w:rsidR="006E462A">
              <w:t>00 euro</w:t>
            </w:r>
            <w:r w:rsidR="006E462A">
              <w:t>.</w:t>
            </w:r>
            <w:r w:rsidR="00035DBF">
              <w:t xml:space="preserve"> Cits papildus finansējums un izmaksas  saistībā ar</w:t>
            </w:r>
            <w:r w:rsidR="001B165B">
              <w:t xml:space="preserve"> valsts </w:t>
            </w:r>
            <w:r w:rsidR="00035DBF">
              <w:t xml:space="preserve"> </w:t>
            </w:r>
            <w:r w:rsidRPr="00A066E4" w:rsidR="00035DBF">
              <w:t>akcij</w:t>
            </w:r>
            <w:r w:rsidR="00035DBF">
              <w:t>u</w:t>
            </w:r>
            <w:r w:rsidRPr="00A066E4" w:rsidR="00035DBF">
              <w:t xml:space="preserve"> sabiedrības</w:t>
            </w:r>
            <w:r w:rsidR="00035DBF">
              <w:t xml:space="preserve"> “Vent</w:t>
            </w:r>
            <w:r w:rsidR="009F5D9A">
              <w:t>as</w:t>
            </w:r>
            <w:r w:rsidR="00035DBF">
              <w:t xml:space="preserve"> osta” uzņēmuma darbību  nav plānotas. </w:t>
            </w:r>
          </w:p>
          <w:p w:rsidRPr="00A066E4" w:rsidR="00B159D7" w:rsidP="00621F6A" w:rsidRDefault="00B159D7" w14:paraId="3DA37B46" w14:textId="4C8DA445">
            <w:pPr>
              <w:jc w:val="both"/>
            </w:pPr>
          </w:p>
        </w:tc>
      </w:tr>
      <w:tr w:rsidRPr="009D2D72" w:rsidR="005865CF" w:rsidTr="00BC5A90" w14:paraId="01394C9C" w14:textId="77777777">
        <w:tc>
          <w:tcPr>
            <w:tcW w:w="132" w:type="pct"/>
            <w:hideMark/>
          </w:tcPr>
          <w:p w:rsidRPr="009D2D72" w:rsidR="005865CF" w:rsidP="005865CF" w:rsidRDefault="005865CF" w14:paraId="426D5BDB" w14:textId="77777777">
            <w:pPr>
              <w:jc w:val="center"/>
              <w:rPr>
                <w:color w:val="0D0D0D" w:themeColor="text1" w:themeTint="F2"/>
              </w:rPr>
            </w:pPr>
            <w:r w:rsidRPr="009D2D72">
              <w:rPr>
                <w:color w:val="0D0D0D" w:themeColor="text1" w:themeTint="F2"/>
              </w:rPr>
              <w:lastRenderedPageBreak/>
              <w:t>3.</w:t>
            </w:r>
          </w:p>
        </w:tc>
        <w:tc>
          <w:tcPr>
            <w:tcW w:w="1508" w:type="pct"/>
            <w:hideMark/>
          </w:tcPr>
          <w:p w:rsidRPr="009D2D72" w:rsidR="005865CF" w:rsidP="005865CF" w:rsidRDefault="005865CF" w14:paraId="7869B36D" w14:textId="77777777">
            <w:pPr>
              <w:rPr>
                <w:color w:val="0D0D0D" w:themeColor="text1" w:themeTint="F2"/>
              </w:rPr>
            </w:pPr>
            <w:r w:rsidRPr="009D2D72">
              <w:rPr>
                <w:color w:val="0D0D0D" w:themeColor="text1" w:themeTint="F2"/>
              </w:rPr>
              <w:t>Projekta izstrādē iesaistītās institūcijas un publiskas personas kapitālsabiedrības</w:t>
            </w:r>
          </w:p>
        </w:tc>
        <w:tc>
          <w:tcPr>
            <w:tcW w:w="3360" w:type="pct"/>
          </w:tcPr>
          <w:p w:rsidR="005865CF" w:rsidP="005865CF" w:rsidRDefault="00D170C1" w14:paraId="3DEB68F8" w14:textId="77777777">
            <w:pPr>
              <w:jc w:val="both"/>
              <w:rPr>
                <w:color w:val="0D0D0D" w:themeColor="text1" w:themeTint="F2"/>
              </w:rPr>
            </w:pPr>
            <w:r w:rsidRPr="00D170C1">
              <w:rPr>
                <w:color w:val="0D0D0D" w:themeColor="text1" w:themeTint="F2"/>
              </w:rPr>
              <w:t>Satiksmes ministrija</w:t>
            </w:r>
            <w:r w:rsidR="00BC5A90">
              <w:rPr>
                <w:color w:val="0D0D0D" w:themeColor="text1" w:themeTint="F2"/>
              </w:rPr>
              <w:t>.</w:t>
            </w:r>
          </w:p>
          <w:p w:rsidR="0056170A" w:rsidP="00AE77CE" w:rsidRDefault="00D36EDB" w14:paraId="3742F922" w14:textId="77777777">
            <w:pPr>
              <w:jc w:val="both"/>
              <w:rPr>
                <w:color w:val="0D0D0D" w:themeColor="text1" w:themeTint="F2"/>
              </w:rPr>
            </w:pPr>
            <w:r>
              <w:rPr>
                <w:color w:val="0D0D0D" w:themeColor="text1" w:themeTint="F2"/>
              </w:rPr>
              <w:t xml:space="preserve">Lai nodrošinātu Ventspils brīvostas nepārtrauktu darbību </w:t>
            </w:r>
            <w:r w:rsidR="00D73BAF">
              <w:rPr>
                <w:color w:val="0D0D0D" w:themeColor="text1" w:themeTint="F2"/>
              </w:rPr>
              <w:t xml:space="preserve"> un mazinātu sankciju ietekmi uz Latvijas tranzīta sistēmu un </w:t>
            </w:r>
            <w:r w:rsidR="00D73BAF">
              <w:rPr>
                <w:color w:val="0D0D0D" w:themeColor="text1" w:themeTint="F2"/>
              </w:rPr>
              <w:lastRenderedPageBreak/>
              <w:t>tautsaimniecību kopumā</w:t>
            </w:r>
            <w:r>
              <w:rPr>
                <w:color w:val="0D0D0D" w:themeColor="text1" w:themeTint="F2"/>
              </w:rPr>
              <w:t xml:space="preserve"> ar </w:t>
            </w:r>
            <w:r w:rsidR="0056170A">
              <w:rPr>
                <w:color w:val="0D0D0D" w:themeColor="text1" w:themeTint="F2"/>
              </w:rPr>
              <w:t xml:space="preserve"> </w:t>
            </w:r>
            <w:r>
              <w:rPr>
                <w:color w:val="0D0D0D" w:themeColor="text1" w:themeTint="F2"/>
              </w:rPr>
              <w:t xml:space="preserve">12.12.2019. </w:t>
            </w:r>
            <w:r w:rsidR="0056170A">
              <w:rPr>
                <w:color w:val="0D0D0D" w:themeColor="text1" w:themeTint="F2"/>
              </w:rPr>
              <w:t xml:space="preserve">Ministru prezidenta rīkojumu </w:t>
            </w:r>
            <w:r>
              <w:rPr>
                <w:color w:val="0D0D0D" w:themeColor="text1" w:themeTint="F2"/>
              </w:rPr>
              <w:t xml:space="preserve">Nr.347 “Par darba grupu” </w:t>
            </w:r>
            <w:r w:rsidR="0056170A">
              <w:rPr>
                <w:color w:val="0D0D0D" w:themeColor="text1" w:themeTint="F2"/>
              </w:rPr>
              <w:t>ir izveidota darba grupa, kuras sastāvā</w:t>
            </w:r>
            <w:r w:rsidR="00BB2DDD">
              <w:rPr>
                <w:color w:val="0D0D0D" w:themeColor="text1" w:themeTint="F2"/>
              </w:rPr>
              <w:t xml:space="preserve"> ir satiksmes ministrs, Valsts kases pārvaldnieks, tieslietu ministrs, zemkopības ministrs, Latvijas Bankas prezidents, ekonomikas ministrs, Ministru prezidenta biroja vadītājs, Finanšu kapitāla un tirgus komisijas priekšsēdētāja, vides aizsardzības un reģionālās attīstības ministrs, finanšu ministrs un ārlietu ministrs. </w:t>
            </w:r>
          </w:p>
          <w:p w:rsidRPr="009D2D72" w:rsidR="003A0705" w:rsidP="00AE77CE" w:rsidRDefault="003A0705" w14:paraId="6FFABD33" w14:textId="56C0A33B">
            <w:pPr>
              <w:jc w:val="both"/>
              <w:rPr>
                <w:color w:val="0D0D0D" w:themeColor="text1" w:themeTint="F2"/>
              </w:rPr>
            </w:pPr>
          </w:p>
        </w:tc>
      </w:tr>
      <w:tr w:rsidRPr="009D2D72" w:rsidR="005865CF" w:rsidTr="00BC5A90" w14:paraId="45D441AE" w14:textId="77777777">
        <w:tc>
          <w:tcPr>
            <w:tcW w:w="132" w:type="pct"/>
            <w:hideMark/>
          </w:tcPr>
          <w:p w:rsidRPr="009D2D72" w:rsidR="005865CF" w:rsidP="005865CF" w:rsidRDefault="005865CF" w14:paraId="0E3CB28C" w14:textId="77777777">
            <w:pPr>
              <w:jc w:val="center"/>
              <w:rPr>
                <w:color w:val="0D0D0D" w:themeColor="text1" w:themeTint="F2"/>
              </w:rPr>
            </w:pPr>
            <w:r w:rsidRPr="009D2D72">
              <w:rPr>
                <w:color w:val="0D0D0D" w:themeColor="text1" w:themeTint="F2"/>
              </w:rPr>
              <w:lastRenderedPageBreak/>
              <w:t>4.</w:t>
            </w:r>
          </w:p>
        </w:tc>
        <w:tc>
          <w:tcPr>
            <w:tcW w:w="1508" w:type="pct"/>
            <w:hideMark/>
          </w:tcPr>
          <w:p w:rsidRPr="009D2D72" w:rsidR="005865CF" w:rsidP="005865CF" w:rsidRDefault="005865CF" w14:paraId="499A6F57" w14:textId="77777777">
            <w:pPr>
              <w:rPr>
                <w:color w:val="0D0D0D" w:themeColor="text1" w:themeTint="F2"/>
              </w:rPr>
            </w:pPr>
            <w:r w:rsidRPr="009D2D72">
              <w:rPr>
                <w:color w:val="0D0D0D" w:themeColor="text1" w:themeTint="F2"/>
              </w:rPr>
              <w:t>Cita informācija</w:t>
            </w:r>
          </w:p>
        </w:tc>
        <w:tc>
          <w:tcPr>
            <w:tcW w:w="3360" w:type="pct"/>
          </w:tcPr>
          <w:p w:rsidRPr="009D2D72" w:rsidR="005865CF" w:rsidP="00D170C1" w:rsidRDefault="00BD184C" w14:paraId="698F9F04" w14:textId="6032C627">
            <w:pPr>
              <w:ind w:right="100"/>
              <w:jc w:val="both"/>
              <w:rPr>
                <w:color w:val="0D0D0D" w:themeColor="text1" w:themeTint="F2"/>
              </w:rPr>
            </w:pPr>
            <w:r>
              <w:rPr>
                <w:color w:val="0D0D0D" w:themeColor="text1" w:themeTint="F2"/>
              </w:rPr>
              <w:t>Nav.</w:t>
            </w:r>
          </w:p>
        </w:tc>
      </w:tr>
    </w:tbl>
    <w:p w:rsidR="00160FEF" w:rsidP="00C57E86" w:rsidRDefault="00160FEF" w14:paraId="27CCCF06" w14:textId="1378173F">
      <w:pPr>
        <w:pStyle w:val="Title"/>
        <w:ind w:firstLine="539"/>
        <w:jc w:val="both"/>
        <w:rPr>
          <w:color w:val="0D0D0D" w:themeColor="text1" w:themeTint="F2"/>
          <w:sz w:val="24"/>
          <w:szCs w:val="24"/>
        </w:rPr>
      </w:pPr>
    </w:p>
    <w:p w:rsidRPr="009D2D72" w:rsidR="006959D9" w:rsidP="00C57E86" w:rsidRDefault="006959D9" w14:paraId="012088F5"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865761" w:rsidTr="009B74E7" w14:paraId="5A6D8B8B" w14:textId="77777777">
        <w:trPr>
          <w:cantSplit/>
        </w:trPr>
        <w:tc>
          <w:tcPr>
            <w:tcW w:w="5000" w:type="pct"/>
            <w:gridSpan w:val="3"/>
            <w:vAlign w:val="center"/>
            <w:hideMark/>
          </w:tcPr>
          <w:p w:rsidRPr="009D2D72" w:rsidR="00865761" w:rsidP="00C57E86" w:rsidRDefault="00865761" w14:paraId="28FBAECC" w14:textId="77777777">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Pr="009D2D72" w:rsidR="00865761" w:rsidTr="009B74E7" w14:paraId="4E8331F1" w14:textId="77777777">
        <w:tc>
          <w:tcPr>
            <w:tcW w:w="311" w:type="pct"/>
            <w:hideMark/>
          </w:tcPr>
          <w:p w:rsidRPr="009D2D72" w:rsidR="00865761" w:rsidP="00C57E86" w:rsidRDefault="00865761" w14:paraId="378F3F9E" w14:textId="77777777">
            <w:pPr>
              <w:jc w:val="center"/>
              <w:rPr>
                <w:color w:val="0D0D0D" w:themeColor="text1" w:themeTint="F2"/>
              </w:rPr>
            </w:pPr>
            <w:r w:rsidRPr="009D2D72">
              <w:rPr>
                <w:color w:val="0D0D0D" w:themeColor="text1" w:themeTint="F2"/>
              </w:rPr>
              <w:t>1.</w:t>
            </w:r>
          </w:p>
        </w:tc>
        <w:tc>
          <w:tcPr>
            <w:tcW w:w="1479" w:type="pct"/>
            <w:hideMark/>
          </w:tcPr>
          <w:p w:rsidRPr="009D2D72" w:rsidR="00865761" w:rsidP="00C57E86" w:rsidRDefault="00865761" w14:paraId="0D886E5D" w14:textId="77777777">
            <w:pPr>
              <w:rPr>
                <w:color w:val="0D0D0D" w:themeColor="text1" w:themeTint="F2"/>
              </w:rPr>
            </w:pPr>
            <w:r w:rsidRPr="009D2D72">
              <w:rPr>
                <w:color w:val="0D0D0D" w:themeColor="text1" w:themeTint="F2"/>
              </w:rPr>
              <w:t>Sabiedrības mērķgrupas, kuras tiesiskais regulējums ietekmē vai varētu ietekmēt</w:t>
            </w:r>
          </w:p>
        </w:tc>
        <w:tc>
          <w:tcPr>
            <w:tcW w:w="3210" w:type="pct"/>
          </w:tcPr>
          <w:p w:rsidRPr="009D2D72" w:rsidR="00865761" w:rsidP="00D170C1" w:rsidRDefault="006B3B31" w14:paraId="5202BFC1" w14:textId="60794352">
            <w:pPr>
              <w:ind w:left="118" w:right="100"/>
              <w:jc w:val="both"/>
              <w:rPr>
                <w:color w:val="0D0D0D" w:themeColor="text1" w:themeTint="F2"/>
              </w:rPr>
            </w:pPr>
            <w:r>
              <w:rPr>
                <w:color w:val="0D0D0D" w:themeColor="text1" w:themeTint="F2"/>
              </w:rPr>
              <w:t xml:space="preserve">Publiskās un privātās personas, kas izmanto ostas pakalpojumus. </w:t>
            </w:r>
            <w:r w:rsidR="0056170A">
              <w:rPr>
                <w:color w:val="0D0D0D" w:themeColor="text1" w:themeTint="F2"/>
              </w:rPr>
              <w:t xml:space="preserve">Privātpersonas, kas nodarbinātas Ostā un </w:t>
            </w:r>
            <w:r w:rsidRPr="00D36EDB" w:rsidR="0056170A">
              <w:rPr>
                <w:color w:val="0D0D0D" w:themeColor="text1" w:themeTint="F2"/>
              </w:rPr>
              <w:t>tajā esošajos uzņēmumos.</w:t>
            </w:r>
            <w:r w:rsidR="0056170A">
              <w:rPr>
                <w:color w:val="0D0D0D" w:themeColor="text1" w:themeTint="F2"/>
              </w:rPr>
              <w:t xml:space="preserve"> </w:t>
            </w:r>
          </w:p>
        </w:tc>
      </w:tr>
      <w:tr w:rsidRPr="009D2D72" w:rsidR="00865761" w:rsidTr="009B74E7" w14:paraId="18A36BAC" w14:textId="77777777">
        <w:tc>
          <w:tcPr>
            <w:tcW w:w="311" w:type="pct"/>
            <w:hideMark/>
          </w:tcPr>
          <w:p w:rsidRPr="009D2D72" w:rsidR="00865761" w:rsidP="00C57E86" w:rsidRDefault="00865761" w14:paraId="1A1FDACC" w14:textId="77777777">
            <w:pPr>
              <w:jc w:val="center"/>
              <w:rPr>
                <w:color w:val="0D0D0D" w:themeColor="text1" w:themeTint="F2"/>
              </w:rPr>
            </w:pPr>
            <w:r w:rsidRPr="009D2D72">
              <w:rPr>
                <w:color w:val="0D0D0D" w:themeColor="text1" w:themeTint="F2"/>
              </w:rPr>
              <w:t>2.</w:t>
            </w:r>
          </w:p>
        </w:tc>
        <w:tc>
          <w:tcPr>
            <w:tcW w:w="1479" w:type="pct"/>
            <w:hideMark/>
          </w:tcPr>
          <w:p w:rsidRPr="009D2D72" w:rsidR="00865761" w:rsidP="00C57E86" w:rsidRDefault="00865761" w14:paraId="53197B55" w14:textId="77777777">
            <w:pPr>
              <w:rPr>
                <w:color w:val="0D0D0D" w:themeColor="text1" w:themeTint="F2"/>
              </w:rPr>
            </w:pPr>
            <w:r w:rsidRPr="009D2D72">
              <w:rPr>
                <w:color w:val="0D0D0D" w:themeColor="text1" w:themeTint="F2"/>
              </w:rPr>
              <w:t>Tiesiskā regulējuma ietekme uz tautsaimniecību un administratīvo slogu</w:t>
            </w:r>
          </w:p>
        </w:tc>
        <w:tc>
          <w:tcPr>
            <w:tcW w:w="3210" w:type="pct"/>
          </w:tcPr>
          <w:p w:rsidR="00865761" w:rsidP="0056170A" w:rsidRDefault="0056170A" w14:paraId="2587687F" w14:textId="77777777">
            <w:pPr>
              <w:ind w:left="118" w:right="100"/>
              <w:jc w:val="both"/>
              <w:rPr>
                <w:color w:val="0D0D0D" w:themeColor="text1" w:themeTint="F2"/>
              </w:rPr>
            </w:pPr>
            <w:r>
              <w:rPr>
                <w:color w:val="0D0D0D" w:themeColor="text1" w:themeTint="F2"/>
              </w:rPr>
              <w:t>Paredzams, ka, izveidojot valsts kapitālsabiedrību, kura turpmāk veiks sankciju subjekta – Ventspils brīvostas pārvaldes – funkcijas, paredzams, ka regulējuma ietekmē tiks samazināta sankciju ietekme uz Ostas darbību, tranzīta sektoru un ekonomiku kopumā.</w:t>
            </w:r>
            <w:r w:rsidRPr="0056170A">
              <w:rPr>
                <w:color w:val="0D0D0D" w:themeColor="text1" w:themeTint="F2"/>
              </w:rPr>
              <w:t xml:space="preserve"> </w:t>
            </w:r>
          </w:p>
          <w:p w:rsidRPr="0056170A" w:rsidR="003A0705" w:rsidP="0056170A" w:rsidRDefault="003A0705" w14:paraId="12C7DE2F" w14:textId="4A367085">
            <w:pPr>
              <w:ind w:left="118" w:right="100"/>
              <w:jc w:val="both"/>
              <w:rPr>
                <w:color w:val="0D0D0D" w:themeColor="text1" w:themeTint="F2"/>
                <w:highlight w:val="yellow"/>
              </w:rPr>
            </w:pPr>
          </w:p>
        </w:tc>
      </w:tr>
      <w:tr w:rsidRPr="009D2D72" w:rsidR="00865761" w:rsidTr="009B74E7" w14:paraId="00FE0CDF" w14:textId="77777777">
        <w:tc>
          <w:tcPr>
            <w:tcW w:w="311" w:type="pct"/>
            <w:hideMark/>
          </w:tcPr>
          <w:p w:rsidRPr="009D2D72" w:rsidR="00865761" w:rsidP="00C57E86" w:rsidRDefault="00865761" w14:paraId="50665A9C" w14:textId="77777777">
            <w:pPr>
              <w:jc w:val="center"/>
              <w:rPr>
                <w:color w:val="0D0D0D" w:themeColor="text1" w:themeTint="F2"/>
              </w:rPr>
            </w:pPr>
            <w:r w:rsidRPr="009D2D72">
              <w:rPr>
                <w:color w:val="0D0D0D" w:themeColor="text1" w:themeTint="F2"/>
              </w:rPr>
              <w:t>3.</w:t>
            </w:r>
          </w:p>
        </w:tc>
        <w:tc>
          <w:tcPr>
            <w:tcW w:w="1479" w:type="pct"/>
            <w:hideMark/>
          </w:tcPr>
          <w:p w:rsidRPr="009D2D72" w:rsidR="00865761" w:rsidP="00C57E86" w:rsidRDefault="00865761" w14:paraId="01AEE433" w14:textId="77777777">
            <w:pPr>
              <w:rPr>
                <w:color w:val="0D0D0D" w:themeColor="text1" w:themeTint="F2"/>
              </w:rPr>
            </w:pPr>
            <w:r w:rsidRPr="009D2D72">
              <w:rPr>
                <w:color w:val="0D0D0D" w:themeColor="text1" w:themeTint="F2"/>
              </w:rPr>
              <w:t>Administratīvo izmaksu monetārs novērtējums</w:t>
            </w:r>
          </w:p>
        </w:tc>
        <w:tc>
          <w:tcPr>
            <w:tcW w:w="3210" w:type="pct"/>
          </w:tcPr>
          <w:p w:rsidRPr="009D2D72" w:rsidR="00865761" w:rsidP="00B93AE6" w:rsidRDefault="00865761" w14:paraId="2D751D9E" w14:textId="59A572B4">
            <w:pPr>
              <w:ind w:left="118" w:right="100"/>
              <w:jc w:val="both"/>
              <w:rPr>
                <w:color w:val="0D0D0D" w:themeColor="text1" w:themeTint="F2"/>
              </w:rPr>
            </w:pPr>
            <w:r w:rsidRPr="009D2D72">
              <w:rPr>
                <w:color w:val="0D0D0D" w:themeColor="text1" w:themeTint="F2"/>
              </w:rPr>
              <w:t>Projekts šo jomu neskar.</w:t>
            </w:r>
          </w:p>
        </w:tc>
      </w:tr>
      <w:tr w:rsidRPr="009D2D72" w:rsidR="00865761" w:rsidTr="009B74E7" w14:paraId="525FAA4A" w14:textId="77777777">
        <w:tc>
          <w:tcPr>
            <w:tcW w:w="311" w:type="pct"/>
            <w:hideMark/>
          </w:tcPr>
          <w:p w:rsidRPr="009D2D72" w:rsidR="00865761" w:rsidP="00C57E86" w:rsidRDefault="00865761" w14:paraId="2D4082A8" w14:textId="77777777">
            <w:pPr>
              <w:jc w:val="center"/>
              <w:rPr>
                <w:color w:val="0D0D0D" w:themeColor="text1" w:themeTint="F2"/>
              </w:rPr>
            </w:pPr>
            <w:r w:rsidRPr="009D2D72">
              <w:rPr>
                <w:color w:val="0D0D0D" w:themeColor="text1" w:themeTint="F2"/>
              </w:rPr>
              <w:t>4.</w:t>
            </w:r>
          </w:p>
        </w:tc>
        <w:tc>
          <w:tcPr>
            <w:tcW w:w="1479" w:type="pct"/>
            <w:hideMark/>
          </w:tcPr>
          <w:p w:rsidRPr="009D2D72" w:rsidR="00865761" w:rsidP="00C57E86" w:rsidRDefault="00865761" w14:paraId="1EE130FD" w14:textId="77777777">
            <w:pPr>
              <w:rPr>
                <w:color w:val="0D0D0D" w:themeColor="text1" w:themeTint="F2"/>
              </w:rPr>
            </w:pPr>
            <w:r w:rsidRPr="009D2D72">
              <w:rPr>
                <w:color w:val="0D0D0D" w:themeColor="text1" w:themeTint="F2"/>
              </w:rPr>
              <w:t>Atbilstības izmaksu monetārs novērtējums</w:t>
            </w:r>
          </w:p>
        </w:tc>
        <w:tc>
          <w:tcPr>
            <w:tcW w:w="3210" w:type="pct"/>
          </w:tcPr>
          <w:p w:rsidRPr="009D2D72" w:rsidR="00865761" w:rsidP="00B93AE6" w:rsidRDefault="00865761" w14:paraId="4021239A" w14:textId="77777777">
            <w:pPr>
              <w:ind w:left="118" w:right="100"/>
              <w:jc w:val="both"/>
              <w:rPr>
                <w:color w:val="0D0D0D" w:themeColor="text1" w:themeTint="F2"/>
              </w:rPr>
            </w:pPr>
            <w:r w:rsidRPr="009D2D72">
              <w:rPr>
                <w:color w:val="0D0D0D" w:themeColor="text1" w:themeTint="F2"/>
              </w:rPr>
              <w:t>Projekts šo jomu neskar.</w:t>
            </w:r>
          </w:p>
        </w:tc>
      </w:tr>
      <w:tr w:rsidRPr="009D2D72" w:rsidR="00865761" w:rsidTr="009B74E7" w14:paraId="5A2AB384" w14:textId="77777777">
        <w:tc>
          <w:tcPr>
            <w:tcW w:w="311" w:type="pct"/>
            <w:hideMark/>
          </w:tcPr>
          <w:p w:rsidRPr="009D2D72" w:rsidR="00865761" w:rsidP="00C57E86" w:rsidRDefault="00865761" w14:paraId="3B14CB39" w14:textId="77777777">
            <w:pPr>
              <w:jc w:val="center"/>
              <w:rPr>
                <w:color w:val="0D0D0D" w:themeColor="text1" w:themeTint="F2"/>
              </w:rPr>
            </w:pPr>
            <w:r w:rsidRPr="009D2D72">
              <w:rPr>
                <w:color w:val="0D0D0D" w:themeColor="text1" w:themeTint="F2"/>
              </w:rPr>
              <w:t>5.</w:t>
            </w:r>
          </w:p>
        </w:tc>
        <w:tc>
          <w:tcPr>
            <w:tcW w:w="1479" w:type="pct"/>
            <w:hideMark/>
          </w:tcPr>
          <w:p w:rsidRPr="009D2D72" w:rsidR="00865761" w:rsidP="00C57E86" w:rsidRDefault="00865761" w14:paraId="27C52A97" w14:textId="77777777">
            <w:pPr>
              <w:rPr>
                <w:color w:val="0D0D0D" w:themeColor="text1" w:themeTint="F2"/>
              </w:rPr>
            </w:pPr>
            <w:r w:rsidRPr="009D2D72">
              <w:rPr>
                <w:color w:val="0D0D0D" w:themeColor="text1" w:themeTint="F2"/>
              </w:rPr>
              <w:t>Cita informācija</w:t>
            </w:r>
          </w:p>
        </w:tc>
        <w:tc>
          <w:tcPr>
            <w:tcW w:w="3210" w:type="pct"/>
            <w:hideMark/>
          </w:tcPr>
          <w:p w:rsidR="00865761" w:rsidP="00B93AE6" w:rsidRDefault="00865761" w14:paraId="266D4D2D" w14:textId="77777777">
            <w:pPr>
              <w:ind w:left="118" w:right="100"/>
              <w:jc w:val="both"/>
              <w:rPr>
                <w:color w:val="0D0D0D" w:themeColor="text1" w:themeTint="F2"/>
              </w:rPr>
            </w:pPr>
            <w:r w:rsidRPr="009D2D72">
              <w:rPr>
                <w:color w:val="0D0D0D" w:themeColor="text1" w:themeTint="F2"/>
              </w:rPr>
              <w:t>Nav.</w:t>
            </w:r>
          </w:p>
          <w:p w:rsidRPr="009D2D72" w:rsidR="003A0705" w:rsidP="00B93AE6" w:rsidRDefault="003A0705" w14:paraId="51FFB760" w14:textId="7CE2DE0B">
            <w:pPr>
              <w:ind w:left="118" w:right="100"/>
              <w:jc w:val="both"/>
              <w:rPr>
                <w:color w:val="0D0D0D" w:themeColor="text1" w:themeTint="F2"/>
              </w:rPr>
            </w:pPr>
          </w:p>
        </w:tc>
      </w:tr>
    </w:tbl>
    <w:p w:rsidR="006959D9" w:rsidP="00C57E86" w:rsidRDefault="006959D9" w14:paraId="30F827E7" w14:textId="0EF7AAF4"/>
    <w:p w:rsidRPr="00AA33A6" w:rsidR="00AA33A6" w:rsidP="00AA33A6" w:rsidRDefault="00AA33A6" w14:paraId="229232D2" w14:textId="77777777">
      <w:r w:rsidRPr="00AA33A6">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949"/>
        <w:gridCol w:w="1070"/>
        <w:gridCol w:w="1084"/>
        <w:gridCol w:w="721"/>
        <w:gridCol w:w="1053"/>
        <w:gridCol w:w="912"/>
        <w:gridCol w:w="1053"/>
        <w:gridCol w:w="1213"/>
      </w:tblGrid>
      <w:tr w:rsidRPr="00AA33A6" w:rsidR="00AA33A6" w:rsidTr="00AA33A6" w14:paraId="6A0EB497" w14:textId="77777777">
        <w:trPr>
          <w:tblCellSpacing w:w="15" w:type="dxa"/>
        </w:trPr>
        <w:tc>
          <w:tcPr>
            <w:tcW w:w="8995" w:type="dxa"/>
            <w:gridSpan w:val="8"/>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DB45431" w14:textId="77777777">
            <w:pPr>
              <w:jc w:val="center"/>
              <w:rPr>
                <w:b/>
                <w:bCs/>
              </w:rPr>
            </w:pPr>
            <w:r w:rsidRPr="00AA33A6">
              <w:rPr>
                <w:b/>
                <w:bCs/>
              </w:rPr>
              <w:t>III. Tiesību akta projekta ietekme uz valsts budžetu un pašvaldību budžetiem</w:t>
            </w:r>
          </w:p>
        </w:tc>
      </w:tr>
      <w:tr w:rsidRPr="00AA33A6" w:rsidR="00AA33A6" w:rsidTr="00AA33A6" w14:paraId="2B1FCE6D" w14:textId="77777777">
        <w:trPr>
          <w:tblCellSpacing w:w="15" w:type="dxa"/>
        </w:trPr>
        <w:tc>
          <w:tcPr>
            <w:tcW w:w="1904" w:type="dxa"/>
            <w:vMerge w:val="restart"/>
            <w:tcBorders>
              <w:top w:val="outset" w:color="auto" w:sz="6" w:space="0"/>
              <w:left w:val="outset" w:color="auto" w:sz="6" w:space="0"/>
              <w:bottom w:val="outset" w:color="auto" w:sz="6" w:space="0"/>
              <w:right w:val="outset" w:color="auto" w:sz="6" w:space="0"/>
            </w:tcBorders>
            <w:vAlign w:val="center"/>
            <w:hideMark/>
          </w:tcPr>
          <w:p w:rsidRPr="00AA33A6" w:rsidR="00AA33A6" w:rsidP="003F2172" w:rsidRDefault="00AA33A6" w14:paraId="5132E80F" w14:textId="77777777">
            <w:pPr>
              <w:jc w:val="center"/>
            </w:pPr>
            <w:r w:rsidRPr="00AA33A6">
              <w:t>Rādītāji</w:t>
            </w:r>
          </w:p>
        </w:tc>
        <w:tc>
          <w:tcPr>
            <w:tcW w:w="2124"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AA33A6" w:rsidR="00AA33A6" w:rsidP="003F2172" w:rsidRDefault="00AA33A6" w14:paraId="28FD742C" w14:textId="654B6FE5">
            <w:pPr>
              <w:jc w:val="center"/>
            </w:pPr>
            <w:r>
              <w:t>2019.</w:t>
            </w:r>
            <w:r w:rsidRPr="00AA33A6">
              <w:t>gads</w:t>
            </w:r>
          </w:p>
        </w:tc>
        <w:tc>
          <w:tcPr>
            <w:tcW w:w="4907" w:type="dxa"/>
            <w:gridSpan w:val="5"/>
            <w:tcBorders>
              <w:top w:val="outset" w:color="auto" w:sz="6" w:space="0"/>
              <w:left w:val="outset" w:color="auto" w:sz="6" w:space="0"/>
              <w:bottom w:val="outset" w:color="auto" w:sz="6" w:space="0"/>
              <w:right w:val="outset" w:color="auto" w:sz="6" w:space="0"/>
            </w:tcBorders>
            <w:vAlign w:val="center"/>
            <w:hideMark/>
          </w:tcPr>
          <w:p w:rsidRPr="00AA33A6" w:rsidR="00AA33A6" w:rsidP="003F2172" w:rsidRDefault="00AA33A6" w14:paraId="1E5E84F8" w14:textId="77777777">
            <w:pPr>
              <w:jc w:val="center"/>
            </w:pPr>
            <w:r w:rsidRPr="00AA33A6">
              <w:t>Turpmākie trīs gadi (</w:t>
            </w:r>
            <w:r w:rsidRPr="00AA33A6">
              <w:rPr>
                <w:i/>
                <w:iCs/>
              </w:rPr>
              <w:t>euro</w:t>
            </w:r>
            <w:r w:rsidRPr="00AA33A6">
              <w:t>)</w:t>
            </w:r>
          </w:p>
        </w:tc>
      </w:tr>
      <w:tr w:rsidRPr="00AA33A6" w:rsidR="00AA33A6" w:rsidTr="00AA33A6" w14:paraId="46F3E938" w14:textId="77777777">
        <w:trPr>
          <w:tblCellSpacing w:w="15" w:type="dxa"/>
        </w:trPr>
        <w:tc>
          <w:tcPr>
            <w:tcW w:w="1904"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E3EE524" w14:textId="77777777"/>
        </w:tc>
        <w:tc>
          <w:tcPr>
            <w:tcW w:w="2124" w:type="dxa"/>
            <w:gridSpan w:val="2"/>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DE98319" w14:textId="77777777"/>
        </w:tc>
        <w:tc>
          <w:tcPr>
            <w:tcW w:w="1744" w:type="dxa"/>
            <w:gridSpan w:val="2"/>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2573B03" w14:textId="4CE644BC">
            <w:r>
              <w:t>2020.</w:t>
            </w:r>
          </w:p>
        </w:tc>
        <w:tc>
          <w:tcPr>
            <w:tcW w:w="1935" w:type="dxa"/>
            <w:gridSpan w:val="2"/>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77FAF44" w14:textId="722D959F">
            <w:r>
              <w:t>2021.</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873A0FD" w14:textId="5568C5A2">
            <w:r>
              <w:t>2022.</w:t>
            </w:r>
          </w:p>
        </w:tc>
      </w:tr>
      <w:tr w:rsidRPr="00AA33A6" w:rsidR="00AA33A6" w:rsidTr="00AA33A6" w14:paraId="355BD822" w14:textId="77777777">
        <w:trPr>
          <w:tblCellSpacing w:w="15" w:type="dxa"/>
        </w:trPr>
        <w:tc>
          <w:tcPr>
            <w:tcW w:w="1904"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646E4FC" w14:textId="77777777"/>
        </w:tc>
        <w:tc>
          <w:tcPr>
            <w:tcW w:w="1040"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8CB50A5" w14:textId="77777777">
            <w:r w:rsidRPr="00AA33A6">
              <w:t>saskaņā ar valsts budžetu kārtējam gadam</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AE18D26" w14:textId="77777777">
            <w:r w:rsidRPr="00AA33A6">
              <w:t>izmaiņas kārtējā gadā, salīdzinot ar valsts budžetu kārtējam gadam</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9F0E862" w14:textId="77777777">
            <w:r w:rsidRPr="00AA33A6">
              <w:t>saskaņā ar vidēja termiņa budžeta ietvaru</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A0FE1EC" w14:textId="77777777">
            <w:r w:rsidRPr="00AA33A6">
              <w:t>izmaiņas, salīdzinot ar vidēja termiņa budžeta ietvaru n+1 gadam</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E5B1146" w14:textId="77777777">
            <w:r w:rsidRPr="00AA33A6">
              <w:t>saskaņā ar vidēja termiņa budžeta ietvaru</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6B26B8A" w14:textId="77777777">
            <w:r w:rsidRPr="00AA33A6">
              <w:t>izmaiņas, salīdzinot ar vidēja termiņa budžeta ietvaru n+2 gadam</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5D4876B" w14:textId="77777777">
            <w:r w:rsidRPr="00AA33A6">
              <w:t>izmaiņas, salīdzinot ar vidēja termiņa budžeta ietvaru n+2 gadam</w:t>
            </w:r>
          </w:p>
        </w:tc>
      </w:tr>
      <w:tr w:rsidRPr="00AA33A6" w:rsidR="00AA33A6" w:rsidTr="00AA33A6" w14:paraId="05D244FF"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F7F560A" w14:textId="77777777">
            <w:r w:rsidRPr="00AA33A6">
              <w:t>1</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1C271E" w14:paraId="73146E42" w14:textId="58D8569F">
            <w:r>
              <w:t>2</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1D6D5C1" w14:textId="77777777">
            <w:r w:rsidRPr="00AA33A6">
              <w:t>3</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9D35003" w14:textId="77777777">
            <w:r w:rsidRPr="00AA33A6">
              <w:t>4</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AB16985" w14:textId="77777777">
            <w:r w:rsidRPr="00AA33A6">
              <w:t>5</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329D268" w14:textId="77777777">
            <w:r w:rsidRPr="00AA33A6">
              <w:t>6</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679B760" w14:textId="77777777">
            <w:r w:rsidRPr="00AA33A6">
              <w:t>7</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67C9E50" w14:textId="77777777">
            <w:r w:rsidRPr="00AA33A6">
              <w:t>8</w:t>
            </w:r>
          </w:p>
        </w:tc>
      </w:tr>
      <w:tr w:rsidRPr="00AA33A6" w:rsidR="00AA33A6" w:rsidTr="00AA33A6" w14:paraId="33378D2C"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6EADAD9F" w14:textId="77777777">
            <w:r w:rsidRPr="00AA33A6">
              <w:t>1. Budžeta ieņēmumi</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7EA9570" w14:textId="258B2400">
            <w:r w:rsidRPr="00AA33A6">
              <w:t> </w:t>
            </w:r>
            <w:r w:rsidR="00F32213">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D73BA17" w14:textId="65F0CDC5">
            <w:r w:rsidRPr="00AA33A6">
              <w:t> </w:t>
            </w:r>
            <w:r w:rsidR="00F32213">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F32213" w14:paraId="7BB6B402" w14:textId="6212DA21">
            <w:r>
              <w:t>0</w:t>
            </w:r>
            <w:r w:rsidRPr="00AA33A6" w:rsidR="00AA33A6">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B249EA6" w14:textId="0846FC7B">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6E70BC4" w14:textId="2650C204">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8BB204A" w14:textId="032FEA4D">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DD298AB" w14:textId="603C2D17">
            <w:r w:rsidRPr="00AA33A6">
              <w:t> </w:t>
            </w:r>
            <w:r w:rsidR="00F32213">
              <w:t>0</w:t>
            </w:r>
          </w:p>
        </w:tc>
      </w:tr>
      <w:tr w:rsidRPr="00AA33A6" w:rsidR="00AA33A6" w:rsidTr="00AA33A6" w14:paraId="58F0ECE0"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752F9B89" w14:textId="77777777">
            <w:r w:rsidRPr="00AA33A6">
              <w:lastRenderedPageBreak/>
              <w:t>1.1. valsts pamatbudžets, tai skaitā ieņēmumi no maksas pakalpojumiem un citi pašu ieņēmumi</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3E6ECCB5" w14:textId="57CD11AC">
            <w:r w:rsidRPr="00A2388B">
              <w:t> </w:t>
            </w:r>
            <w:r w:rsidRPr="00A2388B" w:rsidR="00A2388B">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2388B" w14:paraId="3BB011FF" w14:textId="3B115C90">
            <w:r w:rsidRPr="00A2388B">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CAF4019" w14:textId="1FD49668">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F32213" w14:paraId="1A3ADE78" w14:textId="45711F8F">
            <w:r>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F755DE9" w14:textId="541F078A">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4A095F4" w14:textId="6C6404F4">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FA5711C" w14:textId="7F9AB022">
            <w:r w:rsidRPr="00AA33A6">
              <w:t> </w:t>
            </w:r>
            <w:r w:rsidR="00F32213">
              <w:t>0</w:t>
            </w:r>
          </w:p>
        </w:tc>
      </w:tr>
      <w:tr w:rsidRPr="00AA33A6" w:rsidR="00AA33A6" w:rsidTr="00AA33A6" w14:paraId="425FBEFF"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2DBC45F0" w14:textId="77777777">
            <w:r w:rsidRPr="00AA33A6">
              <w:t>1.2. valsts speciālais 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2AD3C5A1" w14:textId="233B03F8">
            <w:r w:rsidRPr="00A2388B">
              <w:t> </w:t>
            </w:r>
            <w:r w:rsidRPr="00A2388B" w:rsidR="00F55384">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1951893B" w14:textId="2A140967">
            <w:r w:rsidRPr="00A2388B">
              <w:t> </w:t>
            </w:r>
            <w:r w:rsidRPr="00A2388B" w:rsidR="00F55384">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80A6ACE" w14:textId="399AC503">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2B060E3" w14:textId="0184C488">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381CE8F" w14:textId="26C6E255">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5DE4BF1" w14:textId="1292DA21">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C145077" w14:textId="604357F9">
            <w:r w:rsidRPr="00AA33A6">
              <w:t> </w:t>
            </w:r>
            <w:r w:rsidR="00F32213">
              <w:t>0</w:t>
            </w:r>
          </w:p>
        </w:tc>
      </w:tr>
      <w:tr w:rsidRPr="00AA33A6" w:rsidR="00AA33A6" w:rsidTr="00AA33A6" w14:paraId="5507D444"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6E2F0756" w14:textId="77777777">
            <w:r w:rsidRPr="00AA33A6">
              <w:t>1.3. pašvaldību 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1D39721E" w14:textId="4DC80F0B">
            <w:r w:rsidRPr="00A2388B">
              <w:t> </w:t>
            </w:r>
            <w:r w:rsidRPr="00A2388B" w:rsidR="00F55384">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3FDBB6C0" w14:textId="0EF5E799">
            <w:r w:rsidRPr="00A2388B">
              <w:t> </w:t>
            </w:r>
            <w:r w:rsidRPr="00A2388B" w:rsidR="00F55384">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AFEB306" w14:textId="36E58F27">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826CDC3" w14:textId="1FB18E75">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3B090ED" w14:textId="79B2D653">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7B49AD4" w14:textId="5CD5145A">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6A4A2D6" w14:textId="757AB79B">
            <w:r w:rsidRPr="00AA33A6">
              <w:t> </w:t>
            </w:r>
            <w:r w:rsidR="00F32213">
              <w:t>0</w:t>
            </w:r>
          </w:p>
        </w:tc>
      </w:tr>
      <w:tr w:rsidRPr="00AA33A6" w:rsidR="00AA33A6" w:rsidTr="00AA33A6" w14:paraId="254AAAFB"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28671D74" w14:textId="77777777">
            <w:r w:rsidRPr="00AA33A6">
              <w:t>2. Budžeta izdevumi</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16E1C26F" w14:textId="5389AA7E">
            <w:r w:rsidRPr="00A2388B">
              <w:t> </w:t>
            </w:r>
            <w:r w:rsidRPr="00A2388B" w:rsidR="00F32213">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6DECE740" w14:textId="2AEDEB4C">
            <w:r w:rsidRPr="00A2388B">
              <w:t> </w:t>
            </w:r>
            <w:r w:rsidR="00C13E61">
              <w:t>-35 600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47074AB" w14:textId="338FB65E">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93885AF" w14:textId="34E796C4">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86D61F0" w14:textId="77777777">
            <w:r w:rsidRPr="00AA33A6">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7532C73" w14:textId="331E852B">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CDCFFB5" w14:textId="7FE29942">
            <w:r w:rsidRPr="00AA33A6">
              <w:t> </w:t>
            </w:r>
            <w:r w:rsidR="00F32213">
              <w:t>0</w:t>
            </w:r>
          </w:p>
        </w:tc>
      </w:tr>
      <w:tr w:rsidRPr="00AA33A6" w:rsidR="00AA33A6" w:rsidTr="00AA33A6" w14:paraId="1D5ADE79"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3C8E2C10" w14:textId="77777777">
            <w:r w:rsidRPr="00AA33A6">
              <w:t>2.1. valsts pamatbudžets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353D233A" w14:textId="635E94FD">
            <w:r w:rsidRPr="00A2388B">
              <w:t> </w:t>
            </w:r>
            <w:r w:rsidRPr="00A2388B" w:rsidR="00F32213">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057D3181" w14:textId="5BA22BD8">
            <w:r w:rsidRPr="00A2388B">
              <w:t> </w:t>
            </w:r>
            <w:r w:rsidR="00C13E61">
              <w:t>-35 600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EE0D5A4" w14:textId="4CB62408">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270BBC4" w14:textId="029116EF">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9DFF0BF" w14:textId="13298201">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F239F1C" w14:textId="3A6D162A">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49BF034" w14:textId="05F823C6">
            <w:r w:rsidRPr="00AA33A6">
              <w:t> </w:t>
            </w:r>
            <w:r w:rsidR="00F32213">
              <w:t>0</w:t>
            </w:r>
          </w:p>
        </w:tc>
      </w:tr>
      <w:tr w:rsidRPr="00AA33A6" w:rsidR="00AA33A6" w:rsidTr="00AA33A6" w14:paraId="324375CE"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42158ADE" w14:textId="77777777">
            <w:r w:rsidRPr="00AA33A6">
              <w:t>2.2. valsts speciālais 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F55384" w14:paraId="4F7D485B" w14:textId="2D697B67">
            <w:r w:rsidRPr="00A2388B">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144D9F81" w14:textId="42AFF4BC">
            <w:r w:rsidRPr="00A2388B">
              <w:t> </w:t>
            </w:r>
            <w:r w:rsidRPr="00A2388B" w:rsidR="00F55384">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0ECE68B" w14:textId="5D71294E">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B550B56" w14:textId="594F976D">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8A0957F" w14:textId="06BB44EB">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393F168" w14:textId="44B24985">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DA0F0D2" w14:textId="1B812698">
            <w:r w:rsidRPr="00AA33A6">
              <w:t> </w:t>
            </w:r>
            <w:r w:rsidR="00F32213">
              <w:t>0</w:t>
            </w:r>
          </w:p>
        </w:tc>
      </w:tr>
      <w:tr w:rsidRPr="00AA33A6" w:rsidR="00AA33A6" w:rsidTr="00AA33A6" w14:paraId="0BD74BC5"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610B22F8" w14:textId="77777777">
            <w:r w:rsidRPr="00AA33A6">
              <w:t>2.3. pašvaldību 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03497AB6" w14:textId="25FEDFB1">
            <w:r w:rsidRPr="00A2388B">
              <w:t> </w:t>
            </w:r>
            <w:r w:rsidRPr="00A2388B" w:rsidR="00F55384">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34F539D6" w14:textId="734CB3B9">
            <w:r w:rsidRPr="00A2388B">
              <w:t> </w:t>
            </w:r>
            <w:r w:rsidRPr="00A2388B" w:rsidR="00F55384">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EB8968B" w14:textId="594A8713">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A742E22" w14:textId="1B2CD9C4">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61AADCF" w14:textId="22AB0354">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88AC7C6" w14:textId="15AB802A">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F1ECE25" w14:textId="6F608C25">
            <w:r w:rsidRPr="00AA33A6">
              <w:t> </w:t>
            </w:r>
            <w:r w:rsidR="00F32213">
              <w:t>0</w:t>
            </w:r>
          </w:p>
        </w:tc>
      </w:tr>
      <w:tr w:rsidRPr="00AA33A6" w:rsidR="00AA33A6" w:rsidTr="00AA33A6" w14:paraId="7D27E820"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5D826E73" w14:textId="77777777">
            <w:r w:rsidRPr="00AA33A6">
              <w:t>3. Finansiālā ietekme</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6FD42038" w14:textId="679B65AB">
            <w:r w:rsidRPr="00A2388B">
              <w:t> </w:t>
            </w:r>
            <w:r w:rsidRPr="00A2388B" w:rsidR="00A2388B">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C13E61" w14:paraId="37E4FA82" w14:textId="02878367">
            <w:r>
              <w:t>35 600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66B11EF" w14:textId="65ED4CD1">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49BED52" w14:textId="5BA8E4FC">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CEC210E" w14:textId="7965896F">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9BCEDC0" w14:textId="47566B1F">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FF9CC86" w14:textId="59587195">
            <w:r w:rsidRPr="00AA33A6">
              <w:t> </w:t>
            </w:r>
            <w:r w:rsidR="00F32213">
              <w:t>0</w:t>
            </w:r>
          </w:p>
        </w:tc>
      </w:tr>
      <w:tr w:rsidRPr="00AA33A6" w:rsidR="00AA33A6" w:rsidTr="00AA33A6" w14:paraId="1FA82CA3"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7F00FD58" w14:textId="77777777">
            <w:r w:rsidRPr="00AA33A6">
              <w:t>3.1. valsts pamatbudžets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2388B" w14:paraId="6404248F" w14:textId="0524C574">
            <w:r w:rsidRPr="00A2388B">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2388B" w:rsidR="00AA33A6" w:rsidP="00AA33A6" w:rsidRDefault="00AA33A6" w14:paraId="0DFB6B14" w14:textId="3F14BA00">
            <w:r w:rsidRPr="00A2388B">
              <w:t> </w:t>
            </w:r>
            <w:r w:rsidR="00C13E61">
              <w:t>35 600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1478BAD" w14:textId="10CE1EC1">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0C6222C" w14:textId="1AF053DE">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C19BFE9" w14:textId="3F5AD6D4">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2E42F63" w14:textId="70992CDC">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6FAD41D" w14:textId="310A3B7E">
            <w:r w:rsidRPr="00AA33A6">
              <w:t> </w:t>
            </w:r>
            <w:r w:rsidR="00F32213">
              <w:t>0</w:t>
            </w:r>
          </w:p>
        </w:tc>
      </w:tr>
      <w:tr w:rsidRPr="00AA33A6" w:rsidR="00AA33A6" w:rsidTr="00AA33A6" w14:paraId="409039FF"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11C5235D" w14:textId="77777777">
            <w:r w:rsidRPr="00AA33A6">
              <w:t>3.2. speciālais 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2EA5876" w14:textId="009EBFFC">
            <w:r w:rsidRPr="00AA33A6">
              <w:t> </w:t>
            </w:r>
            <w:r w:rsidR="00F55384">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350911F" w14:textId="185CE3A4">
            <w:r w:rsidRPr="00AA33A6">
              <w:t> </w:t>
            </w:r>
            <w:r w:rsidR="00F55384">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4DBF51A" w14:textId="28CAF719">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556D20B" w14:textId="0D76519A">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EC4DA8C" w14:textId="0F253A6B">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100EB93" w14:textId="223EDA90">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B5A4184" w14:textId="605388EC">
            <w:r w:rsidRPr="00AA33A6">
              <w:t> </w:t>
            </w:r>
            <w:r w:rsidR="00F32213">
              <w:t>0</w:t>
            </w:r>
          </w:p>
        </w:tc>
      </w:tr>
      <w:tr w:rsidRPr="00AA33A6" w:rsidR="00AA33A6" w:rsidTr="00AA33A6" w14:paraId="5F3C77BA"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780DCBB1" w14:textId="77777777">
            <w:r w:rsidRPr="00AA33A6">
              <w:t>3.3. pašvaldību budžets</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44C4042" w14:textId="0C5AF4D2">
            <w:r w:rsidRPr="00AA33A6">
              <w:t> </w:t>
            </w:r>
            <w:r w:rsidR="00F55384">
              <w:t>0</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C4A00AA" w14:textId="7502ED6A">
            <w:r w:rsidRPr="00AA33A6">
              <w:t> </w:t>
            </w:r>
            <w:r w:rsidR="00F55384">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E0847AE" w14:textId="785A21DF">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EB2DAD2" w14:textId="23A7D319">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E816076" w14:textId="62A9B594">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45E7538" w14:textId="6B8EDC63">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6C3C3D4" w14:textId="7FB8B1ED">
            <w:r w:rsidRPr="00AA33A6">
              <w:t> </w:t>
            </w:r>
            <w:r w:rsidR="00F32213">
              <w:t>0</w:t>
            </w:r>
          </w:p>
        </w:tc>
      </w:tr>
      <w:tr w:rsidRPr="00AA33A6" w:rsidR="00AA33A6" w:rsidTr="00AA33A6" w14:paraId="4CBDE07F"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2DCA0100" w14:textId="77777777">
            <w:r w:rsidRPr="00AA33A6">
              <w:t>4. Finanšu līdzekļi papildu izdevumu finansēšanai (kompensējošu izdevumu samazinājumu norāda ar "+" zīmi)</w:t>
            </w:r>
          </w:p>
        </w:tc>
        <w:tc>
          <w:tcPr>
            <w:tcW w:w="1040"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9951C17" w14:textId="4E7E80F1">
            <w:r w:rsidRPr="00AA33A6">
              <w:t> </w:t>
            </w:r>
            <w:r w:rsidR="00F32213">
              <w:t>X</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86375F3" w14:textId="34D26644">
            <w:r w:rsidRPr="00AA33A6">
              <w:t> </w:t>
            </w:r>
            <w:r w:rsidR="00F32213">
              <w:t>0</w:t>
            </w:r>
          </w:p>
        </w:tc>
        <w:tc>
          <w:tcPr>
            <w:tcW w:w="691"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AB0ABB8" w14:textId="06AA1B18">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6B86D6A" w14:textId="46DE19C5">
            <w:r w:rsidRPr="00AA33A6">
              <w:t> </w:t>
            </w:r>
            <w:r w:rsidR="00F32213">
              <w:t>0</w:t>
            </w:r>
          </w:p>
        </w:tc>
        <w:tc>
          <w:tcPr>
            <w:tcW w:w="882"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C4A3E7E" w14:textId="518F814B">
            <w:r w:rsidRPr="00AA33A6">
              <w:t> </w:t>
            </w:r>
            <w:r w:rsidR="00F32213">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74C5073" w14:textId="095FF536">
            <w:r w:rsidRPr="00AA33A6">
              <w:t> </w:t>
            </w:r>
            <w:r w:rsidR="00F32213">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5B71C1A" w14:textId="414EDFB9">
            <w:r w:rsidRPr="00AA33A6">
              <w:t> </w:t>
            </w:r>
            <w:r w:rsidR="00F32213">
              <w:t>0</w:t>
            </w:r>
          </w:p>
        </w:tc>
      </w:tr>
      <w:tr w:rsidRPr="00AA33A6" w:rsidR="00AA33A6" w:rsidTr="00AA33A6" w14:paraId="12CD8ADD"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2B5A33D1" w14:textId="77777777">
            <w:r w:rsidRPr="00AA33A6">
              <w:t>5. Precizēta finansiālā ietekme</w:t>
            </w:r>
          </w:p>
        </w:tc>
        <w:tc>
          <w:tcPr>
            <w:tcW w:w="1040" w:type="dxa"/>
            <w:vMerge w:val="restart"/>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E829DEF" w14:textId="66258B8B">
            <w:r w:rsidRPr="00AA33A6">
              <w:t> </w:t>
            </w:r>
            <w:r w:rsidR="00F32213">
              <w:t>X</w:t>
            </w:r>
          </w:p>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3F1BED4" w14:textId="1A2900B7">
            <w:r w:rsidRPr="00AA33A6">
              <w:t> </w:t>
            </w:r>
            <w:r w:rsidR="000B3D62">
              <w:t>0</w:t>
            </w:r>
          </w:p>
        </w:tc>
        <w:tc>
          <w:tcPr>
            <w:tcW w:w="691" w:type="dxa"/>
            <w:vMerge w:val="restart"/>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C329F29" w14:textId="49674636">
            <w:r w:rsidRPr="00AA33A6">
              <w:t> </w:t>
            </w:r>
            <w:r w:rsidR="00F32213">
              <w:t>X</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D10C110" w14:textId="320D1F0F">
            <w:r w:rsidRPr="00AA33A6">
              <w:t> </w:t>
            </w:r>
            <w:r w:rsidR="000B3D62">
              <w:t>0</w:t>
            </w:r>
          </w:p>
        </w:tc>
        <w:tc>
          <w:tcPr>
            <w:tcW w:w="882" w:type="dxa"/>
            <w:vMerge w:val="restart"/>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6CB3C22" w14:textId="19FD62FB">
            <w:r w:rsidRPr="00AA33A6">
              <w:t> </w:t>
            </w:r>
            <w:r w:rsidR="00F32213">
              <w:t>X</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DCEBC77" w14:textId="3C6D4D3A">
            <w:r w:rsidRPr="00AA33A6">
              <w:t> </w:t>
            </w:r>
            <w:r w:rsidR="000B3D62">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5F211272" w14:textId="48388E8D">
            <w:r w:rsidRPr="00AA33A6">
              <w:t> </w:t>
            </w:r>
            <w:r w:rsidR="000B3D62">
              <w:t>0</w:t>
            </w:r>
          </w:p>
        </w:tc>
      </w:tr>
      <w:tr w:rsidRPr="00AA33A6" w:rsidR="00AA33A6" w:rsidTr="00AA33A6" w14:paraId="66C0D522"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725505E4" w14:textId="77777777">
            <w:r w:rsidRPr="00AA33A6">
              <w:t>5.1. valsts pamatbudžets</w:t>
            </w:r>
          </w:p>
        </w:tc>
        <w:tc>
          <w:tcPr>
            <w:tcW w:w="1040"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2CFF237" w14:textId="77777777"/>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E8C0185" w14:textId="4A623551">
            <w:r w:rsidRPr="00AA33A6">
              <w:t> </w:t>
            </w:r>
            <w:r w:rsidR="000B3D62">
              <w:t>0</w:t>
            </w:r>
          </w:p>
        </w:tc>
        <w:tc>
          <w:tcPr>
            <w:tcW w:w="691"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C23277B" w14:textId="77777777"/>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BAE5D33" w14:textId="5FB553F1">
            <w:r w:rsidRPr="00AA33A6">
              <w:t> </w:t>
            </w:r>
            <w:r w:rsidR="000B3D62">
              <w:t>0</w:t>
            </w:r>
          </w:p>
        </w:tc>
        <w:tc>
          <w:tcPr>
            <w:tcW w:w="882"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B3A13E4" w14:textId="77777777"/>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E19EBAB" w14:textId="667CE04A">
            <w:r w:rsidRPr="00AA33A6">
              <w:t> </w:t>
            </w:r>
            <w:r w:rsidR="000B3D62">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372D0CC" w14:textId="3CC180F4">
            <w:r w:rsidRPr="00AA33A6">
              <w:t> </w:t>
            </w:r>
            <w:r w:rsidR="000B3D62">
              <w:t>0</w:t>
            </w:r>
          </w:p>
        </w:tc>
      </w:tr>
      <w:tr w:rsidRPr="00AA33A6" w:rsidR="00AA33A6" w:rsidTr="00AA33A6" w14:paraId="4FD00BA3"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0EBD6DF1" w14:textId="77777777">
            <w:r w:rsidRPr="00AA33A6">
              <w:t>5.2. speciālais budžets</w:t>
            </w:r>
          </w:p>
        </w:tc>
        <w:tc>
          <w:tcPr>
            <w:tcW w:w="1040"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42F824E" w14:textId="77777777"/>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DA6B64F" w14:textId="25A027AD">
            <w:r w:rsidRPr="00AA33A6">
              <w:t> </w:t>
            </w:r>
            <w:r w:rsidR="00F55384">
              <w:t>0</w:t>
            </w:r>
          </w:p>
        </w:tc>
        <w:tc>
          <w:tcPr>
            <w:tcW w:w="691"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FACFBF1" w14:textId="77777777"/>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A4A4782" w14:textId="34A44C6D">
            <w:r w:rsidRPr="00AA33A6">
              <w:t> </w:t>
            </w:r>
            <w:r w:rsidR="000B3D62">
              <w:t>0</w:t>
            </w:r>
          </w:p>
        </w:tc>
        <w:tc>
          <w:tcPr>
            <w:tcW w:w="882"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EA622E9" w14:textId="77777777"/>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469638EF" w14:textId="1E14CFEF">
            <w:r w:rsidRPr="00AA33A6">
              <w:t> </w:t>
            </w:r>
            <w:r w:rsidR="000B3D62">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0C12FF12" w14:textId="1F79D19A">
            <w:r w:rsidRPr="00AA33A6">
              <w:t> </w:t>
            </w:r>
            <w:r w:rsidR="000B3D62">
              <w:t>0</w:t>
            </w:r>
          </w:p>
        </w:tc>
      </w:tr>
      <w:tr w:rsidRPr="00AA33A6" w:rsidR="00AA33A6" w:rsidTr="00AA33A6" w14:paraId="6C4D2A8B"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7B5B4B98" w14:textId="77777777">
            <w:r w:rsidRPr="00AA33A6">
              <w:t>5.3. pašvaldību budžets</w:t>
            </w:r>
          </w:p>
        </w:tc>
        <w:tc>
          <w:tcPr>
            <w:tcW w:w="1040"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8700F2F" w14:textId="77777777"/>
        </w:tc>
        <w:tc>
          <w:tcPr>
            <w:tcW w:w="1054"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E037FC6" w14:textId="07821D06">
            <w:r w:rsidRPr="00AA33A6">
              <w:t> </w:t>
            </w:r>
            <w:r w:rsidR="00F55384">
              <w:t>0</w:t>
            </w:r>
          </w:p>
        </w:tc>
        <w:tc>
          <w:tcPr>
            <w:tcW w:w="691"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749B8F3" w14:textId="77777777"/>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2494362" w14:textId="40DAEF46">
            <w:r w:rsidRPr="00AA33A6">
              <w:t> </w:t>
            </w:r>
            <w:r w:rsidR="000B3D62">
              <w:t>0</w:t>
            </w:r>
          </w:p>
        </w:tc>
        <w:tc>
          <w:tcPr>
            <w:tcW w:w="882" w:type="dxa"/>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1FAAB8CE" w14:textId="77777777"/>
        </w:tc>
        <w:tc>
          <w:tcPr>
            <w:tcW w:w="1023"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73808522" w14:textId="5EB780F4">
            <w:r w:rsidRPr="00AA33A6">
              <w:t> </w:t>
            </w:r>
            <w:r w:rsidR="000B3D62">
              <w:t>0</w:t>
            </w:r>
          </w:p>
        </w:tc>
        <w:tc>
          <w:tcPr>
            <w:tcW w:w="1168" w:type="dxa"/>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24806270" w14:textId="1F6AC941">
            <w:r w:rsidRPr="00AA33A6">
              <w:t> </w:t>
            </w:r>
            <w:r w:rsidR="000B3D62">
              <w:t>0</w:t>
            </w:r>
          </w:p>
        </w:tc>
      </w:tr>
      <w:tr w:rsidRPr="00AA33A6" w:rsidR="00AA33A6" w:rsidTr="00AA33A6" w14:paraId="6AB87150"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6765F7C0" w14:textId="77777777">
            <w:r w:rsidRPr="00AA33A6">
              <w:t xml:space="preserve">6. Detalizēts ieņēmumu un </w:t>
            </w:r>
            <w:r w:rsidRPr="00AA33A6">
              <w:lastRenderedPageBreak/>
              <w:t>izdevumu aprēķins (ja nepieciešams, detalizētu ieņēmumu un izdevumu aprēķinu var pievienot anotācijas pielikumā)</w:t>
            </w:r>
          </w:p>
        </w:tc>
        <w:tc>
          <w:tcPr>
            <w:tcW w:w="7061" w:type="dxa"/>
            <w:gridSpan w:val="7"/>
            <w:vMerge w:val="restart"/>
            <w:tcBorders>
              <w:top w:val="outset" w:color="auto" w:sz="6" w:space="0"/>
              <w:left w:val="outset" w:color="auto" w:sz="6" w:space="0"/>
              <w:bottom w:val="outset" w:color="auto" w:sz="6" w:space="0"/>
              <w:right w:val="outset" w:color="auto" w:sz="6" w:space="0"/>
            </w:tcBorders>
            <w:vAlign w:val="center"/>
            <w:hideMark/>
          </w:tcPr>
          <w:p w:rsidRPr="00AA33A6" w:rsidR="00AA33A6" w:rsidP="00821D07" w:rsidRDefault="00AA33A6" w14:paraId="4DDE7843" w14:textId="0D1BFC2B">
            <w:pPr>
              <w:tabs>
                <w:tab w:val="left" w:pos="545"/>
              </w:tabs>
              <w:jc w:val="both"/>
            </w:pPr>
            <w:r w:rsidRPr="00AA33A6">
              <w:lastRenderedPageBreak/>
              <w:t> </w:t>
            </w:r>
            <w:r w:rsidRPr="00A066E4" w:rsidR="00FE1578">
              <w:t>Valsts akcijas sabiedrības</w:t>
            </w:r>
            <w:r w:rsidR="00FE1578">
              <w:t xml:space="preserve"> “Ventspils osta”  pamatkapitālā tiks ieguldīti 35 000 euro. </w:t>
            </w:r>
            <w:r w:rsidR="00821D07">
              <w:t xml:space="preserve">Ar </w:t>
            </w:r>
            <w:r w:rsidRPr="00A066E4" w:rsidR="00821D07">
              <w:t xml:space="preserve">kapitālsabiedrības reģistrāciju </w:t>
            </w:r>
            <w:r w:rsidR="00821D07">
              <w:t xml:space="preserve">saistītās izmaksas sastādīs  </w:t>
            </w:r>
            <w:r w:rsidRPr="00A066E4" w:rsidR="00821D07">
              <w:t xml:space="preserve">apmēram </w:t>
            </w:r>
            <w:r w:rsidR="00821D07">
              <w:t>6</w:t>
            </w:r>
            <w:r w:rsidRPr="00A066E4" w:rsidR="00821D07">
              <w:t>00 euro</w:t>
            </w:r>
            <w:r w:rsidR="00821D07">
              <w:t>.</w:t>
            </w:r>
          </w:p>
        </w:tc>
      </w:tr>
      <w:tr w:rsidRPr="00AA33A6" w:rsidR="00AA33A6" w:rsidTr="00AA33A6" w14:paraId="307C2B19"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40DFF523" w14:textId="77777777">
            <w:r w:rsidRPr="00AA33A6">
              <w:t>6.1. detalizēts ieņēmumu aprēķins</w:t>
            </w:r>
          </w:p>
        </w:tc>
        <w:tc>
          <w:tcPr>
            <w:tcW w:w="7061" w:type="dxa"/>
            <w:gridSpan w:val="7"/>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6ACC08D8" w14:textId="77777777"/>
        </w:tc>
      </w:tr>
      <w:tr w:rsidRPr="00AA33A6" w:rsidR="00AA33A6" w:rsidTr="00AA33A6" w14:paraId="60281C3B"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268E35D3" w14:textId="77777777">
            <w:r w:rsidRPr="00AA33A6">
              <w:t>6.2. detalizēts izdevumu aprēķins</w:t>
            </w:r>
          </w:p>
        </w:tc>
        <w:tc>
          <w:tcPr>
            <w:tcW w:w="7061" w:type="dxa"/>
            <w:gridSpan w:val="7"/>
            <w:vMerge/>
            <w:tcBorders>
              <w:top w:val="outset" w:color="auto" w:sz="6" w:space="0"/>
              <w:left w:val="outset" w:color="auto" w:sz="6" w:space="0"/>
              <w:bottom w:val="outset" w:color="auto" w:sz="6" w:space="0"/>
              <w:right w:val="outset" w:color="auto" w:sz="6" w:space="0"/>
            </w:tcBorders>
            <w:vAlign w:val="center"/>
            <w:hideMark/>
          </w:tcPr>
          <w:p w:rsidRPr="00AA33A6" w:rsidR="00AA33A6" w:rsidP="00AA33A6" w:rsidRDefault="00AA33A6" w14:paraId="38B3AE07" w14:textId="77777777"/>
        </w:tc>
      </w:tr>
      <w:tr w:rsidRPr="00AA33A6" w:rsidR="00AA33A6" w:rsidTr="00AA33A6" w14:paraId="034FB930"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7DCFED87" w14:textId="77777777">
            <w:r w:rsidRPr="00AA33A6">
              <w:t>7. Amata vietu skaita izmaiņas</w:t>
            </w:r>
          </w:p>
        </w:tc>
        <w:tc>
          <w:tcPr>
            <w:tcW w:w="7061" w:type="dxa"/>
            <w:gridSpan w:val="7"/>
            <w:tcBorders>
              <w:top w:val="outset" w:color="auto" w:sz="6" w:space="0"/>
              <w:left w:val="outset" w:color="auto" w:sz="6" w:space="0"/>
              <w:bottom w:val="outset" w:color="auto" w:sz="6" w:space="0"/>
              <w:right w:val="outset" w:color="auto" w:sz="6" w:space="0"/>
            </w:tcBorders>
            <w:hideMark/>
          </w:tcPr>
          <w:p w:rsidRPr="00AA33A6" w:rsidR="00AA33A6" w:rsidP="00AA33A6" w:rsidRDefault="001E4175" w14:paraId="2CD85C0A" w14:textId="10EE2D6B">
            <w:r>
              <w:t xml:space="preserve">Nav  </w:t>
            </w:r>
          </w:p>
        </w:tc>
      </w:tr>
      <w:tr w:rsidRPr="00AA33A6" w:rsidR="00AA33A6" w:rsidTr="00AA33A6" w14:paraId="0ADA54B7" w14:textId="77777777">
        <w:trPr>
          <w:tblCellSpacing w:w="15" w:type="dxa"/>
        </w:trPr>
        <w:tc>
          <w:tcPr>
            <w:tcW w:w="1904" w:type="dxa"/>
            <w:tcBorders>
              <w:top w:val="outset" w:color="auto" w:sz="6" w:space="0"/>
              <w:left w:val="outset" w:color="auto" w:sz="6" w:space="0"/>
              <w:bottom w:val="outset" w:color="auto" w:sz="6" w:space="0"/>
              <w:right w:val="outset" w:color="auto" w:sz="6" w:space="0"/>
            </w:tcBorders>
            <w:hideMark/>
          </w:tcPr>
          <w:p w:rsidRPr="00AA33A6" w:rsidR="00AA33A6" w:rsidP="00AA33A6" w:rsidRDefault="00AA33A6" w14:paraId="248019D7" w14:textId="77777777">
            <w:r w:rsidRPr="00AA33A6">
              <w:t>8. Cita informācija</w:t>
            </w:r>
          </w:p>
        </w:tc>
        <w:tc>
          <w:tcPr>
            <w:tcW w:w="7061" w:type="dxa"/>
            <w:gridSpan w:val="7"/>
            <w:tcBorders>
              <w:top w:val="outset" w:color="auto" w:sz="6" w:space="0"/>
              <w:left w:val="outset" w:color="auto" w:sz="6" w:space="0"/>
              <w:bottom w:val="outset" w:color="auto" w:sz="6" w:space="0"/>
              <w:right w:val="outset" w:color="auto" w:sz="6" w:space="0"/>
            </w:tcBorders>
            <w:hideMark/>
          </w:tcPr>
          <w:p w:rsidR="00A2388B" w:rsidP="002C5C2D" w:rsidRDefault="00A2388B" w14:paraId="0C7CC612" w14:textId="77777777">
            <w:pPr>
              <w:pStyle w:val="ListParagraph"/>
              <w:ind w:left="0"/>
              <w:jc w:val="both"/>
            </w:pPr>
          </w:p>
          <w:p w:rsidRPr="00964B05" w:rsidR="00E63DE7" w:rsidP="005B5BBD" w:rsidRDefault="005B5BBD" w14:paraId="6F98181E" w14:textId="5BD12704">
            <w:pPr>
              <w:tabs>
                <w:tab w:val="left" w:pos="545"/>
              </w:tabs>
              <w:jc w:val="both"/>
            </w:pPr>
            <w:r w:rsidRPr="00A066E4">
              <w:t>Valsts akcijas sabiedrības dibināšanai</w:t>
            </w:r>
            <w:r>
              <w:t xml:space="preserve"> un reģistrācijai</w:t>
            </w:r>
            <w:r w:rsidRPr="00A066E4">
              <w:t xml:space="preserve"> būs nepieciešami finanšu līdzekļi līdz</w:t>
            </w:r>
            <w:r>
              <w:t xml:space="preserve"> 35 600</w:t>
            </w:r>
            <w:r w:rsidRPr="00A066E4">
              <w:t xml:space="preserve"> </w:t>
            </w:r>
            <w:r w:rsidRPr="00ED1F8D">
              <w:t>euro</w:t>
            </w:r>
            <w:r>
              <w:t xml:space="preserve">. </w:t>
            </w:r>
            <w:r w:rsidR="00A2388B">
              <w:t xml:space="preserve">Ietekmes uz valsts budžetu nav, jo tiks veikta iekšējo resursu pārdale. </w:t>
            </w:r>
            <w:r w:rsidRPr="00964B05" w:rsidR="00AA33A6">
              <w:t xml:space="preserve">Satiksmes ministrija ar kapitālsabiedrības dibināšanu un reģistrāciju saistītos izdevumus </w:t>
            </w:r>
            <w:r w:rsidRPr="00964B05" w:rsidR="00A2388B">
              <w:t xml:space="preserve">segs </w:t>
            </w:r>
            <w:r w:rsidRPr="00964B05" w:rsidR="00AA33A6">
              <w:t>no 2019.gadā Satiksmes ministrijas pamatbudžeta programmai 97.00.00 "Nozaru vadība un politikas plānošana" piešķirtajiem līdzekļiem</w:t>
            </w:r>
            <w:r w:rsidRPr="00964B05" w:rsidR="00E63DE7">
              <w:t>, pārdalot finansējumu akcijām un citai līdzdalībai komersantu pašu kapitālā.</w:t>
            </w:r>
          </w:p>
          <w:p w:rsidRPr="00AA33A6" w:rsidR="00AA33A6" w:rsidP="00AA33A6" w:rsidRDefault="00AA33A6" w14:paraId="616C17CF" w14:textId="0C538336">
            <w:pPr>
              <w:jc w:val="both"/>
            </w:pPr>
          </w:p>
        </w:tc>
      </w:tr>
    </w:tbl>
    <w:p w:rsidRPr="00D4639D" w:rsidR="00AA33A6" w:rsidP="00C57E86" w:rsidRDefault="00AA33A6" w14:paraId="63FA4383" w14:textId="77777777"/>
    <w:p w:rsidRPr="009D2D72" w:rsidR="006959D9" w:rsidP="00C57E86" w:rsidRDefault="006959D9" w14:paraId="435E3011" w14:textId="77777777">
      <w:pPr>
        <w:rPr>
          <w:color w:val="0D0D0D" w:themeColor="text1" w:themeTint="F2"/>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0"/>
        <w:gridCol w:w="6"/>
      </w:tblGrid>
      <w:tr w:rsidRPr="009D2D72" w:rsidR="009D2D72" w:rsidTr="00160FEF" w14:paraId="0AA70E13" w14:textId="77777777">
        <w:trPr>
          <w:gridAfter w:val="1"/>
          <w:wAfter w:w="6" w:type="dxa"/>
        </w:trPr>
        <w:tc>
          <w:tcPr>
            <w:tcW w:w="9060" w:type="dxa"/>
            <w:vAlign w:val="center"/>
            <w:hideMark/>
          </w:tcPr>
          <w:p w:rsidRPr="009D2D72" w:rsidR="00BD5588" w:rsidP="00C57E86" w:rsidRDefault="006E2E27" w14:paraId="356F51EF" w14:textId="71E861C5">
            <w:pPr>
              <w:jc w:val="center"/>
              <w:rPr>
                <w:b/>
                <w:bCs/>
                <w:color w:val="0D0D0D" w:themeColor="text1" w:themeTint="F2"/>
              </w:rPr>
            </w:pPr>
            <w:r w:rsidRPr="009D2D72">
              <w:rPr>
                <w:b/>
                <w:bCs/>
                <w:color w:val="0D0D0D" w:themeColor="text1" w:themeTint="F2"/>
              </w:rPr>
              <w:t>IV. Tiesību akta projekta ietekme uz spēkā esošo tiesību normu sistēmu</w:t>
            </w:r>
          </w:p>
        </w:tc>
      </w:tr>
      <w:tr w:rsidRPr="00D4639D" w:rsidR="00BC5A90" w:rsidTr="00BC5A90" w14:paraId="795E91FF"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rPr>
          <w:trHeight w:val="304"/>
        </w:trPr>
        <w:tc>
          <w:tcPr>
            <w:tcW w:w="9066" w:type="dxa"/>
            <w:gridSpan w:val="2"/>
            <w:tcBorders>
              <w:top w:val="outset" w:color="000000" w:sz="6" w:space="0"/>
              <w:left w:val="outset" w:color="000000" w:sz="6" w:space="0"/>
              <w:right w:val="outset" w:color="000000" w:sz="6" w:space="0"/>
            </w:tcBorders>
          </w:tcPr>
          <w:p w:rsidRPr="0074309D" w:rsidR="00BC5A90" w:rsidP="00BC5A90" w:rsidRDefault="00BC5A90" w14:paraId="2311B522" w14:textId="2ED2E31D">
            <w:pPr>
              <w:suppressAutoHyphens/>
              <w:ind w:left="67" w:right="115"/>
              <w:jc w:val="center"/>
              <w:rPr>
                <w:color w:val="000000"/>
                <w:highlight w:val="yellow"/>
                <w:lang w:eastAsia="ar-SA"/>
              </w:rPr>
            </w:pPr>
            <w:r w:rsidRPr="00E056E1">
              <w:rPr>
                <w:color w:val="000000"/>
                <w:lang w:eastAsia="ar-SA"/>
              </w:rPr>
              <w:t>Projekts šo jomu neskar.</w:t>
            </w:r>
          </w:p>
        </w:tc>
      </w:tr>
    </w:tbl>
    <w:p w:rsidRPr="00C063C0" w:rsidR="006959D9" w:rsidP="00C063C0" w:rsidRDefault="006959D9" w14:paraId="79C80B1E" w14:textId="77777777">
      <w:pPr>
        <w:rPr>
          <w:b/>
          <w:bCs/>
          <w:color w:val="000000"/>
          <w:lang w:eastAsia="en-US"/>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29"/>
      </w:tblGrid>
      <w:tr w:rsidRPr="00C063C0" w:rsidR="00C063C0" w:rsidTr="009B74E7" w14:paraId="526010BA" w14:textId="77777777">
        <w:tc>
          <w:tcPr>
            <w:tcW w:w="5000" w:type="pct"/>
            <w:tcBorders>
              <w:top w:val="single" w:color="auto" w:sz="6" w:space="0"/>
              <w:left w:val="single" w:color="auto" w:sz="6" w:space="0"/>
              <w:bottom w:val="outset" w:color="000000" w:sz="6" w:space="0"/>
              <w:right w:val="single" w:color="auto" w:sz="6" w:space="0"/>
            </w:tcBorders>
          </w:tcPr>
          <w:p w:rsidRPr="00C063C0" w:rsidR="00C063C0" w:rsidP="00C063C0" w:rsidRDefault="00C063C0" w14:paraId="05C42F87" w14:textId="77777777">
            <w:pPr>
              <w:jc w:val="center"/>
              <w:rPr>
                <w:b/>
                <w:bCs/>
                <w:color w:val="000000"/>
                <w:lang w:eastAsia="en-US"/>
              </w:rPr>
            </w:pPr>
            <w:r w:rsidRPr="00C063C0">
              <w:rPr>
                <w:b/>
                <w:bCs/>
                <w:color w:val="000000"/>
                <w:lang w:eastAsia="en-US"/>
              </w:rPr>
              <w:t>V. Tiesību akta projekta atbilstība Latvijas Republikas starptautiskajām saistībām</w:t>
            </w:r>
          </w:p>
        </w:tc>
      </w:tr>
      <w:tr w:rsidRPr="00C063C0" w:rsidR="00BC5A90" w:rsidTr="00BC5A90" w14:paraId="7EF7841E" w14:textId="77777777">
        <w:trPr>
          <w:trHeight w:val="291"/>
        </w:trPr>
        <w:tc>
          <w:tcPr>
            <w:tcW w:w="5000" w:type="pct"/>
            <w:tcBorders>
              <w:top w:val="outset" w:color="000000" w:sz="6" w:space="0"/>
              <w:left w:val="outset" w:color="000000" w:sz="6" w:space="0"/>
              <w:right w:val="outset" w:color="000000" w:sz="6" w:space="0"/>
            </w:tcBorders>
          </w:tcPr>
          <w:p w:rsidRPr="00D81B0A" w:rsidR="00BC5A90" w:rsidP="00BC5A90" w:rsidRDefault="00BC5A90" w14:paraId="7934F066" w14:textId="5BE4A690">
            <w:pPr>
              <w:ind w:left="15" w:right="112"/>
              <w:jc w:val="center"/>
              <w:rPr>
                <w:lang w:eastAsia="en-US"/>
              </w:rPr>
            </w:pPr>
            <w:r w:rsidRPr="00BC5A90">
              <w:rPr>
                <w:lang w:eastAsia="en-US"/>
              </w:rPr>
              <w:t>Projekts šo jomu neskar.</w:t>
            </w:r>
          </w:p>
        </w:tc>
      </w:tr>
    </w:tbl>
    <w:p w:rsidRPr="009D2D72" w:rsidR="006959D9" w:rsidP="00C57E86" w:rsidRDefault="006959D9" w14:paraId="0CD738CC"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9D2D72" w:rsidR="009D2D72" w:rsidTr="00737785" w14:paraId="3F5259C7" w14:textId="77777777">
        <w:trPr>
          <w:cantSplit/>
        </w:trPr>
        <w:tc>
          <w:tcPr>
            <w:tcW w:w="5000" w:type="pct"/>
            <w:vAlign w:val="center"/>
            <w:hideMark/>
          </w:tcPr>
          <w:p w:rsidRPr="009D2D72" w:rsidR="00BD5588" w:rsidP="00C57E86" w:rsidRDefault="006E2E27" w14:paraId="1AC98079" w14:textId="77777777">
            <w:pPr>
              <w:jc w:val="center"/>
              <w:rPr>
                <w:b/>
                <w:bCs/>
                <w:color w:val="0D0D0D" w:themeColor="text1" w:themeTint="F2"/>
              </w:rPr>
            </w:pPr>
            <w:r w:rsidRPr="009D2D72">
              <w:rPr>
                <w:b/>
                <w:bCs/>
                <w:color w:val="0D0D0D" w:themeColor="text1" w:themeTint="F2"/>
              </w:rPr>
              <w:t>VI. Sabiedrības līdzdalība un komunikācijas aktivitātes</w:t>
            </w:r>
          </w:p>
        </w:tc>
      </w:tr>
      <w:tr w:rsidRPr="009D2D72" w:rsidR="00BC5A90" w:rsidTr="00BC5A90" w14:paraId="40BC82B9" w14:textId="77777777">
        <w:trPr>
          <w:cantSplit/>
          <w:trHeight w:val="268"/>
        </w:trPr>
        <w:tc>
          <w:tcPr>
            <w:tcW w:w="5000" w:type="pct"/>
          </w:tcPr>
          <w:p w:rsidRPr="00001750" w:rsidR="00BC5A90" w:rsidP="00BC5A90" w:rsidRDefault="00BC5A90" w14:paraId="434ECA87" w14:textId="59025999">
            <w:pPr>
              <w:ind w:left="118" w:right="100"/>
              <w:jc w:val="center"/>
              <w:rPr>
                <w:color w:val="0D0D0D" w:themeColor="text1" w:themeTint="F2"/>
                <w:highlight w:val="yellow"/>
              </w:rPr>
            </w:pPr>
            <w:r w:rsidRPr="00BC5A90">
              <w:rPr>
                <w:color w:val="0D0D0D" w:themeColor="text1" w:themeTint="F2"/>
              </w:rPr>
              <w:t>Projekts šo jomu neskar.</w:t>
            </w:r>
          </w:p>
        </w:tc>
      </w:tr>
    </w:tbl>
    <w:p w:rsidRPr="009D2D72" w:rsidR="006959D9" w:rsidP="00BC5A90" w:rsidRDefault="006959D9" w14:paraId="2A6612E5"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9D2D72" w:rsidTr="00737785" w14:paraId="7A60F6AC" w14:textId="77777777">
        <w:trPr>
          <w:cantSplit/>
        </w:trPr>
        <w:tc>
          <w:tcPr>
            <w:tcW w:w="5000" w:type="pct"/>
            <w:gridSpan w:val="3"/>
            <w:vAlign w:val="center"/>
            <w:hideMark/>
          </w:tcPr>
          <w:p w:rsidRPr="009D2D72" w:rsidR="00BD5588" w:rsidP="00C57E86" w:rsidRDefault="006E2E27" w14:paraId="5A6F496E" w14:textId="77777777">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Pr="009D2D72" w:rsidR="009D2D72" w:rsidTr="0031438D" w14:paraId="37863427" w14:textId="77777777">
        <w:tc>
          <w:tcPr>
            <w:tcW w:w="311" w:type="pct"/>
            <w:hideMark/>
          </w:tcPr>
          <w:p w:rsidRPr="009D2D72" w:rsidR="00BD5588" w:rsidP="00C57E86" w:rsidRDefault="006E2E27" w14:paraId="74E40C08" w14:textId="77777777">
            <w:pPr>
              <w:jc w:val="center"/>
              <w:rPr>
                <w:color w:val="0D0D0D" w:themeColor="text1" w:themeTint="F2"/>
              </w:rPr>
            </w:pPr>
            <w:r w:rsidRPr="009D2D72">
              <w:rPr>
                <w:color w:val="0D0D0D" w:themeColor="text1" w:themeTint="F2"/>
              </w:rPr>
              <w:t>1.</w:t>
            </w:r>
          </w:p>
        </w:tc>
        <w:tc>
          <w:tcPr>
            <w:tcW w:w="1479" w:type="pct"/>
            <w:hideMark/>
          </w:tcPr>
          <w:p w:rsidRPr="009D2D72" w:rsidR="00BD5588" w:rsidP="00C57E86" w:rsidRDefault="006E2E27" w14:paraId="6BAE904E" w14:textId="77777777">
            <w:pPr>
              <w:rPr>
                <w:color w:val="0D0D0D" w:themeColor="text1" w:themeTint="F2"/>
              </w:rPr>
            </w:pPr>
            <w:r w:rsidRPr="009D2D72">
              <w:rPr>
                <w:color w:val="0D0D0D" w:themeColor="text1" w:themeTint="F2"/>
              </w:rPr>
              <w:t>Projekta izpildē iesaistītās institūcijas</w:t>
            </w:r>
          </w:p>
        </w:tc>
        <w:tc>
          <w:tcPr>
            <w:tcW w:w="3210" w:type="pct"/>
          </w:tcPr>
          <w:p w:rsidRPr="009D2D72" w:rsidR="00186C12" w:rsidP="00B93AE6" w:rsidRDefault="00D170C1" w14:paraId="77D8140D" w14:textId="15A58101">
            <w:pPr>
              <w:ind w:left="118" w:right="100"/>
              <w:jc w:val="both"/>
              <w:rPr>
                <w:color w:val="0D0D0D" w:themeColor="text1" w:themeTint="F2"/>
              </w:rPr>
            </w:pPr>
            <w:r w:rsidRPr="00D170C1">
              <w:rPr>
                <w:color w:val="0D0D0D" w:themeColor="text1" w:themeTint="F2"/>
              </w:rPr>
              <w:t>Satiksmes ministrija</w:t>
            </w:r>
            <w:r w:rsidR="005127CA">
              <w:rPr>
                <w:color w:val="0D0D0D" w:themeColor="text1" w:themeTint="F2"/>
              </w:rPr>
              <w:t>.</w:t>
            </w:r>
          </w:p>
        </w:tc>
      </w:tr>
      <w:tr w:rsidRPr="009D2D72" w:rsidR="009D2D72" w:rsidTr="0031438D" w14:paraId="6D82DD9D" w14:textId="77777777">
        <w:tc>
          <w:tcPr>
            <w:tcW w:w="311" w:type="pct"/>
            <w:hideMark/>
          </w:tcPr>
          <w:p w:rsidRPr="009D2D72" w:rsidR="00BD5588" w:rsidP="00C57E86" w:rsidRDefault="006E2E27" w14:paraId="328B98B5" w14:textId="77777777">
            <w:pPr>
              <w:jc w:val="center"/>
              <w:rPr>
                <w:color w:val="0D0D0D" w:themeColor="text1" w:themeTint="F2"/>
              </w:rPr>
            </w:pPr>
            <w:r w:rsidRPr="009D2D72">
              <w:rPr>
                <w:color w:val="0D0D0D" w:themeColor="text1" w:themeTint="F2"/>
              </w:rPr>
              <w:t>2.</w:t>
            </w:r>
          </w:p>
        </w:tc>
        <w:tc>
          <w:tcPr>
            <w:tcW w:w="1479" w:type="pct"/>
            <w:hideMark/>
          </w:tcPr>
          <w:p w:rsidRPr="009D2D72" w:rsidR="00BD5588" w:rsidP="00C57E86" w:rsidRDefault="006E2E27" w14:paraId="306E17BE" w14:textId="77777777">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 xml:space="preserve">Jaunu institūciju izveide, esošu institūciju likvidācija vai reorganizācija, to ietekme </w:t>
            </w:r>
            <w:r w:rsidRPr="009D2D72">
              <w:rPr>
                <w:color w:val="0D0D0D" w:themeColor="text1" w:themeTint="F2"/>
              </w:rPr>
              <w:lastRenderedPageBreak/>
              <w:t>uz institūcijas cilvēkresursiem</w:t>
            </w:r>
          </w:p>
        </w:tc>
        <w:tc>
          <w:tcPr>
            <w:tcW w:w="3210" w:type="pct"/>
          </w:tcPr>
          <w:p w:rsidRPr="00E056E1" w:rsidR="005127CA" w:rsidP="005127CA" w:rsidRDefault="005127CA" w14:paraId="24EE727C" w14:textId="2F6AF76D">
            <w:pPr>
              <w:ind w:left="118" w:right="100" w:firstLine="147"/>
              <w:jc w:val="both"/>
              <w:rPr>
                <w:color w:val="0D0D0D" w:themeColor="text1" w:themeTint="F2"/>
              </w:rPr>
            </w:pPr>
            <w:r w:rsidRPr="00E056E1">
              <w:rPr>
                <w:color w:val="0D0D0D" w:themeColor="text1" w:themeTint="F2"/>
              </w:rPr>
              <w:lastRenderedPageBreak/>
              <w:t>Ir izveidota jauna</w:t>
            </w:r>
            <w:r w:rsidR="001B165B">
              <w:rPr>
                <w:color w:val="0D0D0D" w:themeColor="text1" w:themeTint="F2"/>
              </w:rPr>
              <w:t xml:space="preserve"> valsts</w:t>
            </w:r>
            <w:r w:rsidRPr="00E056E1">
              <w:rPr>
                <w:color w:val="0D0D0D" w:themeColor="text1" w:themeTint="F2"/>
              </w:rPr>
              <w:t xml:space="preserve"> akciju sabiedrība </w:t>
            </w:r>
            <w:r w:rsidR="00415A12">
              <w:rPr>
                <w:color w:val="0D0D0D" w:themeColor="text1" w:themeTint="F2"/>
              </w:rPr>
              <w:t>“Ventas osta”</w:t>
            </w:r>
            <w:r w:rsidRPr="00E056E1">
              <w:rPr>
                <w:color w:val="0D0D0D" w:themeColor="text1" w:themeTint="F2"/>
              </w:rPr>
              <w:t xml:space="preserve"> kuras galvenais uzdevums būs nodrošināt Ventspils ostas </w:t>
            </w:r>
            <w:r w:rsidRPr="00E056E1" w:rsidR="00D876C0">
              <w:rPr>
                <w:color w:val="0D0D0D" w:themeColor="text1" w:themeTint="F2"/>
              </w:rPr>
              <w:t>darbīb</w:t>
            </w:r>
            <w:r w:rsidR="00D876C0">
              <w:rPr>
                <w:color w:val="0D0D0D" w:themeColor="text1" w:themeTint="F2"/>
              </w:rPr>
              <w:t>u, pārvaldīšanu un apsaimniekošanu.</w:t>
            </w:r>
            <w:r w:rsidRPr="00E056E1" w:rsidR="00D876C0">
              <w:rPr>
                <w:color w:val="0D0D0D" w:themeColor="text1" w:themeTint="F2"/>
              </w:rPr>
              <w:t xml:space="preserve"> </w:t>
            </w:r>
          </w:p>
          <w:p w:rsidR="005127CA" w:rsidP="00B93AE6" w:rsidRDefault="005127CA" w14:paraId="0CA6A9E8" w14:textId="77777777">
            <w:pPr>
              <w:ind w:left="118" w:right="100"/>
              <w:jc w:val="both"/>
              <w:rPr>
                <w:color w:val="0D0D0D" w:themeColor="text1" w:themeTint="F2"/>
              </w:rPr>
            </w:pPr>
          </w:p>
          <w:p w:rsidRPr="009D2D72" w:rsidR="009528D6" w:rsidP="00B93AE6" w:rsidRDefault="009528D6" w14:paraId="127A00F1" w14:textId="78A78857">
            <w:pPr>
              <w:ind w:left="118" w:right="100"/>
              <w:jc w:val="both"/>
              <w:rPr>
                <w:color w:val="0D0D0D" w:themeColor="text1" w:themeTint="F2"/>
              </w:rPr>
            </w:pPr>
            <w:r w:rsidRPr="009528D6">
              <w:rPr>
                <w:color w:val="0D0D0D" w:themeColor="text1" w:themeTint="F2"/>
              </w:rPr>
              <w:t xml:space="preserve">Esošās atvasinātā publiskā persona Ventspils brīvostas pārvalde turpina pastāvēt, taču sagaidāms, ka ievērojam daļa darbinieku – speciālisti, tehniskais personāls u.c. </w:t>
            </w:r>
            <w:r w:rsidRPr="009528D6">
              <w:rPr>
                <w:color w:val="0D0D0D" w:themeColor="text1" w:themeTint="F2"/>
              </w:rPr>
              <w:lastRenderedPageBreak/>
              <w:t>pakāpeniski pāries darbā uz</w:t>
            </w:r>
            <w:r w:rsidR="001B165B">
              <w:rPr>
                <w:color w:val="0D0D0D" w:themeColor="text1" w:themeTint="F2"/>
              </w:rPr>
              <w:t xml:space="preserve"> valsts a</w:t>
            </w:r>
            <w:r w:rsidR="00637AD0">
              <w:rPr>
                <w:color w:val="0D0D0D" w:themeColor="text1" w:themeTint="F2"/>
              </w:rPr>
              <w:t>kciju</w:t>
            </w:r>
            <w:r w:rsidR="001B165B">
              <w:rPr>
                <w:color w:val="0D0D0D" w:themeColor="text1" w:themeTint="F2"/>
              </w:rPr>
              <w:t xml:space="preserve"> sabiedrību</w:t>
            </w:r>
            <w:r w:rsidR="00637AD0">
              <w:rPr>
                <w:color w:val="0D0D0D" w:themeColor="text1" w:themeTint="F2"/>
              </w:rPr>
              <w:t xml:space="preserve"> </w:t>
            </w:r>
            <w:r w:rsidR="00415A12">
              <w:rPr>
                <w:color w:val="0D0D0D" w:themeColor="text1" w:themeTint="F2"/>
              </w:rPr>
              <w:t>“Ventas osta”.</w:t>
            </w:r>
          </w:p>
        </w:tc>
      </w:tr>
      <w:tr w:rsidRPr="009D2D72" w:rsidR="00477344" w:rsidTr="006E22EB" w14:paraId="2CB4F030" w14:textId="77777777">
        <w:tc>
          <w:tcPr>
            <w:tcW w:w="311" w:type="pct"/>
            <w:hideMark/>
          </w:tcPr>
          <w:p w:rsidRPr="009D2D72" w:rsidR="00BD5588" w:rsidP="00C57E86" w:rsidRDefault="006E2E27" w14:paraId="507CB57D" w14:textId="77777777">
            <w:pPr>
              <w:jc w:val="center"/>
              <w:rPr>
                <w:color w:val="0D0D0D" w:themeColor="text1" w:themeTint="F2"/>
              </w:rPr>
            </w:pPr>
            <w:r w:rsidRPr="009D2D72">
              <w:rPr>
                <w:color w:val="0D0D0D" w:themeColor="text1" w:themeTint="F2"/>
              </w:rPr>
              <w:lastRenderedPageBreak/>
              <w:t>3.</w:t>
            </w:r>
          </w:p>
        </w:tc>
        <w:tc>
          <w:tcPr>
            <w:tcW w:w="1479" w:type="pct"/>
            <w:hideMark/>
          </w:tcPr>
          <w:p w:rsidRPr="009D2D72" w:rsidR="00BD5588" w:rsidP="00C57E86" w:rsidRDefault="006E2E27" w14:paraId="5B4B5426" w14:textId="77777777">
            <w:pPr>
              <w:rPr>
                <w:color w:val="0D0D0D" w:themeColor="text1" w:themeTint="F2"/>
              </w:rPr>
            </w:pPr>
            <w:r w:rsidRPr="009D2D72">
              <w:rPr>
                <w:color w:val="0D0D0D" w:themeColor="text1" w:themeTint="F2"/>
              </w:rPr>
              <w:t>Cita informācija</w:t>
            </w:r>
          </w:p>
        </w:tc>
        <w:tc>
          <w:tcPr>
            <w:tcW w:w="3210" w:type="pct"/>
            <w:hideMark/>
          </w:tcPr>
          <w:p w:rsidRPr="009D2D72" w:rsidR="00A04176" w:rsidP="00C57E86" w:rsidRDefault="006E2E27" w14:paraId="73E82A8A" w14:textId="77777777">
            <w:pPr>
              <w:rPr>
                <w:color w:val="0D0D0D" w:themeColor="text1" w:themeTint="F2"/>
              </w:rPr>
            </w:pPr>
            <w:r w:rsidRPr="009D2D72">
              <w:rPr>
                <w:color w:val="0D0D0D" w:themeColor="text1" w:themeTint="F2"/>
              </w:rPr>
              <w:t>Nav.</w:t>
            </w:r>
          </w:p>
        </w:tc>
      </w:tr>
    </w:tbl>
    <w:p w:rsidRPr="009D2D72" w:rsidR="00AF7506" w:rsidP="00C57E86" w:rsidRDefault="00AF7506" w14:paraId="2F023204" w14:textId="77777777">
      <w:pPr>
        <w:rPr>
          <w:color w:val="0D0D0D" w:themeColor="text1" w:themeTint="F2"/>
        </w:rPr>
      </w:pPr>
    </w:p>
    <w:p w:rsidRPr="009D2D72" w:rsidR="00E80DB8" w:rsidP="00D81B0A" w:rsidRDefault="00E80DB8" w14:paraId="26F4CA7D" w14:textId="52FDA7F1">
      <w:pPr>
        <w:rPr>
          <w:b/>
        </w:rPr>
      </w:pPr>
      <w:r w:rsidRPr="009D2D72">
        <w:t>Satiksmes ministrs</w:t>
      </w:r>
      <w:r w:rsidRPr="009D2D72">
        <w:tab/>
      </w:r>
      <w:r w:rsidR="00D81B0A">
        <w:tab/>
      </w:r>
      <w:r w:rsidR="00D81B0A">
        <w:tab/>
      </w:r>
      <w:r w:rsidR="00D81B0A">
        <w:tab/>
      </w:r>
      <w:r w:rsidR="00D81B0A">
        <w:tab/>
      </w:r>
      <w:r w:rsidR="00D81B0A">
        <w:tab/>
      </w:r>
      <w:r w:rsidR="00D81B0A">
        <w:tab/>
      </w:r>
      <w:r w:rsidR="00D81B0A">
        <w:tab/>
      </w:r>
      <w:r w:rsidR="00C063C0">
        <w:t>T.Linkaits</w:t>
      </w:r>
    </w:p>
    <w:p w:rsidRPr="009D2D72" w:rsidR="00E80DB8" w:rsidP="00D81B0A" w:rsidRDefault="00E80DB8" w14:paraId="1808E6C5" w14:textId="77777777"/>
    <w:p w:rsidRPr="009D2D72" w:rsidR="00E80DB8" w:rsidP="00D81B0A" w:rsidRDefault="00E80DB8" w14:paraId="47A5EE2E" w14:textId="77777777">
      <w:pPr>
        <w:rPr>
          <w:b/>
        </w:rPr>
      </w:pPr>
      <w:r w:rsidRPr="009D2D72">
        <w:t xml:space="preserve">Vīza: </w:t>
      </w:r>
    </w:p>
    <w:p w:rsidRPr="002324B5" w:rsidR="002324B5" w:rsidP="002324B5" w:rsidRDefault="006D353A" w14:paraId="338CE565" w14:textId="74865484">
      <w:r>
        <w:t>v</w:t>
      </w:r>
      <w:r w:rsidRPr="002324B5" w:rsidR="002324B5">
        <w:t>alsts sekretāra p.i.</w:t>
      </w:r>
      <w:r w:rsidRPr="002324B5" w:rsidR="002324B5">
        <w:tab/>
      </w:r>
      <w:r w:rsidRPr="002324B5" w:rsidR="002324B5">
        <w:tab/>
        <w:t xml:space="preserve"> </w:t>
      </w:r>
      <w:r w:rsidRPr="002324B5" w:rsidR="002324B5">
        <w:tab/>
      </w:r>
      <w:r w:rsidRPr="002324B5" w:rsidR="002324B5">
        <w:tab/>
      </w:r>
      <w:r w:rsidRPr="002324B5" w:rsidR="002324B5">
        <w:tab/>
      </w:r>
      <w:r w:rsidRPr="002324B5" w:rsidR="002324B5">
        <w:tab/>
      </w:r>
      <w:r w:rsidR="002324B5">
        <w:tab/>
      </w:r>
      <w:r w:rsidRPr="002324B5" w:rsidR="002324B5">
        <w:tab/>
      </w:r>
      <w:r w:rsidR="00B95967">
        <w:t>Dž.Innusa</w:t>
      </w:r>
    </w:p>
    <w:p w:rsidRPr="00C063C0" w:rsidR="00C063C0" w:rsidP="00C57E86" w:rsidRDefault="00C063C0" w14:paraId="694D7935" w14:textId="77777777">
      <w:pPr>
        <w:rPr>
          <w:sz w:val="20"/>
          <w:szCs w:val="20"/>
          <w:lang w:eastAsia="en-US"/>
        </w:rPr>
      </w:pPr>
    </w:p>
    <w:p w:rsidRPr="00611D2A" w:rsidR="00B95967" w:rsidP="00611D2A" w:rsidRDefault="00B95967" w14:paraId="1A94600E" w14:textId="77777777">
      <w:pPr>
        <w:rPr>
          <w:sz w:val="20"/>
          <w:szCs w:val="20"/>
          <w:lang w:eastAsia="en-US"/>
        </w:rPr>
      </w:pPr>
    </w:p>
    <w:sectPr w:rsidRPr="00611D2A" w:rsidR="00B95967"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C485" w14:textId="77777777" w:rsidR="007E5759" w:rsidRDefault="007E5759">
      <w:r>
        <w:separator/>
      </w:r>
    </w:p>
  </w:endnote>
  <w:endnote w:type="continuationSeparator" w:id="0">
    <w:p w14:paraId="17DBC902" w14:textId="77777777" w:rsidR="007E5759" w:rsidRDefault="007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54A2F096" w:rsidR="00A066E4" w:rsidRPr="00F52BE9" w:rsidRDefault="00A066E4" w:rsidP="00F52BE9">
    <w:pPr>
      <w:pStyle w:val="Footer"/>
      <w:rPr>
        <w:sz w:val="20"/>
        <w:szCs w:val="20"/>
      </w:rPr>
    </w:pPr>
    <w:r w:rsidRPr="00F52BE9">
      <w:rPr>
        <w:sz w:val="20"/>
        <w:szCs w:val="20"/>
      </w:rPr>
      <w:t>SManot_</w:t>
    </w:r>
    <w:r w:rsidR="00573BCA">
      <w:rPr>
        <w:sz w:val="20"/>
        <w:szCs w:val="20"/>
      </w:rPr>
      <w:t>1</w:t>
    </w:r>
    <w:r w:rsidR="00BA1130">
      <w:rPr>
        <w:sz w:val="20"/>
        <w:szCs w:val="20"/>
      </w:rPr>
      <w:t>6</w:t>
    </w:r>
    <w:r w:rsidR="00573BCA" w:rsidRPr="00F52BE9">
      <w:rPr>
        <w:sz w:val="20"/>
        <w:szCs w:val="20"/>
      </w:rPr>
      <w:t>1219</w:t>
    </w:r>
    <w:r w:rsidRPr="00F52BE9">
      <w:rPr>
        <w:sz w:val="20"/>
        <w:szCs w:val="20"/>
      </w:rPr>
      <w:t>_osta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56D76B99" w:rsidR="00A066E4" w:rsidRPr="00724AEF" w:rsidRDefault="00A066E4">
    <w:pPr>
      <w:pStyle w:val="Footer"/>
      <w:rPr>
        <w:sz w:val="20"/>
        <w:szCs w:val="20"/>
      </w:rPr>
    </w:pPr>
    <w:r w:rsidRPr="002324B5">
      <w:rPr>
        <w:sz w:val="20"/>
        <w:szCs w:val="20"/>
      </w:rPr>
      <w:t>SM</w:t>
    </w:r>
    <w:r>
      <w:rPr>
        <w:sz w:val="20"/>
        <w:szCs w:val="20"/>
      </w:rPr>
      <w:t>a</w:t>
    </w:r>
    <w:r w:rsidRPr="002324B5">
      <w:rPr>
        <w:sz w:val="20"/>
        <w:szCs w:val="20"/>
      </w:rPr>
      <w:t>not_</w:t>
    </w:r>
    <w:r>
      <w:rPr>
        <w:sz w:val="20"/>
        <w:szCs w:val="20"/>
      </w:rPr>
      <w:t>1</w:t>
    </w:r>
    <w:r w:rsidR="00BA1130">
      <w:rPr>
        <w:sz w:val="20"/>
        <w:szCs w:val="20"/>
      </w:rPr>
      <w:t>6</w:t>
    </w:r>
    <w:r>
      <w:rPr>
        <w:sz w:val="20"/>
        <w:szCs w:val="20"/>
      </w:rPr>
      <w:t>12</w:t>
    </w:r>
    <w:r w:rsidRPr="002324B5">
      <w:rPr>
        <w:sz w:val="20"/>
        <w:szCs w:val="20"/>
      </w:rPr>
      <w:t>19</w:t>
    </w:r>
    <w:r w:rsidR="00855B1A">
      <w:rPr>
        <w:sz w:val="20"/>
        <w:szCs w:val="20"/>
      </w:rPr>
      <w:t>_</w:t>
    </w:r>
    <w:r>
      <w:rPr>
        <w:sz w:val="20"/>
        <w:szCs w:val="20"/>
      </w:rPr>
      <w:t>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6CF3" w14:textId="77777777" w:rsidR="007E5759" w:rsidRDefault="007E5759">
      <w:r>
        <w:separator/>
      </w:r>
    </w:p>
  </w:footnote>
  <w:footnote w:type="continuationSeparator" w:id="0">
    <w:p w14:paraId="756069EA" w14:textId="77777777" w:rsidR="007E5759" w:rsidRDefault="007E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rsidR="00A066E4" w:rsidP="00C8271E" w:rsidRDefault="00A066E4" w14:paraId="0645182A" w14:textId="77777777">
        <w:pPr>
          <w:pStyle w:val="Header"/>
          <w:ind w:left="4487" w:firstLine="4153"/>
        </w:pPr>
        <w:r>
          <w:fldChar w:fldCharType="begin"/>
        </w:r>
        <w:r>
          <w:instrText xml:space="preserve"> PAGE   \* MERGEFORMAT </w:instrText>
        </w:r>
        <w:r>
          <w:fldChar w:fldCharType="separate"/>
        </w:r>
        <w:r>
          <w:rPr>
            <w:noProof/>
          </w:rPr>
          <w:t>9</w:t>
        </w:r>
        <w:r>
          <w:rPr>
            <w:noProof/>
          </w:rPr>
          <w:fldChar w:fldCharType="end"/>
        </w:r>
      </w:p>
    </w:sdtContent>
  </w:sdt>
  <w:p w:rsidR="00A066E4" w:rsidRDefault="00A066E4" w14:paraId="23BCAC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9077F97"/>
    <w:multiLevelType w:val="hybridMultilevel"/>
    <w:tmpl w:val="A5B21784"/>
    <w:lvl w:ilvl="0" w:tplc="C5445E3C">
      <w:start w:val="1"/>
      <w:numFmt w:val="decimal"/>
      <w:lvlText w:val="%1."/>
      <w:lvlJc w:val="left"/>
      <w:pPr>
        <w:ind w:left="622" w:hanging="360"/>
      </w:pPr>
      <w:rPr>
        <w:rFonts w:hint="default"/>
      </w:rPr>
    </w:lvl>
    <w:lvl w:ilvl="1" w:tplc="04260019" w:tentative="1">
      <w:start w:val="1"/>
      <w:numFmt w:val="lowerLetter"/>
      <w:lvlText w:val="%2."/>
      <w:lvlJc w:val="left"/>
      <w:pPr>
        <w:ind w:left="1342" w:hanging="360"/>
      </w:pPr>
    </w:lvl>
    <w:lvl w:ilvl="2" w:tplc="0426001B" w:tentative="1">
      <w:start w:val="1"/>
      <w:numFmt w:val="lowerRoman"/>
      <w:lvlText w:val="%3."/>
      <w:lvlJc w:val="right"/>
      <w:pPr>
        <w:ind w:left="2062" w:hanging="180"/>
      </w:pPr>
    </w:lvl>
    <w:lvl w:ilvl="3" w:tplc="0426000F" w:tentative="1">
      <w:start w:val="1"/>
      <w:numFmt w:val="decimal"/>
      <w:lvlText w:val="%4."/>
      <w:lvlJc w:val="left"/>
      <w:pPr>
        <w:ind w:left="2782" w:hanging="360"/>
      </w:pPr>
    </w:lvl>
    <w:lvl w:ilvl="4" w:tplc="04260019" w:tentative="1">
      <w:start w:val="1"/>
      <w:numFmt w:val="lowerLetter"/>
      <w:lvlText w:val="%5."/>
      <w:lvlJc w:val="left"/>
      <w:pPr>
        <w:ind w:left="3502" w:hanging="360"/>
      </w:pPr>
    </w:lvl>
    <w:lvl w:ilvl="5" w:tplc="0426001B" w:tentative="1">
      <w:start w:val="1"/>
      <w:numFmt w:val="lowerRoman"/>
      <w:lvlText w:val="%6."/>
      <w:lvlJc w:val="right"/>
      <w:pPr>
        <w:ind w:left="4222" w:hanging="180"/>
      </w:pPr>
    </w:lvl>
    <w:lvl w:ilvl="6" w:tplc="0426000F" w:tentative="1">
      <w:start w:val="1"/>
      <w:numFmt w:val="decimal"/>
      <w:lvlText w:val="%7."/>
      <w:lvlJc w:val="left"/>
      <w:pPr>
        <w:ind w:left="4942" w:hanging="360"/>
      </w:pPr>
    </w:lvl>
    <w:lvl w:ilvl="7" w:tplc="04260019" w:tentative="1">
      <w:start w:val="1"/>
      <w:numFmt w:val="lowerLetter"/>
      <w:lvlText w:val="%8."/>
      <w:lvlJc w:val="left"/>
      <w:pPr>
        <w:ind w:left="5662" w:hanging="360"/>
      </w:pPr>
    </w:lvl>
    <w:lvl w:ilvl="8" w:tplc="0426001B" w:tentative="1">
      <w:start w:val="1"/>
      <w:numFmt w:val="lowerRoman"/>
      <w:lvlText w:val="%9."/>
      <w:lvlJc w:val="right"/>
      <w:pPr>
        <w:ind w:left="6382"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215920"/>
    <w:multiLevelType w:val="hybridMultilevel"/>
    <w:tmpl w:val="A5B21784"/>
    <w:lvl w:ilvl="0" w:tplc="C5445E3C">
      <w:start w:val="1"/>
      <w:numFmt w:val="decimal"/>
      <w:lvlText w:val="%1."/>
      <w:lvlJc w:val="left"/>
      <w:pPr>
        <w:ind w:left="622" w:hanging="360"/>
      </w:pPr>
      <w:rPr>
        <w:rFonts w:hint="default"/>
      </w:rPr>
    </w:lvl>
    <w:lvl w:ilvl="1" w:tplc="04260019" w:tentative="1">
      <w:start w:val="1"/>
      <w:numFmt w:val="lowerLetter"/>
      <w:lvlText w:val="%2."/>
      <w:lvlJc w:val="left"/>
      <w:pPr>
        <w:ind w:left="1342" w:hanging="360"/>
      </w:pPr>
    </w:lvl>
    <w:lvl w:ilvl="2" w:tplc="0426001B" w:tentative="1">
      <w:start w:val="1"/>
      <w:numFmt w:val="lowerRoman"/>
      <w:lvlText w:val="%3."/>
      <w:lvlJc w:val="right"/>
      <w:pPr>
        <w:ind w:left="2062" w:hanging="180"/>
      </w:pPr>
    </w:lvl>
    <w:lvl w:ilvl="3" w:tplc="0426000F" w:tentative="1">
      <w:start w:val="1"/>
      <w:numFmt w:val="decimal"/>
      <w:lvlText w:val="%4."/>
      <w:lvlJc w:val="left"/>
      <w:pPr>
        <w:ind w:left="2782" w:hanging="360"/>
      </w:pPr>
    </w:lvl>
    <w:lvl w:ilvl="4" w:tplc="04260019" w:tentative="1">
      <w:start w:val="1"/>
      <w:numFmt w:val="lowerLetter"/>
      <w:lvlText w:val="%5."/>
      <w:lvlJc w:val="left"/>
      <w:pPr>
        <w:ind w:left="3502" w:hanging="360"/>
      </w:pPr>
    </w:lvl>
    <w:lvl w:ilvl="5" w:tplc="0426001B" w:tentative="1">
      <w:start w:val="1"/>
      <w:numFmt w:val="lowerRoman"/>
      <w:lvlText w:val="%6."/>
      <w:lvlJc w:val="right"/>
      <w:pPr>
        <w:ind w:left="4222" w:hanging="180"/>
      </w:pPr>
    </w:lvl>
    <w:lvl w:ilvl="6" w:tplc="0426000F" w:tentative="1">
      <w:start w:val="1"/>
      <w:numFmt w:val="decimal"/>
      <w:lvlText w:val="%7."/>
      <w:lvlJc w:val="left"/>
      <w:pPr>
        <w:ind w:left="4942" w:hanging="360"/>
      </w:pPr>
    </w:lvl>
    <w:lvl w:ilvl="7" w:tplc="04260019" w:tentative="1">
      <w:start w:val="1"/>
      <w:numFmt w:val="lowerLetter"/>
      <w:lvlText w:val="%8."/>
      <w:lvlJc w:val="left"/>
      <w:pPr>
        <w:ind w:left="5662" w:hanging="360"/>
      </w:pPr>
    </w:lvl>
    <w:lvl w:ilvl="8" w:tplc="0426001B" w:tentative="1">
      <w:start w:val="1"/>
      <w:numFmt w:val="lowerRoman"/>
      <w:lvlText w:val="%9."/>
      <w:lvlJc w:val="right"/>
      <w:pPr>
        <w:ind w:left="6382" w:hanging="180"/>
      </w:p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6"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7"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8"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9"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0"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1"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2" w15:restartNumberingAfterBreak="0">
    <w:nsid w:val="5DB4170C"/>
    <w:multiLevelType w:val="hybridMultilevel"/>
    <w:tmpl w:val="C8329ABE"/>
    <w:lvl w:ilvl="0" w:tplc="E63C1548">
      <w:start w:val="1"/>
      <w:numFmt w:val="decimal"/>
      <w:lvlText w:val="%1."/>
      <w:lvlJc w:val="left"/>
      <w:pPr>
        <w:ind w:left="338" w:hanging="360"/>
      </w:pPr>
      <w:rPr>
        <w:rFonts w:hint="default"/>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1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5"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6"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6"/>
  </w:num>
  <w:num w:numId="2">
    <w:abstractNumId w:val="7"/>
  </w:num>
  <w:num w:numId="3">
    <w:abstractNumId w:val="5"/>
  </w:num>
  <w:num w:numId="4">
    <w:abstractNumId w:val="8"/>
  </w:num>
  <w:num w:numId="5">
    <w:abstractNumId w:val="9"/>
  </w:num>
  <w:num w:numId="6">
    <w:abstractNumId w:val="14"/>
  </w:num>
  <w:num w:numId="7">
    <w:abstractNumId w:val="11"/>
  </w:num>
  <w:num w:numId="8">
    <w:abstractNumId w:val="4"/>
  </w:num>
  <w:num w:numId="9">
    <w:abstractNumId w:val="13"/>
  </w:num>
  <w:num w:numId="10">
    <w:abstractNumId w:val="15"/>
  </w:num>
  <w:num w:numId="11">
    <w:abstractNumId w:val="0"/>
  </w:num>
  <w:num w:numId="12">
    <w:abstractNumId w:val="2"/>
  </w:num>
  <w:num w:numId="13">
    <w:abstractNumId w:val="10"/>
  </w:num>
  <w:num w:numId="14">
    <w:abstractNumId w:val="17"/>
  </w:num>
  <w:num w:numId="15">
    <w:abstractNumId w:val="16"/>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01750"/>
    <w:rsid w:val="00013013"/>
    <w:rsid w:val="00013DFF"/>
    <w:rsid w:val="00016532"/>
    <w:rsid w:val="00035DBF"/>
    <w:rsid w:val="00040764"/>
    <w:rsid w:val="00040D63"/>
    <w:rsid w:val="0004565D"/>
    <w:rsid w:val="00050F6B"/>
    <w:rsid w:val="00061A2B"/>
    <w:rsid w:val="00064101"/>
    <w:rsid w:val="00064E15"/>
    <w:rsid w:val="000716F8"/>
    <w:rsid w:val="0007194C"/>
    <w:rsid w:val="0007285D"/>
    <w:rsid w:val="00073B5D"/>
    <w:rsid w:val="00074913"/>
    <w:rsid w:val="000750CA"/>
    <w:rsid w:val="00076770"/>
    <w:rsid w:val="00080B22"/>
    <w:rsid w:val="000827E1"/>
    <w:rsid w:val="00083D2F"/>
    <w:rsid w:val="000941F9"/>
    <w:rsid w:val="00095D84"/>
    <w:rsid w:val="0009692F"/>
    <w:rsid w:val="000A0A1C"/>
    <w:rsid w:val="000A1276"/>
    <w:rsid w:val="000A7A6F"/>
    <w:rsid w:val="000A7B48"/>
    <w:rsid w:val="000B3D62"/>
    <w:rsid w:val="000B4ECF"/>
    <w:rsid w:val="000C0750"/>
    <w:rsid w:val="000C3A62"/>
    <w:rsid w:val="000C3CF0"/>
    <w:rsid w:val="000D1A8E"/>
    <w:rsid w:val="000D1C35"/>
    <w:rsid w:val="000D2A18"/>
    <w:rsid w:val="000E0E0F"/>
    <w:rsid w:val="000E1074"/>
    <w:rsid w:val="000E1CF9"/>
    <w:rsid w:val="000E2382"/>
    <w:rsid w:val="000E3638"/>
    <w:rsid w:val="000E544A"/>
    <w:rsid w:val="000E5552"/>
    <w:rsid w:val="000E7319"/>
    <w:rsid w:val="000F6ECD"/>
    <w:rsid w:val="00104B43"/>
    <w:rsid w:val="00107009"/>
    <w:rsid w:val="00107A3C"/>
    <w:rsid w:val="00107E59"/>
    <w:rsid w:val="001212C7"/>
    <w:rsid w:val="0012499A"/>
    <w:rsid w:val="00136397"/>
    <w:rsid w:val="00141B45"/>
    <w:rsid w:val="00142FE9"/>
    <w:rsid w:val="001441A8"/>
    <w:rsid w:val="001470DB"/>
    <w:rsid w:val="00147A5D"/>
    <w:rsid w:val="0015360B"/>
    <w:rsid w:val="00155B99"/>
    <w:rsid w:val="001561B1"/>
    <w:rsid w:val="00156897"/>
    <w:rsid w:val="00160FEF"/>
    <w:rsid w:val="00164414"/>
    <w:rsid w:val="00164D7F"/>
    <w:rsid w:val="0016772E"/>
    <w:rsid w:val="0017647A"/>
    <w:rsid w:val="00180563"/>
    <w:rsid w:val="00182566"/>
    <w:rsid w:val="001838FA"/>
    <w:rsid w:val="00186C12"/>
    <w:rsid w:val="00190134"/>
    <w:rsid w:val="00190824"/>
    <w:rsid w:val="00191340"/>
    <w:rsid w:val="001918E5"/>
    <w:rsid w:val="001924B0"/>
    <w:rsid w:val="001925EF"/>
    <w:rsid w:val="00194622"/>
    <w:rsid w:val="001968CC"/>
    <w:rsid w:val="00197437"/>
    <w:rsid w:val="00197AFA"/>
    <w:rsid w:val="001A44A7"/>
    <w:rsid w:val="001B165B"/>
    <w:rsid w:val="001C271E"/>
    <w:rsid w:val="001C2F9F"/>
    <w:rsid w:val="001C6B11"/>
    <w:rsid w:val="001C7039"/>
    <w:rsid w:val="001D6F2D"/>
    <w:rsid w:val="001D7342"/>
    <w:rsid w:val="001E4175"/>
    <w:rsid w:val="001E45F8"/>
    <w:rsid w:val="001E5E7A"/>
    <w:rsid w:val="001F25E9"/>
    <w:rsid w:val="001F316D"/>
    <w:rsid w:val="001F417F"/>
    <w:rsid w:val="001F4915"/>
    <w:rsid w:val="001F4937"/>
    <w:rsid w:val="001F77A0"/>
    <w:rsid w:val="002002F8"/>
    <w:rsid w:val="00215AD2"/>
    <w:rsid w:val="00222910"/>
    <w:rsid w:val="002248D5"/>
    <w:rsid w:val="002324B5"/>
    <w:rsid w:val="00233C77"/>
    <w:rsid w:val="00234AEC"/>
    <w:rsid w:val="00241D9C"/>
    <w:rsid w:val="00242006"/>
    <w:rsid w:val="00242AF5"/>
    <w:rsid w:val="0024432F"/>
    <w:rsid w:val="002460C3"/>
    <w:rsid w:val="00250051"/>
    <w:rsid w:val="00250E58"/>
    <w:rsid w:val="00254DA2"/>
    <w:rsid w:val="00257ACC"/>
    <w:rsid w:val="00261E56"/>
    <w:rsid w:val="0026204A"/>
    <w:rsid w:val="002624DC"/>
    <w:rsid w:val="00276EF6"/>
    <w:rsid w:val="00277AF4"/>
    <w:rsid w:val="00282F30"/>
    <w:rsid w:val="002925EF"/>
    <w:rsid w:val="002973B0"/>
    <w:rsid w:val="002A2F57"/>
    <w:rsid w:val="002A524E"/>
    <w:rsid w:val="002A68F1"/>
    <w:rsid w:val="002B15D7"/>
    <w:rsid w:val="002B2526"/>
    <w:rsid w:val="002B4811"/>
    <w:rsid w:val="002B5130"/>
    <w:rsid w:val="002B6819"/>
    <w:rsid w:val="002C28C9"/>
    <w:rsid w:val="002C2C39"/>
    <w:rsid w:val="002C5C2D"/>
    <w:rsid w:val="002D363B"/>
    <w:rsid w:val="002D6721"/>
    <w:rsid w:val="002E0C5E"/>
    <w:rsid w:val="002E1E15"/>
    <w:rsid w:val="002E4A3E"/>
    <w:rsid w:val="002E553E"/>
    <w:rsid w:val="002F4E07"/>
    <w:rsid w:val="002F635E"/>
    <w:rsid w:val="0030487E"/>
    <w:rsid w:val="00304F54"/>
    <w:rsid w:val="0031438D"/>
    <w:rsid w:val="00315987"/>
    <w:rsid w:val="0031736A"/>
    <w:rsid w:val="003222C8"/>
    <w:rsid w:val="00324CE0"/>
    <w:rsid w:val="0032633A"/>
    <w:rsid w:val="0032645A"/>
    <w:rsid w:val="0033157A"/>
    <w:rsid w:val="0033169C"/>
    <w:rsid w:val="00333796"/>
    <w:rsid w:val="00340631"/>
    <w:rsid w:val="00345BBE"/>
    <w:rsid w:val="003506D4"/>
    <w:rsid w:val="003647D9"/>
    <w:rsid w:val="0036484F"/>
    <w:rsid w:val="003656BD"/>
    <w:rsid w:val="00366524"/>
    <w:rsid w:val="00372312"/>
    <w:rsid w:val="00372469"/>
    <w:rsid w:val="00372A0D"/>
    <w:rsid w:val="00373067"/>
    <w:rsid w:val="00373211"/>
    <w:rsid w:val="00373B35"/>
    <w:rsid w:val="00374635"/>
    <w:rsid w:val="00382272"/>
    <w:rsid w:val="00383B91"/>
    <w:rsid w:val="00386489"/>
    <w:rsid w:val="00386BCF"/>
    <w:rsid w:val="003940D4"/>
    <w:rsid w:val="003A0705"/>
    <w:rsid w:val="003A166B"/>
    <w:rsid w:val="003A21B8"/>
    <w:rsid w:val="003A3C65"/>
    <w:rsid w:val="003A59A0"/>
    <w:rsid w:val="003A6E9A"/>
    <w:rsid w:val="003A7C3B"/>
    <w:rsid w:val="003B58C7"/>
    <w:rsid w:val="003C0FBB"/>
    <w:rsid w:val="003C2E1D"/>
    <w:rsid w:val="003C3047"/>
    <w:rsid w:val="003D0134"/>
    <w:rsid w:val="003D0AAF"/>
    <w:rsid w:val="003D0C57"/>
    <w:rsid w:val="003D4716"/>
    <w:rsid w:val="003D7366"/>
    <w:rsid w:val="003D758A"/>
    <w:rsid w:val="003D7616"/>
    <w:rsid w:val="003D7CB7"/>
    <w:rsid w:val="003E30F3"/>
    <w:rsid w:val="003F2172"/>
    <w:rsid w:val="003F463E"/>
    <w:rsid w:val="004029CF"/>
    <w:rsid w:val="004054FB"/>
    <w:rsid w:val="004058BF"/>
    <w:rsid w:val="004101E6"/>
    <w:rsid w:val="00415956"/>
    <w:rsid w:val="00415A12"/>
    <w:rsid w:val="00417522"/>
    <w:rsid w:val="004248D7"/>
    <w:rsid w:val="00427942"/>
    <w:rsid w:val="00427EE9"/>
    <w:rsid w:val="00430082"/>
    <w:rsid w:val="004306D5"/>
    <w:rsid w:val="00430AA0"/>
    <w:rsid w:val="004362C7"/>
    <w:rsid w:val="0043693B"/>
    <w:rsid w:val="004421D6"/>
    <w:rsid w:val="00451D84"/>
    <w:rsid w:val="004540B6"/>
    <w:rsid w:val="004625C2"/>
    <w:rsid w:val="00463864"/>
    <w:rsid w:val="004748F8"/>
    <w:rsid w:val="004767B3"/>
    <w:rsid w:val="00477344"/>
    <w:rsid w:val="0048395C"/>
    <w:rsid w:val="0049307D"/>
    <w:rsid w:val="00493218"/>
    <w:rsid w:val="004948C6"/>
    <w:rsid w:val="00496A5E"/>
    <w:rsid w:val="00497FAC"/>
    <w:rsid w:val="004A22E4"/>
    <w:rsid w:val="004A6C6A"/>
    <w:rsid w:val="004B2030"/>
    <w:rsid w:val="004B29D5"/>
    <w:rsid w:val="004B3D68"/>
    <w:rsid w:val="004B3F31"/>
    <w:rsid w:val="004B6A3B"/>
    <w:rsid w:val="004C14EF"/>
    <w:rsid w:val="004C7158"/>
    <w:rsid w:val="004C7A5A"/>
    <w:rsid w:val="004C7D95"/>
    <w:rsid w:val="004D0C3F"/>
    <w:rsid w:val="004E2A64"/>
    <w:rsid w:val="004E2B46"/>
    <w:rsid w:val="004E2E2A"/>
    <w:rsid w:val="004E5314"/>
    <w:rsid w:val="004F3CA0"/>
    <w:rsid w:val="005037C0"/>
    <w:rsid w:val="005127CA"/>
    <w:rsid w:val="0051573C"/>
    <w:rsid w:val="00520114"/>
    <w:rsid w:val="005248D5"/>
    <w:rsid w:val="00525293"/>
    <w:rsid w:val="00535A32"/>
    <w:rsid w:val="005402D9"/>
    <w:rsid w:val="00541887"/>
    <w:rsid w:val="00544914"/>
    <w:rsid w:val="00544C7C"/>
    <w:rsid w:val="00554BAE"/>
    <w:rsid w:val="005559D2"/>
    <w:rsid w:val="005574ED"/>
    <w:rsid w:val="0056170A"/>
    <w:rsid w:val="00564033"/>
    <w:rsid w:val="00566F01"/>
    <w:rsid w:val="00573BCA"/>
    <w:rsid w:val="00576387"/>
    <w:rsid w:val="0058405A"/>
    <w:rsid w:val="00584751"/>
    <w:rsid w:val="00584B99"/>
    <w:rsid w:val="005865CF"/>
    <w:rsid w:val="00590D47"/>
    <w:rsid w:val="005919B9"/>
    <w:rsid w:val="00594358"/>
    <w:rsid w:val="00595B12"/>
    <w:rsid w:val="005A16EC"/>
    <w:rsid w:val="005A4EA0"/>
    <w:rsid w:val="005A784B"/>
    <w:rsid w:val="005A78F1"/>
    <w:rsid w:val="005B28E5"/>
    <w:rsid w:val="005B5BBD"/>
    <w:rsid w:val="005B61C6"/>
    <w:rsid w:val="005C0A73"/>
    <w:rsid w:val="005C457A"/>
    <w:rsid w:val="005C4F7F"/>
    <w:rsid w:val="005C635A"/>
    <w:rsid w:val="005D28CA"/>
    <w:rsid w:val="005D3D2D"/>
    <w:rsid w:val="005E1041"/>
    <w:rsid w:val="005E1C45"/>
    <w:rsid w:val="005F276C"/>
    <w:rsid w:val="005F68F9"/>
    <w:rsid w:val="00601F81"/>
    <w:rsid w:val="00611D2A"/>
    <w:rsid w:val="00620D19"/>
    <w:rsid w:val="00621F6A"/>
    <w:rsid w:val="00632A0E"/>
    <w:rsid w:val="00633A0B"/>
    <w:rsid w:val="006342F1"/>
    <w:rsid w:val="00634316"/>
    <w:rsid w:val="00634FF3"/>
    <w:rsid w:val="00635790"/>
    <w:rsid w:val="00637AD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53AB"/>
    <w:rsid w:val="006B18A4"/>
    <w:rsid w:val="006B3B31"/>
    <w:rsid w:val="006B742D"/>
    <w:rsid w:val="006C25E8"/>
    <w:rsid w:val="006C2881"/>
    <w:rsid w:val="006C4C7A"/>
    <w:rsid w:val="006D2925"/>
    <w:rsid w:val="006D353A"/>
    <w:rsid w:val="006D36C2"/>
    <w:rsid w:val="006E22EB"/>
    <w:rsid w:val="006E2D8A"/>
    <w:rsid w:val="006E2E27"/>
    <w:rsid w:val="006E3935"/>
    <w:rsid w:val="006E462A"/>
    <w:rsid w:val="006E704D"/>
    <w:rsid w:val="006F1C6A"/>
    <w:rsid w:val="006F58BA"/>
    <w:rsid w:val="006F7FBA"/>
    <w:rsid w:val="00700D74"/>
    <w:rsid w:val="00710974"/>
    <w:rsid w:val="00720B18"/>
    <w:rsid w:val="00721444"/>
    <w:rsid w:val="00724AEF"/>
    <w:rsid w:val="00724C70"/>
    <w:rsid w:val="00724ED3"/>
    <w:rsid w:val="0072591A"/>
    <w:rsid w:val="0072684F"/>
    <w:rsid w:val="007325FA"/>
    <w:rsid w:val="007368D8"/>
    <w:rsid w:val="00737785"/>
    <w:rsid w:val="0074255A"/>
    <w:rsid w:val="0074309D"/>
    <w:rsid w:val="007451BD"/>
    <w:rsid w:val="00747917"/>
    <w:rsid w:val="007543DA"/>
    <w:rsid w:val="00755520"/>
    <w:rsid w:val="007563CD"/>
    <w:rsid w:val="00762048"/>
    <w:rsid w:val="00762657"/>
    <w:rsid w:val="007708F8"/>
    <w:rsid w:val="00771352"/>
    <w:rsid w:val="00771490"/>
    <w:rsid w:val="007725A6"/>
    <w:rsid w:val="0077653B"/>
    <w:rsid w:val="00781F4E"/>
    <w:rsid w:val="0078202C"/>
    <w:rsid w:val="007826C7"/>
    <w:rsid w:val="00784FA5"/>
    <w:rsid w:val="0078695F"/>
    <w:rsid w:val="00792053"/>
    <w:rsid w:val="00792CC5"/>
    <w:rsid w:val="00794081"/>
    <w:rsid w:val="007A1F00"/>
    <w:rsid w:val="007A6C3C"/>
    <w:rsid w:val="007B1235"/>
    <w:rsid w:val="007B2E51"/>
    <w:rsid w:val="007B377A"/>
    <w:rsid w:val="007B533E"/>
    <w:rsid w:val="007C3875"/>
    <w:rsid w:val="007C6728"/>
    <w:rsid w:val="007D009B"/>
    <w:rsid w:val="007D0789"/>
    <w:rsid w:val="007D41DC"/>
    <w:rsid w:val="007E5631"/>
    <w:rsid w:val="007E5759"/>
    <w:rsid w:val="007F02B3"/>
    <w:rsid w:val="007F0BCB"/>
    <w:rsid w:val="007F29CB"/>
    <w:rsid w:val="007F5DEB"/>
    <w:rsid w:val="007F6FB4"/>
    <w:rsid w:val="0080008C"/>
    <w:rsid w:val="00805A56"/>
    <w:rsid w:val="00810E84"/>
    <w:rsid w:val="00813A50"/>
    <w:rsid w:val="008148F3"/>
    <w:rsid w:val="00814D20"/>
    <w:rsid w:val="00820831"/>
    <w:rsid w:val="00821908"/>
    <w:rsid w:val="00821D07"/>
    <w:rsid w:val="00824088"/>
    <w:rsid w:val="0083396B"/>
    <w:rsid w:val="00842D5E"/>
    <w:rsid w:val="0084561F"/>
    <w:rsid w:val="0085012E"/>
    <w:rsid w:val="00855B1A"/>
    <w:rsid w:val="0085601B"/>
    <w:rsid w:val="008601E8"/>
    <w:rsid w:val="0086531D"/>
    <w:rsid w:val="00865761"/>
    <w:rsid w:val="0086618A"/>
    <w:rsid w:val="008709BF"/>
    <w:rsid w:val="0088241E"/>
    <w:rsid w:val="0088686F"/>
    <w:rsid w:val="008905DF"/>
    <w:rsid w:val="0089594F"/>
    <w:rsid w:val="008A0062"/>
    <w:rsid w:val="008A3252"/>
    <w:rsid w:val="008A3F1C"/>
    <w:rsid w:val="008A4554"/>
    <w:rsid w:val="008A636B"/>
    <w:rsid w:val="008A68B3"/>
    <w:rsid w:val="008A6F9C"/>
    <w:rsid w:val="008A7FF6"/>
    <w:rsid w:val="008B5C00"/>
    <w:rsid w:val="008B5F92"/>
    <w:rsid w:val="008C78FD"/>
    <w:rsid w:val="008D44EE"/>
    <w:rsid w:val="008D6E4B"/>
    <w:rsid w:val="008D7CC9"/>
    <w:rsid w:val="008E26A0"/>
    <w:rsid w:val="008F0C7A"/>
    <w:rsid w:val="008F115C"/>
    <w:rsid w:val="008F3F0D"/>
    <w:rsid w:val="008F6369"/>
    <w:rsid w:val="009053F4"/>
    <w:rsid w:val="0090709F"/>
    <w:rsid w:val="00912E12"/>
    <w:rsid w:val="0091318A"/>
    <w:rsid w:val="00914DD8"/>
    <w:rsid w:val="00915441"/>
    <w:rsid w:val="00916D31"/>
    <w:rsid w:val="0091700B"/>
    <w:rsid w:val="00920C81"/>
    <w:rsid w:val="00935AF5"/>
    <w:rsid w:val="00935AFD"/>
    <w:rsid w:val="00946E07"/>
    <w:rsid w:val="00951360"/>
    <w:rsid w:val="009528D6"/>
    <w:rsid w:val="00955805"/>
    <w:rsid w:val="009571D8"/>
    <w:rsid w:val="00964B05"/>
    <w:rsid w:val="00965E3D"/>
    <w:rsid w:val="00966568"/>
    <w:rsid w:val="00966F2E"/>
    <w:rsid w:val="00971126"/>
    <w:rsid w:val="00972793"/>
    <w:rsid w:val="00977598"/>
    <w:rsid w:val="00986C2C"/>
    <w:rsid w:val="00987516"/>
    <w:rsid w:val="00987AFB"/>
    <w:rsid w:val="00993DB9"/>
    <w:rsid w:val="00995BD2"/>
    <w:rsid w:val="009A0F54"/>
    <w:rsid w:val="009A3ADF"/>
    <w:rsid w:val="009A69E3"/>
    <w:rsid w:val="009A7E48"/>
    <w:rsid w:val="009B0562"/>
    <w:rsid w:val="009B080D"/>
    <w:rsid w:val="009B2BDE"/>
    <w:rsid w:val="009B569F"/>
    <w:rsid w:val="009B74E7"/>
    <w:rsid w:val="009C5AD1"/>
    <w:rsid w:val="009C63BA"/>
    <w:rsid w:val="009D2D72"/>
    <w:rsid w:val="009D2FF8"/>
    <w:rsid w:val="009D4818"/>
    <w:rsid w:val="009D4ECF"/>
    <w:rsid w:val="009E0DB1"/>
    <w:rsid w:val="009E0F72"/>
    <w:rsid w:val="009E313F"/>
    <w:rsid w:val="009E3385"/>
    <w:rsid w:val="009E44C4"/>
    <w:rsid w:val="009E53F0"/>
    <w:rsid w:val="009F141D"/>
    <w:rsid w:val="009F2977"/>
    <w:rsid w:val="009F4D79"/>
    <w:rsid w:val="009F5D9A"/>
    <w:rsid w:val="00A04176"/>
    <w:rsid w:val="00A060BB"/>
    <w:rsid w:val="00A066E4"/>
    <w:rsid w:val="00A13BD5"/>
    <w:rsid w:val="00A14BCC"/>
    <w:rsid w:val="00A14F91"/>
    <w:rsid w:val="00A2188A"/>
    <w:rsid w:val="00A23561"/>
    <w:rsid w:val="00A2388B"/>
    <w:rsid w:val="00A2540F"/>
    <w:rsid w:val="00A4039E"/>
    <w:rsid w:val="00A445A7"/>
    <w:rsid w:val="00A46721"/>
    <w:rsid w:val="00A5621E"/>
    <w:rsid w:val="00A5670D"/>
    <w:rsid w:val="00A56806"/>
    <w:rsid w:val="00A633F1"/>
    <w:rsid w:val="00A63F44"/>
    <w:rsid w:val="00A64038"/>
    <w:rsid w:val="00A64970"/>
    <w:rsid w:val="00A66380"/>
    <w:rsid w:val="00A724C4"/>
    <w:rsid w:val="00A75F63"/>
    <w:rsid w:val="00A76F0E"/>
    <w:rsid w:val="00A80E88"/>
    <w:rsid w:val="00A87114"/>
    <w:rsid w:val="00A94B3C"/>
    <w:rsid w:val="00AA16FE"/>
    <w:rsid w:val="00AA33A6"/>
    <w:rsid w:val="00AA3A28"/>
    <w:rsid w:val="00AA4FE0"/>
    <w:rsid w:val="00AB21B3"/>
    <w:rsid w:val="00AB2B5D"/>
    <w:rsid w:val="00AC149A"/>
    <w:rsid w:val="00AC1A0D"/>
    <w:rsid w:val="00AC4885"/>
    <w:rsid w:val="00AC527C"/>
    <w:rsid w:val="00AC57AE"/>
    <w:rsid w:val="00AD35EC"/>
    <w:rsid w:val="00AD454D"/>
    <w:rsid w:val="00AD7588"/>
    <w:rsid w:val="00AE4C3F"/>
    <w:rsid w:val="00AE5100"/>
    <w:rsid w:val="00AE77CE"/>
    <w:rsid w:val="00AF1884"/>
    <w:rsid w:val="00AF7506"/>
    <w:rsid w:val="00B0125C"/>
    <w:rsid w:val="00B04762"/>
    <w:rsid w:val="00B06DAE"/>
    <w:rsid w:val="00B07CD8"/>
    <w:rsid w:val="00B11BF8"/>
    <w:rsid w:val="00B12951"/>
    <w:rsid w:val="00B12F1E"/>
    <w:rsid w:val="00B159D7"/>
    <w:rsid w:val="00B16617"/>
    <w:rsid w:val="00B17784"/>
    <w:rsid w:val="00B2018E"/>
    <w:rsid w:val="00B2153D"/>
    <w:rsid w:val="00B2177B"/>
    <w:rsid w:val="00B30A47"/>
    <w:rsid w:val="00B35ED8"/>
    <w:rsid w:val="00B37904"/>
    <w:rsid w:val="00B41782"/>
    <w:rsid w:val="00B42320"/>
    <w:rsid w:val="00B428E1"/>
    <w:rsid w:val="00B47BD1"/>
    <w:rsid w:val="00B62FD5"/>
    <w:rsid w:val="00B66FE2"/>
    <w:rsid w:val="00B71158"/>
    <w:rsid w:val="00B7341B"/>
    <w:rsid w:val="00B778A2"/>
    <w:rsid w:val="00B81B95"/>
    <w:rsid w:val="00B85D03"/>
    <w:rsid w:val="00B878FF"/>
    <w:rsid w:val="00B93AE6"/>
    <w:rsid w:val="00B94112"/>
    <w:rsid w:val="00B95967"/>
    <w:rsid w:val="00B97298"/>
    <w:rsid w:val="00BA1130"/>
    <w:rsid w:val="00BA1D2B"/>
    <w:rsid w:val="00BA6123"/>
    <w:rsid w:val="00BB2DDD"/>
    <w:rsid w:val="00BB5C95"/>
    <w:rsid w:val="00BC33EA"/>
    <w:rsid w:val="00BC5306"/>
    <w:rsid w:val="00BC5565"/>
    <w:rsid w:val="00BC5A90"/>
    <w:rsid w:val="00BC5B3B"/>
    <w:rsid w:val="00BC7CDC"/>
    <w:rsid w:val="00BD16D7"/>
    <w:rsid w:val="00BD184C"/>
    <w:rsid w:val="00BD5588"/>
    <w:rsid w:val="00BD65D2"/>
    <w:rsid w:val="00BD744C"/>
    <w:rsid w:val="00BE1AE8"/>
    <w:rsid w:val="00BF3E8F"/>
    <w:rsid w:val="00BF4C8F"/>
    <w:rsid w:val="00C017B3"/>
    <w:rsid w:val="00C063C0"/>
    <w:rsid w:val="00C13E61"/>
    <w:rsid w:val="00C14DCC"/>
    <w:rsid w:val="00C202AC"/>
    <w:rsid w:val="00C26900"/>
    <w:rsid w:val="00C31B4B"/>
    <w:rsid w:val="00C323E7"/>
    <w:rsid w:val="00C32A65"/>
    <w:rsid w:val="00C37830"/>
    <w:rsid w:val="00C42A05"/>
    <w:rsid w:val="00C42CF1"/>
    <w:rsid w:val="00C4322A"/>
    <w:rsid w:val="00C47F50"/>
    <w:rsid w:val="00C502A6"/>
    <w:rsid w:val="00C50B3A"/>
    <w:rsid w:val="00C528DE"/>
    <w:rsid w:val="00C558FD"/>
    <w:rsid w:val="00C57E86"/>
    <w:rsid w:val="00C60491"/>
    <w:rsid w:val="00C76FB3"/>
    <w:rsid w:val="00C802FC"/>
    <w:rsid w:val="00C80BBF"/>
    <w:rsid w:val="00C81924"/>
    <w:rsid w:val="00C8271E"/>
    <w:rsid w:val="00C86B17"/>
    <w:rsid w:val="00C95191"/>
    <w:rsid w:val="00C96DE0"/>
    <w:rsid w:val="00C97EDA"/>
    <w:rsid w:val="00CA36B8"/>
    <w:rsid w:val="00CA4A0B"/>
    <w:rsid w:val="00CA6888"/>
    <w:rsid w:val="00CB199E"/>
    <w:rsid w:val="00CB23AD"/>
    <w:rsid w:val="00CB43E7"/>
    <w:rsid w:val="00CB4820"/>
    <w:rsid w:val="00CB7065"/>
    <w:rsid w:val="00CC4E58"/>
    <w:rsid w:val="00CC6A6A"/>
    <w:rsid w:val="00CD2E99"/>
    <w:rsid w:val="00CE273F"/>
    <w:rsid w:val="00D0727B"/>
    <w:rsid w:val="00D13269"/>
    <w:rsid w:val="00D13F72"/>
    <w:rsid w:val="00D167DD"/>
    <w:rsid w:val="00D16B19"/>
    <w:rsid w:val="00D16C38"/>
    <w:rsid w:val="00D170C1"/>
    <w:rsid w:val="00D24FC0"/>
    <w:rsid w:val="00D3148A"/>
    <w:rsid w:val="00D31C3F"/>
    <w:rsid w:val="00D36EDB"/>
    <w:rsid w:val="00D4107D"/>
    <w:rsid w:val="00D45D9A"/>
    <w:rsid w:val="00D47A6B"/>
    <w:rsid w:val="00D553C2"/>
    <w:rsid w:val="00D62078"/>
    <w:rsid w:val="00D628D6"/>
    <w:rsid w:val="00D646C6"/>
    <w:rsid w:val="00D71FCA"/>
    <w:rsid w:val="00D73BAF"/>
    <w:rsid w:val="00D75968"/>
    <w:rsid w:val="00D8110F"/>
    <w:rsid w:val="00D81AC4"/>
    <w:rsid w:val="00D81B0A"/>
    <w:rsid w:val="00D8274A"/>
    <w:rsid w:val="00D876C0"/>
    <w:rsid w:val="00D901A8"/>
    <w:rsid w:val="00D91F12"/>
    <w:rsid w:val="00D9523A"/>
    <w:rsid w:val="00D95D0B"/>
    <w:rsid w:val="00D976EF"/>
    <w:rsid w:val="00DA0D99"/>
    <w:rsid w:val="00DA39A9"/>
    <w:rsid w:val="00DA70BA"/>
    <w:rsid w:val="00DB0214"/>
    <w:rsid w:val="00DB43F7"/>
    <w:rsid w:val="00DC2DCD"/>
    <w:rsid w:val="00DC3F3C"/>
    <w:rsid w:val="00DC43FE"/>
    <w:rsid w:val="00DC4915"/>
    <w:rsid w:val="00DC4E11"/>
    <w:rsid w:val="00DC7E5F"/>
    <w:rsid w:val="00DD21E5"/>
    <w:rsid w:val="00DD46C4"/>
    <w:rsid w:val="00DD6B59"/>
    <w:rsid w:val="00DE75CF"/>
    <w:rsid w:val="00DF2E0B"/>
    <w:rsid w:val="00DF6216"/>
    <w:rsid w:val="00E02B81"/>
    <w:rsid w:val="00E056E1"/>
    <w:rsid w:val="00E0571B"/>
    <w:rsid w:val="00E10BB8"/>
    <w:rsid w:val="00E207B6"/>
    <w:rsid w:val="00E21798"/>
    <w:rsid w:val="00E244D2"/>
    <w:rsid w:val="00E24957"/>
    <w:rsid w:val="00E256A0"/>
    <w:rsid w:val="00E37F2F"/>
    <w:rsid w:val="00E41F14"/>
    <w:rsid w:val="00E434BE"/>
    <w:rsid w:val="00E44165"/>
    <w:rsid w:val="00E44472"/>
    <w:rsid w:val="00E46797"/>
    <w:rsid w:val="00E5292B"/>
    <w:rsid w:val="00E535DE"/>
    <w:rsid w:val="00E53FBF"/>
    <w:rsid w:val="00E550A5"/>
    <w:rsid w:val="00E6315A"/>
    <w:rsid w:val="00E63DE7"/>
    <w:rsid w:val="00E67296"/>
    <w:rsid w:val="00E71435"/>
    <w:rsid w:val="00E71583"/>
    <w:rsid w:val="00E73E96"/>
    <w:rsid w:val="00E742BF"/>
    <w:rsid w:val="00E8039A"/>
    <w:rsid w:val="00E80B67"/>
    <w:rsid w:val="00E80DB8"/>
    <w:rsid w:val="00E835F2"/>
    <w:rsid w:val="00E8715E"/>
    <w:rsid w:val="00E8782E"/>
    <w:rsid w:val="00E87FCE"/>
    <w:rsid w:val="00EA3C49"/>
    <w:rsid w:val="00EA4B56"/>
    <w:rsid w:val="00EB3BF3"/>
    <w:rsid w:val="00EB4FE7"/>
    <w:rsid w:val="00EC2D6E"/>
    <w:rsid w:val="00EC319D"/>
    <w:rsid w:val="00EC333F"/>
    <w:rsid w:val="00EC6A06"/>
    <w:rsid w:val="00EC6E86"/>
    <w:rsid w:val="00ED1F8D"/>
    <w:rsid w:val="00ED6432"/>
    <w:rsid w:val="00EE2534"/>
    <w:rsid w:val="00EF04F7"/>
    <w:rsid w:val="00EF0B15"/>
    <w:rsid w:val="00EF358B"/>
    <w:rsid w:val="00EF70A3"/>
    <w:rsid w:val="00F02938"/>
    <w:rsid w:val="00F032EB"/>
    <w:rsid w:val="00F03F4C"/>
    <w:rsid w:val="00F1185E"/>
    <w:rsid w:val="00F15D5B"/>
    <w:rsid w:val="00F179EA"/>
    <w:rsid w:val="00F20980"/>
    <w:rsid w:val="00F25DC9"/>
    <w:rsid w:val="00F314F0"/>
    <w:rsid w:val="00F32213"/>
    <w:rsid w:val="00F3794A"/>
    <w:rsid w:val="00F44996"/>
    <w:rsid w:val="00F528C2"/>
    <w:rsid w:val="00F52BE9"/>
    <w:rsid w:val="00F55384"/>
    <w:rsid w:val="00F6084A"/>
    <w:rsid w:val="00F613AA"/>
    <w:rsid w:val="00F6329E"/>
    <w:rsid w:val="00F74300"/>
    <w:rsid w:val="00F82333"/>
    <w:rsid w:val="00F83A8F"/>
    <w:rsid w:val="00F93812"/>
    <w:rsid w:val="00F9432B"/>
    <w:rsid w:val="00FA0E85"/>
    <w:rsid w:val="00FA22E1"/>
    <w:rsid w:val="00FA2E27"/>
    <w:rsid w:val="00FB7757"/>
    <w:rsid w:val="00FB7AD5"/>
    <w:rsid w:val="00FC4544"/>
    <w:rsid w:val="00FC7D4C"/>
    <w:rsid w:val="00FD15E9"/>
    <w:rsid w:val="00FD25E3"/>
    <w:rsid w:val="00FE1578"/>
    <w:rsid w:val="00FE2352"/>
    <w:rsid w:val="00FE39AF"/>
    <w:rsid w:val="00FE3DE8"/>
    <w:rsid w:val="00FE4CDD"/>
    <w:rsid w:val="00FF3373"/>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H&amp;P List Paragraph,2"/>
    <w:basedOn w:val="Normal"/>
    <w:link w:val="ListParagraphChar"/>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styleId="UnresolvedMention">
    <w:name w:val="Unresolved Mention"/>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ListParagraphChar">
    <w:name w:val="List Paragraph Char"/>
    <w:aliases w:val="H&amp;P List Paragraph Char,2 Char"/>
    <w:link w:val="ListParagraph"/>
    <w:uiPriority w:val="34"/>
    <w:locked/>
    <w:rsid w:val="00A066E4"/>
    <w:rPr>
      <w:rFonts w:ascii="Times New Roman" w:eastAsia="Times New Roman" w:hAnsi="Times New Roman" w:cs="Times New Roman"/>
      <w:sz w:val="24"/>
      <w:szCs w:val="24"/>
      <w:lang w:eastAsia="lv-LV"/>
    </w:rPr>
  </w:style>
  <w:style w:type="paragraph" w:customStyle="1" w:styleId="tv213">
    <w:name w:val="tv213"/>
    <w:basedOn w:val="Normal"/>
    <w:rsid w:val="00A13B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288">
      <w:bodyDiv w:val="1"/>
      <w:marLeft w:val="0"/>
      <w:marRight w:val="0"/>
      <w:marTop w:val="0"/>
      <w:marBottom w:val="0"/>
      <w:divBdr>
        <w:top w:val="none" w:sz="0" w:space="0" w:color="auto"/>
        <w:left w:val="none" w:sz="0" w:space="0" w:color="auto"/>
        <w:bottom w:val="none" w:sz="0" w:space="0" w:color="auto"/>
        <w:right w:val="none" w:sz="0" w:space="0" w:color="auto"/>
      </w:divBdr>
      <w:divsChild>
        <w:div w:id="1571886855">
          <w:marLeft w:val="0"/>
          <w:marRight w:val="0"/>
          <w:marTop w:val="0"/>
          <w:marBottom w:val="0"/>
          <w:divBdr>
            <w:top w:val="none" w:sz="0" w:space="0" w:color="auto"/>
            <w:left w:val="none" w:sz="0" w:space="0" w:color="auto"/>
            <w:bottom w:val="none" w:sz="0" w:space="0" w:color="auto"/>
            <w:right w:val="none" w:sz="0" w:space="0" w:color="auto"/>
          </w:divBdr>
          <w:divsChild>
            <w:div w:id="1184393506">
              <w:marLeft w:val="0"/>
              <w:marRight w:val="0"/>
              <w:marTop w:val="0"/>
              <w:marBottom w:val="0"/>
              <w:divBdr>
                <w:top w:val="none" w:sz="0" w:space="0" w:color="auto"/>
                <w:left w:val="none" w:sz="0" w:space="0" w:color="auto"/>
                <w:bottom w:val="none" w:sz="0" w:space="0" w:color="auto"/>
                <w:right w:val="none" w:sz="0" w:space="0" w:color="auto"/>
              </w:divBdr>
              <w:divsChild>
                <w:div w:id="202138833">
                  <w:marLeft w:val="0"/>
                  <w:marRight w:val="0"/>
                  <w:marTop w:val="0"/>
                  <w:marBottom w:val="0"/>
                  <w:divBdr>
                    <w:top w:val="none" w:sz="0" w:space="0" w:color="auto"/>
                    <w:left w:val="none" w:sz="0" w:space="0" w:color="auto"/>
                    <w:bottom w:val="none" w:sz="0" w:space="0" w:color="auto"/>
                    <w:right w:val="none" w:sz="0" w:space="0" w:color="auto"/>
                  </w:divBdr>
                  <w:divsChild>
                    <w:div w:id="1045135276">
                      <w:marLeft w:val="0"/>
                      <w:marRight w:val="0"/>
                      <w:marTop w:val="0"/>
                      <w:marBottom w:val="0"/>
                      <w:divBdr>
                        <w:top w:val="none" w:sz="0" w:space="0" w:color="auto"/>
                        <w:left w:val="none" w:sz="0" w:space="0" w:color="auto"/>
                        <w:bottom w:val="none" w:sz="0" w:space="0" w:color="auto"/>
                        <w:right w:val="none" w:sz="0" w:space="0" w:color="auto"/>
                      </w:divBdr>
                      <w:divsChild>
                        <w:div w:id="2053922659">
                          <w:marLeft w:val="0"/>
                          <w:marRight w:val="0"/>
                          <w:marTop w:val="0"/>
                          <w:marBottom w:val="0"/>
                          <w:divBdr>
                            <w:top w:val="none" w:sz="0" w:space="0" w:color="auto"/>
                            <w:left w:val="none" w:sz="0" w:space="0" w:color="auto"/>
                            <w:bottom w:val="none" w:sz="0" w:space="0" w:color="auto"/>
                            <w:right w:val="none" w:sz="0" w:space="0" w:color="auto"/>
                          </w:divBdr>
                          <w:divsChild>
                            <w:div w:id="1583487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9768">
      <w:bodyDiv w:val="1"/>
      <w:marLeft w:val="0"/>
      <w:marRight w:val="0"/>
      <w:marTop w:val="0"/>
      <w:marBottom w:val="0"/>
      <w:divBdr>
        <w:top w:val="none" w:sz="0" w:space="0" w:color="auto"/>
        <w:left w:val="none" w:sz="0" w:space="0" w:color="auto"/>
        <w:bottom w:val="none" w:sz="0" w:space="0" w:color="auto"/>
        <w:right w:val="none" w:sz="0" w:space="0" w:color="auto"/>
      </w:divBdr>
      <w:divsChild>
        <w:div w:id="442499833">
          <w:marLeft w:val="0"/>
          <w:marRight w:val="0"/>
          <w:marTop w:val="0"/>
          <w:marBottom w:val="0"/>
          <w:divBdr>
            <w:top w:val="none" w:sz="0" w:space="0" w:color="auto"/>
            <w:left w:val="none" w:sz="0" w:space="0" w:color="auto"/>
            <w:bottom w:val="none" w:sz="0" w:space="0" w:color="auto"/>
            <w:right w:val="none" w:sz="0" w:space="0" w:color="auto"/>
          </w:divBdr>
          <w:divsChild>
            <w:div w:id="159854649">
              <w:marLeft w:val="0"/>
              <w:marRight w:val="0"/>
              <w:marTop w:val="0"/>
              <w:marBottom w:val="0"/>
              <w:divBdr>
                <w:top w:val="none" w:sz="0" w:space="0" w:color="auto"/>
                <w:left w:val="none" w:sz="0" w:space="0" w:color="auto"/>
                <w:bottom w:val="none" w:sz="0" w:space="0" w:color="auto"/>
                <w:right w:val="none" w:sz="0" w:space="0" w:color="auto"/>
              </w:divBdr>
              <w:divsChild>
                <w:div w:id="1500929331">
                  <w:marLeft w:val="0"/>
                  <w:marRight w:val="0"/>
                  <w:marTop w:val="0"/>
                  <w:marBottom w:val="0"/>
                  <w:divBdr>
                    <w:top w:val="none" w:sz="0" w:space="0" w:color="auto"/>
                    <w:left w:val="none" w:sz="0" w:space="0" w:color="auto"/>
                    <w:bottom w:val="none" w:sz="0" w:space="0" w:color="auto"/>
                    <w:right w:val="none" w:sz="0" w:space="0" w:color="auto"/>
                  </w:divBdr>
                  <w:divsChild>
                    <w:div w:id="446318656">
                      <w:marLeft w:val="0"/>
                      <w:marRight w:val="0"/>
                      <w:marTop w:val="0"/>
                      <w:marBottom w:val="0"/>
                      <w:divBdr>
                        <w:top w:val="none" w:sz="0" w:space="0" w:color="auto"/>
                        <w:left w:val="none" w:sz="0" w:space="0" w:color="auto"/>
                        <w:bottom w:val="none" w:sz="0" w:space="0" w:color="auto"/>
                        <w:right w:val="none" w:sz="0" w:space="0" w:color="auto"/>
                      </w:divBdr>
                      <w:divsChild>
                        <w:div w:id="1948463978">
                          <w:marLeft w:val="0"/>
                          <w:marRight w:val="0"/>
                          <w:marTop w:val="0"/>
                          <w:marBottom w:val="0"/>
                          <w:divBdr>
                            <w:top w:val="none" w:sz="0" w:space="0" w:color="auto"/>
                            <w:left w:val="none" w:sz="0" w:space="0" w:color="auto"/>
                            <w:bottom w:val="none" w:sz="0" w:space="0" w:color="auto"/>
                            <w:right w:val="none" w:sz="0" w:space="0" w:color="auto"/>
                          </w:divBdr>
                          <w:divsChild>
                            <w:div w:id="1327201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5343">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851402">
      <w:bodyDiv w:val="1"/>
      <w:marLeft w:val="0"/>
      <w:marRight w:val="0"/>
      <w:marTop w:val="0"/>
      <w:marBottom w:val="0"/>
      <w:divBdr>
        <w:top w:val="none" w:sz="0" w:space="0" w:color="auto"/>
        <w:left w:val="none" w:sz="0" w:space="0" w:color="auto"/>
        <w:bottom w:val="none" w:sz="0" w:space="0" w:color="auto"/>
        <w:right w:val="none" w:sz="0" w:space="0" w:color="auto"/>
      </w:divBdr>
    </w:div>
    <w:div w:id="1173690352">
      <w:bodyDiv w:val="1"/>
      <w:marLeft w:val="0"/>
      <w:marRight w:val="0"/>
      <w:marTop w:val="0"/>
      <w:marBottom w:val="0"/>
      <w:divBdr>
        <w:top w:val="none" w:sz="0" w:space="0" w:color="auto"/>
        <w:left w:val="none" w:sz="0" w:space="0" w:color="auto"/>
        <w:bottom w:val="none" w:sz="0" w:space="0" w:color="auto"/>
        <w:right w:val="none" w:sz="0" w:space="0" w:color="auto"/>
      </w:divBdr>
    </w:div>
    <w:div w:id="1312102796">
      <w:bodyDiv w:val="1"/>
      <w:marLeft w:val="0"/>
      <w:marRight w:val="0"/>
      <w:marTop w:val="0"/>
      <w:marBottom w:val="0"/>
      <w:divBdr>
        <w:top w:val="none" w:sz="0" w:space="0" w:color="auto"/>
        <w:left w:val="none" w:sz="0" w:space="0" w:color="auto"/>
        <w:bottom w:val="none" w:sz="0" w:space="0" w:color="auto"/>
        <w:right w:val="none" w:sz="0" w:space="0" w:color="auto"/>
      </w:divBdr>
    </w:div>
    <w:div w:id="1509519858">
      <w:bodyDiv w:val="1"/>
      <w:marLeft w:val="0"/>
      <w:marRight w:val="0"/>
      <w:marTop w:val="0"/>
      <w:marBottom w:val="0"/>
      <w:divBdr>
        <w:top w:val="none" w:sz="0" w:space="0" w:color="auto"/>
        <w:left w:val="none" w:sz="0" w:space="0" w:color="auto"/>
        <w:bottom w:val="none" w:sz="0" w:space="0" w:color="auto"/>
        <w:right w:val="none" w:sz="0" w:space="0" w:color="auto"/>
      </w:divBdr>
    </w:div>
    <w:div w:id="1801485946">
      <w:bodyDiv w:val="1"/>
      <w:marLeft w:val="0"/>
      <w:marRight w:val="0"/>
      <w:marTop w:val="0"/>
      <w:marBottom w:val="0"/>
      <w:divBdr>
        <w:top w:val="none" w:sz="0" w:space="0" w:color="auto"/>
        <w:left w:val="none" w:sz="0" w:space="0" w:color="auto"/>
        <w:bottom w:val="none" w:sz="0" w:space="0" w:color="auto"/>
        <w:right w:val="none" w:sz="0" w:space="0" w:color="auto"/>
      </w:divBdr>
    </w:div>
    <w:div w:id="1908107310">
      <w:bodyDiv w:val="1"/>
      <w:marLeft w:val="0"/>
      <w:marRight w:val="0"/>
      <w:marTop w:val="0"/>
      <w:marBottom w:val="0"/>
      <w:divBdr>
        <w:top w:val="none" w:sz="0" w:space="0" w:color="auto"/>
        <w:left w:val="none" w:sz="0" w:space="0" w:color="auto"/>
        <w:bottom w:val="none" w:sz="0" w:space="0" w:color="auto"/>
        <w:right w:val="none" w:sz="0" w:space="0" w:color="auto"/>
      </w:divBdr>
    </w:div>
    <w:div w:id="1982343517">
      <w:bodyDiv w:val="1"/>
      <w:marLeft w:val="0"/>
      <w:marRight w:val="0"/>
      <w:marTop w:val="0"/>
      <w:marBottom w:val="0"/>
      <w:divBdr>
        <w:top w:val="none" w:sz="0" w:space="0" w:color="auto"/>
        <w:left w:val="none" w:sz="0" w:space="0" w:color="auto"/>
        <w:bottom w:val="none" w:sz="0" w:space="0" w:color="auto"/>
        <w:right w:val="none" w:sz="0" w:space="0" w:color="auto"/>
      </w:divBdr>
    </w:div>
    <w:div w:id="2024624858">
      <w:bodyDiv w:val="1"/>
      <w:marLeft w:val="0"/>
      <w:marRight w:val="0"/>
      <w:marTop w:val="0"/>
      <w:marBottom w:val="0"/>
      <w:divBdr>
        <w:top w:val="none" w:sz="0" w:space="0" w:color="auto"/>
        <w:left w:val="none" w:sz="0" w:space="0" w:color="auto"/>
        <w:bottom w:val="none" w:sz="0" w:space="0" w:color="auto"/>
        <w:right w:val="none" w:sz="0" w:space="0" w:color="auto"/>
      </w:divBdr>
    </w:div>
    <w:div w:id="21094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EE0E-7940-4360-99DA-BDD58BB5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10294</Words>
  <Characters>5868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“Ventas osta” dibināšanu” sākotnējās ietekmes novērtējuma ziņojums (anotācija)</dc:title>
  <dc:subject>Likumprojekta anotācija</dc:subject>
  <dc:creator>Īrisa Kalniņa</dc:creator>
  <dc:description>67028225, Marite.Paegle@sam.gov.lv</dc:description>
  <cp:lastModifiedBy>Dita Niedra</cp:lastModifiedBy>
  <cp:revision>4</cp:revision>
  <cp:lastPrinted>2019-12-16T11:29:00Z</cp:lastPrinted>
  <dcterms:created xsi:type="dcterms:W3CDTF">2019-12-17T14:02:00Z</dcterms:created>
  <dcterms:modified xsi:type="dcterms:W3CDTF">2019-12-17T14:18:00Z</dcterms:modified>
</cp:coreProperties>
</file>