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6EBE" w:rsidR="00647FA5" w:rsidP="00647FA5" w:rsidRDefault="00647FA5" w14:paraId="6138A73C" w14:textId="77777777">
      <w:pPr>
        <w:tabs>
          <w:tab w:val="left" w:pos="7440"/>
        </w:tabs>
      </w:pPr>
    </w:p>
    <w:p w:rsidRPr="00665E48" w:rsidR="00A26EBE" w:rsidP="00A26EBE" w:rsidRDefault="00647FA5" w14:paraId="238DAFFD" w14:textId="77777777">
      <w:pPr>
        <w:tabs>
          <w:tab w:val="left" w:pos="7440"/>
        </w:tabs>
        <w:jc w:val="center"/>
        <w:rPr>
          <w:b/>
        </w:rPr>
      </w:pPr>
      <w:r w:rsidRPr="00665E48">
        <w:rPr>
          <w:b/>
        </w:rPr>
        <w:t xml:space="preserve">Izziņa </w:t>
      </w:r>
    </w:p>
    <w:p w:rsidRPr="00A866F4" w:rsidR="00647FA5" w:rsidP="008C7108" w:rsidRDefault="00E751FD" w14:paraId="53C36FF2" w14:textId="7F49965E">
      <w:pPr>
        <w:jc w:val="center"/>
        <w:rPr>
          <w:b/>
          <w:lang w:eastAsia="lv-LV"/>
        </w:rPr>
      </w:pPr>
      <w:r>
        <w:rPr>
          <w:b/>
          <w:lang w:eastAsia="lv-LV"/>
        </w:rPr>
        <w:t>p</w:t>
      </w:r>
      <w:r w:rsidRPr="00A866F4" w:rsidR="00E448C8">
        <w:rPr>
          <w:b/>
          <w:lang w:eastAsia="lv-LV"/>
        </w:rPr>
        <w:t>ar</w:t>
      </w:r>
      <w:r w:rsidRPr="00A866F4" w:rsidR="008C7108">
        <w:rPr>
          <w:b/>
          <w:lang w:eastAsia="lv-LV"/>
        </w:rPr>
        <w:t xml:space="preserve"> saņemtajiem iebildumiem par Ministru kabineta noteikumu projektu “</w:t>
      </w:r>
      <w:r w:rsidRPr="00A866F4" w:rsidR="008C7108">
        <w:rPr>
          <w:b/>
        </w:rPr>
        <w:t>Grozījums Ministru kabineta 2013. gada 25. jūnija noteikumos Nr. 351 "Sabiedrisko autotransporta līdzekļu iepirkuma noteikumi""</w:t>
      </w:r>
    </w:p>
    <w:p w:rsidRPr="00665E48" w:rsidR="00E448C8" w:rsidP="00647FA5" w:rsidRDefault="00E448C8" w14:paraId="40EDF2FE" w14:textId="77777777">
      <w:pPr>
        <w:rPr>
          <w:b/>
          <w:lang w:eastAsia="lv-LV"/>
        </w:rPr>
      </w:pPr>
    </w:p>
    <w:p w:rsidRPr="00665E48" w:rsidR="00647FA5" w:rsidP="00647FA5" w:rsidRDefault="00647FA5" w14:paraId="0BAA7AF2" w14:textId="77777777">
      <w:pPr>
        <w:rPr>
          <w:b/>
          <w:lang w:eastAsia="lv-LV"/>
        </w:rPr>
      </w:pPr>
      <w:r w:rsidRPr="00665E48">
        <w:rPr>
          <w:b/>
          <w:lang w:eastAsia="lv-LV"/>
        </w:rPr>
        <w:t>I. Jautājumi, par kuriem saskaņošanā vienošanās nav panākta</w:t>
      </w:r>
    </w:p>
    <w:p w:rsidRPr="00665E48" w:rsidR="00647FA5" w:rsidP="00647FA5" w:rsidRDefault="00647FA5" w14:paraId="263B5C33" w14:textId="77777777">
      <w:pPr>
        <w:pStyle w:val="naisnod"/>
        <w:spacing w:before="0" w:beforeAutospacing="0" w:after="0" w:afterAutospacing="0"/>
        <w:rPr>
          <w:b/>
        </w:rPr>
      </w:pPr>
    </w:p>
    <w:tbl>
      <w:tblPr>
        <w:tblW w:w="13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2268"/>
        <w:gridCol w:w="3827"/>
        <w:gridCol w:w="3119"/>
        <w:gridCol w:w="1842"/>
        <w:gridCol w:w="1977"/>
      </w:tblGrid>
      <w:tr w:rsidRPr="00665E48" w:rsidR="00647FA5" w:rsidTr="00271864" w14:paraId="1A23AA41" w14:textId="77777777">
        <w:trPr>
          <w:trHeight w:val="1549"/>
          <w:jc w:val="center"/>
        </w:trPr>
        <w:tc>
          <w:tcPr>
            <w:tcW w:w="596" w:type="dxa"/>
          </w:tcPr>
          <w:p w:rsidRPr="00665E48" w:rsidR="00647FA5" w:rsidP="00AC2C17" w:rsidRDefault="00647FA5" w14:paraId="4E4CD28A" w14:textId="77777777">
            <w:pPr>
              <w:jc w:val="both"/>
            </w:pPr>
            <w:r w:rsidRPr="00665E48">
              <w:t xml:space="preserve">Nr. </w:t>
            </w:r>
            <w:proofErr w:type="spellStart"/>
            <w:r w:rsidRPr="00665E48">
              <w:t>p.k</w:t>
            </w:r>
            <w:proofErr w:type="spellEnd"/>
          </w:p>
        </w:tc>
        <w:tc>
          <w:tcPr>
            <w:tcW w:w="2268" w:type="dxa"/>
          </w:tcPr>
          <w:p w:rsidRPr="00665E48" w:rsidR="00647FA5" w:rsidP="00AC2C17" w:rsidRDefault="00647FA5" w14:paraId="7435D2F1" w14:textId="77777777">
            <w:pPr>
              <w:rPr>
                <w:b/>
              </w:rPr>
            </w:pPr>
            <w:r w:rsidRPr="00665E48">
              <w:t>Saskaņošanai nosūtītā projekta redakcija (konkrēta punkta (panta) redakcija)</w:t>
            </w:r>
          </w:p>
        </w:tc>
        <w:tc>
          <w:tcPr>
            <w:tcW w:w="3827" w:type="dxa"/>
          </w:tcPr>
          <w:p w:rsidRPr="00665E48" w:rsidR="00647FA5" w:rsidP="00AC2C17" w:rsidRDefault="00647FA5" w14:paraId="4FEA6D72" w14:textId="77777777">
            <w:pPr>
              <w:jc w:val="both"/>
              <w:rPr>
                <w:b/>
              </w:rPr>
            </w:pPr>
            <w:r w:rsidRPr="00665E48">
              <w:t xml:space="preserve">Atzinumā norādītais ministrijas (citas institūcijas) iebildums </w:t>
            </w:r>
            <w:r w:rsidRPr="00665E48">
              <w:rPr>
                <w:lang w:eastAsia="lv-LV"/>
              </w:rPr>
              <w:t>kā arī saskaņošanā papildus izteiktais iebildums par projekta konkrēto punktu (pantu)</w:t>
            </w:r>
          </w:p>
        </w:tc>
        <w:tc>
          <w:tcPr>
            <w:tcW w:w="3119" w:type="dxa"/>
          </w:tcPr>
          <w:p w:rsidRPr="00665E48" w:rsidR="00647FA5" w:rsidP="00AC2C17" w:rsidRDefault="00647FA5" w14:paraId="6F759F07" w14:textId="77777777">
            <w:pPr>
              <w:jc w:val="both"/>
              <w:rPr>
                <w:b/>
              </w:rPr>
            </w:pPr>
            <w:r w:rsidRPr="00665E48">
              <w:rPr>
                <w:lang w:eastAsia="lv-LV"/>
              </w:rPr>
              <w:t>Atbildīgās ministrijas pamatojums iebilduma noraidījumam</w:t>
            </w:r>
          </w:p>
        </w:tc>
        <w:tc>
          <w:tcPr>
            <w:tcW w:w="1842" w:type="dxa"/>
          </w:tcPr>
          <w:p w:rsidRPr="00665E48" w:rsidR="00647FA5" w:rsidP="00AC2C17" w:rsidRDefault="00647FA5" w14:paraId="0E62CFF9" w14:textId="77777777">
            <w:r w:rsidRPr="00665E48">
              <w:rPr>
                <w:lang w:eastAsia="lv-LV"/>
              </w:rPr>
              <w:t>Atzinuma sniedzēja uzturētais iebildums, ja tas atšķiras no atzinumā norādītā iebilduma pamatojuma</w:t>
            </w:r>
          </w:p>
        </w:tc>
        <w:tc>
          <w:tcPr>
            <w:tcW w:w="1977" w:type="dxa"/>
          </w:tcPr>
          <w:p w:rsidRPr="00665E48" w:rsidR="00647FA5" w:rsidP="00AC2C17" w:rsidRDefault="00647FA5" w14:paraId="7FD143D1" w14:textId="77777777">
            <w:r w:rsidRPr="00665E48">
              <w:rPr>
                <w:lang w:eastAsia="lv-LV"/>
              </w:rPr>
              <w:t>Projekta attiecīgā punkta (panta) galīgā redakcija</w:t>
            </w:r>
          </w:p>
        </w:tc>
      </w:tr>
      <w:tr w:rsidRPr="00665E48" w:rsidR="00273922" w:rsidTr="00E76435" w14:paraId="38EF2E79" w14:textId="77777777">
        <w:trPr>
          <w:trHeight w:val="238"/>
          <w:jc w:val="center"/>
        </w:trPr>
        <w:tc>
          <w:tcPr>
            <w:tcW w:w="596" w:type="dxa"/>
            <w:tcBorders>
              <w:top w:val="single" w:color="auto" w:sz="4" w:space="0"/>
              <w:left w:val="single" w:color="auto" w:sz="4" w:space="0"/>
              <w:bottom w:val="single" w:color="auto" w:sz="4" w:space="0"/>
              <w:right w:val="single" w:color="auto" w:sz="4" w:space="0"/>
            </w:tcBorders>
          </w:tcPr>
          <w:p w:rsidRPr="00665E48" w:rsidR="00273922" w:rsidP="00AC583A" w:rsidRDefault="00273922" w14:paraId="654746DE" w14:textId="77777777">
            <w:pPr>
              <w:jc w:val="both"/>
            </w:pPr>
          </w:p>
        </w:tc>
        <w:tc>
          <w:tcPr>
            <w:tcW w:w="2268" w:type="dxa"/>
            <w:tcBorders>
              <w:top w:val="single" w:color="auto" w:sz="4" w:space="0"/>
              <w:left w:val="single" w:color="auto" w:sz="4" w:space="0"/>
              <w:bottom w:val="single" w:color="auto" w:sz="4" w:space="0"/>
              <w:right w:val="single" w:color="auto" w:sz="4" w:space="0"/>
            </w:tcBorders>
          </w:tcPr>
          <w:p w:rsidRPr="00665E48" w:rsidR="00273922" w:rsidP="00273922" w:rsidRDefault="00273922" w14:paraId="7A76A8E2" w14:textId="77777777"/>
        </w:tc>
        <w:tc>
          <w:tcPr>
            <w:tcW w:w="3827" w:type="dxa"/>
            <w:tcBorders>
              <w:top w:val="single" w:color="auto" w:sz="4" w:space="0"/>
              <w:left w:val="single" w:color="auto" w:sz="4" w:space="0"/>
              <w:bottom w:val="single" w:color="auto" w:sz="4" w:space="0"/>
              <w:right w:val="single" w:color="auto" w:sz="4" w:space="0"/>
            </w:tcBorders>
          </w:tcPr>
          <w:p w:rsidRPr="00665E48" w:rsidR="00273922" w:rsidP="00894AB4" w:rsidRDefault="00273922" w14:paraId="3539D812" w14:textId="77777777">
            <w:pPr>
              <w:jc w:val="both"/>
            </w:pPr>
          </w:p>
        </w:tc>
        <w:tc>
          <w:tcPr>
            <w:tcW w:w="3119" w:type="dxa"/>
            <w:tcBorders>
              <w:top w:val="single" w:color="auto" w:sz="4" w:space="0"/>
              <w:left w:val="single" w:color="auto" w:sz="4" w:space="0"/>
              <w:bottom w:val="single" w:color="auto" w:sz="4" w:space="0"/>
              <w:right w:val="single" w:color="auto" w:sz="4" w:space="0"/>
            </w:tcBorders>
          </w:tcPr>
          <w:p w:rsidRPr="00665E48" w:rsidR="00273922" w:rsidP="00AC1AD6" w:rsidRDefault="00273922" w14:paraId="0722E8A9" w14:textId="77777777">
            <w:pPr>
              <w:jc w:val="both"/>
              <w:rPr>
                <w:b/>
                <w:lang w:eastAsia="lv-LV"/>
              </w:rPr>
            </w:pPr>
          </w:p>
        </w:tc>
        <w:tc>
          <w:tcPr>
            <w:tcW w:w="1842" w:type="dxa"/>
            <w:tcBorders>
              <w:top w:val="single" w:color="auto" w:sz="4" w:space="0"/>
              <w:left w:val="single" w:color="auto" w:sz="4" w:space="0"/>
              <w:bottom w:val="single" w:color="auto" w:sz="4" w:space="0"/>
              <w:right w:val="single" w:color="auto" w:sz="4" w:space="0"/>
            </w:tcBorders>
          </w:tcPr>
          <w:p w:rsidRPr="00665E48" w:rsidR="00273922" w:rsidP="00AC583A" w:rsidRDefault="00273922" w14:paraId="61443EC2" w14:textId="77777777">
            <w:pPr>
              <w:rPr>
                <w:lang w:eastAsia="lv-LV"/>
              </w:rPr>
            </w:pPr>
          </w:p>
        </w:tc>
        <w:tc>
          <w:tcPr>
            <w:tcW w:w="1977" w:type="dxa"/>
            <w:tcBorders>
              <w:top w:val="single" w:color="auto" w:sz="4" w:space="0"/>
              <w:left w:val="single" w:color="auto" w:sz="4" w:space="0"/>
              <w:bottom w:val="single" w:color="auto" w:sz="4" w:space="0"/>
              <w:right w:val="single" w:color="auto" w:sz="4" w:space="0"/>
            </w:tcBorders>
          </w:tcPr>
          <w:p w:rsidRPr="00665E48" w:rsidR="00273922" w:rsidP="00AC583A" w:rsidRDefault="00273922" w14:paraId="12288E7E" w14:textId="77777777">
            <w:pPr>
              <w:rPr>
                <w:lang w:eastAsia="lv-LV"/>
              </w:rPr>
            </w:pPr>
          </w:p>
        </w:tc>
      </w:tr>
    </w:tbl>
    <w:p w:rsidRPr="00665E48" w:rsidR="00273922" w:rsidRDefault="00273922" w14:paraId="4AD6A25C" w14:textId="77777777"/>
    <w:p w:rsidRPr="00665E48" w:rsidR="00647FA5" w:rsidP="00FC101D" w:rsidRDefault="00647FA5" w14:paraId="271F8B6D" w14:textId="09EDDA39">
      <w:pPr>
        <w:pStyle w:val="naiskr"/>
        <w:spacing w:before="0" w:beforeAutospacing="0" w:after="0" w:afterAutospacing="0"/>
      </w:pPr>
      <w:r w:rsidRPr="00665E48">
        <w:t xml:space="preserve">Informācija par </w:t>
      </w:r>
      <w:proofErr w:type="spellStart"/>
      <w:r w:rsidRPr="00665E48">
        <w:t>starpministriju</w:t>
      </w:r>
      <w:proofErr w:type="spellEnd"/>
      <w:r w:rsidRPr="00665E48">
        <w:t xml:space="preserve"> (starpinstitūciju) sanāksmi vai elektronisko saskaņošanu</w:t>
      </w:r>
      <w:r w:rsidRPr="00665E48" w:rsidR="00CD6443">
        <w:t xml:space="preserve">: </w:t>
      </w:r>
      <w:r w:rsidR="005257C1">
        <w:t>07.11.2019.</w:t>
      </w:r>
      <w:r w:rsidRPr="00665E48" w:rsidR="00E82695">
        <w:t xml:space="preserve"> </w:t>
      </w:r>
    </w:p>
    <w:p w:rsidRPr="00665E48" w:rsidR="00647FA5" w:rsidP="00647FA5" w:rsidRDefault="00647FA5" w14:paraId="00348C93" w14:textId="77777777">
      <w:pPr>
        <w:jc w:val="right"/>
        <w:rPr>
          <w:b/>
          <w:bCs/>
        </w:rPr>
      </w:pPr>
    </w:p>
    <w:p w:rsidRPr="00665E48" w:rsidR="008C7108" w:rsidP="000E3451" w:rsidRDefault="00647FA5" w14:paraId="0FA92506" w14:textId="74CA5227">
      <w:pPr>
        <w:ind w:left="4320" w:hanging="4320"/>
      </w:pPr>
      <w:r w:rsidRPr="00665E48">
        <w:t xml:space="preserve">Saskaņošanas dalībnieki </w:t>
      </w:r>
      <w:r w:rsidRPr="00665E48" w:rsidR="008C7108">
        <w:t>:</w:t>
      </w:r>
      <w:r w:rsidRPr="00665E48" w:rsidR="008C7108">
        <w:tab/>
        <w:t>Tieslietu ministrija, Finanšu ministrija, Ekonomikas ministrija, Latvijas Pašvaldību savienība, Latvijas Brīvo arodbiedrību savienība, Latvijas Darba devēju konfederācija</w:t>
      </w:r>
      <w:r w:rsidRPr="00665E48">
        <w:tab/>
      </w:r>
      <w:r w:rsidRPr="00665E48" w:rsidR="00A15222">
        <w:t xml:space="preserve"> </w:t>
      </w:r>
    </w:p>
    <w:p w:rsidRPr="00665E48" w:rsidR="00647FA5" w:rsidP="007C3673" w:rsidRDefault="00B41237" w14:paraId="05373C3D" w14:textId="3C9B7AE2">
      <w:pPr>
        <w:ind w:left="6096" w:hanging="6096"/>
        <w:jc w:val="both"/>
      </w:pPr>
      <w:r w:rsidRPr="00665E48">
        <w:t xml:space="preserve">  </w:t>
      </w:r>
    </w:p>
    <w:p w:rsidRPr="00665E48" w:rsidR="00BF5654" w:rsidP="00B41237" w:rsidRDefault="00647FA5" w14:paraId="2411A0E6" w14:textId="77777777">
      <w:pPr>
        <w:tabs>
          <w:tab w:val="left" w:pos="6096"/>
        </w:tabs>
        <w:ind w:left="6096" w:hanging="6096"/>
        <w:jc w:val="both"/>
      </w:pPr>
      <w:r w:rsidRPr="00665E48">
        <w:t>Saskaņošanas dalīb</w:t>
      </w:r>
      <w:r w:rsidRPr="00665E48" w:rsidR="00950516">
        <w:t>nieki izskatīja šādu ministriju</w:t>
      </w:r>
      <w:r w:rsidRPr="00665E48" w:rsidR="00BF5654">
        <w:t xml:space="preserve">(citu institūciju) </w:t>
      </w:r>
    </w:p>
    <w:p w:rsidRPr="00665E48" w:rsidR="00BF5654" w:rsidP="00BF5654" w:rsidRDefault="00BF5654" w14:paraId="13FB2BE4" w14:textId="04D9779B">
      <w:pPr>
        <w:tabs>
          <w:tab w:val="left" w:pos="6096"/>
        </w:tabs>
        <w:ind w:left="6096" w:hanging="6096"/>
        <w:jc w:val="both"/>
      </w:pPr>
      <w:r w:rsidRPr="00665E48">
        <w:t>iebildumus</w:t>
      </w:r>
      <w:r w:rsidRPr="00665E48" w:rsidR="00663F12">
        <w:t xml:space="preserve">: </w:t>
      </w:r>
      <w:r w:rsidRPr="00665E48" w:rsidR="00663F12">
        <w:tab/>
        <w:t xml:space="preserve"> </w:t>
      </w:r>
      <w:r w:rsidRPr="00665E48" w:rsidR="008C7108">
        <w:t>Tieslietu ministrija, Finanšu ministrija</w:t>
      </w:r>
      <w:r w:rsidR="005257C1">
        <w:t>.</w:t>
      </w:r>
    </w:p>
    <w:p w:rsidRPr="00665E48" w:rsidR="00647FA5" w:rsidP="00BF5654" w:rsidRDefault="00647FA5" w14:paraId="0AC84282" w14:textId="0B073D98">
      <w:pPr>
        <w:jc w:val="both"/>
      </w:pPr>
      <w:r w:rsidRPr="00665E48">
        <w:t xml:space="preserve">Ministrijas (citas institūcijas), kuras nav ieradušās uz </w:t>
      </w:r>
    </w:p>
    <w:p w:rsidRPr="00665E48" w:rsidR="00647FA5" w:rsidP="00BF5654" w:rsidRDefault="00647FA5" w14:paraId="3FAC1991" w14:textId="77777777">
      <w:pPr>
        <w:rPr>
          <w:color w:val="000000"/>
        </w:rPr>
      </w:pPr>
      <w:r w:rsidRPr="00665E48">
        <w:t xml:space="preserve">sanāksmi vai kuras nav atbildējušas uz uzaicinājumu </w:t>
      </w:r>
      <w:r w:rsidRPr="00665E48">
        <w:tab/>
      </w:r>
    </w:p>
    <w:p w:rsidRPr="00665E48" w:rsidR="00A15222" w:rsidP="00117FDE" w:rsidRDefault="00647FA5" w14:paraId="390B0445" w14:textId="21B99978">
      <w:pPr>
        <w:ind w:left="6096" w:hanging="6096"/>
        <w:jc w:val="both"/>
      </w:pPr>
      <w:r w:rsidRPr="00665E48">
        <w:t xml:space="preserve">piedalīties elektroniskajā saskaņošanā </w:t>
      </w:r>
      <w:r w:rsidRPr="00665E48" w:rsidR="00B41237">
        <w:t xml:space="preserve">                                  </w:t>
      </w:r>
      <w:r w:rsidRPr="00665E48" w:rsidR="007C3673">
        <w:t xml:space="preserve">  </w:t>
      </w:r>
    </w:p>
    <w:p w:rsidRPr="00665E48" w:rsidR="00647FA5" w:rsidP="00117FDE" w:rsidRDefault="00FA00DD" w14:paraId="4CC9D84A" w14:textId="02776284">
      <w:pPr>
        <w:ind w:left="6096" w:hanging="6096"/>
        <w:jc w:val="both"/>
        <w:rPr>
          <w:bCs/>
        </w:rPr>
      </w:pPr>
      <w:r w:rsidRPr="00665E48">
        <w:t xml:space="preserve"> </w:t>
      </w:r>
      <w:r w:rsidRPr="00665E48" w:rsidR="002A1C06">
        <w:t xml:space="preserve"> </w:t>
      </w:r>
    </w:p>
    <w:p w:rsidRPr="00665E48" w:rsidR="00647FA5" w:rsidP="00647FA5" w:rsidRDefault="00647FA5" w14:paraId="767B5E27" w14:textId="47FE7BEF">
      <w:pPr>
        <w:jc w:val="both"/>
        <w:rPr>
          <w:bCs/>
        </w:rPr>
      </w:pPr>
      <w:r w:rsidRPr="00665E48">
        <w:rPr>
          <w:bCs/>
        </w:rPr>
        <w:t>Saskaņošanas dalībnieki izskatīja precizēto Ministru kabineta noteikumu projektu.</w:t>
      </w:r>
    </w:p>
    <w:p w:rsidRPr="00665E48" w:rsidR="007C3673" w:rsidP="00647FA5" w:rsidRDefault="007C3673" w14:paraId="08E54DCA" w14:textId="10BE9F4D">
      <w:pPr>
        <w:jc w:val="both"/>
        <w:rPr>
          <w:bCs/>
        </w:rPr>
      </w:pPr>
    </w:p>
    <w:p w:rsidRPr="00665E48" w:rsidR="008C7108" w:rsidP="00647FA5" w:rsidRDefault="008C7108" w14:paraId="7BF20DA2" w14:textId="1001F6B1">
      <w:pPr>
        <w:jc w:val="both"/>
        <w:rPr>
          <w:bCs/>
        </w:rPr>
      </w:pPr>
    </w:p>
    <w:p w:rsidRPr="00665E48" w:rsidR="008C7108" w:rsidP="00647FA5" w:rsidRDefault="008C7108" w14:paraId="36619B13" w14:textId="77777777">
      <w:pPr>
        <w:jc w:val="both"/>
        <w:rPr>
          <w:bCs/>
        </w:rPr>
      </w:pPr>
    </w:p>
    <w:p w:rsidRPr="00665E48" w:rsidR="00647FA5" w:rsidP="00992A69" w:rsidRDefault="00647FA5" w14:paraId="4DBA26B9" w14:textId="4616EBEA">
      <w:pPr>
        <w:tabs>
          <w:tab w:val="left" w:pos="1890"/>
        </w:tabs>
        <w:ind w:firstLine="720"/>
        <w:jc w:val="center"/>
        <w:rPr>
          <w:b/>
        </w:rPr>
      </w:pPr>
      <w:r w:rsidRPr="00665E48">
        <w:rPr>
          <w:b/>
        </w:rPr>
        <w:lastRenderedPageBreak/>
        <w:t>II. Jautājumi, par kuriem saskaņošanā vienošanās ir panākta</w:t>
      </w:r>
    </w:p>
    <w:p w:rsidRPr="00665E48" w:rsidR="00992A69" w:rsidP="00992A69" w:rsidRDefault="00992A69" w14:paraId="78654BF1" w14:textId="77777777">
      <w:pPr>
        <w:tabs>
          <w:tab w:val="left" w:pos="1890"/>
        </w:tabs>
        <w:ind w:firstLine="720"/>
        <w:jc w:val="center"/>
        <w:rPr>
          <w:b/>
        </w:rPr>
      </w:pPr>
    </w:p>
    <w:tbl>
      <w:tblP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7"/>
        <w:gridCol w:w="2922"/>
        <w:gridCol w:w="4874"/>
        <w:gridCol w:w="2835"/>
        <w:gridCol w:w="2922"/>
      </w:tblGrid>
      <w:tr w:rsidRPr="00665E48" w:rsidR="00647FA5" w:rsidTr="00B357D4" w14:paraId="0E0FEF78" w14:textId="77777777">
        <w:trPr>
          <w:trHeight w:val="2455"/>
          <w:jc w:val="center"/>
        </w:trPr>
        <w:tc>
          <w:tcPr>
            <w:tcW w:w="617" w:type="dxa"/>
          </w:tcPr>
          <w:p w:rsidRPr="00665E48" w:rsidR="00647FA5" w:rsidP="00AC2C17" w:rsidRDefault="00647FA5" w14:paraId="796C768C" w14:textId="77777777">
            <w:pPr>
              <w:jc w:val="center"/>
            </w:pPr>
            <w:r w:rsidRPr="00665E48">
              <w:t>Nr. p.k.</w:t>
            </w:r>
          </w:p>
        </w:tc>
        <w:tc>
          <w:tcPr>
            <w:tcW w:w="2922" w:type="dxa"/>
            <w:vAlign w:val="center"/>
          </w:tcPr>
          <w:p w:rsidRPr="00665E48" w:rsidR="00647FA5" w:rsidP="00AC2C17" w:rsidRDefault="00647FA5" w14:paraId="510CD5EA" w14:textId="77777777">
            <w:pPr>
              <w:jc w:val="center"/>
            </w:pPr>
            <w:r w:rsidRPr="00665E48">
              <w:t>Saskaņošanai nosūtītā projekta redakcija (konkrēta punkta (panta) redakcija)</w:t>
            </w:r>
          </w:p>
        </w:tc>
        <w:tc>
          <w:tcPr>
            <w:tcW w:w="4874" w:type="dxa"/>
            <w:vAlign w:val="center"/>
          </w:tcPr>
          <w:p w:rsidRPr="00665E48" w:rsidR="00647FA5" w:rsidP="00AC2C17" w:rsidRDefault="00647FA5" w14:paraId="747751FD" w14:textId="77777777">
            <w:pPr>
              <w:jc w:val="center"/>
            </w:pPr>
            <w:r w:rsidRPr="00665E48">
              <w:t>Atzinumā norādītais ministrijas (citas institūcijas) iebildums par projekta konkrēto punktu (pantu)</w:t>
            </w:r>
          </w:p>
        </w:tc>
        <w:tc>
          <w:tcPr>
            <w:tcW w:w="2835" w:type="dxa"/>
            <w:vAlign w:val="center"/>
          </w:tcPr>
          <w:p w:rsidRPr="00665E48" w:rsidR="00647FA5" w:rsidP="00AC2C17" w:rsidRDefault="00647FA5" w14:paraId="20914AE7" w14:textId="77777777">
            <w:pPr>
              <w:jc w:val="center"/>
            </w:pPr>
            <w:r w:rsidRPr="00665E48">
              <w:t>Ministrijas (citas institūcijas) viedoklis par izteikto iebildumu (attiecīgi norādot, vai iebildums ir ņemts vērā, noraidīts vai panākta vienošanās starpinstitūciju sanāksmē)</w:t>
            </w:r>
          </w:p>
        </w:tc>
        <w:tc>
          <w:tcPr>
            <w:tcW w:w="2922" w:type="dxa"/>
            <w:vAlign w:val="center"/>
          </w:tcPr>
          <w:p w:rsidRPr="00665E48" w:rsidR="00647FA5" w:rsidP="00AC2C17" w:rsidRDefault="00647FA5" w14:paraId="00F33A4B" w14:textId="77777777">
            <w:pPr>
              <w:jc w:val="center"/>
            </w:pPr>
            <w:r w:rsidRPr="00665E48">
              <w:t>Projekta attiecīgā punkta (panta) galīgā redakcija vai atsauce uz starpinstitūciju sanāksmes protokola punktu, kurā ir formulēta attiecīgā punkta (panta) redakcija vai atšķirīgie viedokļi par konkrēto punktu (pantu)</w:t>
            </w:r>
          </w:p>
        </w:tc>
      </w:tr>
      <w:tr w:rsidRPr="00665E48" w:rsidR="001423B5" w:rsidTr="00B41237" w14:paraId="60DFEE92" w14:textId="77777777">
        <w:trPr>
          <w:trHeight w:val="839"/>
          <w:jc w:val="center"/>
        </w:trPr>
        <w:tc>
          <w:tcPr>
            <w:tcW w:w="617" w:type="dxa"/>
          </w:tcPr>
          <w:p w:rsidRPr="00665E48" w:rsidR="001423B5" w:rsidP="001423B5" w:rsidRDefault="001423B5" w14:paraId="1462861F" w14:textId="49C04668">
            <w:pPr>
              <w:jc w:val="center"/>
            </w:pPr>
            <w:r w:rsidRPr="00665E48">
              <w:t>1.</w:t>
            </w:r>
          </w:p>
        </w:tc>
        <w:tc>
          <w:tcPr>
            <w:tcW w:w="2922" w:type="dxa"/>
          </w:tcPr>
          <w:p w:rsidR="001423B5" w:rsidP="00255244" w:rsidRDefault="001423B5" w14:paraId="2571CD5D" w14:textId="14A21876">
            <w:pPr>
              <w:jc w:val="both"/>
              <w:rPr>
                <w:bCs/>
                <w:lang w:eastAsia="lv-LV"/>
              </w:rPr>
            </w:pPr>
            <w:r w:rsidRPr="00665E48">
              <w:rPr>
                <w:bCs/>
                <w:lang w:eastAsia="lv-LV"/>
              </w:rPr>
              <w:t>Noteikumu projekt</w:t>
            </w:r>
            <w:r w:rsidR="00255244">
              <w:rPr>
                <w:bCs/>
                <w:lang w:eastAsia="lv-LV"/>
              </w:rPr>
              <w:t xml:space="preserve">s un </w:t>
            </w:r>
            <w:r w:rsidRPr="00665E48">
              <w:rPr>
                <w:bCs/>
                <w:lang w:eastAsia="lv-LV"/>
              </w:rPr>
              <w:t xml:space="preserve"> anotācija.</w:t>
            </w:r>
          </w:p>
          <w:p w:rsidRPr="005257C1" w:rsidR="005257C1" w:rsidP="005257C1" w:rsidRDefault="005257C1" w14:paraId="46E259EA" w14:textId="77777777">
            <w:pPr>
              <w:rPr>
                <w:lang w:eastAsia="lv-LV"/>
              </w:rPr>
            </w:pPr>
          </w:p>
          <w:p w:rsidRPr="005257C1" w:rsidR="005257C1" w:rsidP="005257C1" w:rsidRDefault="005257C1" w14:paraId="44594703" w14:textId="77777777">
            <w:pPr>
              <w:rPr>
                <w:lang w:eastAsia="lv-LV"/>
              </w:rPr>
            </w:pPr>
          </w:p>
          <w:p w:rsidRPr="005257C1" w:rsidR="005257C1" w:rsidP="005257C1" w:rsidRDefault="005257C1" w14:paraId="72AEAFB4" w14:textId="77777777">
            <w:pPr>
              <w:rPr>
                <w:lang w:eastAsia="lv-LV"/>
              </w:rPr>
            </w:pPr>
          </w:p>
          <w:p w:rsidRPr="005257C1" w:rsidR="005257C1" w:rsidP="005257C1" w:rsidRDefault="005257C1" w14:paraId="77841CCB" w14:textId="77777777">
            <w:pPr>
              <w:rPr>
                <w:lang w:eastAsia="lv-LV"/>
              </w:rPr>
            </w:pPr>
          </w:p>
          <w:p w:rsidRPr="005257C1" w:rsidR="005257C1" w:rsidP="005257C1" w:rsidRDefault="005257C1" w14:paraId="30B7A629" w14:textId="77777777">
            <w:pPr>
              <w:rPr>
                <w:lang w:eastAsia="lv-LV"/>
              </w:rPr>
            </w:pPr>
          </w:p>
          <w:p w:rsidRPr="005257C1" w:rsidR="005257C1" w:rsidP="005257C1" w:rsidRDefault="005257C1" w14:paraId="6E5DE9B0" w14:textId="77777777">
            <w:pPr>
              <w:rPr>
                <w:lang w:eastAsia="lv-LV"/>
              </w:rPr>
            </w:pPr>
          </w:p>
          <w:p w:rsidRPr="005257C1" w:rsidR="005257C1" w:rsidP="005257C1" w:rsidRDefault="005257C1" w14:paraId="223C0074" w14:textId="77777777">
            <w:pPr>
              <w:rPr>
                <w:lang w:eastAsia="lv-LV"/>
              </w:rPr>
            </w:pPr>
          </w:p>
          <w:p w:rsidRPr="005257C1" w:rsidR="005257C1" w:rsidP="005257C1" w:rsidRDefault="005257C1" w14:paraId="1C349E94" w14:textId="77777777">
            <w:pPr>
              <w:rPr>
                <w:lang w:eastAsia="lv-LV"/>
              </w:rPr>
            </w:pPr>
          </w:p>
          <w:p w:rsidRPr="005257C1" w:rsidR="005257C1" w:rsidP="005257C1" w:rsidRDefault="005257C1" w14:paraId="05151C14" w14:textId="77777777">
            <w:pPr>
              <w:rPr>
                <w:lang w:eastAsia="lv-LV"/>
              </w:rPr>
            </w:pPr>
          </w:p>
          <w:p w:rsidRPr="005257C1" w:rsidR="005257C1" w:rsidP="005257C1" w:rsidRDefault="005257C1" w14:paraId="3A180140" w14:textId="77777777">
            <w:pPr>
              <w:rPr>
                <w:lang w:eastAsia="lv-LV"/>
              </w:rPr>
            </w:pPr>
          </w:p>
          <w:p w:rsidRPr="005257C1" w:rsidR="005257C1" w:rsidP="005257C1" w:rsidRDefault="005257C1" w14:paraId="5A11EB5B" w14:textId="77777777">
            <w:pPr>
              <w:rPr>
                <w:lang w:eastAsia="lv-LV"/>
              </w:rPr>
            </w:pPr>
          </w:p>
          <w:p w:rsidRPr="005257C1" w:rsidR="005257C1" w:rsidP="005257C1" w:rsidRDefault="005257C1" w14:paraId="2BFA3EE1" w14:textId="77777777">
            <w:pPr>
              <w:rPr>
                <w:lang w:eastAsia="lv-LV"/>
              </w:rPr>
            </w:pPr>
          </w:p>
          <w:p w:rsidRPr="005257C1" w:rsidR="005257C1" w:rsidP="005257C1" w:rsidRDefault="005257C1" w14:paraId="6D785E93" w14:textId="77777777">
            <w:pPr>
              <w:rPr>
                <w:lang w:eastAsia="lv-LV"/>
              </w:rPr>
            </w:pPr>
          </w:p>
          <w:p w:rsidRPr="005257C1" w:rsidR="005257C1" w:rsidP="005257C1" w:rsidRDefault="005257C1" w14:paraId="19824B14" w14:textId="77777777">
            <w:pPr>
              <w:rPr>
                <w:lang w:eastAsia="lv-LV"/>
              </w:rPr>
            </w:pPr>
          </w:p>
          <w:p w:rsidRPr="005257C1" w:rsidR="005257C1" w:rsidP="005257C1" w:rsidRDefault="005257C1" w14:paraId="764785E7" w14:textId="77777777">
            <w:pPr>
              <w:rPr>
                <w:lang w:eastAsia="lv-LV"/>
              </w:rPr>
            </w:pPr>
          </w:p>
          <w:p w:rsidRPr="005257C1" w:rsidR="005257C1" w:rsidP="005257C1" w:rsidRDefault="005257C1" w14:paraId="710B0286" w14:textId="77777777">
            <w:pPr>
              <w:rPr>
                <w:lang w:eastAsia="lv-LV"/>
              </w:rPr>
            </w:pPr>
          </w:p>
          <w:p w:rsidRPr="005257C1" w:rsidR="005257C1" w:rsidP="005257C1" w:rsidRDefault="005257C1" w14:paraId="3D4CBCD0" w14:textId="77777777">
            <w:pPr>
              <w:rPr>
                <w:lang w:eastAsia="lv-LV"/>
              </w:rPr>
            </w:pPr>
          </w:p>
          <w:p w:rsidRPr="005257C1" w:rsidR="005257C1" w:rsidP="005257C1" w:rsidRDefault="005257C1" w14:paraId="10FD35E9" w14:textId="77777777">
            <w:pPr>
              <w:rPr>
                <w:lang w:eastAsia="lv-LV"/>
              </w:rPr>
            </w:pPr>
          </w:p>
          <w:p w:rsidRPr="005257C1" w:rsidR="005257C1" w:rsidP="005257C1" w:rsidRDefault="005257C1" w14:paraId="5E2EE087" w14:textId="77777777">
            <w:pPr>
              <w:rPr>
                <w:lang w:eastAsia="lv-LV"/>
              </w:rPr>
            </w:pPr>
          </w:p>
          <w:p w:rsidR="005257C1" w:rsidP="005257C1" w:rsidRDefault="005257C1" w14:paraId="1007D4DE" w14:textId="77777777">
            <w:pPr>
              <w:rPr>
                <w:bCs/>
                <w:lang w:eastAsia="lv-LV"/>
              </w:rPr>
            </w:pPr>
          </w:p>
          <w:p w:rsidRPr="005257C1" w:rsidR="005257C1" w:rsidP="005257C1" w:rsidRDefault="005257C1" w14:paraId="1289AE80" w14:textId="476886CA">
            <w:pPr>
              <w:ind w:firstLine="720"/>
              <w:rPr>
                <w:lang w:eastAsia="lv-LV"/>
              </w:rPr>
            </w:pPr>
          </w:p>
        </w:tc>
        <w:tc>
          <w:tcPr>
            <w:tcW w:w="4874" w:type="dxa"/>
          </w:tcPr>
          <w:p w:rsidRPr="00665E48" w:rsidR="001423B5" w:rsidP="001423B5" w:rsidRDefault="001423B5" w14:paraId="595D66A6" w14:textId="128D8E07">
            <w:pPr>
              <w:spacing w:after="120"/>
              <w:jc w:val="both"/>
              <w:rPr>
                <w:b/>
                <w:bCs/>
              </w:rPr>
            </w:pPr>
            <w:r w:rsidRPr="00665E48">
              <w:rPr>
                <w:b/>
                <w:bCs/>
              </w:rPr>
              <w:t>Finanšu ministrija</w:t>
            </w:r>
          </w:p>
          <w:p w:rsidRPr="00665E48" w:rsidR="001423B5" w:rsidP="001423B5" w:rsidRDefault="001423B5" w14:paraId="69101BA6" w14:textId="511CE2F4">
            <w:pPr>
              <w:spacing w:after="120"/>
              <w:jc w:val="both"/>
            </w:pPr>
            <w:r w:rsidRPr="00665E48">
              <w:t>1)Lūdzam precizēt anotācijas I sadaļas 2.punktu, nepārprotami konkretizējot to, ka Ministru kabineta 2013.gada 25.jūnija noteikumos Nr.351 “Sabiedrisko autotransporta līdzekļu iepirkuma noteikumi” (turpmāk – Noteikumi Nr.351) minētās prasības saskaņā ar izstrādāto grozījumu ir plānots piemērot, ievērojot Ministru kabineta 2017.gada 28.februāra noteikumos Nr.105 “Noteikumi par publisko iepirkumu līgumcenu robežām” (turpmāk – Noteikumi Nr.105) noteiktās līgumcenu robežvērtības. Turklāt, ievērojot, ka Noteikumi Nr.105 nosaka dažādas līgumcenu robežvērtības (atkarībā no piemērojamā likuma un procedūras), lūdzam anotācijā konkretizēt, saskaņā ar kuru Noteikumu Nr.105 punktu nosakāma līgumcenas robežvērtība Noteikumu Nr.351 piemērošanai. Vienlaikus, ņemot vērā minēto, aicinām izvērtēt, vai nebūtu precizējama arī Noteikumu projektā ietvertā grozījuma punkta redakcija.</w:t>
            </w:r>
          </w:p>
          <w:p w:rsidRPr="00665E48" w:rsidR="001423B5" w:rsidP="001423B5" w:rsidRDefault="001423B5" w14:paraId="4D5167D2" w14:textId="77777777">
            <w:pPr>
              <w:ind w:left="720"/>
              <w:jc w:val="both"/>
              <w:rPr>
                <w:rStyle w:val="FontStyle14"/>
                <w:rFonts w:ascii="Times New Roman" w:hAnsi="Times New Roman" w:cs="Times New Roman"/>
                <w:sz w:val="24"/>
                <w:szCs w:val="24"/>
              </w:rPr>
            </w:pPr>
          </w:p>
        </w:tc>
        <w:tc>
          <w:tcPr>
            <w:tcW w:w="2835" w:type="dxa"/>
          </w:tcPr>
          <w:p w:rsidRPr="00665E48" w:rsidR="001423B5" w:rsidP="00255244" w:rsidRDefault="001423B5" w14:paraId="2C051DBE" w14:textId="16647390">
            <w:pPr>
              <w:jc w:val="both"/>
              <w:rPr>
                <w:b/>
                <w:bCs/>
              </w:rPr>
            </w:pPr>
            <w:r w:rsidRPr="00665E48">
              <w:rPr>
                <w:b/>
                <w:bCs/>
              </w:rPr>
              <w:t>Iebildums ņemts vērā</w:t>
            </w:r>
            <w:r w:rsidR="00255244">
              <w:rPr>
                <w:b/>
                <w:bCs/>
              </w:rPr>
              <w:t xml:space="preserve">. </w:t>
            </w:r>
            <w:r w:rsidR="00255244">
              <w:t>R</w:t>
            </w:r>
            <w:r w:rsidRPr="00665E48">
              <w:t>edakcionāli precizēt</w:t>
            </w:r>
            <w:r w:rsidR="00255244">
              <w:t>s n</w:t>
            </w:r>
            <w:r w:rsidRPr="00665E48" w:rsidR="00255244">
              <w:t>oteikumu projekts</w:t>
            </w:r>
            <w:r w:rsidR="00255244">
              <w:t xml:space="preserve"> un anotācija.</w:t>
            </w:r>
          </w:p>
          <w:p w:rsidRPr="00665E48" w:rsidR="001423B5" w:rsidP="001423B5" w:rsidRDefault="001423B5" w14:paraId="4708CD8A" w14:textId="07D2B6D7"/>
        </w:tc>
        <w:tc>
          <w:tcPr>
            <w:tcW w:w="2922" w:type="dxa"/>
          </w:tcPr>
          <w:p w:rsidRPr="00665E48" w:rsidR="001423B5" w:rsidP="001423B5" w:rsidRDefault="00A866F4" w14:paraId="6783E265" w14:textId="5B027915">
            <w:pPr>
              <w:keepNext/>
              <w:jc w:val="both"/>
              <w:outlineLvl w:val="1"/>
              <w:rPr>
                <w:bCs/>
              </w:rPr>
            </w:pPr>
            <w:r>
              <w:rPr>
                <w:bCs/>
              </w:rPr>
              <w:t>i</w:t>
            </w:r>
            <w:r w:rsidRPr="00665E48" w:rsidR="001423B5">
              <w:rPr>
                <w:bCs/>
              </w:rPr>
              <w:t>zteikt noteikumu 3. punktu šādā redakcijā:</w:t>
            </w:r>
          </w:p>
          <w:p w:rsidRPr="00665E48" w:rsidR="001423B5" w:rsidP="001423B5" w:rsidRDefault="001423B5" w14:paraId="49911841" w14:textId="77777777">
            <w:pPr>
              <w:keepNext/>
              <w:ind w:firstLine="709"/>
              <w:jc w:val="both"/>
              <w:outlineLvl w:val="1"/>
              <w:rPr>
                <w:bCs/>
              </w:rPr>
            </w:pPr>
          </w:p>
          <w:p w:rsidRPr="00665E48" w:rsidR="001423B5" w:rsidP="001423B5" w:rsidRDefault="001423B5" w14:paraId="5E5C4E1A" w14:textId="15AC12C9">
            <w:pPr>
              <w:jc w:val="both"/>
              <w:rPr>
                <w:bCs/>
                <w:lang w:eastAsia="lv-LV"/>
              </w:rPr>
            </w:pPr>
            <w:r w:rsidRPr="00665E48">
              <w:rPr>
                <w:bCs/>
              </w:rPr>
              <w:t xml:space="preserve">“3. Transportlīdzekļu iepirkumiem šajos noteikumos minētās prasības piemērojamas, ja paredzamā līgumcena ir vienāda vai lielāka par Ministru kabineta </w:t>
            </w:r>
            <w:r w:rsidRPr="00665E48">
              <w:rPr>
                <w:bCs/>
                <w:lang w:eastAsia="lv-LV"/>
              </w:rPr>
              <w:t>2017.gada 28. februāra noteikumu Nr.105 “Noteikumi par publisko iepirkumu līgumcenu robežvērtībām” 3.3.apakšpunktā noteiktajām piegādes un pakalpojumu l</w:t>
            </w:r>
            <w:r w:rsidRPr="00665E48">
              <w:t>īgumcenu robežvērtībām.”</w:t>
            </w:r>
            <w:r w:rsidRPr="00665E48">
              <w:rPr>
                <w:bCs/>
                <w:lang w:eastAsia="lv-LV"/>
              </w:rPr>
              <w:t xml:space="preserve"> </w:t>
            </w:r>
          </w:p>
          <w:p w:rsidR="000131CD" w:rsidP="001423B5" w:rsidRDefault="000131CD" w14:paraId="51787705" w14:textId="77777777">
            <w:pPr>
              <w:ind w:right="180"/>
              <w:jc w:val="both"/>
              <w:rPr>
                <w:bCs/>
                <w:lang w:eastAsia="lv-LV"/>
              </w:rPr>
            </w:pPr>
          </w:p>
          <w:p w:rsidRPr="00665E48" w:rsidR="001423B5" w:rsidP="001423B5" w:rsidRDefault="00FB5B5C" w14:paraId="5B22CB59" w14:textId="3EE77B78">
            <w:pPr>
              <w:ind w:right="180"/>
              <w:jc w:val="both"/>
              <w:rPr>
                <w:bCs/>
                <w:lang w:eastAsia="lv-LV"/>
              </w:rPr>
            </w:pPr>
            <w:r w:rsidRPr="00FB5B5C">
              <w:rPr>
                <w:bCs/>
                <w:lang w:eastAsia="lv-LV"/>
              </w:rPr>
              <w:t>Skatīt precizēto anotāciju.</w:t>
            </w:r>
          </w:p>
        </w:tc>
      </w:tr>
      <w:tr w:rsidRPr="00665E48" w:rsidR="001423B5" w:rsidTr="00B357D4" w14:paraId="309FF8B5" w14:textId="77777777">
        <w:trPr>
          <w:trHeight w:val="70"/>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09D03DB2" w14:textId="3E5ACB70">
            <w:pPr>
              <w:jc w:val="both"/>
            </w:pPr>
            <w:r>
              <w:lastRenderedPageBreak/>
              <w:t>2.</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14DB834C" w14:textId="41E7259C">
            <w:pPr>
              <w:ind w:left="117"/>
              <w:jc w:val="both"/>
              <w:rPr>
                <w:bCs/>
                <w:lang w:eastAsia="lv-LV"/>
              </w:rPr>
            </w:pPr>
            <w:r w:rsidRPr="00665E48">
              <w:rPr>
                <w:bCs/>
                <w:lang w:eastAsia="lv-LV"/>
              </w:rPr>
              <w:t>Noteikumu projekta anotācijas I sadaļas 2.punkts.</w:t>
            </w: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38403624" w14:textId="2C1C090D">
            <w:pPr>
              <w:spacing w:after="120"/>
              <w:jc w:val="both"/>
              <w:rPr>
                <w:b/>
                <w:bCs/>
              </w:rPr>
            </w:pPr>
            <w:r w:rsidRPr="00665E48">
              <w:rPr>
                <w:b/>
                <w:bCs/>
              </w:rPr>
              <w:t>Finanšu ministrija</w:t>
            </w:r>
          </w:p>
          <w:p w:rsidRPr="00665E48" w:rsidR="001423B5" w:rsidP="00C166B2" w:rsidRDefault="001423B5" w14:paraId="36DA8AAB" w14:textId="093FEF65">
            <w:pPr>
              <w:spacing w:after="120"/>
              <w:jc w:val="both"/>
              <w:rPr>
                <w:rStyle w:val="FontStyle15"/>
                <w:b/>
                <w:sz w:val="24"/>
                <w:szCs w:val="24"/>
              </w:rPr>
            </w:pPr>
            <w:r w:rsidRPr="00665E48">
              <w:t>2.</w:t>
            </w:r>
            <w:r w:rsidRPr="00665E48">
              <w:tab/>
              <w:t xml:space="preserve">Lūdzam precizēt anotācijas I sadaļas 2.punkta otro rindkopu, jo Sabiedriskā transporta pakalpojumu likuma 15.pantā nav dots pilnvarojums Ministru kabinetam noteikt publisko iepirkumu līgumcenu robežvērtības. Vēršam uzmanību uz to, ka Publisko iepirkumu likuma 12.pantā, Sabiedrisko pakalpojumu sniedzēju iepirkumu likuma 15.pantā un Publiskās un privātās partnerības likuma 13.1 pantā ir ietverts deleģējums Ministru kabinetam noteikt publisko iepirkumu līgumcenu robežvērtības, pamatojoties uz Eiropas Savienības starptautiskajām saistībām attiecībā uz līgumcenu robežvērtībām, kas jāievēro pasūtītājam un sabiedrisko pakalpojumu sniedzējam. </w:t>
            </w:r>
          </w:p>
        </w:tc>
        <w:tc>
          <w:tcPr>
            <w:tcW w:w="2835"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05B67FD8" w14:textId="70224F45">
            <w:pPr>
              <w:rPr>
                <w:b/>
                <w:bCs/>
              </w:rPr>
            </w:pPr>
            <w:r w:rsidRPr="00665E48">
              <w:rPr>
                <w:b/>
                <w:bCs/>
              </w:rPr>
              <w:t>Iebildums ņemts vērā</w:t>
            </w:r>
            <w:r w:rsidR="00A866F4">
              <w:rPr>
                <w:b/>
                <w:bCs/>
              </w:rPr>
              <w:t>.</w:t>
            </w:r>
          </w:p>
          <w:p w:rsidRPr="00665E48" w:rsidR="001423B5" w:rsidP="001423B5" w:rsidRDefault="001423B5" w14:paraId="7906997C" w14:textId="55934AB4">
            <w:pPr>
              <w:jc w:val="both"/>
            </w:pP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0D3B224F" w14:textId="243FB84B">
            <w:pPr>
              <w:jc w:val="both"/>
              <w:rPr>
                <w:bCs/>
                <w:lang w:eastAsia="lv-LV"/>
              </w:rPr>
            </w:pPr>
            <w:r w:rsidRPr="00665E48">
              <w:rPr>
                <w:bCs/>
                <w:lang w:eastAsia="lv-LV"/>
              </w:rPr>
              <w:t>Skatīt precizēto anotāciju.</w:t>
            </w:r>
          </w:p>
        </w:tc>
      </w:tr>
      <w:tr w:rsidRPr="00665E48" w:rsidR="001423B5" w:rsidTr="00B357D4" w14:paraId="49691C1C"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04150097" w14:textId="4D36086C">
            <w:pPr>
              <w:jc w:val="center"/>
            </w:pPr>
            <w:r>
              <w:t>3</w:t>
            </w:r>
            <w:r w:rsidRPr="00665E48" w:rsidR="001423B5">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6854B009" w14:textId="6212D9DA">
            <w:pPr>
              <w:spacing w:after="120"/>
              <w:ind w:right="38"/>
              <w:jc w:val="both"/>
              <w:rPr>
                <w:bCs/>
                <w:lang w:eastAsia="lv-LV"/>
              </w:rPr>
            </w:pPr>
            <w:r w:rsidRPr="00665E48">
              <w:rPr>
                <w:bCs/>
                <w:lang w:eastAsia="lv-LV"/>
              </w:rPr>
              <w:t>Noteikumu projekta anotācijas I sadaļas 2.punkts.</w:t>
            </w: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18E2A901" w14:textId="77777777">
            <w:pPr>
              <w:spacing w:after="120"/>
              <w:jc w:val="both"/>
              <w:rPr>
                <w:b/>
                <w:bCs/>
              </w:rPr>
            </w:pPr>
            <w:r w:rsidRPr="00665E48">
              <w:rPr>
                <w:b/>
                <w:bCs/>
              </w:rPr>
              <w:t>Finanšu ministrija</w:t>
            </w:r>
          </w:p>
          <w:p w:rsidRPr="00665E48" w:rsidR="001423B5" w:rsidP="00E751FD" w:rsidRDefault="001423B5" w14:paraId="786B8AF5" w14:textId="2FCCD6E9">
            <w:pPr>
              <w:spacing w:after="120"/>
              <w:jc w:val="both"/>
            </w:pPr>
            <w:r w:rsidRPr="00665E48">
              <w:t>3.</w:t>
            </w:r>
            <w:r w:rsidRPr="00665E48">
              <w:tab/>
              <w:t xml:space="preserve">Lūdzam anotācijas I sadaļas 2.punktā svītrot atsauces uz Komisijas 2015.gada 24.novembra deleģēto regulu Nr.2015/2170, ar ko groza Eiropas Parlamenta un Padomes Direktīvu 2014/24/ES par tās piemērošanas robežvērtībām līgumu slēgšanas tiesību piešķiršanas procedūrās un Komisijas 2015.gada 24.novembra deleģēto regulu Nr.2015/2172, ar ko groza Eiropas Parlamenta un Padomes Direktīvu 2014/23/ES par tās piemērošanas robežvērtībām līgumu slēgšanas tiesību piešķiršanas procedūrās, ņemot vērā, ka Sabiedriskā transporta pakalpojumu likuma 18.panta otrajā daļā minēts, ka </w:t>
            </w:r>
            <w:r w:rsidRPr="00665E48">
              <w:rPr>
                <w:i/>
              </w:rPr>
              <w:t xml:space="preserve">[..] līgumcenas robežu Ministru kabinets nosaka, pamatojoties </w:t>
            </w:r>
            <w:r w:rsidRPr="00665E48">
              <w:rPr>
                <w:i/>
              </w:rPr>
              <w:lastRenderedPageBreak/>
              <w:t>uz Eiropas Savienības tiesību aktiem attiecībā uz līgumcenu robežām, kas jāievēro sabiedrisko pakalpojumu sniedzējiem Sabiedrisko pakalpojumu sniedzēju iepirkumu likuma izpratnē. [..]</w:t>
            </w:r>
            <w:r w:rsidRPr="00665E48">
              <w:t>. Vienlaikus lūdzam precizēt vai skaidrot nepieciešamību atsaukties uz neaktuālām regulām, jo anotācijas I sadaļas 2.punktā minētajās regulās norādītās līgumcenu robežvērtības 2017.gadā ir grozītas.</w:t>
            </w:r>
          </w:p>
        </w:tc>
        <w:tc>
          <w:tcPr>
            <w:tcW w:w="2835"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3481556D" w14:textId="3CA063D2">
            <w:pPr>
              <w:rPr>
                <w:b/>
                <w:bCs/>
              </w:rPr>
            </w:pPr>
            <w:r w:rsidRPr="00665E48">
              <w:rPr>
                <w:b/>
                <w:bCs/>
              </w:rPr>
              <w:lastRenderedPageBreak/>
              <w:t>Iebildums ņemts vērā</w:t>
            </w:r>
            <w:r w:rsidR="00A866F4">
              <w:rPr>
                <w:b/>
                <w:bCs/>
              </w:rPr>
              <w:t>.</w:t>
            </w:r>
          </w:p>
          <w:p w:rsidRPr="00665E48" w:rsidR="001423B5" w:rsidP="001423B5" w:rsidRDefault="001423B5" w14:paraId="50BEDD07" w14:textId="737F2A0A">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5634FA09" w14:textId="65CE3A99">
            <w:pPr>
              <w:jc w:val="both"/>
              <w:rPr>
                <w:bCs/>
                <w:i/>
                <w:lang w:eastAsia="lv-LV"/>
              </w:rPr>
            </w:pPr>
            <w:r w:rsidRPr="00665E48">
              <w:rPr>
                <w:bCs/>
                <w:lang w:eastAsia="lv-LV"/>
              </w:rPr>
              <w:t>Skatīt precizēto anotāciju.</w:t>
            </w:r>
          </w:p>
        </w:tc>
      </w:tr>
      <w:tr w:rsidRPr="00665E48" w:rsidR="001423B5" w:rsidTr="00B357D4" w14:paraId="6031DFA7"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3330DD55" w14:textId="3EC7BD44">
            <w:pPr>
              <w:jc w:val="center"/>
            </w:pPr>
            <w:r>
              <w:t>4</w:t>
            </w:r>
            <w:r w:rsidRPr="00665E48" w:rsidR="001423B5">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74A7DA05" w14:textId="28BA323E">
            <w:pPr>
              <w:spacing w:after="120"/>
              <w:ind w:right="38"/>
              <w:jc w:val="both"/>
              <w:rPr>
                <w:bCs/>
                <w:lang w:eastAsia="lv-LV"/>
              </w:rPr>
            </w:pPr>
            <w:r w:rsidRPr="00665E48">
              <w:rPr>
                <w:bCs/>
                <w:lang w:eastAsia="lv-LV"/>
              </w:rPr>
              <w:t xml:space="preserve">Noteikumu projekta anotācija </w:t>
            </w:r>
            <w:r w:rsidRPr="00665E48">
              <w:t>II sadaļas 1.punkts.</w:t>
            </w: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105AF09C" w14:textId="071562B4">
            <w:pPr>
              <w:spacing w:after="120"/>
              <w:jc w:val="both"/>
              <w:rPr>
                <w:b/>
                <w:bCs/>
              </w:rPr>
            </w:pPr>
            <w:r w:rsidRPr="00665E48">
              <w:rPr>
                <w:b/>
                <w:bCs/>
              </w:rPr>
              <w:t>Finanšu ministrija</w:t>
            </w:r>
          </w:p>
          <w:p w:rsidRPr="00665E48" w:rsidR="001423B5" w:rsidP="001423B5" w:rsidRDefault="001423B5" w14:paraId="6663F158" w14:textId="1E9061DE">
            <w:pPr>
              <w:spacing w:after="120"/>
              <w:jc w:val="both"/>
            </w:pPr>
            <w:r w:rsidRPr="00665E48">
              <w:t>4.</w:t>
            </w:r>
            <w:r w:rsidRPr="00665E48">
              <w:tab/>
              <w:t xml:space="preserve">Lūdzam precizēt anotācijas II sadaļas 1.punktu, norādot, ka šajā gadījumā sabiedrības </w:t>
            </w:r>
            <w:proofErr w:type="spellStart"/>
            <w:r w:rsidRPr="00665E48">
              <w:t>mērķgrupa</w:t>
            </w:r>
            <w:proofErr w:type="spellEnd"/>
            <w:r w:rsidRPr="00665E48">
              <w:t>, kuru attiecīgais regulējums ietekmē vai varētu ietekmēt ir tie sabiedriskā transporta pakalpojumu sniedzēji, ar kuriem noslēgti sabiedriskā transporta pakalpojumu pasūtījuma līgumi un kuri nav pasūtītāji Publisko iepirkumu likuma izpratnē vai sabiedrisko pakalpojumu sniedzēji Sabiedrisko pakalpojumu sniedzēju iepirkumu likuma izpratnē.</w:t>
            </w:r>
          </w:p>
        </w:tc>
        <w:tc>
          <w:tcPr>
            <w:tcW w:w="2835"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5002A992" w14:textId="6F47FE0E">
            <w:pPr>
              <w:rPr>
                <w:b/>
                <w:bCs/>
              </w:rPr>
            </w:pPr>
            <w:r w:rsidRPr="00665E48">
              <w:rPr>
                <w:b/>
                <w:bCs/>
              </w:rPr>
              <w:t>Iebildums ņemts vērā</w:t>
            </w:r>
            <w:r w:rsidR="00A866F4">
              <w:rPr>
                <w:b/>
                <w:bCs/>
              </w:rPr>
              <w:t>.</w:t>
            </w:r>
          </w:p>
          <w:p w:rsidRPr="00665E48" w:rsidR="001423B5" w:rsidP="001423B5" w:rsidRDefault="001423B5" w14:paraId="232E9CCE" w14:textId="58FCC43E">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4E424A86" w14:textId="7E9FC845">
            <w:pPr>
              <w:jc w:val="both"/>
              <w:rPr>
                <w:bCs/>
                <w:i/>
                <w:lang w:eastAsia="lv-LV"/>
              </w:rPr>
            </w:pPr>
            <w:r w:rsidRPr="00665E48">
              <w:rPr>
                <w:bCs/>
                <w:lang w:eastAsia="lv-LV"/>
              </w:rPr>
              <w:t>Skatīt precizēto anotāciju.</w:t>
            </w:r>
          </w:p>
        </w:tc>
      </w:tr>
      <w:tr w:rsidRPr="00665E48" w:rsidR="001423B5" w:rsidTr="00B357D4" w14:paraId="714E3640"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23D54250" w14:textId="20B5000D">
            <w:pPr>
              <w:jc w:val="center"/>
            </w:pPr>
            <w:r>
              <w:t>5</w:t>
            </w:r>
            <w:r w:rsidRPr="00665E48" w:rsidR="001423B5">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475DCFB4" w14:textId="2149B7E1">
            <w:pPr>
              <w:spacing w:after="120"/>
              <w:ind w:right="38"/>
              <w:jc w:val="both"/>
              <w:rPr>
                <w:bCs/>
                <w:lang w:eastAsia="lv-LV"/>
              </w:rPr>
            </w:pPr>
            <w:r w:rsidRPr="00665E48">
              <w:rPr>
                <w:bCs/>
                <w:lang w:eastAsia="lv-LV"/>
              </w:rPr>
              <w:t>Noteikumu projekta anotācija</w:t>
            </w:r>
            <w:r w:rsidRPr="00665E48">
              <w:t xml:space="preserve"> V sadaļas 1 tabulā</w:t>
            </w:r>
            <w:r w:rsidRPr="00665E48">
              <w:rPr>
                <w:bCs/>
                <w:lang w:eastAsia="lv-LV"/>
              </w:rPr>
              <w:t>.</w:t>
            </w: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5742E0E6" w14:textId="4019054E">
            <w:pPr>
              <w:spacing w:after="120"/>
              <w:jc w:val="both"/>
              <w:rPr>
                <w:b/>
                <w:bCs/>
              </w:rPr>
            </w:pPr>
            <w:r w:rsidRPr="00665E48">
              <w:rPr>
                <w:b/>
                <w:bCs/>
              </w:rPr>
              <w:t>Finanšu ministrija</w:t>
            </w:r>
          </w:p>
          <w:p w:rsidRPr="00665E48" w:rsidR="001423B5" w:rsidP="001423B5" w:rsidRDefault="001423B5" w14:paraId="74F601A8" w14:textId="451AA37C">
            <w:pPr>
              <w:spacing w:after="120"/>
              <w:jc w:val="both"/>
            </w:pPr>
            <w:r w:rsidRPr="00665E48">
              <w:t>5.</w:t>
            </w:r>
            <w:r w:rsidRPr="00665E48">
              <w:tab/>
              <w:t xml:space="preserve">Lūdzam aizstāt anotācijas V sadaļas 1 tabulā atsauci uz Komisijas 2017.gada 18.decembra regulu Nr.2017/2366, ar ko groza Eiropas Parlamenta un Padomes Direktīvu 2014/23/ES attiecībā uz tās piemērošanas robežvērtībām līgumu slēgšanas tiesību piešķiršanas procedūrās ar atsauci uz Komisijas 2017.gada 18.decembra deleģēto regulu 2017/2364 ar ko Eiropas Parlamenta un Padomes Direktīvu 2014/25/ES groza attiecībā uz </w:t>
            </w:r>
            <w:r w:rsidRPr="00665E48">
              <w:lastRenderedPageBreak/>
              <w:t>piemērošanas robežvērtībām līgumu slēgšanas tiesību piešķiršanas procedūrās.</w:t>
            </w:r>
          </w:p>
        </w:tc>
        <w:tc>
          <w:tcPr>
            <w:tcW w:w="2835"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353655D4" w14:textId="37EA3FD2">
            <w:pPr>
              <w:rPr>
                <w:b/>
                <w:bCs/>
              </w:rPr>
            </w:pPr>
            <w:r w:rsidRPr="00665E48">
              <w:rPr>
                <w:b/>
                <w:bCs/>
              </w:rPr>
              <w:lastRenderedPageBreak/>
              <w:t>Iebildums ņemts vērā</w:t>
            </w:r>
            <w:r w:rsidR="00A866F4">
              <w:rPr>
                <w:b/>
                <w:bCs/>
              </w:rPr>
              <w:t>.</w:t>
            </w:r>
          </w:p>
          <w:p w:rsidRPr="00665E48" w:rsidR="001423B5" w:rsidP="001423B5" w:rsidRDefault="001423B5" w14:paraId="1CAA7EFF" w14:textId="324D526A">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53D6C4F1" w14:textId="77777777">
            <w:pPr>
              <w:jc w:val="both"/>
              <w:rPr>
                <w:bCs/>
                <w:i/>
                <w:lang w:eastAsia="lv-LV"/>
              </w:rPr>
            </w:pPr>
            <w:r w:rsidRPr="00665E48">
              <w:rPr>
                <w:bCs/>
                <w:lang w:eastAsia="lv-LV"/>
              </w:rPr>
              <w:t>Skatīt precizēto anotāciju.</w:t>
            </w:r>
          </w:p>
        </w:tc>
      </w:tr>
      <w:tr w:rsidRPr="00665E48" w:rsidR="001423B5" w:rsidTr="00B357D4" w14:paraId="38378C5A"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3CA98FF5" w14:textId="6F0497B5">
            <w:pPr>
              <w:jc w:val="both"/>
            </w:pPr>
            <w:r>
              <w:t>6</w:t>
            </w:r>
            <w:r w:rsidRPr="00665E48" w:rsidR="001423B5">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50047921" w14:textId="4B05E6AC">
            <w:pPr>
              <w:spacing w:after="120"/>
              <w:ind w:right="38"/>
              <w:jc w:val="both"/>
              <w:rPr>
                <w:bCs/>
                <w:lang w:eastAsia="lv-LV"/>
              </w:rPr>
            </w:pPr>
            <w:r w:rsidRPr="00665E48">
              <w:rPr>
                <w:bCs/>
                <w:lang w:eastAsia="lv-LV"/>
              </w:rPr>
              <w:t>Noteikumu projekta anotācijas V sadaļa 1.tabula.</w:t>
            </w: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5FE08742" w14:textId="38CC5A24">
            <w:pPr>
              <w:jc w:val="both"/>
              <w:rPr>
                <w:b/>
                <w:bCs/>
              </w:rPr>
            </w:pPr>
            <w:r w:rsidRPr="00665E48">
              <w:rPr>
                <w:b/>
                <w:bCs/>
              </w:rPr>
              <w:t>Finanšu ministrija</w:t>
            </w:r>
          </w:p>
          <w:p w:rsidRPr="00665E48" w:rsidR="001423B5" w:rsidP="001423B5" w:rsidRDefault="001423B5" w14:paraId="56A7B9A2" w14:textId="231023AD">
            <w:pPr>
              <w:jc w:val="both"/>
            </w:pPr>
            <w:r w:rsidRPr="00665E48">
              <w:t xml:space="preserve">6.Lūdzam svītrot vai sniegt skaidrojumu par nepieciešamību anotācijas V sadaļas 1 tabulas </w:t>
            </w:r>
            <w:proofErr w:type="spellStart"/>
            <w:r w:rsidRPr="00665E48">
              <w:t>apakšsadaļā</w:t>
            </w:r>
            <w:proofErr w:type="spellEnd"/>
            <w:r w:rsidRPr="00665E48">
              <w:t xml:space="preserve"> “cita informācija” norādīt normatīvos aktus, kas neskar Noteikumu projektu, piemēram, atsauce uz publiskās un privātās partnerības jomas normatīvajiem aktiem.</w:t>
            </w:r>
          </w:p>
        </w:tc>
        <w:tc>
          <w:tcPr>
            <w:tcW w:w="2835" w:type="dxa"/>
            <w:tcBorders>
              <w:top w:val="single" w:color="auto" w:sz="4" w:space="0"/>
              <w:left w:val="single" w:color="auto" w:sz="4" w:space="0"/>
              <w:bottom w:val="single" w:color="auto" w:sz="4" w:space="0"/>
              <w:right w:val="single" w:color="auto" w:sz="4" w:space="0"/>
            </w:tcBorders>
          </w:tcPr>
          <w:p w:rsidRPr="00665E48" w:rsidR="001423B5" w:rsidP="00A866F4" w:rsidRDefault="001423B5" w14:paraId="7B896319" w14:textId="546A35FA">
            <w:pPr>
              <w:rPr>
                <w:b/>
              </w:rPr>
            </w:pPr>
            <w:r w:rsidRPr="00665E48">
              <w:rPr>
                <w:b/>
                <w:bCs/>
              </w:rPr>
              <w:t>Iebildums ņemts vērā</w:t>
            </w:r>
            <w:r w:rsidR="00A866F4">
              <w:rPr>
                <w:b/>
                <w:bCs/>
              </w:rPr>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60ABC1D2" w14:textId="24CD98FC">
            <w:pPr>
              <w:jc w:val="both"/>
              <w:rPr>
                <w:bCs/>
                <w:i/>
                <w:lang w:eastAsia="lv-LV"/>
              </w:rPr>
            </w:pPr>
            <w:r w:rsidRPr="00665E48">
              <w:rPr>
                <w:bCs/>
                <w:lang w:eastAsia="lv-LV"/>
              </w:rPr>
              <w:t>Skatīt precizēto anotāciju.</w:t>
            </w:r>
          </w:p>
        </w:tc>
      </w:tr>
      <w:tr w:rsidRPr="00665E48" w:rsidR="001423B5" w:rsidTr="00B357D4" w14:paraId="63E3EB18"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3B94D76B" w14:textId="24A8186D">
            <w:pPr>
              <w:jc w:val="both"/>
            </w:pPr>
            <w:r>
              <w:t>7</w:t>
            </w:r>
            <w:r w:rsidRPr="00665E48" w:rsidR="001423B5">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1EA827FC" w14:textId="3C8614F6">
            <w:pPr>
              <w:jc w:val="both"/>
              <w:rPr>
                <w:bCs/>
              </w:rPr>
            </w:pPr>
            <w:r w:rsidRPr="00665E48">
              <w:rPr>
                <w:bCs/>
              </w:rPr>
              <w:t xml:space="preserve">3.Transportlīdzekļu iepirkumiem šajos noteikumos minētās prasības piemērojamas, ja paredzamā līgumcena ir vienāda vai lielāka par </w:t>
            </w:r>
            <w:r w:rsidRPr="00665E48">
              <w:rPr>
                <w:bCs/>
                <w:lang w:eastAsia="lv-LV"/>
              </w:rPr>
              <w:t xml:space="preserve">2017. gada 28. februāra </w:t>
            </w:r>
            <w:r w:rsidRPr="00665E48">
              <w:t>noteikumos, kas nosaka publisko iepirkumu līgumcenu robežvērtības, pamatojoties uz Eiropas Savienības starptautiskajām saistībām attiecībā uz līgumcenu robežvērtībām, kas jāievēro pasūtītājam un sabiedrisko pakalpojumu sniedzējam, noteikto līgumcenas robežvērtību.”.</w:t>
            </w:r>
          </w:p>
          <w:p w:rsidRPr="00665E48" w:rsidR="001423B5" w:rsidP="001423B5" w:rsidRDefault="001423B5" w14:paraId="5818F9D0"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2ABA2139" w14:textId="611F44B0">
            <w:pPr>
              <w:pStyle w:val="NormalWeb"/>
              <w:spacing w:before="0" w:after="0"/>
              <w:ind w:right="13"/>
              <w:jc w:val="both"/>
              <w:rPr>
                <w:b/>
                <w:bCs/>
              </w:rPr>
            </w:pPr>
            <w:r w:rsidRPr="00665E48">
              <w:rPr>
                <w:b/>
                <w:bCs/>
              </w:rPr>
              <w:t>Tieslietu ministrija</w:t>
            </w:r>
          </w:p>
          <w:p w:rsidRPr="00665E48" w:rsidR="001423B5" w:rsidP="001423B5" w:rsidRDefault="001423B5" w14:paraId="4EB8ACFF" w14:textId="03FD628B">
            <w:pPr>
              <w:pStyle w:val="NormalWeb"/>
              <w:spacing w:before="0" w:beforeAutospacing="0" w:after="0" w:afterAutospacing="0"/>
              <w:ind w:right="11" w:firstLine="720"/>
              <w:jc w:val="both"/>
              <w:rPr>
                <w:bCs/>
              </w:rPr>
            </w:pPr>
            <w:r w:rsidRPr="00665E48">
              <w:t xml:space="preserve">1. No Ministru kabineta 2013. gada 25. jūnija noteikumu Nr. 351 "Sabiedrisko autotransporta līdzekļu iepirkuma noteikumi" (turpmāk – noteikumi Nr. 351) 1.1. apakšpunktā minētā izriet, ka noteikumi Nr. 351 noteic sabiedrisko autotransporta līdzekļu iepirkuma līgumcenas robežu (proti, sabiedrisko autotransporta līdzekļu iepirkuma līgumcenas robeža ir noteikta noteikumu Nr. 351 3. punktā). Savukārt atbilstoši projektā paredzētajam grozījumam noteikumu Nr. 351 3. punktā vairs nebūs noteikta sabiedrisko autotransporta līdzekļu iepirkuma līgumcenas robeža, bet ietverta atsauce uz </w:t>
            </w:r>
            <w:r w:rsidRPr="00665E48">
              <w:rPr>
                <w:bCs/>
              </w:rPr>
              <w:t>Ministru kabineta 2017. gada 28. februāra noteikumos Nr. 105 "Noteikumi par publisko iepirkumu līgumcenu robežām" (turpmāk – noteikumi Nr. 105) noteiktajām līgumcenu robežvērtībām.</w:t>
            </w:r>
          </w:p>
          <w:p w:rsidRPr="00665E48" w:rsidR="001423B5" w:rsidP="001423B5" w:rsidRDefault="001423B5" w14:paraId="1DD192EC" w14:textId="77777777">
            <w:pPr>
              <w:pStyle w:val="NormalWeb"/>
              <w:spacing w:before="0" w:beforeAutospacing="0" w:after="0" w:afterAutospacing="0"/>
              <w:ind w:right="13" w:firstLine="720"/>
              <w:jc w:val="both"/>
              <w:rPr>
                <w:bCs/>
              </w:rPr>
            </w:pPr>
            <w:r w:rsidRPr="00665E48">
              <w:rPr>
                <w:bCs/>
              </w:rPr>
              <w:t xml:space="preserve">Vienlaikus vēršam uzmanību uz to, ka projektā paredzētajā grozījumā ietvertais regulējums ir līdzīgs regulējumam, kāds ir </w:t>
            </w:r>
            <w:r w:rsidRPr="00665E48">
              <w:rPr>
                <w:bCs/>
              </w:rPr>
              <w:lastRenderedPageBreak/>
              <w:t xml:space="preserve">minēts </w:t>
            </w:r>
            <w:r w:rsidRPr="00665E48">
              <w:t>Sabiedriskā transporta pakalpojumu likuma (turpmāk – likums) 18. panta otrajā daļā. Savukārt atbilstoši Ministru kabineta 2009. gada 3. februāra noteikumu Nr. 108 "Normatīvo aktu projektu sagatavošanas noteikumi" 3.2. apakšpunktā noteiktajam</w:t>
            </w:r>
            <w:r w:rsidRPr="00665E48">
              <w:rPr>
                <w:bCs/>
              </w:rPr>
              <w:t xml:space="preserve"> normatīvā akta projektā neietver normas, kas dublē augstāka spēka normatīvā akta tiesību normās ietverto normatīvo regulējumu.</w:t>
            </w:r>
          </w:p>
          <w:p w:rsidRPr="00665E48" w:rsidR="001423B5" w:rsidP="001423B5" w:rsidRDefault="001423B5" w14:paraId="14AEA5A6" w14:textId="77777777">
            <w:pPr>
              <w:pStyle w:val="NormalWeb"/>
              <w:spacing w:before="0" w:beforeAutospacing="0" w:after="0" w:afterAutospacing="0"/>
              <w:ind w:right="11" w:firstLine="720"/>
              <w:jc w:val="both"/>
            </w:pPr>
            <w:r w:rsidRPr="00665E48">
              <w:rPr>
                <w:bCs/>
              </w:rPr>
              <w:t>Ievērojot minēto, lūdzam izvērtēt projektā paredzētajā norādē, uz kāda likuma pamata projekts ir sagatavots, kā arī noteikumos Nr. 351 noteikto</w:t>
            </w:r>
            <w:r w:rsidRPr="00665E48">
              <w:t xml:space="preserve"> un attiecīgi precizēt to vai papildināt projekta sākotnējās </w:t>
            </w:r>
            <w:r w:rsidRPr="00665E48">
              <w:rPr>
                <w:i/>
              </w:rPr>
              <w:t>(</w:t>
            </w:r>
            <w:proofErr w:type="spellStart"/>
            <w:r w:rsidRPr="00665E48">
              <w:rPr>
                <w:i/>
              </w:rPr>
              <w:t>ex-ante</w:t>
            </w:r>
            <w:proofErr w:type="spellEnd"/>
            <w:r w:rsidRPr="00665E48">
              <w:rPr>
                <w:i/>
              </w:rPr>
              <w:t>)</w:t>
            </w:r>
            <w:r w:rsidRPr="00665E48">
              <w:t xml:space="preserve"> ietekmes novērtējuma ziņojumu (turpmāk – anotācija) ar atbilstošu skaidrojumu.</w:t>
            </w:r>
          </w:p>
          <w:p w:rsidRPr="00665E48" w:rsidR="001423B5" w:rsidP="001423B5" w:rsidRDefault="001423B5" w14:paraId="51348783" w14:textId="74E51DA1">
            <w:pPr>
              <w:pStyle w:val="NormalWeb"/>
              <w:spacing w:before="0" w:beforeAutospacing="0" w:after="0" w:afterAutospacing="0"/>
              <w:ind w:right="11" w:firstLine="720"/>
              <w:jc w:val="both"/>
            </w:pPr>
            <w:r w:rsidRPr="00665E48">
              <w:t xml:space="preserve">Vienlaikus vēršam uzmanību uz to, ka </w:t>
            </w:r>
            <w:r w:rsidRPr="00665E48">
              <w:rPr>
                <w:bCs/>
              </w:rPr>
              <w:t xml:space="preserve">noteikumos Nr. 105 ir noteiktas vairākas līgumcenu robežvērtības, bet nav skaidrs, kuras no tām attiecas uz projektā paredzētajā grozījumā ietverto regulējumu. Līdz ar to nepieciešams papildināt </w:t>
            </w:r>
            <w:r w:rsidRPr="00665E48">
              <w:t>anotācijas I sadaļas 2. punktā ietverto informāciju ar atbilstošu skaidrojumu</w:t>
            </w:r>
            <w:r w:rsidRPr="00665E48">
              <w:rPr>
                <w:bCs/>
              </w:rPr>
              <w:t>.</w:t>
            </w:r>
          </w:p>
        </w:tc>
        <w:tc>
          <w:tcPr>
            <w:tcW w:w="2835" w:type="dxa"/>
            <w:tcBorders>
              <w:top w:val="single" w:color="auto" w:sz="4" w:space="0"/>
              <w:left w:val="single" w:color="auto" w:sz="4" w:space="0"/>
              <w:bottom w:val="single" w:color="auto" w:sz="4" w:space="0"/>
              <w:right w:val="single" w:color="auto" w:sz="4" w:space="0"/>
            </w:tcBorders>
          </w:tcPr>
          <w:p w:rsidR="001423B5" w:rsidP="001423B5" w:rsidRDefault="001423B5" w14:paraId="62CCB07A" w14:textId="77777777">
            <w:pPr>
              <w:jc w:val="both"/>
              <w:rPr>
                <w:b/>
              </w:rPr>
            </w:pPr>
            <w:r w:rsidRPr="00665E48">
              <w:rPr>
                <w:b/>
              </w:rPr>
              <w:lastRenderedPageBreak/>
              <w:t>Iebildums ņemts vērā.</w:t>
            </w:r>
          </w:p>
          <w:p w:rsidRPr="00A866F4" w:rsidR="00A866F4" w:rsidP="001423B5" w:rsidRDefault="00A866F4" w14:paraId="673F9C75" w14:textId="29FEB852">
            <w:pPr>
              <w:jc w:val="both"/>
              <w:rPr>
                <w:bCs/>
              </w:rPr>
            </w:pPr>
          </w:p>
        </w:tc>
        <w:tc>
          <w:tcPr>
            <w:tcW w:w="2922" w:type="dxa"/>
            <w:tcBorders>
              <w:top w:val="single" w:color="auto" w:sz="4" w:space="0"/>
              <w:left w:val="single" w:color="auto" w:sz="4" w:space="0"/>
              <w:bottom w:val="single" w:color="auto" w:sz="4" w:space="0"/>
              <w:right w:val="single" w:color="auto" w:sz="4" w:space="0"/>
            </w:tcBorders>
          </w:tcPr>
          <w:p w:rsidRPr="00665E48" w:rsidR="001423B5" w:rsidP="00CB1FDD" w:rsidRDefault="00A866F4" w14:paraId="6F5409E2" w14:textId="17260364">
            <w:pPr>
              <w:keepNext/>
              <w:jc w:val="both"/>
              <w:outlineLvl w:val="1"/>
              <w:rPr>
                <w:bCs/>
              </w:rPr>
            </w:pPr>
            <w:r>
              <w:rPr>
                <w:bCs/>
              </w:rPr>
              <w:t>i</w:t>
            </w:r>
            <w:r w:rsidRPr="00665E48" w:rsidR="001423B5">
              <w:rPr>
                <w:bCs/>
              </w:rPr>
              <w:t>zteikt 3.punktu šādā redakcijā:</w:t>
            </w:r>
          </w:p>
          <w:p w:rsidRPr="00665E48" w:rsidR="001423B5" w:rsidP="001423B5" w:rsidRDefault="001423B5" w14:paraId="060C0556" w14:textId="77777777">
            <w:pPr>
              <w:keepNext/>
              <w:ind w:firstLine="709"/>
              <w:jc w:val="both"/>
              <w:outlineLvl w:val="1"/>
              <w:rPr>
                <w:bCs/>
              </w:rPr>
            </w:pPr>
          </w:p>
          <w:p w:rsidRPr="00665E48" w:rsidR="001423B5" w:rsidP="001423B5" w:rsidRDefault="001423B5" w14:paraId="16356CD1" w14:textId="472B2A1F">
            <w:pPr>
              <w:jc w:val="both"/>
              <w:rPr>
                <w:bCs/>
                <w:lang w:eastAsia="lv-LV"/>
              </w:rPr>
            </w:pPr>
            <w:r w:rsidRPr="00665E48">
              <w:rPr>
                <w:bCs/>
              </w:rPr>
              <w:t xml:space="preserve">“3. Transportlīdzekļu iepirkumiem šajos noteikumos minētās prasības piemērojamas, ja paredzamā līgumcena ir vienāda vai lielāka par Ministru kabineta </w:t>
            </w:r>
            <w:r w:rsidRPr="00665E48">
              <w:rPr>
                <w:bCs/>
                <w:lang w:eastAsia="lv-LV"/>
              </w:rPr>
              <w:t>2017. gada 28. februāra noteikumu Nr.105 “Noteikumi par publisko iepirkumu līgumcenu robežvērtībām” 3.3.apakšpunktā noteiktajām piegādes un pakalpojumu l</w:t>
            </w:r>
            <w:r w:rsidRPr="00665E48">
              <w:t>īgumcenu robežvērtībām.”</w:t>
            </w:r>
            <w:r w:rsidR="009303EA">
              <w:t>.</w:t>
            </w:r>
            <w:r w:rsidRPr="00665E48">
              <w:rPr>
                <w:bCs/>
                <w:lang w:eastAsia="lv-LV"/>
              </w:rPr>
              <w:t xml:space="preserve"> </w:t>
            </w:r>
          </w:p>
          <w:p w:rsidRPr="00665E48" w:rsidR="001423B5" w:rsidP="001423B5" w:rsidRDefault="001423B5" w14:paraId="1A9C46B9" w14:textId="77777777">
            <w:pPr>
              <w:jc w:val="both"/>
            </w:pPr>
          </w:p>
          <w:p w:rsidRPr="00665E48" w:rsidR="001423B5" w:rsidP="001423B5" w:rsidRDefault="001423B5" w14:paraId="0E62159D" w14:textId="77777777">
            <w:pPr>
              <w:jc w:val="both"/>
              <w:rPr>
                <w:bCs/>
                <w:i/>
                <w:lang w:eastAsia="lv-LV"/>
              </w:rPr>
            </w:pPr>
          </w:p>
        </w:tc>
      </w:tr>
      <w:tr w:rsidRPr="00665E48" w:rsidR="001423B5" w:rsidTr="00B357D4" w14:paraId="6C054FD8"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7F590829" w14:textId="0F0097EE">
            <w:pPr>
              <w:jc w:val="both"/>
            </w:pPr>
            <w:r>
              <w:t>8</w:t>
            </w:r>
            <w:r w:rsidRPr="00665E48" w:rsidR="001423B5">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7D196DA3" w14:textId="77777777">
            <w:pPr>
              <w:jc w:val="both"/>
              <w:rPr>
                <w:bCs/>
              </w:rPr>
            </w:pPr>
            <w:r w:rsidRPr="00665E48">
              <w:rPr>
                <w:bCs/>
              </w:rPr>
              <w:t xml:space="preserve">3.Transportlīdzekļu iepirkumiem šajos noteikumos minētās prasības piemērojamas, ja paredzamā līgumcena ir vienāda vai lielāka par </w:t>
            </w:r>
            <w:r w:rsidRPr="00665E48">
              <w:rPr>
                <w:bCs/>
                <w:lang w:eastAsia="lv-LV"/>
              </w:rPr>
              <w:t xml:space="preserve">2017. gada 28. februāra </w:t>
            </w:r>
            <w:r w:rsidRPr="00665E48">
              <w:t xml:space="preserve">noteikumos, kas nosaka publisko iepirkumu līgumcenu robežvērtības, </w:t>
            </w:r>
            <w:r w:rsidRPr="00665E48">
              <w:lastRenderedPageBreak/>
              <w:t>pamatojoties uz Eiropas Savienības starptautiskajām saistībām attiecībā uz līgumcenu robežvērtībām, kas jāievēro pasūtītājam un sabiedrisko pakalpojumu sniedzējam, noteikto līgumcenas robežvērtību.”.</w:t>
            </w:r>
          </w:p>
          <w:p w:rsidRPr="00665E48" w:rsidR="001423B5" w:rsidP="001423B5" w:rsidRDefault="001423B5" w14:paraId="159B1C3C"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49E5100D" w14:textId="033AEA85">
            <w:pPr>
              <w:pStyle w:val="PlainText"/>
              <w:jc w:val="both"/>
              <w:rPr>
                <w:rFonts w:ascii="Times New Roman" w:hAnsi="Times New Roman" w:cs="Times New Roman"/>
                <w:b/>
                <w:bCs/>
                <w:sz w:val="24"/>
                <w:szCs w:val="24"/>
              </w:rPr>
            </w:pPr>
            <w:r w:rsidRPr="00665E48">
              <w:rPr>
                <w:rFonts w:ascii="Times New Roman" w:hAnsi="Times New Roman" w:cs="Times New Roman"/>
                <w:b/>
                <w:bCs/>
                <w:sz w:val="24"/>
                <w:szCs w:val="24"/>
              </w:rPr>
              <w:lastRenderedPageBreak/>
              <w:t>Tieslietu ministrija</w:t>
            </w:r>
          </w:p>
          <w:p w:rsidRPr="00665E48" w:rsidR="001423B5" w:rsidP="001423B5" w:rsidRDefault="001423B5" w14:paraId="48FA3FC4" w14:textId="47B37039">
            <w:pPr>
              <w:pStyle w:val="PlainText"/>
              <w:ind w:firstLine="720"/>
              <w:jc w:val="both"/>
              <w:rPr>
                <w:rFonts w:ascii="Times New Roman" w:hAnsi="Times New Roman" w:cs="Times New Roman"/>
                <w:sz w:val="24"/>
                <w:szCs w:val="24"/>
              </w:rPr>
            </w:pPr>
            <w:r w:rsidRPr="00665E48">
              <w:rPr>
                <w:rFonts w:ascii="Times New Roman" w:hAnsi="Times New Roman" w:cs="Times New Roman"/>
                <w:sz w:val="24"/>
                <w:szCs w:val="24"/>
              </w:rPr>
              <w:t>2. Projektā paredzētajā grozījumā ir norādīts uz Eiropas Savienības starptautiskajām saistībām. Vēršam uzmanību uz to, ka ar Eiropas Savienības starptautiskajām saistībām saprotami Eiropas Savienības starptautiskie līgumi, nevis Eiropas Savienības tiesību akti atbilstoši Līguma par Eiropas Savienības darbību 288. pantam, kā tas izriet no projektā norādītā pilnvarojuma Ministru kabinetam – likuma 18. panta.</w:t>
            </w:r>
          </w:p>
          <w:p w:rsidRPr="00665E48" w:rsidR="001423B5" w:rsidP="001423B5" w:rsidRDefault="001423B5" w14:paraId="436D0D35" w14:textId="77777777">
            <w:pPr>
              <w:pStyle w:val="PlainText"/>
              <w:ind w:firstLine="720"/>
              <w:jc w:val="both"/>
              <w:rPr>
                <w:rFonts w:ascii="Times New Roman" w:hAnsi="Times New Roman" w:cs="Times New Roman"/>
                <w:sz w:val="24"/>
                <w:szCs w:val="24"/>
              </w:rPr>
            </w:pPr>
            <w:r w:rsidRPr="00665E48">
              <w:rPr>
                <w:rFonts w:ascii="Times New Roman" w:hAnsi="Times New Roman" w:cs="Times New Roman"/>
                <w:sz w:val="24"/>
                <w:szCs w:val="24"/>
              </w:rPr>
              <w:lastRenderedPageBreak/>
              <w:t>Turklāt uzsveram, ka atbilstoši anotācijas V sadaļā norādītajai informācijai projektā paredzētajā grozījumā ir ietverta atsauce uz Eiropas Savienības regulu, nevis uz citu Eiropas Savienības tiesību aktu, kas varētu nebūt tieši piemērojams.</w:t>
            </w:r>
          </w:p>
          <w:p w:rsidRPr="00665E48" w:rsidR="001423B5" w:rsidP="001423B5" w:rsidRDefault="001423B5" w14:paraId="7A96EFB4" w14:textId="10FB56EA">
            <w:pPr>
              <w:pStyle w:val="PlainText"/>
              <w:ind w:firstLine="720"/>
              <w:jc w:val="both"/>
              <w:rPr>
                <w:rFonts w:ascii="Times New Roman" w:hAnsi="Times New Roman" w:cs="Times New Roman"/>
                <w:sz w:val="24"/>
                <w:szCs w:val="24"/>
              </w:rPr>
            </w:pPr>
            <w:r w:rsidRPr="00665E48">
              <w:rPr>
                <w:rFonts w:ascii="Times New Roman" w:hAnsi="Times New Roman" w:cs="Times New Roman"/>
                <w:sz w:val="24"/>
                <w:szCs w:val="24"/>
              </w:rPr>
              <w:t>Ievērojot minēto, lai nodrošinātu attiecīgās Eiropas Savienības regulas korektu tiešu piemērojamību, lūdzam projektā paredzētajā grozījumā ietverto atsauci uz Eiropas Savienības starptautiskajām saistībām aizstāt ar atsauci uz attiecīgo Eiropas Savienības regulu un tās normām atbilstoši Ministru kabineta 2009. gada 3. februāra noteikumu "Normatīvo aktu projektu sagatavošanas noteikumi"  170., 171. un 172. punktā noteiktajām prasībām.</w:t>
            </w:r>
          </w:p>
        </w:tc>
        <w:tc>
          <w:tcPr>
            <w:tcW w:w="2835"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6C898145" w14:textId="77777777">
            <w:pPr>
              <w:jc w:val="both"/>
              <w:rPr>
                <w:b/>
              </w:rPr>
            </w:pPr>
            <w:r w:rsidRPr="00665E48">
              <w:rPr>
                <w:b/>
              </w:rPr>
              <w:lastRenderedPageBreak/>
              <w:t>Iebildums ņemts vērā.</w:t>
            </w:r>
          </w:p>
          <w:p w:rsidRPr="00665E48" w:rsidR="001423B5" w:rsidP="001423B5" w:rsidRDefault="001423B5" w14:paraId="0B76B84A" w14:textId="309F21F3">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E52517" w14:paraId="1D591548" w14:textId="0DAE6AC4">
            <w:pPr>
              <w:keepNext/>
              <w:jc w:val="both"/>
              <w:outlineLvl w:val="1"/>
              <w:rPr>
                <w:bCs/>
              </w:rPr>
            </w:pPr>
            <w:r>
              <w:rPr>
                <w:bCs/>
              </w:rPr>
              <w:t>i</w:t>
            </w:r>
            <w:r w:rsidRPr="00665E48" w:rsidR="001423B5">
              <w:rPr>
                <w:bCs/>
              </w:rPr>
              <w:t>zteikt 3. punktu šādā redakcijā:</w:t>
            </w:r>
          </w:p>
          <w:p w:rsidRPr="00665E48" w:rsidR="001423B5" w:rsidP="001423B5" w:rsidRDefault="001423B5" w14:paraId="7D9230D6" w14:textId="77777777">
            <w:pPr>
              <w:keepNext/>
              <w:ind w:firstLine="709"/>
              <w:jc w:val="both"/>
              <w:outlineLvl w:val="1"/>
              <w:rPr>
                <w:bCs/>
              </w:rPr>
            </w:pPr>
          </w:p>
          <w:p w:rsidRPr="00665E48" w:rsidR="001423B5" w:rsidP="001423B5" w:rsidRDefault="001423B5" w14:paraId="6C687F18" w14:textId="77429CFE">
            <w:pPr>
              <w:jc w:val="both"/>
              <w:rPr>
                <w:bCs/>
                <w:lang w:eastAsia="lv-LV"/>
              </w:rPr>
            </w:pPr>
            <w:r w:rsidRPr="00665E48">
              <w:rPr>
                <w:bCs/>
              </w:rPr>
              <w:t xml:space="preserve">“3. Transportlīdzekļu iepirkumiem šajos noteikumos minētās prasības piemērojamas, ja paredzamā līgumcena ir vienāda vai lielāka par Ministru kabineta </w:t>
            </w:r>
            <w:r w:rsidRPr="00665E48">
              <w:rPr>
                <w:bCs/>
                <w:lang w:eastAsia="lv-LV"/>
              </w:rPr>
              <w:t xml:space="preserve">2017. </w:t>
            </w:r>
            <w:r w:rsidRPr="00665E48">
              <w:rPr>
                <w:bCs/>
                <w:lang w:eastAsia="lv-LV"/>
              </w:rPr>
              <w:lastRenderedPageBreak/>
              <w:t>gada 28. februāra noteikumu Nr.105 “Noteikumi par publisko iepirkumu līgumcenu robežvērtībām” 3.3.apakšpunktā noteiktajām piegādes un pakalpojumu l</w:t>
            </w:r>
            <w:r w:rsidRPr="00665E48">
              <w:t>īgumcenu robežvērtībām.”</w:t>
            </w:r>
            <w:r w:rsidRPr="00665E48">
              <w:rPr>
                <w:bCs/>
                <w:lang w:eastAsia="lv-LV"/>
              </w:rPr>
              <w:t xml:space="preserve"> </w:t>
            </w:r>
            <w:r w:rsidR="00E52517">
              <w:rPr>
                <w:bCs/>
                <w:lang w:eastAsia="lv-LV"/>
              </w:rPr>
              <w:t>.</w:t>
            </w:r>
          </w:p>
          <w:p w:rsidRPr="00665E48" w:rsidR="001423B5" w:rsidP="001423B5" w:rsidRDefault="001423B5" w14:paraId="7FE0B792" w14:textId="77777777">
            <w:pPr>
              <w:jc w:val="both"/>
            </w:pPr>
          </w:p>
          <w:p w:rsidRPr="00665E48" w:rsidR="001423B5" w:rsidP="001423B5" w:rsidRDefault="001423B5" w14:paraId="6488B7F0" w14:textId="77777777">
            <w:pPr>
              <w:jc w:val="both"/>
              <w:rPr>
                <w:bCs/>
                <w:i/>
                <w:lang w:eastAsia="lv-LV"/>
              </w:rPr>
            </w:pPr>
          </w:p>
        </w:tc>
      </w:tr>
      <w:tr w:rsidRPr="00665E48" w:rsidR="001423B5" w:rsidTr="00B357D4" w14:paraId="770664C2"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5E48" w:rsidR="001423B5" w:rsidP="001423B5" w:rsidRDefault="001F2BEA" w14:paraId="2583442D" w14:textId="0973C182">
            <w:pPr>
              <w:jc w:val="both"/>
            </w:pPr>
            <w:r>
              <w:lastRenderedPageBreak/>
              <w:t>9</w:t>
            </w:r>
            <w:r w:rsidRPr="00665E48" w:rsidR="001423B5">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37DB48F7" w14:textId="3686EBAA">
            <w:pPr>
              <w:spacing w:after="120"/>
              <w:ind w:right="38"/>
              <w:jc w:val="both"/>
              <w:rPr>
                <w:bCs/>
                <w:lang w:eastAsia="lv-LV"/>
              </w:rPr>
            </w:pPr>
            <w:r w:rsidRPr="00665E48">
              <w:rPr>
                <w:bCs/>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1208DFF5" w14:textId="2CB95A47">
            <w:pPr>
              <w:pStyle w:val="PlainText"/>
              <w:jc w:val="both"/>
              <w:rPr>
                <w:rFonts w:ascii="Times New Roman" w:hAnsi="Times New Roman" w:cs="Times New Roman"/>
                <w:b/>
                <w:bCs/>
                <w:sz w:val="24"/>
                <w:szCs w:val="24"/>
              </w:rPr>
            </w:pPr>
            <w:r w:rsidRPr="00665E48">
              <w:rPr>
                <w:rFonts w:ascii="Times New Roman" w:hAnsi="Times New Roman" w:cs="Times New Roman"/>
                <w:b/>
                <w:bCs/>
                <w:sz w:val="24"/>
                <w:szCs w:val="24"/>
              </w:rPr>
              <w:t>Tieslietu ministrija</w:t>
            </w:r>
          </w:p>
          <w:p w:rsidRPr="00665E48" w:rsidR="001423B5" w:rsidP="001423B5" w:rsidRDefault="001423B5" w14:paraId="728B04AB" w14:textId="512B9B8D">
            <w:pPr>
              <w:pStyle w:val="PlainText"/>
              <w:ind w:firstLine="720"/>
              <w:jc w:val="both"/>
              <w:rPr>
                <w:rFonts w:ascii="Times New Roman" w:hAnsi="Times New Roman" w:cs="Times New Roman"/>
                <w:sz w:val="24"/>
                <w:szCs w:val="24"/>
              </w:rPr>
            </w:pPr>
            <w:r w:rsidRPr="00665E48">
              <w:rPr>
                <w:rFonts w:ascii="Times New Roman" w:hAnsi="Times New Roman" w:cs="Times New Roman"/>
                <w:sz w:val="24"/>
                <w:szCs w:val="24"/>
              </w:rPr>
              <w:t xml:space="preserve">3. Anotācijas I sadaļas 2. punktā ir norādīts, ka </w:t>
            </w:r>
            <w:r w:rsidRPr="00665E48">
              <w:rPr>
                <w:rFonts w:ascii="Times New Roman" w:hAnsi="Times New Roman" w:eastAsia="Lucida Sans Unicode" w:cs="Times New Roman"/>
                <w:kern w:val="2"/>
                <w:sz w:val="24"/>
                <w:szCs w:val="24"/>
              </w:rPr>
              <w:t>likuma 15. pantā ir noteikts pilnvarojums Ministru kabinetam noteikt publisko iepirkumu līgumcenu robežvērtības, pamatojoties uz Eiropas Savienības starptautiskajām saistībām attiecībā uz līgumcenu robežām, kas jāievēro pasūtītājam. Likuma 15. pants paredz, ka Ministru kabinets nosaka minētās līgumcenu robežvērtības vismaz reizi divos gados mēneša laikā pēc tam, kad Eiropas Komisija ir paziņojusi Eiropas Savienības Oficiālajā Vēstnesī attiecīgās līgumcenu robežvērtības. Vēršam uzmanību uz to, ka likuma 15. pantā nav pilnvarojuma Ministru kabinetam noteikt kādu regulējumu (proti, likuma 15. pantā ir paredzēts regulējums par s</w:t>
            </w:r>
            <w:r w:rsidRPr="00665E48">
              <w:rPr>
                <w:rFonts w:ascii="Times New Roman" w:hAnsi="Times New Roman" w:cs="Times New Roman"/>
                <w:sz w:val="24"/>
                <w:szCs w:val="24"/>
              </w:rPr>
              <w:t xml:space="preserve">abiedriskā transporta pakalpojumu </w:t>
            </w:r>
            <w:r w:rsidRPr="00665E48">
              <w:rPr>
                <w:rFonts w:ascii="Times New Roman" w:hAnsi="Times New Roman" w:cs="Times New Roman"/>
                <w:sz w:val="24"/>
                <w:szCs w:val="24"/>
              </w:rPr>
              <w:lastRenderedPageBreak/>
              <w:t>pasūtījuma līgumu)</w:t>
            </w:r>
            <w:r w:rsidRPr="00665E48">
              <w:rPr>
                <w:rFonts w:ascii="Times New Roman" w:hAnsi="Times New Roman" w:eastAsia="Lucida Sans Unicode" w:cs="Times New Roman"/>
                <w:kern w:val="2"/>
                <w:sz w:val="24"/>
                <w:szCs w:val="24"/>
              </w:rPr>
              <w:t xml:space="preserve">. Ievērojot minēto, lūdzam precizēt anotācijas I sadaļas 2. punktā ietverto informāciju. </w:t>
            </w:r>
          </w:p>
        </w:tc>
        <w:tc>
          <w:tcPr>
            <w:tcW w:w="2835"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5A3F0543" w14:textId="63E625C4">
            <w:pPr>
              <w:jc w:val="both"/>
              <w:rPr>
                <w:b/>
              </w:rPr>
            </w:pPr>
            <w:r w:rsidRPr="00665E48">
              <w:rPr>
                <w:b/>
              </w:rPr>
              <w:lastRenderedPageBreak/>
              <w:t>Iebildums ņemts vērā</w:t>
            </w:r>
            <w:r w:rsidR="00A866F4">
              <w:rPr>
                <w:b/>
              </w:rPr>
              <w:t>.</w:t>
            </w:r>
          </w:p>
        </w:tc>
        <w:tc>
          <w:tcPr>
            <w:tcW w:w="2922" w:type="dxa"/>
            <w:tcBorders>
              <w:top w:val="single" w:color="auto" w:sz="4" w:space="0"/>
              <w:left w:val="single" w:color="auto" w:sz="4" w:space="0"/>
              <w:bottom w:val="single" w:color="auto" w:sz="4" w:space="0"/>
              <w:right w:val="single" w:color="auto" w:sz="4" w:space="0"/>
            </w:tcBorders>
          </w:tcPr>
          <w:p w:rsidRPr="00665E48" w:rsidR="001423B5" w:rsidP="001423B5" w:rsidRDefault="001423B5" w14:paraId="3EB9BFF8" w14:textId="4F16B4E8">
            <w:pPr>
              <w:jc w:val="both"/>
              <w:rPr>
                <w:bCs/>
                <w:iCs/>
                <w:lang w:eastAsia="lv-LV"/>
              </w:rPr>
            </w:pPr>
            <w:r w:rsidRPr="00665E48">
              <w:rPr>
                <w:bCs/>
                <w:iCs/>
                <w:lang w:eastAsia="lv-LV"/>
              </w:rPr>
              <w:t>Skatīt precizēto noteikumu projekta anotāciju</w:t>
            </w:r>
            <w:r w:rsidR="00255244">
              <w:rPr>
                <w:bCs/>
                <w:iCs/>
                <w:lang w:eastAsia="lv-LV"/>
              </w:rPr>
              <w:t>.</w:t>
            </w:r>
          </w:p>
        </w:tc>
      </w:tr>
    </w:tbl>
    <w:p w:rsidR="001F00DF" w:rsidP="001F00DF" w:rsidRDefault="001F00DF" w14:paraId="083B7623" w14:textId="552DA184">
      <w:pPr>
        <w:ind w:firstLine="720"/>
        <w:jc w:val="both"/>
      </w:pPr>
    </w:p>
    <w:p w:rsidRPr="00665E48" w:rsidR="008161E5" w:rsidP="001F00DF" w:rsidRDefault="008161E5" w14:paraId="529A2130" w14:textId="77777777">
      <w:pPr>
        <w:ind w:firstLine="720"/>
        <w:jc w:val="both"/>
      </w:pPr>
      <w:bookmarkStart w:name="_GoBack" w:id="0"/>
      <w:bookmarkEnd w:id="0"/>
    </w:p>
    <w:p w:rsidRPr="00665E48" w:rsidR="001F00DF" w:rsidP="001C0E3D" w:rsidRDefault="001F00DF" w14:paraId="6C2FC83F" w14:textId="51AFF527">
      <w:pPr>
        <w:jc w:val="both"/>
      </w:pPr>
      <w:r w:rsidRPr="00665E48">
        <w:t xml:space="preserve">Atbildīgā amatpersona </w:t>
      </w:r>
      <w:r w:rsidRPr="00665E48">
        <w:tab/>
      </w:r>
      <w:r w:rsidRPr="00665E48">
        <w:tab/>
      </w:r>
      <w:r w:rsidRPr="00665E48">
        <w:tab/>
      </w:r>
      <w:r w:rsidRPr="00665E48">
        <w:tab/>
      </w:r>
      <w:r w:rsidRPr="00665E48">
        <w:tab/>
      </w:r>
      <w:r w:rsidRPr="00665E48">
        <w:tab/>
      </w:r>
      <w:r w:rsidRPr="00665E48">
        <w:tab/>
      </w:r>
      <w:r w:rsidRPr="00665E48">
        <w:tab/>
      </w:r>
      <w:r w:rsidRPr="00665E48">
        <w:tab/>
      </w:r>
      <w:r w:rsidRPr="00665E48">
        <w:tab/>
      </w:r>
      <w:r w:rsidRPr="00665E48">
        <w:tab/>
      </w:r>
      <w:proofErr w:type="spellStart"/>
      <w:r w:rsidRPr="00665E48">
        <w:t>T.Vectirāns</w:t>
      </w:r>
      <w:proofErr w:type="spellEnd"/>
    </w:p>
    <w:p w:rsidRPr="00665E48" w:rsidR="00102529" w:rsidP="00102529" w:rsidRDefault="00102529" w14:paraId="548C5F11" w14:textId="77777777">
      <w:bookmarkStart w:name="_MailAutoSig" w:id="1"/>
      <w:r w:rsidRPr="00665E48">
        <w:t>Satiksmes ministrijas</w:t>
      </w:r>
    </w:p>
    <w:p w:rsidRPr="00665E48" w:rsidR="00102529" w:rsidP="00102529" w:rsidRDefault="00102529" w14:paraId="2827DEFA" w14:textId="321745F6">
      <w:r w:rsidRPr="00665E48">
        <w:t>Autosatiksmes departamenta</w:t>
      </w:r>
      <w:r w:rsidRPr="00665E48" w:rsidR="005A747D">
        <w:t xml:space="preserve"> direk</w:t>
      </w:r>
      <w:r w:rsidRPr="00665E48" w:rsidR="001749FC">
        <w:t>tors</w:t>
      </w:r>
    </w:p>
    <w:p w:rsidRPr="00665E48" w:rsidR="007408A3" w:rsidP="001F00DF" w:rsidRDefault="00102529" w14:paraId="2B0581EA" w14:textId="0C3F8915">
      <w:r w:rsidRPr="00665E48">
        <w:t>67028</w:t>
      </w:r>
      <w:r w:rsidRPr="00665E48" w:rsidR="001749FC">
        <w:t>300</w:t>
      </w:r>
      <w:r w:rsidRPr="00665E48" w:rsidR="00535D84">
        <w:t xml:space="preserve"> </w:t>
      </w:r>
    </w:p>
    <w:p w:rsidR="00102529" w:rsidP="001F00DF" w:rsidRDefault="001749FC" w14:paraId="01F96B86" w14:textId="3EB9AD0F">
      <w:r w:rsidRPr="00665E48">
        <w:t>Talivaldis.Vectirans@sam.gov.lv</w:t>
      </w:r>
      <w:bookmarkEnd w:id="1"/>
    </w:p>
    <w:p w:rsidRPr="00F4204B" w:rsidR="00F4204B" w:rsidP="00F4204B" w:rsidRDefault="00F4204B" w14:paraId="7430F55C" w14:textId="1541AD41"/>
    <w:p w:rsidRPr="00F4204B" w:rsidR="00F4204B" w:rsidP="00F4204B" w:rsidRDefault="00F4204B" w14:paraId="13A06092" w14:textId="0AA57F3C"/>
    <w:p w:rsidRPr="00F4204B" w:rsidR="00F4204B" w:rsidP="00F4204B" w:rsidRDefault="00F4204B" w14:paraId="0A0ECB23" w14:textId="7493A2E0"/>
    <w:p w:rsidRPr="00F4204B" w:rsidR="00F4204B" w:rsidP="00F4204B" w:rsidRDefault="00F4204B" w14:paraId="5EDC6F2C" w14:textId="49A1D84E"/>
    <w:p w:rsidRPr="00F4204B" w:rsidR="00F4204B" w:rsidP="00F4204B" w:rsidRDefault="00F4204B" w14:paraId="60F402B3" w14:textId="0C18691E"/>
    <w:p w:rsidRPr="00F4204B" w:rsidR="00F4204B" w:rsidP="00F4204B" w:rsidRDefault="00F4204B" w14:paraId="1F856071" w14:textId="5AD19FE6"/>
    <w:p w:rsidRPr="00F4204B" w:rsidR="00F4204B" w:rsidP="00F4204B" w:rsidRDefault="00F4204B" w14:paraId="36F01405" w14:textId="333CD903"/>
    <w:p w:rsidR="00F4204B" w:rsidP="00F4204B" w:rsidRDefault="00F4204B" w14:paraId="405E0FB9" w14:textId="738DF88E"/>
    <w:p w:rsidR="00F4204B" w:rsidP="00F4204B" w:rsidRDefault="00F4204B" w14:paraId="28856350" w14:textId="203FB421"/>
    <w:p w:rsidRPr="00F4204B" w:rsidR="00F4204B" w:rsidP="00F4204B" w:rsidRDefault="00F4204B" w14:paraId="46EE1514" w14:textId="36AB77DC">
      <w:pPr>
        <w:tabs>
          <w:tab w:val="left" w:pos="4905"/>
        </w:tabs>
      </w:pPr>
      <w:r>
        <w:tab/>
      </w:r>
    </w:p>
    <w:sectPr w:rsidRPr="00F4204B" w:rsidR="00F4204B" w:rsidSect="00CA43B9">
      <w:headerReference w:type="default" r:id="rId8"/>
      <w:footerReference w:type="default" r:id="rId9"/>
      <w:footerReference w:type="first" r:id="rId10"/>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547A" w14:textId="77777777" w:rsidR="002F37E0" w:rsidRDefault="002F37E0" w:rsidP="002F37E0">
      <w:r>
        <w:separator/>
      </w:r>
    </w:p>
  </w:endnote>
  <w:endnote w:type="continuationSeparator" w:id="0">
    <w:p w14:paraId="7D275B61" w14:textId="77777777" w:rsidR="002F37E0" w:rsidRDefault="002F37E0"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DD37" w14:textId="5420D377" w:rsidR="00E44A46" w:rsidRPr="0039637B" w:rsidRDefault="00B602F7" w:rsidP="00B602F7">
    <w:pPr>
      <w:tabs>
        <w:tab w:val="left" w:pos="7440"/>
      </w:tabs>
      <w:rPr>
        <w:b/>
      </w:rPr>
    </w:pPr>
    <w:r w:rsidRPr="00FC101D">
      <w:rPr>
        <w:sz w:val="20"/>
        <w:szCs w:val="20"/>
      </w:rPr>
      <w:t>SMIzz</w:t>
    </w:r>
    <w:r w:rsidR="00675AD0">
      <w:rPr>
        <w:sz w:val="20"/>
        <w:szCs w:val="20"/>
      </w:rPr>
      <w:t>_</w:t>
    </w:r>
    <w:r w:rsidR="005257C1">
      <w:rPr>
        <w:sz w:val="20"/>
        <w:szCs w:val="20"/>
      </w:rPr>
      <w:t>21</w:t>
    </w:r>
    <w:r w:rsidR="00665E48">
      <w:rPr>
        <w:sz w:val="20"/>
        <w:szCs w:val="20"/>
      </w:rPr>
      <w:t>11</w:t>
    </w:r>
    <w:r w:rsidR="00675AD0">
      <w:rPr>
        <w:sz w:val="20"/>
        <w:szCs w:val="20"/>
      </w:rPr>
      <w:t>1</w:t>
    </w:r>
    <w:r w:rsidR="00665E48">
      <w:rPr>
        <w:sz w:val="20"/>
        <w:szCs w:val="20"/>
      </w:rPr>
      <w:t>9</w:t>
    </w:r>
    <w:r w:rsidRPr="00FC101D">
      <w:rPr>
        <w:sz w:val="20"/>
        <w:szCs w:val="20"/>
      </w:rPr>
      <w:t>_</w:t>
    </w:r>
    <w:r w:rsidR="00665E48">
      <w:rPr>
        <w:sz w:val="20"/>
        <w:szCs w:val="20"/>
      </w:rPr>
      <w:t>351</w:t>
    </w:r>
  </w:p>
  <w:p w14:paraId="16456B50" w14:textId="77777777" w:rsidR="002F37E0" w:rsidRPr="00FC101D" w:rsidRDefault="002F37E0"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FBC" w14:textId="39B7F9DB" w:rsidR="004E4A17" w:rsidRPr="0039637B" w:rsidRDefault="004E4A17" w:rsidP="004E4A17">
    <w:pPr>
      <w:tabs>
        <w:tab w:val="left" w:pos="7440"/>
      </w:tabs>
      <w:rPr>
        <w:b/>
      </w:rPr>
    </w:pPr>
    <w:r w:rsidRPr="00FC101D">
      <w:rPr>
        <w:sz w:val="20"/>
        <w:szCs w:val="20"/>
      </w:rPr>
      <w:t>SMIzz</w:t>
    </w:r>
    <w:r w:rsidR="0020098D">
      <w:rPr>
        <w:sz w:val="20"/>
        <w:szCs w:val="20"/>
      </w:rPr>
      <w:t>_</w:t>
    </w:r>
    <w:r w:rsidR="005257C1">
      <w:rPr>
        <w:sz w:val="20"/>
        <w:szCs w:val="20"/>
      </w:rPr>
      <w:t>21</w:t>
    </w:r>
    <w:r w:rsidR="008C7108">
      <w:rPr>
        <w:sz w:val="20"/>
        <w:szCs w:val="20"/>
      </w:rPr>
      <w:t>11</w:t>
    </w:r>
    <w:r w:rsidR="0020098D">
      <w:rPr>
        <w:sz w:val="20"/>
        <w:szCs w:val="20"/>
      </w:rPr>
      <w:t>1</w:t>
    </w:r>
    <w:r w:rsidR="008C7108">
      <w:rPr>
        <w:sz w:val="20"/>
        <w:szCs w:val="20"/>
      </w:rPr>
      <w:t>9</w:t>
    </w:r>
    <w:r w:rsidRPr="00FC101D">
      <w:rPr>
        <w:sz w:val="20"/>
        <w:szCs w:val="20"/>
      </w:rPr>
      <w:t>_</w:t>
    </w:r>
    <w:r w:rsidR="003D63C1">
      <w:rPr>
        <w:sz w:val="20"/>
        <w:szCs w:val="20"/>
      </w:rPr>
      <w:t>35</w:t>
    </w:r>
    <w:r w:rsidR="008C7108">
      <w:rPr>
        <w:sz w:val="20"/>
        <w:szCs w:val="20"/>
      </w:rPr>
      <w:t>1</w:t>
    </w:r>
  </w:p>
  <w:p w14:paraId="6BFE0C17" w14:textId="77777777" w:rsidR="00FC101D" w:rsidRPr="0039637B" w:rsidRDefault="00FC101D" w:rsidP="00FC101D">
    <w:pPr>
      <w:tabs>
        <w:tab w:val="left" w:pos="7440"/>
      </w:tabs>
      <w:jc w:val="center"/>
      <w:rPr>
        <w:b/>
      </w:rPr>
    </w:pPr>
  </w:p>
  <w:p w14:paraId="0C22AE31" w14:textId="77777777" w:rsidR="002F37E0" w:rsidRDefault="002F37E0" w:rsidP="002F37E0">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BAB0" w14:textId="77777777" w:rsidR="002F37E0" w:rsidRDefault="002F37E0" w:rsidP="002F37E0">
      <w:r>
        <w:separator/>
      </w:r>
    </w:p>
  </w:footnote>
  <w:footnote w:type="continuationSeparator" w:id="0">
    <w:p w14:paraId="3231322B" w14:textId="77777777" w:rsidR="002F37E0" w:rsidRDefault="002F37E0"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rsidR="00E76435" w:rsidRDefault="00E76435" w14:paraId="439DC0CC" w14:textId="46887601">
        <w:pPr>
          <w:pStyle w:val="Header"/>
          <w:jc w:val="center"/>
        </w:pPr>
        <w:r>
          <w:fldChar w:fldCharType="begin"/>
        </w:r>
        <w:r>
          <w:instrText xml:space="preserve"> PAGE   \* MERGEFORMAT </w:instrText>
        </w:r>
        <w:r>
          <w:fldChar w:fldCharType="separate"/>
        </w:r>
        <w:r w:rsidR="00CA43B9">
          <w:rPr>
            <w:noProof/>
          </w:rPr>
          <w:t>12</w:t>
        </w:r>
        <w:r>
          <w:rPr>
            <w:noProof/>
          </w:rPr>
          <w:fldChar w:fldCharType="end"/>
        </w:r>
      </w:p>
    </w:sdtContent>
  </w:sdt>
  <w:p w:rsidR="00E76435" w:rsidRDefault="00E76435" w14:paraId="15FA3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1DE50F6"/>
    <w:multiLevelType w:val="hybridMultilevel"/>
    <w:tmpl w:val="D1EA7A52"/>
    <w:lvl w:ilvl="0" w:tplc="A1F849E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730028"/>
    <w:multiLevelType w:val="hybridMultilevel"/>
    <w:tmpl w:val="E9645A6A"/>
    <w:lvl w:ilvl="0" w:tplc="37261B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F85A96"/>
    <w:multiLevelType w:val="hybridMultilevel"/>
    <w:tmpl w:val="D1EA7A52"/>
    <w:lvl w:ilvl="0" w:tplc="A1F849E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5"/>
  </w:num>
  <w:num w:numId="3">
    <w:abstractNumId w:val="6"/>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131CD"/>
    <w:rsid w:val="00013AC3"/>
    <w:rsid w:val="000208B1"/>
    <w:rsid w:val="00027FD2"/>
    <w:rsid w:val="000368A4"/>
    <w:rsid w:val="0003794E"/>
    <w:rsid w:val="00040656"/>
    <w:rsid w:val="00046A7A"/>
    <w:rsid w:val="0006071C"/>
    <w:rsid w:val="000715B5"/>
    <w:rsid w:val="000725FF"/>
    <w:rsid w:val="0008525F"/>
    <w:rsid w:val="000A08C9"/>
    <w:rsid w:val="000A70AF"/>
    <w:rsid w:val="000B0757"/>
    <w:rsid w:val="000B099A"/>
    <w:rsid w:val="000B187D"/>
    <w:rsid w:val="000C18C2"/>
    <w:rsid w:val="000C41D1"/>
    <w:rsid w:val="000C4E09"/>
    <w:rsid w:val="000D1B17"/>
    <w:rsid w:val="000E3451"/>
    <w:rsid w:val="000F0DDB"/>
    <w:rsid w:val="000F47CD"/>
    <w:rsid w:val="00101628"/>
    <w:rsid w:val="00102529"/>
    <w:rsid w:val="00102628"/>
    <w:rsid w:val="001075B1"/>
    <w:rsid w:val="001154D1"/>
    <w:rsid w:val="00117FDE"/>
    <w:rsid w:val="00121DBB"/>
    <w:rsid w:val="00124285"/>
    <w:rsid w:val="00126CDB"/>
    <w:rsid w:val="00137FD8"/>
    <w:rsid w:val="001423B5"/>
    <w:rsid w:val="00150C7B"/>
    <w:rsid w:val="001516E1"/>
    <w:rsid w:val="00152EC2"/>
    <w:rsid w:val="0015734E"/>
    <w:rsid w:val="00160937"/>
    <w:rsid w:val="00161FCE"/>
    <w:rsid w:val="00165027"/>
    <w:rsid w:val="001749FC"/>
    <w:rsid w:val="00180DDB"/>
    <w:rsid w:val="001A2D70"/>
    <w:rsid w:val="001A40C7"/>
    <w:rsid w:val="001A6197"/>
    <w:rsid w:val="001B20B8"/>
    <w:rsid w:val="001B64A5"/>
    <w:rsid w:val="001C0E3D"/>
    <w:rsid w:val="001C736B"/>
    <w:rsid w:val="001D0593"/>
    <w:rsid w:val="001E68C1"/>
    <w:rsid w:val="001E6B41"/>
    <w:rsid w:val="001E71B7"/>
    <w:rsid w:val="001F00DF"/>
    <w:rsid w:val="001F2BEA"/>
    <w:rsid w:val="001F5C29"/>
    <w:rsid w:val="001F6AAF"/>
    <w:rsid w:val="0020098D"/>
    <w:rsid w:val="00213EFD"/>
    <w:rsid w:val="002162CF"/>
    <w:rsid w:val="00216E78"/>
    <w:rsid w:val="002174E5"/>
    <w:rsid w:val="00220DBE"/>
    <w:rsid w:val="0022123D"/>
    <w:rsid w:val="00224673"/>
    <w:rsid w:val="00230738"/>
    <w:rsid w:val="0024280B"/>
    <w:rsid w:val="00255244"/>
    <w:rsid w:val="002567B5"/>
    <w:rsid w:val="00256E56"/>
    <w:rsid w:val="00271864"/>
    <w:rsid w:val="00273922"/>
    <w:rsid w:val="00275C9D"/>
    <w:rsid w:val="00282981"/>
    <w:rsid w:val="002840E8"/>
    <w:rsid w:val="00292D22"/>
    <w:rsid w:val="002A1C06"/>
    <w:rsid w:val="002C1A2E"/>
    <w:rsid w:val="002C1BEF"/>
    <w:rsid w:val="002D10B8"/>
    <w:rsid w:val="002D1CAE"/>
    <w:rsid w:val="002D1F30"/>
    <w:rsid w:val="002D3266"/>
    <w:rsid w:val="002E0BCE"/>
    <w:rsid w:val="002E5098"/>
    <w:rsid w:val="002F12CB"/>
    <w:rsid w:val="002F37E0"/>
    <w:rsid w:val="00305C91"/>
    <w:rsid w:val="003177CE"/>
    <w:rsid w:val="00331D59"/>
    <w:rsid w:val="00374CB5"/>
    <w:rsid w:val="00386948"/>
    <w:rsid w:val="00387383"/>
    <w:rsid w:val="00392331"/>
    <w:rsid w:val="00394393"/>
    <w:rsid w:val="00395AB4"/>
    <w:rsid w:val="0039637B"/>
    <w:rsid w:val="003A339C"/>
    <w:rsid w:val="003C2C31"/>
    <w:rsid w:val="003D63C1"/>
    <w:rsid w:val="003E62E2"/>
    <w:rsid w:val="003E6BD0"/>
    <w:rsid w:val="004021AE"/>
    <w:rsid w:val="004034E0"/>
    <w:rsid w:val="00405155"/>
    <w:rsid w:val="004072B7"/>
    <w:rsid w:val="0042520C"/>
    <w:rsid w:val="00434CBA"/>
    <w:rsid w:val="00435DA2"/>
    <w:rsid w:val="00443AC1"/>
    <w:rsid w:val="004545CD"/>
    <w:rsid w:val="00457E8E"/>
    <w:rsid w:val="0046417B"/>
    <w:rsid w:val="004729C6"/>
    <w:rsid w:val="00475F29"/>
    <w:rsid w:val="00477BC2"/>
    <w:rsid w:val="00480538"/>
    <w:rsid w:val="004901E1"/>
    <w:rsid w:val="004928DC"/>
    <w:rsid w:val="004934F9"/>
    <w:rsid w:val="004A5D8D"/>
    <w:rsid w:val="004A6E29"/>
    <w:rsid w:val="004C1B50"/>
    <w:rsid w:val="004C1B8C"/>
    <w:rsid w:val="004C380A"/>
    <w:rsid w:val="004D55A4"/>
    <w:rsid w:val="004E4A17"/>
    <w:rsid w:val="004E57C3"/>
    <w:rsid w:val="004F6221"/>
    <w:rsid w:val="004F79AE"/>
    <w:rsid w:val="00511944"/>
    <w:rsid w:val="00514D59"/>
    <w:rsid w:val="005253A5"/>
    <w:rsid w:val="005257C1"/>
    <w:rsid w:val="00535D84"/>
    <w:rsid w:val="0053710E"/>
    <w:rsid w:val="005436F5"/>
    <w:rsid w:val="00545B74"/>
    <w:rsid w:val="0056196C"/>
    <w:rsid w:val="005863CD"/>
    <w:rsid w:val="00593A26"/>
    <w:rsid w:val="00597C7E"/>
    <w:rsid w:val="005A2AEC"/>
    <w:rsid w:val="005A747D"/>
    <w:rsid w:val="005B1E01"/>
    <w:rsid w:val="005C1520"/>
    <w:rsid w:val="005E641C"/>
    <w:rsid w:val="00606873"/>
    <w:rsid w:val="0062464E"/>
    <w:rsid w:val="006270BC"/>
    <w:rsid w:val="0064108D"/>
    <w:rsid w:val="00647FA5"/>
    <w:rsid w:val="00651383"/>
    <w:rsid w:val="0066385B"/>
    <w:rsid w:val="00663F12"/>
    <w:rsid w:val="00665E48"/>
    <w:rsid w:val="006673CC"/>
    <w:rsid w:val="006707AC"/>
    <w:rsid w:val="00672101"/>
    <w:rsid w:val="00675AD0"/>
    <w:rsid w:val="006816B9"/>
    <w:rsid w:val="00684AA2"/>
    <w:rsid w:val="00685310"/>
    <w:rsid w:val="006918AE"/>
    <w:rsid w:val="00692478"/>
    <w:rsid w:val="006A067B"/>
    <w:rsid w:val="006A5A7A"/>
    <w:rsid w:val="006D180A"/>
    <w:rsid w:val="006D225C"/>
    <w:rsid w:val="006D469E"/>
    <w:rsid w:val="006E268F"/>
    <w:rsid w:val="007054BE"/>
    <w:rsid w:val="007057CA"/>
    <w:rsid w:val="007152FD"/>
    <w:rsid w:val="00723671"/>
    <w:rsid w:val="00734824"/>
    <w:rsid w:val="007408A3"/>
    <w:rsid w:val="007668F8"/>
    <w:rsid w:val="007806C9"/>
    <w:rsid w:val="0078294A"/>
    <w:rsid w:val="00782C10"/>
    <w:rsid w:val="00782D47"/>
    <w:rsid w:val="00785208"/>
    <w:rsid w:val="007A65B4"/>
    <w:rsid w:val="007B6C14"/>
    <w:rsid w:val="007C070E"/>
    <w:rsid w:val="007C0E31"/>
    <w:rsid w:val="007C0E3D"/>
    <w:rsid w:val="007C3673"/>
    <w:rsid w:val="007D139F"/>
    <w:rsid w:val="007E07A3"/>
    <w:rsid w:val="007E093F"/>
    <w:rsid w:val="007E586F"/>
    <w:rsid w:val="0080078F"/>
    <w:rsid w:val="00810799"/>
    <w:rsid w:val="00810A63"/>
    <w:rsid w:val="008146AB"/>
    <w:rsid w:val="008161E5"/>
    <w:rsid w:val="0082669D"/>
    <w:rsid w:val="0083720A"/>
    <w:rsid w:val="00847D02"/>
    <w:rsid w:val="00854B7F"/>
    <w:rsid w:val="00855FA2"/>
    <w:rsid w:val="00872284"/>
    <w:rsid w:val="00881616"/>
    <w:rsid w:val="00885797"/>
    <w:rsid w:val="00895DB5"/>
    <w:rsid w:val="008A3A92"/>
    <w:rsid w:val="008A49C0"/>
    <w:rsid w:val="008A65C0"/>
    <w:rsid w:val="008B4326"/>
    <w:rsid w:val="008B5A5C"/>
    <w:rsid w:val="008C0944"/>
    <w:rsid w:val="008C7108"/>
    <w:rsid w:val="008E1E2B"/>
    <w:rsid w:val="008E5063"/>
    <w:rsid w:val="008F0E07"/>
    <w:rsid w:val="00900B2D"/>
    <w:rsid w:val="00901774"/>
    <w:rsid w:val="00915733"/>
    <w:rsid w:val="009303EA"/>
    <w:rsid w:val="00933A69"/>
    <w:rsid w:val="00950516"/>
    <w:rsid w:val="00957837"/>
    <w:rsid w:val="00967CAE"/>
    <w:rsid w:val="00975EBB"/>
    <w:rsid w:val="00982E8C"/>
    <w:rsid w:val="00986773"/>
    <w:rsid w:val="00992A69"/>
    <w:rsid w:val="00995725"/>
    <w:rsid w:val="009964C0"/>
    <w:rsid w:val="009A32F4"/>
    <w:rsid w:val="009A4B53"/>
    <w:rsid w:val="009A5AB1"/>
    <w:rsid w:val="009C2DE3"/>
    <w:rsid w:val="009D36BE"/>
    <w:rsid w:val="009D434F"/>
    <w:rsid w:val="009E3CD9"/>
    <w:rsid w:val="009F069F"/>
    <w:rsid w:val="009F3530"/>
    <w:rsid w:val="00A04004"/>
    <w:rsid w:val="00A15222"/>
    <w:rsid w:val="00A22DC1"/>
    <w:rsid w:val="00A267D2"/>
    <w:rsid w:val="00A26EBE"/>
    <w:rsid w:val="00A35D24"/>
    <w:rsid w:val="00A56723"/>
    <w:rsid w:val="00A7130A"/>
    <w:rsid w:val="00A73D6A"/>
    <w:rsid w:val="00A801DF"/>
    <w:rsid w:val="00A805C9"/>
    <w:rsid w:val="00A866F4"/>
    <w:rsid w:val="00A92B08"/>
    <w:rsid w:val="00AA0AC2"/>
    <w:rsid w:val="00AC138F"/>
    <w:rsid w:val="00AC1AD6"/>
    <w:rsid w:val="00AC2D05"/>
    <w:rsid w:val="00AC4FCB"/>
    <w:rsid w:val="00AD3908"/>
    <w:rsid w:val="00AE42F8"/>
    <w:rsid w:val="00AF3EF4"/>
    <w:rsid w:val="00B05083"/>
    <w:rsid w:val="00B1107D"/>
    <w:rsid w:val="00B11C0C"/>
    <w:rsid w:val="00B13B4B"/>
    <w:rsid w:val="00B32870"/>
    <w:rsid w:val="00B357D4"/>
    <w:rsid w:val="00B41237"/>
    <w:rsid w:val="00B514E0"/>
    <w:rsid w:val="00B5275B"/>
    <w:rsid w:val="00B602F7"/>
    <w:rsid w:val="00B670AA"/>
    <w:rsid w:val="00B70979"/>
    <w:rsid w:val="00B815DD"/>
    <w:rsid w:val="00B84D36"/>
    <w:rsid w:val="00B961A9"/>
    <w:rsid w:val="00B96566"/>
    <w:rsid w:val="00B968E0"/>
    <w:rsid w:val="00BA0271"/>
    <w:rsid w:val="00BA0ED8"/>
    <w:rsid w:val="00BA16C7"/>
    <w:rsid w:val="00BA19C0"/>
    <w:rsid w:val="00BA43DC"/>
    <w:rsid w:val="00BB5A06"/>
    <w:rsid w:val="00BC2E74"/>
    <w:rsid w:val="00BF1D6D"/>
    <w:rsid w:val="00BF5654"/>
    <w:rsid w:val="00C104FB"/>
    <w:rsid w:val="00C131FE"/>
    <w:rsid w:val="00C166B2"/>
    <w:rsid w:val="00C17931"/>
    <w:rsid w:val="00C33701"/>
    <w:rsid w:val="00C41DF2"/>
    <w:rsid w:val="00C5738C"/>
    <w:rsid w:val="00C74651"/>
    <w:rsid w:val="00C8779C"/>
    <w:rsid w:val="00C97D7C"/>
    <w:rsid w:val="00CA1C99"/>
    <w:rsid w:val="00CA43B9"/>
    <w:rsid w:val="00CB1FDD"/>
    <w:rsid w:val="00CC1D79"/>
    <w:rsid w:val="00CC22DB"/>
    <w:rsid w:val="00CD6443"/>
    <w:rsid w:val="00CD7885"/>
    <w:rsid w:val="00CE718F"/>
    <w:rsid w:val="00CF75B5"/>
    <w:rsid w:val="00D06D10"/>
    <w:rsid w:val="00D104FE"/>
    <w:rsid w:val="00D10D6F"/>
    <w:rsid w:val="00D13C06"/>
    <w:rsid w:val="00D30F8E"/>
    <w:rsid w:val="00D36FC0"/>
    <w:rsid w:val="00D46DF3"/>
    <w:rsid w:val="00D503B9"/>
    <w:rsid w:val="00D625A2"/>
    <w:rsid w:val="00D72E66"/>
    <w:rsid w:val="00D75E92"/>
    <w:rsid w:val="00D81F2A"/>
    <w:rsid w:val="00D927AD"/>
    <w:rsid w:val="00DB0F63"/>
    <w:rsid w:val="00DB18D0"/>
    <w:rsid w:val="00DB2291"/>
    <w:rsid w:val="00DB2DBB"/>
    <w:rsid w:val="00DC43D3"/>
    <w:rsid w:val="00DC60DD"/>
    <w:rsid w:val="00DD40D7"/>
    <w:rsid w:val="00DD5E0F"/>
    <w:rsid w:val="00DE4E96"/>
    <w:rsid w:val="00DF0507"/>
    <w:rsid w:val="00DF6767"/>
    <w:rsid w:val="00E014FE"/>
    <w:rsid w:val="00E152CA"/>
    <w:rsid w:val="00E17BA5"/>
    <w:rsid w:val="00E2340C"/>
    <w:rsid w:val="00E24AD5"/>
    <w:rsid w:val="00E32EAE"/>
    <w:rsid w:val="00E34335"/>
    <w:rsid w:val="00E3436A"/>
    <w:rsid w:val="00E37E5F"/>
    <w:rsid w:val="00E448C8"/>
    <w:rsid w:val="00E44A46"/>
    <w:rsid w:val="00E45D12"/>
    <w:rsid w:val="00E51834"/>
    <w:rsid w:val="00E52517"/>
    <w:rsid w:val="00E613C6"/>
    <w:rsid w:val="00E61B98"/>
    <w:rsid w:val="00E6220C"/>
    <w:rsid w:val="00E6492C"/>
    <w:rsid w:val="00E73DE6"/>
    <w:rsid w:val="00E751FD"/>
    <w:rsid w:val="00E76435"/>
    <w:rsid w:val="00E82695"/>
    <w:rsid w:val="00EA3869"/>
    <w:rsid w:val="00EB11CC"/>
    <w:rsid w:val="00EB224A"/>
    <w:rsid w:val="00EC262A"/>
    <w:rsid w:val="00EC42D8"/>
    <w:rsid w:val="00EC4DBE"/>
    <w:rsid w:val="00EC5771"/>
    <w:rsid w:val="00EC61D2"/>
    <w:rsid w:val="00EC7101"/>
    <w:rsid w:val="00ED0DF8"/>
    <w:rsid w:val="00ED1CF4"/>
    <w:rsid w:val="00ED26E5"/>
    <w:rsid w:val="00ED71B2"/>
    <w:rsid w:val="00EE176C"/>
    <w:rsid w:val="00EE3EEF"/>
    <w:rsid w:val="00EE57E2"/>
    <w:rsid w:val="00EF0314"/>
    <w:rsid w:val="00F03C89"/>
    <w:rsid w:val="00F10CFE"/>
    <w:rsid w:val="00F11DEA"/>
    <w:rsid w:val="00F23086"/>
    <w:rsid w:val="00F2775D"/>
    <w:rsid w:val="00F40CF1"/>
    <w:rsid w:val="00F4204B"/>
    <w:rsid w:val="00F44C63"/>
    <w:rsid w:val="00F52921"/>
    <w:rsid w:val="00F57D9A"/>
    <w:rsid w:val="00F63EEA"/>
    <w:rsid w:val="00F7407F"/>
    <w:rsid w:val="00F846AD"/>
    <w:rsid w:val="00FA00DD"/>
    <w:rsid w:val="00FA454F"/>
    <w:rsid w:val="00FB5B5C"/>
    <w:rsid w:val="00FC101D"/>
    <w:rsid w:val="00FC7114"/>
    <w:rsid w:val="00FD4953"/>
    <w:rsid w:val="00FE7D54"/>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F1B5B3D"/>
  <w15:docId w15:val="{80F5B1D6-D3B6-44D4-A391-A448F8E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A5"/>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F8A8-ADC6-4013-960B-7758D063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8091</Words>
  <Characters>4612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2013.gada 25.jūnija noteikumos Nr.351 „Sabiedrisko autotransporta līdzekļu iepirkuma noteikumi”</vt:lpstr>
    </vt:vector>
  </TitlesOfParts>
  <Company>Satiksmes ministrija</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2013.gada 25.jūnija noteikumos Nr.351 „Sabiedrisko autotransporta līdzekļu iepirkuma noteikumi”</dc:title>
  <dc:subject>Izziņa</dc:subject>
  <dc:creator>Dana.Ziemele-Adricka@sam.gov.lv</dc:creator>
  <cp:keywords>Dana.Ziemele-Adricka@sam.gov.lv</cp:keywords>
  <cp:lastModifiedBy>Ineta Vula</cp:lastModifiedBy>
  <cp:revision>24</cp:revision>
  <cp:lastPrinted>2019-11-06T10:17:00Z</cp:lastPrinted>
  <dcterms:created xsi:type="dcterms:W3CDTF">2019-11-06T07:10:00Z</dcterms:created>
  <dcterms:modified xsi:type="dcterms:W3CDTF">2019-11-26T13:56:00Z</dcterms:modified>
</cp:coreProperties>
</file>