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5323" w:rsidR="006E5323" w:rsidP="006E5323" w:rsidRDefault="006E5323" w14:paraId="02C8D466" w14:textId="77777777">
      <w:pPr>
        <w:spacing w:after="0" w:line="240" w:lineRule="auto"/>
        <w:jc w:val="center"/>
        <w:rPr>
          <w:rFonts w:ascii="Times New Roman" w:hAnsi="Times New Roman" w:eastAsia="Calibri" w:cs="Times New Roman"/>
          <w:b/>
          <w:sz w:val="24"/>
          <w:szCs w:val="24"/>
        </w:rPr>
      </w:pPr>
      <w:r w:rsidRPr="006E5323">
        <w:rPr>
          <w:rFonts w:ascii="Times New Roman" w:hAnsi="Times New Roman" w:eastAsia="Calibri" w:cs="Times New Roman"/>
          <w:b/>
          <w:sz w:val="24"/>
          <w:szCs w:val="24"/>
        </w:rPr>
        <w:t>INFORMATĪVAIS ZIŅOJUMS</w:t>
      </w:r>
    </w:p>
    <w:p w:rsidRPr="006E5323" w:rsidR="006E5323" w:rsidP="006E5323" w:rsidRDefault="006E5323" w14:paraId="6D89104D" w14:textId="77777777">
      <w:pPr>
        <w:spacing w:after="0" w:line="240" w:lineRule="auto"/>
        <w:ind w:firstLine="720"/>
        <w:jc w:val="center"/>
        <w:rPr>
          <w:rFonts w:ascii="Times New Roman" w:hAnsi="Times New Roman" w:eastAsia="Calibri" w:cs="Times New Roman"/>
          <w:b/>
          <w:sz w:val="24"/>
          <w:szCs w:val="24"/>
        </w:rPr>
      </w:pPr>
    </w:p>
    <w:p w:rsidRPr="006E5323" w:rsidR="006E5323" w:rsidP="006E5323" w:rsidRDefault="006E5323" w14:paraId="3E4347DC" w14:textId="77777777">
      <w:pPr>
        <w:spacing w:after="0" w:line="240" w:lineRule="auto"/>
        <w:ind w:firstLine="720"/>
        <w:jc w:val="center"/>
        <w:rPr>
          <w:rFonts w:ascii="Times New Roman" w:hAnsi="Times New Roman" w:eastAsia="Calibri" w:cs="Times New Roman"/>
          <w:b/>
          <w:sz w:val="24"/>
          <w:szCs w:val="24"/>
        </w:rPr>
      </w:pPr>
      <w:r w:rsidRPr="006E5323">
        <w:rPr>
          <w:rFonts w:ascii="Times New Roman" w:hAnsi="Times New Roman" w:eastAsia="Calibri" w:cs="Times New Roman"/>
          <w:b/>
          <w:sz w:val="24"/>
          <w:szCs w:val="24"/>
        </w:rPr>
        <w:t xml:space="preserve">Par pievienotās vērtības nodokļa finansējumu RB Rail AS aktivitāšu īstenošanai Latvijas teritorijā. </w:t>
      </w:r>
    </w:p>
    <w:p w:rsidRPr="006E5323" w:rsidR="006E5323" w:rsidP="006E5323" w:rsidRDefault="006E5323" w14:paraId="362888AE" w14:textId="77777777">
      <w:pPr>
        <w:spacing w:after="0" w:line="240" w:lineRule="auto"/>
        <w:contextualSpacing/>
        <w:jc w:val="both"/>
        <w:rPr>
          <w:rFonts w:ascii="Times New Roman" w:hAnsi="Times New Roman" w:eastAsia="Calibri" w:cs="Times New Roman"/>
          <w:b/>
          <w:sz w:val="24"/>
          <w:szCs w:val="24"/>
        </w:rPr>
      </w:pPr>
    </w:p>
    <w:p w:rsidRPr="006E5323" w:rsidR="006E5323" w:rsidP="006E5323" w:rsidRDefault="006E5323" w14:paraId="4C10592C"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Rail Baltica projekts (turpmāk tekstā – Projekts) ir Eiropas standarta platuma dzelzceļa transporta Trans-Eiropas transporta tīkla (turpmāk tekstā – TEN-T tīkla) Ziemeļjūras – Baltijas koridora transporta sistēmas elements, kas aptver piecas Eiropas Savienības (turpmāk tekstā – ES) dalībvalstis – Igauniju, Latviju, Lietuvu, Poliju un Somiju. Projekta mērķis ir savienot Baltijas valstis ar pārējo ES, izveidojot efektīvu, modernu, drošu, videi draudzīgu un tirgus prasībām atbilstošu dzelzceļa pārvadājumu sistēmu.</w:t>
      </w:r>
    </w:p>
    <w:p w:rsidRPr="006E5323" w:rsidR="006E5323" w:rsidP="006E5323" w:rsidRDefault="006E5323" w14:paraId="2A39BE49"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2014.gadā Baltijas valstis noslēdzot akcionāru līgum</w:t>
      </w:r>
      <w:bookmarkStart w:name="_GoBack" w:id="0"/>
      <w:bookmarkEnd w:id="0"/>
      <w:r w:rsidRPr="006E5323">
        <w:rPr>
          <w:rFonts w:ascii="Times New Roman" w:hAnsi="Times New Roman" w:eastAsia="Calibri" w:cs="Times New Roman"/>
          <w:sz w:val="24"/>
          <w:szCs w:val="24"/>
        </w:rPr>
        <w:t>u, nodibināja Latvijas Republikā reģistrētu kopuzņēmumu RB Rail AS (turpmāk – RBR), kas saskaņā ar akcionāru līgumu un 2017.gada Igaunijas Republikas valdības, Latvijas Republikas valdības un Lietuvas Republikas valdības līgumu, kas ratificēts ar likumu Par Igaunijas Republikas valdības, Latvijas Republikas valdības un Lietuvas Republikas valdības līgumu par Rail Baltica dzelzceļa savienojuma izveidi, līdz Rail Baltica dzelzceļa līnijas būvniecības pabeigšanai un pilnas tehniskās funkcionalitātes sasniegšanai koordinē Projekta sagatavošanas darbības un dzelzceļa izbūvi. Pēc Rail Baltica dzelzceļa līnijas nodošanas ekspluatācijā, RBR akcionāri pieņems lēmumu par kopuzņēmuma turpmāko darbību vai tā likvidāciju. Skat. 1.pielikumu.</w:t>
      </w:r>
    </w:p>
    <w:p w:rsidRPr="006E5323" w:rsidR="006E5323" w:rsidP="006E5323" w:rsidRDefault="006E5323" w14:paraId="0445AD12"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ES piešķirto finanšu līdzekļu investīciju atbilstības uzraudzību nodrošina Inovācijas un tīklu izpildaģentūra (</w:t>
      </w:r>
      <w:proofErr w:type="spellStart"/>
      <w:r w:rsidRPr="006E5323">
        <w:rPr>
          <w:rFonts w:ascii="Times New Roman" w:hAnsi="Times New Roman" w:eastAsia="Calibri" w:cs="Times New Roman"/>
          <w:sz w:val="24"/>
          <w:szCs w:val="24"/>
        </w:rPr>
        <w:t>Innovation</w:t>
      </w:r>
      <w:proofErr w:type="spellEnd"/>
      <w:r w:rsidRPr="006E5323">
        <w:rPr>
          <w:rFonts w:ascii="Times New Roman" w:hAnsi="Times New Roman" w:eastAsia="Calibri" w:cs="Times New Roman"/>
          <w:sz w:val="24"/>
          <w:szCs w:val="24"/>
        </w:rPr>
        <w:t xml:space="preserve"> </w:t>
      </w:r>
      <w:proofErr w:type="spellStart"/>
      <w:r w:rsidRPr="006E5323">
        <w:rPr>
          <w:rFonts w:ascii="Times New Roman" w:hAnsi="Times New Roman" w:eastAsia="Calibri" w:cs="Times New Roman"/>
          <w:sz w:val="24"/>
          <w:szCs w:val="24"/>
        </w:rPr>
        <w:t>and</w:t>
      </w:r>
      <w:proofErr w:type="spellEnd"/>
      <w:r w:rsidRPr="006E5323">
        <w:rPr>
          <w:rFonts w:ascii="Times New Roman" w:hAnsi="Times New Roman" w:eastAsia="Calibri" w:cs="Times New Roman"/>
          <w:sz w:val="24"/>
          <w:szCs w:val="24"/>
        </w:rPr>
        <w:t xml:space="preserve"> </w:t>
      </w:r>
      <w:proofErr w:type="spellStart"/>
      <w:r w:rsidRPr="006E5323">
        <w:rPr>
          <w:rFonts w:ascii="Times New Roman" w:hAnsi="Times New Roman" w:eastAsia="Calibri" w:cs="Times New Roman"/>
          <w:sz w:val="24"/>
          <w:szCs w:val="24"/>
        </w:rPr>
        <w:t>Networks</w:t>
      </w:r>
      <w:proofErr w:type="spellEnd"/>
      <w:r w:rsidRPr="006E5323">
        <w:rPr>
          <w:rFonts w:ascii="Times New Roman" w:hAnsi="Times New Roman" w:eastAsia="Calibri" w:cs="Times New Roman"/>
          <w:sz w:val="24"/>
          <w:szCs w:val="24"/>
        </w:rPr>
        <w:t xml:space="preserve"> </w:t>
      </w:r>
      <w:proofErr w:type="spellStart"/>
      <w:r w:rsidRPr="006E5323">
        <w:rPr>
          <w:rFonts w:ascii="Times New Roman" w:hAnsi="Times New Roman" w:eastAsia="Calibri" w:cs="Times New Roman"/>
          <w:sz w:val="24"/>
          <w:szCs w:val="24"/>
        </w:rPr>
        <w:t>Executive</w:t>
      </w:r>
      <w:proofErr w:type="spellEnd"/>
      <w:r w:rsidRPr="006E5323">
        <w:rPr>
          <w:rFonts w:ascii="Times New Roman" w:hAnsi="Times New Roman" w:eastAsia="Calibri" w:cs="Times New Roman"/>
          <w:sz w:val="24"/>
          <w:szCs w:val="24"/>
        </w:rPr>
        <w:t xml:space="preserve"> </w:t>
      </w:r>
      <w:proofErr w:type="spellStart"/>
      <w:r w:rsidRPr="006E5323">
        <w:rPr>
          <w:rFonts w:ascii="Times New Roman" w:hAnsi="Times New Roman" w:eastAsia="Calibri" w:cs="Times New Roman"/>
          <w:sz w:val="24"/>
          <w:szCs w:val="24"/>
        </w:rPr>
        <w:t>Agency</w:t>
      </w:r>
      <w:proofErr w:type="spellEnd"/>
      <w:r w:rsidRPr="006E5323">
        <w:rPr>
          <w:rFonts w:ascii="Times New Roman" w:hAnsi="Times New Roman" w:eastAsia="Calibri" w:cs="Times New Roman"/>
          <w:sz w:val="24"/>
          <w:szCs w:val="24"/>
        </w:rPr>
        <w:t xml:space="preserve">, (turpmāk tekstā – INEA). </w:t>
      </w:r>
    </w:p>
    <w:p w:rsidRPr="006E5323" w:rsidR="006E5323" w:rsidP="006E5323" w:rsidRDefault="006E5323" w14:paraId="000D4803" w14:textId="77777777">
      <w:pPr>
        <w:spacing w:after="0" w:line="240" w:lineRule="auto"/>
        <w:ind w:firstLine="567"/>
        <w:jc w:val="both"/>
        <w:rPr>
          <w:rFonts w:ascii="Times New Roman" w:hAnsi="Times New Roman" w:eastAsia="Calibri" w:cs="Times New Roman"/>
          <w:b/>
          <w:sz w:val="24"/>
          <w:szCs w:val="24"/>
        </w:rPr>
      </w:pPr>
      <w:r w:rsidRPr="006E5323">
        <w:rPr>
          <w:rFonts w:ascii="Times New Roman" w:hAnsi="Times New Roman" w:eastAsia="Calibri" w:cs="Times New Roman"/>
          <w:sz w:val="24"/>
          <w:szCs w:val="24"/>
        </w:rPr>
        <w:t>Nacionālajā līmenī Projekta īstenošanu un uzraudzību regulē Eiropas infrastruktūras savienošanas instrumenta (turpmāk tekstā – EISI) projektu uzraudzības likums un Ministru kabineta 2018.gada 3.jūlija noteikumi Nr. 395 “Eiropas infrastruktūras savienošanas instrumenta finansēto transporta un telekomunikāciju nozares projektu saskaņošanas un īstenošanas uzraudzības kārtība” (turpmāk tekstā – Noteikumi).</w:t>
      </w:r>
    </w:p>
    <w:p w:rsidRPr="006E5323" w:rsidR="006E5323" w:rsidP="006E5323" w:rsidRDefault="006E5323" w14:paraId="18903E9C" w14:textId="77777777">
      <w:pPr>
        <w:spacing w:after="0" w:line="276" w:lineRule="auto"/>
        <w:jc w:val="both"/>
        <w:rPr>
          <w:rFonts w:ascii="Times New Roman" w:hAnsi="Times New Roman" w:eastAsia="Calibri" w:cs="Times New Roman"/>
          <w:sz w:val="24"/>
          <w:szCs w:val="24"/>
        </w:rPr>
      </w:pPr>
      <w:r w:rsidRPr="006E5323">
        <w:rPr>
          <w:rFonts w:ascii="Times New Roman" w:hAnsi="Times New Roman" w:eastAsia="Calibri" w:cs="Times New Roman"/>
          <w:b/>
          <w:sz w:val="24"/>
          <w:szCs w:val="24"/>
        </w:rPr>
        <w:t>Projekta īstenošana un finansēšana.</w:t>
      </w:r>
    </w:p>
    <w:p w:rsidRPr="006E5323" w:rsidR="006E5323" w:rsidP="006E5323" w:rsidRDefault="006E5323" w14:paraId="70BE9DE5"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Eiropas Parlamenta un Padomes 2013. gada 11. decembra Regulas (ES) Nr.13/2013, ar ko izveido EISI, groza Regulu (ES) Nr. 913/2010 un atceļ Regulu (EK) Nr. 680/2007 un Regulu (EK) Nr. 67/2010 izpratnē Projekta atbalsta saņēmējas ir Igaunijas Republikas Ekonomikas un sakaru ministrija, Latvijas Republikas Satiksmes ministrija, Lietuvas Republikas Transporta un sakaru ministrija un RBR. Skat. 2.pielikumu. </w:t>
      </w:r>
    </w:p>
    <w:p w:rsidRPr="006E5323" w:rsidR="006E5323" w:rsidP="006E5323" w:rsidRDefault="006E5323" w14:paraId="5BBC3CAA" w14:textId="77777777">
      <w:pPr>
        <w:spacing w:after="0" w:line="240" w:lineRule="auto"/>
        <w:ind w:firstLine="567"/>
        <w:jc w:val="both"/>
        <w:rPr>
          <w:rFonts w:ascii="Times New Roman" w:hAnsi="Times New Roman" w:eastAsia="Calibri" w:cs="Times New Roman"/>
          <w:b/>
          <w:bCs/>
          <w:sz w:val="24"/>
          <w:szCs w:val="24"/>
        </w:rPr>
      </w:pPr>
      <w:r w:rsidRPr="006E5323">
        <w:rPr>
          <w:rFonts w:ascii="Times New Roman" w:hAnsi="Times New Roman" w:eastAsia="Calibri" w:cs="Times New Roman"/>
          <w:sz w:val="24"/>
          <w:szCs w:val="24"/>
        </w:rPr>
        <w:t xml:space="preserve">Baltijas valstis ir atbalsta saņēmējas Projekta nacionālajām tas ir iekšzemes aktivitātēm, Projekta horizontālajām (pārrobežu) aktivitātēm atbalsta saņēmējs ir RBR, kas lielāko </w:t>
      </w:r>
      <w:r w:rsidRPr="006E5323">
        <w:rPr>
          <w:rFonts w:ascii="Times New Roman" w:hAnsi="Times New Roman" w:eastAsia="Calibri" w:cs="Times New Roman"/>
          <w:bCs/>
          <w:sz w:val="24"/>
          <w:szCs w:val="24"/>
        </w:rPr>
        <w:t>daļu no savā atbildībā esošajām Projekta aktivitātēm īsteno Latvijas teritorijā, jo ir Latvijā reģistrēts komercuzņēmums. Projekta horizontālās (pārrobežu)  aktivitātes, kuras īsteno RBR, 85 % apmērā finansē EK un solidāri, katra 5 % apmērā, līdzfinansē Igaunija, Latvija un Lietuva.</w:t>
      </w:r>
      <w:r w:rsidRPr="006E5323">
        <w:rPr>
          <w:rFonts w:ascii="Times New Roman" w:hAnsi="Times New Roman" w:eastAsia="Calibri" w:cs="Times New Roman"/>
          <w:sz w:val="24"/>
          <w:szCs w:val="24"/>
        </w:rPr>
        <w:t xml:space="preserve"> Informatīvā ziņojuma kontekstā aktuālas ir horizontālās (pārrobežu) Projekta aktivitātes, kurās atbalsta saņēmējs un ieviesējs ir RBR un kurām nacionālo līdzfinansējumu nodrošina visas trīs Baltijas valstis.</w:t>
      </w:r>
    </w:p>
    <w:p w:rsidRPr="006E5323" w:rsidR="006E5323" w:rsidP="006E5323" w:rsidRDefault="006E5323" w14:paraId="5F7031BA" w14:textId="77777777">
      <w:pPr>
        <w:spacing w:after="0" w:line="276" w:lineRule="auto"/>
        <w:jc w:val="both"/>
        <w:rPr>
          <w:rFonts w:ascii="Times New Roman" w:hAnsi="Times New Roman" w:eastAsia="Calibri" w:cs="Times New Roman"/>
          <w:b/>
          <w:bCs/>
          <w:sz w:val="24"/>
          <w:szCs w:val="24"/>
        </w:rPr>
      </w:pPr>
      <w:r w:rsidRPr="006E5323">
        <w:rPr>
          <w:rFonts w:ascii="Times New Roman" w:hAnsi="Times New Roman" w:eastAsia="Calibri" w:cs="Times New Roman"/>
          <w:b/>
          <w:bCs/>
          <w:sz w:val="24"/>
          <w:szCs w:val="24"/>
        </w:rPr>
        <w:t>RBR pieejamais finansējums Rail Baltica projekta realizēšanai.</w:t>
      </w:r>
    </w:p>
    <w:p w:rsidRPr="006E5323" w:rsidR="006E5323" w:rsidP="006E5323" w:rsidRDefault="006E5323" w14:paraId="6E30A2F4"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Ņemot vērā, ka Projekts ir apjomīgs, un tam vajadzīgs būtisks ES finansiālais atbalsts, tā īstenošana paredzēta vairāku ES daudzgadu budžeta plānošanas periodu ietvaros, attiecīgi Projektu īstenojot ģeogrāfiskās, inženiertehniskās un finanšu kārtās. </w:t>
      </w:r>
    </w:p>
    <w:p w:rsidRPr="006E5323" w:rsidR="006E5323" w:rsidP="006E5323" w:rsidRDefault="006E5323" w14:paraId="5AE86A8B"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Laika posmā no 2015. gada līdz 2019. gadam, parakstot trīs Finansēšanas līgumus (turpmāk tekstā – CEF), Baltijas valstis un RBR ir apņēmušās apgūt EISI finansējumu 819 855 833 EUR apmērā, ārvalstu finanšu palīdzības daļa visiem trīs CEF līgumiem ir 682 895 993 EUR, t.sk. RBR aktivitāšu īstenošanai pieejamais finansējums ir 35 089 965 EUR no kuriem 29 826 470 EUR ir EK finansējums un Latvija, Lietuva un Igaunija nodrošina līdzfinansējumu </w:t>
      </w:r>
      <w:r w:rsidRPr="006E5323">
        <w:rPr>
          <w:rFonts w:ascii="Times New Roman" w:hAnsi="Times New Roman" w:eastAsia="Calibri" w:cs="Times New Roman"/>
          <w:sz w:val="24"/>
          <w:szCs w:val="24"/>
        </w:rPr>
        <w:lastRenderedPageBreak/>
        <w:t xml:space="preserve">5 263 495 EUR apmērā, kur </w:t>
      </w:r>
      <w:r w:rsidRPr="006E5323">
        <w:rPr>
          <w:rFonts w:ascii="Times New Roman" w:hAnsi="Times New Roman" w:eastAsia="Times New Roman" w:cs="Times New Roman"/>
          <w:color w:val="000000"/>
          <w:sz w:val="24"/>
          <w:szCs w:val="24"/>
          <w:lang w:eastAsia="en-GB"/>
        </w:rPr>
        <w:t>1 754 498 EUR</w:t>
      </w:r>
      <w:r w:rsidRPr="006E5323">
        <w:rPr>
          <w:rFonts w:ascii="Times New Roman" w:hAnsi="Times New Roman" w:eastAsia="Calibri" w:cs="Times New Roman"/>
          <w:sz w:val="24"/>
          <w:szCs w:val="24"/>
        </w:rPr>
        <w:t xml:space="preserve"> ir Latvijas budžeta līdzfinansējuma daļa</w:t>
      </w:r>
      <w:r w:rsidRPr="006E5323">
        <w:rPr>
          <w:rFonts w:ascii="Times New Roman" w:hAnsi="Times New Roman" w:eastAsia="Times New Roman" w:cs="Times New Roman"/>
          <w:color w:val="000000"/>
          <w:sz w:val="24"/>
          <w:szCs w:val="24"/>
          <w:lang w:eastAsia="en-GB"/>
        </w:rPr>
        <w:t>.</w:t>
      </w:r>
      <w:r w:rsidRPr="006E5323">
        <w:rPr>
          <w:rFonts w:ascii="Times New Roman" w:hAnsi="Times New Roman" w:eastAsia="Calibri" w:cs="Times New Roman"/>
          <w:sz w:val="24"/>
          <w:szCs w:val="24"/>
        </w:rPr>
        <w:t xml:space="preserve"> CEF2 līdzekļu apguves periods beidzas 2020. gada decembrī, CEF1, ņemot vērā tā grozījumus, līdzekļu apguves periods beidzas 2022.gada decembrī un CEF3 līdzekļu apguves periods – 2023. gada decembrī. Skat. 1.tabulu.</w:t>
      </w:r>
    </w:p>
    <w:tbl>
      <w:tblPr>
        <w:tblW w:w="9220" w:type="dxa"/>
        <w:tblLook w:val="04A0" w:firstRow="1" w:lastRow="0" w:firstColumn="1" w:lastColumn="0" w:noHBand="0" w:noVBand="1"/>
      </w:tblPr>
      <w:tblGrid>
        <w:gridCol w:w="2268"/>
        <w:gridCol w:w="1560"/>
        <w:gridCol w:w="3969"/>
        <w:gridCol w:w="1423"/>
      </w:tblGrid>
      <w:tr w:rsidRPr="006E5323" w:rsidR="006E5323" w:rsidTr="00507CEE" w14:paraId="10D561B9" w14:textId="77777777">
        <w:trPr>
          <w:trHeight w:val="606"/>
        </w:trPr>
        <w:tc>
          <w:tcPr>
            <w:tcW w:w="226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E5323" w:rsidR="006E5323" w:rsidP="006E5323" w:rsidRDefault="006E5323" w14:paraId="214C32BC" w14:textId="77777777">
            <w:pPr>
              <w:spacing w:after="0" w:line="240" w:lineRule="auto"/>
              <w:jc w:val="center"/>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Finansēšanas līgums</w:t>
            </w:r>
          </w:p>
        </w:tc>
        <w:tc>
          <w:tcPr>
            <w:tcW w:w="1560"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034320C8" w14:textId="77777777">
            <w:pPr>
              <w:spacing w:after="0" w:line="240" w:lineRule="auto"/>
              <w:jc w:val="center"/>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INEA finansējums</w:t>
            </w:r>
          </w:p>
        </w:tc>
        <w:tc>
          <w:tcPr>
            <w:tcW w:w="3969"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414D3AE6" w14:textId="77777777">
            <w:pPr>
              <w:spacing w:after="0" w:line="240" w:lineRule="auto"/>
              <w:jc w:val="center"/>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Latvijas, Lietuvas, Igaunijas valstu budžeta līdzfinansējums RBR aktivitātēm</w:t>
            </w:r>
          </w:p>
        </w:tc>
        <w:tc>
          <w:tcPr>
            <w:tcW w:w="1423"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4AD963C5" w14:textId="77777777">
            <w:pPr>
              <w:spacing w:after="0" w:line="240" w:lineRule="auto"/>
              <w:jc w:val="center"/>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Kopā</w:t>
            </w:r>
          </w:p>
        </w:tc>
      </w:tr>
      <w:tr w:rsidRPr="006E5323" w:rsidR="006E5323" w:rsidTr="00507CEE" w14:paraId="7552CA28"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6E5323" w:rsidR="006E5323" w:rsidP="006E5323" w:rsidRDefault="006E5323" w14:paraId="6512B1EC"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Times New Roman" w:cs="Times New Roman"/>
                <w:color w:val="000000"/>
                <w:sz w:val="20"/>
                <w:szCs w:val="20"/>
                <w:lang w:val="en-GB" w:eastAsia="en-GB"/>
              </w:rPr>
              <w:t>CEF-1</w:t>
            </w:r>
          </w:p>
        </w:tc>
        <w:tc>
          <w:tcPr>
            <w:tcW w:w="1560"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940A206"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19 405 170</w:t>
            </w:r>
          </w:p>
        </w:tc>
        <w:tc>
          <w:tcPr>
            <w:tcW w:w="396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F947A3F"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3 424 442</w:t>
            </w:r>
          </w:p>
        </w:tc>
        <w:tc>
          <w:tcPr>
            <w:tcW w:w="1423"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E22BA52"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22 829 612</w:t>
            </w:r>
          </w:p>
        </w:tc>
      </w:tr>
      <w:tr w:rsidRPr="006E5323" w:rsidR="006E5323" w:rsidTr="00507CEE" w14:paraId="0A31F36C"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6E5323" w:rsidR="006E5323" w:rsidP="006E5323" w:rsidRDefault="006E5323" w14:paraId="04224FBB"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Times New Roman" w:cs="Times New Roman"/>
                <w:color w:val="000000"/>
                <w:sz w:val="20"/>
                <w:szCs w:val="20"/>
                <w:lang w:val="en-GB" w:eastAsia="en-GB"/>
              </w:rPr>
              <w:t>CEF-2</w:t>
            </w:r>
          </w:p>
        </w:tc>
        <w:tc>
          <w:tcPr>
            <w:tcW w:w="1560"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3595B54"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51 000</w:t>
            </w:r>
          </w:p>
        </w:tc>
        <w:tc>
          <w:tcPr>
            <w:tcW w:w="396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611674E"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9 000</w:t>
            </w:r>
          </w:p>
        </w:tc>
        <w:tc>
          <w:tcPr>
            <w:tcW w:w="1423"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4B4E13E"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60 000</w:t>
            </w:r>
          </w:p>
        </w:tc>
      </w:tr>
      <w:tr w:rsidRPr="006E5323" w:rsidR="006E5323" w:rsidTr="00507CEE" w14:paraId="6187C06C"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6E5323" w:rsidR="006E5323" w:rsidP="006E5323" w:rsidRDefault="006E5323" w14:paraId="39543F4A"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Times New Roman" w:cs="Times New Roman"/>
                <w:color w:val="000000"/>
                <w:sz w:val="20"/>
                <w:szCs w:val="20"/>
                <w:lang w:val="en-GB" w:eastAsia="en-GB"/>
              </w:rPr>
              <w:t>CEF-3</w:t>
            </w:r>
          </w:p>
        </w:tc>
        <w:tc>
          <w:tcPr>
            <w:tcW w:w="1560"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00CD78A"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10 370 300</w:t>
            </w:r>
          </w:p>
        </w:tc>
        <w:tc>
          <w:tcPr>
            <w:tcW w:w="396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7B5CB49"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1 830 053</w:t>
            </w:r>
          </w:p>
        </w:tc>
        <w:tc>
          <w:tcPr>
            <w:tcW w:w="1423"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44476A0"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color w:val="000000"/>
                <w:sz w:val="20"/>
                <w:szCs w:val="20"/>
              </w:rPr>
              <w:t>12 200 353</w:t>
            </w:r>
          </w:p>
        </w:tc>
      </w:tr>
      <w:tr w:rsidRPr="006E5323" w:rsidR="006E5323" w:rsidTr="00507CEE" w14:paraId="10A78B9E" w14:textId="77777777">
        <w:trPr>
          <w:trHeight w:val="300"/>
        </w:trPr>
        <w:tc>
          <w:tcPr>
            <w:tcW w:w="2268" w:type="dxa"/>
            <w:tcBorders>
              <w:top w:val="nil"/>
              <w:left w:val="single" w:color="auto" w:sz="4" w:space="0"/>
              <w:bottom w:val="single" w:color="auto" w:sz="4" w:space="0"/>
              <w:right w:val="single" w:color="auto" w:sz="4" w:space="0"/>
            </w:tcBorders>
            <w:shd w:val="clear" w:color="auto" w:fill="auto"/>
            <w:vAlign w:val="bottom"/>
            <w:hideMark/>
          </w:tcPr>
          <w:p w:rsidRPr="006E5323" w:rsidR="006E5323" w:rsidP="006E5323" w:rsidRDefault="006E5323" w14:paraId="2FEDE972" w14:textId="77777777">
            <w:pPr>
              <w:spacing w:after="0" w:line="240" w:lineRule="auto"/>
              <w:jc w:val="center"/>
              <w:rPr>
                <w:rFonts w:ascii="Times New Roman" w:hAnsi="Times New Roman" w:eastAsia="Times New Roman" w:cs="Times New Roman"/>
                <w:color w:val="000000"/>
                <w:sz w:val="20"/>
                <w:szCs w:val="20"/>
                <w:lang w:val="en-GB" w:eastAsia="en-GB"/>
              </w:rPr>
            </w:pPr>
            <w:proofErr w:type="spellStart"/>
            <w:r w:rsidRPr="006E5323">
              <w:rPr>
                <w:rFonts w:ascii="Times New Roman" w:hAnsi="Times New Roman" w:eastAsia="Times New Roman" w:cs="Times New Roman"/>
                <w:color w:val="000000"/>
                <w:sz w:val="20"/>
                <w:szCs w:val="20"/>
                <w:lang w:val="en-GB" w:eastAsia="en-GB"/>
              </w:rPr>
              <w:t>Kopā</w:t>
            </w:r>
            <w:proofErr w:type="spellEnd"/>
          </w:p>
        </w:tc>
        <w:tc>
          <w:tcPr>
            <w:tcW w:w="1560"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52177B4"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b/>
                <w:bCs/>
                <w:color w:val="000000"/>
                <w:sz w:val="20"/>
                <w:szCs w:val="20"/>
              </w:rPr>
              <w:t>29 826 470</w:t>
            </w:r>
          </w:p>
        </w:tc>
        <w:tc>
          <w:tcPr>
            <w:tcW w:w="396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FFA248E"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b/>
                <w:bCs/>
                <w:color w:val="000000"/>
                <w:sz w:val="20"/>
                <w:szCs w:val="20"/>
              </w:rPr>
              <w:t>5 263 495</w:t>
            </w:r>
          </w:p>
        </w:tc>
        <w:tc>
          <w:tcPr>
            <w:tcW w:w="1423"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A595891" w14:textId="77777777">
            <w:pPr>
              <w:spacing w:after="0" w:line="240" w:lineRule="auto"/>
              <w:jc w:val="center"/>
              <w:rPr>
                <w:rFonts w:ascii="Times New Roman" w:hAnsi="Times New Roman" w:eastAsia="Times New Roman" w:cs="Times New Roman"/>
                <w:color w:val="000000"/>
                <w:sz w:val="20"/>
                <w:szCs w:val="20"/>
                <w:lang w:val="en-GB" w:eastAsia="en-GB"/>
              </w:rPr>
            </w:pPr>
            <w:r w:rsidRPr="006E5323">
              <w:rPr>
                <w:rFonts w:ascii="Times New Roman" w:hAnsi="Times New Roman" w:eastAsia="Calibri" w:cs="Times New Roman"/>
                <w:b/>
                <w:bCs/>
                <w:color w:val="000000"/>
                <w:sz w:val="20"/>
                <w:szCs w:val="20"/>
              </w:rPr>
              <w:t>35 089 965</w:t>
            </w:r>
          </w:p>
        </w:tc>
      </w:tr>
    </w:tbl>
    <w:p w:rsidRPr="006E5323" w:rsidR="006E5323" w:rsidP="006E5323" w:rsidRDefault="006E5323" w14:paraId="06A3F72E" w14:textId="77777777">
      <w:pPr>
        <w:spacing w:after="0" w:line="276" w:lineRule="auto"/>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                                                                                     1.tabula RBR budžets CEF līgumos (EUR)</w:t>
      </w:r>
    </w:p>
    <w:p w:rsidRPr="006E5323" w:rsidR="006E5323" w:rsidP="006E5323" w:rsidRDefault="006E5323" w14:paraId="5B4E5DD3" w14:textId="77777777">
      <w:pPr>
        <w:spacing w:after="0" w:line="276" w:lineRule="auto"/>
        <w:ind w:firstLine="567"/>
        <w:jc w:val="both"/>
        <w:rPr>
          <w:rFonts w:ascii="Times New Roman" w:hAnsi="Times New Roman" w:eastAsia="Calibri" w:cs="Times New Roman"/>
          <w:sz w:val="24"/>
          <w:szCs w:val="24"/>
        </w:rPr>
      </w:pPr>
    </w:p>
    <w:p w:rsidRPr="006E5323" w:rsidR="006E5323" w:rsidP="006E5323" w:rsidRDefault="006E5323" w14:paraId="687257BE"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6.projektu iesniegumu konkursa, kas tika izsludināts 2019.gada oktobrī, ietvaros RBR plāno pieteikties 30 094 363 EUR finansējumam. CEF6 līdzekļu apguves periods sākas 2020.gadā un beidzas 2023.gada decembrī.</w:t>
      </w:r>
    </w:p>
    <w:p w:rsidRPr="006E5323" w:rsidR="006E5323" w:rsidP="006E5323" w:rsidRDefault="006E5323" w14:paraId="059D0A0A"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Parakstot CEF finansēšanas līgumus plānotais Latvijas līdzfinansējums RBR aktivitātēm saskaņā ar Igaunijas, Latvijas un Lietuvas vienošanos tika nodrošināts veicot iemaksas RBR Latvijas akcionāra pamatkapitālā un jautājums par Latvijas puses līdzfinansējuma nodrošināšanu par ieguldījumu pamatkapitālā ikgadēji tika skatīts Ministru kabinetā un pieņemts attiecīgs Ministru kabineta lēmums. Tādejādi 2014. – 2019.gadā RBR no Latvijas valsts budžeta ir saņēmis 3 900 000 EUR, kuri tika iemaksāti RBR pamatkapitālā. Saņemto finanšu līdzekļu apguvi skatīt 2.tabulā.  </w:t>
      </w:r>
    </w:p>
    <w:tbl>
      <w:tblPr>
        <w:tblStyle w:val="TableGrid1"/>
        <w:tblW w:w="0" w:type="auto"/>
        <w:tblLook w:val="04A0" w:firstRow="1" w:lastRow="0" w:firstColumn="1" w:lastColumn="0" w:noHBand="0" w:noVBand="1"/>
      </w:tblPr>
      <w:tblGrid>
        <w:gridCol w:w="2899"/>
        <w:gridCol w:w="1112"/>
        <w:gridCol w:w="1382"/>
        <w:gridCol w:w="1109"/>
        <w:gridCol w:w="1246"/>
        <w:gridCol w:w="1268"/>
      </w:tblGrid>
      <w:tr w:rsidRPr="006E5323" w:rsidR="006E5323" w:rsidTr="00507CEE" w14:paraId="566095DC" w14:textId="77777777">
        <w:tc>
          <w:tcPr>
            <w:tcW w:w="2972" w:type="dxa"/>
          </w:tcPr>
          <w:p w:rsidRPr="006E5323" w:rsidR="006E5323" w:rsidP="006E5323" w:rsidRDefault="006E5323" w14:paraId="7496D854"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Latvijas (LV) daļa</w:t>
            </w:r>
          </w:p>
        </w:tc>
        <w:tc>
          <w:tcPr>
            <w:tcW w:w="1134" w:type="dxa"/>
          </w:tcPr>
          <w:p w:rsidRPr="006E5323" w:rsidR="006E5323" w:rsidP="006E5323" w:rsidRDefault="006E5323" w14:paraId="59F5FF48" w14:textId="77777777">
            <w:pPr>
              <w:jc w:val="center"/>
              <w:rPr>
                <w:rFonts w:eastAsia="Times New Roman" w:cs="Times New Roman"/>
                <w:color w:val="000000"/>
                <w:sz w:val="20"/>
                <w:szCs w:val="20"/>
                <w:lang w:eastAsia="en-GB"/>
              </w:rPr>
            </w:pPr>
            <w:r w:rsidRPr="006E5323">
              <w:rPr>
                <w:rFonts w:eastAsia="Times New Roman" w:cs="Times New Roman"/>
                <w:color w:val="000000"/>
                <w:sz w:val="20"/>
                <w:szCs w:val="20"/>
                <w:lang w:eastAsia="en-GB"/>
              </w:rPr>
              <w:t>2015</w:t>
            </w:r>
          </w:p>
        </w:tc>
        <w:tc>
          <w:tcPr>
            <w:tcW w:w="1418" w:type="dxa"/>
          </w:tcPr>
          <w:p w:rsidRPr="006E5323" w:rsidR="006E5323" w:rsidP="006E5323" w:rsidRDefault="006E5323" w14:paraId="4D4F553B" w14:textId="77777777">
            <w:pPr>
              <w:jc w:val="center"/>
              <w:rPr>
                <w:rFonts w:eastAsia="Times New Roman" w:cs="Times New Roman"/>
                <w:color w:val="000000"/>
                <w:sz w:val="20"/>
                <w:szCs w:val="20"/>
                <w:lang w:eastAsia="en-GB"/>
              </w:rPr>
            </w:pPr>
            <w:r w:rsidRPr="006E5323">
              <w:rPr>
                <w:rFonts w:eastAsia="Times New Roman" w:cs="Times New Roman"/>
                <w:color w:val="000000"/>
                <w:sz w:val="20"/>
                <w:szCs w:val="20"/>
                <w:lang w:eastAsia="en-GB"/>
              </w:rPr>
              <w:t>2016</w:t>
            </w:r>
          </w:p>
        </w:tc>
        <w:tc>
          <w:tcPr>
            <w:tcW w:w="1134" w:type="dxa"/>
          </w:tcPr>
          <w:p w:rsidRPr="006E5323" w:rsidR="006E5323" w:rsidP="006E5323" w:rsidRDefault="006E5323" w14:paraId="77859DBC" w14:textId="77777777">
            <w:pPr>
              <w:jc w:val="center"/>
              <w:rPr>
                <w:rFonts w:eastAsia="Times New Roman" w:cs="Times New Roman"/>
                <w:color w:val="000000"/>
                <w:sz w:val="20"/>
                <w:szCs w:val="20"/>
                <w:lang w:eastAsia="en-GB"/>
              </w:rPr>
            </w:pPr>
            <w:r w:rsidRPr="006E5323">
              <w:rPr>
                <w:rFonts w:eastAsia="Times New Roman" w:cs="Times New Roman"/>
                <w:color w:val="000000"/>
                <w:sz w:val="20"/>
                <w:szCs w:val="20"/>
                <w:lang w:eastAsia="en-GB"/>
              </w:rPr>
              <w:t>2017</w:t>
            </w:r>
          </w:p>
        </w:tc>
        <w:tc>
          <w:tcPr>
            <w:tcW w:w="1275" w:type="dxa"/>
          </w:tcPr>
          <w:p w:rsidRPr="006E5323" w:rsidR="006E5323" w:rsidP="006E5323" w:rsidRDefault="006E5323" w14:paraId="5C012550" w14:textId="77777777">
            <w:pPr>
              <w:jc w:val="center"/>
              <w:rPr>
                <w:rFonts w:eastAsia="Times New Roman" w:cs="Times New Roman"/>
                <w:color w:val="000000"/>
                <w:sz w:val="20"/>
                <w:szCs w:val="20"/>
                <w:lang w:eastAsia="en-GB"/>
              </w:rPr>
            </w:pPr>
            <w:r w:rsidRPr="006E5323">
              <w:rPr>
                <w:rFonts w:eastAsia="Times New Roman" w:cs="Times New Roman"/>
                <w:color w:val="000000"/>
                <w:sz w:val="20"/>
                <w:szCs w:val="20"/>
                <w:lang w:eastAsia="en-GB"/>
              </w:rPr>
              <w:t>2018</w:t>
            </w:r>
          </w:p>
        </w:tc>
        <w:tc>
          <w:tcPr>
            <w:tcW w:w="1298" w:type="dxa"/>
          </w:tcPr>
          <w:p w:rsidRPr="006E5323" w:rsidR="006E5323" w:rsidP="006E5323" w:rsidRDefault="006E5323" w14:paraId="33015D2F" w14:textId="77777777">
            <w:pPr>
              <w:jc w:val="center"/>
              <w:rPr>
                <w:rFonts w:eastAsia="Times New Roman" w:cs="Times New Roman"/>
                <w:color w:val="000000"/>
                <w:sz w:val="20"/>
                <w:szCs w:val="20"/>
                <w:lang w:eastAsia="en-GB"/>
              </w:rPr>
            </w:pPr>
            <w:r w:rsidRPr="006E5323">
              <w:rPr>
                <w:rFonts w:eastAsia="Times New Roman" w:cs="Times New Roman"/>
                <w:color w:val="000000"/>
                <w:sz w:val="20"/>
                <w:szCs w:val="20"/>
                <w:lang w:eastAsia="en-GB"/>
              </w:rPr>
              <w:t>2019</w:t>
            </w:r>
          </w:p>
        </w:tc>
      </w:tr>
      <w:tr w:rsidRPr="006E5323" w:rsidR="006E5323" w:rsidTr="00507CEE" w14:paraId="15E1D34A" w14:textId="77777777">
        <w:tc>
          <w:tcPr>
            <w:tcW w:w="2972" w:type="dxa"/>
          </w:tcPr>
          <w:p w:rsidRPr="006E5323" w:rsidR="006E5323" w:rsidP="006E5323" w:rsidRDefault="006E5323" w14:paraId="52620531"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 xml:space="preserve">Iemaksātais kapitāls </w:t>
            </w:r>
          </w:p>
        </w:tc>
        <w:tc>
          <w:tcPr>
            <w:tcW w:w="1134" w:type="dxa"/>
          </w:tcPr>
          <w:p w:rsidRPr="006E5323" w:rsidR="006E5323" w:rsidP="006E5323" w:rsidRDefault="006E5323" w14:paraId="156E14B3"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1 300 000</w:t>
            </w:r>
          </w:p>
        </w:tc>
        <w:tc>
          <w:tcPr>
            <w:tcW w:w="1418" w:type="dxa"/>
          </w:tcPr>
          <w:p w:rsidRPr="006E5323" w:rsidR="006E5323" w:rsidP="006E5323" w:rsidRDefault="006E5323" w14:paraId="3B1CE015"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650 000</w:t>
            </w:r>
          </w:p>
        </w:tc>
        <w:tc>
          <w:tcPr>
            <w:tcW w:w="1134" w:type="dxa"/>
          </w:tcPr>
          <w:p w:rsidRPr="006E5323" w:rsidR="006E5323" w:rsidP="006E5323" w:rsidRDefault="006E5323" w14:paraId="5DCD634A"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650 000</w:t>
            </w:r>
          </w:p>
        </w:tc>
        <w:tc>
          <w:tcPr>
            <w:tcW w:w="1275" w:type="dxa"/>
          </w:tcPr>
          <w:p w:rsidRPr="006E5323" w:rsidR="006E5323" w:rsidP="006E5323" w:rsidRDefault="006E5323" w14:paraId="2B66E9AC"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650 000</w:t>
            </w:r>
          </w:p>
        </w:tc>
        <w:tc>
          <w:tcPr>
            <w:tcW w:w="1298" w:type="dxa"/>
          </w:tcPr>
          <w:p w:rsidRPr="006E5323" w:rsidR="006E5323" w:rsidP="006E5323" w:rsidRDefault="006E5323" w14:paraId="261F3285"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650 000</w:t>
            </w:r>
          </w:p>
        </w:tc>
      </w:tr>
      <w:tr w:rsidRPr="006E5323" w:rsidR="006E5323" w:rsidTr="00507CEE" w14:paraId="7C3F8041" w14:textId="77777777">
        <w:tc>
          <w:tcPr>
            <w:tcW w:w="2972" w:type="dxa"/>
          </w:tcPr>
          <w:p w:rsidRPr="006E5323" w:rsidR="006E5323" w:rsidP="006E5323" w:rsidRDefault="006E5323" w14:paraId="13736F7D"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 xml:space="preserve">Neatskaitāmais PVN  </w:t>
            </w:r>
          </w:p>
        </w:tc>
        <w:tc>
          <w:tcPr>
            <w:tcW w:w="1134" w:type="dxa"/>
          </w:tcPr>
          <w:p w:rsidRPr="006E5323" w:rsidR="006E5323" w:rsidP="006E5323" w:rsidRDefault="006E5323" w14:paraId="4E88CB54" w14:textId="77777777">
            <w:pPr>
              <w:jc w:val="right"/>
              <w:rPr>
                <w:rFonts w:eastAsia="Times New Roman" w:cs="Times New Roman"/>
                <w:color w:val="000000"/>
                <w:sz w:val="20"/>
                <w:szCs w:val="20"/>
                <w:lang w:eastAsia="en-GB"/>
              </w:rPr>
            </w:pPr>
          </w:p>
        </w:tc>
        <w:tc>
          <w:tcPr>
            <w:tcW w:w="1418" w:type="dxa"/>
          </w:tcPr>
          <w:p w:rsidRPr="006E5323" w:rsidR="006E5323" w:rsidP="006E5323" w:rsidRDefault="006E5323" w14:paraId="70ED22D7" w14:textId="77777777">
            <w:pPr>
              <w:jc w:val="right"/>
              <w:rPr>
                <w:rFonts w:eastAsia="Times New Roman" w:cs="Times New Roman"/>
                <w:color w:val="000000"/>
                <w:sz w:val="20"/>
                <w:szCs w:val="20"/>
                <w:lang w:eastAsia="en-GB"/>
              </w:rPr>
            </w:pPr>
          </w:p>
        </w:tc>
        <w:tc>
          <w:tcPr>
            <w:tcW w:w="1134" w:type="dxa"/>
          </w:tcPr>
          <w:p w:rsidRPr="006E5323" w:rsidR="006E5323" w:rsidP="006E5323" w:rsidRDefault="006E5323" w14:paraId="545E7D54" w14:textId="77777777">
            <w:pPr>
              <w:jc w:val="right"/>
              <w:rPr>
                <w:rFonts w:eastAsia="Times New Roman" w:cs="Times New Roman"/>
                <w:color w:val="000000"/>
                <w:sz w:val="20"/>
                <w:szCs w:val="20"/>
                <w:lang w:eastAsia="en-GB"/>
              </w:rPr>
            </w:pPr>
          </w:p>
        </w:tc>
        <w:tc>
          <w:tcPr>
            <w:tcW w:w="1275" w:type="dxa"/>
          </w:tcPr>
          <w:p w:rsidRPr="006E5323" w:rsidR="006E5323" w:rsidP="006E5323" w:rsidRDefault="006E5323" w14:paraId="47FAD6A8" w14:textId="77777777">
            <w:pPr>
              <w:jc w:val="right"/>
              <w:rPr>
                <w:rFonts w:eastAsia="Times New Roman" w:cs="Times New Roman"/>
                <w:color w:val="000000"/>
                <w:sz w:val="20"/>
                <w:szCs w:val="20"/>
                <w:lang w:eastAsia="en-GB"/>
              </w:rPr>
            </w:pPr>
          </w:p>
        </w:tc>
        <w:tc>
          <w:tcPr>
            <w:tcW w:w="1298" w:type="dxa"/>
          </w:tcPr>
          <w:p w:rsidRPr="006E5323" w:rsidR="006E5323" w:rsidP="006E5323" w:rsidRDefault="006E5323" w14:paraId="7D09CE62" w14:textId="77777777">
            <w:pPr>
              <w:jc w:val="right"/>
              <w:rPr>
                <w:rFonts w:eastAsia="Times New Roman" w:cs="Times New Roman"/>
                <w:color w:val="000000"/>
                <w:sz w:val="20"/>
                <w:szCs w:val="20"/>
                <w:lang w:eastAsia="en-GB"/>
              </w:rPr>
            </w:pPr>
            <w:bookmarkStart w:name="_Hlk25335829" w:id="1"/>
            <w:r w:rsidRPr="006E5323">
              <w:rPr>
                <w:rFonts w:eastAsia="Times New Roman" w:cs="Times New Roman"/>
                <w:color w:val="000000"/>
                <w:sz w:val="20"/>
                <w:szCs w:val="20"/>
                <w:lang w:eastAsia="en-GB"/>
              </w:rPr>
              <w:t>77 333</w:t>
            </w:r>
            <w:bookmarkEnd w:id="1"/>
          </w:p>
        </w:tc>
      </w:tr>
      <w:tr w:rsidRPr="006E5323" w:rsidR="006E5323" w:rsidTr="00507CEE" w14:paraId="1B63C00F" w14:textId="77777777">
        <w:tc>
          <w:tcPr>
            <w:tcW w:w="2972" w:type="dxa"/>
          </w:tcPr>
          <w:p w:rsidRPr="006E5323" w:rsidR="006E5323" w:rsidP="006E5323" w:rsidRDefault="006E5323" w14:paraId="2B284B28"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CEF līdzfinansēšana</w:t>
            </w:r>
          </w:p>
        </w:tc>
        <w:tc>
          <w:tcPr>
            <w:tcW w:w="1134" w:type="dxa"/>
          </w:tcPr>
          <w:p w:rsidRPr="006E5323" w:rsidR="006E5323" w:rsidP="006E5323" w:rsidRDefault="006E5323" w14:paraId="43D7F5A7"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8 527</w:t>
            </w:r>
          </w:p>
        </w:tc>
        <w:tc>
          <w:tcPr>
            <w:tcW w:w="1418" w:type="dxa"/>
          </w:tcPr>
          <w:p w:rsidRPr="006E5323" w:rsidR="006E5323" w:rsidP="006E5323" w:rsidRDefault="006E5323" w14:paraId="4EF7E361"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51 485</w:t>
            </w:r>
          </w:p>
        </w:tc>
        <w:tc>
          <w:tcPr>
            <w:tcW w:w="1134" w:type="dxa"/>
          </w:tcPr>
          <w:p w:rsidRPr="006E5323" w:rsidR="006E5323" w:rsidP="006E5323" w:rsidRDefault="006E5323" w14:paraId="16DAE6AB"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155 196</w:t>
            </w:r>
          </w:p>
        </w:tc>
        <w:tc>
          <w:tcPr>
            <w:tcW w:w="1275" w:type="dxa"/>
          </w:tcPr>
          <w:p w:rsidRPr="006E5323" w:rsidR="006E5323" w:rsidP="006E5323" w:rsidRDefault="006E5323" w14:paraId="66CFED35"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333 979</w:t>
            </w:r>
          </w:p>
        </w:tc>
        <w:tc>
          <w:tcPr>
            <w:tcW w:w="1298" w:type="dxa"/>
          </w:tcPr>
          <w:p w:rsidRPr="006E5323" w:rsidR="006E5323" w:rsidP="006E5323" w:rsidRDefault="006E5323" w14:paraId="51CC0835"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655 336</w:t>
            </w:r>
          </w:p>
        </w:tc>
      </w:tr>
      <w:tr w:rsidRPr="006E5323" w:rsidR="006E5323" w:rsidTr="00507CEE" w14:paraId="7AFA2211" w14:textId="77777777">
        <w:tc>
          <w:tcPr>
            <w:tcW w:w="2972" w:type="dxa"/>
          </w:tcPr>
          <w:p w:rsidRPr="006E5323" w:rsidR="006E5323" w:rsidP="006E5323" w:rsidRDefault="006E5323" w14:paraId="5CCBBB04"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CEF1 grozījumu līdzfinansēšana</w:t>
            </w:r>
          </w:p>
        </w:tc>
        <w:tc>
          <w:tcPr>
            <w:tcW w:w="1134" w:type="dxa"/>
          </w:tcPr>
          <w:p w:rsidRPr="006E5323" w:rsidR="006E5323" w:rsidP="006E5323" w:rsidRDefault="006E5323" w14:paraId="0ED271CE" w14:textId="77777777">
            <w:pPr>
              <w:jc w:val="right"/>
              <w:rPr>
                <w:rFonts w:eastAsia="Times New Roman" w:cs="Times New Roman"/>
                <w:color w:val="000000"/>
                <w:sz w:val="20"/>
                <w:szCs w:val="20"/>
                <w:lang w:eastAsia="en-GB"/>
              </w:rPr>
            </w:pPr>
          </w:p>
        </w:tc>
        <w:tc>
          <w:tcPr>
            <w:tcW w:w="1418" w:type="dxa"/>
          </w:tcPr>
          <w:p w:rsidRPr="006E5323" w:rsidR="006E5323" w:rsidP="006E5323" w:rsidRDefault="006E5323" w14:paraId="3A64AE26" w14:textId="77777777">
            <w:pPr>
              <w:jc w:val="right"/>
              <w:rPr>
                <w:rFonts w:eastAsia="Times New Roman" w:cs="Times New Roman"/>
                <w:color w:val="000000"/>
                <w:sz w:val="20"/>
                <w:szCs w:val="20"/>
                <w:lang w:eastAsia="en-GB"/>
              </w:rPr>
            </w:pPr>
          </w:p>
        </w:tc>
        <w:tc>
          <w:tcPr>
            <w:tcW w:w="1134" w:type="dxa"/>
          </w:tcPr>
          <w:p w:rsidRPr="006E5323" w:rsidR="006E5323" w:rsidP="006E5323" w:rsidRDefault="006E5323" w14:paraId="4379B821" w14:textId="77777777">
            <w:pPr>
              <w:jc w:val="right"/>
              <w:rPr>
                <w:rFonts w:eastAsia="Times New Roman" w:cs="Times New Roman"/>
                <w:color w:val="000000"/>
                <w:sz w:val="20"/>
                <w:szCs w:val="20"/>
                <w:lang w:eastAsia="en-GB"/>
              </w:rPr>
            </w:pPr>
          </w:p>
        </w:tc>
        <w:tc>
          <w:tcPr>
            <w:tcW w:w="1275" w:type="dxa"/>
          </w:tcPr>
          <w:p w:rsidRPr="006E5323" w:rsidR="006E5323" w:rsidP="006E5323" w:rsidRDefault="006E5323" w14:paraId="2F99990A" w14:textId="77777777">
            <w:pPr>
              <w:jc w:val="right"/>
              <w:rPr>
                <w:rFonts w:eastAsia="Times New Roman" w:cs="Times New Roman"/>
                <w:color w:val="000000"/>
                <w:sz w:val="20"/>
                <w:szCs w:val="20"/>
                <w:lang w:eastAsia="en-GB"/>
              </w:rPr>
            </w:pPr>
          </w:p>
        </w:tc>
        <w:tc>
          <w:tcPr>
            <w:tcW w:w="1298" w:type="dxa"/>
          </w:tcPr>
          <w:p w:rsidRPr="006E5323" w:rsidR="006E5323" w:rsidP="006E5323" w:rsidRDefault="006E5323" w14:paraId="3290E050"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85 307</w:t>
            </w:r>
          </w:p>
        </w:tc>
      </w:tr>
      <w:tr w:rsidRPr="006E5323" w:rsidR="006E5323" w:rsidTr="00507CEE" w14:paraId="16E22EBC" w14:textId="77777777">
        <w:tc>
          <w:tcPr>
            <w:tcW w:w="2972" w:type="dxa"/>
          </w:tcPr>
          <w:p w:rsidRPr="006E5323" w:rsidR="006E5323" w:rsidP="006E5323" w:rsidRDefault="006E5323" w14:paraId="68F9F18A"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 xml:space="preserve">Neattiecināmās izmaksas </w:t>
            </w:r>
          </w:p>
        </w:tc>
        <w:tc>
          <w:tcPr>
            <w:tcW w:w="1134" w:type="dxa"/>
          </w:tcPr>
          <w:p w:rsidRPr="006E5323" w:rsidR="006E5323" w:rsidP="006E5323" w:rsidRDefault="006E5323" w14:paraId="57B435A4"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208 087</w:t>
            </w:r>
          </w:p>
        </w:tc>
        <w:tc>
          <w:tcPr>
            <w:tcW w:w="1418" w:type="dxa"/>
          </w:tcPr>
          <w:p w:rsidRPr="006E5323" w:rsidR="006E5323" w:rsidP="006E5323" w:rsidRDefault="006E5323" w14:paraId="377AADBE"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113 820</w:t>
            </w:r>
          </w:p>
        </w:tc>
        <w:tc>
          <w:tcPr>
            <w:tcW w:w="1134" w:type="dxa"/>
          </w:tcPr>
          <w:p w:rsidRPr="006E5323" w:rsidR="006E5323" w:rsidP="006E5323" w:rsidRDefault="006E5323" w14:paraId="786831B4"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108 983</w:t>
            </w:r>
          </w:p>
        </w:tc>
        <w:tc>
          <w:tcPr>
            <w:tcW w:w="1275" w:type="dxa"/>
          </w:tcPr>
          <w:p w:rsidRPr="006E5323" w:rsidR="006E5323" w:rsidP="006E5323" w:rsidRDefault="006E5323" w14:paraId="5047C4DE"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159 009</w:t>
            </w:r>
          </w:p>
        </w:tc>
        <w:tc>
          <w:tcPr>
            <w:tcW w:w="1298" w:type="dxa"/>
          </w:tcPr>
          <w:p w:rsidRPr="006E5323" w:rsidR="006E5323" w:rsidP="006E5323" w:rsidRDefault="006E5323" w14:paraId="6C5869DD"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154 299</w:t>
            </w:r>
          </w:p>
        </w:tc>
      </w:tr>
      <w:tr w:rsidRPr="006E5323" w:rsidR="006E5323" w:rsidTr="00507CEE" w14:paraId="1C485D02" w14:textId="77777777">
        <w:tc>
          <w:tcPr>
            <w:tcW w:w="2972" w:type="dxa"/>
          </w:tcPr>
          <w:p w:rsidRPr="006E5323" w:rsidR="006E5323" w:rsidP="006E5323" w:rsidRDefault="006E5323" w14:paraId="7E27A80D" w14:textId="77777777">
            <w:pPr>
              <w:jc w:val="both"/>
              <w:rPr>
                <w:rFonts w:eastAsia="Times New Roman" w:cs="Times New Roman"/>
                <w:color w:val="000000"/>
                <w:sz w:val="20"/>
                <w:szCs w:val="20"/>
                <w:lang w:eastAsia="en-GB"/>
              </w:rPr>
            </w:pPr>
            <w:r w:rsidRPr="006E5323">
              <w:rPr>
                <w:rFonts w:eastAsia="Times New Roman" w:cs="Times New Roman"/>
                <w:color w:val="000000"/>
                <w:sz w:val="20"/>
                <w:szCs w:val="20"/>
                <w:lang w:eastAsia="en-GB"/>
              </w:rPr>
              <w:t>Uzkrātais kapitāls</w:t>
            </w:r>
          </w:p>
        </w:tc>
        <w:tc>
          <w:tcPr>
            <w:tcW w:w="1134" w:type="dxa"/>
          </w:tcPr>
          <w:p w:rsidRPr="006E5323" w:rsidR="006E5323" w:rsidP="006E5323" w:rsidRDefault="006E5323" w14:paraId="5266FF0C"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1 083 387</w:t>
            </w:r>
          </w:p>
        </w:tc>
        <w:tc>
          <w:tcPr>
            <w:tcW w:w="1418" w:type="dxa"/>
          </w:tcPr>
          <w:p w:rsidRPr="006E5323" w:rsidR="006E5323" w:rsidP="006E5323" w:rsidRDefault="006E5323" w14:paraId="545340CE"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1 568 082</w:t>
            </w:r>
          </w:p>
        </w:tc>
        <w:tc>
          <w:tcPr>
            <w:tcW w:w="1134" w:type="dxa"/>
          </w:tcPr>
          <w:p w:rsidRPr="006E5323" w:rsidR="006E5323" w:rsidP="006E5323" w:rsidRDefault="006E5323" w14:paraId="18EA09B0"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1953 903</w:t>
            </w:r>
          </w:p>
        </w:tc>
        <w:tc>
          <w:tcPr>
            <w:tcW w:w="1275" w:type="dxa"/>
          </w:tcPr>
          <w:p w:rsidRPr="006E5323" w:rsidR="006E5323" w:rsidP="006E5323" w:rsidRDefault="006E5323" w14:paraId="65825929" w14:textId="77777777">
            <w:pPr>
              <w:jc w:val="right"/>
              <w:rPr>
                <w:rFonts w:eastAsia="Times New Roman" w:cs="Times New Roman"/>
                <w:color w:val="000000"/>
                <w:sz w:val="20"/>
                <w:szCs w:val="20"/>
                <w:lang w:eastAsia="en-GB"/>
              </w:rPr>
            </w:pPr>
            <w:r w:rsidRPr="006E5323">
              <w:rPr>
                <w:rFonts w:eastAsia="Times New Roman" w:cs="Times New Roman"/>
                <w:color w:val="000000"/>
                <w:sz w:val="20"/>
                <w:szCs w:val="20"/>
                <w:lang w:eastAsia="en-GB"/>
              </w:rPr>
              <w:t>2 110 916</w:t>
            </w:r>
          </w:p>
        </w:tc>
        <w:tc>
          <w:tcPr>
            <w:tcW w:w="1298" w:type="dxa"/>
          </w:tcPr>
          <w:p w:rsidRPr="006E5323" w:rsidR="006E5323" w:rsidP="006E5323" w:rsidRDefault="006E5323" w14:paraId="54A36AE3" w14:textId="77777777">
            <w:pPr>
              <w:jc w:val="right"/>
              <w:rPr>
                <w:rFonts w:eastAsia="Times New Roman" w:cs="Times New Roman"/>
                <w:color w:val="000000"/>
                <w:sz w:val="20"/>
                <w:szCs w:val="20"/>
                <w:lang w:eastAsia="en-GB"/>
              </w:rPr>
            </w:pPr>
            <w:bookmarkStart w:name="_Hlk24735283" w:id="2"/>
            <w:r w:rsidRPr="006E5323">
              <w:rPr>
                <w:rFonts w:eastAsia="Times New Roman" w:cs="Times New Roman"/>
                <w:color w:val="000000"/>
                <w:sz w:val="20"/>
                <w:szCs w:val="20"/>
                <w:lang w:eastAsia="en-GB"/>
              </w:rPr>
              <w:t>1 788 640</w:t>
            </w:r>
            <w:bookmarkEnd w:id="2"/>
          </w:p>
        </w:tc>
      </w:tr>
    </w:tbl>
    <w:p w:rsidRPr="006E5323" w:rsidR="006E5323" w:rsidP="006E5323" w:rsidRDefault="006E5323" w14:paraId="1F24E7B3" w14:textId="77777777">
      <w:pPr>
        <w:spacing w:after="0" w:line="276" w:lineRule="auto"/>
        <w:ind w:firstLine="567"/>
        <w:jc w:val="both"/>
        <w:rPr>
          <w:rFonts w:ascii="Times New Roman" w:hAnsi="Times New Roman" w:eastAsia="Times New Roman" w:cs="Times New Roman"/>
          <w:color w:val="000000"/>
          <w:sz w:val="24"/>
          <w:szCs w:val="24"/>
          <w:lang w:eastAsia="en-GB"/>
        </w:rPr>
      </w:pPr>
      <w:r w:rsidRPr="006E5323">
        <w:rPr>
          <w:rFonts w:ascii="Times New Roman" w:hAnsi="Times New Roman" w:eastAsia="Times New Roman" w:cs="Times New Roman"/>
          <w:color w:val="000000"/>
          <w:lang w:eastAsia="en-GB"/>
        </w:rPr>
        <w:t xml:space="preserve">                                                                  </w:t>
      </w:r>
      <w:r w:rsidRPr="006E5323">
        <w:rPr>
          <w:rFonts w:ascii="Times New Roman" w:hAnsi="Times New Roman" w:eastAsia="Times New Roman" w:cs="Times New Roman"/>
          <w:color w:val="000000"/>
          <w:sz w:val="24"/>
          <w:szCs w:val="24"/>
          <w:lang w:eastAsia="en-GB"/>
        </w:rPr>
        <w:t xml:space="preserve">2.tabula Latvijas budžeta finansējuma </w:t>
      </w:r>
      <w:r w:rsidRPr="006E5323">
        <w:rPr>
          <w:rFonts w:ascii="Times New Roman" w:hAnsi="Times New Roman" w:eastAsia="Times New Roman" w:cs="Times New Roman"/>
          <w:color w:val="000000"/>
          <w:lang w:eastAsia="en-GB"/>
        </w:rPr>
        <w:t>apguve (EUR)</w:t>
      </w:r>
    </w:p>
    <w:p w:rsidRPr="006E5323" w:rsidR="006E5323" w:rsidP="006E5323" w:rsidRDefault="006E5323" w14:paraId="65D98CED" w14:textId="77777777">
      <w:pPr>
        <w:spacing w:after="0" w:line="276" w:lineRule="auto"/>
        <w:ind w:firstLine="567"/>
        <w:jc w:val="both"/>
        <w:rPr>
          <w:rFonts w:ascii="Times New Roman" w:hAnsi="Times New Roman" w:eastAsia="Calibri" w:cs="Times New Roman"/>
          <w:bCs/>
          <w:sz w:val="24"/>
          <w:szCs w:val="24"/>
        </w:rPr>
      </w:pPr>
    </w:p>
    <w:p w:rsidRPr="006E5323" w:rsidR="006E5323" w:rsidP="006E5323" w:rsidRDefault="006E5323" w14:paraId="66004433"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Horizontālās aktivitātes, kuru līdzfinansēšanai ticis izmantots Baltijas valstu, tostarp Latvijas, budžeta līdzfinansējums ir sekojošas: Projekta Izmaksu – ieguvumu analīze; Rail Baltica dzelzceļa līnijas Operacionālās darbības plāns; Projekta Biznesa plāns; Projekta iepērkamo darbu </w:t>
      </w:r>
      <w:proofErr w:type="spellStart"/>
      <w:r w:rsidRPr="006E5323">
        <w:rPr>
          <w:rFonts w:ascii="Times New Roman" w:hAnsi="Times New Roman" w:eastAsia="Calibri" w:cs="Times New Roman"/>
          <w:sz w:val="24"/>
          <w:szCs w:val="24"/>
        </w:rPr>
        <w:t>Līgumslēgšanas</w:t>
      </w:r>
      <w:proofErr w:type="spellEnd"/>
      <w:r w:rsidRPr="006E5323">
        <w:rPr>
          <w:rFonts w:ascii="Times New Roman" w:hAnsi="Times New Roman" w:eastAsia="Calibri" w:cs="Times New Roman"/>
          <w:sz w:val="24"/>
          <w:szCs w:val="24"/>
        </w:rPr>
        <w:t xml:space="preserve"> shēmas pētījums; Rail Baltica dzelzceļa līnijas Vienoto tehnisko standartu izstrāde; Rail Baltica dzelzceļa līnijas </w:t>
      </w:r>
      <w:proofErr w:type="spellStart"/>
      <w:r w:rsidRPr="006E5323">
        <w:rPr>
          <w:rFonts w:ascii="Times New Roman" w:hAnsi="Times New Roman" w:eastAsia="Calibri" w:cs="Times New Roman"/>
          <w:sz w:val="24"/>
          <w:szCs w:val="24"/>
        </w:rPr>
        <w:t>Komercializācijas</w:t>
      </w:r>
      <w:proofErr w:type="spellEnd"/>
      <w:r w:rsidRPr="006E5323">
        <w:rPr>
          <w:rFonts w:ascii="Times New Roman" w:hAnsi="Times New Roman" w:eastAsia="Calibri" w:cs="Times New Roman"/>
          <w:sz w:val="24"/>
          <w:szCs w:val="24"/>
        </w:rPr>
        <w:t xml:space="preserve"> plāna izstrāde; Rail Baltica dzelzceļa līnijas Infrastruktūras pārvaldības modeļa analīze; Projekta piegādātāju tirgus izpēte; Sākotnējā Rail Baltica tehniskā projekta konsolidācija; un Projekta ieviešanas atbalsta pasākumi (administratīvie izdevumi).</w:t>
      </w:r>
    </w:p>
    <w:p w:rsidRPr="006E5323" w:rsidR="006E5323" w:rsidP="006E5323" w:rsidRDefault="006E5323" w14:paraId="33454C25"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Papildus, laika posmā no 2014.gada līdz 2018.gada 3.ceturksnim, RBR no Valsts ieņēmumu dienesta (turpmāk tekstā – VID) ir saņēmis pārmaksātā pievienotās vērtības nodokļa (turpmāk tekstā – PVN) atmaksu 498 803 EUR apmērā. RBR uzkrātais kapitāls 1 788 640 EUR apmērā un pārmaksātā PVN atmaksa 498 803 EUR apmērā veido RBR apgrozāmos līdzekļus, jo INEA maksājumi par apgūtajiem finanšu resursiem tiek saņemti ar 18 mēnešu nobīdi laikā.   </w:t>
      </w:r>
    </w:p>
    <w:p w:rsidRPr="006E5323" w:rsidR="006E5323" w:rsidP="006E5323" w:rsidRDefault="006E5323" w14:paraId="0486E556"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Tā kā VID neguva pārliecību, ka ar PVN apliekamie darījumi varētu tikt uzsākti tuvākajā nākotnē, pārmaksātā PVN summa RBR ar 2018.gada 3.ceturksni netiek apstiprināta un līdz ar to tā netiek atmaksāta. </w:t>
      </w:r>
    </w:p>
    <w:p w:rsidRPr="006E5323" w:rsidR="006E5323" w:rsidP="006E5323" w:rsidRDefault="006E5323" w14:paraId="4618C911" w14:textId="77777777">
      <w:pPr>
        <w:spacing w:after="0" w:line="240" w:lineRule="auto"/>
        <w:ind w:firstLine="720"/>
        <w:jc w:val="both"/>
        <w:rPr>
          <w:rFonts w:ascii="Times New Roman" w:hAnsi="Times New Roman" w:eastAsia="Calibri" w:cs="Times New Roman"/>
          <w:b/>
          <w:bCs/>
          <w:sz w:val="24"/>
          <w:szCs w:val="24"/>
        </w:rPr>
      </w:pPr>
      <w:r w:rsidRPr="006E5323">
        <w:rPr>
          <w:rFonts w:ascii="Times New Roman" w:hAnsi="Times New Roman" w:eastAsia="Calibri" w:cs="Times New Roman"/>
          <w:sz w:val="24"/>
          <w:szCs w:val="24"/>
        </w:rPr>
        <w:t xml:space="preserve">Sākot ar 2020.gadu modelis līdzfinansējuma nodrošināšanai tiek mainīts. Jaunajam RBR aktivitāšu līdzfinansēšanas modelim būs nepieciešams atsevišķs Ministru kabineta lēmums. Patreiz Igaunija un Latvija nepieciešamo līdzfinansējumu plāno nodrošināt subsīdiju veidā, Lietuva – pakalpojumu maksas veidā. Diskusija par RBR izmaksu segšanas līdzfinansējumu turpinās un visticamāk netiks pabeigta 2019.gadā.  </w:t>
      </w:r>
    </w:p>
    <w:p w:rsidRPr="006E5323" w:rsidR="006E5323" w:rsidP="006E5323" w:rsidRDefault="006E5323" w14:paraId="3FE66D30" w14:textId="77777777">
      <w:pPr>
        <w:spacing w:after="0" w:line="276" w:lineRule="auto"/>
        <w:ind w:left="-624" w:firstLine="567"/>
        <w:jc w:val="both"/>
        <w:rPr>
          <w:rFonts w:ascii="Times New Roman" w:hAnsi="Times New Roman" w:eastAsia="Calibri" w:cs="Times New Roman"/>
          <w:sz w:val="24"/>
          <w:szCs w:val="24"/>
        </w:rPr>
      </w:pPr>
      <w:r w:rsidRPr="006E5323">
        <w:rPr>
          <w:rFonts w:ascii="Times New Roman" w:hAnsi="Times New Roman" w:eastAsia="Calibri" w:cs="Times New Roman"/>
          <w:b/>
          <w:bCs/>
          <w:sz w:val="24"/>
          <w:szCs w:val="24"/>
        </w:rPr>
        <w:t>RBR pievienotās vērtības nodokļa finansēšana 2019.gadā.</w:t>
      </w:r>
    </w:p>
    <w:p w:rsidRPr="006E5323" w:rsidR="006E5323" w:rsidP="006E5323" w:rsidRDefault="006E5323" w14:paraId="05F7A661"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Parakstīto CEF līgumu Īpašo nosacījumu (</w:t>
      </w:r>
      <w:proofErr w:type="spellStart"/>
      <w:r w:rsidRPr="006E5323">
        <w:rPr>
          <w:rFonts w:ascii="Times New Roman" w:hAnsi="Times New Roman" w:eastAsia="Calibri" w:cs="Times New Roman"/>
          <w:sz w:val="24"/>
          <w:szCs w:val="24"/>
        </w:rPr>
        <w:t>Special</w:t>
      </w:r>
      <w:proofErr w:type="spellEnd"/>
      <w:r w:rsidRPr="006E5323">
        <w:rPr>
          <w:rFonts w:ascii="Times New Roman" w:hAnsi="Times New Roman" w:eastAsia="Calibri" w:cs="Times New Roman"/>
          <w:sz w:val="24"/>
          <w:szCs w:val="24"/>
        </w:rPr>
        <w:t xml:space="preserve"> </w:t>
      </w:r>
      <w:proofErr w:type="spellStart"/>
      <w:r w:rsidRPr="006E5323">
        <w:rPr>
          <w:rFonts w:ascii="Times New Roman" w:hAnsi="Times New Roman" w:eastAsia="Calibri" w:cs="Times New Roman"/>
          <w:sz w:val="24"/>
          <w:szCs w:val="24"/>
        </w:rPr>
        <w:t>conditions</w:t>
      </w:r>
      <w:proofErr w:type="spellEnd"/>
      <w:r w:rsidRPr="006E5323">
        <w:rPr>
          <w:rFonts w:ascii="Times New Roman" w:hAnsi="Times New Roman" w:eastAsia="Calibri" w:cs="Times New Roman"/>
          <w:sz w:val="24"/>
          <w:szCs w:val="24"/>
        </w:rPr>
        <w:t xml:space="preserve">) 14. punkts nosaka, ka PVN </w:t>
      </w:r>
      <w:proofErr w:type="spellStart"/>
      <w:r w:rsidRPr="006E5323">
        <w:rPr>
          <w:rFonts w:ascii="Times New Roman" w:hAnsi="Times New Roman" w:eastAsia="Calibri" w:cs="Times New Roman"/>
          <w:sz w:val="24"/>
          <w:szCs w:val="24"/>
        </w:rPr>
        <w:t>attiecināmība</w:t>
      </w:r>
      <w:proofErr w:type="spellEnd"/>
      <w:r w:rsidRPr="006E5323">
        <w:rPr>
          <w:rFonts w:ascii="Times New Roman" w:hAnsi="Times New Roman" w:eastAsia="Calibri" w:cs="Times New Roman"/>
          <w:sz w:val="24"/>
          <w:szCs w:val="24"/>
        </w:rPr>
        <w:t xml:space="preserve"> šajos līgumos netiek piemērota. </w:t>
      </w:r>
    </w:p>
    <w:p w:rsidRPr="006E5323" w:rsidR="006E5323" w:rsidP="006E5323" w:rsidRDefault="006E5323" w14:paraId="08B685D9"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2018.gadā EK mainīja nostāju PVN </w:t>
      </w:r>
      <w:proofErr w:type="spellStart"/>
      <w:r w:rsidRPr="006E5323">
        <w:rPr>
          <w:rFonts w:ascii="Times New Roman" w:hAnsi="Times New Roman" w:eastAsia="Calibri" w:cs="Times New Roman"/>
          <w:sz w:val="24"/>
          <w:szCs w:val="24"/>
        </w:rPr>
        <w:t>attiecināmības</w:t>
      </w:r>
      <w:proofErr w:type="spellEnd"/>
      <w:r w:rsidRPr="006E5323">
        <w:rPr>
          <w:rFonts w:ascii="Times New Roman" w:hAnsi="Times New Roman" w:eastAsia="Calibri" w:cs="Times New Roman"/>
          <w:sz w:val="24"/>
          <w:szCs w:val="24"/>
        </w:rPr>
        <w:t xml:space="preserve"> jautājumā EISI transporta un enerģētikas projektos, proti, sākot ar 2019.gada 1.janvāri no EISI piešķīruma netiek finansēts PVN, jo tas tiek ieskaitīts dalībvalstu budžetos, savukārt, </w:t>
      </w:r>
      <w:bookmarkStart w:name="_Hlk25945263" w:id="3"/>
      <w:r w:rsidRPr="006E5323">
        <w:rPr>
          <w:rFonts w:ascii="Times New Roman" w:hAnsi="Times New Roman" w:eastAsia="Calibri" w:cs="Times New Roman"/>
          <w:sz w:val="24"/>
          <w:szCs w:val="24"/>
        </w:rPr>
        <w:t xml:space="preserve">EISI mērķis ir veicināt ieguldījumus Eiropas komunikāciju tīklos, piesaistot publiskā un privātā sektora finansējumu, nevis “dotēt” dalībvalstu budžetus. </w:t>
      </w:r>
      <w:bookmarkEnd w:id="3"/>
      <w:r w:rsidRPr="006E5323">
        <w:rPr>
          <w:rFonts w:ascii="Times New Roman" w:hAnsi="Times New Roman" w:eastAsia="Calibri" w:cs="Times New Roman"/>
          <w:sz w:val="24"/>
          <w:szCs w:val="24"/>
        </w:rPr>
        <w:t xml:space="preserve">Nosacījums par PVN </w:t>
      </w:r>
      <w:proofErr w:type="spellStart"/>
      <w:r w:rsidRPr="006E5323">
        <w:rPr>
          <w:rFonts w:ascii="Times New Roman" w:hAnsi="Times New Roman" w:eastAsia="Calibri" w:cs="Times New Roman"/>
          <w:sz w:val="24"/>
          <w:szCs w:val="24"/>
        </w:rPr>
        <w:t>neattiecināmību</w:t>
      </w:r>
      <w:proofErr w:type="spellEnd"/>
      <w:r w:rsidRPr="006E5323">
        <w:rPr>
          <w:rFonts w:ascii="Times New Roman" w:hAnsi="Times New Roman" w:eastAsia="Calibri" w:cs="Times New Roman"/>
          <w:sz w:val="24"/>
          <w:szCs w:val="24"/>
        </w:rPr>
        <w:t xml:space="preserve"> tiek iestrādāts visos parakstītajos CEF līgumos to grozījumu ietvarā. 2019.gadā ir grozīts 2014.gada CEF1, 2020.gadā tiks grozīti 2015.gada CEF2 un 2016.gada CEF3 līgumi. Vienlaikus EK patur tiesības minētos grozījumus piemērot retrospektīvi.</w:t>
      </w:r>
    </w:p>
    <w:p w:rsidRPr="006E5323" w:rsidR="006E5323" w:rsidP="006E5323" w:rsidRDefault="006E5323" w14:paraId="5D39888F" w14:textId="77777777">
      <w:pPr>
        <w:spacing w:after="0" w:line="240" w:lineRule="auto"/>
        <w:ind w:firstLine="720"/>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Tā kā informācija par PVN </w:t>
      </w:r>
      <w:proofErr w:type="spellStart"/>
      <w:r w:rsidRPr="006E5323">
        <w:rPr>
          <w:rFonts w:ascii="Times New Roman" w:hAnsi="Times New Roman" w:eastAsia="Calibri" w:cs="Times New Roman"/>
          <w:sz w:val="24"/>
          <w:szCs w:val="24"/>
        </w:rPr>
        <w:t>neattiecināmību</w:t>
      </w:r>
      <w:proofErr w:type="spellEnd"/>
      <w:r w:rsidRPr="006E5323">
        <w:rPr>
          <w:rFonts w:ascii="Times New Roman" w:hAnsi="Times New Roman" w:eastAsia="Calibri" w:cs="Times New Roman"/>
          <w:sz w:val="24"/>
          <w:szCs w:val="24"/>
        </w:rPr>
        <w:t xml:space="preserve"> tika saņemta tikai 2019. gadā, plānotie PVN maksājumi nav iekļauti likumā “Par valsts budžetu 2019.gadam”.</w:t>
      </w:r>
    </w:p>
    <w:p w:rsidRPr="006E5323" w:rsidR="006E5323" w:rsidP="006E5323" w:rsidRDefault="006E5323" w14:paraId="0338AEAB"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Kā jau minēts RBR horizontālo aktivitāšu izmaksas finansē CEF un solidāri līdzfinansē Igaunijas, Latvijas un Lietuvas valdības no to budžetiem. Tā kā RBR atbilstoši tā dibināšanas līgumam pilda tikai valstu deleģētās funkcijas, tā pakalpojumi netiek aplikti ar PVN. Savukārt RBR nevar atgūt kā priekšnodokli piegādātājiem un pakalpojumu sniedzējiem samaksāto PVN Pievienotās vērtības nodokļa likumā noteiktajā kārtībā, jo kā priekšnodoklis ir atskaitāma tikai tāda PVN summa, ja preces iegādātas un pakalpojumi saņemti ar PVN apliekamu darījumu nodrošināšanai vai tādu citās valstīs veiktu darījumu nodrošināšanai, kuri būtu apliekami ar PVN, ja tie tiktu veikti iekšzemē. Papildus, tā veiktās darbības nav saimnieciskās darbības un uz tām nav attiecināmi komercdarbības atbalsta kontroles nosacījumi, tostarp arī PVN finansēšana 2019.gadā nav uzskatāma par komercdarbības atbalstu.</w:t>
      </w:r>
    </w:p>
    <w:p w:rsidRPr="006E5323" w:rsidR="006E5323" w:rsidP="006E5323" w:rsidRDefault="006E5323" w14:paraId="30918BFF"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Tā kā RBR ir Latvijā reģistrēts uzņēmums un reģistrēts PVN maksātājs, aptuveni 90 % no tā samaksātā PVN tiešu (nerezidentu sniegti pakalpojumi) vai netiešu (Latvijā reģistrētie PVN maksātāji) maksājumu veidā nonāk Latvijas valsts budžetā. Tā kā RBR ir filiāles arī Lietuvā un Igaunijā, katrā no šo valstu budžetiem nonāk aptuveni 5 % RBR PVN maksājumu. Skat. 3.pielikumu.</w:t>
      </w:r>
    </w:p>
    <w:p w:rsidRPr="006E5323" w:rsidR="006E5323" w:rsidP="006E5323" w:rsidRDefault="006E5323" w14:paraId="5AB4801E"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2018.gadā RBR Latvijas valsts budžetā ir iemaksājis 382 911 EUR. Lai gan PVN </w:t>
      </w:r>
      <w:proofErr w:type="spellStart"/>
      <w:r w:rsidRPr="006E5323">
        <w:rPr>
          <w:rFonts w:ascii="Times New Roman" w:hAnsi="Times New Roman" w:eastAsia="Calibri" w:cs="Times New Roman"/>
          <w:sz w:val="24"/>
          <w:szCs w:val="24"/>
        </w:rPr>
        <w:t>neattiecināmība</w:t>
      </w:r>
      <w:proofErr w:type="spellEnd"/>
      <w:r w:rsidRPr="006E5323">
        <w:rPr>
          <w:rFonts w:ascii="Times New Roman" w:hAnsi="Times New Roman" w:eastAsia="Calibri" w:cs="Times New Roman"/>
          <w:sz w:val="24"/>
          <w:szCs w:val="24"/>
        </w:rPr>
        <w:t xml:space="preserve"> ir aktuāla sākot ar 2019.gadu, RBR, ņemot vērā iespējamo Projektā izmaksu pieaugumu, neiekļāva minēto Latvijas valsts budžetā iemaksāto summu INEA starpposmu maksājumu pieprasījumā. Papildus, kā jau minēts EISI mērķis ir veicināt ieguldījumus Eiropas komunikāciju tīklos, piesaistot publiskā un privātā sektora finansējumu, nevis “dotēt” dalībvalstu budžetus. Tā kā Projekts pāriet no plānošanas fāzes projektēšanas fāzē, 2019.gadā RBR Latvijas valsts budžetā plāno iemaksāt 756 280 EUR. Skat. 3. tabulu.</w:t>
      </w:r>
    </w:p>
    <w:tbl>
      <w:tblPr>
        <w:tblStyle w:val="TableGrid1"/>
        <w:tblW w:w="0" w:type="auto"/>
        <w:tblLook w:val="04A0" w:firstRow="1" w:lastRow="0" w:firstColumn="1" w:lastColumn="0" w:noHBand="0" w:noVBand="1"/>
      </w:tblPr>
      <w:tblGrid>
        <w:gridCol w:w="2958"/>
        <w:gridCol w:w="1177"/>
        <w:gridCol w:w="1177"/>
        <w:gridCol w:w="1177"/>
        <w:gridCol w:w="1177"/>
        <w:gridCol w:w="1350"/>
      </w:tblGrid>
      <w:tr w:rsidRPr="006E5323" w:rsidR="006E5323" w:rsidTr="00507CEE" w14:paraId="7E9BF25F" w14:textId="77777777">
        <w:tc>
          <w:tcPr>
            <w:tcW w:w="9231" w:type="dxa"/>
            <w:gridSpan w:val="6"/>
          </w:tcPr>
          <w:p w:rsidRPr="006E5323" w:rsidR="006E5323" w:rsidP="006E5323" w:rsidRDefault="006E5323" w14:paraId="59A3DE81" w14:textId="77777777">
            <w:pPr>
              <w:jc w:val="both"/>
              <w:rPr>
                <w:rFonts w:eastAsia="Calibri" w:cs="Times New Roman"/>
                <w:sz w:val="20"/>
                <w:szCs w:val="20"/>
              </w:rPr>
            </w:pPr>
            <w:r w:rsidRPr="006E5323">
              <w:rPr>
                <w:rFonts w:eastAsia="Calibri" w:cs="Times New Roman"/>
                <w:sz w:val="20"/>
                <w:szCs w:val="20"/>
              </w:rPr>
              <w:t>RBR ar PVN apliekamie darījumi 2019.gadā (EUR)</w:t>
            </w:r>
          </w:p>
        </w:tc>
      </w:tr>
      <w:tr w:rsidRPr="006E5323" w:rsidR="006E5323" w:rsidTr="00507CEE" w14:paraId="2E682F89" w14:textId="77777777">
        <w:tc>
          <w:tcPr>
            <w:tcW w:w="3156" w:type="dxa"/>
          </w:tcPr>
          <w:p w:rsidRPr="006E5323" w:rsidR="006E5323" w:rsidP="006E5323" w:rsidRDefault="006E5323" w14:paraId="3FAE1BDA" w14:textId="77777777">
            <w:pPr>
              <w:jc w:val="both"/>
              <w:rPr>
                <w:rFonts w:eastAsia="Calibri" w:cs="Times New Roman"/>
                <w:sz w:val="20"/>
                <w:szCs w:val="20"/>
              </w:rPr>
            </w:pPr>
          </w:p>
        </w:tc>
        <w:tc>
          <w:tcPr>
            <w:tcW w:w="1177" w:type="dxa"/>
          </w:tcPr>
          <w:p w:rsidRPr="006E5323" w:rsidR="006E5323" w:rsidP="006E5323" w:rsidRDefault="006E5323" w14:paraId="156F3F0F" w14:textId="77777777">
            <w:pPr>
              <w:jc w:val="both"/>
              <w:rPr>
                <w:rFonts w:eastAsia="Calibri" w:cs="Times New Roman"/>
                <w:sz w:val="20"/>
                <w:szCs w:val="20"/>
              </w:rPr>
            </w:pPr>
            <w:r w:rsidRPr="006E5323">
              <w:rPr>
                <w:rFonts w:eastAsia="Calibri" w:cs="Times New Roman"/>
                <w:sz w:val="20"/>
                <w:szCs w:val="20"/>
              </w:rPr>
              <w:t>1.ceturksnis</w:t>
            </w:r>
          </w:p>
        </w:tc>
        <w:tc>
          <w:tcPr>
            <w:tcW w:w="1177" w:type="dxa"/>
          </w:tcPr>
          <w:p w:rsidRPr="006E5323" w:rsidR="006E5323" w:rsidP="006E5323" w:rsidRDefault="006E5323" w14:paraId="67D2D327" w14:textId="77777777">
            <w:pPr>
              <w:jc w:val="both"/>
              <w:rPr>
                <w:rFonts w:eastAsia="Calibri" w:cs="Times New Roman"/>
                <w:sz w:val="20"/>
                <w:szCs w:val="20"/>
              </w:rPr>
            </w:pPr>
            <w:r w:rsidRPr="006E5323">
              <w:rPr>
                <w:rFonts w:eastAsia="Calibri" w:cs="Times New Roman"/>
                <w:sz w:val="20"/>
                <w:szCs w:val="20"/>
              </w:rPr>
              <w:t>2.ceturksnis</w:t>
            </w:r>
          </w:p>
        </w:tc>
        <w:tc>
          <w:tcPr>
            <w:tcW w:w="1177" w:type="dxa"/>
          </w:tcPr>
          <w:p w:rsidRPr="006E5323" w:rsidR="006E5323" w:rsidP="006E5323" w:rsidRDefault="006E5323" w14:paraId="1DFB5B8F" w14:textId="77777777">
            <w:pPr>
              <w:jc w:val="both"/>
              <w:rPr>
                <w:rFonts w:eastAsia="Calibri" w:cs="Times New Roman"/>
                <w:sz w:val="20"/>
                <w:szCs w:val="20"/>
              </w:rPr>
            </w:pPr>
            <w:r w:rsidRPr="006E5323">
              <w:rPr>
                <w:rFonts w:eastAsia="Calibri" w:cs="Times New Roman"/>
                <w:sz w:val="20"/>
                <w:szCs w:val="20"/>
              </w:rPr>
              <w:t>3.ceturksnis</w:t>
            </w:r>
          </w:p>
        </w:tc>
        <w:tc>
          <w:tcPr>
            <w:tcW w:w="1105" w:type="dxa"/>
          </w:tcPr>
          <w:p w:rsidRPr="006E5323" w:rsidR="006E5323" w:rsidP="006E5323" w:rsidRDefault="006E5323" w14:paraId="4EF42F00" w14:textId="77777777">
            <w:pPr>
              <w:jc w:val="both"/>
              <w:rPr>
                <w:rFonts w:eastAsia="Calibri" w:cs="Times New Roman"/>
                <w:sz w:val="20"/>
                <w:szCs w:val="20"/>
              </w:rPr>
            </w:pPr>
            <w:r w:rsidRPr="006E5323">
              <w:rPr>
                <w:rFonts w:eastAsia="Calibri" w:cs="Times New Roman"/>
                <w:sz w:val="20"/>
                <w:szCs w:val="20"/>
              </w:rPr>
              <w:t xml:space="preserve">4.ceturksnis </w:t>
            </w:r>
          </w:p>
        </w:tc>
        <w:tc>
          <w:tcPr>
            <w:tcW w:w="1439" w:type="dxa"/>
          </w:tcPr>
          <w:p w:rsidRPr="006E5323" w:rsidR="006E5323" w:rsidP="006E5323" w:rsidRDefault="006E5323" w14:paraId="08BBF9BB" w14:textId="77777777">
            <w:pPr>
              <w:jc w:val="both"/>
              <w:rPr>
                <w:rFonts w:eastAsia="Calibri" w:cs="Times New Roman"/>
                <w:sz w:val="20"/>
                <w:szCs w:val="20"/>
              </w:rPr>
            </w:pPr>
            <w:r w:rsidRPr="006E5323">
              <w:rPr>
                <w:rFonts w:eastAsia="Calibri" w:cs="Times New Roman"/>
                <w:sz w:val="20"/>
                <w:szCs w:val="20"/>
              </w:rPr>
              <w:t>Kopā</w:t>
            </w:r>
          </w:p>
        </w:tc>
      </w:tr>
      <w:tr w:rsidRPr="006E5323" w:rsidR="006E5323" w:rsidTr="00507CEE" w14:paraId="5F12F9D0" w14:textId="77777777">
        <w:tc>
          <w:tcPr>
            <w:tcW w:w="3156" w:type="dxa"/>
          </w:tcPr>
          <w:p w:rsidRPr="006E5323" w:rsidR="006E5323" w:rsidP="006E5323" w:rsidRDefault="006E5323" w14:paraId="6DF461E0" w14:textId="77777777">
            <w:pPr>
              <w:jc w:val="both"/>
              <w:rPr>
                <w:rFonts w:eastAsia="Calibri" w:cs="Times New Roman"/>
                <w:sz w:val="20"/>
                <w:szCs w:val="20"/>
              </w:rPr>
            </w:pPr>
            <w:r w:rsidRPr="006E5323">
              <w:rPr>
                <w:rFonts w:eastAsia="Calibri" w:cs="Times New Roman"/>
                <w:sz w:val="20"/>
                <w:szCs w:val="20"/>
              </w:rPr>
              <w:t>Maksājumi par ar PVN apliekamiem darījumiem, t.sk.</w:t>
            </w:r>
          </w:p>
        </w:tc>
        <w:tc>
          <w:tcPr>
            <w:tcW w:w="1177" w:type="dxa"/>
          </w:tcPr>
          <w:p w:rsidRPr="006E5323" w:rsidR="006E5323" w:rsidP="006E5323" w:rsidRDefault="006E5323" w14:paraId="535BB6AD" w14:textId="77777777">
            <w:pPr>
              <w:jc w:val="both"/>
              <w:rPr>
                <w:rFonts w:eastAsia="Calibri" w:cs="Times New Roman"/>
                <w:sz w:val="20"/>
                <w:szCs w:val="20"/>
              </w:rPr>
            </w:pPr>
          </w:p>
          <w:p w:rsidRPr="006E5323" w:rsidR="006E5323" w:rsidP="006E5323" w:rsidRDefault="006E5323" w14:paraId="007BDEB2" w14:textId="77777777">
            <w:pPr>
              <w:jc w:val="both"/>
              <w:rPr>
                <w:rFonts w:eastAsia="Calibri" w:cs="Times New Roman"/>
                <w:sz w:val="20"/>
                <w:szCs w:val="20"/>
              </w:rPr>
            </w:pPr>
            <w:r w:rsidRPr="006E5323">
              <w:rPr>
                <w:rFonts w:eastAsia="Calibri" w:cs="Times New Roman"/>
                <w:sz w:val="20"/>
                <w:szCs w:val="20"/>
              </w:rPr>
              <w:t>1 177 959</w:t>
            </w:r>
          </w:p>
        </w:tc>
        <w:tc>
          <w:tcPr>
            <w:tcW w:w="1177" w:type="dxa"/>
          </w:tcPr>
          <w:p w:rsidRPr="006E5323" w:rsidR="006E5323" w:rsidP="006E5323" w:rsidRDefault="006E5323" w14:paraId="2B1B0FF5" w14:textId="77777777">
            <w:pPr>
              <w:jc w:val="both"/>
              <w:rPr>
                <w:rFonts w:eastAsia="Calibri" w:cs="Times New Roman"/>
                <w:sz w:val="20"/>
                <w:szCs w:val="20"/>
              </w:rPr>
            </w:pPr>
          </w:p>
          <w:p w:rsidRPr="006E5323" w:rsidR="006E5323" w:rsidP="006E5323" w:rsidRDefault="006E5323" w14:paraId="483FF3CF" w14:textId="77777777">
            <w:pPr>
              <w:jc w:val="both"/>
              <w:rPr>
                <w:rFonts w:eastAsia="Calibri" w:cs="Times New Roman"/>
                <w:sz w:val="20"/>
                <w:szCs w:val="20"/>
              </w:rPr>
            </w:pPr>
            <w:r w:rsidRPr="006E5323">
              <w:rPr>
                <w:rFonts w:eastAsia="Calibri" w:cs="Times New Roman"/>
                <w:sz w:val="20"/>
                <w:szCs w:val="20"/>
              </w:rPr>
              <w:t>687 138</w:t>
            </w:r>
          </w:p>
        </w:tc>
        <w:tc>
          <w:tcPr>
            <w:tcW w:w="1177" w:type="dxa"/>
          </w:tcPr>
          <w:p w:rsidRPr="006E5323" w:rsidR="006E5323" w:rsidP="006E5323" w:rsidRDefault="006E5323" w14:paraId="58792E51" w14:textId="77777777">
            <w:pPr>
              <w:jc w:val="both"/>
              <w:rPr>
                <w:rFonts w:eastAsia="Calibri" w:cs="Times New Roman"/>
                <w:sz w:val="20"/>
                <w:szCs w:val="20"/>
              </w:rPr>
            </w:pPr>
          </w:p>
          <w:p w:rsidRPr="006E5323" w:rsidR="006E5323" w:rsidP="006E5323" w:rsidRDefault="006E5323" w14:paraId="3BF2C0FA" w14:textId="77777777">
            <w:pPr>
              <w:jc w:val="both"/>
              <w:rPr>
                <w:rFonts w:eastAsia="Calibri" w:cs="Times New Roman"/>
                <w:sz w:val="20"/>
                <w:szCs w:val="20"/>
              </w:rPr>
            </w:pPr>
            <w:r w:rsidRPr="006E5323">
              <w:rPr>
                <w:rFonts w:eastAsia="Calibri" w:cs="Times New Roman"/>
                <w:sz w:val="20"/>
                <w:szCs w:val="20"/>
              </w:rPr>
              <w:t>907 725</w:t>
            </w:r>
          </w:p>
        </w:tc>
        <w:tc>
          <w:tcPr>
            <w:tcW w:w="1105" w:type="dxa"/>
          </w:tcPr>
          <w:p w:rsidRPr="006E5323" w:rsidR="006E5323" w:rsidP="006E5323" w:rsidRDefault="006E5323" w14:paraId="6AE211B5" w14:textId="77777777">
            <w:pPr>
              <w:jc w:val="both"/>
              <w:rPr>
                <w:rFonts w:eastAsia="Calibri" w:cs="Times New Roman"/>
                <w:sz w:val="20"/>
                <w:szCs w:val="20"/>
              </w:rPr>
            </w:pPr>
          </w:p>
          <w:p w:rsidRPr="006E5323" w:rsidR="006E5323" w:rsidP="006E5323" w:rsidRDefault="006E5323" w14:paraId="7DCE3341" w14:textId="77777777">
            <w:pPr>
              <w:jc w:val="both"/>
              <w:rPr>
                <w:rFonts w:eastAsia="Calibri" w:cs="Times New Roman"/>
                <w:sz w:val="20"/>
                <w:szCs w:val="20"/>
              </w:rPr>
            </w:pPr>
            <w:r w:rsidRPr="006E5323">
              <w:rPr>
                <w:rFonts w:eastAsia="Calibri" w:cs="Times New Roman"/>
                <w:sz w:val="20"/>
                <w:szCs w:val="20"/>
              </w:rPr>
              <w:t>1 471 285</w:t>
            </w:r>
          </w:p>
        </w:tc>
        <w:tc>
          <w:tcPr>
            <w:tcW w:w="1439" w:type="dxa"/>
          </w:tcPr>
          <w:p w:rsidRPr="006E5323" w:rsidR="006E5323" w:rsidP="006E5323" w:rsidRDefault="006E5323" w14:paraId="6A913108" w14:textId="77777777">
            <w:pPr>
              <w:jc w:val="both"/>
              <w:rPr>
                <w:rFonts w:eastAsia="Calibri" w:cs="Times New Roman"/>
                <w:sz w:val="20"/>
                <w:szCs w:val="20"/>
              </w:rPr>
            </w:pPr>
          </w:p>
        </w:tc>
      </w:tr>
      <w:tr w:rsidRPr="006E5323" w:rsidR="006E5323" w:rsidTr="00507CEE" w14:paraId="76503DBB" w14:textId="77777777">
        <w:tc>
          <w:tcPr>
            <w:tcW w:w="3156" w:type="dxa"/>
          </w:tcPr>
          <w:p w:rsidRPr="006E5323" w:rsidR="006E5323" w:rsidP="006E5323" w:rsidRDefault="006E5323" w14:paraId="76068EB4" w14:textId="77777777">
            <w:pPr>
              <w:jc w:val="both"/>
              <w:rPr>
                <w:rFonts w:eastAsia="Calibri" w:cs="Times New Roman"/>
                <w:sz w:val="20"/>
                <w:szCs w:val="20"/>
              </w:rPr>
            </w:pPr>
            <w:r w:rsidRPr="006E5323">
              <w:rPr>
                <w:rFonts w:eastAsia="Calibri" w:cs="Times New Roman"/>
                <w:sz w:val="20"/>
                <w:szCs w:val="20"/>
              </w:rPr>
              <w:t xml:space="preserve">Preču vai pakalpojumu vērtība bez PVN </w:t>
            </w:r>
            <w:r w:rsidRPr="006E5323">
              <w:rPr>
                <w:rFonts w:eastAsia="Calibri" w:cs="Times New Roman"/>
                <w:sz w:val="20"/>
                <w:szCs w:val="20"/>
                <w:vertAlign w:val="superscript"/>
              </w:rPr>
              <w:footnoteReference w:id="1"/>
            </w:r>
          </w:p>
        </w:tc>
        <w:tc>
          <w:tcPr>
            <w:tcW w:w="1177" w:type="dxa"/>
          </w:tcPr>
          <w:p w:rsidRPr="006E5323" w:rsidR="006E5323" w:rsidP="006E5323" w:rsidRDefault="006E5323" w14:paraId="749D900A" w14:textId="77777777">
            <w:pPr>
              <w:jc w:val="both"/>
              <w:rPr>
                <w:rFonts w:eastAsia="Calibri" w:cs="Times New Roman"/>
                <w:sz w:val="20"/>
                <w:szCs w:val="20"/>
              </w:rPr>
            </w:pPr>
            <w:r w:rsidRPr="006E5323">
              <w:rPr>
                <w:rFonts w:eastAsia="Calibri" w:cs="Times New Roman"/>
                <w:sz w:val="20"/>
                <w:szCs w:val="20"/>
              </w:rPr>
              <w:t>973 520</w:t>
            </w:r>
          </w:p>
        </w:tc>
        <w:tc>
          <w:tcPr>
            <w:tcW w:w="1177" w:type="dxa"/>
          </w:tcPr>
          <w:p w:rsidRPr="006E5323" w:rsidR="006E5323" w:rsidP="006E5323" w:rsidRDefault="006E5323" w14:paraId="5BABCB30" w14:textId="77777777">
            <w:pPr>
              <w:jc w:val="both"/>
              <w:rPr>
                <w:rFonts w:eastAsia="Calibri" w:cs="Times New Roman"/>
                <w:sz w:val="20"/>
                <w:szCs w:val="20"/>
              </w:rPr>
            </w:pPr>
            <w:r w:rsidRPr="006E5323">
              <w:rPr>
                <w:rFonts w:eastAsia="Calibri" w:cs="Times New Roman"/>
                <w:sz w:val="20"/>
                <w:szCs w:val="20"/>
              </w:rPr>
              <w:t>567 147</w:t>
            </w:r>
          </w:p>
        </w:tc>
        <w:tc>
          <w:tcPr>
            <w:tcW w:w="1177" w:type="dxa"/>
          </w:tcPr>
          <w:p w:rsidRPr="006E5323" w:rsidR="006E5323" w:rsidP="006E5323" w:rsidRDefault="006E5323" w14:paraId="689EDE81" w14:textId="77777777">
            <w:pPr>
              <w:jc w:val="both"/>
              <w:rPr>
                <w:rFonts w:eastAsia="Calibri" w:cs="Times New Roman"/>
                <w:sz w:val="20"/>
                <w:szCs w:val="20"/>
              </w:rPr>
            </w:pPr>
            <w:r w:rsidRPr="006E5323">
              <w:rPr>
                <w:rFonts w:eastAsia="Calibri" w:cs="Times New Roman"/>
                <w:sz w:val="20"/>
                <w:szCs w:val="20"/>
              </w:rPr>
              <w:t>750 186</w:t>
            </w:r>
          </w:p>
        </w:tc>
        <w:tc>
          <w:tcPr>
            <w:tcW w:w="1105" w:type="dxa"/>
          </w:tcPr>
          <w:p w:rsidRPr="006E5323" w:rsidR="006E5323" w:rsidP="006E5323" w:rsidRDefault="006E5323" w14:paraId="31CAF48C" w14:textId="77777777">
            <w:pPr>
              <w:jc w:val="both"/>
              <w:rPr>
                <w:rFonts w:eastAsia="Calibri" w:cs="Times New Roman"/>
                <w:sz w:val="20"/>
                <w:szCs w:val="20"/>
              </w:rPr>
            </w:pPr>
            <w:r w:rsidRPr="006E5323">
              <w:rPr>
                <w:rFonts w:eastAsia="Calibri" w:cs="Times New Roman"/>
                <w:sz w:val="20"/>
                <w:szCs w:val="20"/>
              </w:rPr>
              <w:t>1 215 938</w:t>
            </w:r>
          </w:p>
        </w:tc>
        <w:tc>
          <w:tcPr>
            <w:tcW w:w="1439" w:type="dxa"/>
          </w:tcPr>
          <w:p w:rsidRPr="006E5323" w:rsidR="006E5323" w:rsidP="006E5323" w:rsidRDefault="006E5323" w14:paraId="52147819" w14:textId="77777777">
            <w:pPr>
              <w:jc w:val="both"/>
              <w:rPr>
                <w:rFonts w:eastAsia="Calibri" w:cs="Times New Roman"/>
                <w:sz w:val="20"/>
                <w:szCs w:val="20"/>
              </w:rPr>
            </w:pPr>
          </w:p>
        </w:tc>
      </w:tr>
      <w:tr w:rsidRPr="006E5323" w:rsidR="006E5323" w:rsidTr="00507CEE" w14:paraId="021CA0E5" w14:textId="77777777">
        <w:tc>
          <w:tcPr>
            <w:tcW w:w="3156" w:type="dxa"/>
          </w:tcPr>
          <w:p w:rsidRPr="006E5323" w:rsidR="006E5323" w:rsidP="006E5323" w:rsidRDefault="006E5323" w14:paraId="7F5D294A" w14:textId="77777777">
            <w:pPr>
              <w:jc w:val="both"/>
              <w:rPr>
                <w:rFonts w:eastAsia="Calibri" w:cs="Times New Roman"/>
                <w:sz w:val="20"/>
                <w:szCs w:val="20"/>
              </w:rPr>
            </w:pPr>
            <w:r w:rsidRPr="006E5323">
              <w:rPr>
                <w:rFonts w:eastAsia="Calibri" w:cs="Times New Roman"/>
                <w:sz w:val="20"/>
                <w:szCs w:val="20"/>
              </w:rPr>
              <w:t>PVN iekšzemē</w:t>
            </w:r>
          </w:p>
        </w:tc>
        <w:tc>
          <w:tcPr>
            <w:tcW w:w="1177" w:type="dxa"/>
          </w:tcPr>
          <w:p w:rsidRPr="006E5323" w:rsidR="006E5323" w:rsidP="006E5323" w:rsidRDefault="006E5323" w14:paraId="3405ED8D" w14:textId="77777777">
            <w:pPr>
              <w:jc w:val="both"/>
              <w:rPr>
                <w:rFonts w:eastAsia="Calibri" w:cs="Times New Roman"/>
                <w:sz w:val="20"/>
                <w:szCs w:val="20"/>
              </w:rPr>
            </w:pPr>
            <w:r w:rsidRPr="006E5323">
              <w:rPr>
                <w:rFonts w:eastAsia="Calibri" w:cs="Times New Roman"/>
                <w:sz w:val="20"/>
                <w:szCs w:val="20"/>
              </w:rPr>
              <w:t>65 544</w:t>
            </w:r>
          </w:p>
        </w:tc>
        <w:tc>
          <w:tcPr>
            <w:tcW w:w="1177" w:type="dxa"/>
          </w:tcPr>
          <w:p w:rsidRPr="006E5323" w:rsidR="006E5323" w:rsidP="006E5323" w:rsidRDefault="006E5323" w14:paraId="627702D4" w14:textId="77777777">
            <w:pPr>
              <w:jc w:val="both"/>
              <w:rPr>
                <w:rFonts w:eastAsia="Calibri" w:cs="Times New Roman"/>
                <w:sz w:val="20"/>
                <w:szCs w:val="20"/>
              </w:rPr>
            </w:pPr>
            <w:r w:rsidRPr="006E5323">
              <w:rPr>
                <w:rFonts w:eastAsia="Calibri" w:cs="Times New Roman"/>
                <w:sz w:val="20"/>
                <w:szCs w:val="20"/>
              </w:rPr>
              <w:t>69 352</w:t>
            </w:r>
          </w:p>
        </w:tc>
        <w:tc>
          <w:tcPr>
            <w:tcW w:w="1177" w:type="dxa"/>
          </w:tcPr>
          <w:p w:rsidRPr="006E5323" w:rsidR="006E5323" w:rsidP="006E5323" w:rsidRDefault="006E5323" w14:paraId="0AB4593C" w14:textId="77777777">
            <w:pPr>
              <w:jc w:val="both"/>
              <w:rPr>
                <w:rFonts w:eastAsia="Calibri" w:cs="Times New Roman"/>
                <w:sz w:val="20"/>
                <w:szCs w:val="20"/>
              </w:rPr>
            </w:pPr>
            <w:r w:rsidRPr="006E5323">
              <w:rPr>
                <w:rFonts w:eastAsia="Calibri" w:cs="Times New Roman"/>
                <w:sz w:val="20"/>
                <w:szCs w:val="20"/>
              </w:rPr>
              <w:t>89 420</w:t>
            </w:r>
          </w:p>
        </w:tc>
        <w:tc>
          <w:tcPr>
            <w:tcW w:w="1105" w:type="dxa"/>
          </w:tcPr>
          <w:p w:rsidRPr="006E5323" w:rsidR="006E5323" w:rsidP="006E5323" w:rsidRDefault="006E5323" w14:paraId="43CFFA95" w14:textId="77777777">
            <w:pPr>
              <w:jc w:val="both"/>
              <w:rPr>
                <w:rFonts w:eastAsia="Calibri" w:cs="Times New Roman"/>
                <w:sz w:val="20"/>
                <w:szCs w:val="20"/>
              </w:rPr>
            </w:pPr>
            <w:r w:rsidRPr="006E5323">
              <w:rPr>
                <w:rFonts w:eastAsia="Calibri" w:cs="Times New Roman"/>
                <w:sz w:val="20"/>
                <w:szCs w:val="20"/>
              </w:rPr>
              <w:t>147 896</w:t>
            </w:r>
          </w:p>
        </w:tc>
        <w:tc>
          <w:tcPr>
            <w:tcW w:w="1439" w:type="dxa"/>
          </w:tcPr>
          <w:p w:rsidRPr="006E5323" w:rsidR="006E5323" w:rsidP="006E5323" w:rsidRDefault="006E5323" w14:paraId="1CCD1147" w14:textId="77777777">
            <w:pPr>
              <w:jc w:val="both"/>
              <w:rPr>
                <w:rFonts w:eastAsia="Calibri" w:cs="Times New Roman"/>
                <w:sz w:val="20"/>
                <w:szCs w:val="20"/>
              </w:rPr>
            </w:pPr>
          </w:p>
        </w:tc>
      </w:tr>
      <w:tr w:rsidRPr="006E5323" w:rsidR="006E5323" w:rsidTr="00507CEE" w14:paraId="76DEA11F" w14:textId="77777777">
        <w:tc>
          <w:tcPr>
            <w:tcW w:w="3156" w:type="dxa"/>
          </w:tcPr>
          <w:p w:rsidRPr="006E5323" w:rsidR="006E5323" w:rsidP="006E5323" w:rsidRDefault="006E5323" w14:paraId="1F552B57" w14:textId="77777777">
            <w:pPr>
              <w:jc w:val="both"/>
              <w:rPr>
                <w:rFonts w:eastAsia="Calibri" w:cs="Times New Roman"/>
                <w:sz w:val="20"/>
                <w:szCs w:val="20"/>
              </w:rPr>
            </w:pPr>
            <w:r w:rsidRPr="006E5323">
              <w:rPr>
                <w:rFonts w:eastAsia="Calibri" w:cs="Times New Roman"/>
                <w:sz w:val="20"/>
                <w:szCs w:val="20"/>
              </w:rPr>
              <w:t>PVN reverss</w:t>
            </w:r>
          </w:p>
        </w:tc>
        <w:tc>
          <w:tcPr>
            <w:tcW w:w="1177" w:type="dxa"/>
          </w:tcPr>
          <w:p w:rsidRPr="006E5323" w:rsidR="006E5323" w:rsidP="006E5323" w:rsidRDefault="006E5323" w14:paraId="216C5A4A" w14:textId="77777777">
            <w:pPr>
              <w:jc w:val="both"/>
              <w:rPr>
                <w:rFonts w:eastAsia="Calibri" w:cs="Times New Roman"/>
                <w:sz w:val="20"/>
                <w:szCs w:val="20"/>
              </w:rPr>
            </w:pPr>
            <w:r w:rsidRPr="006E5323">
              <w:rPr>
                <w:rFonts w:eastAsia="Calibri" w:cs="Times New Roman"/>
                <w:sz w:val="20"/>
                <w:szCs w:val="20"/>
              </w:rPr>
              <w:t>138 895</w:t>
            </w:r>
          </w:p>
        </w:tc>
        <w:tc>
          <w:tcPr>
            <w:tcW w:w="1177" w:type="dxa"/>
          </w:tcPr>
          <w:p w:rsidRPr="006E5323" w:rsidR="006E5323" w:rsidP="006E5323" w:rsidRDefault="006E5323" w14:paraId="54D07D68" w14:textId="77777777">
            <w:pPr>
              <w:jc w:val="both"/>
              <w:rPr>
                <w:rFonts w:eastAsia="Calibri" w:cs="Times New Roman"/>
                <w:sz w:val="20"/>
                <w:szCs w:val="20"/>
              </w:rPr>
            </w:pPr>
            <w:r w:rsidRPr="006E5323">
              <w:rPr>
                <w:rFonts w:eastAsia="Calibri" w:cs="Times New Roman"/>
                <w:sz w:val="20"/>
                <w:szCs w:val="20"/>
              </w:rPr>
              <w:t>51 638</w:t>
            </w:r>
          </w:p>
        </w:tc>
        <w:tc>
          <w:tcPr>
            <w:tcW w:w="1177" w:type="dxa"/>
          </w:tcPr>
          <w:p w:rsidRPr="006E5323" w:rsidR="006E5323" w:rsidP="006E5323" w:rsidRDefault="006E5323" w14:paraId="5D67E548" w14:textId="77777777">
            <w:pPr>
              <w:jc w:val="both"/>
              <w:rPr>
                <w:rFonts w:eastAsia="Calibri" w:cs="Times New Roman"/>
                <w:sz w:val="20"/>
                <w:szCs w:val="20"/>
              </w:rPr>
            </w:pPr>
            <w:r w:rsidRPr="006E5323">
              <w:rPr>
                <w:rFonts w:eastAsia="Calibri" w:cs="Times New Roman"/>
                <w:sz w:val="20"/>
                <w:szCs w:val="20"/>
              </w:rPr>
              <w:t>68 119</w:t>
            </w:r>
          </w:p>
        </w:tc>
        <w:tc>
          <w:tcPr>
            <w:tcW w:w="1105" w:type="dxa"/>
          </w:tcPr>
          <w:p w:rsidRPr="006E5323" w:rsidR="006E5323" w:rsidP="006E5323" w:rsidRDefault="006E5323" w14:paraId="75D3E793" w14:textId="77777777">
            <w:pPr>
              <w:jc w:val="both"/>
              <w:rPr>
                <w:rFonts w:eastAsia="Calibri" w:cs="Times New Roman"/>
                <w:sz w:val="20"/>
                <w:szCs w:val="20"/>
              </w:rPr>
            </w:pPr>
            <w:r w:rsidRPr="006E5323">
              <w:rPr>
                <w:rFonts w:eastAsia="Calibri" w:cs="Times New Roman"/>
                <w:sz w:val="20"/>
                <w:szCs w:val="20"/>
              </w:rPr>
              <w:t>107 451</w:t>
            </w:r>
          </w:p>
        </w:tc>
        <w:tc>
          <w:tcPr>
            <w:tcW w:w="1439" w:type="dxa"/>
          </w:tcPr>
          <w:p w:rsidRPr="006E5323" w:rsidR="006E5323" w:rsidP="006E5323" w:rsidRDefault="006E5323" w14:paraId="5D67EC3C" w14:textId="77777777">
            <w:pPr>
              <w:jc w:val="both"/>
              <w:rPr>
                <w:rFonts w:eastAsia="Calibri" w:cs="Times New Roman"/>
                <w:sz w:val="20"/>
                <w:szCs w:val="20"/>
              </w:rPr>
            </w:pPr>
          </w:p>
        </w:tc>
      </w:tr>
      <w:tr w:rsidRPr="006E5323" w:rsidR="006E5323" w:rsidTr="00507CEE" w14:paraId="0E13B2C0" w14:textId="77777777">
        <w:tc>
          <w:tcPr>
            <w:tcW w:w="3156" w:type="dxa"/>
          </w:tcPr>
          <w:p w:rsidRPr="006E5323" w:rsidR="006E5323" w:rsidP="006E5323" w:rsidRDefault="006E5323" w14:paraId="55D80E9B" w14:textId="77777777">
            <w:pPr>
              <w:jc w:val="both"/>
              <w:rPr>
                <w:rFonts w:eastAsia="Calibri" w:cs="Times New Roman"/>
                <w:sz w:val="20"/>
                <w:szCs w:val="20"/>
              </w:rPr>
            </w:pPr>
            <w:r w:rsidRPr="006E5323">
              <w:rPr>
                <w:rFonts w:eastAsia="Calibri" w:cs="Times New Roman"/>
                <w:sz w:val="20"/>
                <w:szCs w:val="20"/>
              </w:rPr>
              <w:t>PVN summa, kas nav atskaitāma kā priekšnodoklis</w:t>
            </w:r>
          </w:p>
        </w:tc>
        <w:tc>
          <w:tcPr>
            <w:tcW w:w="1177" w:type="dxa"/>
          </w:tcPr>
          <w:p w:rsidRPr="006E5323" w:rsidR="006E5323" w:rsidP="006E5323" w:rsidRDefault="006E5323" w14:paraId="5CB54352" w14:textId="77777777">
            <w:pPr>
              <w:jc w:val="both"/>
              <w:rPr>
                <w:rFonts w:eastAsia="Calibri" w:cs="Times New Roman"/>
                <w:sz w:val="20"/>
                <w:szCs w:val="20"/>
              </w:rPr>
            </w:pPr>
            <w:r w:rsidRPr="006E5323">
              <w:rPr>
                <w:rFonts w:eastAsia="Calibri" w:cs="Times New Roman"/>
                <w:sz w:val="20"/>
                <w:szCs w:val="20"/>
              </w:rPr>
              <w:t>204 439</w:t>
            </w:r>
          </w:p>
        </w:tc>
        <w:tc>
          <w:tcPr>
            <w:tcW w:w="1177" w:type="dxa"/>
          </w:tcPr>
          <w:p w:rsidRPr="006E5323" w:rsidR="006E5323" w:rsidP="006E5323" w:rsidRDefault="006E5323" w14:paraId="30E49A06" w14:textId="77777777">
            <w:pPr>
              <w:jc w:val="both"/>
              <w:rPr>
                <w:rFonts w:eastAsia="Calibri" w:cs="Times New Roman"/>
                <w:sz w:val="20"/>
                <w:szCs w:val="20"/>
              </w:rPr>
            </w:pPr>
            <w:r w:rsidRPr="006E5323">
              <w:rPr>
                <w:rFonts w:eastAsia="Calibri" w:cs="Times New Roman"/>
                <w:sz w:val="20"/>
                <w:szCs w:val="20"/>
              </w:rPr>
              <w:t>120 990</w:t>
            </w:r>
          </w:p>
        </w:tc>
        <w:tc>
          <w:tcPr>
            <w:tcW w:w="1177" w:type="dxa"/>
          </w:tcPr>
          <w:p w:rsidRPr="006E5323" w:rsidR="006E5323" w:rsidP="006E5323" w:rsidRDefault="006E5323" w14:paraId="4CF5ADF9" w14:textId="77777777">
            <w:pPr>
              <w:jc w:val="both"/>
              <w:rPr>
                <w:rFonts w:eastAsia="Calibri" w:cs="Times New Roman"/>
                <w:sz w:val="20"/>
                <w:szCs w:val="20"/>
              </w:rPr>
            </w:pPr>
            <w:r w:rsidRPr="006E5323">
              <w:rPr>
                <w:rFonts w:eastAsia="Calibri" w:cs="Times New Roman"/>
                <w:sz w:val="20"/>
                <w:szCs w:val="20"/>
              </w:rPr>
              <w:t>157 539</w:t>
            </w:r>
          </w:p>
        </w:tc>
        <w:tc>
          <w:tcPr>
            <w:tcW w:w="1105" w:type="dxa"/>
          </w:tcPr>
          <w:p w:rsidRPr="006E5323" w:rsidR="006E5323" w:rsidP="006E5323" w:rsidRDefault="006E5323" w14:paraId="0820027A" w14:textId="77777777">
            <w:pPr>
              <w:jc w:val="both"/>
              <w:rPr>
                <w:rFonts w:eastAsia="Calibri" w:cs="Times New Roman"/>
                <w:sz w:val="20"/>
                <w:szCs w:val="20"/>
              </w:rPr>
            </w:pPr>
            <w:r w:rsidRPr="006E5323">
              <w:rPr>
                <w:rFonts w:eastAsia="Calibri" w:cs="Times New Roman"/>
                <w:sz w:val="20"/>
                <w:szCs w:val="20"/>
              </w:rPr>
              <w:t>255 347</w:t>
            </w:r>
          </w:p>
        </w:tc>
        <w:tc>
          <w:tcPr>
            <w:tcW w:w="1439" w:type="dxa"/>
          </w:tcPr>
          <w:p w:rsidRPr="006E5323" w:rsidR="006E5323" w:rsidP="006E5323" w:rsidRDefault="006E5323" w14:paraId="4F0BADB4" w14:textId="77777777">
            <w:pPr>
              <w:jc w:val="both"/>
              <w:rPr>
                <w:rFonts w:eastAsia="Calibri" w:cs="Times New Roman"/>
                <w:sz w:val="20"/>
                <w:szCs w:val="20"/>
              </w:rPr>
            </w:pPr>
          </w:p>
        </w:tc>
      </w:tr>
      <w:tr w:rsidRPr="006E5323" w:rsidR="006E5323" w:rsidTr="00507CEE" w14:paraId="268A2781" w14:textId="77777777">
        <w:tc>
          <w:tcPr>
            <w:tcW w:w="3156" w:type="dxa"/>
          </w:tcPr>
          <w:p w:rsidRPr="006E5323" w:rsidR="006E5323" w:rsidP="006E5323" w:rsidRDefault="006E5323" w14:paraId="24BD39DB" w14:textId="77777777">
            <w:pPr>
              <w:jc w:val="both"/>
              <w:rPr>
                <w:rFonts w:eastAsia="Calibri" w:cs="Times New Roman"/>
                <w:sz w:val="20"/>
                <w:szCs w:val="20"/>
              </w:rPr>
            </w:pPr>
            <w:r w:rsidRPr="006E5323">
              <w:rPr>
                <w:rFonts w:eastAsia="Calibri" w:cs="Times New Roman"/>
                <w:sz w:val="20"/>
                <w:szCs w:val="20"/>
              </w:rPr>
              <w:t>Nokavējuma nauda</w:t>
            </w:r>
          </w:p>
        </w:tc>
        <w:tc>
          <w:tcPr>
            <w:tcW w:w="1177" w:type="dxa"/>
          </w:tcPr>
          <w:p w:rsidRPr="006E5323" w:rsidR="006E5323" w:rsidP="006E5323" w:rsidRDefault="006E5323" w14:paraId="0A6152B0" w14:textId="77777777">
            <w:pPr>
              <w:jc w:val="both"/>
              <w:rPr>
                <w:rFonts w:eastAsia="Calibri" w:cs="Times New Roman"/>
                <w:sz w:val="20"/>
                <w:szCs w:val="20"/>
              </w:rPr>
            </w:pPr>
            <w:r w:rsidRPr="006E5323">
              <w:rPr>
                <w:rFonts w:eastAsia="Calibri" w:cs="Times New Roman"/>
                <w:sz w:val="20"/>
                <w:szCs w:val="20"/>
              </w:rPr>
              <w:t>17 965</w:t>
            </w:r>
          </w:p>
        </w:tc>
        <w:tc>
          <w:tcPr>
            <w:tcW w:w="1177" w:type="dxa"/>
          </w:tcPr>
          <w:p w:rsidRPr="006E5323" w:rsidR="006E5323" w:rsidP="006E5323" w:rsidRDefault="006E5323" w14:paraId="52ADF264" w14:textId="77777777">
            <w:pPr>
              <w:jc w:val="both"/>
              <w:rPr>
                <w:rFonts w:eastAsia="Calibri" w:cs="Times New Roman"/>
                <w:sz w:val="20"/>
                <w:szCs w:val="20"/>
              </w:rPr>
            </w:pPr>
          </w:p>
        </w:tc>
        <w:tc>
          <w:tcPr>
            <w:tcW w:w="1177" w:type="dxa"/>
          </w:tcPr>
          <w:p w:rsidRPr="006E5323" w:rsidR="006E5323" w:rsidP="006E5323" w:rsidRDefault="006E5323" w14:paraId="7638D8F7" w14:textId="77777777">
            <w:pPr>
              <w:jc w:val="both"/>
              <w:rPr>
                <w:rFonts w:eastAsia="Calibri" w:cs="Times New Roman"/>
                <w:sz w:val="20"/>
                <w:szCs w:val="20"/>
              </w:rPr>
            </w:pPr>
          </w:p>
        </w:tc>
        <w:tc>
          <w:tcPr>
            <w:tcW w:w="1105" w:type="dxa"/>
          </w:tcPr>
          <w:p w:rsidRPr="006E5323" w:rsidR="006E5323" w:rsidP="006E5323" w:rsidRDefault="006E5323" w14:paraId="7DE8787C" w14:textId="77777777">
            <w:pPr>
              <w:jc w:val="both"/>
              <w:rPr>
                <w:rFonts w:eastAsia="Calibri" w:cs="Times New Roman"/>
                <w:sz w:val="20"/>
                <w:szCs w:val="20"/>
              </w:rPr>
            </w:pPr>
          </w:p>
        </w:tc>
        <w:tc>
          <w:tcPr>
            <w:tcW w:w="1439" w:type="dxa"/>
          </w:tcPr>
          <w:p w:rsidRPr="006E5323" w:rsidR="006E5323" w:rsidP="006E5323" w:rsidRDefault="006E5323" w14:paraId="5A631785" w14:textId="77777777">
            <w:pPr>
              <w:jc w:val="both"/>
              <w:rPr>
                <w:rFonts w:eastAsia="Calibri" w:cs="Times New Roman"/>
                <w:sz w:val="20"/>
                <w:szCs w:val="20"/>
              </w:rPr>
            </w:pPr>
          </w:p>
        </w:tc>
      </w:tr>
      <w:tr w:rsidRPr="006E5323" w:rsidR="006E5323" w:rsidTr="00507CEE" w14:paraId="21AB954E" w14:textId="77777777">
        <w:tc>
          <w:tcPr>
            <w:tcW w:w="3156" w:type="dxa"/>
            <w:tcBorders>
              <w:bottom w:val="single" w:color="auto" w:sz="4" w:space="0"/>
            </w:tcBorders>
          </w:tcPr>
          <w:p w:rsidRPr="006E5323" w:rsidR="006E5323" w:rsidP="006E5323" w:rsidRDefault="006E5323" w14:paraId="1D1A3FB4" w14:textId="77777777">
            <w:pPr>
              <w:jc w:val="both"/>
              <w:rPr>
                <w:rFonts w:eastAsia="Calibri" w:cs="Times New Roman"/>
                <w:sz w:val="20"/>
                <w:szCs w:val="20"/>
              </w:rPr>
            </w:pPr>
          </w:p>
        </w:tc>
        <w:tc>
          <w:tcPr>
            <w:tcW w:w="1177" w:type="dxa"/>
            <w:tcBorders>
              <w:bottom w:val="single" w:color="auto" w:sz="4" w:space="0"/>
            </w:tcBorders>
          </w:tcPr>
          <w:p w:rsidRPr="006E5323" w:rsidR="006E5323" w:rsidP="006E5323" w:rsidRDefault="006E5323" w14:paraId="130AACF1" w14:textId="77777777">
            <w:pPr>
              <w:jc w:val="both"/>
              <w:rPr>
                <w:rFonts w:eastAsia="Calibri" w:cs="Times New Roman"/>
                <w:sz w:val="20"/>
                <w:szCs w:val="20"/>
              </w:rPr>
            </w:pPr>
          </w:p>
        </w:tc>
        <w:tc>
          <w:tcPr>
            <w:tcW w:w="1177" w:type="dxa"/>
            <w:tcBorders>
              <w:bottom w:val="single" w:color="auto" w:sz="4" w:space="0"/>
            </w:tcBorders>
          </w:tcPr>
          <w:p w:rsidRPr="006E5323" w:rsidR="006E5323" w:rsidP="006E5323" w:rsidRDefault="006E5323" w14:paraId="1B995725" w14:textId="77777777">
            <w:pPr>
              <w:jc w:val="both"/>
              <w:rPr>
                <w:rFonts w:eastAsia="Calibri" w:cs="Times New Roman"/>
                <w:sz w:val="20"/>
                <w:szCs w:val="20"/>
              </w:rPr>
            </w:pPr>
          </w:p>
        </w:tc>
        <w:tc>
          <w:tcPr>
            <w:tcW w:w="1177" w:type="dxa"/>
            <w:tcBorders>
              <w:bottom w:val="single" w:color="auto" w:sz="4" w:space="0"/>
            </w:tcBorders>
          </w:tcPr>
          <w:p w:rsidRPr="006E5323" w:rsidR="006E5323" w:rsidP="006E5323" w:rsidRDefault="006E5323" w14:paraId="64B0E5C1" w14:textId="77777777">
            <w:pPr>
              <w:jc w:val="both"/>
              <w:rPr>
                <w:rFonts w:eastAsia="Calibri" w:cs="Times New Roman"/>
                <w:sz w:val="20"/>
                <w:szCs w:val="20"/>
              </w:rPr>
            </w:pPr>
          </w:p>
        </w:tc>
        <w:tc>
          <w:tcPr>
            <w:tcW w:w="1105" w:type="dxa"/>
            <w:tcBorders>
              <w:bottom w:val="single" w:color="auto" w:sz="4" w:space="0"/>
            </w:tcBorders>
          </w:tcPr>
          <w:p w:rsidRPr="006E5323" w:rsidR="006E5323" w:rsidP="006E5323" w:rsidRDefault="006E5323" w14:paraId="716B099B" w14:textId="77777777">
            <w:pPr>
              <w:jc w:val="both"/>
              <w:rPr>
                <w:rFonts w:eastAsia="Calibri" w:cs="Times New Roman"/>
                <w:sz w:val="20"/>
                <w:szCs w:val="20"/>
              </w:rPr>
            </w:pPr>
          </w:p>
        </w:tc>
        <w:tc>
          <w:tcPr>
            <w:tcW w:w="1439" w:type="dxa"/>
            <w:tcBorders>
              <w:bottom w:val="single" w:color="auto" w:sz="4" w:space="0"/>
            </w:tcBorders>
          </w:tcPr>
          <w:p w:rsidRPr="006E5323" w:rsidR="006E5323" w:rsidP="006E5323" w:rsidRDefault="006E5323" w14:paraId="325C801D" w14:textId="77777777">
            <w:pPr>
              <w:jc w:val="both"/>
              <w:rPr>
                <w:rFonts w:eastAsia="Calibri" w:cs="Times New Roman"/>
                <w:sz w:val="20"/>
                <w:szCs w:val="20"/>
              </w:rPr>
            </w:pPr>
          </w:p>
        </w:tc>
      </w:tr>
      <w:tr w:rsidRPr="006E5323" w:rsidR="006E5323" w:rsidTr="00507CEE" w14:paraId="654F591E" w14:textId="77777777">
        <w:tc>
          <w:tcPr>
            <w:tcW w:w="3156" w:type="dxa"/>
            <w:tcBorders>
              <w:bottom w:val="single" w:color="auto" w:sz="4" w:space="0"/>
            </w:tcBorders>
          </w:tcPr>
          <w:p w:rsidRPr="006E5323" w:rsidR="006E5323" w:rsidP="006E5323" w:rsidRDefault="006E5323" w14:paraId="4E8B90BA" w14:textId="77777777">
            <w:pPr>
              <w:jc w:val="both"/>
              <w:rPr>
                <w:rFonts w:eastAsia="Calibri" w:cs="Times New Roman"/>
                <w:b/>
                <w:bCs/>
                <w:sz w:val="20"/>
                <w:szCs w:val="20"/>
              </w:rPr>
            </w:pPr>
            <w:r w:rsidRPr="006E5323">
              <w:rPr>
                <w:rFonts w:eastAsia="Calibri" w:cs="Times New Roman"/>
                <w:b/>
                <w:bCs/>
                <w:sz w:val="20"/>
                <w:szCs w:val="20"/>
              </w:rPr>
              <w:t>Kopā</w:t>
            </w:r>
          </w:p>
        </w:tc>
        <w:tc>
          <w:tcPr>
            <w:tcW w:w="1177" w:type="dxa"/>
            <w:tcBorders>
              <w:bottom w:val="single" w:color="auto" w:sz="4" w:space="0"/>
            </w:tcBorders>
          </w:tcPr>
          <w:p w:rsidRPr="006E5323" w:rsidR="006E5323" w:rsidP="006E5323" w:rsidRDefault="006E5323" w14:paraId="5B3BFCAC" w14:textId="77777777">
            <w:pPr>
              <w:jc w:val="both"/>
              <w:rPr>
                <w:rFonts w:eastAsia="Calibri" w:cs="Times New Roman"/>
                <w:sz w:val="20"/>
                <w:szCs w:val="20"/>
              </w:rPr>
            </w:pPr>
            <w:r w:rsidRPr="006E5323">
              <w:rPr>
                <w:rFonts w:eastAsia="Calibri" w:cs="Times New Roman"/>
                <w:sz w:val="20"/>
                <w:szCs w:val="20"/>
              </w:rPr>
              <w:t>222 404</w:t>
            </w:r>
          </w:p>
        </w:tc>
        <w:tc>
          <w:tcPr>
            <w:tcW w:w="1177" w:type="dxa"/>
            <w:tcBorders>
              <w:bottom w:val="single" w:color="auto" w:sz="4" w:space="0"/>
            </w:tcBorders>
          </w:tcPr>
          <w:p w:rsidRPr="006E5323" w:rsidR="006E5323" w:rsidP="006E5323" w:rsidRDefault="006E5323" w14:paraId="275928CE" w14:textId="77777777">
            <w:pPr>
              <w:jc w:val="both"/>
              <w:rPr>
                <w:rFonts w:eastAsia="Calibri" w:cs="Times New Roman"/>
                <w:sz w:val="20"/>
                <w:szCs w:val="20"/>
              </w:rPr>
            </w:pPr>
            <w:r w:rsidRPr="006E5323">
              <w:rPr>
                <w:rFonts w:eastAsia="Calibri" w:cs="Times New Roman"/>
                <w:sz w:val="20"/>
                <w:szCs w:val="20"/>
              </w:rPr>
              <w:t>120 990</w:t>
            </w:r>
          </w:p>
        </w:tc>
        <w:tc>
          <w:tcPr>
            <w:tcW w:w="1177" w:type="dxa"/>
            <w:tcBorders>
              <w:bottom w:val="single" w:color="auto" w:sz="4" w:space="0"/>
            </w:tcBorders>
          </w:tcPr>
          <w:p w:rsidRPr="006E5323" w:rsidR="006E5323" w:rsidP="006E5323" w:rsidRDefault="006E5323" w14:paraId="227F23E8" w14:textId="77777777">
            <w:pPr>
              <w:jc w:val="both"/>
              <w:rPr>
                <w:rFonts w:eastAsia="Calibri" w:cs="Times New Roman"/>
                <w:sz w:val="20"/>
                <w:szCs w:val="20"/>
              </w:rPr>
            </w:pPr>
            <w:r w:rsidRPr="006E5323">
              <w:rPr>
                <w:rFonts w:eastAsia="Calibri" w:cs="Times New Roman"/>
                <w:sz w:val="20"/>
                <w:szCs w:val="20"/>
              </w:rPr>
              <w:t>157 539</w:t>
            </w:r>
          </w:p>
        </w:tc>
        <w:tc>
          <w:tcPr>
            <w:tcW w:w="1105" w:type="dxa"/>
            <w:tcBorders>
              <w:bottom w:val="single" w:color="auto" w:sz="4" w:space="0"/>
            </w:tcBorders>
          </w:tcPr>
          <w:p w:rsidRPr="006E5323" w:rsidR="006E5323" w:rsidP="006E5323" w:rsidRDefault="006E5323" w14:paraId="0291302F" w14:textId="77777777">
            <w:pPr>
              <w:jc w:val="both"/>
              <w:rPr>
                <w:rFonts w:eastAsia="Calibri" w:cs="Times New Roman"/>
                <w:sz w:val="20"/>
                <w:szCs w:val="20"/>
              </w:rPr>
            </w:pPr>
            <w:r w:rsidRPr="006E5323">
              <w:rPr>
                <w:rFonts w:eastAsia="Calibri" w:cs="Times New Roman"/>
                <w:sz w:val="20"/>
                <w:szCs w:val="20"/>
              </w:rPr>
              <w:t>255 347</w:t>
            </w:r>
          </w:p>
        </w:tc>
        <w:tc>
          <w:tcPr>
            <w:tcW w:w="1439" w:type="dxa"/>
            <w:tcBorders>
              <w:bottom w:val="single" w:color="auto" w:sz="4" w:space="0"/>
            </w:tcBorders>
          </w:tcPr>
          <w:p w:rsidRPr="006E5323" w:rsidR="006E5323" w:rsidP="006E5323" w:rsidRDefault="006E5323" w14:paraId="16F237B2" w14:textId="77777777">
            <w:pPr>
              <w:jc w:val="both"/>
              <w:rPr>
                <w:rFonts w:eastAsia="Calibri" w:cs="Times New Roman"/>
                <w:b/>
                <w:bCs/>
                <w:sz w:val="20"/>
                <w:szCs w:val="20"/>
              </w:rPr>
            </w:pPr>
            <w:r w:rsidRPr="006E5323">
              <w:rPr>
                <w:rFonts w:eastAsia="Calibri" w:cs="Times New Roman"/>
                <w:b/>
                <w:bCs/>
                <w:sz w:val="20"/>
                <w:szCs w:val="20"/>
              </w:rPr>
              <w:t>756 280</w:t>
            </w:r>
          </w:p>
        </w:tc>
      </w:tr>
      <w:tr w:rsidRPr="006E5323" w:rsidR="006E5323" w:rsidTr="00507CEE" w14:paraId="2BCDF5DB" w14:textId="77777777">
        <w:tc>
          <w:tcPr>
            <w:tcW w:w="3156" w:type="dxa"/>
            <w:tcBorders>
              <w:top w:val="single" w:color="auto" w:sz="4" w:space="0"/>
              <w:left w:val="nil"/>
              <w:bottom w:val="nil"/>
              <w:right w:val="nil"/>
            </w:tcBorders>
          </w:tcPr>
          <w:p w:rsidRPr="006E5323" w:rsidR="006E5323" w:rsidP="006E5323" w:rsidRDefault="006E5323" w14:paraId="301AC03F" w14:textId="77777777">
            <w:pPr>
              <w:jc w:val="both"/>
              <w:rPr>
                <w:rFonts w:eastAsia="Calibri" w:cs="Times New Roman"/>
                <w:sz w:val="20"/>
                <w:szCs w:val="20"/>
              </w:rPr>
            </w:pPr>
          </w:p>
        </w:tc>
        <w:tc>
          <w:tcPr>
            <w:tcW w:w="1177" w:type="dxa"/>
            <w:tcBorders>
              <w:top w:val="single" w:color="auto" w:sz="4" w:space="0"/>
              <w:left w:val="nil"/>
              <w:bottom w:val="nil"/>
              <w:right w:val="nil"/>
            </w:tcBorders>
          </w:tcPr>
          <w:p w:rsidRPr="006E5323" w:rsidR="006E5323" w:rsidP="006E5323" w:rsidRDefault="006E5323" w14:paraId="0D4DFD64" w14:textId="77777777">
            <w:pPr>
              <w:jc w:val="both"/>
              <w:rPr>
                <w:rFonts w:eastAsia="Calibri" w:cs="Times New Roman"/>
                <w:sz w:val="20"/>
                <w:szCs w:val="20"/>
              </w:rPr>
            </w:pPr>
          </w:p>
        </w:tc>
        <w:tc>
          <w:tcPr>
            <w:tcW w:w="1177" w:type="dxa"/>
            <w:tcBorders>
              <w:top w:val="single" w:color="auto" w:sz="4" w:space="0"/>
              <w:left w:val="nil"/>
              <w:bottom w:val="nil"/>
              <w:right w:val="nil"/>
            </w:tcBorders>
          </w:tcPr>
          <w:p w:rsidRPr="006E5323" w:rsidR="006E5323" w:rsidP="006E5323" w:rsidRDefault="006E5323" w14:paraId="03FEAA44" w14:textId="77777777">
            <w:pPr>
              <w:jc w:val="both"/>
              <w:rPr>
                <w:rFonts w:eastAsia="Calibri" w:cs="Times New Roman"/>
                <w:sz w:val="20"/>
                <w:szCs w:val="20"/>
              </w:rPr>
            </w:pPr>
          </w:p>
        </w:tc>
        <w:tc>
          <w:tcPr>
            <w:tcW w:w="1177" w:type="dxa"/>
            <w:tcBorders>
              <w:top w:val="single" w:color="auto" w:sz="4" w:space="0"/>
              <w:left w:val="nil"/>
              <w:bottom w:val="nil"/>
              <w:right w:val="nil"/>
            </w:tcBorders>
          </w:tcPr>
          <w:p w:rsidRPr="006E5323" w:rsidR="006E5323" w:rsidP="006E5323" w:rsidRDefault="006E5323" w14:paraId="5BD6AA60" w14:textId="77777777">
            <w:pPr>
              <w:jc w:val="both"/>
              <w:rPr>
                <w:rFonts w:eastAsia="Calibri" w:cs="Times New Roman"/>
                <w:sz w:val="20"/>
                <w:szCs w:val="20"/>
              </w:rPr>
            </w:pPr>
          </w:p>
        </w:tc>
        <w:tc>
          <w:tcPr>
            <w:tcW w:w="1105" w:type="dxa"/>
            <w:tcBorders>
              <w:top w:val="single" w:color="auto" w:sz="4" w:space="0"/>
              <w:left w:val="nil"/>
              <w:bottom w:val="nil"/>
              <w:right w:val="nil"/>
            </w:tcBorders>
          </w:tcPr>
          <w:p w:rsidRPr="006E5323" w:rsidR="006E5323" w:rsidP="006E5323" w:rsidRDefault="006E5323" w14:paraId="5552FD24" w14:textId="77777777">
            <w:pPr>
              <w:jc w:val="both"/>
              <w:rPr>
                <w:rFonts w:eastAsia="Calibri" w:cs="Times New Roman"/>
                <w:sz w:val="20"/>
                <w:szCs w:val="20"/>
              </w:rPr>
            </w:pPr>
          </w:p>
        </w:tc>
        <w:tc>
          <w:tcPr>
            <w:tcW w:w="1439" w:type="dxa"/>
            <w:tcBorders>
              <w:top w:val="single" w:color="auto" w:sz="4" w:space="0"/>
              <w:left w:val="nil"/>
              <w:bottom w:val="nil"/>
              <w:right w:val="nil"/>
            </w:tcBorders>
          </w:tcPr>
          <w:p w:rsidRPr="006E5323" w:rsidR="006E5323" w:rsidP="006E5323" w:rsidRDefault="006E5323" w14:paraId="6BC626DE" w14:textId="77777777">
            <w:pPr>
              <w:jc w:val="both"/>
              <w:rPr>
                <w:rFonts w:eastAsia="Calibri" w:cs="Times New Roman"/>
                <w:sz w:val="20"/>
                <w:szCs w:val="20"/>
              </w:rPr>
            </w:pPr>
          </w:p>
        </w:tc>
      </w:tr>
    </w:tbl>
    <w:p w:rsidRPr="006E5323" w:rsidR="006E5323" w:rsidP="006E5323" w:rsidRDefault="006E5323" w14:paraId="175D98EB" w14:textId="77777777">
      <w:pPr>
        <w:spacing w:after="0" w:line="276" w:lineRule="auto"/>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                                                         3.tabula RBR ar PVN apliekamie darījumi 2019.gadā (EUR)</w:t>
      </w:r>
    </w:p>
    <w:p w:rsidRPr="006E5323" w:rsidR="006E5323" w:rsidP="006E5323" w:rsidRDefault="006E5323" w14:paraId="7CC03859"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Lai RBR kompensētu Latvijas valsts budžetā iemaksāto PVN, ko kopuzņēmums ir finansējis no EISI piešķīruma un visu dalībvalstu solidārā līdzfinansējuma, 2019.gadā nepieciešami </w:t>
      </w:r>
      <w:r w:rsidRPr="006E5323">
        <w:rPr>
          <w:rFonts w:ascii="Times New Roman" w:hAnsi="Times New Roman" w:eastAsia="Calibri" w:cs="Times New Roman"/>
          <w:b/>
          <w:bCs/>
          <w:sz w:val="24"/>
          <w:szCs w:val="24"/>
        </w:rPr>
        <w:t>1 139 191 EUR</w:t>
      </w:r>
      <w:r w:rsidRPr="006E5323">
        <w:rPr>
          <w:rFonts w:ascii="Times New Roman" w:hAnsi="Times New Roman" w:eastAsia="Calibri" w:cs="Times New Roman"/>
          <w:sz w:val="24"/>
          <w:szCs w:val="24"/>
        </w:rPr>
        <w:t>. Minētā summa, veicot samaksu piegādātājiem par sniegtajiem pakalpojumiem vai preču piegādēm atbilstoši izrakstītajiem rēķiniem un attiecīgi iesniedzot PVN deklarāciju kā PVN maksājums</w:t>
      </w:r>
      <w:r w:rsidRPr="006E5323">
        <w:rPr>
          <w:rFonts w:ascii="Times New Roman" w:hAnsi="Times New Roman" w:eastAsia="Calibri" w:cs="Times New Roman"/>
          <w:sz w:val="24"/>
          <w:szCs w:val="24"/>
          <w:vertAlign w:val="superscript"/>
        </w:rPr>
        <w:footnoteReference w:id="2"/>
      </w:r>
      <w:r w:rsidRPr="006E5323">
        <w:rPr>
          <w:rFonts w:ascii="Times New Roman" w:hAnsi="Times New Roman" w:eastAsia="Calibri" w:cs="Times New Roman"/>
          <w:sz w:val="24"/>
          <w:szCs w:val="24"/>
        </w:rPr>
        <w:t xml:space="preserve"> tiks ieskaitīta Latvijas valsts budžetā. Skat. 4. pielikumu.</w:t>
      </w:r>
    </w:p>
    <w:p w:rsidRPr="006E5323" w:rsidR="006E5323" w:rsidP="006E5323" w:rsidRDefault="006E5323" w14:paraId="753EAB62" w14:textId="77777777">
      <w:pPr>
        <w:spacing w:after="0" w:line="240" w:lineRule="auto"/>
        <w:ind w:firstLine="567"/>
        <w:jc w:val="both"/>
        <w:rPr>
          <w:rFonts w:ascii="Times New Roman" w:hAnsi="Times New Roman" w:eastAsia="Times New Roman" w:cs="Times New Roman"/>
          <w:color w:val="000000"/>
          <w:sz w:val="24"/>
          <w:szCs w:val="24"/>
          <w:lang w:eastAsia="en-GB"/>
        </w:rPr>
      </w:pPr>
      <w:r w:rsidRPr="006E5323">
        <w:rPr>
          <w:rFonts w:ascii="Times New Roman" w:hAnsi="Times New Roman" w:eastAsia="Calibri" w:cs="Times New Roman"/>
          <w:sz w:val="24"/>
          <w:szCs w:val="24"/>
        </w:rPr>
        <w:t xml:space="preserve">Ja PVN maksājumu kompensācijai tiktu izmantots RBR uzkrātais kapitāls 1 788 640 EUR apmērā, tad netiktu izpildīts Akcionāru līguma 4.3 punkts, kas nosaka, ka katra akcionāra daļa ir 33.33% un 4.6.punkts, kas nosaka, ka akciju proporcionalitātei ir jāsaglabājas. Lai saglabātu akciju proporcionalitāti, 2019. gadā katra valsts RBR kapitālā iemaksāja 650 000 EUR, no kuriem 418 367 EUR līdzfinansēja CEF attiecināmās aktivitātes, 154 300 EUR finansēja RBR Padomes darbu un </w:t>
      </w:r>
      <w:r w:rsidRPr="006E5323">
        <w:rPr>
          <w:rFonts w:ascii="Times New Roman" w:hAnsi="Times New Roman" w:eastAsia="Times New Roman" w:cs="Times New Roman"/>
          <w:color w:val="000000"/>
          <w:sz w:val="24"/>
          <w:szCs w:val="24"/>
          <w:lang w:eastAsia="en-GB"/>
        </w:rPr>
        <w:t>77 333 EUR tika iemaksāti PVN maksājumu segšanai. Pēc RBR veiktā aprēķina 77 333 EUR iemaksai vajadzēja 2019.gadā nosegt Igaunijas un Lietuvas valstu budžetos ienākušo PVN. Faktiski minēto valstu budžetos PVN maksājumu veidā nonāk mazākas summas. Skat. 3. tabulu.</w:t>
      </w:r>
    </w:p>
    <w:p w:rsidRPr="006E5323" w:rsidR="006E5323" w:rsidP="006E5323" w:rsidRDefault="006E5323" w14:paraId="0041D4F4" w14:textId="77777777">
      <w:pPr>
        <w:spacing w:after="0" w:line="240" w:lineRule="auto"/>
        <w:ind w:firstLine="567"/>
        <w:jc w:val="both"/>
        <w:rPr>
          <w:rFonts w:ascii="Times New Roman" w:hAnsi="Times New Roman" w:eastAsia="Times New Roman" w:cs="Times New Roman"/>
          <w:color w:val="000000"/>
          <w:sz w:val="24"/>
          <w:szCs w:val="24"/>
          <w:lang w:eastAsia="en-GB"/>
        </w:rPr>
      </w:pPr>
    </w:p>
    <w:tbl>
      <w:tblPr>
        <w:tblStyle w:val="TableGrid1"/>
        <w:tblW w:w="0" w:type="auto"/>
        <w:tblLook w:val="04A0" w:firstRow="1" w:lastRow="0" w:firstColumn="1" w:lastColumn="0" w:noHBand="0" w:noVBand="1"/>
      </w:tblPr>
      <w:tblGrid>
        <w:gridCol w:w="3013"/>
        <w:gridCol w:w="3002"/>
        <w:gridCol w:w="3001"/>
      </w:tblGrid>
      <w:tr w:rsidRPr="006E5323" w:rsidR="006E5323" w:rsidTr="00507CEE" w14:paraId="05FC3A83" w14:textId="77777777">
        <w:tc>
          <w:tcPr>
            <w:tcW w:w="3077" w:type="dxa"/>
          </w:tcPr>
          <w:p w:rsidRPr="006E5323" w:rsidR="006E5323" w:rsidP="006E5323" w:rsidRDefault="006E5323" w14:paraId="78933BFA" w14:textId="77777777">
            <w:pPr>
              <w:rPr>
                <w:rFonts w:eastAsia="Calibri" w:cs="Times New Roman"/>
                <w:sz w:val="20"/>
                <w:szCs w:val="20"/>
              </w:rPr>
            </w:pPr>
            <w:r w:rsidRPr="006E5323">
              <w:rPr>
                <w:rFonts w:eastAsia="Calibri" w:cs="Times New Roman"/>
                <w:sz w:val="20"/>
                <w:szCs w:val="20"/>
              </w:rPr>
              <w:t>Periods / valsts</w:t>
            </w:r>
          </w:p>
        </w:tc>
        <w:tc>
          <w:tcPr>
            <w:tcW w:w="3077" w:type="dxa"/>
          </w:tcPr>
          <w:p w:rsidRPr="006E5323" w:rsidR="006E5323" w:rsidP="006E5323" w:rsidRDefault="006E5323" w14:paraId="4370CD86" w14:textId="77777777">
            <w:pPr>
              <w:jc w:val="center"/>
              <w:rPr>
                <w:rFonts w:eastAsia="Calibri" w:cs="Times New Roman"/>
                <w:sz w:val="20"/>
                <w:szCs w:val="20"/>
              </w:rPr>
            </w:pPr>
            <w:r w:rsidRPr="006E5323">
              <w:rPr>
                <w:rFonts w:eastAsia="Calibri" w:cs="Times New Roman"/>
                <w:sz w:val="20"/>
                <w:szCs w:val="20"/>
              </w:rPr>
              <w:t>Igaunija (EUR)</w:t>
            </w:r>
          </w:p>
        </w:tc>
        <w:tc>
          <w:tcPr>
            <w:tcW w:w="3077" w:type="dxa"/>
          </w:tcPr>
          <w:p w:rsidRPr="006E5323" w:rsidR="006E5323" w:rsidP="006E5323" w:rsidRDefault="006E5323" w14:paraId="59895E87" w14:textId="77777777">
            <w:pPr>
              <w:jc w:val="center"/>
              <w:rPr>
                <w:rFonts w:eastAsia="Calibri" w:cs="Times New Roman"/>
                <w:sz w:val="20"/>
                <w:szCs w:val="20"/>
              </w:rPr>
            </w:pPr>
            <w:r w:rsidRPr="006E5323">
              <w:rPr>
                <w:rFonts w:eastAsia="Calibri" w:cs="Times New Roman"/>
                <w:sz w:val="20"/>
                <w:szCs w:val="20"/>
              </w:rPr>
              <w:t>Lietuva (EUR)</w:t>
            </w:r>
          </w:p>
        </w:tc>
      </w:tr>
      <w:tr w:rsidRPr="006E5323" w:rsidR="006E5323" w:rsidTr="00507CEE" w14:paraId="5B0D1A6F" w14:textId="77777777">
        <w:tc>
          <w:tcPr>
            <w:tcW w:w="3077" w:type="dxa"/>
          </w:tcPr>
          <w:p w:rsidRPr="006E5323" w:rsidR="006E5323" w:rsidP="006E5323" w:rsidRDefault="006E5323" w14:paraId="385D626C" w14:textId="77777777">
            <w:pPr>
              <w:rPr>
                <w:rFonts w:eastAsia="Calibri" w:cs="Times New Roman"/>
                <w:sz w:val="20"/>
                <w:szCs w:val="20"/>
              </w:rPr>
            </w:pPr>
            <w:r w:rsidRPr="006E5323">
              <w:rPr>
                <w:rFonts w:eastAsia="Calibri" w:cs="Times New Roman"/>
                <w:sz w:val="20"/>
                <w:szCs w:val="20"/>
              </w:rPr>
              <w:t>1.ceturksnis (fakts)</w:t>
            </w:r>
          </w:p>
        </w:tc>
        <w:tc>
          <w:tcPr>
            <w:tcW w:w="3077" w:type="dxa"/>
          </w:tcPr>
          <w:p w:rsidRPr="006E5323" w:rsidR="006E5323" w:rsidP="006E5323" w:rsidRDefault="006E5323" w14:paraId="719590DD" w14:textId="77777777">
            <w:pPr>
              <w:jc w:val="right"/>
              <w:rPr>
                <w:rFonts w:eastAsia="Calibri" w:cs="Times New Roman"/>
                <w:sz w:val="20"/>
                <w:szCs w:val="20"/>
              </w:rPr>
            </w:pPr>
            <w:r w:rsidRPr="006E5323">
              <w:rPr>
                <w:rFonts w:eastAsia="Calibri" w:cs="Times New Roman"/>
                <w:sz w:val="20"/>
                <w:szCs w:val="20"/>
              </w:rPr>
              <w:t>5 049</w:t>
            </w:r>
          </w:p>
        </w:tc>
        <w:tc>
          <w:tcPr>
            <w:tcW w:w="3077" w:type="dxa"/>
          </w:tcPr>
          <w:p w:rsidRPr="006E5323" w:rsidR="006E5323" w:rsidP="006E5323" w:rsidRDefault="006E5323" w14:paraId="11E36101" w14:textId="77777777">
            <w:pPr>
              <w:jc w:val="right"/>
              <w:rPr>
                <w:rFonts w:eastAsia="Calibri" w:cs="Times New Roman"/>
                <w:sz w:val="20"/>
                <w:szCs w:val="20"/>
              </w:rPr>
            </w:pPr>
            <w:r w:rsidRPr="006E5323">
              <w:rPr>
                <w:rFonts w:eastAsia="Calibri" w:cs="Times New Roman"/>
                <w:sz w:val="20"/>
                <w:szCs w:val="20"/>
              </w:rPr>
              <w:t>3 394</w:t>
            </w:r>
          </w:p>
        </w:tc>
      </w:tr>
      <w:tr w:rsidRPr="006E5323" w:rsidR="006E5323" w:rsidTr="00507CEE" w14:paraId="66BCD6EF" w14:textId="77777777">
        <w:tc>
          <w:tcPr>
            <w:tcW w:w="3077" w:type="dxa"/>
          </w:tcPr>
          <w:p w:rsidRPr="006E5323" w:rsidR="006E5323" w:rsidP="006E5323" w:rsidRDefault="006E5323" w14:paraId="20BC0192" w14:textId="77777777">
            <w:pPr>
              <w:rPr>
                <w:rFonts w:eastAsia="Calibri" w:cs="Times New Roman"/>
                <w:sz w:val="20"/>
                <w:szCs w:val="20"/>
              </w:rPr>
            </w:pPr>
            <w:r w:rsidRPr="006E5323">
              <w:rPr>
                <w:rFonts w:eastAsia="Calibri" w:cs="Times New Roman"/>
                <w:sz w:val="20"/>
                <w:szCs w:val="20"/>
              </w:rPr>
              <w:t>2.ceturksnis (fakts)</w:t>
            </w:r>
          </w:p>
        </w:tc>
        <w:tc>
          <w:tcPr>
            <w:tcW w:w="3077" w:type="dxa"/>
          </w:tcPr>
          <w:p w:rsidRPr="006E5323" w:rsidR="006E5323" w:rsidP="006E5323" w:rsidRDefault="006E5323" w14:paraId="6795116F" w14:textId="77777777">
            <w:pPr>
              <w:jc w:val="right"/>
              <w:rPr>
                <w:rFonts w:eastAsia="Calibri" w:cs="Times New Roman"/>
                <w:sz w:val="20"/>
                <w:szCs w:val="20"/>
              </w:rPr>
            </w:pPr>
            <w:r w:rsidRPr="006E5323">
              <w:rPr>
                <w:rFonts w:eastAsia="Calibri" w:cs="Times New Roman"/>
                <w:sz w:val="20"/>
                <w:szCs w:val="20"/>
              </w:rPr>
              <w:t>4 514</w:t>
            </w:r>
          </w:p>
        </w:tc>
        <w:tc>
          <w:tcPr>
            <w:tcW w:w="3077" w:type="dxa"/>
          </w:tcPr>
          <w:p w:rsidRPr="006E5323" w:rsidR="006E5323" w:rsidP="006E5323" w:rsidRDefault="006E5323" w14:paraId="5CCAAF88" w14:textId="77777777">
            <w:pPr>
              <w:jc w:val="right"/>
              <w:rPr>
                <w:rFonts w:eastAsia="Calibri" w:cs="Times New Roman"/>
                <w:sz w:val="20"/>
                <w:szCs w:val="20"/>
              </w:rPr>
            </w:pPr>
            <w:r w:rsidRPr="006E5323">
              <w:rPr>
                <w:rFonts w:eastAsia="Calibri" w:cs="Times New Roman"/>
                <w:sz w:val="20"/>
                <w:szCs w:val="20"/>
              </w:rPr>
              <w:t>5 673</w:t>
            </w:r>
          </w:p>
        </w:tc>
      </w:tr>
      <w:tr w:rsidRPr="006E5323" w:rsidR="006E5323" w:rsidTr="00507CEE" w14:paraId="47B87FE1" w14:textId="77777777">
        <w:tc>
          <w:tcPr>
            <w:tcW w:w="3077" w:type="dxa"/>
          </w:tcPr>
          <w:p w:rsidRPr="006E5323" w:rsidR="006E5323" w:rsidP="006E5323" w:rsidRDefault="006E5323" w14:paraId="758E898E" w14:textId="77777777">
            <w:pPr>
              <w:rPr>
                <w:rFonts w:eastAsia="Calibri" w:cs="Times New Roman"/>
                <w:sz w:val="20"/>
                <w:szCs w:val="20"/>
              </w:rPr>
            </w:pPr>
            <w:r w:rsidRPr="006E5323">
              <w:rPr>
                <w:rFonts w:eastAsia="Calibri" w:cs="Times New Roman"/>
                <w:sz w:val="20"/>
                <w:szCs w:val="20"/>
              </w:rPr>
              <w:t>3.ceturksnis (fakts)</w:t>
            </w:r>
          </w:p>
        </w:tc>
        <w:tc>
          <w:tcPr>
            <w:tcW w:w="3077" w:type="dxa"/>
          </w:tcPr>
          <w:p w:rsidRPr="006E5323" w:rsidR="006E5323" w:rsidP="006E5323" w:rsidRDefault="006E5323" w14:paraId="783FFAA7" w14:textId="77777777">
            <w:pPr>
              <w:jc w:val="right"/>
              <w:rPr>
                <w:rFonts w:eastAsia="Calibri" w:cs="Times New Roman"/>
                <w:sz w:val="20"/>
                <w:szCs w:val="20"/>
              </w:rPr>
            </w:pPr>
            <w:r w:rsidRPr="006E5323">
              <w:rPr>
                <w:rFonts w:eastAsia="Calibri" w:cs="Times New Roman"/>
                <w:sz w:val="20"/>
                <w:szCs w:val="20"/>
              </w:rPr>
              <w:t>4 341</w:t>
            </w:r>
          </w:p>
        </w:tc>
        <w:tc>
          <w:tcPr>
            <w:tcW w:w="3077" w:type="dxa"/>
          </w:tcPr>
          <w:p w:rsidRPr="006E5323" w:rsidR="006E5323" w:rsidP="006E5323" w:rsidRDefault="006E5323" w14:paraId="497FD26D" w14:textId="77777777">
            <w:pPr>
              <w:jc w:val="right"/>
              <w:rPr>
                <w:rFonts w:eastAsia="Calibri" w:cs="Times New Roman"/>
                <w:sz w:val="20"/>
                <w:szCs w:val="20"/>
              </w:rPr>
            </w:pPr>
            <w:r w:rsidRPr="006E5323">
              <w:rPr>
                <w:rFonts w:eastAsia="Calibri" w:cs="Times New Roman"/>
                <w:sz w:val="20"/>
                <w:szCs w:val="20"/>
              </w:rPr>
              <w:t>3 739</w:t>
            </w:r>
          </w:p>
        </w:tc>
      </w:tr>
      <w:tr w:rsidRPr="006E5323" w:rsidR="006E5323" w:rsidTr="00507CEE" w14:paraId="06D3DCDF" w14:textId="77777777">
        <w:tc>
          <w:tcPr>
            <w:tcW w:w="3077" w:type="dxa"/>
          </w:tcPr>
          <w:p w:rsidRPr="006E5323" w:rsidR="006E5323" w:rsidP="006E5323" w:rsidRDefault="006E5323" w14:paraId="0C0EC43E" w14:textId="77777777">
            <w:pPr>
              <w:rPr>
                <w:rFonts w:eastAsia="Calibri" w:cs="Times New Roman"/>
                <w:sz w:val="20"/>
                <w:szCs w:val="20"/>
              </w:rPr>
            </w:pPr>
            <w:r w:rsidRPr="006E5323">
              <w:rPr>
                <w:rFonts w:eastAsia="Calibri" w:cs="Times New Roman"/>
                <w:sz w:val="20"/>
                <w:szCs w:val="20"/>
              </w:rPr>
              <w:t>4.ceturksnis (plāns)</w:t>
            </w:r>
          </w:p>
        </w:tc>
        <w:tc>
          <w:tcPr>
            <w:tcW w:w="3077" w:type="dxa"/>
          </w:tcPr>
          <w:p w:rsidRPr="006E5323" w:rsidR="006E5323" w:rsidP="006E5323" w:rsidRDefault="006E5323" w14:paraId="2D8B2869" w14:textId="77777777">
            <w:pPr>
              <w:jc w:val="right"/>
              <w:rPr>
                <w:rFonts w:eastAsia="Calibri" w:cs="Times New Roman"/>
                <w:sz w:val="20"/>
                <w:szCs w:val="20"/>
              </w:rPr>
            </w:pPr>
            <w:r w:rsidRPr="006E5323">
              <w:rPr>
                <w:rFonts w:eastAsia="Calibri" w:cs="Times New Roman"/>
                <w:sz w:val="20"/>
                <w:szCs w:val="20"/>
              </w:rPr>
              <w:t>4 341</w:t>
            </w:r>
          </w:p>
        </w:tc>
        <w:tc>
          <w:tcPr>
            <w:tcW w:w="3077" w:type="dxa"/>
          </w:tcPr>
          <w:p w:rsidRPr="006E5323" w:rsidR="006E5323" w:rsidP="006E5323" w:rsidRDefault="006E5323" w14:paraId="4E9A0C3A" w14:textId="77777777">
            <w:pPr>
              <w:jc w:val="right"/>
              <w:rPr>
                <w:rFonts w:eastAsia="Calibri" w:cs="Times New Roman"/>
                <w:sz w:val="20"/>
                <w:szCs w:val="20"/>
              </w:rPr>
            </w:pPr>
            <w:r w:rsidRPr="006E5323">
              <w:rPr>
                <w:rFonts w:eastAsia="Calibri" w:cs="Times New Roman"/>
                <w:sz w:val="20"/>
                <w:szCs w:val="20"/>
              </w:rPr>
              <w:t>3 739</w:t>
            </w:r>
          </w:p>
        </w:tc>
      </w:tr>
      <w:tr w:rsidRPr="006E5323" w:rsidR="006E5323" w:rsidTr="00507CEE" w14:paraId="26AAD67A" w14:textId="77777777">
        <w:tc>
          <w:tcPr>
            <w:tcW w:w="3077" w:type="dxa"/>
          </w:tcPr>
          <w:p w:rsidRPr="006E5323" w:rsidR="006E5323" w:rsidP="006E5323" w:rsidRDefault="006E5323" w14:paraId="08CD1BA6" w14:textId="77777777">
            <w:pPr>
              <w:jc w:val="both"/>
              <w:rPr>
                <w:rFonts w:eastAsia="Calibri" w:cs="Times New Roman"/>
                <w:sz w:val="20"/>
                <w:szCs w:val="20"/>
              </w:rPr>
            </w:pPr>
          </w:p>
        </w:tc>
        <w:tc>
          <w:tcPr>
            <w:tcW w:w="3077" w:type="dxa"/>
          </w:tcPr>
          <w:p w:rsidRPr="006E5323" w:rsidR="006E5323" w:rsidP="006E5323" w:rsidRDefault="006E5323" w14:paraId="3FAA7177" w14:textId="77777777">
            <w:pPr>
              <w:jc w:val="both"/>
              <w:rPr>
                <w:rFonts w:eastAsia="Calibri" w:cs="Times New Roman"/>
                <w:sz w:val="20"/>
                <w:szCs w:val="20"/>
              </w:rPr>
            </w:pPr>
          </w:p>
        </w:tc>
        <w:tc>
          <w:tcPr>
            <w:tcW w:w="3077" w:type="dxa"/>
          </w:tcPr>
          <w:p w:rsidRPr="006E5323" w:rsidR="006E5323" w:rsidP="006E5323" w:rsidRDefault="006E5323" w14:paraId="08CFCAFC" w14:textId="77777777">
            <w:pPr>
              <w:jc w:val="both"/>
              <w:rPr>
                <w:rFonts w:eastAsia="Calibri" w:cs="Times New Roman"/>
                <w:sz w:val="20"/>
                <w:szCs w:val="20"/>
              </w:rPr>
            </w:pPr>
          </w:p>
        </w:tc>
      </w:tr>
      <w:tr w:rsidRPr="006E5323" w:rsidR="006E5323" w:rsidTr="00507CEE" w14:paraId="4184630E" w14:textId="77777777">
        <w:tc>
          <w:tcPr>
            <w:tcW w:w="3077" w:type="dxa"/>
          </w:tcPr>
          <w:p w:rsidRPr="006E5323" w:rsidR="006E5323" w:rsidP="006E5323" w:rsidRDefault="006E5323" w14:paraId="02F2D141" w14:textId="77777777">
            <w:pPr>
              <w:jc w:val="both"/>
              <w:rPr>
                <w:rFonts w:eastAsia="Calibri" w:cs="Times New Roman"/>
                <w:sz w:val="20"/>
                <w:szCs w:val="20"/>
              </w:rPr>
            </w:pPr>
            <w:r w:rsidRPr="006E5323">
              <w:rPr>
                <w:rFonts w:eastAsia="Calibri" w:cs="Times New Roman"/>
                <w:sz w:val="20"/>
                <w:szCs w:val="20"/>
              </w:rPr>
              <w:t>Kopā</w:t>
            </w:r>
          </w:p>
        </w:tc>
        <w:tc>
          <w:tcPr>
            <w:tcW w:w="3077" w:type="dxa"/>
          </w:tcPr>
          <w:p w:rsidRPr="006E5323" w:rsidR="006E5323" w:rsidP="006E5323" w:rsidRDefault="006E5323" w14:paraId="3852504E" w14:textId="77777777">
            <w:pPr>
              <w:jc w:val="right"/>
              <w:rPr>
                <w:rFonts w:eastAsia="Calibri" w:cs="Times New Roman"/>
                <w:sz w:val="20"/>
                <w:szCs w:val="20"/>
              </w:rPr>
            </w:pPr>
            <w:r w:rsidRPr="006E5323">
              <w:rPr>
                <w:rFonts w:eastAsia="Calibri" w:cs="Times New Roman"/>
                <w:sz w:val="20"/>
                <w:szCs w:val="20"/>
              </w:rPr>
              <w:t>18 245</w:t>
            </w:r>
          </w:p>
        </w:tc>
        <w:tc>
          <w:tcPr>
            <w:tcW w:w="3077" w:type="dxa"/>
          </w:tcPr>
          <w:p w:rsidRPr="006E5323" w:rsidR="006E5323" w:rsidP="006E5323" w:rsidRDefault="006E5323" w14:paraId="48DF81D3" w14:textId="77777777">
            <w:pPr>
              <w:jc w:val="right"/>
              <w:rPr>
                <w:rFonts w:eastAsia="Calibri" w:cs="Times New Roman"/>
                <w:sz w:val="20"/>
                <w:szCs w:val="20"/>
              </w:rPr>
            </w:pPr>
            <w:r w:rsidRPr="006E5323">
              <w:rPr>
                <w:rFonts w:eastAsia="Calibri" w:cs="Times New Roman"/>
                <w:sz w:val="20"/>
                <w:szCs w:val="20"/>
              </w:rPr>
              <w:t>16 546</w:t>
            </w:r>
          </w:p>
        </w:tc>
      </w:tr>
    </w:tbl>
    <w:p w:rsidRPr="006E5323" w:rsidR="006E5323" w:rsidP="006E5323" w:rsidRDefault="006E5323" w14:paraId="0ED8DD0A" w14:textId="77777777">
      <w:pPr>
        <w:spacing w:after="0" w:line="276"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      4.tabula RBR Igaunijas un Lietuvas valstu budžetos iemaksātais PVN 2019.gadā (EUR) </w:t>
      </w:r>
    </w:p>
    <w:p w:rsidRPr="006E5323" w:rsidR="006E5323" w:rsidP="006E5323" w:rsidRDefault="006E5323" w14:paraId="30A49104" w14:textId="77777777">
      <w:pPr>
        <w:spacing w:after="0" w:line="276" w:lineRule="auto"/>
        <w:ind w:firstLine="567"/>
        <w:jc w:val="both"/>
        <w:rPr>
          <w:rFonts w:ascii="Times New Roman" w:hAnsi="Times New Roman" w:eastAsia="Calibri" w:cs="Times New Roman"/>
          <w:sz w:val="24"/>
          <w:szCs w:val="24"/>
        </w:rPr>
      </w:pPr>
    </w:p>
    <w:p w:rsidRPr="006E5323" w:rsidR="006E5323" w:rsidP="006E5323" w:rsidRDefault="006E5323" w14:paraId="345C0BC3"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Tā kā 2019.gadā RBR PVN maksājumu veidā Igaunijas valsts budžetā ir iemaksājis 18 245 EUR un Lietuvas valsts budžetā 16 546 EUR, Igaunijas un Lietuvas 2019.gada 77 333 EUR iemaksas RBR kapitālā kompensē vismaz turpmāko četru gadu RBR PVN maksājumus Igaunijas un Lietuvas valstu budžetos.</w:t>
      </w:r>
    </w:p>
    <w:p w:rsidRPr="006E5323" w:rsidR="006E5323" w:rsidP="006E5323" w:rsidRDefault="006E5323" w14:paraId="4A3C125A" w14:textId="77777777">
      <w:pPr>
        <w:spacing w:after="0" w:line="240" w:lineRule="auto"/>
        <w:ind w:firstLine="567"/>
        <w:jc w:val="both"/>
        <w:rPr>
          <w:rFonts w:ascii="Times New Roman" w:hAnsi="Times New Roman" w:eastAsia="Calibri" w:cs="Times New Roman"/>
          <w:sz w:val="24"/>
          <w:szCs w:val="24"/>
        </w:rPr>
      </w:pPr>
      <w:bookmarkStart w:name="_Hlk25581519" w:id="4"/>
      <w:r w:rsidRPr="006E5323">
        <w:rPr>
          <w:rFonts w:ascii="Times New Roman" w:hAnsi="Times New Roman" w:eastAsia="Calibri" w:cs="Times New Roman"/>
          <w:sz w:val="24"/>
          <w:szCs w:val="24"/>
        </w:rPr>
        <w:t>Tā kā atbilstoši projekta ieviešanas grafikam 2019.gadā ir precizēti plānotie Projekta maksājumi un ir izveidojies līdzekļu atlikums, Ministrija piedāvā, ka pamatojoties uz Noteikumu 4.punktu, nepieciešamā PVN apmaksa tiek nodrošināta valsts budžetā ieplānotā finansējuma ietvaros. Ministrija, ja tiek saņemts Ministru kabineta atbalsts RBR horizontālo aktivitāšu PVN maksājumu segšanai no valsts budžeta, plāno iesniegt Finanšu ministrijā apropriācijas pārdales pieprasījumu apakšprogrammā 60.07.00 "Eiropas transporta infrastruktūras Projekti (Rail Baltica)".</w:t>
      </w:r>
      <w:bookmarkEnd w:id="4"/>
      <w:r w:rsidRPr="006E5323">
        <w:rPr>
          <w:rFonts w:ascii="Times New Roman" w:hAnsi="Times New Roman" w:eastAsia="Calibri" w:cs="Times New Roman"/>
          <w:sz w:val="24"/>
          <w:szCs w:val="24"/>
        </w:rPr>
        <w:t xml:space="preserve"> Tādejādi, minētais risinājums uz valsts budžetu atstāj fiskāli neitrālu ietekmi. </w:t>
      </w:r>
    </w:p>
    <w:p w:rsidRPr="006E5323" w:rsidR="006E5323" w:rsidP="006E5323" w:rsidRDefault="006E5323" w14:paraId="7D98F0B7" w14:textId="77777777">
      <w:pPr>
        <w:spacing w:after="0" w:line="276" w:lineRule="auto"/>
        <w:jc w:val="both"/>
        <w:rPr>
          <w:rFonts w:ascii="Times New Roman" w:hAnsi="Times New Roman" w:eastAsia="Calibri" w:cs="Times New Roman"/>
          <w:b/>
          <w:bCs/>
          <w:noProof/>
          <w:sz w:val="24"/>
          <w:szCs w:val="24"/>
        </w:rPr>
      </w:pPr>
    </w:p>
    <w:p w:rsidRPr="006E5323" w:rsidR="006E5323" w:rsidP="006E5323" w:rsidRDefault="006E5323" w14:paraId="6F579D81" w14:textId="77777777">
      <w:pPr>
        <w:spacing w:after="0" w:line="276" w:lineRule="auto"/>
        <w:jc w:val="both"/>
        <w:rPr>
          <w:rFonts w:ascii="Times New Roman" w:hAnsi="Times New Roman" w:eastAsia="Calibri" w:cs="Times New Roman"/>
          <w:b/>
          <w:bCs/>
          <w:noProof/>
          <w:sz w:val="24"/>
          <w:szCs w:val="24"/>
        </w:rPr>
      </w:pPr>
      <w:r w:rsidRPr="006E5323">
        <w:rPr>
          <w:rFonts w:ascii="Times New Roman" w:hAnsi="Times New Roman" w:eastAsia="Calibri" w:cs="Times New Roman"/>
          <w:b/>
          <w:bCs/>
          <w:noProof/>
          <w:sz w:val="24"/>
          <w:szCs w:val="24"/>
        </w:rPr>
        <w:t>RBR aktivitāšu PVN finansēšana 2020. – 2023. gadā.</w:t>
      </w:r>
    </w:p>
    <w:p w:rsidRPr="006E5323" w:rsidR="006E5323" w:rsidP="006E5323" w:rsidRDefault="006E5323" w14:paraId="0F4255FA" w14:textId="77777777">
      <w:pPr>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RBR, īstenojot Projekta horizontālās aktivitātes, laika posmā no 2020.gada līdz 2023.gadam PVN maksājumu veidā, kas nav atgūstams kā priekšnodoklis, Latvijas valsts budžetā plāno iemaksāt </w:t>
      </w:r>
      <w:r w:rsidRPr="006E5323">
        <w:rPr>
          <w:rFonts w:ascii="Times New Roman" w:hAnsi="Times New Roman" w:eastAsia="Calibri" w:cs="Times New Roman"/>
          <w:noProof/>
          <w:sz w:val="24"/>
          <w:szCs w:val="24"/>
        </w:rPr>
        <w:t>10 236 389 EUR. Aktivitātes</w:t>
      </w:r>
      <w:r w:rsidRPr="006E5323">
        <w:rPr>
          <w:rFonts w:ascii="Times New Roman" w:hAnsi="Times New Roman" w:eastAsia="Calibri" w:cs="Times New Roman"/>
          <w:b/>
          <w:bCs/>
          <w:noProof/>
          <w:sz w:val="24"/>
          <w:szCs w:val="24"/>
        </w:rPr>
        <w:t>,</w:t>
      </w:r>
      <w:r w:rsidRPr="006E5323">
        <w:rPr>
          <w:rFonts w:ascii="Times New Roman" w:hAnsi="Times New Roman" w:eastAsia="Calibri" w:cs="Times New Roman"/>
          <w:sz w:val="24"/>
          <w:szCs w:val="24"/>
        </w:rPr>
        <w:t xml:space="preserve"> par kurām laika posmā līdz 2023.gadam plānots veikt PVN maksājumus ir uzskaitītas 5.tabulā.  </w:t>
      </w:r>
    </w:p>
    <w:p w:rsidRPr="006E5323" w:rsidR="006E5323" w:rsidP="006E5323" w:rsidRDefault="006E5323" w14:paraId="7EE911E3"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4E6028E6"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5A0DEE13"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637325AB"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5378F7FF"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62CEDA89" w14:textId="77777777">
      <w:pPr>
        <w:spacing w:after="0" w:line="240" w:lineRule="auto"/>
        <w:ind w:firstLine="567"/>
        <w:jc w:val="both"/>
        <w:rPr>
          <w:rFonts w:ascii="Times New Roman" w:hAnsi="Times New Roman" w:eastAsia="Calibri" w:cs="Times New Roman"/>
          <w:sz w:val="24"/>
          <w:szCs w:val="24"/>
        </w:rPr>
      </w:pPr>
    </w:p>
    <w:p w:rsidRPr="006E5323" w:rsidR="006E5323" w:rsidP="006E5323" w:rsidRDefault="006E5323" w14:paraId="34A29F00" w14:textId="77777777">
      <w:pPr>
        <w:spacing w:after="0" w:line="240" w:lineRule="auto"/>
        <w:ind w:firstLine="567"/>
        <w:jc w:val="both"/>
        <w:rPr>
          <w:rFonts w:ascii="Times New Roman" w:hAnsi="Times New Roman" w:eastAsia="Calibri" w:cs="Times New Roman"/>
          <w:sz w:val="24"/>
          <w:szCs w:val="24"/>
        </w:rPr>
      </w:pPr>
    </w:p>
    <w:tbl>
      <w:tblPr>
        <w:tblW w:w="8779" w:type="dxa"/>
        <w:tblLook w:val="04A0" w:firstRow="1" w:lastRow="0" w:firstColumn="1" w:lastColumn="0" w:noHBand="0" w:noVBand="1"/>
      </w:tblPr>
      <w:tblGrid>
        <w:gridCol w:w="2967"/>
        <w:gridCol w:w="1559"/>
        <w:gridCol w:w="1359"/>
        <w:gridCol w:w="1514"/>
        <w:gridCol w:w="1380"/>
      </w:tblGrid>
      <w:tr w:rsidRPr="006E5323" w:rsidR="006E5323" w:rsidTr="00507CEE" w14:paraId="7C0049F4" w14:textId="77777777">
        <w:trPr>
          <w:trHeight w:val="300"/>
        </w:trPr>
        <w:tc>
          <w:tcPr>
            <w:tcW w:w="2967" w:type="dxa"/>
            <w:tcBorders>
              <w:top w:val="single" w:color="auto" w:sz="4" w:space="0"/>
              <w:left w:val="single" w:color="auto" w:sz="8" w:space="0"/>
              <w:bottom w:val="single" w:color="auto" w:sz="4" w:space="0"/>
              <w:right w:val="nil"/>
            </w:tcBorders>
            <w:shd w:val="clear" w:color="auto" w:fill="auto"/>
            <w:vAlign w:val="bottom"/>
            <w:hideMark/>
          </w:tcPr>
          <w:p w:rsidRPr="006E5323" w:rsidR="006E5323" w:rsidP="006E5323" w:rsidRDefault="006E5323" w14:paraId="5DBA85AF" w14:textId="77777777">
            <w:pPr>
              <w:spacing w:after="0" w:line="240" w:lineRule="auto"/>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RBR plānotie maksājumi 2020-2023</w:t>
            </w:r>
          </w:p>
        </w:tc>
        <w:tc>
          <w:tcPr>
            <w:tcW w:w="1559" w:type="dxa"/>
            <w:tcBorders>
              <w:top w:val="single" w:color="auto" w:sz="4" w:space="0"/>
              <w:left w:val="nil"/>
              <w:bottom w:val="single" w:color="auto" w:sz="4" w:space="0"/>
              <w:right w:val="nil"/>
            </w:tcBorders>
            <w:shd w:val="clear" w:color="auto" w:fill="auto"/>
            <w:vAlign w:val="bottom"/>
            <w:hideMark/>
          </w:tcPr>
          <w:p w:rsidRPr="006E5323" w:rsidR="006E5323" w:rsidP="006E5323" w:rsidRDefault="006E5323" w14:paraId="57A77DBD" w14:textId="77777777">
            <w:pPr>
              <w:spacing w:after="0" w:line="240" w:lineRule="auto"/>
              <w:rPr>
                <w:rFonts w:ascii="Times New Roman" w:hAnsi="Times New Roman" w:eastAsia="Times New Roman" w:cs="Times New Roman"/>
                <w:sz w:val="20"/>
                <w:szCs w:val="20"/>
                <w:lang w:eastAsia="en-GB"/>
              </w:rPr>
            </w:pPr>
          </w:p>
        </w:tc>
        <w:tc>
          <w:tcPr>
            <w:tcW w:w="1359" w:type="dxa"/>
            <w:tcBorders>
              <w:top w:val="single" w:color="auto" w:sz="4" w:space="0"/>
              <w:left w:val="nil"/>
              <w:bottom w:val="single" w:color="auto" w:sz="4" w:space="0"/>
              <w:right w:val="nil"/>
            </w:tcBorders>
            <w:shd w:val="clear" w:color="auto" w:fill="auto"/>
            <w:vAlign w:val="bottom"/>
            <w:hideMark/>
          </w:tcPr>
          <w:p w:rsidRPr="006E5323" w:rsidR="006E5323" w:rsidP="006E5323" w:rsidRDefault="006E5323" w14:paraId="4F8F9C78" w14:textId="77777777">
            <w:pPr>
              <w:spacing w:after="0" w:line="240" w:lineRule="auto"/>
              <w:rPr>
                <w:rFonts w:ascii="Times New Roman" w:hAnsi="Times New Roman" w:eastAsia="Times New Roman" w:cs="Times New Roman"/>
                <w:sz w:val="20"/>
                <w:szCs w:val="20"/>
                <w:lang w:eastAsia="en-GB"/>
              </w:rPr>
            </w:pPr>
          </w:p>
        </w:tc>
        <w:tc>
          <w:tcPr>
            <w:tcW w:w="1514" w:type="dxa"/>
            <w:tcBorders>
              <w:top w:val="single" w:color="auto" w:sz="4" w:space="0"/>
              <w:left w:val="nil"/>
              <w:bottom w:val="single" w:color="auto" w:sz="4" w:space="0"/>
              <w:right w:val="nil"/>
            </w:tcBorders>
            <w:shd w:val="clear" w:color="auto" w:fill="auto"/>
            <w:vAlign w:val="bottom"/>
            <w:hideMark/>
          </w:tcPr>
          <w:p w:rsidRPr="006E5323" w:rsidR="006E5323" w:rsidP="006E5323" w:rsidRDefault="006E5323" w14:paraId="53727525" w14:textId="77777777">
            <w:pPr>
              <w:spacing w:after="0" w:line="240" w:lineRule="auto"/>
              <w:rPr>
                <w:rFonts w:ascii="Times New Roman" w:hAnsi="Times New Roman" w:eastAsia="Times New Roman" w:cs="Times New Roman"/>
                <w:sz w:val="20"/>
                <w:szCs w:val="20"/>
                <w:lang w:eastAsia="en-GB"/>
              </w:rPr>
            </w:pPr>
          </w:p>
        </w:tc>
        <w:tc>
          <w:tcPr>
            <w:tcW w:w="1380" w:type="dxa"/>
            <w:tcBorders>
              <w:top w:val="single" w:color="auto" w:sz="4" w:space="0"/>
              <w:left w:val="nil"/>
              <w:bottom w:val="single" w:color="auto" w:sz="4" w:space="0"/>
              <w:right w:val="single" w:color="auto" w:sz="8" w:space="0"/>
            </w:tcBorders>
            <w:shd w:val="clear" w:color="auto" w:fill="auto"/>
            <w:vAlign w:val="bottom"/>
            <w:hideMark/>
          </w:tcPr>
          <w:p w:rsidRPr="006E5323" w:rsidR="006E5323" w:rsidP="006E5323" w:rsidRDefault="006E5323" w14:paraId="6904E634"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5B5A7C42" w14:textId="77777777">
        <w:trPr>
          <w:trHeight w:val="300"/>
        </w:trPr>
        <w:tc>
          <w:tcPr>
            <w:tcW w:w="2967" w:type="dxa"/>
            <w:tcBorders>
              <w:top w:val="single" w:color="auto" w:sz="4" w:space="0"/>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32221984"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59"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6139AACD" w14:textId="77777777">
            <w:pPr>
              <w:spacing w:after="0" w:line="240" w:lineRule="auto"/>
              <w:jc w:val="right"/>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2020</w:t>
            </w:r>
          </w:p>
        </w:tc>
        <w:tc>
          <w:tcPr>
            <w:tcW w:w="1359"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7C5A701B" w14:textId="77777777">
            <w:pPr>
              <w:spacing w:after="0" w:line="240" w:lineRule="auto"/>
              <w:jc w:val="right"/>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2021</w:t>
            </w:r>
          </w:p>
        </w:tc>
        <w:tc>
          <w:tcPr>
            <w:tcW w:w="1514" w:type="dxa"/>
            <w:tcBorders>
              <w:top w:val="single" w:color="auto" w:sz="4" w:space="0"/>
              <w:left w:val="nil"/>
              <w:bottom w:val="single" w:color="auto" w:sz="4" w:space="0"/>
              <w:right w:val="single" w:color="auto" w:sz="4" w:space="0"/>
            </w:tcBorders>
            <w:shd w:val="clear" w:color="auto" w:fill="auto"/>
            <w:vAlign w:val="bottom"/>
            <w:hideMark/>
          </w:tcPr>
          <w:p w:rsidRPr="006E5323" w:rsidR="006E5323" w:rsidP="006E5323" w:rsidRDefault="006E5323" w14:paraId="348BC2C1" w14:textId="77777777">
            <w:pPr>
              <w:spacing w:after="0" w:line="240" w:lineRule="auto"/>
              <w:jc w:val="right"/>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2022</w:t>
            </w:r>
          </w:p>
        </w:tc>
        <w:tc>
          <w:tcPr>
            <w:tcW w:w="1380" w:type="dxa"/>
            <w:tcBorders>
              <w:top w:val="single" w:color="auto" w:sz="4" w:space="0"/>
              <w:left w:val="nil"/>
              <w:bottom w:val="single" w:color="auto" w:sz="4" w:space="0"/>
              <w:right w:val="single" w:color="auto" w:sz="8" w:space="0"/>
            </w:tcBorders>
            <w:shd w:val="clear" w:color="auto" w:fill="auto"/>
            <w:vAlign w:val="bottom"/>
            <w:hideMark/>
          </w:tcPr>
          <w:p w:rsidRPr="006E5323" w:rsidR="006E5323" w:rsidP="006E5323" w:rsidRDefault="006E5323" w14:paraId="70BB4532" w14:textId="77777777">
            <w:pPr>
              <w:spacing w:after="0" w:line="240" w:lineRule="auto"/>
              <w:jc w:val="right"/>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2023</w:t>
            </w:r>
          </w:p>
        </w:tc>
      </w:tr>
      <w:tr w:rsidRPr="006E5323" w:rsidR="006E5323" w:rsidTr="00507CEE" w14:paraId="7652011C"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395DDBCD" w14:textId="77777777">
            <w:pPr>
              <w:spacing w:after="0" w:line="240" w:lineRule="auto"/>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Plānotie izdevumi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0C6098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86994BB"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57BA55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238311E3"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14C9FC8B"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4301929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Algas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E61C223"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8 881 688</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7618849"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10 101 752</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3B654F9"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10 666 347</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34E6C96C"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11 247 008</w:t>
            </w:r>
          </w:p>
        </w:tc>
      </w:tr>
      <w:tr w:rsidRPr="006E5323" w:rsidR="006E5323" w:rsidTr="00507CEE" w14:paraId="51E533F5"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23EA1ED7"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Globālā projekta pētījumi (ārpakalpojumi):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7ADD660"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3060A87"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9CE94DD"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3531C87D"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212CF058"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610721F5"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 1: A6 </w:t>
            </w:r>
            <w:proofErr w:type="spellStart"/>
            <w:r w:rsidRPr="006E5323">
              <w:rPr>
                <w:rFonts w:ascii="Times New Roman" w:hAnsi="Times New Roman" w:eastAsia="Times New Roman" w:cs="Times New Roman"/>
                <w:color w:val="000000"/>
                <w:sz w:val="20"/>
                <w:szCs w:val="20"/>
                <w:lang w:eastAsia="en-GB"/>
              </w:rPr>
              <w:t>Komercializācijas</w:t>
            </w:r>
            <w:proofErr w:type="spellEnd"/>
            <w:r w:rsidRPr="006E5323">
              <w:rPr>
                <w:rFonts w:ascii="Times New Roman" w:hAnsi="Times New Roman" w:eastAsia="Times New Roman" w:cs="Times New Roman"/>
                <w:color w:val="000000"/>
                <w:sz w:val="20"/>
                <w:szCs w:val="20"/>
                <w:lang w:eastAsia="en-GB"/>
              </w:rPr>
              <w:t xml:space="preserve"> plāns un tirgus izpētes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9AE99AE"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256 577</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A4A94B4"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A37BE31"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578840DB"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37D06F67"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40D3131"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 3: C1  Infrastruktūras pārvaldnieka pētījums, BIM, Risku vadība</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924FAB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133 200</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AB431FA"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DEE0D54"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20820A4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417753C8"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24E8BB2"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CEF3: C2 Piegādātāju tirgus pētījumi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A521E3B"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370 000</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B5E8CDC"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54E9C1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13C6820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1749BBC7"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19D6088F"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CEF3: C3 Konsolidēts sākotnējais tehniskais projekts visai dzelzceļa līnijai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31314D0"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0</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E12589D"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0DE4BD7"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5B10318C"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6C465376"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02B574B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CEF3: C4  Teritorijas plānošana, tehniskie un IVN pētījumi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64A9B5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0</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73742A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E05323E"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48652B98"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1B25B916"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60FCCFA0"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CEF1 grozījumi: </w:t>
            </w:r>
            <w:proofErr w:type="spellStart"/>
            <w:r w:rsidRPr="006E5323">
              <w:rPr>
                <w:rFonts w:ascii="Times New Roman" w:hAnsi="Times New Roman" w:eastAsia="Times New Roman" w:cs="Times New Roman"/>
                <w:color w:val="000000"/>
                <w:sz w:val="20"/>
                <w:szCs w:val="20"/>
                <w:lang w:eastAsia="en-GB"/>
              </w:rPr>
              <w:t>NoBo</w:t>
            </w:r>
            <w:proofErr w:type="spellEnd"/>
            <w:r w:rsidRPr="006E5323">
              <w:rPr>
                <w:rFonts w:ascii="Times New Roman" w:hAnsi="Times New Roman" w:eastAsia="Times New Roman" w:cs="Times New Roman"/>
                <w:color w:val="000000"/>
                <w:sz w:val="20"/>
                <w:szCs w:val="20"/>
                <w:lang w:eastAsia="en-GB"/>
              </w:rPr>
              <w:t xml:space="preserve"> - LV daļa</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DB60D6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1 089 387</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C2D384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1 089 387</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DD4F26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192 245</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4D6447DD"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73D3619E"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113A45A1"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CEF1 grozījumi: </w:t>
            </w:r>
            <w:proofErr w:type="spellStart"/>
            <w:r w:rsidRPr="006E5323">
              <w:rPr>
                <w:rFonts w:ascii="Times New Roman" w:hAnsi="Times New Roman" w:eastAsia="Times New Roman" w:cs="Times New Roman"/>
                <w:color w:val="000000"/>
                <w:sz w:val="20"/>
                <w:szCs w:val="20"/>
                <w:lang w:eastAsia="en-GB"/>
              </w:rPr>
              <w:t>NoBo</w:t>
            </w:r>
            <w:proofErr w:type="spellEnd"/>
            <w:r w:rsidRPr="006E5323">
              <w:rPr>
                <w:rFonts w:ascii="Times New Roman" w:hAnsi="Times New Roman" w:eastAsia="Times New Roman" w:cs="Times New Roman"/>
                <w:color w:val="000000"/>
                <w:sz w:val="20"/>
                <w:szCs w:val="20"/>
                <w:lang w:eastAsia="en-GB"/>
              </w:rPr>
              <w:t xml:space="preserve"> - LT, EE daļa</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38DF3A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1 797 534</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7C9100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3 007 385</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779C060"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466 638</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14D6143F"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4F4C1B4C"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0F54D51A"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CEF1 grozījumi: pētījumi - 3 valstu daļa LV, LT EE</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47FECBC"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447 000</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AA9BB2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216 000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C7E366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216 000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70FA5998"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5F3E4C8D"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35C00ED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CEF6 plānotie pētījumi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4066550"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3 342 496</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46976AC"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3 620 585</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CFA5855"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3 312 913</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2B1BA965"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1 179 779</w:t>
            </w:r>
          </w:p>
        </w:tc>
      </w:tr>
      <w:tr w:rsidRPr="006E5323" w:rsidR="006E5323" w:rsidTr="00507CEE" w14:paraId="06B19D60" w14:textId="77777777">
        <w:trPr>
          <w:trHeight w:val="300"/>
        </w:trPr>
        <w:tc>
          <w:tcPr>
            <w:tcW w:w="2967" w:type="dxa"/>
            <w:tcBorders>
              <w:top w:val="nil"/>
              <w:left w:val="single" w:color="auto" w:sz="8" w:space="0"/>
              <w:bottom w:val="single" w:color="auto" w:sz="4" w:space="0"/>
              <w:right w:val="single" w:color="auto" w:sz="4" w:space="0"/>
            </w:tcBorders>
            <w:shd w:val="clear" w:color="auto" w:fill="auto"/>
            <w:hideMark/>
          </w:tcPr>
          <w:p w:rsidRPr="006E5323" w:rsidR="006E5323" w:rsidP="006E5323" w:rsidRDefault="006E5323" w14:paraId="740B9449" w14:textId="77777777">
            <w:pPr>
              <w:spacing w:after="0" w:line="240" w:lineRule="auto"/>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Komunikācija un  projekta reklāmas izdevumi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B44B744"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435 503</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637AA8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568 561</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096F75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575 693</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A9C3BDE"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709 834</w:t>
            </w:r>
          </w:p>
        </w:tc>
      </w:tr>
      <w:tr w:rsidRPr="006E5323" w:rsidR="006E5323" w:rsidTr="00507CEE" w14:paraId="2367715E" w14:textId="77777777">
        <w:trPr>
          <w:trHeight w:val="300"/>
        </w:trPr>
        <w:tc>
          <w:tcPr>
            <w:tcW w:w="2967" w:type="dxa"/>
            <w:tcBorders>
              <w:top w:val="nil"/>
              <w:left w:val="single" w:color="auto" w:sz="8" w:space="0"/>
              <w:bottom w:val="single" w:color="auto" w:sz="4" w:space="0"/>
              <w:right w:val="single" w:color="auto" w:sz="4" w:space="0"/>
            </w:tcBorders>
            <w:shd w:val="clear" w:color="auto" w:fill="auto"/>
            <w:hideMark/>
          </w:tcPr>
          <w:p w:rsidRPr="006E5323" w:rsidR="006E5323" w:rsidP="006E5323" w:rsidRDefault="006E5323" w14:paraId="66EF2AAA" w14:textId="77777777">
            <w:pPr>
              <w:spacing w:after="0" w:line="240" w:lineRule="auto"/>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Biznesa attīstība</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0449DD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405 122</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368120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1 128 560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A8876FB"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1 155 092</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5049344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1 181 180</w:t>
            </w:r>
          </w:p>
        </w:tc>
      </w:tr>
      <w:tr w:rsidRPr="006E5323" w:rsidR="006E5323" w:rsidTr="00507CEE" w14:paraId="44FBA549" w14:textId="77777777">
        <w:trPr>
          <w:trHeight w:val="300"/>
        </w:trPr>
        <w:tc>
          <w:tcPr>
            <w:tcW w:w="2967" w:type="dxa"/>
            <w:tcBorders>
              <w:top w:val="nil"/>
              <w:left w:val="single" w:color="auto" w:sz="8" w:space="0"/>
              <w:bottom w:val="single" w:color="auto" w:sz="4" w:space="0"/>
              <w:right w:val="single" w:color="auto" w:sz="4" w:space="0"/>
            </w:tcBorders>
            <w:shd w:val="clear" w:color="auto" w:fill="auto"/>
            <w:hideMark/>
          </w:tcPr>
          <w:p w:rsidRPr="006E5323" w:rsidR="006E5323" w:rsidP="006E5323" w:rsidRDefault="006E5323" w14:paraId="5274FA5D" w14:textId="77777777">
            <w:pPr>
              <w:spacing w:after="0" w:line="240" w:lineRule="auto"/>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Pārējās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CB5AC1B"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0987E5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533DD98"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71C8F21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46198B64"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0500A808"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Profesionālie pakalpojumi (ārpakalpojumi)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53AEB7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3 509 354</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067DC5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2 838 449</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B7BF015"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3 369 817</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0CB63B9C"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5 421 770</w:t>
            </w:r>
          </w:p>
        </w:tc>
      </w:tr>
      <w:tr w:rsidRPr="006E5323" w:rsidR="006E5323" w:rsidTr="00507CEE" w14:paraId="0C8B27E5"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D054C40"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Komandējuma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F4B13A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467 324</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6E3EF1A5"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536 177</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FC9354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564 282</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50F06F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576 507</w:t>
            </w:r>
          </w:p>
        </w:tc>
      </w:tr>
      <w:tr w:rsidRPr="006E5323" w:rsidR="006E5323" w:rsidTr="00507CEE" w14:paraId="764E63C1"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18640D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Biroja telpu noma, uzturēšana un apdrošināšana</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671C72E"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640 217</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75F2F218"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616 710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43E806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644 045</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CCFADE0"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672 748</w:t>
            </w:r>
          </w:p>
        </w:tc>
      </w:tr>
      <w:tr w:rsidRPr="006E5323" w:rsidR="006E5323" w:rsidTr="00507CEE" w14:paraId="05383A04"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3855ED35"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Apmācību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379DB1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88 494</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04D74DEA"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98 230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2D4B8D6"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103 141</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45C3D7B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108 298</w:t>
            </w:r>
          </w:p>
        </w:tc>
      </w:tr>
      <w:tr w:rsidRPr="006E5323" w:rsidR="006E5323" w:rsidTr="00507CEE" w14:paraId="0352E7F3"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916627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Transporta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ACBBC0E"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134 258</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04FA3C9B"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140 371</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EF3BFC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147 390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38111B59"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154 759</w:t>
            </w:r>
          </w:p>
        </w:tc>
      </w:tr>
      <w:tr w:rsidRPr="006E5323" w:rsidR="006E5323" w:rsidTr="00507CEE" w14:paraId="67C79BCC"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1E98F4C0"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IT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CF2285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530 009</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21018F9B"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553 619</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3EF019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581 300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131D580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610 365</w:t>
            </w:r>
          </w:p>
        </w:tc>
      </w:tr>
      <w:tr w:rsidRPr="006E5323" w:rsidR="006E5323" w:rsidTr="00507CEE" w14:paraId="6254A060"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6FB0E056"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Audita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F9B2D6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50 000</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2F2A242F"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50 000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EBAEF78"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50 000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481CAF9"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50 000</w:t>
            </w:r>
          </w:p>
        </w:tc>
      </w:tr>
      <w:tr w:rsidRPr="006E5323" w:rsidR="006E5323" w:rsidTr="00507CEE" w14:paraId="454A84EF"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63996E9F"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Kancelejas u.c. tml.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035AB3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53 340</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75F74F6C"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63 835</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BAEE3A3"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71 773</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F5FB25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75 361</w:t>
            </w:r>
          </w:p>
        </w:tc>
      </w:tr>
      <w:tr w:rsidRPr="006E5323" w:rsidR="006E5323" w:rsidTr="00507CEE" w14:paraId="20B03C71"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6DA9512"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Reprezentācijas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A95C1FC"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34 085</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7E3FB058"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38 950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C5D0AF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41 152</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487A8E4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43 411</w:t>
            </w:r>
          </w:p>
        </w:tc>
      </w:tr>
      <w:tr w:rsidRPr="006E5323" w:rsidR="006E5323" w:rsidTr="00507CEE" w14:paraId="376FD777"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240B72F3"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Citas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6459B15"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428 556</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175B676C"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447 650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89B5834"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481 831</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A937EAE"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562 977</w:t>
            </w:r>
          </w:p>
        </w:tc>
      </w:tr>
      <w:tr w:rsidRPr="006E5323" w:rsidR="006E5323" w:rsidTr="00507CEE" w14:paraId="625BDF94"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8A9CC8A"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Pamatlīdzekļu iegāde</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518C1F2"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256 912</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21D52567"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247 738</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90894A6"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200 000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293B4892"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200 000</w:t>
            </w:r>
          </w:p>
        </w:tc>
      </w:tr>
      <w:tr w:rsidRPr="006E5323" w:rsidR="006E5323" w:rsidTr="00507CEE" w14:paraId="75C3499F"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799D291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Uzraudzības padomes u.c. uz CEF </w:t>
            </w:r>
            <w:proofErr w:type="spellStart"/>
            <w:r w:rsidRPr="006E5323">
              <w:rPr>
                <w:rFonts w:ascii="Times New Roman" w:hAnsi="Times New Roman" w:eastAsia="Times New Roman" w:cs="Times New Roman"/>
                <w:color w:val="000000"/>
                <w:sz w:val="20"/>
                <w:szCs w:val="20"/>
                <w:lang w:eastAsia="en-GB"/>
              </w:rPr>
              <w:t>līg</w:t>
            </w:r>
            <w:proofErr w:type="spellEnd"/>
            <w:r w:rsidRPr="006E5323">
              <w:rPr>
                <w:rFonts w:ascii="Times New Roman" w:hAnsi="Times New Roman" w:eastAsia="Times New Roman" w:cs="Times New Roman"/>
                <w:color w:val="000000"/>
                <w:sz w:val="20"/>
                <w:szCs w:val="20"/>
                <w:lang w:eastAsia="en-GB"/>
              </w:rPr>
              <w:t>. neattiec.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1D3E9959"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058DA927"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 </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69EEB07"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39AB2550"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w:t>
            </w:r>
          </w:p>
        </w:tc>
      </w:tr>
      <w:tr w:rsidRPr="006E5323" w:rsidR="006E5323" w:rsidTr="00507CEE" w14:paraId="5AD1D8E0"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5FEC579D"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Uzraudzības padomes izmaksas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8EA0FCF"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59 042</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166D2FA6"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58 832</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5C9B6AA"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63 096</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56717CE9"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66 251</w:t>
            </w:r>
          </w:p>
        </w:tc>
      </w:tr>
      <w:tr w:rsidRPr="006E5323" w:rsidR="006E5323" w:rsidTr="00507CEE" w14:paraId="7D3535A7"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3F79E83C"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Līdzdalība asociācijās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2CF1DF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0</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1EBE44BC"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0</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45FA144"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63BA4D52"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0</w:t>
            </w:r>
          </w:p>
        </w:tc>
      </w:tr>
      <w:tr w:rsidRPr="006E5323" w:rsidR="006E5323" w:rsidTr="00507CEE" w14:paraId="5149A7C2"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7D5832F6"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   Citas izmaksas, ko nefinansē CEF (jaunu CEF pieteikumu </w:t>
            </w:r>
            <w:proofErr w:type="spellStart"/>
            <w:r w:rsidRPr="006E5323">
              <w:rPr>
                <w:rFonts w:ascii="Times New Roman" w:hAnsi="Times New Roman" w:eastAsia="Times New Roman" w:cs="Times New Roman"/>
                <w:color w:val="000000"/>
                <w:sz w:val="20"/>
                <w:szCs w:val="20"/>
                <w:lang w:eastAsia="en-GB"/>
              </w:rPr>
              <w:t>sagat</w:t>
            </w:r>
            <w:proofErr w:type="spellEnd"/>
            <w:r w:rsidRPr="006E5323">
              <w:rPr>
                <w:rFonts w:ascii="Times New Roman" w:hAnsi="Times New Roman" w:eastAsia="Times New Roman" w:cs="Times New Roman"/>
                <w:color w:val="000000"/>
                <w:sz w:val="20"/>
                <w:szCs w:val="20"/>
                <w:lang w:eastAsia="en-GB"/>
              </w:rPr>
              <w:t>. u.tml.)</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3BA80BC4"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102 996</w:t>
            </w:r>
          </w:p>
        </w:tc>
        <w:tc>
          <w:tcPr>
            <w:tcW w:w="1359" w:type="dxa"/>
            <w:tcBorders>
              <w:top w:val="nil"/>
              <w:left w:val="nil"/>
              <w:bottom w:val="single" w:color="auto" w:sz="4" w:space="0"/>
              <w:right w:val="single" w:color="auto" w:sz="4" w:space="0"/>
            </w:tcBorders>
            <w:shd w:val="clear" w:color="auto" w:fill="auto"/>
            <w:hideMark/>
          </w:tcPr>
          <w:p w:rsidRPr="006E5323" w:rsidR="006E5323" w:rsidP="006E5323" w:rsidRDefault="006E5323" w14:paraId="38D8368B"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107 585</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59B1524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115 800</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02AD66B4"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135 302</w:t>
            </w:r>
          </w:p>
        </w:tc>
      </w:tr>
      <w:tr w:rsidRPr="006E5323" w:rsidR="006E5323" w:rsidTr="00507CEE" w14:paraId="5C20C2EE"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11B5A94E"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Kopā plānotie izdevumi*</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012CC81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23 513 093</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2E03E68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25 530 378</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6AFA54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23 018 556</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7B649122"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22 995 550</w:t>
            </w:r>
          </w:p>
        </w:tc>
      </w:tr>
      <w:tr w:rsidRPr="006E5323" w:rsidR="006E5323" w:rsidTr="00507CEE" w14:paraId="37587801" w14:textId="77777777">
        <w:trPr>
          <w:trHeight w:val="300"/>
        </w:trPr>
        <w:tc>
          <w:tcPr>
            <w:tcW w:w="2967" w:type="dxa"/>
            <w:tcBorders>
              <w:top w:val="nil"/>
              <w:left w:val="single" w:color="auto" w:sz="8" w:space="0"/>
              <w:bottom w:val="single" w:color="auto" w:sz="4" w:space="0"/>
              <w:right w:val="single" w:color="auto" w:sz="4" w:space="0"/>
            </w:tcBorders>
            <w:shd w:val="clear" w:color="auto" w:fill="auto"/>
            <w:vAlign w:val="bottom"/>
            <w:hideMark/>
          </w:tcPr>
          <w:p w:rsidRPr="006E5323" w:rsidR="006E5323" w:rsidP="006E5323" w:rsidRDefault="006E5323" w14:paraId="6FE30EC8"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t.sk. 3 BEN (LV+LT+EE) PVN apliekamā daļa (neietver algas)</w:t>
            </w:r>
          </w:p>
        </w:tc>
        <w:tc>
          <w:tcPr>
            <w:tcW w:w="15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74BB0531"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14 631 405</w:t>
            </w:r>
          </w:p>
        </w:tc>
        <w:tc>
          <w:tcPr>
            <w:tcW w:w="1359"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45C3106D"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15 428 626</w:t>
            </w:r>
          </w:p>
        </w:tc>
        <w:tc>
          <w:tcPr>
            <w:tcW w:w="1514" w:type="dxa"/>
            <w:tcBorders>
              <w:top w:val="nil"/>
              <w:left w:val="nil"/>
              <w:bottom w:val="single" w:color="auto" w:sz="4" w:space="0"/>
              <w:right w:val="single" w:color="auto" w:sz="4" w:space="0"/>
            </w:tcBorders>
            <w:shd w:val="clear" w:color="auto" w:fill="auto"/>
            <w:vAlign w:val="bottom"/>
            <w:hideMark/>
          </w:tcPr>
          <w:p w:rsidRPr="006E5323" w:rsidR="006E5323" w:rsidP="006E5323" w:rsidRDefault="006E5323" w14:paraId="675A0787"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12 352 209</w:t>
            </w:r>
          </w:p>
        </w:tc>
        <w:tc>
          <w:tcPr>
            <w:tcW w:w="1380" w:type="dxa"/>
            <w:tcBorders>
              <w:top w:val="nil"/>
              <w:left w:val="nil"/>
              <w:bottom w:val="single" w:color="auto" w:sz="4" w:space="0"/>
              <w:right w:val="single" w:color="auto" w:sz="8" w:space="0"/>
            </w:tcBorders>
            <w:shd w:val="clear" w:color="auto" w:fill="auto"/>
            <w:vAlign w:val="bottom"/>
            <w:hideMark/>
          </w:tcPr>
          <w:p w:rsidRPr="006E5323" w:rsidR="006E5323" w:rsidP="006E5323" w:rsidRDefault="006E5323" w14:paraId="03DFAF65" w14:textId="77777777">
            <w:pPr>
              <w:spacing w:after="0" w:line="240" w:lineRule="auto"/>
              <w:jc w:val="right"/>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11 748 542</w:t>
            </w:r>
          </w:p>
        </w:tc>
      </w:tr>
      <w:tr w:rsidRPr="006E5323" w:rsidR="006E5323" w:rsidTr="00507CEE" w14:paraId="024BDC08" w14:textId="77777777">
        <w:trPr>
          <w:trHeight w:val="315"/>
        </w:trPr>
        <w:tc>
          <w:tcPr>
            <w:tcW w:w="2967" w:type="dxa"/>
            <w:tcBorders>
              <w:top w:val="nil"/>
              <w:left w:val="single" w:color="auto" w:sz="8" w:space="0"/>
              <w:bottom w:val="nil"/>
              <w:right w:val="single" w:color="auto" w:sz="4" w:space="0"/>
            </w:tcBorders>
            <w:shd w:val="clear" w:color="auto" w:fill="auto"/>
            <w:vAlign w:val="bottom"/>
            <w:hideMark/>
          </w:tcPr>
          <w:p w:rsidRPr="006E5323" w:rsidR="006E5323" w:rsidP="006E5323" w:rsidRDefault="006E5323" w14:paraId="58008EAF" w14:textId="77777777">
            <w:pPr>
              <w:spacing w:after="0" w:line="240" w:lineRule="auto"/>
              <w:rPr>
                <w:rFonts w:ascii="Times New Roman" w:hAnsi="Times New Roman" w:eastAsia="Times New Roman" w:cs="Times New Roman"/>
                <w:color w:val="000000"/>
                <w:sz w:val="20"/>
                <w:szCs w:val="20"/>
                <w:lang w:eastAsia="en-GB"/>
              </w:rPr>
            </w:pPr>
            <w:r w:rsidRPr="006E5323">
              <w:rPr>
                <w:rFonts w:ascii="Times New Roman" w:hAnsi="Times New Roman" w:eastAsia="Times New Roman" w:cs="Times New Roman"/>
                <w:color w:val="000000"/>
                <w:sz w:val="20"/>
                <w:szCs w:val="20"/>
                <w:lang w:eastAsia="en-GB"/>
              </w:rPr>
              <w:t xml:space="preserve">3 BEN (LV+LT+EE) PVN </w:t>
            </w:r>
          </w:p>
        </w:tc>
        <w:tc>
          <w:tcPr>
            <w:tcW w:w="1559" w:type="dxa"/>
            <w:tcBorders>
              <w:top w:val="nil"/>
              <w:left w:val="nil"/>
              <w:bottom w:val="nil"/>
              <w:right w:val="single" w:color="auto" w:sz="4" w:space="0"/>
            </w:tcBorders>
            <w:shd w:val="clear" w:color="auto" w:fill="auto"/>
            <w:vAlign w:val="bottom"/>
            <w:hideMark/>
          </w:tcPr>
          <w:p w:rsidRPr="006E5323" w:rsidR="006E5323" w:rsidP="006E5323" w:rsidRDefault="006E5323" w14:paraId="286EC4FD"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3 072 595</w:t>
            </w:r>
          </w:p>
        </w:tc>
        <w:tc>
          <w:tcPr>
            <w:tcW w:w="1359" w:type="dxa"/>
            <w:tcBorders>
              <w:top w:val="nil"/>
              <w:left w:val="nil"/>
              <w:bottom w:val="nil"/>
              <w:right w:val="single" w:color="auto" w:sz="4" w:space="0"/>
            </w:tcBorders>
            <w:shd w:val="clear" w:color="auto" w:fill="auto"/>
            <w:vAlign w:val="bottom"/>
            <w:hideMark/>
          </w:tcPr>
          <w:p w:rsidRPr="006E5323" w:rsidR="006E5323" w:rsidP="006E5323" w:rsidRDefault="006E5323" w14:paraId="3C87E997"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3 240 011</w:t>
            </w:r>
          </w:p>
        </w:tc>
        <w:tc>
          <w:tcPr>
            <w:tcW w:w="1514" w:type="dxa"/>
            <w:tcBorders>
              <w:top w:val="nil"/>
              <w:left w:val="nil"/>
              <w:bottom w:val="nil"/>
              <w:right w:val="single" w:color="auto" w:sz="4" w:space="0"/>
            </w:tcBorders>
            <w:shd w:val="clear" w:color="auto" w:fill="auto"/>
            <w:vAlign w:val="bottom"/>
            <w:hideMark/>
          </w:tcPr>
          <w:p w:rsidRPr="006E5323" w:rsidR="006E5323" w:rsidP="006E5323" w:rsidRDefault="006E5323" w14:paraId="45190ADD"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2 593 964</w:t>
            </w:r>
          </w:p>
        </w:tc>
        <w:tc>
          <w:tcPr>
            <w:tcW w:w="1380" w:type="dxa"/>
            <w:tcBorders>
              <w:top w:val="nil"/>
              <w:left w:val="nil"/>
              <w:bottom w:val="nil"/>
              <w:right w:val="single" w:color="auto" w:sz="8" w:space="0"/>
            </w:tcBorders>
            <w:shd w:val="clear" w:color="auto" w:fill="auto"/>
            <w:vAlign w:val="bottom"/>
            <w:hideMark/>
          </w:tcPr>
          <w:p w:rsidRPr="006E5323" w:rsidR="006E5323" w:rsidP="006E5323" w:rsidRDefault="006E5323" w14:paraId="6CC2A549" w14:textId="77777777">
            <w:pPr>
              <w:spacing w:after="0" w:line="240" w:lineRule="auto"/>
              <w:jc w:val="right"/>
              <w:rPr>
                <w:rFonts w:ascii="Times New Roman" w:hAnsi="Times New Roman" w:eastAsia="Times New Roman" w:cs="Times New Roman"/>
                <w:sz w:val="20"/>
                <w:szCs w:val="20"/>
                <w:lang w:eastAsia="en-GB"/>
              </w:rPr>
            </w:pPr>
            <w:r w:rsidRPr="006E5323">
              <w:rPr>
                <w:rFonts w:ascii="Times New Roman" w:hAnsi="Times New Roman" w:eastAsia="Times New Roman" w:cs="Times New Roman"/>
                <w:sz w:val="20"/>
                <w:szCs w:val="20"/>
                <w:lang w:eastAsia="en-GB"/>
              </w:rPr>
              <w:t>2 467 194</w:t>
            </w:r>
          </w:p>
        </w:tc>
      </w:tr>
      <w:tr w:rsidRPr="006E5323" w:rsidR="006E5323" w:rsidTr="00507CEE" w14:paraId="7080C8BB" w14:textId="77777777">
        <w:trPr>
          <w:trHeight w:val="315"/>
        </w:trPr>
        <w:tc>
          <w:tcPr>
            <w:tcW w:w="2967" w:type="dxa"/>
            <w:tcBorders>
              <w:top w:val="single" w:color="auto" w:sz="8" w:space="0"/>
              <w:left w:val="single" w:color="auto" w:sz="8" w:space="0"/>
              <w:bottom w:val="single" w:color="auto" w:sz="8" w:space="0"/>
              <w:right w:val="single" w:color="auto" w:sz="4" w:space="0"/>
            </w:tcBorders>
            <w:shd w:val="clear" w:color="auto" w:fill="auto"/>
            <w:vAlign w:val="bottom"/>
            <w:hideMark/>
          </w:tcPr>
          <w:p w:rsidRPr="006E5323" w:rsidR="006E5323" w:rsidP="006E5323" w:rsidRDefault="006E5323" w14:paraId="3344D1C9" w14:textId="77777777">
            <w:pPr>
              <w:spacing w:after="0" w:line="240" w:lineRule="auto"/>
              <w:rPr>
                <w:rFonts w:ascii="Times New Roman" w:hAnsi="Times New Roman" w:eastAsia="Times New Roman" w:cs="Times New Roman"/>
                <w:b/>
                <w:bCs/>
                <w:color w:val="000000"/>
                <w:sz w:val="20"/>
                <w:szCs w:val="20"/>
                <w:lang w:eastAsia="en-GB"/>
              </w:rPr>
            </w:pPr>
            <w:r w:rsidRPr="006E5323">
              <w:rPr>
                <w:rFonts w:ascii="Times New Roman" w:hAnsi="Times New Roman" w:eastAsia="Times New Roman" w:cs="Times New Roman"/>
                <w:b/>
                <w:bCs/>
                <w:color w:val="000000"/>
                <w:sz w:val="20"/>
                <w:szCs w:val="20"/>
                <w:lang w:eastAsia="en-GB"/>
              </w:rPr>
              <w:t xml:space="preserve">Latvijas PVN daļa (90 %) </w:t>
            </w:r>
          </w:p>
        </w:tc>
        <w:tc>
          <w:tcPr>
            <w:tcW w:w="1559" w:type="dxa"/>
            <w:tcBorders>
              <w:top w:val="single" w:color="auto" w:sz="8" w:space="0"/>
              <w:left w:val="nil"/>
              <w:bottom w:val="single" w:color="auto" w:sz="8" w:space="0"/>
              <w:right w:val="single" w:color="auto" w:sz="4" w:space="0"/>
            </w:tcBorders>
            <w:shd w:val="clear" w:color="auto" w:fill="auto"/>
            <w:vAlign w:val="bottom"/>
            <w:hideMark/>
          </w:tcPr>
          <w:p w:rsidRPr="006E5323" w:rsidR="006E5323" w:rsidP="006E5323" w:rsidRDefault="006E5323" w14:paraId="7230CC4F" w14:textId="77777777">
            <w:pPr>
              <w:spacing w:after="0" w:line="240" w:lineRule="auto"/>
              <w:jc w:val="right"/>
              <w:rPr>
                <w:rFonts w:ascii="Times New Roman" w:hAnsi="Times New Roman" w:eastAsia="Times New Roman" w:cs="Times New Roman"/>
                <w:b/>
                <w:bCs/>
                <w:sz w:val="20"/>
                <w:szCs w:val="20"/>
                <w:lang w:eastAsia="en-GB"/>
              </w:rPr>
            </w:pPr>
            <w:r w:rsidRPr="006E5323">
              <w:rPr>
                <w:rFonts w:ascii="Times New Roman" w:hAnsi="Times New Roman" w:eastAsia="Times New Roman" w:cs="Times New Roman"/>
                <w:b/>
                <w:bCs/>
                <w:sz w:val="20"/>
                <w:szCs w:val="20"/>
                <w:lang w:eastAsia="en-GB"/>
              </w:rPr>
              <w:t>2 765 336</w:t>
            </w:r>
          </w:p>
        </w:tc>
        <w:tc>
          <w:tcPr>
            <w:tcW w:w="1359" w:type="dxa"/>
            <w:tcBorders>
              <w:top w:val="single" w:color="auto" w:sz="8" w:space="0"/>
              <w:left w:val="nil"/>
              <w:bottom w:val="single" w:color="auto" w:sz="8" w:space="0"/>
              <w:right w:val="single" w:color="auto" w:sz="4" w:space="0"/>
            </w:tcBorders>
            <w:shd w:val="clear" w:color="auto" w:fill="auto"/>
            <w:vAlign w:val="bottom"/>
            <w:hideMark/>
          </w:tcPr>
          <w:p w:rsidRPr="006E5323" w:rsidR="006E5323" w:rsidP="006E5323" w:rsidRDefault="006E5323" w14:paraId="551ADDB2" w14:textId="77777777">
            <w:pPr>
              <w:spacing w:after="0" w:line="240" w:lineRule="auto"/>
              <w:jc w:val="right"/>
              <w:rPr>
                <w:rFonts w:ascii="Times New Roman" w:hAnsi="Times New Roman" w:eastAsia="Times New Roman" w:cs="Times New Roman"/>
                <w:b/>
                <w:bCs/>
                <w:sz w:val="20"/>
                <w:szCs w:val="20"/>
                <w:lang w:eastAsia="en-GB"/>
              </w:rPr>
            </w:pPr>
            <w:r w:rsidRPr="006E5323">
              <w:rPr>
                <w:rFonts w:ascii="Times New Roman" w:hAnsi="Times New Roman" w:eastAsia="Times New Roman" w:cs="Times New Roman"/>
                <w:b/>
                <w:bCs/>
                <w:sz w:val="20"/>
                <w:szCs w:val="20"/>
                <w:lang w:eastAsia="en-GB"/>
              </w:rPr>
              <w:t>2 916 010</w:t>
            </w:r>
          </w:p>
        </w:tc>
        <w:tc>
          <w:tcPr>
            <w:tcW w:w="1514" w:type="dxa"/>
            <w:tcBorders>
              <w:top w:val="single" w:color="auto" w:sz="8" w:space="0"/>
              <w:left w:val="nil"/>
              <w:bottom w:val="single" w:color="auto" w:sz="8" w:space="0"/>
              <w:right w:val="single" w:color="auto" w:sz="4" w:space="0"/>
            </w:tcBorders>
            <w:shd w:val="clear" w:color="auto" w:fill="auto"/>
            <w:vAlign w:val="bottom"/>
            <w:hideMark/>
          </w:tcPr>
          <w:p w:rsidRPr="006E5323" w:rsidR="006E5323" w:rsidP="006E5323" w:rsidRDefault="006E5323" w14:paraId="02B7DE31" w14:textId="77777777">
            <w:pPr>
              <w:spacing w:after="0" w:line="240" w:lineRule="auto"/>
              <w:jc w:val="right"/>
              <w:rPr>
                <w:rFonts w:ascii="Times New Roman" w:hAnsi="Times New Roman" w:eastAsia="Times New Roman" w:cs="Times New Roman"/>
                <w:b/>
                <w:bCs/>
                <w:sz w:val="20"/>
                <w:szCs w:val="20"/>
                <w:lang w:eastAsia="en-GB"/>
              </w:rPr>
            </w:pPr>
            <w:r w:rsidRPr="006E5323">
              <w:rPr>
                <w:rFonts w:ascii="Times New Roman" w:hAnsi="Times New Roman" w:eastAsia="Times New Roman" w:cs="Times New Roman"/>
                <w:b/>
                <w:bCs/>
                <w:sz w:val="20"/>
                <w:szCs w:val="20"/>
                <w:lang w:eastAsia="en-GB"/>
              </w:rPr>
              <w:t>2 334 568</w:t>
            </w:r>
          </w:p>
        </w:tc>
        <w:tc>
          <w:tcPr>
            <w:tcW w:w="1380" w:type="dxa"/>
            <w:tcBorders>
              <w:top w:val="single" w:color="auto" w:sz="8" w:space="0"/>
              <w:left w:val="nil"/>
              <w:bottom w:val="single" w:color="auto" w:sz="8" w:space="0"/>
              <w:right w:val="single" w:color="auto" w:sz="8" w:space="0"/>
            </w:tcBorders>
            <w:shd w:val="clear" w:color="auto" w:fill="auto"/>
            <w:vAlign w:val="bottom"/>
            <w:hideMark/>
          </w:tcPr>
          <w:p w:rsidRPr="006E5323" w:rsidR="006E5323" w:rsidP="006E5323" w:rsidRDefault="006E5323" w14:paraId="62D3C02F" w14:textId="77777777">
            <w:pPr>
              <w:spacing w:after="0" w:line="240" w:lineRule="auto"/>
              <w:jc w:val="right"/>
              <w:rPr>
                <w:rFonts w:ascii="Times New Roman" w:hAnsi="Times New Roman" w:eastAsia="Times New Roman" w:cs="Times New Roman"/>
                <w:b/>
                <w:bCs/>
                <w:sz w:val="20"/>
                <w:szCs w:val="20"/>
                <w:lang w:eastAsia="en-GB"/>
              </w:rPr>
            </w:pPr>
            <w:r w:rsidRPr="006E5323">
              <w:rPr>
                <w:rFonts w:ascii="Times New Roman" w:hAnsi="Times New Roman" w:eastAsia="Times New Roman" w:cs="Times New Roman"/>
                <w:b/>
                <w:bCs/>
                <w:sz w:val="20"/>
                <w:szCs w:val="20"/>
                <w:lang w:eastAsia="en-GB"/>
              </w:rPr>
              <w:t>2 220 475</w:t>
            </w:r>
          </w:p>
        </w:tc>
      </w:tr>
    </w:tbl>
    <w:p w:rsidRPr="006E5323" w:rsidR="006E5323" w:rsidP="006E5323" w:rsidRDefault="006E5323" w14:paraId="17A18FDE" w14:textId="77777777">
      <w:pPr>
        <w:spacing w:after="0" w:line="276" w:lineRule="auto"/>
        <w:jc w:val="both"/>
        <w:rPr>
          <w:rFonts w:ascii="Times New Roman" w:hAnsi="Times New Roman" w:eastAsia="Calibri" w:cs="Times New Roman"/>
          <w:sz w:val="20"/>
          <w:szCs w:val="20"/>
        </w:rPr>
      </w:pPr>
      <w:r w:rsidRPr="006E5323">
        <w:rPr>
          <w:rFonts w:ascii="Times New Roman" w:hAnsi="Times New Roman" w:eastAsia="Calibri" w:cs="Times New Roman"/>
          <w:sz w:val="20"/>
          <w:szCs w:val="20"/>
        </w:rPr>
        <w:t xml:space="preserve">*izdevumi plānoti ņemot vērā arī neattiecināmās izmaksas un CEF6 un CEF7 plānotās attiecināmās izmaksas           </w:t>
      </w:r>
    </w:p>
    <w:p w:rsidRPr="006E5323" w:rsidR="006E5323" w:rsidP="006E5323" w:rsidRDefault="006E5323" w14:paraId="2C18FAB6" w14:textId="77777777">
      <w:pPr>
        <w:spacing w:after="0" w:line="276"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sz w:val="24"/>
          <w:szCs w:val="24"/>
        </w:rPr>
        <w:t xml:space="preserve">5.tabula RBR aktivitātes par kurām plānoti PVN maksājumi 2020.-2023.gadā (EUR) </w:t>
      </w:r>
    </w:p>
    <w:p w:rsidRPr="006E5323" w:rsidR="006E5323" w:rsidP="006E5323" w:rsidRDefault="006E5323" w14:paraId="5556E165" w14:textId="77777777">
      <w:pPr>
        <w:tabs>
          <w:tab w:val="left" w:pos="7088"/>
        </w:tabs>
        <w:spacing w:after="0" w:line="240" w:lineRule="auto"/>
        <w:ind w:firstLine="567"/>
        <w:jc w:val="both"/>
        <w:rPr>
          <w:rFonts w:ascii="Times New Roman" w:hAnsi="Times New Roman" w:eastAsia="Calibri" w:cs="Times New Roman"/>
          <w:noProof/>
          <w:sz w:val="24"/>
          <w:szCs w:val="24"/>
        </w:rPr>
      </w:pPr>
      <w:bookmarkStart w:name="_Hlk17280661" w:id="5"/>
    </w:p>
    <w:p w:rsidRPr="006E5323" w:rsidR="006E5323" w:rsidP="006E5323" w:rsidRDefault="006E5323" w14:paraId="0111D243" w14:textId="77777777">
      <w:pPr>
        <w:tabs>
          <w:tab w:val="left" w:pos="7088"/>
        </w:tabs>
        <w:spacing w:after="0" w:line="240" w:lineRule="auto"/>
        <w:jc w:val="both"/>
        <w:rPr>
          <w:rFonts w:ascii="Times New Roman" w:hAnsi="Times New Roman" w:eastAsia="Calibri" w:cs="Times New Roman"/>
          <w:noProof/>
          <w:sz w:val="24"/>
          <w:szCs w:val="24"/>
        </w:rPr>
      </w:pPr>
      <w:r w:rsidRPr="006E5323">
        <w:rPr>
          <w:rFonts w:ascii="Times New Roman" w:hAnsi="Times New Roman" w:eastAsia="Calibri" w:cs="Times New Roman"/>
          <w:sz w:val="24"/>
          <w:szCs w:val="24"/>
        </w:rPr>
        <w:t xml:space="preserve">          Projekta realizēšanas gaitā </w:t>
      </w:r>
      <w:r w:rsidRPr="006E5323">
        <w:rPr>
          <w:rFonts w:ascii="Times New Roman" w:hAnsi="Times New Roman" w:eastAsia="Calibri" w:cs="Times New Roman"/>
          <w:noProof/>
          <w:sz w:val="24"/>
          <w:szCs w:val="24"/>
        </w:rPr>
        <w:t xml:space="preserve">2020. – 2023.gadā RBR īstenoto horizontālo aktivitāšu rezultātā Latvijas valsts budžetā PVN, </w:t>
      </w:r>
      <w:r w:rsidRPr="006E5323">
        <w:rPr>
          <w:rFonts w:ascii="Times New Roman" w:hAnsi="Times New Roman" w:eastAsia="Times New Roman" w:cs="Times New Roman"/>
          <w:sz w:val="24"/>
          <w:szCs w:val="24"/>
          <w:lang w:eastAsia="en-GB"/>
        </w:rPr>
        <w:t>kas nav atgūstams kā priekšnodoklis</w:t>
      </w:r>
      <w:r w:rsidRPr="006E5323">
        <w:rPr>
          <w:rFonts w:ascii="Times New Roman" w:hAnsi="Times New Roman" w:eastAsia="Calibri" w:cs="Times New Roman"/>
          <w:noProof/>
          <w:sz w:val="24"/>
          <w:szCs w:val="24"/>
        </w:rPr>
        <w:t xml:space="preserve">, maksājumos plānots iemaksāt 10 236 398 EUR. Igaunijas un Lietuvas valsts budžetos plānots iemaksāt 1 023 639 EUR katras minētās valsts budžetā iemaksājot aptuveni 511 820 EUR. </w:t>
      </w:r>
    </w:p>
    <w:p w:rsidRPr="006E5323" w:rsidR="006E5323" w:rsidP="006E5323" w:rsidRDefault="006E5323" w14:paraId="23BBFD67" w14:textId="77777777">
      <w:pPr>
        <w:tabs>
          <w:tab w:val="left" w:pos="7088"/>
        </w:tabs>
        <w:spacing w:after="0" w:line="240" w:lineRule="auto"/>
        <w:ind w:firstLine="567"/>
        <w:jc w:val="both"/>
        <w:rPr>
          <w:rFonts w:ascii="Times New Roman" w:hAnsi="Times New Roman" w:eastAsia="Calibri" w:cs="Times New Roman"/>
          <w:sz w:val="24"/>
          <w:szCs w:val="24"/>
        </w:rPr>
      </w:pPr>
      <w:r w:rsidRPr="006E5323">
        <w:rPr>
          <w:rFonts w:ascii="Times New Roman" w:hAnsi="Times New Roman" w:eastAsia="Calibri" w:cs="Times New Roman"/>
          <w:noProof/>
          <w:sz w:val="24"/>
          <w:szCs w:val="24"/>
        </w:rPr>
        <w:t xml:space="preserve">Projekta </w:t>
      </w:r>
      <w:r w:rsidRPr="006E5323">
        <w:rPr>
          <w:rFonts w:ascii="Times New Roman" w:hAnsi="Times New Roman" w:eastAsia="Calibri" w:cs="Times New Roman"/>
          <w:sz w:val="24"/>
          <w:szCs w:val="24"/>
        </w:rPr>
        <w:t xml:space="preserve">budžetā plānotā 2020.-2023. gada finansējuma ietvaros tāda apjoma maksājumus segt nav iespējams. Papildus, kopējās RBR aktivitāšu izmaksas, kam jāpiemēro PVN ir atkarīgas no CEF finansējuma, tostarp turpmāko CEF6 un CEF7 uzsaukumu piešķīruma. Latvijas gadījumā PVN maksājumi būtiski pārsniedz Projekta attiecināmās izmaksas, kā arī šobrīd nav ieviesti PVN maksājumu apjoma kontroles mehānismi un attiecīgi nav zināms PVN maksājumu apjoms 2020.-2023.gadā. Tāpēc jautājums par 2020.-2030.gadam nepieciešamo finansējumu PVN maksājumu segšanai tiks risināts vienlaikus ar jautājumu par līdzfinansējuma nodrošināšanu RBR aktivitātēm 2020.gadam un turpmāk. Tā kā ar 2020.gadu tiek mainīts arī RBR aktivitāšu līdzfinansēšanas modelis, tiks sagatavots atsevišķs informatīvais ziņojums par RBR aktivitāšu līdzfinansēšanas modeli, par nepieciešamo līdzfinansējumu un par nepieciešamo finansējumu PVN maksājumu segšanai 2020.gadā.   </w:t>
      </w:r>
    </w:p>
    <w:p w:rsidRPr="006E5323" w:rsidR="006E5323" w:rsidP="006E5323" w:rsidRDefault="006E5323" w14:paraId="7DF52092" w14:textId="77777777">
      <w:pPr>
        <w:tabs>
          <w:tab w:val="left" w:pos="7088"/>
        </w:tabs>
        <w:spacing w:after="0" w:line="240" w:lineRule="auto"/>
        <w:ind w:firstLine="567"/>
        <w:jc w:val="both"/>
        <w:rPr>
          <w:rFonts w:ascii="Times New Roman" w:hAnsi="Times New Roman" w:eastAsia="Calibri" w:cs="Times New Roman"/>
          <w:noProof/>
          <w:sz w:val="24"/>
          <w:szCs w:val="24"/>
        </w:rPr>
      </w:pPr>
      <w:r w:rsidRPr="006E5323">
        <w:rPr>
          <w:rFonts w:ascii="Times New Roman" w:hAnsi="Times New Roman" w:eastAsia="Calibri" w:cs="Times New Roman"/>
          <w:sz w:val="24"/>
          <w:szCs w:val="24"/>
        </w:rPr>
        <w:t>PVN maksājumu uzraudzībai un izsekojamībai Projekta ietvaros M</w:t>
      </w:r>
      <w:r w:rsidRPr="006E5323">
        <w:rPr>
          <w:rFonts w:ascii="Times New Roman" w:hAnsi="Times New Roman" w:eastAsia="Calibri" w:cs="Times New Roman"/>
          <w:noProof/>
          <w:sz w:val="24"/>
          <w:szCs w:val="24"/>
        </w:rPr>
        <w:t>inistrija piedāvā šādu mehānismu:</w:t>
      </w:r>
    </w:p>
    <w:p w:rsidRPr="006E5323" w:rsidR="006E5323" w:rsidP="006E5323" w:rsidRDefault="006E5323" w14:paraId="3FEF89AC" w14:textId="77777777">
      <w:pPr>
        <w:tabs>
          <w:tab w:val="left" w:pos="7088"/>
        </w:tabs>
        <w:spacing w:after="0" w:line="240" w:lineRule="auto"/>
        <w:ind w:firstLine="567"/>
        <w:jc w:val="both"/>
        <w:rPr>
          <w:rFonts w:ascii="Times New Roman" w:hAnsi="Times New Roman" w:eastAsia="Times New Roman" w:cs="Times New Roman"/>
          <w:sz w:val="24"/>
          <w:szCs w:val="24"/>
        </w:rPr>
      </w:pPr>
      <w:r w:rsidRPr="006E5323">
        <w:rPr>
          <w:rFonts w:ascii="Times New Roman" w:hAnsi="Times New Roman" w:eastAsia="Calibri" w:cs="Times New Roman"/>
          <w:noProof/>
          <w:sz w:val="24"/>
          <w:szCs w:val="24"/>
        </w:rPr>
        <w:t>Pamatojoties</w:t>
      </w:r>
      <w:r w:rsidRPr="006E5323">
        <w:rPr>
          <w:rFonts w:ascii="Times New Roman" w:hAnsi="Times New Roman" w:eastAsia="Calibri" w:cs="Times New Roman"/>
          <w:b/>
          <w:bCs/>
          <w:noProof/>
          <w:sz w:val="24"/>
          <w:szCs w:val="24"/>
        </w:rPr>
        <w:t xml:space="preserve"> </w:t>
      </w:r>
      <w:r w:rsidRPr="006E5323">
        <w:rPr>
          <w:rFonts w:ascii="Times New Roman" w:hAnsi="Times New Roman" w:eastAsia="Calibri" w:cs="Times New Roman"/>
          <w:noProof/>
          <w:sz w:val="24"/>
          <w:szCs w:val="24"/>
        </w:rPr>
        <w:t xml:space="preserve">uz Ministru kabineta 2019.gada 6.novembra sēdes lēmumu (prot.Nr.52 22.§ (TA-2107) 3.p.) par risinājumu pievienotās vērtības nodokļa kompensēšanai Igaunijai un Lietuvai AS "RB Rail" veikto aktivitāšu ietvaros Ministrija </w:t>
      </w:r>
      <w:r w:rsidRPr="006E5323">
        <w:rPr>
          <w:rFonts w:ascii="Times New Roman" w:hAnsi="Times New Roman" w:eastAsia="Times New Roman" w:cs="Times New Roman"/>
          <w:sz w:val="24"/>
          <w:szCs w:val="24"/>
        </w:rPr>
        <w:t>izstrādā un līdz 2020.gada 5.martam iesniedz izskatīšanai Ministru kabinetā kārtību, kādā aprēķina un piešķir nepieciešamā finansējuma apmēru PVN summas, kas nav atgūstama kā priekšnodoklis, kompensācijai Igaunijai un Lietuvai RBR veikto horizontālo aktivitāšu ietvaros;</w:t>
      </w:r>
    </w:p>
    <w:p w:rsidRPr="006E5323" w:rsidR="006E5323" w:rsidP="006E5323" w:rsidRDefault="006E5323" w14:paraId="63815AAF" w14:textId="77777777">
      <w:pPr>
        <w:tabs>
          <w:tab w:val="left" w:pos="7088"/>
        </w:tabs>
        <w:spacing w:after="0" w:line="240" w:lineRule="auto"/>
        <w:ind w:firstLine="567"/>
        <w:jc w:val="both"/>
        <w:rPr>
          <w:rFonts w:ascii="Times New Roman" w:hAnsi="Times New Roman" w:eastAsia="Times New Roman" w:cs="Times New Roman"/>
          <w:sz w:val="24"/>
          <w:szCs w:val="24"/>
        </w:rPr>
      </w:pPr>
      <w:r w:rsidRPr="006E5323">
        <w:rPr>
          <w:rFonts w:ascii="Times New Roman" w:hAnsi="Times New Roman" w:eastAsia="Times New Roman" w:cs="Times New Roman"/>
          <w:sz w:val="24"/>
          <w:szCs w:val="24"/>
        </w:rPr>
        <w:t xml:space="preserve">Satiksmes ministrija sagatavo un iesniedz Ministru kabinetā ziņojumu par turpmāko RBR finansēšanas modeli tostarp informējot par risinājumiem PVN maksājumu segšanai turpmāk. </w:t>
      </w:r>
    </w:p>
    <w:p w:rsidRPr="006E5323" w:rsidR="006E5323" w:rsidP="006E5323" w:rsidRDefault="006E5323" w14:paraId="7480C530" w14:textId="77777777">
      <w:pPr>
        <w:tabs>
          <w:tab w:val="left" w:pos="7088"/>
        </w:tabs>
        <w:spacing w:after="0" w:line="240" w:lineRule="auto"/>
        <w:ind w:firstLine="567"/>
        <w:jc w:val="both"/>
        <w:rPr>
          <w:rFonts w:ascii="Times New Roman" w:hAnsi="Times New Roman" w:eastAsia="Times New Roman" w:cs="Times New Roman"/>
          <w:sz w:val="24"/>
          <w:szCs w:val="24"/>
        </w:rPr>
      </w:pPr>
      <w:r w:rsidRPr="006E5323">
        <w:rPr>
          <w:rFonts w:ascii="Times New Roman" w:hAnsi="Times New Roman" w:eastAsia="Times New Roman" w:cs="Times New Roman"/>
          <w:sz w:val="24"/>
          <w:szCs w:val="24"/>
        </w:rPr>
        <w:t xml:space="preserve">Papildus, ņemot vērā, ka: </w:t>
      </w:r>
    </w:p>
    <w:p w:rsidRPr="006E5323" w:rsidR="006E5323" w:rsidP="006E5323" w:rsidRDefault="006E5323" w14:paraId="0B19A592" w14:textId="77777777">
      <w:pPr>
        <w:numPr>
          <w:ilvl w:val="0"/>
          <w:numId w:val="1"/>
        </w:numPr>
        <w:tabs>
          <w:tab w:val="left" w:pos="7088"/>
        </w:tabs>
        <w:spacing w:after="0" w:line="240" w:lineRule="auto"/>
        <w:contextualSpacing/>
        <w:jc w:val="both"/>
        <w:rPr>
          <w:rFonts w:ascii="Times New Roman" w:hAnsi="Times New Roman" w:eastAsia="Times New Roman" w:cs="Times New Roman"/>
          <w:sz w:val="24"/>
          <w:szCs w:val="24"/>
        </w:rPr>
      </w:pPr>
      <w:r w:rsidRPr="006E5323">
        <w:rPr>
          <w:rFonts w:ascii="Times New Roman" w:hAnsi="Times New Roman" w:eastAsia="Times New Roman" w:cs="Times New Roman"/>
          <w:sz w:val="24"/>
          <w:szCs w:val="24"/>
        </w:rPr>
        <w:t xml:space="preserve">RBR izmaksu segšanas ilgtermiņa līdzfinansēšanas modelis netiks izstrādāts līdz 2020.gada 1.janvārim; </w:t>
      </w:r>
    </w:p>
    <w:p w:rsidRPr="006E5323" w:rsidR="006E5323" w:rsidP="006E5323" w:rsidRDefault="006E5323" w14:paraId="71F19180" w14:textId="77777777">
      <w:pPr>
        <w:numPr>
          <w:ilvl w:val="0"/>
          <w:numId w:val="1"/>
        </w:numPr>
        <w:tabs>
          <w:tab w:val="left" w:pos="7088"/>
        </w:tabs>
        <w:spacing w:after="0" w:line="240" w:lineRule="auto"/>
        <w:contextualSpacing/>
        <w:jc w:val="both"/>
        <w:rPr>
          <w:rFonts w:ascii="Times New Roman" w:hAnsi="Times New Roman" w:eastAsia="Times New Roman" w:cs="Times New Roman"/>
          <w:sz w:val="24"/>
          <w:szCs w:val="24"/>
        </w:rPr>
      </w:pPr>
      <w:r w:rsidRPr="006E5323">
        <w:rPr>
          <w:rFonts w:ascii="Times New Roman" w:hAnsi="Times New Roman" w:eastAsia="Times New Roman" w:cs="Times New Roman"/>
          <w:sz w:val="24"/>
          <w:szCs w:val="24"/>
        </w:rPr>
        <w:t>Ministru kabineta kārtība kādā aprēķina un piešķir nepieciešamā finansējuma apmēru PVN summas, kas nav atgūstama kā priekšnodoklis, kompensācijai Igaunijai un Lietuvai RBR veikto horizontālo aktivitāšu ietvaros, tiks izstrādāta līdz 2020. martam; un</w:t>
      </w:r>
    </w:p>
    <w:p w:rsidRPr="006E5323" w:rsidR="006E5323" w:rsidP="006E5323" w:rsidRDefault="006E5323" w14:paraId="5B67D5EE" w14:textId="77777777">
      <w:pPr>
        <w:numPr>
          <w:ilvl w:val="0"/>
          <w:numId w:val="1"/>
        </w:numPr>
        <w:tabs>
          <w:tab w:val="left" w:pos="7088"/>
        </w:tabs>
        <w:spacing w:after="0" w:line="240" w:lineRule="auto"/>
        <w:contextualSpacing/>
        <w:jc w:val="both"/>
        <w:rPr>
          <w:rFonts w:ascii="Times New Roman" w:hAnsi="Times New Roman" w:eastAsia="Calibri" w:cs="Times New Roman"/>
          <w:sz w:val="24"/>
          <w:szCs w:val="24"/>
        </w:rPr>
      </w:pPr>
      <w:r w:rsidRPr="006E5323">
        <w:rPr>
          <w:rFonts w:ascii="Times New Roman" w:hAnsi="Times New Roman" w:eastAsia="Times New Roman" w:cs="Times New Roman"/>
          <w:sz w:val="24"/>
          <w:szCs w:val="24"/>
        </w:rPr>
        <w:t xml:space="preserve">budžeta līdzekļu atlikums </w:t>
      </w:r>
      <w:r w:rsidRPr="006E5323">
        <w:rPr>
          <w:rFonts w:ascii="Times New Roman" w:hAnsi="Times New Roman" w:eastAsia="Calibri" w:cs="Times New Roman"/>
          <w:sz w:val="24"/>
          <w:szCs w:val="24"/>
        </w:rPr>
        <w:t xml:space="preserve">apakšprogrammā 60.07.00 "Eiropas transporta infrastruktūras Projekti (Rail Baltica)" ir pietiekošs, </w:t>
      </w:r>
    </w:p>
    <w:p w:rsidRPr="006E5323" w:rsidR="006E5323" w:rsidP="006E5323" w:rsidRDefault="006E5323" w14:paraId="3987042C" w14:textId="77777777">
      <w:pPr>
        <w:tabs>
          <w:tab w:val="left" w:pos="7088"/>
        </w:tabs>
        <w:spacing w:after="0" w:line="240" w:lineRule="auto"/>
        <w:jc w:val="both"/>
        <w:rPr>
          <w:rFonts w:ascii="Times New Roman" w:hAnsi="Times New Roman" w:eastAsia="Times New Roman" w:cs="Times New Roman"/>
          <w:sz w:val="24"/>
          <w:szCs w:val="24"/>
        </w:rPr>
      </w:pPr>
      <w:r w:rsidRPr="006E5323">
        <w:rPr>
          <w:rFonts w:ascii="Times New Roman" w:hAnsi="Times New Roman" w:eastAsia="Calibri" w:cs="Times New Roman"/>
          <w:sz w:val="24"/>
          <w:szCs w:val="24"/>
        </w:rPr>
        <w:t xml:space="preserve">Ministrija rosina 2019.gadā RBR valsts budžetā iemaksātā PVN </w:t>
      </w:r>
      <w:r w:rsidRPr="006E5323">
        <w:rPr>
          <w:rFonts w:ascii="Times New Roman" w:hAnsi="Times New Roman" w:eastAsia="Times New Roman" w:cs="Times New Roman"/>
          <w:sz w:val="24"/>
          <w:szCs w:val="24"/>
        </w:rPr>
        <w:t xml:space="preserve">kompensēšanai novirzīt </w:t>
      </w:r>
      <w:r w:rsidRPr="006E5323">
        <w:rPr>
          <w:rFonts w:ascii="Times New Roman" w:hAnsi="Times New Roman" w:eastAsia="Times New Roman" w:cs="Times New Roman"/>
          <w:b/>
          <w:bCs/>
          <w:sz w:val="24"/>
          <w:szCs w:val="24"/>
        </w:rPr>
        <w:t>1 314 700 EUR</w:t>
      </w:r>
      <w:r w:rsidRPr="006E5323">
        <w:rPr>
          <w:rFonts w:ascii="Times New Roman" w:hAnsi="Times New Roman" w:eastAsia="Times New Roman" w:cs="Times New Roman"/>
          <w:sz w:val="24"/>
          <w:szCs w:val="24"/>
        </w:rPr>
        <w:t xml:space="preserve">, kā to plāno Pagaidu finansēšanas līgums 2019., tādejādi izpildot Latvijas starptautiskās līgumsaistības un samazinot 2020.gada, kurā Latvijai jāuzsāk lielo būvniecības līgumu maksājumi, maksājumus. </w:t>
      </w:r>
    </w:p>
    <w:p w:rsidRPr="006E5323" w:rsidR="006E5323" w:rsidP="006E5323" w:rsidRDefault="006E5323" w14:paraId="0BB7D75E" w14:textId="77777777">
      <w:pPr>
        <w:tabs>
          <w:tab w:val="left" w:pos="7088"/>
        </w:tabs>
        <w:spacing w:after="0" w:line="240" w:lineRule="auto"/>
        <w:jc w:val="both"/>
        <w:rPr>
          <w:rFonts w:ascii="Times New Roman" w:hAnsi="Times New Roman" w:eastAsia="Times New Roman" w:cs="Times New Roman"/>
          <w:sz w:val="24"/>
          <w:szCs w:val="24"/>
          <w:lang w:val="cs-CZ"/>
        </w:rPr>
      </w:pPr>
      <w:r w:rsidRPr="006E5323">
        <w:rPr>
          <w:rFonts w:ascii="Times New Roman" w:hAnsi="Times New Roman" w:eastAsia="Times New Roman" w:cs="Times New Roman"/>
          <w:sz w:val="24"/>
          <w:szCs w:val="24"/>
        </w:rPr>
        <w:t xml:space="preserve">                </w:t>
      </w:r>
      <w:bookmarkEnd w:id="5"/>
      <w:r w:rsidRPr="006E5323">
        <w:rPr>
          <w:rFonts w:ascii="Times New Roman" w:hAnsi="Times New Roman" w:eastAsia="Times New Roman" w:cs="Times New Roman"/>
          <w:sz w:val="24"/>
          <w:szCs w:val="24"/>
          <w:lang w:val="cs-CZ"/>
        </w:rPr>
        <w:t>Ja projektam netiks rasti papildu nepieciešamie līdzekļi PVN atmaksai 2019.gadā un turpmāk, tiks apdraudēta Projekta finanšu plūsma, kā rezultātā rodas risks apturēt jau uzsāktās Projekta aktivitātes un neizpildīt finansiālās saistības pret darbu izpildītājiem un pakalpojumu sniedzējiem, kas savukārt apdraud Latvijas reputāciju starptautisko saistību izpildē, vienlaikus radot sankciju risku pret Latviju no EK puses.</w:t>
      </w:r>
    </w:p>
    <w:p w:rsidRPr="006E5323" w:rsidR="006E5323" w:rsidP="006E5323" w:rsidRDefault="006E5323" w14:paraId="26CDDA49" w14:textId="77777777">
      <w:pPr>
        <w:tabs>
          <w:tab w:val="left" w:pos="7088"/>
        </w:tabs>
        <w:spacing w:after="0" w:line="240" w:lineRule="auto"/>
        <w:ind w:left="851"/>
        <w:rPr>
          <w:rFonts w:ascii="Times New Roman" w:hAnsi="Times New Roman" w:eastAsia="Times New Roman" w:cs="Times New Roman"/>
          <w:sz w:val="24"/>
          <w:szCs w:val="24"/>
          <w:lang w:val="cs-CZ"/>
        </w:rPr>
      </w:pPr>
    </w:p>
    <w:p w:rsidR="006E5323" w:rsidP="006231D9" w:rsidRDefault="006E5323" w14:paraId="423BF1A5" w14:textId="47394F69">
      <w:pPr>
        <w:tabs>
          <w:tab w:val="left" w:pos="7088"/>
        </w:tabs>
        <w:spacing w:after="0" w:line="240" w:lineRule="auto"/>
        <w:ind w:left="2268" w:hanging="1417"/>
        <w:rPr>
          <w:rFonts w:ascii="Times New Roman" w:hAnsi="Times New Roman" w:eastAsia="Times New Roman" w:cs="Times New Roman"/>
          <w:sz w:val="24"/>
          <w:szCs w:val="24"/>
          <w:lang w:val="cs-CZ"/>
        </w:rPr>
      </w:pPr>
      <w:r>
        <w:rPr>
          <w:rFonts w:ascii="Times New Roman" w:hAnsi="Times New Roman" w:eastAsia="Times New Roman" w:cs="Times New Roman"/>
          <w:sz w:val="24"/>
          <w:szCs w:val="24"/>
          <w:lang w:val="cs-CZ"/>
        </w:rPr>
        <w:t xml:space="preserve">Pielikumā: </w:t>
      </w:r>
      <w:bookmarkStart w:name="_Hlk26172956" w:id="6"/>
      <w:r>
        <w:rPr>
          <w:rFonts w:ascii="Times New Roman" w:hAnsi="Times New Roman" w:eastAsia="Times New Roman" w:cs="Times New Roman"/>
          <w:sz w:val="24"/>
          <w:szCs w:val="24"/>
          <w:lang w:val="cs-CZ"/>
        </w:rPr>
        <w:t>1.</w:t>
      </w:r>
      <w:r w:rsidRPr="006E5323">
        <w:rPr>
          <w:rFonts w:ascii="Times New Roman" w:hAnsi="Times New Roman" w:eastAsia="Times New Roman" w:cs="Times New Roman"/>
          <w:sz w:val="24"/>
          <w:szCs w:val="24"/>
          <w:lang w:val="cs-CZ"/>
        </w:rPr>
        <w:t xml:space="preserve"> </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Projekta ieviešanas struktūra</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 xml:space="preserve"> uz 1 lapas (SMzinp1_021219_RBRpvn)</w:t>
      </w:r>
      <w:r w:rsidR="006231D9">
        <w:rPr>
          <w:rFonts w:ascii="Times New Roman" w:hAnsi="Times New Roman" w:eastAsia="Times New Roman" w:cs="Times New Roman"/>
          <w:sz w:val="24"/>
          <w:szCs w:val="24"/>
          <w:lang w:val="cs-CZ"/>
        </w:rPr>
        <w:t>;</w:t>
      </w:r>
    </w:p>
    <w:p w:rsidR="006E5323" w:rsidP="006E5323" w:rsidRDefault="006E5323" w14:paraId="10B21997" w14:textId="0D9405D8">
      <w:pPr>
        <w:tabs>
          <w:tab w:val="left" w:pos="7088"/>
        </w:tabs>
        <w:spacing w:after="0" w:line="240" w:lineRule="auto"/>
        <w:ind w:left="2268" w:hanging="1417"/>
        <w:rPr>
          <w:rFonts w:ascii="Times New Roman" w:hAnsi="Times New Roman" w:eastAsia="Times New Roman" w:cs="Times New Roman"/>
          <w:sz w:val="24"/>
          <w:szCs w:val="24"/>
          <w:lang w:val="cs-CZ"/>
        </w:rPr>
      </w:pPr>
      <w:r>
        <w:rPr>
          <w:rFonts w:ascii="Times New Roman" w:hAnsi="Times New Roman" w:eastAsia="Times New Roman" w:cs="Times New Roman"/>
          <w:sz w:val="24"/>
          <w:szCs w:val="24"/>
          <w:lang w:val="cs-CZ"/>
        </w:rPr>
        <w:t xml:space="preserve">                   2. </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Projekta īstenošanas shēma – atbalsta saņēmēji</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 xml:space="preserve"> uz 1 lapas (SMzinp2_021219_RBRpvn)</w:t>
      </w:r>
      <w:r w:rsidR="006231D9">
        <w:rPr>
          <w:rFonts w:ascii="Times New Roman" w:hAnsi="Times New Roman" w:eastAsia="Times New Roman" w:cs="Times New Roman"/>
          <w:sz w:val="24"/>
          <w:szCs w:val="24"/>
          <w:lang w:val="cs-CZ"/>
        </w:rPr>
        <w:t>;</w:t>
      </w:r>
    </w:p>
    <w:p w:rsidR="006E5323" w:rsidP="006E5323" w:rsidRDefault="006E5323" w14:paraId="1B8C76BF" w14:textId="7CC9A6E6">
      <w:pPr>
        <w:tabs>
          <w:tab w:val="left" w:pos="7088"/>
        </w:tabs>
        <w:spacing w:after="0" w:line="240" w:lineRule="auto"/>
        <w:ind w:left="2268" w:hanging="283"/>
        <w:rPr>
          <w:rFonts w:ascii="Times New Roman" w:hAnsi="Times New Roman" w:eastAsia="Times New Roman" w:cs="Times New Roman"/>
          <w:sz w:val="24"/>
          <w:szCs w:val="24"/>
          <w:lang w:val="cs-CZ"/>
        </w:rPr>
      </w:pPr>
      <w:r>
        <w:rPr>
          <w:rFonts w:ascii="Times New Roman" w:hAnsi="Times New Roman" w:eastAsia="Times New Roman" w:cs="Times New Roman"/>
          <w:sz w:val="24"/>
          <w:szCs w:val="24"/>
          <w:lang w:val="cs-CZ"/>
        </w:rPr>
        <w:t xml:space="preserve">3. </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Projektā iesaistīto dalībnieku PVN maksājumu shēma</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 xml:space="preserve"> uz 1 lapas (SMzinp3_021219_RBRpvn)</w:t>
      </w:r>
      <w:r w:rsidR="006231D9">
        <w:rPr>
          <w:rFonts w:ascii="Times New Roman" w:hAnsi="Times New Roman" w:eastAsia="Times New Roman" w:cs="Times New Roman"/>
          <w:sz w:val="24"/>
          <w:szCs w:val="24"/>
          <w:lang w:val="cs-CZ"/>
        </w:rPr>
        <w:t>;</w:t>
      </w:r>
    </w:p>
    <w:p w:rsidR="006E5323" w:rsidP="006E5323" w:rsidRDefault="006E5323" w14:paraId="76B43C66" w14:textId="00555923">
      <w:pPr>
        <w:tabs>
          <w:tab w:val="left" w:pos="7088"/>
        </w:tabs>
        <w:spacing w:after="0" w:line="240" w:lineRule="auto"/>
        <w:ind w:left="2268" w:hanging="283"/>
        <w:rPr>
          <w:rFonts w:ascii="Times New Roman" w:hAnsi="Times New Roman" w:eastAsia="Times New Roman" w:cs="Times New Roman"/>
          <w:sz w:val="24"/>
          <w:szCs w:val="24"/>
          <w:lang w:val="cs-CZ"/>
        </w:rPr>
      </w:pPr>
      <w:r>
        <w:rPr>
          <w:rFonts w:ascii="Times New Roman" w:hAnsi="Times New Roman" w:eastAsia="Times New Roman" w:cs="Times New Roman"/>
          <w:sz w:val="24"/>
          <w:szCs w:val="24"/>
          <w:lang w:val="cs-CZ"/>
        </w:rPr>
        <w:t xml:space="preserve">4. </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Pievienotās vērtības nodokļa aprite</w:t>
      </w:r>
      <w:r w:rsidR="006231D9">
        <w:rPr>
          <w:rFonts w:ascii="Times New Roman" w:hAnsi="Times New Roman" w:eastAsia="Times New Roman" w:cs="Times New Roman"/>
          <w:sz w:val="24"/>
          <w:szCs w:val="24"/>
          <w:lang w:val="cs-CZ"/>
        </w:rPr>
        <w:t>“</w:t>
      </w:r>
      <w:r>
        <w:rPr>
          <w:rFonts w:ascii="Times New Roman" w:hAnsi="Times New Roman" w:eastAsia="Times New Roman" w:cs="Times New Roman"/>
          <w:sz w:val="24"/>
          <w:szCs w:val="24"/>
          <w:lang w:val="cs-CZ"/>
        </w:rPr>
        <w:t xml:space="preserve"> uz 1 lapas (SMzinp4_021219_RBRpvn).</w:t>
      </w:r>
      <w:bookmarkEnd w:id="6"/>
      <w:r>
        <w:rPr>
          <w:rFonts w:ascii="Times New Roman" w:hAnsi="Times New Roman" w:eastAsia="Times New Roman" w:cs="Times New Roman"/>
          <w:sz w:val="24"/>
          <w:szCs w:val="24"/>
          <w:lang w:val="cs-CZ"/>
        </w:rPr>
        <w:tab/>
      </w:r>
    </w:p>
    <w:p w:rsidR="006E5323" w:rsidP="006E5323" w:rsidRDefault="006E5323" w14:paraId="7B7E0C0A" w14:textId="77777777">
      <w:pPr>
        <w:tabs>
          <w:tab w:val="left" w:pos="7088"/>
        </w:tabs>
        <w:spacing w:after="0" w:line="240" w:lineRule="auto"/>
        <w:ind w:left="851"/>
        <w:rPr>
          <w:rFonts w:ascii="Times New Roman" w:hAnsi="Times New Roman" w:eastAsia="Times New Roman" w:cs="Times New Roman"/>
          <w:sz w:val="24"/>
          <w:szCs w:val="24"/>
          <w:lang w:val="cs-CZ"/>
        </w:rPr>
      </w:pPr>
    </w:p>
    <w:p w:rsidR="006E5323" w:rsidP="006E5323" w:rsidRDefault="006E5323" w14:paraId="2DA0C68F" w14:textId="77777777">
      <w:pPr>
        <w:tabs>
          <w:tab w:val="left" w:pos="7088"/>
        </w:tabs>
        <w:spacing w:after="0" w:line="240" w:lineRule="auto"/>
        <w:ind w:left="851"/>
        <w:rPr>
          <w:rFonts w:ascii="Times New Roman" w:hAnsi="Times New Roman" w:eastAsia="Times New Roman" w:cs="Times New Roman"/>
          <w:sz w:val="24"/>
          <w:szCs w:val="24"/>
          <w:lang w:val="cs-CZ"/>
        </w:rPr>
      </w:pPr>
    </w:p>
    <w:p w:rsidRPr="00521720" w:rsidR="00521720" w:rsidP="00521720" w:rsidRDefault="00521720" w14:paraId="7DF2B50D" w14:textId="77777777">
      <w:pPr>
        <w:tabs>
          <w:tab w:val="left" w:pos="7088"/>
        </w:tabs>
        <w:spacing w:after="0" w:line="240" w:lineRule="auto"/>
        <w:ind w:left="851"/>
        <w:rPr>
          <w:rFonts w:ascii="Times New Roman" w:hAnsi="Times New Roman" w:eastAsia="Times New Roman" w:cs="Times New Roman"/>
          <w:sz w:val="24"/>
          <w:szCs w:val="24"/>
          <w:lang w:val="cs-CZ"/>
        </w:rPr>
      </w:pPr>
      <w:r w:rsidRPr="00521720">
        <w:rPr>
          <w:rFonts w:ascii="Times New Roman" w:hAnsi="Times New Roman" w:eastAsia="Times New Roman" w:cs="Times New Roman"/>
          <w:sz w:val="24"/>
          <w:szCs w:val="24"/>
          <w:lang w:val="cs-CZ"/>
        </w:rPr>
        <w:t xml:space="preserve">Satiksmes ministra vietā – </w:t>
      </w:r>
    </w:p>
    <w:p w:rsidRPr="006E5323" w:rsidR="006E5323" w:rsidP="00521720" w:rsidRDefault="00521720" w14:paraId="47FD8CD2" w14:textId="45486204">
      <w:pPr>
        <w:tabs>
          <w:tab w:val="left" w:pos="7088"/>
        </w:tabs>
        <w:spacing w:after="0" w:line="240" w:lineRule="auto"/>
        <w:ind w:left="851"/>
        <w:rPr>
          <w:rFonts w:ascii="Times New Roman" w:hAnsi="Times New Roman" w:eastAsia="Times New Roman" w:cs="Times New Roman"/>
          <w:sz w:val="24"/>
          <w:szCs w:val="24"/>
          <w:lang w:val="cs-CZ"/>
        </w:rPr>
      </w:pPr>
      <w:r w:rsidRPr="00521720">
        <w:rPr>
          <w:rFonts w:ascii="Times New Roman" w:hAnsi="Times New Roman" w:eastAsia="Times New Roman" w:cs="Times New Roman"/>
          <w:sz w:val="24"/>
          <w:szCs w:val="24"/>
          <w:lang w:val="cs-CZ"/>
        </w:rPr>
        <w:t xml:space="preserve">Izglītības un zinātnes ministre </w:t>
      </w:r>
      <w:r w:rsidRPr="00521720">
        <w:rPr>
          <w:rFonts w:ascii="Times New Roman" w:hAnsi="Times New Roman" w:eastAsia="Times New Roman" w:cs="Times New Roman"/>
          <w:sz w:val="24"/>
          <w:szCs w:val="24"/>
          <w:lang w:val="cs-CZ"/>
        </w:rPr>
        <w:tab/>
        <w:t>I. Šuplinska</w:t>
      </w:r>
    </w:p>
    <w:p w:rsidRPr="006E5323" w:rsidR="006E5323" w:rsidP="006E5323" w:rsidRDefault="006E5323" w14:paraId="65102715" w14:textId="77777777">
      <w:pPr>
        <w:tabs>
          <w:tab w:val="left" w:pos="7088"/>
        </w:tabs>
        <w:spacing w:after="0" w:line="240" w:lineRule="auto"/>
        <w:ind w:left="851"/>
        <w:rPr>
          <w:rFonts w:ascii="Times New Roman" w:hAnsi="Times New Roman" w:eastAsia="Times New Roman" w:cs="Times New Roman"/>
          <w:sz w:val="24"/>
          <w:szCs w:val="24"/>
          <w:lang w:val="cs-CZ"/>
        </w:rPr>
      </w:pPr>
    </w:p>
    <w:p w:rsidRPr="006E5323" w:rsidR="006E5323" w:rsidP="006E5323" w:rsidRDefault="006E5323" w14:paraId="37B845D1" w14:textId="77777777">
      <w:pPr>
        <w:tabs>
          <w:tab w:val="left" w:pos="7088"/>
        </w:tabs>
        <w:spacing w:after="0" w:line="240" w:lineRule="auto"/>
        <w:ind w:left="851"/>
        <w:rPr>
          <w:rFonts w:ascii="Times New Roman" w:hAnsi="Times New Roman" w:eastAsia="Times New Roman" w:cs="Times New Roman"/>
          <w:sz w:val="24"/>
          <w:szCs w:val="24"/>
          <w:lang w:val="cs-CZ"/>
        </w:rPr>
      </w:pPr>
      <w:r w:rsidRPr="006E5323">
        <w:rPr>
          <w:rFonts w:ascii="Times New Roman" w:hAnsi="Times New Roman" w:eastAsia="Times New Roman" w:cs="Times New Roman"/>
          <w:sz w:val="24"/>
          <w:szCs w:val="24"/>
          <w:lang w:val="cs-CZ"/>
        </w:rPr>
        <w:t>Vīza:</w:t>
      </w:r>
    </w:p>
    <w:p w:rsidRPr="006E5323" w:rsidR="006E5323" w:rsidP="006E5323" w:rsidRDefault="006E5323" w14:paraId="335B4010" w14:textId="77777777">
      <w:pPr>
        <w:tabs>
          <w:tab w:val="left" w:pos="7088"/>
        </w:tabs>
        <w:spacing w:after="0" w:line="240" w:lineRule="auto"/>
        <w:ind w:left="851"/>
        <w:rPr>
          <w:rFonts w:ascii="Times New Roman" w:hAnsi="Times New Roman" w:eastAsia="Calibri" w:cs="Times New Roman"/>
          <w:bCs/>
          <w:sz w:val="24"/>
          <w:szCs w:val="24"/>
        </w:rPr>
      </w:pPr>
      <w:r w:rsidRPr="006E5323">
        <w:rPr>
          <w:rFonts w:ascii="Times New Roman" w:hAnsi="Times New Roman" w:eastAsia="Times New Roman" w:cs="Times New Roman"/>
          <w:sz w:val="24"/>
          <w:szCs w:val="24"/>
          <w:lang w:val="cs-CZ"/>
        </w:rPr>
        <w:t>Valsts sekretāra p.i.</w:t>
      </w:r>
      <w:r w:rsidRPr="006E5323">
        <w:rPr>
          <w:rFonts w:ascii="Times New Roman" w:hAnsi="Times New Roman" w:eastAsia="Times New Roman" w:cs="Times New Roman"/>
          <w:sz w:val="24"/>
          <w:szCs w:val="24"/>
          <w:lang w:val="cs-CZ"/>
        </w:rPr>
        <w:tab/>
        <w:t>Dž. Innusa</w:t>
      </w:r>
    </w:p>
    <w:p w:rsidR="009A5C5E" w:rsidRDefault="009A5C5E" w14:paraId="4EB5772F" w14:textId="77777777"/>
    <w:p w:rsidR="006E5323" w:rsidRDefault="006E5323" w14:paraId="22AA29F5" w14:textId="77777777"/>
    <w:p w:rsidR="006E5323" w:rsidRDefault="006E5323" w14:paraId="75185459" w14:textId="77777777"/>
    <w:p w:rsidR="006E5323" w:rsidRDefault="006E5323" w14:paraId="4168CAF3" w14:textId="77777777"/>
    <w:p w:rsidR="006E5323" w:rsidRDefault="006E5323" w14:paraId="6C3EA66A" w14:textId="77777777"/>
    <w:p w:rsidR="006E5323" w:rsidRDefault="006E5323" w14:paraId="3A831E0E" w14:textId="77777777"/>
    <w:p w:rsidR="006E5323" w:rsidRDefault="006E5323" w14:paraId="5324C824" w14:textId="77777777"/>
    <w:p w:rsidR="006E5323" w:rsidRDefault="006E5323" w14:paraId="451EEABD" w14:textId="77777777"/>
    <w:p w:rsidR="006E5323" w:rsidRDefault="006E5323" w14:paraId="4E203072" w14:textId="77777777"/>
    <w:p w:rsidR="006E5323" w:rsidRDefault="006E5323" w14:paraId="43EF72CF" w14:textId="77777777"/>
    <w:p w:rsidR="006E5323" w:rsidRDefault="006E5323" w14:paraId="54145088" w14:textId="77777777"/>
    <w:p w:rsidR="006E5323" w:rsidRDefault="006E5323" w14:paraId="2A624960" w14:textId="77777777"/>
    <w:p w:rsidRPr="006E5323" w:rsidR="006E5323" w:rsidP="006E5323" w:rsidRDefault="006E5323" w14:paraId="17A5A4CB" w14:textId="77777777">
      <w:pPr>
        <w:tabs>
          <w:tab w:val="left" w:pos="7088"/>
        </w:tabs>
        <w:spacing w:after="0" w:line="240" w:lineRule="auto"/>
        <w:rPr>
          <w:rFonts w:ascii="Times New Roman" w:hAnsi="Times New Roman" w:eastAsia="Times New Roman" w:cs="Times New Roman"/>
          <w:sz w:val="20"/>
          <w:szCs w:val="20"/>
        </w:rPr>
      </w:pPr>
      <w:r w:rsidRPr="006E5323">
        <w:rPr>
          <w:rFonts w:ascii="Times New Roman" w:hAnsi="Times New Roman" w:eastAsia="Times New Roman" w:cs="Times New Roman"/>
          <w:sz w:val="20"/>
          <w:szCs w:val="20"/>
        </w:rPr>
        <w:t xml:space="preserve">O.Bērziņa 67028083  </w:t>
      </w:r>
    </w:p>
    <w:p w:rsidRPr="006E5323" w:rsidR="006E5323" w:rsidP="006E5323" w:rsidRDefault="00FD11A6" w14:paraId="48AFCD12" w14:textId="77777777">
      <w:pPr>
        <w:tabs>
          <w:tab w:val="left" w:pos="7088"/>
        </w:tabs>
        <w:spacing w:after="0" w:line="240" w:lineRule="auto"/>
        <w:rPr>
          <w:rFonts w:ascii="Times New Roman" w:hAnsi="Times New Roman" w:eastAsia="Times New Roman" w:cs="Times New Roman"/>
          <w:sz w:val="20"/>
          <w:szCs w:val="20"/>
        </w:rPr>
      </w:pPr>
      <w:hyperlink w:history="1" r:id="rId7">
        <w:r w:rsidRPr="006E5323" w:rsidR="006E5323">
          <w:rPr>
            <w:rFonts w:ascii="Times New Roman" w:hAnsi="Times New Roman" w:eastAsia="Times New Roman" w:cs="Times New Roman"/>
            <w:color w:val="0000FF"/>
            <w:sz w:val="20"/>
            <w:szCs w:val="20"/>
            <w:u w:val="single"/>
          </w:rPr>
          <w:t>Olita.Berzina@sam.gov.lv</w:t>
        </w:r>
      </w:hyperlink>
    </w:p>
    <w:p w:rsidRPr="006E5323" w:rsidR="006E5323" w:rsidP="006E5323" w:rsidRDefault="006E5323" w14:paraId="1B5B16C4" w14:textId="77777777">
      <w:pPr>
        <w:tabs>
          <w:tab w:val="left" w:pos="7088"/>
        </w:tabs>
        <w:spacing w:after="0" w:line="240" w:lineRule="auto"/>
        <w:ind w:left="851"/>
        <w:rPr>
          <w:rFonts w:ascii="Times New Roman" w:hAnsi="Times New Roman" w:eastAsia="Times New Roman" w:cs="Times New Roman"/>
          <w:sz w:val="28"/>
          <w:szCs w:val="28"/>
        </w:rPr>
      </w:pPr>
    </w:p>
    <w:p w:rsidR="006E5323" w:rsidRDefault="006E5323" w14:paraId="10850DE9" w14:textId="77777777"/>
    <w:sectPr w:rsidR="006E5323" w:rsidSect="00EA19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1B71" w14:textId="77777777" w:rsidR="001E2413" w:rsidRDefault="001E2413" w:rsidP="006E5323">
      <w:pPr>
        <w:spacing w:after="0" w:line="240" w:lineRule="auto"/>
      </w:pPr>
      <w:r>
        <w:separator/>
      </w:r>
    </w:p>
  </w:endnote>
  <w:endnote w:type="continuationSeparator" w:id="0">
    <w:p w14:paraId="19A5F275" w14:textId="77777777" w:rsidR="001E2413" w:rsidRDefault="001E2413" w:rsidP="006E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C147" w14:textId="1B1F8A12" w:rsidR="006231D9" w:rsidRPr="006231D9" w:rsidRDefault="006231D9">
    <w:pPr>
      <w:pStyle w:val="Footer"/>
      <w:rPr>
        <w:rFonts w:ascii="Times New Roman" w:hAnsi="Times New Roman" w:cs="Times New Roman"/>
        <w:sz w:val="20"/>
        <w:szCs w:val="20"/>
      </w:rPr>
    </w:pPr>
    <w:r w:rsidRPr="006231D9">
      <w:rPr>
        <w:rFonts w:ascii="Times New Roman" w:hAnsi="Times New Roman" w:cs="Times New Roman"/>
        <w:sz w:val="20"/>
        <w:szCs w:val="20"/>
      </w:rPr>
      <w:t>SMzin_021219_RBRpvn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C1E3" w14:textId="77777777" w:rsidR="001E2413" w:rsidRDefault="001E2413" w:rsidP="006E5323">
      <w:pPr>
        <w:spacing w:after="0" w:line="240" w:lineRule="auto"/>
      </w:pPr>
      <w:r>
        <w:separator/>
      </w:r>
    </w:p>
  </w:footnote>
  <w:footnote w:type="continuationSeparator" w:id="0">
    <w:p w14:paraId="7BE04222" w14:textId="77777777" w:rsidR="001E2413" w:rsidRDefault="001E2413" w:rsidP="006E5323">
      <w:pPr>
        <w:spacing w:after="0" w:line="240" w:lineRule="auto"/>
      </w:pPr>
      <w:r>
        <w:continuationSeparator/>
      </w:r>
    </w:p>
  </w:footnote>
  <w:footnote w:id="1">
    <w:p w14:paraId="1C932E13" w14:textId="77777777" w:rsidR="006E5323" w:rsidRDefault="006E5323" w:rsidP="006E5323">
      <w:pPr>
        <w:pStyle w:val="FootnoteText1"/>
      </w:pPr>
      <w:r>
        <w:rPr>
          <w:rStyle w:val="FootnoteReference"/>
        </w:rPr>
        <w:footnoteRef/>
      </w:r>
      <w:r>
        <w:t xml:space="preserve"> </w:t>
      </w:r>
      <w:r>
        <w:rPr>
          <w:rStyle w:val="FootnoteReference"/>
        </w:rPr>
        <w:footnoteRef/>
      </w:r>
      <w:r>
        <w:t xml:space="preserve"> Dati no RBR attiecīgā PVN taksācijas perioda deklarācijas PVN1-I un PVN 1-II preču vai pakalpojumu vērtības bez PVN summas.</w:t>
      </w:r>
    </w:p>
  </w:footnote>
  <w:footnote w:id="2">
    <w:p w14:paraId="555B4FDD" w14:textId="77777777" w:rsidR="006E5323" w:rsidRDefault="006E5323" w:rsidP="006E5323">
      <w:pPr>
        <w:pStyle w:val="FootnoteText1"/>
      </w:pPr>
      <w:r>
        <w:rPr>
          <w:rStyle w:val="FootnoteReference"/>
        </w:rPr>
        <w:footnoteRef/>
      </w:r>
      <w:r>
        <w:t xml:space="preserve"> Latvijas valsts budžetā maksājamā PVN summa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624164"/>
      <w:docPartObj>
        <w:docPartGallery w:val="Page Numbers (Top of Page)"/>
        <w:docPartUnique/>
      </w:docPartObj>
    </w:sdtPr>
    <w:sdtEndPr>
      <w:rPr>
        <w:noProof/>
      </w:rPr>
    </w:sdtEndPr>
    <w:sdtContent>
      <w:p w:rsidR="00FD11A6" w:rsidRDefault="00FD11A6" w14:paraId="5E297967" w14:textId="7F6AE9D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D11A6" w:rsidRDefault="00FD11A6" w14:paraId="7E9D8D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5617C"/>
    <w:multiLevelType w:val="hybridMultilevel"/>
    <w:tmpl w:val="3D3A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23"/>
    <w:rsid w:val="001E2413"/>
    <w:rsid w:val="00521720"/>
    <w:rsid w:val="006231D9"/>
    <w:rsid w:val="006E5323"/>
    <w:rsid w:val="009A5C5E"/>
    <w:rsid w:val="00EA191B"/>
    <w:rsid w:val="00FD11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B3FE"/>
  <w15:chartTrackingRefBased/>
  <w15:docId w15:val="{BD802DBA-B955-4FE0-B053-8E46965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6E532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6E5323"/>
    <w:rPr>
      <w:sz w:val="20"/>
      <w:szCs w:val="20"/>
    </w:rPr>
  </w:style>
  <w:style w:type="character" w:styleId="FootnoteReference">
    <w:name w:val="footnote reference"/>
    <w:basedOn w:val="DefaultParagraphFont"/>
    <w:uiPriority w:val="99"/>
    <w:semiHidden/>
    <w:unhideWhenUsed/>
    <w:rsid w:val="006E5323"/>
    <w:rPr>
      <w:vertAlign w:val="superscript"/>
    </w:rPr>
  </w:style>
  <w:style w:type="table" w:customStyle="1" w:styleId="TableGrid1">
    <w:name w:val="Table Grid1"/>
    <w:basedOn w:val="TableNormal"/>
    <w:next w:val="TableGrid"/>
    <w:uiPriority w:val="39"/>
    <w:rsid w:val="006E532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6E532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E5323"/>
    <w:rPr>
      <w:sz w:val="20"/>
      <w:szCs w:val="20"/>
    </w:rPr>
  </w:style>
  <w:style w:type="table" w:styleId="TableGrid">
    <w:name w:val="Table Grid"/>
    <w:basedOn w:val="TableNormal"/>
    <w:uiPriority w:val="39"/>
    <w:rsid w:val="006E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1D9"/>
  </w:style>
  <w:style w:type="paragraph" w:styleId="Footer">
    <w:name w:val="footer"/>
    <w:basedOn w:val="Normal"/>
    <w:link w:val="FooterChar"/>
    <w:uiPriority w:val="99"/>
    <w:unhideWhenUsed/>
    <w:rsid w:val="0062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1D9"/>
  </w:style>
  <w:style w:type="paragraph" w:styleId="BalloonText">
    <w:name w:val="Balloon Text"/>
    <w:basedOn w:val="Normal"/>
    <w:link w:val="BalloonTextChar"/>
    <w:uiPriority w:val="99"/>
    <w:semiHidden/>
    <w:unhideWhenUsed/>
    <w:rsid w:val="00FD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Berzina@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12833</Words>
  <Characters>7316</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Par pievienotās vērtības nodokļa finansējumu RB Rail AS aktivitāšu īstenošanai Latvijas teritorijā.</vt:lpstr>
    </vt:vector>
  </TitlesOfParts>
  <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pievienotās vērtības nodokļa finansējumu RB Rail AS aktivitāšu īstenošanai Latvijas teritorijā.</dc:title>
  <dc:subject/>
  <dc:creator>Olita.Berzina@sam.gov.lv</dc:creator>
  <cp:keywords/>
  <dc:description>O.Bērziņa 67028083  
Olita.Berzina@sam.gov.lv</dc:description>
  <cp:lastModifiedBy>Kārlis Enģelis</cp:lastModifiedBy>
  <cp:revision>4</cp:revision>
  <cp:lastPrinted>2019-12-02T09:07:00Z</cp:lastPrinted>
  <dcterms:created xsi:type="dcterms:W3CDTF">2019-12-02T07:13:00Z</dcterms:created>
  <dcterms:modified xsi:type="dcterms:W3CDTF">2019-12-02T09:07:00Z</dcterms:modified>
</cp:coreProperties>
</file>