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422FF" w14:textId="77777777" w:rsidR="007020C2" w:rsidRDefault="007020C2" w:rsidP="007020C2">
      <w:pPr>
        <w:jc w:val="center"/>
        <w:rPr>
          <w:b/>
        </w:rPr>
      </w:pPr>
      <w:r w:rsidRPr="003E1F78">
        <w:rPr>
          <w:b/>
        </w:rPr>
        <w:t xml:space="preserve">Izziņa par atzinumos sniegtajiem iebildumiem </w:t>
      </w:r>
    </w:p>
    <w:p w14:paraId="02742300" w14:textId="77777777" w:rsidR="007020C2" w:rsidRPr="007020C2" w:rsidRDefault="007020C2" w:rsidP="007020C2">
      <w:pPr>
        <w:rPr>
          <w:b/>
          <w:sz w:val="22"/>
        </w:rPr>
      </w:pPr>
      <w:r w:rsidRPr="007020C2">
        <w:rPr>
          <w:b/>
          <w:szCs w:val="26"/>
        </w:rPr>
        <w:t>par Ministru kabineta noteikumu projektu “Grozījumi Ministru kabineta 2014.</w:t>
      </w:r>
      <w:r w:rsidR="00467A69">
        <w:rPr>
          <w:b/>
          <w:szCs w:val="26"/>
        </w:rPr>
        <w:t> </w:t>
      </w:r>
      <w:r w:rsidRPr="007020C2">
        <w:rPr>
          <w:b/>
          <w:szCs w:val="26"/>
        </w:rPr>
        <w:t>gad</w:t>
      </w:r>
      <w:r w:rsidR="008D4602">
        <w:rPr>
          <w:b/>
          <w:szCs w:val="26"/>
        </w:rPr>
        <w:t>a 17.</w:t>
      </w:r>
      <w:r w:rsidR="00467A69">
        <w:rPr>
          <w:b/>
          <w:szCs w:val="26"/>
        </w:rPr>
        <w:t> </w:t>
      </w:r>
      <w:r w:rsidR="008D4602">
        <w:rPr>
          <w:b/>
          <w:szCs w:val="26"/>
        </w:rPr>
        <w:t>jūnija noteikumos Nr.</w:t>
      </w:r>
      <w:r w:rsidR="00467A69">
        <w:rPr>
          <w:b/>
          <w:szCs w:val="26"/>
        </w:rPr>
        <w:t> </w:t>
      </w:r>
      <w:r w:rsidR="008D4602">
        <w:rPr>
          <w:b/>
          <w:szCs w:val="26"/>
        </w:rPr>
        <w:t>331 “</w:t>
      </w:r>
      <w:r w:rsidRPr="007020C2">
        <w:rPr>
          <w:b/>
          <w:szCs w:val="26"/>
        </w:rPr>
        <w:t>Elektrisko un elektronisko iekārtu un bateriju vai akumulatoru ražotāju reģistrācijas kārtība un samaksas kārtība par datu uzturēšanu”” (VSS-753)</w:t>
      </w:r>
    </w:p>
    <w:p w14:paraId="02742301" w14:textId="77777777" w:rsidR="007020C2" w:rsidRPr="003E1F78" w:rsidRDefault="007020C2" w:rsidP="007020C2">
      <w:pPr>
        <w:jc w:val="center"/>
        <w:rPr>
          <w:b/>
        </w:rPr>
      </w:pPr>
    </w:p>
    <w:p w14:paraId="02742302" w14:textId="77777777" w:rsidR="007020C2" w:rsidRPr="003E1F78" w:rsidRDefault="007020C2" w:rsidP="007020C2">
      <w:pPr>
        <w:pStyle w:val="naisf"/>
        <w:spacing w:before="0" w:after="0"/>
        <w:ind w:firstLine="720"/>
      </w:pPr>
    </w:p>
    <w:p w14:paraId="02742303" w14:textId="77777777" w:rsidR="007020C2" w:rsidRPr="003E1F78" w:rsidRDefault="007020C2" w:rsidP="007020C2">
      <w:pPr>
        <w:pStyle w:val="naisf"/>
        <w:spacing w:before="0" w:after="0"/>
        <w:ind w:firstLine="0"/>
        <w:jc w:val="center"/>
        <w:outlineLvl w:val="0"/>
        <w:rPr>
          <w:b/>
        </w:rPr>
      </w:pPr>
      <w:r w:rsidRPr="003E1F78">
        <w:rPr>
          <w:b/>
        </w:rPr>
        <w:t>I. Jautājumi, par kuriem saskaņošanā vienošanās nav panākta</w:t>
      </w:r>
    </w:p>
    <w:p w14:paraId="02742304" w14:textId="77777777" w:rsidR="007020C2" w:rsidRPr="003E1F78" w:rsidRDefault="007020C2" w:rsidP="007020C2">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3600"/>
        <w:gridCol w:w="3360"/>
        <w:gridCol w:w="2280"/>
        <w:gridCol w:w="1920"/>
      </w:tblGrid>
      <w:tr w:rsidR="007020C2" w:rsidRPr="003E1F78" w14:paraId="0274230B" w14:textId="77777777" w:rsidTr="00CE33D2">
        <w:tc>
          <w:tcPr>
            <w:tcW w:w="708" w:type="dxa"/>
            <w:tcBorders>
              <w:top w:val="single" w:sz="6" w:space="0" w:color="000000"/>
              <w:left w:val="single" w:sz="6" w:space="0" w:color="000000"/>
              <w:bottom w:val="single" w:sz="6" w:space="0" w:color="000000"/>
              <w:right w:val="single" w:sz="6" w:space="0" w:color="000000"/>
            </w:tcBorders>
            <w:vAlign w:val="center"/>
          </w:tcPr>
          <w:p w14:paraId="02742305" w14:textId="77777777" w:rsidR="007020C2" w:rsidRPr="003E1F78" w:rsidRDefault="007020C2" w:rsidP="00CE33D2">
            <w:pPr>
              <w:pStyle w:val="naisc"/>
              <w:spacing w:before="0" w:after="0"/>
            </w:pPr>
            <w:r w:rsidRPr="003E1F78">
              <w:t>Nr. p.k.</w:t>
            </w:r>
          </w:p>
        </w:tc>
        <w:tc>
          <w:tcPr>
            <w:tcW w:w="2400" w:type="dxa"/>
            <w:tcBorders>
              <w:top w:val="single" w:sz="6" w:space="0" w:color="000000"/>
              <w:left w:val="single" w:sz="6" w:space="0" w:color="000000"/>
              <w:bottom w:val="single" w:sz="6" w:space="0" w:color="000000"/>
              <w:right w:val="single" w:sz="6" w:space="0" w:color="000000"/>
            </w:tcBorders>
            <w:vAlign w:val="center"/>
          </w:tcPr>
          <w:p w14:paraId="02742306" w14:textId="77777777" w:rsidR="007020C2" w:rsidRPr="003E1F78" w:rsidRDefault="007020C2" w:rsidP="00CE33D2">
            <w:pPr>
              <w:pStyle w:val="naisc"/>
              <w:spacing w:before="0" w:after="0"/>
              <w:ind w:firstLine="12"/>
            </w:pPr>
            <w:r w:rsidRPr="003E1F78">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vAlign w:val="center"/>
          </w:tcPr>
          <w:p w14:paraId="02742307" w14:textId="77777777" w:rsidR="007020C2" w:rsidRPr="003E1F78" w:rsidRDefault="007020C2" w:rsidP="00CE33D2">
            <w:pPr>
              <w:pStyle w:val="naisc"/>
              <w:spacing w:before="0" w:after="0"/>
              <w:ind w:right="3"/>
            </w:pPr>
            <w:r w:rsidRPr="003E1F78">
              <w:t>Atzinumā norādītais ministrijas (citas institūcijas) iebildums, kā arī saskaņošanā papildus izteiktais iebildums par projekta konkrēto punktu (pantu)</w:t>
            </w:r>
          </w:p>
        </w:tc>
        <w:tc>
          <w:tcPr>
            <w:tcW w:w="3360" w:type="dxa"/>
            <w:tcBorders>
              <w:top w:val="single" w:sz="6" w:space="0" w:color="000000"/>
              <w:left w:val="single" w:sz="6" w:space="0" w:color="000000"/>
              <w:bottom w:val="single" w:sz="6" w:space="0" w:color="000000"/>
              <w:right w:val="single" w:sz="6" w:space="0" w:color="000000"/>
            </w:tcBorders>
            <w:vAlign w:val="center"/>
          </w:tcPr>
          <w:p w14:paraId="02742308" w14:textId="77777777" w:rsidR="007020C2" w:rsidRPr="003E1F78" w:rsidRDefault="007020C2" w:rsidP="00CE33D2">
            <w:pPr>
              <w:pStyle w:val="naisc"/>
              <w:spacing w:before="0" w:after="0"/>
              <w:ind w:firstLine="21"/>
            </w:pPr>
            <w:r w:rsidRPr="003E1F78">
              <w:t>Atbildīgās ministrijas pamatojums iebilduma noraidījumam</w:t>
            </w:r>
          </w:p>
        </w:tc>
        <w:tc>
          <w:tcPr>
            <w:tcW w:w="2280" w:type="dxa"/>
            <w:tcBorders>
              <w:top w:val="single" w:sz="4" w:space="0" w:color="auto"/>
              <w:left w:val="single" w:sz="4" w:space="0" w:color="auto"/>
              <w:bottom w:val="single" w:sz="4" w:space="0" w:color="auto"/>
              <w:right w:val="single" w:sz="4" w:space="0" w:color="auto"/>
            </w:tcBorders>
            <w:vAlign w:val="center"/>
          </w:tcPr>
          <w:p w14:paraId="02742309" w14:textId="77777777" w:rsidR="007020C2" w:rsidRPr="003E1F78" w:rsidRDefault="007020C2" w:rsidP="00CE33D2">
            <w:pPr>
              <w:jc w:val="center"/>
            </w:pPr>
            <w:r w:rsidRPr="003E1F78">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274230A" w14:textId="77777777" w:rsidR="007020C2" w:rsidRPr="003E1F78" w:rsidRDefault="007020C2" w:rsidP="00CE33D2">
            <w:pPr>
              <w:jc w:val="center"/>
            </w:pPr>
            <w:r w:rsidRPr="003E1F78">
              <w:t>Projekta attiecīgā punkta (panta) galīgā redakcija</w:t>
            </w:r>
          </w:p>
        </w:tc>
      </w:tr>
      <w:tr w:rsidR="007020C2" w:rsidRPr="003E1F78" w14:paraId="02742312" w14:textId="77777777" w:rsidTr="00CE33D2">
        <w:tc>
          <w:tcPr>
            <w:tcW w:w="708" w:type="dxa"/>
            <w:tcBorders>
              <w:left w:val="single" w:sz="6" w:space="0" w:color="000000"/>
              <w:bottom w:val="single" w:sz="4" w:space="0" w:color="auto"/>
              <w:right w:val="single" w:sz="6" w:space="0" w:color="000000"/>
            </w:tcBorders>
          </w:tcPr>
          <w:p w14:paraId="0274230C" w14:textId="77777777" w:rsidR="007020C2" w:rsidRPr="003E1F78" w:rsidRDefault="007020C2" w:rsidP="00CE33D2">
            <w:pPr>
              <w:pStyle w:val="naisc"/>
              <w:spacing w:before="0" w:after="0"/>
              <w:ind w:firstLine="720"/>
            </w:pPr>
            <w:r w:rsidRPr="003E1F78">
              <w:t>-</w:t>
            </w:r>
          </w:p>
        </w:tc>
        <w:tc>
          <w:tcPr>
            <w:tcW w:w="2400" w:type="dxa"/>
            <w:tcBorders>
              <w:left w:val="single" w:sz="6" w:space="0" w:color="000000"/>
              <w:bottom w:val="single" w:sz="4" w:space="0" w:color="auto"/>
              <w:right w:val="single" w:sz="6" w:space="0" w:color="000000"/>
            </w:tcBorders>
          </w:tcPr>
          <w:p w14:paraId="0274230D" w14:textId="77777777" w:rsidR="007020C2" w:rsidRPr="003E1F78" w:rsidRDefault="007020C2" w:rsidP="00CE33D2">
            <w:pPr>
              <w:pStyle w:val="naisc"/>
              <w:spacing w:before="0" w:after="0"/>
            </w:pPr>
          </w:p>
        </w:tc>
        <w:tc>
          <w:tcPr>
            <w:tcW w:w="3600" w:type="dxa"/>
            <w:tcBorders>
              <w:left w:val="single" w:sz="6" w:space="0" w:color="000000"/>
              <w:bottom w:val="single" w:sz="4" w:space="0" w:color="auto"/>
              <w:right w:val="single" w:sz="6" w:space="0" w:color="000000"/>
            </w:tcBorders>
          </w:tcPr>
          <w:p w14:paraId="0274230E" w14:textId="77777777" w:rsidR="007020C2" w:rsidRPr="003E1F78" w:rsidRDefault="007020C2" w:rsidP="00CE33D2">
            <w:pPr>
              <w:autoSpaceDE w:val="0"/>
              <w:autoSpaceDN w:val="0"/>
              <w:adjustRightInd w:val="0"/>
              <w:jc w:val="center"/>
              <w:rPr>
                <w:b/>
              </w:rPr>
            </w:pPr>
          </w:p>
        </w:tc>
        <w:tc>
          <w:tcPr>
            <w:tcW w:w="3360" w:type="dxa"/>
            <w:tcBorders>
              <w:left w:val="single" w:sz="6" w:space="0" w:color="000000"/>
              <w:bottom w:val="single" w:sz="4" w:space="0" w:color="auto"/>
              <w:right w:val="single" w:sz="6" w:space="0" w:color="000000"/>
            </w:tcBorders>
          </w:tcPr>
          <w:p w14:paraId="0274230F" w14:textId="77777777" w:rsidR="007020C2" w:rsidRPr="003E1F78" w:rsidRDefault="007020C2" w:rsidP="00CE33D2">
            <w:pPr>
              <w:pStyle w:val="naisc"/>
              <w:spacing w:before="0" w:after="0"/>
              <w:ind w:firstLine="720"/>
              <w:rPr>
                <w:b/>
              </w:rPr>
            </w:pPr>
          </w:p>
        </w:tc>
        <w:tc>
          <w:tcPr>
            <w:tcW w:w="2280" w:type="dxa"/>
            <w:tcBorders>
              <w:top w:val="single" w:sz="4" w:space="0" w:color="auto"/>
              <w:left w:val="single" w:sz="4" w:space="0" w:color="auto"/>
              <w:bottom w:val="single" w:sz="4" w:space="0" w:color="auto"/>
              <w:right w:val="single" w:sz="4" w:space="0" w:color="auto"/>
            </w:tcBorders>
          </w:tcPr>
          <w:p w14:paraId="02742310" w14:textId="77777777" w:rsidR="007020C2" w:rsidRPr="003E1F78" w:rsidRDefault="007020C2" w:rsidP="00CE33D2">
            <w:pPr>
              <w:jc w:val="center"/>
            </w:pPr>
          </w:p>
        </w:tc>
        <w:tc>
          <w:tcPr>
            <w:tcW w:w="1920" w:type="dxa"/>
            <w:tcBorders>
              <w:top w:val="single" w:sz="4" w:space="0" w:color="auto"/>
              <w:left w:val="single" w:sz="4" w:space="0" w:color="auto"/>
              <w:bottom w:val="single" w:sz="4" w:space="0" w:color="auto"/>
              <w:right w:val="single" w:sz="4" w:space="0" w:color="auto"/>
            </w:tcBorders>
          </w:tcPr>
          <w:p w14:paraId="02742311" w14:textId="77777777" w:rsidR="007020C2" w:rsidRPr="003E1F78" w:rsidRDefault="007020C2" w:rsidP="00CE33D2">
            <w:pPr>
              <w:jc w:val="center"/>
            </w:pPr>
          </w:p>
        </w:tc>
      </w:tr>
    </w:tbl>
    <w:p w14:paraId="02742313" w14:textId="77777777" w:rsidR="007020C2" w:rsidRPr="003E1F78" w:rsidRDefault="007020C2" w:rsidP="007020C2">
      <w:pPr>
        <w:pStyle w:val="naisf"/>
        <w:spacing w:before="0" w:after="0"/>
        <w:ind w:firstLine="0"/>
        <w:outlineLvl w:val="0"/>
        <w:rPr>
          <w:b/>
        </w:rPr>
      </w:pPr>
    </w:p>
    <w:p w14:paraId="02742314" w14:textId="77777777" w:rsidR="007020C2" w:rsidRPr="003E1F78" w:rsidRDefault="007020C2" w:rsidP="007020C2">
      <w:pPr>
        <w:pStyle w:val="naisf"/>
        <w:spacing w:before="0" w:after="0"/>
        <w:ind w:firstLine="0"/>
        <w:outlineLvl w:val="0"/>
        <w:rPr>
          <w:b/>
        </w:rPr>
      </w:pPr>
      <w:r w:rsidRPr="003E1F78">
        <w:rPr>
          <w:b/>
        </w:rPr>
        <w:t>Informācija par starpministriju (starpinstitūciju) sanāksmi vai elektronisko saskaņošanu</w:t>
      </w:r>
    </w:p>
    <w:p w14:paraId="02742315" w14:textId="77777777" w:rsidR="007020C2" w:rsidRPr="003E1F78" w:rsidRDefault="007020C2" w:rsidP="007020C2">
      <w:pPr>
        <w:pStyle w:val="naisf"/>
        <w:spacing w:before="0" w:after="0"/>
        <w:ind w:firstLine="0"/>
        <w:rPr>
          <w:b/>
        </w:rPr>
      </w:pPr>
    </w:p>
    <w:tbl>
      <w:tblPr>
        <w:tblW w:w="13908" w:type="dxa"/>
        <w:tblLook w:val="00A0" w:firstRow="1" w:lastRow="0" w:firstColumn="1" w:lastColumn="0" w:noHBand="0" w:noVBand="0"/>
      </w:tblPr>
      <w:tblGrid>
        <w:gridCol w:w="6708"/>
        <w:gridCol w:w="7200"/>
      </w:tblGrid>
      <w:tr w:rsidR="007020C2" w:rsidRPr="003E1F78" w14:paraId="02742318" w14:textId="77777777" w:rsidTr="00CE33D2">
        <w:tc>
          <w:tcPr>
            <w:tcW w:w="6708" w:type="dxa"/>
          </w:tcPr>
          <w:p w14:paraId="02742316" w14:textId="77777777" w:rsidR="007020C2" w:rsidRPr="003E1F78" w:rsidRDefault="007020C2" w:rsidP="00CE33D2">
            <w:pPr>
              <w:pStyle w:val="naisf"/>
              <w:spacing w:before="0" w:after="0"/>
              <w:ind w:firstLine="0"/>
            </w:pPr>
            <w:r w:rsidRPr="003E1F78">
              <w:t>Datums</w:t>
            </w:r>
          </w:p>
        </w:tc>
        <w:tc>
          <w:tcPr>
            <w:tcW w:w="7200" w:type="dxa"/>
            <w:tcBorders>
              <w:bottom w:val="single" w:sz="4" w:space="0" w:color="auto"/>
            </w:tcBorders>
          </w:tcPr>
          <w:p w14:paraId="02742317" w14:textId="77777777" w:rsidR="007020C2" w:rsidRPr="003E1F78" w:rsidRDefault="00467A69" w:rsidP="00CE33D2">
            <w:pPr>
              <w:pStyle w:val="NormalWeb"/>
              <w:spacing w:before="0" w:beforeAutospacing="0" w:after="0" w:afterAutospacing="0"/>
              <w:ind w:firstLine="720"/>
            </w:pPr>
            <w:r>
              <w:t>Elektroniskā</w:t>
            </w:r>
            <w:r w:rsidR="007020C2">
              <w:t xml:space="preserve"> saskaņošana 2019</w:t>
            </w:r>
            <w:r w:rsidR="007020C2" w:rsidRPr="003E1F78">
              <w:t>.</w:t>
            </w:r>
            <w:r w:rsidR="000329E1">
              <w:t> gada 16.</w:t>
            </w:r>
            <w:r>
              <w:t> </w:t>
            </w:r>
            <w:r w:rsidR="000329E1">
              <w:t>oktobrī</w:t>
            </w:r>
          </w:p>
        </w:tc>
      </w:tr>
      <w:tr w:rsidR="007020C2" w:rsidRPr="003E1F78" w14:paraId="0274231B" w14:textId="77777777" w:rsidTr="00CE33D2">
        <w:tc>
          <w:tcPr>
            <w:tcW w:w="6708" w:type="dxa"/>
          </w:tcPr>
          <w:p w14:paraId="02742319" w14:textId="77777777" w:rsidR="007020C2" w:rsidRPr="003E1F78" w:rsidRDefault="007020C2" w:rsidP="00CE33D2">
            <w:pPr>
              <w:pStyle w:val="naisf"/>
              <w:spacing w:before="0" w:after="0"/>
              <w:ind w:firstLine="0"/>
            </w:pPr>
          </w:p>
        </w:tc>
        <w:tc>
          <w:tcPr>
            <w:tcW w:w="7200" w:type="dxa"/>
            <w:tcBorders>
              <w:top w:val="single" w:sz="4" w:space="0" w:color="auto"/>
            </w:tcBorders>
          </w:tcPr>
          <w:p w14:paraId="0274231A" w14:textId="77777777" w:rsidR="007020C2" w:rsidRPr="003E1F78" w:rsidRDefault="007020C2" w:rsidP="00CE33D2">
            <w:pPr>
              <w:pStyle w:val="NormalWeb"/>
              <w:spacing w:before="0" w:beforeAutospacing="0" w:after="0" w:afterAutospacing="0"/>
              <w:ind w:firstLine="720"/>
            </w:pPr>
          </w:p>
        </w:tc>
      </w:tr>
      <w:tr w:rsidR="007020C2" w:rsidRPr="003E1F78" w14:paraId="0274231E" w14:textId="77777777" w:rsidTr="00CE33D2">
        <w:tc>
          <w:tcPr>
            <w:tcW w:w="6708" w:type="dxa"/>
          </w:tcPr>
          <w:p w14:paraId="0274231C" w14:textId="77777777" w:rsidR="007020C2" w:rsidRPr="003E1F78" w:rsidRDefault="007020C2" w:rsidP="00CE33D2">
            <w:pPr>
              <w:pStyle w:val="naiskr"/>
              <w:spacing w:before="0" w:after="0"/>
            </w:pPr>
            <w:r w:rsidRPr="003E1F78">
              <w:t>Saskaņošanas dalībnieki</w:t>
            </w:r>
          </w:p>
        </w:tc>
        <w:tc>
          <w:tcPr>
            <w:tcW w:w="7200" w:type="dxa"/>
          </w:tcPr>
          <w:p w14:paraId="0274231D" w14:textId="77777777" w:rsidR="007020C2" w:rsidRPr="003E1F78" w:rsidRDefault="007020C2" w:rsidP="00DB1CE9">
            <w:pPr>
              <w:pStyle w:val="naiskr"/>
              <w:spacing w:before="0" w:after="0"/>
              <w:ind w:firstLine="12"/>
              <w:jc w:val="both"/>
            </w:pPr>
            <w:r>
              <w:t>Tieslietu ministrija, Finanšu min</w:t>
            </w:r>
            <w:r w:rsidR="00DB1CE9">
              <w:t>istrija, Ekonomikas ministrija</w:t>
            </w:r>
          </w:p>
        </w:tc>
      </w:tr>
      <w:tr w:rsidR="007020C2" w:rsidRPr="003E1F78" w14:paraId="02742321" w14:textId="77777777" w:rsidTr="00CE33D2">
        <w:trPr>
          <w:trHeight w:val="285"/>
        </w:trPr>
        <w:tc>
          <w:tcPr>
            <w:tcW w:w="6708" w:type="dxa"/>
          </w:tcPr>
          <w:p w14:paraId="0274231F" w14:textId="77777777" w:rsidR="007020C2" w:rsidRPr="003E1F78" w:rsidRDefault="007020C2" w:rsidP="00CE33D2">
            <w:pPr>
              <w:pStyle w:val="naiskr"/>
              <w:spacing w:before="0" w:after="0"/>
            </w:pPr>
          </w:p>
        </w:tc>
        <w:tc>
          <w:tcPr>
            <w:tcW w:w="7200" w:type="dxa"/>
          </w:tcPr>
          <w:p w14:paraId="02742320" w14:textId="77777777" w:rsidR="007020C2" w:rsidRPr="003E1F78" w:rsidRDefault="007020C2" w:rsidP="00CE33D2">
            <w:pPr>
              <w:pStyle w:val="naiskr"/>
              <w:spacing w:before="0" w:after="0"/>
              <w:ind w:firstLine="12"/>
              <w:jc w:val="both"/>
            </w:pPr>
          </w:p>
        </w:tc>
      </w:tr>
      <w:tr w:rsidR="007020C2" w:rsidRPr="003E1F78" w14:paraId="02742324" w14:textId="77777777" w:rsidTr="00CE33D2">
        <w:trPr>
          <w:trHeight w:val="285"/>
        </w:trPr>
        <w:tc>
          <w:tcPr>
            <w:tcW w:w="6708" w:type="dxa"/>
          </w:tcPr>
          <w:p w14:paraId="02742322" w14:textId="77777777" w:rsidR="007020C2" w:rsidRPr="003E1F78" w:rsidRDefault="007020C2" w:rsidP="00CE33D2">
            <w:pPr>
              <w:pStyle w:val="naiskr"/>
              <w:spacing w:before="0" w:after="0"/>
              <w:jc w:val="both"/>
            </w:pPr>
            <w:r w:rsidRPr="003E1F78">
              <w:t>Saskaņošanas dalībnieki izskatīja šādu ministriju (citu institūciju) iebildumus</w:t>
            </w:r>
          </w:p>
        </w:tc>
        <w:tc>
          <w:tcPr>
            <w:tcW w:w="7200" w:type="dxa"/>
          </w:tcPr>
          <w:p w14:paraId="02742323" w14:textId="77777777" w:rsidR="007020C2" w:rsidRPr="003E1F78" w:rsidRDefault="007020C2" w:rsidP="00CE33D2">
            <w:pPr>
              <w:pStyle w:val="naiskr"/>
              <w:spacing w:before="0" w:after="0"/>
              <w:ind w:firstLine="12"/>
              <w:jc w:val="both"/>
              <w:rPr>
                <w:color w:val="000000"/>
              </w:rPr>
            </w:pPr>
            <w:r w:rsidRPr="003E1F78">
              <w:rPr>
                <w:color w:val="000000"/>
              </w:rPr>
              <w:t>Tieslietu ministrija</w:t>
            </w:r>
          </w:p>
        </w:tc>
      </w:tr>
      <w:tr w:rsidR="007020C2" w:rsidRPr="003E1F78" w14:paraId="02742327" w14:textId="77777777" w:rsidTr="00CE33D2">
        <w:trPr>
          <w:trHeight w:val="465"/>
        </w:trPr>
        <w:tc>
          <w:tcPr>
            <w:tcW w:w="6708" w:type="dxa"/>
          </w:tcPr>
          <w:p w14:paraId="02742325" w14:textId="77777777" w:rsidR="007020C2" w:rsidRPr="003E1F78" w:rsidRDefault="007020C2" w:rsidP="00CE33D2">
            <w:pPr>
              <w:pStyle w:val="naiskr"/>
              <w:spacing w:before="0" w:after="0"/>
              <w:jc w:val="both"/>
            </w:pPr>
          </w:p>
        </w:tc>
        <w:tc>
          <w:tcPr>
            <w:tcW w:w="7200" w:type="dxa"/>
            <w:tcBorders>
              <w:top w:val="single" w:sz="6" w:space="0" w:color="000000"/>
              <w:bottom w:val="single" w:sz="6" w:space="0" w:color="000000"/>
            </w:tcBorders>
          </w:tcPr>
          <w:p w14:paraId="02742326" w14:textId="77777777" w:rsidR="007020C2" w:rsidRPr="003E1F78" w:rsidRDefault="007020C2" w:rsidP="00CE33D2">
            <w:pPr>
              <w:pStyle w:val="NormalWeb"/>
              <w:spacing w:before="0" w:beforeAutospacing="0" w:after="0" w:afterAutospacing="0"/>
              <w:jc w:val="both"/>
            </w:pPr>
          </w:p>
        </w:tc>
      </w:tr>
      <w:tr w:rsidR="007020C2" w:rsidRPr="003E1F78" w14:paraId="0274232A" w14:textId="77777777" w:rsidTr="00CE33D2">
        <w:trPr>
          <w:gridAfter w:val="1"/>
          <w:wAfter w:w="7200" w:type="dxa"/>
        </w:trPr>
        <w:tc>
          <w:tcPr>
            <w:tcW w:w="6708" w:type="dxa"/>
          </w:tcPr>
          <w:p w14:paraId="02742328" w14:textId="77777777" w:rsidR="007020C2" w:rsidRDefault="007020C2" w:rsidP="00CE33D2">
            <w:pPr>
              <w:pStyle w:val="naiskr"/>
              <w:spacing w:before="0" w:after="0"/>
              <w:jc w:val="both"/>
            </w:pPr>
            <w:r w:rsidRPr="003E1F78">
              <w:t>Ministrijas (citas institūcijas), kuras nav ieradušās uz sanāksmi vai kuras nav atbildējušas uz uzaicinājumu piedalīties elektroniskajā saskaņošanā</w:t>
            </w:r>
          </w:p>
          <w:p w14:paraId="02742329" w14:textId="77777777" w:rsidR="00DB1CE9" w:rsidRPr="003E1F78" w:rsidRDefault="00DB1CE9" w:rsidP="00CE33D2">
            <w:pPr>
              <w:pStyle w:val="naiskr"/>
              <w:spacing w:before="0" w:after="0"/>
              <w:jc w:val="both"/>
            </w:pPr>
          </w:p>
        </w:tc>
      </w:tr>
    </w:tbl>
    <w:p w14:paraId="0274232B" w14:textId="77777777" w:rsidR="007020C2" w:rsidRDefault="007020C2"/>
    <w:p w14:paraId="0274232C" w14:textId="77777777" w:rsidR="007020C2" w:rsidRPr="003E1F78" w:rsidRDefault="007020C2" w:rsidP="007020C2">
      <w:pPr>
        <w:pStyle w:val="naisf"/>
        <w:spacing w:before="0" w:after="0"/>
        <w:ind w:firstLine="0"/>
        <w:jc w:val="center"/>
        <w:outlineLvl w:val="0"/>
        <w:rPr>
          <w:b/>
        </w:rPr>
      </w:pPr>
      <w:r w:rsidRPr="003E1F78">
        <w:rPr>
          <w:b/>
        </w:rPr>
        <w:lastRenderedPageBreak/>
        <w:t>II. Jautājumi, par kuriem saskaņošanā vienošanās ir panākta</w:t>
      </w:r>
    </w:p>
    <w:p w14:paraId="0274232D" w14:textId="77777777" w:rsidR="007020C2" w:rsidRPr="003E1F78" w:rsidRDefault="007020C2" w:rsidP="007020C2">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77"/>
        <w:gridCol w:w="4394"/>
        <w:gridCol w:w="2835"/>
        <w:gridCol w:w="3686"/>
      </w:tblGrid>
      <w:tr w:rsidR="007020C2" w:rsidRPr="003E1F78" w14:paraId="02742333" w14:textId="29D400E8" w:rsidTr="00CE33D2">
        <w:tc>
          <w:tcPr>
            <w:tcW w:w="675" w:type="dxa"/>
            <w:tcBorders>
              <w:top w:val="single" w:sz="6" w:space="0" w:color="000000"/>
              <w:left w:val="single" w:sz="6" w:space="0" w:color="000000"/>
              <w:bottom w:val="single" w:sz="6" w:space="0" w:color="000000"/>
              <w:right w:val="single" w:sz="6" w:space="0" w:color="000000"/>
            </w:tcBorders>
          </w:tcPr>
          <w:p w14:paraId="0274232E" w14:textId="77777777" w:rsidR="007020C2" w:rsidRPr="003E1F78" w:rsidRDefault="007020C2" w:rsidP="00CE33D2">
            <w:pPr>
              <w:pStyle w:val="naisc"/>
              <w:spacing w:before="0" w:after="0"/>
              <w:jc w:val="both"/>
              <w:rPr>
                <w:b/>
              </w:rPr>
            </w:pPr>
            <w:r w:rsidRPr="003E1F78">
              <w:rPr>
                <w:b/>
              </w:rPr>
              <w:t>Nr. p.k.</w:t>
            </w:r>
          </w:p>
        </w:tc>
        <w:tc>
          <w:tcPr>
            <w:tcW w:w="2977" w:type="dxa"/>
            <w:tcBorders>
              <w:top w:val="single" w:sz="6" w:space="0" w:color="000000"/>
              <w:left w:val="single" w:sz="6" w:space="0" w:color="000000"/>
              <w:bottom w:val="single" w:sz="6" w:space="0" w:color="000000"/>
              <w:right w:val="single" w:sz="6" w:space="0" w:color="000000"/>
            </w:tcBorders>
            <w:vAlign w:val="center"/>
          </w:tcPr>
          <w:p w14:paraId="0274232F" w14:textId="77777777" w:rsidR="007020C2" w:rsidRPr="00CE33D2" w:rsidRDefault="007020C2" w:rsidP="00CE33D2">
            <w:pPr>
              <w:pStyle w:val="naisc"/>
              <w:spacing w:before="0" w:after="0"/>
              <w:ind w:firstLine="12"/>
              <w:jc w:val="both"/>
              <w:rPr>
                <w:b/>
              </w:rPr>
            </w:pPr>
            <w:r w:rsidRPr="00CE33D2">
              <w:rPr>
                <w:b/>
              </w:rPr>
              <w:t>Saskaņošanai nosūtītā projekta redakcija (konkrēta punkta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02742330" w14:textId="77777777" w:rsidR="007020C2" w:rsidRPr="00DF5371" w:rsidRDefault="007020C2" w:rsidP="00CE33D2">
            <w:pPr>
              <w:pStyle w:val="naisc"/>
              <w:spacing w:before="0" w:after="0"/>
              <w:ind w:right="3"/>
              <w:jc w:val="both"/>
              <w:rPr>
                <w:b/>
              </w:rPr>
            </w:pPr>
            <w:r w:rsidRPr="00DF5371">
              <w:rPr>
                <w:b/>
              </w:rPr>
              <w:t xml:space="preserve">Atzinumā norādītais ministrijas (citas institūcijas) iebildums, kā arī saskaņošanā papildus izteiktais iebildums par projekta konkrēto punktu </w:t>
            </w:r>
          </w:p>
        </w:tc>
        <w:tc>
          <w:tcPr>
            <w:tcW w:w="2835" w:type="dxa"/>
            <w:tcBorders>
              <w:top w:val="single" w:sz="6" w:space="0" w:color="000000"/>
              <w:left w:val="single" w:sz="6" w:space="0" w:color="000000"/>
              <w:bottom w:val="single" w:sz="6" w:space="0" w:color="000000"/>
              <w:right w:val="single" w:sz="6" w:space="0" w:color="000000"/>
            </w:tcBorders>
            <w:vAlign w:val="center"/>
          </w:tcPr>
          <w:p w14:paraId="02742331" w14:textId="77777777" w:rsidR="007020C2" w:rsidRPr="00DF5371" w:rsidRDefault="007020C2" w:rsidP="00CE33D2">
            <w:pPr>
              <w:pStyle w:val="naisc"/>
              <w:spacing w:before="0" w:after="0"/>
              <w:ind w:firstLine="21"/>
              <w:jc w:val="both"/>
              <w:rPr>
                <w:b/>
              </w:rPr>
            </w:pPr>
            <w:r w:rsidRPr="00DF5371">
              <w:rPr>
                <w:b/>
              </w:rPr>
              <w:t>Atbildīgās ministrijas norāde par to, ka iebildums ir ņemts vērā, vai informācija par saskaņošanā panākto alternatīvo risinājumu</w:t>
            </w:r>
          </w:p>
        </w:tc>
        <w:tc>
          <w:tcPr>
            <w:tcW w:w="3686" w:type="dxa"/>
            <w:tcBorders>
              <w:top w:val="single" w:sz="4" w:space="0" w:color="auto"/>
              <w:left w:val="single" w:sz="4" w:space="0" w:color="auto"/>
              <w:bottom w:val="single" w:sz="4" w:space="0" w:color="auto"/>
            </w:tcBorders>
            <w:vAlign w:val="center"/>
          </w:tcPr>
          <w:p w14:paraId="02742332" w14:textId="77777777" w:rsidR="007020C2" w:rsidRPr="00DF5371" w:rsidRDefault="007020C2" w:rsidP="00CE33D2">
            <w:pPr>
              <w:jc w:val="both"/>
              <w:rPr>
                <w:b/>
              </w:rPr>
            </w:pPr>
            <w:r w:rsidRPr="00DF5371">
              <w:rPr>
                <w:b/>
              </w:rPr>
              <w:t>Projekta attiecīgā punkta galīgā redakcija</w:t>
            </w:r>
          </w:p>
        </w:tc>
      </w:tr>
      <w:tr w:rsidR="007020C2" w:rsidRPr="003E1F78" w14:paraId="02742344" w14:textId="5ACB9EE7" w:rsidTr="00D66B22">
        <w:tc>
          <w:tcPr>
            <w:tcW w:w="675" w:type="dxa"/>
            <w:tcBorders>
              <w:top w:val="single" w:sz="6" w:space="0" w:color="000000"/>
              <w:left w:val="single" w:sz="6" w:space="0" w:color="000000"/>
              <w:bottom w:val="single" w:sz="6" w:space="0" w:color="000000"/>
              <w:right w:val="single" w:sz="6" w:space="0" w:color="000000"/>
            </w:tcBorders>
          </w:tcPr>
          <w:p w14:paraId="02742334" w14:textId="77777777" w:rsidR="007020C2" w:rsidRPr="003E1F78" w:rsidRDefault="00DB1CE9" w:rsidP="00CE33D2">
            <w:pPr>
              <w:pStyle w:val="naisc"/>
              <w:spacing w:before="0" w:after="0"/>
              <w:jc w:val="both"/>
              <w:rPr>
                <w:b/>
              </w:rPr>
            </w:pPr>
            <w:r>
              <w:rPr>
                <w:b/>
              </w:rPr>
              <w:t>1.</w:t>
            </w:r>
          </w:p>
        </w:tc>
        <w:tc>
          <w:tcPr>
            <w:tcW w:w="2977" w:type="dxa"/>
            <w:tcBorders>
              <w:top w:val="single" w:sz="6" w:space="0" w:color="000000"/>
              <w:left w:val="single" w:sz="6" w:space="0" w:color="000000"/>
              <w:bottom w:val="single" w:sz="6" w:space="0" w:color="000000"/>
              <w:right w:val="single" w:sz="6" w:space="0" w:color="000000"/>
            </w:tcBorders>
            <w:vAlign w:val="center"/>
          </w:tcPr>
          <w:p w14:paraId="02742335" w14:textId="05CB1656" w:rsidR="00CE33D2" w:rsidRPr="00CE33D2" w:rsidRDefault="00CE33D2" w:rsidP="00CE33D2">
            <w:pPr>
              <w:ind w:firstLine="720"/>
            </w:pPr>
            <w:r w:rsidRPr="00CE33D2">
              <w:t>1. Izteikt 7.</w:t>
            </w:r>
            <w:r w:rsidR="00C445A1">
              <w:t> </w:t>
            </w:r>
            <w:r w:rsidRPr="00CE33D2">
              <w:t>punktu šādā redakcijā:</w:t>
            </w:r>
          </w:p>
          <w:p w14:paraId="02742336" w14:textId="5B2485F5" w:rsidR="007020C2" w:rsidRPr="00CE33D2" w:rsidRDefault="00CE33D2" w:rsidP="00CE33D2">
            <w:pPr>
              <w:pStyle w:val="naisc"/>
              <w:spacing w:before="0" w:after="0"/>
              <w:ind w:firstLine="12"/>
              <w:jc w:val="both"/>
            </w:pPr>
            <w:r w:rsidRPr="00CE33D2">
              <w:t xml:space="preserve">“7. Iekārtu ražotājs mēneša laikā pēc tam, kad uzsācis Atkritumu apsaimniekošanas likumā noteiktās darbības ar elektriskajām un elektroniskajām iekārtām, </w:t>
            </w:r>
            <w:r w:rsidRPr="00CE33D2">
              <w:rPr>
                <w:b/>
                <w:i/>
              </w:rPr>
              <w:t>rakstiski</w:t>
            </w:r>
            <w:r w:rsidRPr="00CE33D2">
              <w:t xml:space="preserve"> iesniedz reģistrētājam iesniegumu par reģistrāciju atbilstoši Eiropas Komisijas 2019.</w:t>
            </w:r>
            <w:r w:rsidR="00C445A1">
              <w:t> </w:t>
            </w:r>
            <w:r w:rsidRPr="00CE33D2">
              <w:t>gada 19.</w:t>
            </w:r>
            <w:r w:rsidR="00C445A1">
              <w:t> </w:t>
            </w:r>
            <w:r w:rsidRPr="00CE33D2">
              <w:t>februāra Īstenošanas regulas (ES) Nr.</w:t>
            </w:r>
            <w:r w:rsidR="00C445A1">
              <w:t> </w:t>
            </w:r>
            <w:r w:rsidRPr="00CE33D2">
              <w:t>2019/290, ar ko nosaka elektrisko un elektronisko iekārtu ražotāju reģistrēšanas un ziņošanas formātu (turpmāk – Regula Nr.</w:t>
            </w:r>
            <w:r w:rsidR="00C445A1">
              <w:t> </w:t>
            </w:r>
            <w:r w:rsidRPr="00CE33D2">
              <w:t>2019/290) 1.</w:t>
            </w:r>
            <w:r w:rsidR="00C445A1">
              <w:t> </w:t>
            </w:r>
            <w:r w:rsidRPr="00CE33D2">
              <w:t xml:space="preserve">pielikuma A </w:t>
            </w:r>
            <w:r w:rsidRPr="00CE33D2">
              <w:lastRenderedPageBreak/>
              <w:t>daļai (turpmāk – iesniegums par iekārtu ražotāja reģistrāciju) kopā ar priekšapmaksu apliecinošu dokumentu par šo noteikumu 37.1.</w:t>
            </w:r>
            <w:r w:rsidR="00C445A1">
              <w:t> </w:t>
            </w:r>
            <w:r w:rsidRPr="00CE33D2">
              <w:t>apakšpunktā minētās samaksas veikšanu. Iesniegumā par iekārtu ražotāja reģistrāciju norāda Regulas Nr.</w:t>
            </w:r>
            <w:r w:rsidR="00C445A1">
              <w:t> </w:t>
            </w:r>
            <w:r w:rsidRPr="00CE33D2">
              <w:t>2019/290 I</w:t>
            </w:r>
            <w:r w:rsidR="00C445A1">
              <w:t> </w:t>
            </w:r>
            <w:r w:rsidRPr="00CE33D2">
              <w:t>pielikuma A daļā minēto informācijas elementu  “pašvaldība”, kurš apzīmēts ar “M*”. Pārējos informācijas elementus, kuri Regulas Nr.2019/290 I pielikuma A daļā ir apzīmēti ar “M*”, nenorāda iesniegumā par iekārtu ražotāja reģistrāciju.”</w:t>
            </w:r>
          </w:p>
          <w:p w14:paraId="02742337" w14:textId="77777777" w:rsidR="00CE33D2" w:rsidRPr="00CE33D2" w:rsidRDefault="00CE33D2" w:rsidP="00CE33D2">
            <w:pPr>
              <w:ind w:firstLine="720"/>
            </w:pPr>
            <w:r w:rsidRPr="00CE33D2">
              <w:t>2. Papildināt noteikumus ar 7.</w:t>
            </w:r>
            <w:r w:rsidRPr="00CE33D2">
              <w:rPr>
                <w:vertAlign w:val="superscript"/>
              </w:rPr>
              <w:t>1</w:t>
            </w:r>
            <w:r w:rsidRPr="00CE33D2">
              <w:t xml:space="preserve"> punktu šādā redakcijā:</w:t>
            </w:r>
          </w:p>
          <w:p w14:paraId="02742338" w14:textId="1871ACE2" w:rsidR="00CE33D2" w:rsidRPr="00CE33D2" w:rsidRDefault="00CE33D2" w:rsidP="00CE33D2">
            <w:pPr>
              <w:ind w:firstLine="720"/>
              <w:jc w:val="both"/>
            </w:pPr>
            <w:r w:rsidRPr="00CE33D2">
              <w:t>“7.</w:t>
            </w:r>
            <w:r w:rsidRPr="00CE33D2">
              <w:rPr>
                <w:vertAlign w:val="superscript"/>
              </w:rPr>
              <w:t>1</w:t>
            </w:r>
            <w:r w:rsidRPr="00CE33D2">
              <w:t xml:space="preserve"> Iekārtu ražotāja pilnvarotais pārstāvis mēneša laikā pēc tam, kad uzsācis Atkritumu apsaimniekošanas likumā </w:t>
            </w:r>
            <w:r w:rsidRPr="00CE33D2">
              <w:lastRenderedPageBreak/>
              <w:t xml:space="preserve">noteiktās darbības ar elektriskajām un elektroniskajām iekārtām, </w:t>
            </w:r>
            <w:r w:rsidRPr="00CE33D2">
              <w:rPr>
                <w:b/>
                <w:i/>
              </w:rPr>
              <w:t>rakstiski</w:t>
            </w:r>
            <w:r w:rsidRPr="00CE33D2">
              <w:t xml:space="preserve"> iesniedz reģistrētājam iesniegumu par reģistrāciju atbilstoši Eiropas Komisijas 2019.</w:t>
            </w:r>
            <w:r w:rsidR="00C445A1">
              <w:t> </w:t>
            </w:r>
            <w:r w:rsidRPr="00CE33D2">
              <w:t>gada 19.</w:t>
            </w:r>
            <w:r w:rsidR="00C445A1">
              <w:t> </w:t>
            </w:r>
            <w:r w:rsidRPr="00CE33D2">
              <w:t>februāra Īstenošanas regulas (ES) 2019/290, ar ko nosaka elektrisko un elektronisko iekārtu ražotāju reģistrēšanas un ziņošanas formātu (turpmāk – Regula Nr.</w:t>
            </w:r>
            <w:r w:rsidR="00C445A1">
              <w:t> </w:t>
            </w:r>
            <w:r w:rsidRPr="00CE33D2">
              <w:t>2019/290) 1.</w:t>
            </w:r>
            <w:r w:rsidR="00C445A1">
              <w:t> </w:t>
            </w:r>
            <w:r w:rsidRPr="00CE33D2">
              <w:t>pielikuma B daļai (turpmāk – iesniegums par iekārtu ražotāja pilnvarotā pārstāvja reģistrāciju) kopā ar priekšapmaksu apliecinošu dokumentu par šo noteikumu 37.1.</w:t>
            </w:r>
            <w:r w:rsidR="00C445A1">
              <w:t> </w:t>
            </w:r>
            <w:r w:rsidRPr="00CE33D2">
              <w:t>apakšpunktā minētās samaksas veikšanu. Iesniegumā par iekārtu ražotāja pilnvarotā pārstāvja reģistrāciju norāda Regulas Nr.</w:t>
            </w:r>
            <w:r w:rsidR="00C445A1">
              <w:t> </w:t>
            </w:r>
            <w:r w:rsidRPr="00CE33D2">
              <w:t>2019/290 I pielikuma B daļā minēto informācijas elementu “pašvaldība”, kurš apzīmēts ar “M*”. Pārējos informācijas elementus, kuri Regulas Nr.2019/290 I pielikuma B daļā ir apzīmēti ar “M*”, nenorāda iesniegumā par iekārtu ražotāja pilnvarotā pārstāvja reģistrāciju.”</w:t>
            </w:r>
          </w:p>
          <w:p w14:paraId="02742339" w14:textId="77777777" w:rsidR="00CE33D2" w:rsidRPr="00CE33D2" w:rsidRDefault="00CE33D2" w:rsidP="00CE33D2">
            <w:pPr>
              <w:pStyle w:val="naisc"/>
              <w:spacing w:before="0" w:after="0"/>
              <w:ind w:firstLine="12"/>
              <w:jc w:val="both"/>
              <w:rPr>
                <w:b/>
              </w:rPr>
            </w:pPr>
          </w:p>
        </w:tc>
        <w:tc>
          <w:tcPr>
            <w:tcW w:w="4394" w:type="dxa"/>
            <w:tcBorders>
              <w:top w:val="single" w:sz="6" w:space="0" w:color="000000"/>
              <w:left w:val="single" w:sz="6" w:space="0" w:color="000000"/>
              <w:bottom w:val="single" w:sz="6" w:space="0" w:color="000000"/>
              <w:right w:val="single" w:sz="6" w:space="0" w:color="000000"/>
            </w:tcBorders>
            <w:vAlign w:val="center"/>
          </w:tcPr>
          <w:p w14:paraId="0274233A" w14:textId="77777777" w:rsidR="007020C2" w:rsidRDefault="007020C2" w:rsidP="00CE33D2">
            <w:pPr>
              <w:pStyle w:val="naisc"/>
              <w:spacing w:before="0" w:after="0"/>
              <w:ind w:right="3"/>
              <w:jc w:val="both"/>
              <w:rPr>
                <w:b/>
              </w:rPr>
            </w:pPr>
            <w:r>
              <w:rPr>
                <w:b/>
              </w:rPr>
              <w:lastRenderedPageBreak/>
              <w:t>Tieslietu ministrija:</w:t>
            </w:r>
          </w:p>
          <w:p w14:paraId="0274233B" w14:textId="77777777" w:rsidR="007020C2" w:rsidRPr="007020C2" w:rsidRDefault="007020C2" w:rsidP="007020C2">
            <w:pPr>
              <w:tabs>
                <w:tab w:val="left" w:pos="709"/>
                <w:tab w:val="left" w:pos="851"/>
                <w:tab w:val="left" w:pos="993"/>
              </w:tabs>
              <w:jc w:val="both"/>
              <w:rPr>
                <w:szCs w:val="26"/>
              </w:rPr>
            </w:pPr>
            <w:r>
              <w:rPr>
                <w:bCs/>
                <w:iCs/>
                <w:szCs w:val="26"/>
              </w:rPr>
              <w:t xml:space="preserve">1. </w:t>
            </w:r>
            <w:r w:rsidRPr="007020C2">
              <w:rPr>
                <w:bCs/>
                <w:iCs/>
                <w:szCs w:val="26"/>
              </w:rPr>
              <w:t>Projekta 1. punktā izteiktais 7. punkts un projekta 2. punktā izteiktais 7.</w:t>
            </w:r>
            <w:r w:rsidRPr="007020C2">
              <w:rPr>
                <w:bCs/>
                <w:iCs/>
                <w:szCs w:val="26"/>
                <w:vertAlign w:val="superscript"/>
              </w:rPr>
              <w:t>1</w:t>
            </w:r>
            <w:r w:rsidRPr="007020C2">
              <w:rPr>
                <w:bCs/>
                <w:iCs/>
                <w:szCs w:val="26"/>
              </w:rPr>
              <w:t> punkts paredz noteikt</w:t>
            </w:r>
            <w:r w:rsidRPr="007020C2">
              <w:rPr>
                <w:szCs w:val="28"/>
              </w:rPr>
              <w:t xml:space="preserve"> </w:t>
            </w:r>
            <w:r w:rsidRPr="007020C2">
              <w:rPr>
                <w:bCs/>
                <w:iCs/>
                <w:szCs w:val="26"/>
              </w:rPr>
              <w:t xml:space="preserve">iesnieguma par iekārtu ražotāja reģistrāciju un iesnieguma par iekārtu ražotāja pilnvarotā pārstāvja reģistrāciju iesniegšanu tikai elektroniskā formā, tā izslēdzot tiesības iesniegt minētos iesniegumus papīra dokumenta formā un </w:t>
            </w:r>
            <w:r w:rsidRPr="007020C2">
              <w:rPr>
                <w:szCs w:val="26"/>
              </w:rPr>
              <w:t xml:space="preserve">nepiedāvājot alternatīvus iesnieguma iesniegšanas veidus. </w:t>
            </w:r>
          </w:p>
          <w:p w14:paraId="0274233C" w14:textId="77777777" w:rsidR="007020C2" w:rsidRPr="007020C2" w:rsidRDefault="007020C2" w:rsidP="007020C2">
            <w:pPr>
              <w:tabs>
                <w:tab w:val="left" w:pos="709"/>
                <w:tab w:val="left" w:pos="851"/>
              </w:tabs>
              <w:ind w:firstLine="709"/>
              <w:jc w:val="both"/>
              <w:rPr>
                <w:szCs w:val="26"/>
              </w:rPr>
            </w:pPr>
            <w:r w:rsidRPr="007020C2">
              <w:rPr>
                <w:szCs w:val="26"/>
              </w:rPr>
              <w:t xml:space="preserve">Norādām, ka saskaņā ar Administratīvā procesa likuma (turpmāk - APL) 3. panta pirmo daļu administratīvajā procesā iestādē ir piemērojams APL. Lai nodrošinātu personas iespējas realizēt savas tiesības, APL 56. panta pirmā daļa nosaka, ka iesniegumu var iesniegt mutvārdos vai rakstveidā. Rakstveida forma sevī neietver tikai elektronisku iesniegumu, kas noformēts saskaņā ar Elektronisko </w:t>
            </w:r>
            <w:r w:rsidRPr="007020C2">
              <w:rPr>
                <w:szCs w:val="26"/>
              </w:rPr>
              <w:lastRenderedPageBreak/>
              <w:t xml:space="preserve">dokumentu likumu. Atbilstoši Dokumentu juridiskā spēka likuma 4. panta pirmās daļas 3. punktam dokumentam ir juridisks spēks, ja tas ir parakstīts. Tas nozīmē, ka arī pašrocīgi parakstīts. Turklāt likums paredz privātpersonai iespēju vērsties iestādē arī ar mutvārdu iesniegumu. Tādējādi secināms, ka tiesību normas neparedz iespēju, ka iesniegumu varētu iesniegt tikai elektroniski. Būtiski ir ievērot, ka Ministru kabineta noteikumiem ir jāatbilst augstāka juridiskā spēka normatīvajam aktam, šajā gadījumā – APL. Norādām arī, ka APL nosaka vispārīgu un vienotu kārtību administratīvajam procesam iestādē. Atšķirīgu kārtību var paredzēt speciālajā nozares likumā, taču kārtība attiecīgi jāpamato. Izvērtējot likuma regulējumu, norādām, ka </w:t>
            </w:r>
            <w:r w:rsidRPr="007020C2">
              <w:rPr>
                <w:iCs/>
                <w:szCs w:val="26"/>
              </w:rPr>
              <w:t>Atkritumu apsaimniekošanas likumā kā projekta izdošanas tiesiskajā pamatā netiek noteikta īpaša kārtība projektā minēto iesniegumu iesniegšanai. Līdz</w:t>
            </w:r>
            <w:r w:rsidRPr="007020C2">
              <w:rPr>
                <w:szCs w:val="26"/>
              </w:rPr>
              <w:t xml:space="preserve"> ar to jāpiemēro APL nosacījumi.</w:t>
            </w:r>
          </w:p>
          <w:p w14:paraId="0274233D" w14:textId="77777777" w:rsidR="007020C2" w:rsidRPr="007020C2" w:rsidRDefault="007020C2" w:rsidP="007020C2">
            <w:pPr>
              <w:tabs>
                <w:tab w:val="left" w:pos="851"/>
              </w:tabs>
              <w:ind w:firstLine="709"/>
              <w:jc w:val="both"/>
              <w:rPr>
                <w:bCs/>
                <w:iCs/>
                <w:szCs w:val="26"/>
              </w:rPr>
            </w:pPr>
            <w:r w:rsidRPr="007020C2">
              <w:rPr>
                <w:szCs w:val="26"/>
              </w:rPr>
              <w:t>Ņemot vērā norādīto, lūdzam izvērtēt projekta 1. un 2. punkta atbilstību APL noteikumiem un precizēt projekta 1. un 2. punktu, svītrojot vārdu “elektroniski” pirms vārda “iesniedz”.</w:t>
            </w:r>
          </w:p>
        </w:tc>
        <w:tc>
          <w:tcPr>
            <w:tcW w:w="2835" w:type="dxa"/>
            <w:tcBorders>
              <w:top w:val="single" w:sz="6" w:space="0" w:color="000000"/>
              <w:left w:val="single" w:sz="6" w:space="0" w:color="000000"/>
              <w:bottom w:val="single" w:sz="6" w:space="0" w:color="000000"/>
              <w:right w:val="single" w:sz="6" w:space="0" w:color="000000"/>
            </w:tcBorders>
          </w:tcPr>
          <w:p w14:paraId="0274233E" w14:textId="77777777" w:rsidR="007020C2" w:rsidRPr="00DF5371" w:rsidRDefault="00D66B22" w:rsidP="00D66B22">
            <w:pPr>
              <w:pStyle w:val="naisc"/>
              <w:spacing w:before="0" w:after="0"/>
              <w:ind w:firstLine="21"/>
              <w:jc w:val="left"/>
              <w:rPr>
                <w:b/>
              </w:rPr>
            </w:pPr>
            <w:r>
              <w:rPr>
                <w:b/>
              </w:rPr>
              <w:lastRenderedPageBreak/>
              <w:t>Iebildums ir ņemts vērā.</w:t>
            </w:r>
          </w:p>
        </w:tc>
        <w:tc>
          <w:tcPr>
            <w:tcW w:w="3686" w:type="dxa"/>
            <w:tcBorders>
              <w:top w:val="single" w:sz="4" w:space="0" w:color="auto"/>
              <w:left w:val="single" w:sz="4" w:space="0" w:color="auto"/>
              <w:bottom w:val="single" w:sz="4" w:space="0" w:color="auto"/>
            </w:tcBorders>
          </w:tcPr>
          <w:p w14:paraId="0274233F" w14:textId="77777777" w:rsidR="00DB1CE9" w:rsidRPr="00DB1CE9" w:rsidRDefault="00467A69" w:rsidP="00B32ABD">
            <w:pPr>
              <w:rPr>
                <w:szCs w:val="28"/>
              </w:rPr>
            </w:pPr>
            <w:r>
              <w:rPr>
                <w:szCs w:val="28"/>
              </w:rPr>
              <w:t xml:space="preserve">1. Svītrot </w:t>
            </w:r>
            <w:r w:rsidR="00DB1CE9" w:rsidRPr="00DB1CE9">
              <w:rPr>
                <w:szCs w:val="28"/>
              </w:rPr>
              <w:t>7.</w:t>
            </w:r>
            <w:r>
              <w:rPr>
                <w:szCs w:val="28"/>
              </w:rPr>
              <w:t> </w:t>
            </w:r>
            <w:r w:rsidR="00DB1CE9" w:rsidRPr="00DB1CE9">
              <w:rPr>
                <w:szCs w:val="28"/>
              </w:rPr>
              <w:t xml:space="preserve">punktā svītrot vārdus “vai tā pilnvarotais pārstāvis”; </w:t>
            </w:r>
          </w:p>
          <w:p w14:paraId="02742340" w14:textId="77777777" w:rsidR="00DB1CE9" w:rsidRPr="00DB1CE9" w:rsidRDefault="00DB1CE9" w:rsidP="00DB1CE9">
            <w:pPr>
              <w:rPr>
                <w:szCs w:val="28"/>
              </w:rPr>
            </w:pPr>
          </w:p>
          <w:p w14:paraId="02742341" w14:textId="77777777" w:rsidR="00DB1CE9" w:rsidRPr="00DB1CE9" w:rsidRDefault="00DB1CE9" w:rsidP="00DB1CE9">
            <w:pPr>
              <w:rPr>
                <w:szCs w:val="28"/>
              </w:rPr>
            </w:pPr>
            <w:r w:rsidRPr="00DB1CE9">
              <w:rPr>
                <w:szCs w:val="28"/>
              </w:rPr>
              <w:t>2.</w:t>
            </w:r>
            <w:r w:rsidR="00467A69">
              <w:rPr>
                <w:szCs w:val="28"/>
              </w:rPr>
              <w:t> </w:t>
            </w:r>
            <w:r w:rsidRPr="00DB1CE9">
              <w:rPr>
                <w:szCs w:val="28"/>
              </w:rPr>
              <w:t>Papildināt noteikumus ar 7.</w:t>
            </w:r>
            <w:r w:rsidRPr="00DB1CE9">
              <w:rPr>
                <w:szCs w:val="28"/>
                <w:vertAlign w:val="superscript"/>
              </w:rPr>
              <w:t>1</w:t>
            </w:r>
            <w:r w:rsidR="00467A69">
              <w:rPr>
                <w:szCs w:val="28"/>
              </w:rPr>
              <w:t> </w:t>
            </w:r>
            <w:r w:rsidRPr="00DB1CE9">
              <w:rPr>
                <w:szCs w:val="28"/>
              </w:rPr>
              <w:t>punktu šādā redakcijā:</w:t>
            </w:r>
          </w:p>
          <w:p w14:paraId="02742342" w14:textId="77777777" w:rsidR="00DB1CE9" w:rsidRPr="00DB1CE9" w:rsidRDefault="00DB1CE9" w:rsidP="00DB1CE9">
            <w:pPr>
              <w:jc w:val="both"/>
              <w:rPr>
                <w:szCs w:val="28"/>
              </w:rPr>
            </w:pPr>
            <w:r w:rsidRPr="00DB1CE9">
              <w:rPr>
                <w:szCs w:val="28"/>
              </w:rPr>
              <w:t>“7.</w:t>
            </w:r>
            <w:r w:rsidRPr="00DB1CE9">
              <w:rPr>
                <w:szCs w:val="28"/>
                <w:vertAlign w:val="superscript"/>
              </w:rPr>
              <w:t>1</w:t>
            </w:r>
            <w:r w:rsidR="00467A69">
              <w:rPr>
                <w:szCs w:val="28"/>
              </w:rPr>
              <w:t> </w:t>
            </w:r>
            <w:r w:rsidRPr="00DB1CE9">
              <w:rPr>
                <w:szCs w:val="28"/>
              </w:rPr>
              <w:t>Iekārtu ražotāja pilnvarotais pārstāvis mēneša laikā pēc tam, kad uzsācis Atkritumu apsaimniekošanas likumā noteiktās darbības ar elektriskajām un elektroniskajām iekārtām, iesniedz reģistrētājam iesniegumu par reģistrāciju atbilstoši šo noteikumu 1.</w:t>
            </w:r>
            <w:r w:rsidRPr="00DB1CE9">
              <w:rPr>
                <w:szCs w:val="28"/>
                <w:vertAlign w:val="superscript"/>
              </w:rPr>
              <w:t>1</w:t>
            </w:r>
            <w:r w:rsidR="00467A69">
              <w:rPr>
                <w:szCs w:val="28"/>
              </w:rPr>
              <w:t> </w:t>
            </w:r>
            <w:r w:rsidRPr="00DB1CE9">
              <w:rPr>
                <w:szCs w:val="28"/>
              </w:rPr>
              <w:t>pielikumam par katru iekārtu ražotāju, kuru tas ir pilnvarots pārstāvēt.”</w:t>
            </w:r>
          </w:p>
          <w:p w14:paraId="02742343" w14:textId="77777777" w:rsidR="007020C2" w:rsidRPr="00DF5371" w:rsidRDefault="007020C2" w:rsidP="00D66B22">
            <w:pPr>
              <w:rPr>
                <w:b/>
              </w:rPr>
            </w:pPr>
          </w:p>
        </w:tc>
      </w:tr>
      <w:tr w:rsidR="007020C2" w:rsidRPr="003E1F78" w14:paraId="02742352" w14:textId="5CA90F88" w:rsidTr="00D66B22">
        <w:tc>
          <w:tcPr>
            <w:tcW w:w="675" w:type="dxa"/>
            <w:tcBorders>
              <w:top w:val="single" w:sz="6" w:space="0" w:color="000000"/>
              <w:left w:val="single" w:sz="6" w:space="0" w:color="000000"/>
              <w:bottom w:val="single" w:sz="6" w:space="0" w:color="000000"/>
              <w:right w:val="single" w:sz="6" w:space="0" w:color="000000"/>
            </w:tcBorders>
          </w:tcPr>
          <w:p w14:paraId="02742345" w14:textId="77777777" w:rsidR="007020C2" w:rsidRPr="003E1F78" w:rsidRDefault="00DB1CE9" w:rsidP="00CE33D2">
            <w:pPr>
              <w:pStyle w:val="naisc"/>
              <w:spacing w:before="0" w:after="0"/>
              <w:jc w:val="both"/>
              <w:rPr>
                <w:b/>
              </w:rPr>
            </w:pPr>
            <w:r>
              <w:rPr>
                <w:b/>
              </w:rPr>
              <w:lastRenderedPageBreak/>
              <w:t>2.</w:t>
            </w:r>
          </w:p>
        </w:tc>
        <w:tc>
          <w:tcPr>
            <w:tcW w:w="2977" w:type="dxa"/>
            <w:tcBorders>
              <w:top w:val="single" w:sz="6" w:space="0" w:color="000000"/>
              <w:left w:val="single" w:sz="6" w:space="0" w:color="000000"/>
              <w:bottom w:val="single" w:sz="6" w:space="0" w:color="000000"/>
              <w:right w:val="single" w:sz="6" w:space="0" w:color="000000"/>
            </w:tcBorders>
            <w:vAlign w:val="center"/>
          </w:tcPr>
          <w:p w14:paraId="02742346" w14:textId="77777777" w:rsidR="007020C2" w:rsidRPr="00CE33D2" w:rsidRDefault="007020C2" w:rsidP="00CE33D2">
            <w:pPr>
              <w:pStyle w:val="naisc"/>
              <w:spacing w:before="0" w:after="0"/>
              <w:ind w:firstLine="12"/>
              <w:jc w:val="both"/>
              <w:rPr>
                <w:b/>
              </w:rPr>
            </w:pPr>
          </w:p>
        </w:tc>
        <w:tc>
          <w:tcPr>
            <w:tcW w:w="4394" w:type="dxa"/>
            <w:tcBorders>
              <w:top w:val="single" w:sz="6" w:space="0" w:color="000000"/>
              <w:left w:val="single" w:sz="6" w:space="0" w:color="000000"/>
              <w:bottom w:val="single" w:sz="6" w:space="0" w:color="000000"/>
              <w:right w:val="single" w:sz="6" w:space="0" w:color="000000"/>
            </w:tcBorders>
            <w:vAlign w:val="center"/>
          </w:tcPr>
          <w:p w14:paraId="02742347" w14:textId="77777777" w:rsidR="007020C2" w:rsidRPr="00CE33D2" w:rsidRDefault="007020C2" w:rsidP="00CE33D2">
            <w:pPr>
              <w:pStyle w:val="naisc"/>
              <w:spacing w:before="0" w:after="0"/>
              <w:ind w:right="3"/>
              <w:jc w:val="both"/>
              <w:rPr>
                <w:b/>
              </w:rPr>
            </w:pPr>
            <w:r w:rsidRPr="00CE33D2">
              <w:rPr>
                <w:b/>
              </w:rPr>
              <w:t>Tieslietu ministrija:</w:t>
            </w:r>
          </w:p>
          <w:p w14:paraId="02742348" w14:textId="77777777" w:rsidR="007020C2" w:rsidRPr="00CE33D2" w:rsidRDefault="007020C2" w:rsidP="007020C2">
            <w:pPr>
              <w:tabs>
                <w:tab w:val="left" w:pos="709"/>
                <w:tab w:val="left" w:pos="851"/>
                <w:tab w:val="left" w:pos="993"/>
              </w:tabs>
              <w:jc w:val="both"/>
              <w:rPr>
                <w:szCs w:val="26"/>
              </w:rPr>
            </w:pPr>
            <w:r w:rsidRPr="00CE33D2">
              <w:rPr>
                <w:szCs w:val="26"/>
              </w:rPr>
              <w:t>2.Vēršam uzmanību, ka Eiropas Komisijas 2019. gada 19. februāra Īstenošanas regulas (ES) Nr. 2019/290, ar ko nosaka elektrisko un elektronisko iekārtu ražotāju reģistrēšanas un ziņošanas formātu (turpmāk – Regula), I pielikuma A un B daļā, kurā noteikts ražotāja reģistrēšanas formāts un pilnvarotā pārstāvja reģistrēšanas formāts, ir ietvertas norādes uz Eiropas Parlamenta un Padomes 2012. gada 4. jūlija Direktīvas 2012/19/ES par elektrisko un elektronisko iekārtu atkritumiem (EEIA) (turpmāk – Direktīva 2012/19/ES) normu prasībām, kas attiecināmas uz privātpersonām. Direktīvas 2012/19/ES prasības ir cita starpā pārņemtas spēkā esošajos noteikumos un Ministru kabineta 2014. gada 8. jūlija noteikumos Nr. 388 “Elektrisko un elektronisko iekārtu kategorijas un marķēšanas prasības un šo iekārtu atkritumu apsaimniekošanas prasības un kārtība”.</w:t>
            </w:r>
          </w:p>
          <w:p w14:paraId="02742349" w14:textId="77777777" w:rsidR="007020C2" w:rsidRPr="00CE33D2" w:rsidRDefault="007020C2" w:rsidP="007020C2">
            <w:pPr>
              <w:tabs>
                <w:tab w:val="left" w:pos="709"/>
                <w:tab w:val="left" w:pos="851"/>
                <w:tab w:val="left" w:pos="993"/>
              </w:tabs>
              <w:ind w:firstLine="709"/>
              <w:rPr>
                <w:i/>
                <w:iCs/>
                <w:szCs w:val="26"/>
              </w:rPr>
            </w:pPr>
            <w:r w:rsidRPr="00CE33D2">
              <w:rPr>
                <w:szCs w:val="26"/>
              </w:rPr>
              <w:t xml:space="preserve">Regulas 1. panta 1. punkts nosaka, ka </w:t>
            </w:r>
            <w:r w:rsidRPr="00CE33D2">
              <w:rPr>
                <w:i/>
                <w:iCs/>
                <w:szCs w:val="26"/>
              </w:rPr>
              <w:t>“</w:t>
            </w:r>
            <w:r w:rsidRPr="00CE33D2">
              <w:rPr>
                <w:i/>
                <w:iCs/>
                <w:szCs w:val="26"/>
                <w:u w:val="single"/>
              </w:rPr>
              <w:t>[d]alībvalstis nodrošina</w:t>
            </w:r>
            <w:r w:rsidRPr="00CE33D2">
              <w:rPr>
                <w:i/>
                <w:iCs/>
                <w:szCs w:val="26"/>
              </w:rPr>
              <w:t>, ka saskaņā ar Direktīvas 2012/19/ES 16. panta 1. punktu izveidotajos reģistros:</w:t>
            </w:r>
          </w:p>
          <w:p w14:paraId="0274234A" w14:textId="77777777" w:rsidR="007020C2" w:rsidRPr="00CE33D2" w:rsidRDefault="007020C2" w:rsidP="007020C2">
            <w:pPr>
              <w:tabs>
                <w:tab w:val="left" w:pos="709"/>
                <w:tab w:val="left" w:pos="851"/>
                <w:tab w:val="left" w:pos="993"/>
              </w:tabs>
              <w:ind w:firstLine="709"/>
              <w:rPr>
                <w:i/>
                <w:iCs/>
                <w:szCs w:val="26"/>
              </w:rPr>
            </w:pPr>
            <w:r w:rsidRPr="00CE33D2">
              <w:rPr>
                <w:i/>
                <w:iCs/>
                <w:szCs w:val="26"/>
              </w:rPr>
              <w:t>a)</w:t>
            </w:r>
            <w:r w:rsidRPr="00CE33D2">
              <w:rPr>
                <w:i/>
                <w:iCs/>
                <w:szCs w:val="26"/>
              </w:rPr>
              <w:tab/>
              <w:t>ražotāju reģistrēšanai izmanto formātu, kas noteikts I pielikuma A daļā;</w:t>
            </w:r>
          </w:p>
          <w:p w14:paraId="0274234B" w14:textId="77777777" w:rsidR="007020C2" w:rsidRPr="00CE33D2" w:rsidRDefault="007020C2" w:rsidP="007020C2">
            <w:pPr>
              <w:tabs>
                <w:tab w:val="left" w:pos="709"/>
                <w:tab w:val="left" w:pos="851"/>
                <w:tab w:val="left" w:pos="993"/>
              </w:tabs>
              <w:ind w:firstLine="709"/>
              <w:rPr>
                <w:i/>
                <w:iCs/>
                <w:szCs w:val="26"/>
              </w:rPr>
            </w:pPr>
            <w:r w:rsidRPr="00CE33D2">
              <w:rPr>
                <w:i/>
                <w:iCs/>
                <w:szCs w:val="26"/>
              </w:rPr>
              <w:t>b)</w:t>
            </w:r>
            <w:r w:rsidRPr="00CE33D2">
              <w:rPr>
                <w:i/>
                <w:iCs/>
                <w:szCs w:val="26"/>
              </w:rPr>
              <w:tab/>
              <w:t xml:space="preserve"> pilnvaroto pārstāvju reģistrēšanai izmanto formātu, kas noteikts I pielikuma B daļā”.</w:t>
            </w:r>
          </w:p>
          <w:p w14:paraId="0274234C" w14:textId="77777777" w:rsidR="007020C2" w:rsidRPr="00CE33D2" w:rsidRDefault="007020C2" w:rsidP="007020C2">
            <w:pPr>
              <w:tabs>
                <w:tab w:val="left" w:pos="709"/>
                <w:tab w:val="left" w:pos="851"/>
                <w:tab w:val="left" w:pos="993"/>
              </w:tabs>
              <w:ind w:firstLine="709"/>
              <w:jc w:val="both"/>
              <w:rPr>
                <w:szCs w:val="26"/>
              </w:rPr>
            </w:pPr>
            <w:r w:rsidRPr="00CE33D2">
              <w:rPr>
                <w:szCs w:val="26"/>
              </w:rPr>
              <w:t>Saskaņā ar Līguma par Eiropas Savienības darbību 288. panta otro daļu “</w:t>
            </w:r>
            <w:r w:rsidRPr="00CE33D2">
              <w:rPr>
                <w:i/>
                <w:iCs/>
                <w:szCs w:val="26"/>
              </w:rPr>
              <w:t>regulas ir vispārpiemērojamas. Tās uzliek saistības kopumā un ir tieši piemērojamas visās dalībvalstīs.”</w:t>
            </w:r>
            <w:r w:rsidRPr="00CE33D2">
              <w:rPr>
                <w:szCs w:val="26"/>
              </w:rPr>
              <w:t xml:space="preserve"> Regulas ir aizliegts pārņemt nacionālajos tiesību aktos un tās automātiski kļūst par nacionālās tiesību sistēmas sastāvdaļu. Regulu pārņemšanas aizliegums ir noteikts Eiropas Savienības Tiesas spriedumā lietā Nr. 39/72 Komisija pret Itāliju, kur tiesa noteica, ka regula automātiski ir nacionālās tiesiskās sistēmas sastāvdaļa. Tādēļ ir prettiesiski tādi nacionālie regulas normas īstenošanas mehānismi, kas rada šķēršļus regulas tiešam efektam un apdraud vienlaicīgu un vienādu tās piemērošanu Eiropas Savienībā, </w:t>
            </w:r>
            <w:r w:rsidRPr="00CE33D2">
              <w:rPr>
                <w:szCs w:val="26"/>
                <w:u w:val="single"/>
              </w:rPr>
              <w:t>bet tai pašā laikā ir jānodrošina to tiešā piemērošana katrā dalībvalstī</w:t>
            </w:r>
            <w:r w:rsidRPr="00CE33D2">
              <w:rPr>
                <w:szCs w:val="26"/>
              </w:rPr>
              <w:t xml:space="preserve">. </w:t>
            </w:r>
            <w:r w:rsidRPr="00CE33D2">
              <w:rPr>
                <w:szCs w:val="26"/>
                <w:u w:val="single"/>
              </w:rPr>
              <w:t>Tas nozīmē, ka dalībvalstij ir pienākums nodrošināt tādu normatīvo bāzi, lai regulas būtu iespējams tieši piemērot.</w:t>
            </w:r>
            <w:r w:rsidRPr="00CE33D2">
              <w:rPr>
                <w:szCs w:val="26"/>
              </w:rPr>
              <w:t xml:space="preserve"> Tātad, dalībvalsts izstrādā tiesību aktus regulas piemērošanai tikai gadījumos, ja regulā ir tieši paredzēts dalībvalstij kāds konkrēts pienākums, piemēram, jānosaka kompetentā vai atbildīgā iestāde, jāparedz sankcijas vai sods par regulas normu pārkāpumu vai nepildīšanu, jānosaka administratīvā procedūra regulā noteikto pasākumu īstenošanai u.tml.</w:t>
            </w:r>
          </w:p>
          <w:p w14:paraId="0274234D" w14:textId="77777777" w:rsidR="007020C2" w:rsidRPr="00CE33D2" w:rsidRDefault="007020C2" w:rsidP="007020C2">
            <w:pPr>
              <w:tabs>
                <w:tab w:val="left" w:pos="709"/>
                <w:tab w:val="left" w:pos="851"/>
                <w:tab w:val="left" w:pos="993"/>
              </w:tabs>
              <w:ind w:firstLine="709"/>
              <w:jc w:val="both"/>
              <w:rPr>
                <w:szCs w:val="26"/>
              </w:rPr>
            </w:pPr>
            <w:r w:rsidRPr="00CE33D2">
              <w:rPr>
                <w:szCs w:val="26"/>
              </w:rPr>
              <w:t>Eiropas Savienības Tiesa ir atzinusi, ka, ja regula prasa tās piemērošanai nodrošinošu nacionālā tiesību akta pieņemšanu, atsevišķos gadījumos tomēr var tikt pieļauta regulu teksta daļu inkorporēšana nacionālajos tiesību aktos (kā piemēru skatīt lietu Nr. 272/83 Komisija v. Itālija). Tomēr norādām, ka šis gadījums attaisnots vienīgi ar indivīdu interesēm saņemt tiem adresētu saskaņotu un labi uztveramu tiesību aktu, un regulu tiešā piemērojamība nepieļauj citus izņēmumus.</w:t>
            </w:r>
          </w:p>
          <w:p w14:paraId="0274234E" w14:textId="77777777" w:rsidR="007020C2" w:rsidRPr="00CE33D2" w:rsidRDefault="007020C2" w:rsidP="007020C2">
            <w:pPr>
              <w:pStyle w:val="ListParagraph"/>
              <w:tabs>
                <w:tab w:val="left" w:pos="851"/>
                <w:tab w:val="left" w:pos="993"/>
              </w:tabs>
              <w:ind w:left="0" w:firstLine="709"/>
              <w:rPr>
                <w:szCs w:val="26"/>
              </w:rPr>
            </w:pPr>
            <w:r w:rsidRPr="00CE33D2">
              <w:rPr>
                <w:szCs w:val="26"/>
              </w:rPr>
              <w:t>Ņemot vērā, ka Regulas I pielikuma A un B daļā ir iekļautas norādes uz Direktīvas 2012/19/ES prasībām, kas jau ir pārņemtas Latvijas tiesību sistēmā, un Latvija ir izvēlējusies pārņemt tikai vienu no Regulas I pielikuma A un B daļā norādītajiem informācijas elementiem, kas apzīmēts ar “M*”, šajā gadījumā lietderīgāk būtu ieviest Regulas I pielikuma A un B daļā noteikto ražotāja reģistrēšanas un pilnvarotā pārstāvja reģistrēšanas formātu spēkā esošajos noteikumos, tā nodrošinot saskaņotu un privātpersonai uztveramu tiesību aktu.</w:t>
            </w:r>
          </w:p>
          <w:p w14:paraId="0274234F" w14:textId="77777777" w:rsidR="007020C2" w:rsidRPr="00CE33D2" w:rsidRDefault="007020C2" w:rsidP="007020C2">
            <w:pPr>
              <w:pStyle w:val="naisc"/>
              <w:spacing w:before="0" w:after="0"/>
              <w:ind w:right="3"/>
              <w:jc w:val="both"/>
              <w:rPr>
                <w:b/>
              </w:rPr>
            </w:pPr>
            <w:r w:rsidRPr="00CE33D2">
              <w:rPr>
                <w:szCs w:val="26"/>
              </w:rPr>
              <w:t>Tādējādi lūdzam izvērtēt iespēju Regulas I pielikuma A un B daļā noteikto ražotāja reģistrēšanas un pilnvarotā pārstāvja reģistrēšanas formātu iekļaut projektā kā pielikumu spēkā esošajiem noteikumiem, tā tieši ieviešot Regulas I pielikuma A un B daļas prasības un atvieglojot minētā Regulas pielikuma prasību piemērošanu praksē.</w:t>
            </w:r>
          </w:p>
        </w:tc>
        <w:tc>
          <w:tcPr>
            <w:tcW w:w="2835" w:type="dxa"/>
            <w:tcBorders>
              <w:top w:val="single" w:sz="6" w:space="0" w:color="000000"/>
              <w:left w:val="single" w:sz="6" w:space="0" w:color="000000"/>
              <w:bottom w:val="single" w:sz="6" w:space="0" w:color="000000"/>
              <w:right w:val="single" w:sz="6" w:space="0" w:color="000000"/>
            </w:tcBorders>
          </w:tcPr>
          <w:p w14:paraId="02742350" w14:textId="77777777" w:rsidR="007020C2" w:rsidRPr="00DF5371" w:rsidRDefault="00D66B22" w:rsidP="00D66B22">
            <w:pPr>
              <w:pStyle w:val="naisc"/>
              <w:spacing w:before="0" w:after="0"/>
              <w:ind w:firstLine="21"/>
              <w:jc w:val="left"/>
              <w:rPr>
                <w:b/>
              </w:rPr>
            </w:pPr>
            <w:r>
              <w:rPr>
                <w:b/>
              </w:rPr>
              <w:t xml:space="preserve">Iebildums ir ņemts vērā. </w:t>
            </w:r>
          </w:p>
        </w:tc>
        <w:tc>
          <w:tcPr>
            <w:tcW w:w="3686" w:type="dxa"/>
            <w:tcBorders>
              <w:top w:val="single" w:sz="4" w:space="0" w:color="auto"/>
              <w:left w:val="single" w:sz="4" w:space="0" w:color="auto"/>
              <w:bottom w:val="single" w:sz="4" w:space="0" w:color="auto"/>
            </w:tcBorders>
          </w:tcPr>
          <w:p w14:paraId="02742351" w14:textId="77777777" w:rsidR="007020C2" w:rsidRPr="00DF5371" w:rsidRDefault="00D66B22" w:rsidP="00B32ABD">
            <w:pPr>
              <w:jc w:val="both"/>
              <w:rPr>
                <w:b/>
              </w:rPr>
            </w:pPr>
            <w:r>
              <w:rPr>
                <w:b/>
              </w:rPr>
              <w:t>Noteikumu projekta 1.</w:t>
            </w:r>
            <w:r w:rsidR="00467A69">
              <w:rPr>
                <w:b/>
              </w:rPr>
              <w:t> </w:t>
            </w:r>
            <w:r>
              <w:rPr>
                <w:b/>
              </w:rPr>
              <w:t>pielikums ir izteikts jaunā redakcijā. Noteikumu projekts ir papildināts ar 1.</w:t>
            </w:r>
            <w:r w:rsidRPr="00D66B22">
              <w:rPr>
                <w:b/>
                <w:vertAlign w:val="superscript"/>
              </w:rPr>
              <w:t>1</w:t>
            </w:r>
            <w:r>
              <w:rPr>
                <w:b/>
              </w:rPr>
              <w:t xml:space="preserve"> un 1.</w:t>
            </w:r>
            <w:r w:rsidRPr="00D66B22">
              <w:rPr>
                <w:b/>
                <w:vertAlign w:val="superscript"/>
              </w:rPr>
              <w:t>2</w:t>
            </w:r>
            <w:r w:rsidR="00467A69">
              <w:rPr>
                <w:b/>
              </w:rPr>
              <w:t> </w:t>
            </w:r>
            <w:r>
              <w:rPr>
                <w:b/>
              </w:rPr>
              <w:t>pielikumu.</w:t>
            </w:r>
          </w:p>
        </w:tc>
      </w:tr>
      <w:tr w:rsidR="007020C2" w:rsidRPr="003E1F78" w14:paraId="0274235F" w14:textId="40B5032D" w:rsidTr="006B5070">
        <w:tc>
          <w:tcPr>
            <w:tcW w:w="675" w:type="dxa"/>
            <w:tcBorders>
              <w:top w:val="single" w:sz="6" w:space="0" w:color="000000"/>
              <w:left w:val="single" w:sz="6" w:space="0" w:color="000000"/>
              <w:bottom w:val="single" w:sz="6" w:space="0" w:color="000000"/>
              <w:right w:val="single" w:sz="6" w:space="0" w:color="000000"/>
            </w:tcBorders>
          </w:tcPr>
          <w:p w14:paraId="02742353" w14:textId="77777777" w:rsidR="007020C2" w:rsidRPr="003E1F78" w:rsidRDefault="00DB1CE9" w:rsidP="00CE33D2">
            <w:pPr>
              <w:pStyle w:val="naisc"/>
              <w:spacing w:before="0" w:after="0"/>
              <w:jc w:val="both"/>
              <w:rPr>
                <w:b/>
              </w:rPr>
            </w:pPr>
            <w:r>
              <w:rPr>
                <w:b/>
              </w:rPr>
              <w:t>3.</w:t>
            </w:r>
          </w:p>
        </w:tc>
        <w:tc>
          <w:tcPr>
            <w:tcW w:w="2977" w:type="dxa"/>
            <w:tcBorders>
              <w:top w:val="single" w:sz="6" w:space="0" w:color="000000"/>
              <w:left w:val="single" w:sz="6" w:space="0" w:color="000000"/>
              <w:bottom w:val="single" w:sz="6" w:space="0" w:color="000000"/>
              <w:right w:val="single" w:sz="6" w:space="0" w:color="000000"/>
            </w:tcBorders>
            <w:vAlign w:val="center"/>
          </w:tcPr>
          <w:p w14:paraId="02742354" w14:textId="0721613C" w:rsidR="00CE33D2" w:rsidRPr="00CE33D2" w:rsidRDefault="00CE33D2" w:rsidP="002A4D59">
            <w:pPr>
              <w:ind w:firstLine="720"/>
              <w:jc w:val="both"/>
              <w:rPr>
                <w:szCs w:val="28"/>
              </w:rPr>
            </w:pPr>
            <w:r w:rsidRPr="00CE33D2">
              <w:rPr>
                <w:szCs w:val="28"/>
              </w:rPr>
              <w:t>3. Aizstāt 11.</w:t>
            </w:r>
            <w:r w:rsidR="00C445A1">
              <w:rPr>
                <w:szCs w:val="28"/>
              </w:rPr>
              <w:t> </w:t>
            </w:r>
            <w:r w:rsidRPr="00CE33D2">
              <w:rPr>
                <w:szCs w:val="28"/>
              </w:rPr>
              <w:t>punktā vārdus un skaitli “šo noteikumu 1.</w:t>
            </w:r>
            <w:r w:rsidR="00C445A1">
              <w:rPr>
                <w:szCs w:val="28"/>
              </w:rPr>
              <w:t> </w:t>
            </w:r>
            <w:r w:rsidRPr="00CE33D2">
              <w:rPr>
                <w:szCs w:val="28"/>
              </w:rPr>
              <w:t>pielikumā” ar vārdiem un skaitļiem “Regulas Nr.</w:t>
            </w:r>
            <w:r w:rsidR="00C445A1">
              <w:rPr>
                <w:szCs w:val="28"/>
              </w:rPr>
              <w:t> </w:t>
            </w:r>
            <w:r w:rsidRPr="00CE33D2">
              <w:rPr>
                <w:szCs w:val="28"/>
              </w:rPr>
              <w:t>2019/290 1.</w:t>
            </w:r>
            <w:r w:rsidR="00C445A1">
              <w:rPr>
                <w:szCs w:val="28"/>
              </w:rPr>
              <w:t> </w:t>
            </w:r>
            <w:r w:rsidRPr="00CE33D2">
              <w:rPr>
                <w:szCs w:val="28"/>
              </w:rPr>
              <w:t xml:space="preserve">pielikuma A vai B daļā”. </w:t>
            </w:r>
          </w:p>
          <w:p w14:paraId="02742355" w14:textId="269BF6F7" w:rsidR="00CE33D2" w:rsidRPr="00CE33D2" w:rsidRDefault="00CE33D2" w:rsidP="002A4D59">
            <w:pPr>
              <w:ind w:firstLine="720"/>
              <w:jc w:val="both"/>
              <w:rPr>
                <w:szCs w:val="28"/>
              </w:rPr>
            </w:pPr>
            <w:bookmarkStart w:id="0" w:name="p-519409"/>
            <w:bookmarkStart w:id="1" w:name="p11"/>
            <w:bookmarkStart w:id="2" w:name="p-519410"/>
            <w:bookmarkStart w:id="3" w:name="p12"/>
            <w:bookmarkStart w:id="4" w:name="p-519411"/>
            <w:bookmarkStart w:id="5" w:name="p13"/>
            <w:bookmarkEnd w:id="0"/>
            <w:bookmarkEnd w:id="1"/>
            <w:bookmarkEnd w:id="2"/>
            <w:bookmarkEnd w:id="3"/>
            <w:bookmarkEnd w:id="4"/>
            <w:bookmarkEnd w:id="5"/>
            <w:r w:rsidRPr="00CE33D2">
              <w:rPr>
                <w:szCs w:val="28"/>
              </w:rPr>
              <w:t>4. Aizstāt 14.1. un 14.2. apakšpunktā vārdus un skaitli “šo noteikumu 1.</w:t>
            </w:r>
            <w:r w:rsidR="00C445A1">
              <w:rPr>
                <w:szCs w:val="28"/>
              </w:rPr>
              <w:t> </w:t>
            </w:r>
            <w:r w:rsidRPr="00CE33D2">
              <w:rPr>
                <w:szCs w:val="28"/>
              </w:rPr>
              <w:t>pielikumā” ar vārdiem un skaitļiem “Regulas Nr.</w:t>
            </w:r>
            <w:r w:rsidR="00C445A1">
              <w:rPr>
                <w:szCs w:val="28"/>
              </w:rPr>
              <w:t> </w:t>
            </w:r>
            <w:r w:rsidRPr="00CE33D2">
              <w:rPr>
                <w:szCs w:val="28"/>
              </w:rPr>
              <w:t>2019/290 1.</w:t>
            </w:r>
            <w:r w:rsidR="00C445A1">
              <w:rPr>
                <w:szCs w:val="28"/>
              </w:rPr>
              <w:t> </w:t>
            </w:r>
            <w:r w:rsidRPr="00CE33D2">
              <w:rPr>
                <w:szCs w:val="28"/>
              </w:rPr>
              <w:t>pielikuma A vai B daļā”.</w:t>
            </w:r>
          </w:p>
          <w:p w14:paraId="02742356" w14:textId="485E3619" w:rsidR="007020C2" w:rsidRPr="002A4D59" w:rsidRDefault="00CE33D2" w:rsidP="002A4D59">
            <w:pPr>
              <w:ind w:firstLine="720"/>
              <w:jc w:val="both"/>
              <w:rPr>
                <w:szCs w:val="28"/>
              </w:rPr>
            </w:pPr>
            <w:r w:rsidRPr="00CE33D2">
              <w:rPr>
                <w:szCs w:val="28"/>
              </w:rPr>
              <w:t>5. Aizstāt 15.</w:t>
            </w:r>
            <w:r w:rsidR="00C445A1">
              <w:rPr>
                <w:szCs w:val="28"/>
              </w:rPr>
              <w:t> </w:t>
            </w:r>
            <w:r w:rsidRPr="00CE33D2">
              <w:rPr>
                <w:szCs w:val="28"/>
              </w:rPr>
              <w:t>punktā vārdu un skaitli “1.</w:t>
            </w:r>
            <w:r w:rsidR="00C445A1">
              <w:rPr>
                <w:szCs w:val="28"/>
              </w:rPr>
              <w:t> </w:t>
            </w:r>
            <w:r w:rsidRPr="00CE33D2">
              <w:rPr>
                <w:szCs w:val="28"/>
              </w:rPr>
              <w:t>pielikums” ar vārdiem un skaitļiem “Regulas Nr.</w:t>
            </w:r>
            <w:r w:rsidR="00C445A1">
              <w:rPr>
                <w:szCs w:val="28"/>
              </w:rPr>
              <w:t> </w:t>
            </w:r>
            <w:r w:rsidRPr="00CE33D2">
              <w:rPr>
                <w:szCs w:val="28"/>
              </w:rPr>
              <w:t>2019/290 1.</w:t>
            </w:r>
            <w:r w:rsidR="00C445A1">
              <w:rPr>
                <w:szCs w:val="28"/>
              </w:rPr>
              <w:t> </w:t>
            </w:r>
            <w:r w:rsidRPr="00CE33D2">
              <w:rPr>
                <w:szCs w:val="28"/>
              </w:rPr>
              <w:t xml:space="preserve">pielikuma A vai B daļa”. </w:t>
            </w:r>
            <w:bookmarkStart w:id="6" w:name="p-519412"/>
            <w:bookmarkStart w:id="7" w:name="p14"/>
            <w:bookmarkStart w:id="8" w:name="p-519413"/>
            <w:bookmarkStart w:id="9" w:name="p15"/>
            <w:bookmarkStart w:id="10" w:name="p-519414"/>
            <w:bookmarkStart w:id="11" w:name="p16"/>
            <w:bookmarkStart w:id="12" w:name="p-519415"/>
            <w:bookmarkStart w:id="13" w:name="p17"/>
            <w:bookmarkStart w:id="14" w:name="p-519416"/>
            <w:bookmarkStart w:id="15" w:name="p18"/>
            <w:bookmarkStart w:id="16" w:name="p-519417"/>
            <w:bookmarkStart w:id="17" w:name="p19"/>
            <w:bookmarkStart w:id="18" w:name="p-519418"/>
            <w:bookmarkStart w:id="19" w:name="p20"/>
            <w:bookmarkStart w:id="20" w:name="p-519419"/>
            <w:bookmarkStart w:id="21" w:name="p21"/>
            <w:bookmarkStart w:id="22" w:name="n-519420"/>
            <w:bookmarkStart w:id="23" w:name="n3"/>
            <w:bookmarkStart w:id="24" w:name="p-519422"/>
            <w:bookmarkStart w:id="25" w:name="p22"/>
            <w:bookmarkStart w:id="26" w:name="p-519423"/>
            <w:bookmarkStart w:id="27" w:name="p23"/>
            <w:bookmarkStart w:id="28" w:name="p-519424"/>
            <w:bookmarkStart w:id="29" w:name="p24"/>
            <w:bookmarkStart w:id="30" w:name="p-519425"/>
            <w:bookmarkStart w:id="31" w:name="p25"/>
            <w:bookmarkStart w:id="32" w:name="p-519426"/>
            <w:bookmarkStart w:id="33" w:name="p26"/>
            <w:bookmarkStart w:id="34" w:name="p-519427"/>
            <w:bookmarkStart w:id="35" w:name="p27"/>
            <w:bookmarkStart w:id="36" w:name="p-519428"/>
            <w:bookmarkStart w:id="37" w:name="p28"/>
            <w:bookmarkStart w:id="38" w:name="p-519429"/>
            <w:bookmarkStart w:id="39" w:name="p29"/>
            <w:bookmarkStart w:id="40" w:name="p-519430"/>
            <w:bookmarkStart w:id="41" w:name="p30"/>
            <w:bookmarkStart w:id="42" w:name="p-519431"/>
            <w:bookmarkStart w:id="43" w:name="p31"/>
            <w:bookmarkStart w:id="44" w:name="p-519432"/>
            <w:bookmarkStart w:id="45" w:name="p32"/>
            <w:bookmarkStart w:id="46" w:name="p-519433"/>
            <w:bookmarkStart w:id="47" w:name="p33"/>
            <w:bookmarkStart w:id="48" w:name="p-519434"/>
            <w:bookmarkStart w:id="49" w:name="p34"/>
            <w:bookmarkStart w:id="50" w:name="p-519435"/>
            <w:bookmarkStart w:id="51" w:name="p35"/>
            <w:bookmarkStart w:id="52" w:name="n-519436"/>
            <w:bookmarkStart w:id="53" w:name="n4"/>
            <w:bookmarkStart w:id="54" w:name="p-519437"/>
            <w:bookmarkStart w:id="55" w:name="p36"/>
            <w:bookmarkStart w:id="56" w:name="p-519438"/>
            <w:bookmarkStart w:id="57" w:name="p37"/>
            <w:bookmarkStart w:id="58" w:name="p-519439"/>
            <w:bookmarkStart w:id="59" w:name="p38"/>
            <w:bookmarkStart w:id="60" w:name="p-519440"/>
            <w:bookmarkStart w:id="61" w:name="p39"/>
            <w:bookmarkStart w:id="62" w:name="p-519441"/>
            <w:bookmarkStart w:id="63" w:name="p40"/>
            <w:bookmarkStart w:id="64" w:name="p-519442"/>
            <w:bookmarkStart w:id="65" w:name="p41"/>
            <w:bookmarkStart w:id="66" w:name="n-519443"/>
            <w:bookmarkStart w:id="67" w:name="n5"/>
            <w:bookmarkStart w:id="68" w:name="p-519444"/>
            <w:bookmarkStart w:id="69" w:name="p42"/>
            <w:bookmarkStart w:id="70" w:name="519445"/>
            <w:bookmarkStart w:id="71" w:name="p-519446"/>
            <w:bookmarkStart w:id="72" w:name="p213"/>
            <w:bookmarkStart w:id="73" w:name="piel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tc>
        <w:tc>
          <w:tcPr>
            <w:tcW w:w="4394" w:type="dxa"/>
            <w:tcBorders>
              <w:top w:val="single" w:sz="6" w:space="0" w:color="000000"/>
              <w:left w:val="single" w:sz="6" w:space="0" w:color="000000"/>
              <w:bottom w:val="single" w:sz="6" w:space="0" w:color="000000"/>
              <w:right w:val="single" w:sz="6" w:space="0" w:color="000000"/>
            </w:tcBorders>
            <w:vAlign w:val="center"/>
          </w:tcPr>
          <w:p w14:paraId="02742357" w14:textId="77777777" w:rsidR="007020C2" w:rsidRPr="00CE33D2" w:rsidRDefault="007020C2" w:rsidP="00CE33D2">
            <w:pPr>
              <w:pStyle w:val="naisc"/>
              <w:spacing w:before="0" w:after="0"/>
              <w:ind w:right="3"/>
              <w:jc w:val="both"/>
              <w:rPr>
                <w:b/>
              </w:rPr>
            </w:pPr>
            <w:r w:rsidRPr="00CE33D2">
              <w:rPr>
                <w:b/>
              </w:rPr>
              <w:t>Tieslietu ministrija:</w:t>
            </w:r>
          </w:p>
          <w:p w14:paraId="02742358" w14:textId="77777777" w:rsidR="007020C2" w:rsidRPr="00CE33D2" w:rsidRDefault="007020C2" w:rsidP="007020C2">
            <w:pPr>
              <w:tabs>
                <w:tab w:val="left" w:pos="709"/>
                <w:tab w:val="left" w:pos="851"/>
                <w:tab w:val="left" w:pos="993"/>
              </w:tabs>
              <w:jc w:val="both"/>
              <w:rPr>
                <w:szCs w:val="26"/>
              </w:rPr>
            </w:pPr>
            <w:r w:rsidRPr="00CE33D2">
              <w:rPr>
                <w:szCs w:val="26"/>
              </w:rPr>
              <w:t>3.Ņemot vērā šī atzinuma 2. iebildumu par nepieciešamību ieviest Regulas I pielikuma A un B daļas prasības spēkā esošajos noteikumos, lūdzam precizēt projekta 3., 4. un 5. punktu, aizstājot tajos norādi uz Regulas I pielikuma A vai B daļu ar norādi uz projektā izteiktu pielikumu, kurā tiks ieviesta minētā A vai B daļa.</w:t>
            </w:r>
          </w:p>
        </w:tc>
        <w:tc>
          <w:tcPr>
            <w:tcW w:w="2835" w:type="dxa"/>
            <w:tcBorders>
              <w:top w:val="single" w:sz="6" w:space="0" w:color="000000"/>
              <w:left w:val="single" w:sz="6" w:space="0" w:color="000000"/>
              <w:bottom w:val="single" w:sz="6" w:space="0" w:color="000000"/>
              <w:right w:val="single" w:sz="6" w:space="0" w:color="000000"/>
            </w:tcBorders>
          </w:tcPr>
          <w:p w14:paraId="02742359" w14:textId="77777777" w:rsidR="007020C2" w:rsidRPr="00DF5371" w:rsidRDefault="006B5070" w:rsidP="006B5070">
            <w:pPr>
              <w:pStyle w:val="naisc"/>
              <w:spacing w:before="0" w:after="0"/>
              <w:ind w:firstLine="21"/>
              <w:jc w:val="left"/>
              <w:rPr>
                <w:b/>
              </w:rPr>
            </w:pPr>
            <w:r>
              <w:rPr>
                <w:b/>
              </w:rPr>
              <w:t xml:space="preserve">Iebildums ir ņemts vērā. </w:t>
            </w:r>
          </w:p>
        </w:tc>
        <w:tc>
          <w:tcPr>
            <w:tcW w:w="3686" w:type="dxa"/>
            <w:tcBorders>
              <w:top w:val="single" w:sz="4" w:space="0" w:color="auto"/>
              <w:left w:val="single" w:sz="4" w:space="0" w:color="auto"/>
              <w:bottom w:val="single" w:sz="4" w:space="0" w:color="auto"/>
            </w:tcBorders>
            <w:vAlign w:val="center"/>
          </w:tcPr>
          <w:p w14:paraId="0274235A" w14:textId="77777777" w:rsidR="00E665B9" w:rsidRPr="00E665B9" w:rsidRDefault="00E665B9" w:rsidP="00E665B9">
            <w:pPr>
              <w:ind w:firstLine="720"/>
              <w:jc w:val="both"/>
            </w:pPr>
            <w:r w:rsidRPr="00E665B9">
              <w:t>3.</w:t>
            </w:r>
            <w:r w:rsidR="00467A69">
              <w:t> </w:t>
            </w:r>
            <w:r w:rsidRPr="00E665B9">
              <w:t>Papildināt 11.</w:t>
            </w:r>
            <w:r w:rsidR="00467A69">
              <w:t> </w:t>
            </w:r>
            <w:r w:rsidRPr="00E665B9">
              <w:t>punkt</w:t>
            </w:r>
            <w:r w:rsidR="00467A69">
              <w:t>ā</w:t>
            </w:r>
            <w:r w:rsidRPr="00E665B9">
              <w:t xml:space="preserve"> aiz vārda un skaitļa “1.</w:t>
            </w:r>
            <w:r w:rsidR="00467A69">
              <w:t> </w:t>
            </w:r>
            <w:r w:rsidRPr="00E665B9">
              <w:t>pielikumā” ar vārdiem un skaitļiem “vai šo noteikumu 1.</w:t>
            </w:r>
            <w:r w:rsidRPr="00E665B9">
              <w:rPr>
                <w:vertAlign w:val="superscript"/>
              </w:rPr>
              <w:t>1</w:t>
            </w:r>
            <w:r w:rsidR="00467A69">
              <w:t> </w:t>
            </w:r>
            <w:r w:rsidRPr="00E665B9">
              <w:t>pielikumā”.</w:t>
            </w:r>
          </w:p>
          <w:p w14:paraId="0274235B" w14:textId="77777777" w:rsidR="00E665B9" w:rsidRPr="00E665B9" w:rsidRDefault="00E665B9" w:rsidP="00E665B9">
            <w:pPr>
              <w:ind w:firstLine="720"/>
              <w:jc w:val="both"/>
            </w:pPr>
          </w:p>
          <w:p w14:paraId="0274235C" w14:textId="77777777" w:rsidR="00E665B9" w:rsidRPr="002A4D59" w:rsidRDefault="00E665B9" w:rsidP="002A4D59">
            <w:pPr>
              <w:ind w:firstLine="720"/>
              <w:jc w:val="both"/>
            </w:pPr>
            <w:r w:rsidRPr="00E665B9">
              <w:t>4.</w:t>
            </w:r>
            <w:r w:rsidR="00467A69">
              <w:t> </w:t>
            </w:r>
            <w:r w:rsidRPr="00E665B9">
              <w:t>Papildināt 14.1. un 14.2.</w:t>
            </w:r>
            <w:r w:rsidR="00467A69">
              <w:t> </w:t>
            </w:r>
            <w:r w:rsidRPr="00E665B9">
              <w:t>apakšpunktā aiz vārda</w:t>
            </w:r>
            <w:r w:rsidR="00DB1CE9">
              <w:t xml:space="preserve"> </w:t>
            </w:r>
            <w:r w:rsidRPr="00E665B9">
              <w:t>un skaitļa “1.</w:t>
            </w:r>
            <w:r w:rsidR="00467A69">
              <w:t> </w:t>
            </w:r>
            <w:r w:rsidRPr="00E665B9">
              <w:t>pielikumā” ar vārdiem un skaitļiem “vai šo noteikumu 1.</w:t>
            </w:r>
            <w:r w:rsidRPr="00B32ABD">
              <w:rPr>
                <w:vertAlign w:val="superscript"/>
              </w:rPr>
              <w:t>1</w:t>
            </w:r>
            <w:r w:rsidR="00467A69">
              <w:t> </w:t>
            </w:r>
            <w:r w:rsidRPr="00E665B9">
              <w:t>pielikumā”; ”.</w:t>
            </w:r>
          </w:p>
          <w:p w14:paraId="0274235D" w14:textId="77777777" w:rsidR="00E665B9" w:rsidRPr="00AD7E54" w:rsidRDefault="00E665B9" w:rsidP="00E665B9">
            <w:pPr>
              <w:ind w:firstLine="720"/>
              <w:jc w:val="both"/>
              <w:rPr>
                <w:sz w:val="28"/>
                <w:szCs w:val="28"/>
              </w:rPr>
            </w:pPr>
          </w:p>
          <w:p w14:paraId="0274235E" w14:textId="64D5E413" w:rsidR="007020C2" w:rsidRPr="00DF5371" w:rsidRDefault="00E665B9" w:rsidP="00E665B9">
            <w:pPr>
              <w:jc w:val="both"/>
              <w:rPr>
                <w:b/>
              </w:rPr>
            </w:pPr>
            <w:r w:rsidRPr="002A4D59">
              <w:rPr>
                <w:szCs w:val="28"/>
              </w:rPr>
              <w:t>5.</w:t>
            </w:r>
            <w:r w:rsidR="00467A69">
              <w:rPr>
                <w:szCs w:val="28"/>
              </w:rPr>
              <w:t> </w:t>
            </w:r>
            <w:r w:rsidRPr="002A4D59">
              <w:rPr>
                <w:szCs w:val="28"/>
              </w:rPr>
              <w:t>Papildināt 15.</w:t>
            </w:r>
            <w:r w:rsidR="00C445A1">
              <w:rPr>
                <w:szCs w:val="28"/>
              </w:rPr>
              <w:t> </w:t>
            </w:r>
            <w:r w:rsidRPr="002A4D59">
              <w:rPr>
                <w:szCs w:val="28"/>
              </w:rPr>
              <w:t>punktā aiz vārda un skaitļa “1.</w:t>
            </w:r>
            <w:r w:rsidR="00467A69">
              <w:rPr>
                <w:szCs w:val="28"/>
              </w:rPr>
              <w:t> </w:t>
            </w:r>
            <w:r w:rsidRPr="002A4D59">
              <w:rPr>
                <w:szCs w:val="28"/>
              </w:rPr>
              <w:t>pielikums” ar vārdiem un skaitļiem “vai 1.</w:t>
            </w:r>
            <w:r w:rsidRPr="00B32ABD">
              <w:rPr>
                <w:szCs w:val="28"/>
                <w:vertAlign w:val="superscript"/>
              </w:rPr>
              <w:t>1</w:t>
            </w:r>
            <w:r w:rsidR="00467A69">
              <w:rPr>
                <w:szCs w:val="28"/>
              </w:rPr>
              <w:t> </w:t>
            </w:r>
            <w:r w:rsidRPr="002A4D59">
              <w:rPr>
                <w:szCs w:val="28"/>
              </w:rPr>
              <w:t>pielikums” ”.</w:t>
            </w:r>
          </w:p>
        </w:tc>
      </w:tr>
      <w:tr w:rsidR="007020C2" w:rsidRPr="003E1F78" w14:paraId="02742369" w14:textId="7C9BAC21" w:rsidTr="00AB118F">
        <w:tc>
          <w:tcPr>
            <w:tcW w:w="675" w:type="dxa"/>
            <w:tcBorders>
              <w:top w:val="single" w:sz="6" w:space="0" w:color="000000"/>
              <w:left w:val="single" w:sz="6" w:space="0" w:color="000000"/>
              <w:bottom w:val="single" w:sz="6" w:space="0" w:color="000000"/>
              <w:right w:val="single" w:sz="6" w:space="0" w:color="000000"/>
            </w:tcBorders>
          </w:tcPr>
          <w:p w14:paraId="02742360" w14:textId="77777777" w:rsidR="007020C2" w:rsidRPr="003E1F78" w:rsidRDefault="00DB1CE9" w:rsidP="00CE33D2">
            <w:pPr>
              <w:pStyle w:val="naisc"/>
              <w:spacing w:before="0" w:after="0"/>
              <w:jc w:val="both"/>
              <w:rPr>
                <w:b/>
              </w:rPr>
            </w:pPr>
            <w:r>
              <w:rPr>
                <w:b/>
              </w:rPr>
              <w:t>4.</w:t>
            </w:r>
          </w:p>
        </w:tc>
        <w:tc>
          <w:tcPr>
            <w:tcW w:w="2977" w:type="dxa"/>
            <w:tcBorders>
              <w:top w:val="single" w:sz="6" w:space="0" w:color="000000"/>
              <w:left w:val="single" w:sz="6" w:space="0" w:color="000000"/>
              <w:bottom w:val="single" w:sz="6" w:space="0" w:color="000000"/>
              <w:right w:val="single" w:sz="6" w:space="0" w:color="000000"/>
            </w:tcBorders>
            <w:vAlign w:val="center"/>
          </w:tcPr>
          <w:p w14:paraId="02742361" w14:textId="77777777" w:rsidR="007020C2" w:rsidRPr="00CE33D2" w:rsidRDefault="00AB118F" w:rsidP="00CE33D2">
            <w:pPr>
              <w:pStyle w:val="naisc"/>
              <w:spacing w:before="0" w:after="0"/>
              <w:ind w:firstLine="12"/>
              <w:jc w:val="both"/>
              <w:rPr>
                <w:b/>
              </w:rPr>
            </w:pPr>
            <w:r>
              <w:t>Ir izmantota Regulas Nr.2019/290 1.panta 2.punktā un I pielikumā dalībvalstīm paredzētā rīcības brīvība noteikt, ka ir jāiesniedz papildus informācijas elementi, kuri ir apzīmēti ar “M*”, tā kā Latvijas normatīvajos aktos nav noteiktas prasības informācijas par iekārtu apakškategorijas un iekārtu tipiem (mājsaimniecības  iekārtas vai iekārtas, kas nav mājsaimniecības iekārtas) turpmākai izmantošanai, tāpēc šādas informācijas vākšana un apkopošana nav lietderīga.</w:t>
            </w:r>
          </w:p>
        </w:tc>
        <w:tc>
          <w:tcPr>
            <w:tcW w:w="4394" w:type="dxa"/>
            <w:tcBorders>
              <w:top w:val="single" w:sz="6" w:space="0" w:color="000000"/>
              <w:left w:val="single" w:sz="6" w:space="0" w:color="000000"/>
              <w:bottom w:val="single" w:sz="6" w:space="0" w:color="000000"/>
              <w:right w:val="single" w:sz="6" w:space="0" w:color="000000"/>
            </w:tcBorders>
            <w:vAlign w:val="center"/>
          </w:tcPr>
          <w:p w14:paraId="02742362" w14:textId="77777777" w:rsidR="007020C2" w:rsidRDefault="007020C2" w:rsidP="00CE33D2">
            <w:pPr>
              <w:pStyle w:val="naisc"/>
              <w:spacing w:before="0" w:after="0"/>
              <w:ind w:right="3"/>
              <w:jc w:val="both"/>
              <w:rPr>
                <w:b/>
              </w:rPr>
            </w:pPr>
            <w:r>
              <w:rPr>
                <w:b/>
              </w:rPr>
              <w:t>Tieslietu ministrija:</w:t>
            </w:r>
          </w:p>
          <w:p w14:paraId="02742363" w14:textId="77777777" w:rsidR="007020C2" w:rsidRDefault="007020C2" w:rsidP="007020C2">
            <w:pPr>
              <w:tabs>
                <w:tab w:val="left" w:pos="709"/>
                <w:tab w:val="left" w:pos="851"/>
                <w:tab w:val="left" w:pos="993"/>
              </w:tabs>
              <w:jc w:val="both"/>
              <w:rPr>
                <w:szCs w:val="26"/>
              </w:rPr>
            </w:pPr>
            <w:r w:rsidRPr="007020C2">
              <w:rPr>
                <w:szCs w:val="26"/>
              </w:rPr>
              <w:t>4.Lūdzam precizēt projekta anotācijas V sadaļas 1. tabulas rīcības brīvības sadaļu, izsakot to viennozīmīgi skaidri, papildinot to ar konkrētu norādi, kāda veida prasību Latvija ir izvēlējusies noteikt projektā, izmantojot Regulas 1. panta 2. punktā  un I pielikumā paredzēto rīcības brīvību, skaidrojot arī, kādēļ šāda izvēle veikta, atbilstoši Ministru kabineta 2009. gada 15. decembra instrukcijas Nr. 19 “Tiesību akta projekta sākotnējās ietekmes izvērtēšanas kārtība” 56.5. apakšpunktam.</w:t>
            </w:r>
          </w:p>
          <w:p w14:paraId="02742364" w14:textId="77777777" w:rsidR="007020C2" w:rsidRPr="007020C2" w:rsidRDefault="007020C2" w:rsidP="007020C2">
            <w:pPr>
              <w:pStyle w:val="ListParagraph"/>
              <w:tabs>
                <w:tab w:val="left" w:pos="851"/>
                <w:tab w:val="left" w:pos="993"/>
              </w:tabs>
              <w:ind w:left="0" w:firstLine="709"/>
              <w:rPr>
                <w:sz w:val="28"/>
                <w:szCs w:val="26"/>
              </w:rPr>
            </w:pPr>
            <w:r w:rsidRPr="007020C2">
              <w:rPr>
                <w:szCs w:val="26"/>
              </w:rPr>
              <w:t>Vienlaikus iesakām precizēt projekta numerāciju, ņemot vērā, ka projektā ir izteikti 8, nevis 9 punkti. Iesakām arī precizēt projekta anotācijas V sadaļas 1. tabulas B aili, aizstājot tajā skaitli un vārdu “9. punkts” ar skaitli un vārdu “8.</w:t>
            </w:r>
            <w:r w:rsidRPr="007020C2">
              <w:rPr>
                <w:sz w:val="22"/>
              </w:rPr>
              <w:t> </w:t>
            </w:r>
            <w:r w:rsidRPr="007020C2">
              <w:rPr>
                <w:szCs w:val="26"/>
              </w:rPr>
              <w:t>punkts”.</w:t>
            </w:r>
          </w:p>
        </w:tc>
        <w:tc>
          <w:tcPr>
            <w:tcW w:w="2835" w:type="dxa"/>
            <w:tcBorders>
              <w:top w:val="single" w:sz="6" w:space="0" w:color="000000"/>
              <w:left w:val="single" w:sz="6" w:space="0" w:color="000000"/>
              <w:bottom w:val="single" w:sz="6" w:space="0" w:color="000000"/>
              <w:right w:val="single" w:sz="6" w:space="0" w:color="000000"/>
            </w:tcBorders>
          </w:tcPr>
          <w:p w14:paraId="02742365" w14:textId="77777777" w:rsidR="007020C2" w:rsidRPr="00DF5371" w:rsidRDefault="00E665B9" w:rsidP="00E665B9">
            <w:pPr>
              <w:pStyle w:val="naisc"/>
              <w:spacing w:before="0" w:after="0"/>
              <w:ind w:firstLine="21"/>
              <w:jc w:val="left"/>
              <w:rPr>
                <w:b/>
              </w:rPr>
            </w:pPr>
            <w:r>
              <w:rPr>
                <w:b/>
              </w:rPr>
              <w:t xml:space="preserve">Iebildums ir ņemts vērā. </w:t>
            </w:r>
          </w:p>
        </w:tc>
        <w:tc>
          <w:tcPr>
            <w:tcW w:w="3686" w:type="dxa"/>
            <w:tcBorders>
              <w:top w:val="single" w:sz="4" w:space="0" w:color="auto"/>
              <w:left w:val="single" w:sz="4" w:space="0" w:color="auto"/>
              <w:bottom w:val="single" w:sz="4" w:space="0" w:color="auto"/>
            </w:tcBorders>
          </w:tcPr>
          <w:p w14:paraId="02742366" w14:textId="77777777" w:rsidR="007020C2" w:rsidRDefault="00AB118F" w:rsidP="00AB118F">
            <w:pPr>
              <w:rPr>
                <w:b/>
              </w:rPr>
            </w:pPr>
            <w:r>
              <w:rPr>
                <w:b/>
              </w:rPr>
              <w:t>Noteikumu projekta anotācijas V</w:t>
            </w:r>
            <w:r w:rsidR="00467A69">
              <w:rPr>
                <w:b/>
              </w:rPr>
              <w:t> </w:t>
            </w:r>
            <w:r>
              <w:rPr>
                <w:b/>
              </w:rPr>
              <w:t>sadaļas 1.</w:t>
            </w:r>
            <w:r w:rsidR="00467A69">
              <w:rPr>
                <w:b/>
              </w:rPr>
              <w:t> </w:t>
            </w:r>
            <w:r>
              <w:rPr>
                <w:b/>
              </w:rPr>
              <w:t>tabulas rīcības brīvības sadaļa ir precizēta šādā redakcijā:</w:t>
            </w:r>
          </w:p>
          <w:p w14:paraId="02742367" w14:textId="77777777" w:rsidR="00AB118F" w:rsidRDefault="00AB118F" w:rsidP="00AB118F">
            <w:pPr>
              <w:pStyle w:val="naiskr"/>
              <w:spacing w:before="0" w:after="0"/>
              <w:jc w:val="both"/>
            </w:pPr>
            <w:r>
              <w:t>Noteikumu projektā ir izmantota Regulas Nr.</w:t>
            </w:r>
            <w:r w:rsidR="00467A69">
              <w:t> </w:t>
            </w:r>
            <w:r>
              <w:t>2019/290 1.</w:t>
            </w:r>
            <w:r w:rsidR="00467A69">
              <w:t> </w:t>
            </w:r>
            <w:r>
              <w:t>panta 2.</w:t>
            </w:r>
            <w:r w:rsidR="00467A69">
              <w:t> </w:t>
            </w:r>
            <w:r>
              <w:t xml:space="preserve">punktā un I pielikumā dalībvalstīm paredzētā rīcības brīvība noteikt, ka iekārtu ražotājam vai iekārtu ražotāja pilnvarotajam pārstāvim, reģistrējoties iekārtu ražotāju reģistrā, nav jāsniedz šādi papildus informācijas elementi – iekārtu ražotāja tirdzniecības nosaukums, province vai reģions, kur atrodas iekārtas ražotāja vai tā pilnvarotā pārstāvja juridiskā adrese vai kontaktpersonas adrese, iekārtu gada apgrozījuma kategorijas, iekārtu apakškategorija, iekārtu tips (mājsaimniecības iekārtas vai iekārtas, kuras nav mājsaimniecības iekārtas, iekārtu zīmola nosaukums, tā kā Latvijas normatīvajos aktos nav noteiktas prasības informācijas sniegšanai par iekārtu ražotāja tirdzniecības nosaukuma, provinces vai reģiona, iekārtu gada apgrozījuma kategorijām, par iekārtu apakškategorijas un iekārtu tipiem (mājsaimniecības  iekārtas vai iekārtas, kas nav mājsaimniecības iekārtas) un šādas informācijas turpmākai izmantošanai, tāpēc šādas informācijas vākšana un apkopošana nav lietderīga. </w:t>
            </w:r>
          </w:p>
          <w:p w14:paraId="02742368" w14:textId="304DEDC2" w:rsidR="00AB118F" w:rsidRPr="00DF5371" w:rsidRDefault="00AB118F" w:rsidP="00B32ABD">
            <w:pPr>
              <w:jc w:val="both"/>
              <w:rPr>
                <w:b/>
              </w:rPr>
            </w:pPr>
            <w:r>
              <w:t>Noteikumu projektā nav izmantota Regulas Nr.</w:t>
            </w:r>
            <w:r w:rsidR="00381309">
              <w:t> </w:t>
            </w:r>
            <w:r>
              <w:t>2019/290 1.</w:t>
            </w:r>
            <w:r w:rsidR="00381309">
              <w:t> </w:t>
            </w:r>
            <w:r>
              <w:t>panta 2.</w:t>
            </w:r>
            <w:r w:rsidR="00381309">
              <w:t> </w:t>
            </w:r>
            <w:bookmarkStart w:id="74" w:name="_GoBack"/>
            <w:bookmarkEnd w:id="74"/>
            <w:r>
              <w:t>punktā un I pielikumā dalībvalstīm paredzētā rīcības brīvība noteikt, ka ir jāsniedz informācija par pašvaldību, kur atrodas iekārtu ražotāja vai tā pilnvarotā pārstāvja juridiskā adrese vai kontaktpersonas adrese. Noteikumu projektā ir noteikts, ka ir jāsniedz informācija par iekārtu ražotāja vai tā pilnvarotā pārstāvja izveidoto ražotāja atbildības sistēmu, tā kā šādas informācijas sniegšana ir paredzēta Latvijas normatīvajos aktos.</w:t>
            </w:r>
          </w:p>
        </w:tc>
      </w:tr>
      <w:tr w:rsidR="00DB1CE9" w:rsidRPr="003E1F78" w14:paraId="02742370" w14:textId="38A6F98D" w:rsidTr="00AB118F">
        <w:tc>
          <w:tcPr>
            <w:tcW w:w="675" w:type="dxa"/>
            <w:tcBorders>
              <w:top w:val="single" w:sz="6" w:space="0" w:color="000000"/>
              <w:left w:val="single" w:sz="6" w:space="0" w:color="000000"/>
              <w:bottom w:val="single" w:sz="6" w:space="0" w:color="000000"/>
              <w:right w:val="single" w:sz="6" w:space="0" w:color="000000"/>
            </w:tcBorders>
          </w:tcPr>
          <w:p w14:paraId="0274236A" w14:textId="77777777" w:rsidR="00DB1CE9" w:rsidRDefault="00DB1CE9" w:rsidP="00CE33D2">
            <w:pPr>
              <w:pStyle w:val="naisc"/>
              <w:spacing w:before="0" w:after="0"/>
              <w:jc w:val="both"/>
              <w:rPr>
                <w:b/>
              </w:rPr>
            </w:pPr>
            <w:r>
              <w:rPr>
                <w:b/>
              </w:rPr>
              <w:t>5.</w:t>
            </w:r>
          </w:p>
        </w:tc>
        <w:tc>
          <w:tcPr>
            <w:tcW w:w="2977" w:type="dxa"/>
            <w:tcBorders>
              <w:top w:val="single" w:sz="6" w:space="0" w:color="000000"/>
              <w:left w:val="single" w:sz="6" w:space="0" w:color="000000"/>
              <w:bottom w:val="single" w:sz="6" w:space="0" w:color="000000"/>
              <w:right w:val="single" w:sz="6" w:space="0" w:color="000000"/>
            </w:tcBorders>
            <w:vAlign w:val="center"/>
          </w:tcPr>
          <w:p w14:paraId="0274236B" w14:textId="77777777" w:rsidR="00DB1CE9" w:rsidRDefault="00DB1CE9" w:rsidP="00CE33D2">
            <w:pPr>
              <w:pStyle w:val="naisc"/>
              <w:spacing w:before="0" w:after="0"/>
              <w:ind w:firstLine="12"/>
              <w:jc w:val="both"/>
            </w:pPr>
          </w:p>
        </w:tc>
        <w:tc>
          <w:tcPr>
            <w:tcW w:w="4394" w:type="dxa"/>
            <w:tcBorders>
              <w:top w:val="single" w:sz="6" w:space="0" w:color="000000"/>
              <w:left w:val="single" w:sz="6" w:space="0" w:color="000000"/>
              <w:bottom w:val="single" w:sz="6" w:space="0" w:color="000000"/>
              <w:right w:val="single" w:sz="6" w:space="0" w:color="000000"/>
            </w:tcBorders>
            <w:vAlign w:val="center"/>
          </w:tcPr>
          <w:p w14:paraId="0274236C" w14:textId="77777777" w:rsidR="00DB1CE9" w:rsidRPr="00DB1CE9" w:rsidRDefault="00DB1CE9" w:rsidP="00DB1CE9">
            <w:pPr>
              <w:pStyle w:val="naisc"/>
              <w:spacing w:before="0" w:after="0"/>
              <w:jc w:val="both"/>
              <w:rPr>
                <w:b/>
              </w:rPr>
            </w:pPr>
            <w:r w:rsidRPr="00DB1CE9">
              <w:rPr>
                <w:b/>
              </w:rPr>
              <w:t>Ekonomikas ministrija (priekšlikums)</w:t>
            </w:r>
          </w:p>
          <w:p w14:paraId="0274236D" w14:textId="77777777" w:rsidR="00DB1CE9" w:rsidRPr="00DB1CE9" w:rsidRDefault="00DB1CE9" w:rsidP="00DB1CE9">
            <w:pPr>
              <w:jc w:val="both"/>
              <w:rPr>
                <w:noProof/>
              </w:rPr>
            </w:pPr>
            <w:r w:rsidRPr="00DB1CE9">
              <w:rPr>
                <w:noProof/>
              </w:rPr>
              <w:t>MK noteikumu Nr.331 grozījumos norādīto Eiropas Komisijas 2019.gada 19.februāra Īstenošanas regulas (ES) Nr.2019/290, ar ko nosaka elektrisko un elektronisko iekārtu ražotāju reģistrēšanas un ziņošanas formātu  (turpmāk – Regula Nr.2019/290) pielikumu visur noteikumu projekta tekstā norādīt vienādi vai kā Regulas Nr.2019/290 “1.pielikumu” vai “I pielikumu”.</w:t>
            </w:r>
          </w:p>
        </w:tc>
        <w:tc>
          <w:tcPr>
            <w:tcW w:w="2835" w:type="dxa"/>
            <w:tcBorders>
              <w:top w:val="single" w:sz="6" w:space="0" w:color="000000"/>
              <w:left w:val="single" w:sz="6" w:space="0" w:color="000000"/>
              <w:bottom w:val="single" w:sz="6" w:space="0" w:color="000000"/>
              <w:right w:val="single" w:sz="6" w:space="0" w:color="000000"/>
            </w:tcBorders>
          </w:tcPr>
          <w:p w14:paraId="0274236E" w14:textId="77777777" w:rsidR="00DB1CE9" w:rsidRDefault="00DB1CE9" w:rsidP="00E665B9">
            <w:pPr>
              <w:pStyle w:val="naisc"/>
              <w:spacing w:before="0" w:after="0"/>
              <w:ind w:firstLine="21"/>
              <w:jc w:val="left"/>
              <w:rPr>
                <w:b/>
              </w:rPr>
            </w:pPr>
            <w:r>
              <w:rPr>
                <w:b/>
              </w:rPr>
              <w:t>Priekšlikums ir ņemts vērā atbilstoši Tieslietu ministrijas atzinuma 2.</w:t>
            </w:r>
            <w:r w:rsidR="00467A69">
              <w:rPr>
                <w:b/>
              </w:rPr>
              <w:t> </w:t>
            </w:r>
            <w:r>
              <w:rPr>
                <w:b/>
              </w:rPr>
              <w:t xml:space="preserve">punktā izteiktajam iebildumam. </w:t>
            </w:r>
          </w:p>
        </w:tc>
        <w:tc>
          <w:tcPr>
            <w:tcW w:w="3686" w:type="dxa"/>
            <w:tcBorders>
              <w:top w:val="single" w:sz="4" w:space="0" w:color="auto"/>
              <w:left w:val="single" w:sz="4" w:space="0" w:color="auto"/>
              <w:bottom w:val="single" w:sz="4" w:space="0" w:color="auto"/>
            </w:tcBorders>
          </w:tcPr>
          <w:p w14:paraId="0274236F" w14:textId="77777777" w:rsidR="00DB1CE9" w:rsidRDefault="00DB1CE9" w:rsidP="00AB118F">
            <w:pPr>
              <w:rPr>
                <w:b/>
              </w:rPr>
            </w:pPr>
          </w:p>
        </w:tc>
      </w:tr>
      <w:tr w:rsidR="004A60F6" w:rsidRPr="003E1F78" w14:paraId="02742372" w14:textId="232D6EFF" w:rsidTr="00381309">
        <w:tc>
          <w:tcPr>
            <w:tcW w:w="14567" w:type="dxa"/>
            <w:gridSpan w:val="5"/>
            <w:tcBorders>
              <w:top w:val="single" w:sz="6" w:space="0" w:color="000000"/>
              <w:left w:val="single" w:sz="6" w:space="0" w:color="000000"/>
              <w:bottom w:val="single" w:sz="6" w:space="0" w:color="000000"/>
            </w:tcBorders>
          </w:tcPr>
          <w:p w14:paraId="02742371" w14:textId="77777777" w:rsidR="004A60F6" w:rsidRDefault="004A60F6" w:rsidP="004A60F6">
            <w:pPr>
              <w:jc w:val="center"/>
              <w:rPr>
                <w:b/>
              </w:rPr>
            </w:pPr>
            <w:r>
              <w:rPr>
                <w:b/>
              </w:rPr>
              <w:t xml:space="preserve">Pēc </w:t>
            </w:r>
            <w:r w:rsidR="00467A69">
              <w:rPr>
                <w:b/>
              </w:rPr>
              <w:t>elektroniskās</w:t>
            </w:r>
            <w:r>
              <w:rPr>
                <w:b/>
              </w:rPr>
              <w:t xml:space="preserve"> saskaņošanas 2019.</w:t>
            </w:r>
            <w:r w:rsidR="00467A69">
              <w:rPr>
                <w:b/>
              </w:rPr>
              <w:t> </w:t>
            </w:r>
            <w:r>
              <w:rPr>
                <w:b/>
              </w:rPr>
              <w:t>gada 16.</w:t>
            </w:r>
            <w:r w:rsidR="00467A69">
              <w:rPr>
                <w:b/>
              </w:rPr>
              <w:t> </w:t>
            </w:r>
            <w:r>
              <w:rPr>
                <w:b/>
              </w:rPr>
              <w:t>oktobrī saņemtie priekšlikumi</w:t>
            </w:r>
          </w:p>
        </w:tc>
      </w:tr>
      <w:tr w:rsidR="004A60F6" w:rsidRPr="003E1F78" w14:paraId="0274237C" w14:textId="488EEECA" w:rsidTr="00AB118F">
        <w:tc>
          <w:tcPr>
            <w:tcW w:w="675" w:type="dxa"/>
            <w:tcBorders>
              <w:top w:val="single" w:sz="6" w:space="0" w:color="000000"/>
              <w:left w:val="single" w:sz="6" w:space="0" w:color="000000"/>
              <w:bottom w:val="single" w:sz="6" w:space="0" w:color="000000"/>
              <w:right w:val="single" w:sz="6" w:space="0" w:color="000000"/>
            </w:tcBorders>
          </w:tcPr>
          <w:p w14:paraId="02742373" w14:textId="77777777" w:rsidR="004A60F6" w:rsidRDefault="004A60F6" w:rsidP="00CE33D2">
            <w:pPr>
              <w:pStyle w:val="naisc"/>
              <w:spacing w:before="0" w:after="0"/>
              <w:jc w:val="both"/>
              <w:rPr>
                <w:b/>
              </w:rPr>
            </w:pPr>
            <w:r>
              <w:rPr>
                <w:b/>
              </w:rPr>
              <w:t>6.</w:t>
            </w:r>
          </w:p>
        </w:tc>
        <w:tc>
          <w:tcPr>
            <w:tcW w:w="2977" w:type="dxa"/>
            <w:tcBorders>
              <w:top w:val="single" w:sz="6" w:space="0" w:color="000000"/>
              <w:left w:val="single" w:sz="6" w:space="0" w:color="000000"/>
              <w:bottom w:val="single" w:sz="6" w:space="0" w:color="000000"/>
              <w:right w:val="single" w:sz="6" w:space="0" w:color="000000"/>
            </w:tcBorders>
            <w:vAlign w:val="center"/>
          </w:tcPr>
          <w:p w14:paraId="02742374" w14:textId="77777777" w:rsidR="004A60F6" w:rsidRPr="00851B1A" w:rsidRDefault="004A60F6" w:rsidP="004A60F6">
            <w:pPr>
              <w:pStyle w:val="NormalWeb"/>
              <w:spacing w:before="0" w:after="0"/>
              <w:rPr>
                <w:sz w:val="28"/>
                <w:szCs w:val="28"/>
              </w:rPr>
            </w:pPr>
            <w:r w:rsidRPr="00851B1A">
              <w:rPr>
                <w:sz w:val="28"/>
                <w:szCs w:val="28"/>
              </w:rPr>
              <w:t>Apliecinu, ka iesniegumā norādītā informācija ir pilnīga un patiesa.</w:t>
            </w:r>
          </w:p>
          <w:p w14:paraId="02742375" w14:textId="77777777" w:rsidR="004A60F6" w:rsidRDefault="004A60F6" w:rsidP="00CE33D2">
            <w:pPr>
              <w:pStyle w:val="naisc"/>
              <w:spacing w:before="0" w:after="0"/>
              <w:ind w:firstLine="12"/>
              <w:jc w:val="both"/>
            </w:pPr>
          </w:p>
        </w:tc>
        <w:tc>
          <w:tcPr>
            <w:tcW w:w="4394" w:type="dxa"/>
            <w:tcBorders>
              <w:top w:val="single" w:sz="6" w:space="0" w:color="000000"/>
              <w:left w:val="single" w:sz="6" w:space="0" w:color="000000"/>
              <w:bottom w:val="single" w:sz="6" w:space="0" w:color="000000"/>
              <w:right w:val="single" w:sz="6" w:space="0" w:color="000000"/>
            </w:tcBorders>
            <w:vAlign w:val="center"/>
          </w:tcPr>
          <w:p w14:paraId="02742376" w14:textId="77777777" w:rsidR="004A60F6" w:rsidRDefault="004A60F6" w:rsidP="00DB1CE9">
            <w:pPr>
              <w:pStyle w:val="naisc"/>
              <w:spacing w:before="0" w:after="0"/>
              <w:jc w:val="both"/>
              <w:rPr>
                <w:b/>
              </w:rPr>
            </w:pPr>
            <w:r>
              <w:rPr>
                <w:b/>
              </w:rPr>
              <w:t>Tieslietu ministrija (priekšlikums):</w:t>
            </w:r>
          </w:p>
          <w:p w14:paraId="02742377" w14:textId="77777777" w:rsidR="004A60F6" w:rsidRDefault="004A60F6" w:rsidP="004A60F6">
            <w:pPr>
              <w:numPr>
                <w:ilvl w:val="0"/>
                <w:numId w:val="5"/>
              </w:numPr>
            </w:pPr>
            <w:r>
              <w:t>Projekta anotācijas V sadaļas 1. tabulā ir norādīts, ka projekta 10. punktā ir ieviesta Eiropas Komisijas 2019. gada 19. februāra Īstenošanas regulas (ES) Nr. 2019/290, ar ko nosaka elektrisko un elektronisko iekārtu ražotāju reģistrēšanas un ziņošanas formātu (turpmāk – Regula 2019/290) I pielikuma A daļa. Tādējādi lūdzam izvērtēt nepieciešamību projekta 10. punktā ietverto apliecinājumu: “Apliecinu, ka iesniegumā norādītā informācija ir pilnīga un patiesa” aizstāt ar Regulas I pielikuma A daļā norādīto apliecinājumu.</w:t>
            </w:r>
          </w:p>
          <w:p w14:paraId="02742378" w14:textId="77777777" w:rsidR="004A60F6" w:rsidRPr="00DB1CE9" w:rsidRDefault="004A60F6" w:rsidP="00DB1CE9">
            <w:pPr>
              <w:pStyle w:val="naisc"/>
              <w:spacing w:before="0" w:after="0"/>
              <w:jc w:val="both"/>
              <w:rPr>
                <w:b/>
              </w:rPr>
            </w:pPr>
          </w:p>
        </w:tc>
        <w:tc>
          <w:tcPr>
            <w:tcW w:w="2835" w:type="dxa"/>
            <w:tcBorders>
              <w:top w:val="single" w:sz="6" w:space="0" w:color="000000"/>
              <w:left w:val="single" w:sz="6" w:space="0" w:color="000000"/>
              <w:bottom w:val="single" w:sz="6" w:space="0" w:color="000000"/>
              <w:right w:val="single" w:sz="6" w:space="0" w:color="000000"/>
            </w:tcBorders>
          </w:tcPr>
          <w:p w14:paraId="02742379" w14:textId="77777777" w:rsidR="004A60F6" w:rsidRDefault="004A60F6" w:rsidP="00E665B9">
            <w:pPr>
              <w:pStyle w:val="naisc"/>
              <w:spacing w:before="0" w:after="0"/>
              <w:ind w:firstLine="21"/>
              <w:jc w:val="left"/>
              <w:rPr>
                <w:b/>
              </w:rPr>
            </w:pPr>
            <w:r>
              <w:rPr>
                <w:b/>
              </w:rPr>
              <w:t xml:space="preserve">Priekšlikums ir ņemts vērā. </w:t>
            </w:r>
          </w:p>
        </w:tc>
        <w:tc>
          <w:tcPr>
            <w:tcW w:w="3686" w:type="dxa"/>
            <w:tcBorders>
              <w:top w:val="single" w:sz="4" w:space="0" w:color="auto"/>
              <w:left w:val="single" w:sz="4" w:space="0" w:color="auto"/>
              <w:bottom w:val="single" w:sz="4" w:space="0" w:color="auto"/>
            </w:tcBorders>
          </w:tcPr>
          <w:p w14:paraId="0274237A" w14:textId="77777777" w:rsidR="007C59A5" w:rsidRDefault="007C59A5" w:rsidP="007C59A5">
            <w:pPr>
              <w:pStyle w:val="naisf"/>
              <w:spacing w:before="0" w:after="0"/>
              <w:ind w:firstLine="0"/>
              <w:rPr>
                <w:sz w:val="28"/>
                <w:szCs w:val="28"/>
              </w:rPr>
            </w:pPr>
            <w:r>
              <w:rPr>
                <w:rStyle w:val="italic"/>
              </w:rPr>
              <w:t>Ar šo paziņoju(-am), ka sniegtā informācija ir patiesa un atspoguļo pareizas ziņas par augstāk minēto ražotāju un par to, kāda veida elektriskās un elektroniskās iekārtas augstāk minētais ražotājs laidis</w:t>
            </w:r>
            <w:r>
              <w:t xml:space="preserve"> Latvijas </w:t>
            </w:r>
            <w:r>
              <w:rPr>
                <w:rStyle w:val="italic"/>
              </w:rPr>
              <w:t>tirgū</w:t>
            </w:r>
            <w:r>
              <w:t>.</w:t>
            </w:r>
            <w:r w:rsidRPr="00851B1A">
              <w:rPr>
                <w:sz w:val="28"/>
                <w:szCs w:val="28"/>
              </w:rPr>
              <w:t> </w:t>
            </w:r>
          </w:p>
          <w:p w14:paraId="0274237B" w14:textId="77777777" w:rsidR="004A60F6" w:rsidRDefault="004A60F6" w:rsidP="00AB118F">
            <w:pPr>
              <w:rPr>
                <w:b/>
              </w:rPr>
            </w:pPr>
          </w:p>
        </w:tc>
      </w:tr>
      <w:tr w:rsidR="004A60F6" w:rsidRPr="003E1F78" w14:paraId="02742387" w14:textId="21FC85D5" w:rsidTr="0067635B">
        <w:tc>
          <w:tcPr>
            <w:tcW w:w="675" w:type="dxa"/>
            <w:tcBorders>
              <w:top w:val="single" w:sz="6" w:space="0" w:color="000000"/>
              <w:left w:val="single" w:sz="6" w:space="0" w:color="000000"/>
              <w:bottom w:val="single" w:sz="6" w:space="0" w:color="000000"/>
              <w:right w:val="single" w:sz="6" w:space="0" w:color="000000"/>
            </w:tcBorders>
          </w:tcPr>
          <w:p w14:paraId="0274237D" w14:textId="77777777" w:rsidR="004A60F6" w:rsidRDefault="004A60F6" w:rsidP="00CE33D2">
            <w:pPr>
              <w:pStyle w:val="naisc"/>
              <w:spacing w:before="0" w:after="0"/>
              <w:jc w:val="both"/>
              <w:rPr>
                <w:b/>
              </w:rPr>
            </w:pPr>
            <w:r>
              <w:rPr>
                <w:b/>
              </w:rPr>
              <w:t>7.</w:t>
            </w:r>
          </w:p>
        </w:tc>
        <w:tc>
          <w:tcPr>
            <w:tcW w:w="2977" w:type="dxa"/>
            <w:tcBorders>
              <w:top w:val="single" w:sz="6" w:space="0" w:color="000000"/>
              <w:left w:val="single" w:sz="6" w:space="0" w:color="000000"/>
              <w:bottom w:val="single" w:sz="6" w:space="0" w:color="000000"/>
              <w:right w:val="single" w:sz="6" w:space="0" w:color="000000"/>
            </w:tcBorders>
          </w:tcPr>
          <w:p w14:paraId="0274237E" w14:textId="77777777" w:rsidR="0067635B" w:rsidRPr="00171F19" w:rsidRDefault="0067635B" w:rsidP="0067635B">
            <w:pPr>
              <w:pStyle w:val="ListParagraph"/>
              <w:ind w:left="0"/>
              <w:jc w:val="left"/>
              <w:rPr>
                <w:sz w:val="28"/>
                <w:szCs w:val="28"/>
              </w:rPr>
            </w:pPr>
            <w:r>
              <w:rPr>
                <w:sz w:val="28"/>
                <w:szCs w:val="28"/>
              </w:rPr>
              <w:t>Iekārtu ražotāja apliecinājums: Ar šo apliecinu,</w:t>
            </w:r>
            <w:r w:rsidRPr="000024DE">
              <w:rPr>
                <w:sz w:val="28"/>
                <w:szCs w:val="28"/>
              </w:rPr>
              <w:t xml:space="preserve"> </w:t>
            </w:r>
            <w:r w:rsidRPr="00171F19">
              <w:rPr>
                <w:sz w:val="28"/>
                <w:szCs w:val="28"/>
              </w:rPr>
              <w:t>ka minēto pilnvaroto pārstāvi ar rakstisku pilnvarojumu ir iecēlis pārstāvētais ražotājs.</w:t>
            </w:r>
          </w:p>
          <w:p w14:paraId="0274237F" w14:textId="77777777" w:rsidR="004A60F6" w:rsidRDefault="004A60F6" w:rsidP="0067635B">
            <w:pPr>
              <w:pStyle w:val="naisc"/>
              <w:spacing w:before="0" w:after="0"/>
              <w:ind w:firstLine="12"/>
              <w:jc w:val="left"/>
            </w:pPr>
          </w:p>
        </w:tc>
        <w:tc>
          <w:tcPr>
            <w:tcW w:w="4394" w:type="dxa"/>
            <w:tcBorders>
              <w:top w:val="single" w:sz="6" w:space="0" w:color="000000"/>
              <w:left w:val="single" w:sz="6" w:space="0" w:color="000000"/>
              <w:bottom w:val="single" w:sz="6" w:space="0" w:color="000000"/>
              <w:right w:val="single" w:sz="6" w:space="0" w:color="000000"/>
            </w:tcBorders>
            <w:vAlign w:val="center"/>
          </w:tcPr>
          <w:p w14:paraId="02742380" w14:textId="77777777" w:rsidR="004A60F6" w:rsidRDefault="004A60F6" w:rsidP="00DB1CE9">
            <w:pPr>
              <w:pStyle w:val="naisc"/>
              <w:spacing w:before="0" w:after="0"/>
              <w:jc w:val="both"/>
              <w:rPr>
                <w:b/>
              </w:rPr>
            </w:pPr>
            <w:r>
              <w:rPr>
                <w:b/>
              </w:rPr>
              <w:t>Tieslietu ministrija (priekšlikums):</w:t>
            </w:r>
          </w:p>
          <w:p w14:paraId="02742381" w14:textId="77777777" w:rsidR="004A60F6" w:rsidRDefault="004A60F6" w:rsidP="004A60F6">
            <w:pPr>
              <w:pStyle w:val="ListParagraph"/>
              <w:numPr>
                <w:ilvl w:val="0"/>
                <w:numId w:val="5"/>
              </w:numPr>
            </w:pPr>
            <w:r>
              <w:t>Projekta 11. punktā izteiktais 1.</w:t>
            </w:r>
            <w:r w:rsidRPr="004A60F6">
              <w:rPr>
                <w:vertAlign w:val="superscript"/>
              </w:rPr>
              <w:t>1</w:t>
            </w:r>
            <w:r>
              <w:t xml:space="preserve"> pielikumā ietvertais iekārtu ražotāja apliecinājums paredz: “Ar šo apliecinu, ka minēto pilnvaroto pārstāvi ar rakstisku pilnvarojumu ir iecēlis pārstāvētais ražotājs.”</w:t>
            </w:r>
          </w:p>
          <w:p w14:paraId="02742382" w14:textId="77777777" w:rsidR="004A60F6" w:rsidRDefault="004A60F6" w:rsidP="004A60F6">
            <w:pPr>
              <w:pStyle w:val="ListParagraph"/>
              <w:rPr>
                <w:rFonts w:eastAsiaTheme="minorHAnsi"/>
              </w:rPr>
            </w:pPr>
            <w:r>
              <w:t>Regulas I pielikuma B daļā ietvertā pilnvarotā pārstāvja vai – attiecīgā gadījumā – trešās personas, kas darbojas pilnvarotā pārstāvja vārdā, deklarācija paredz:  “</w:t>
            </w:r>
            <w:r>
              <w:rPr>
                <w:i/>
                <w:iCs/>
              </w:rPr>
              <w:t xml:space="preserve">Ar šo apliecinu(-ām), ka minēto pilnvaroto pārstāvi ar rakstisku pilnvarojumu ir iecēlis pārstāvētais ražotājs </w:t>
            </w:r>
            <w:r>
              <w:rPr>
                <w:i/>
                <w:iCs/>
                <w:u w:val="single"/>
              </w:rPr>
              <w:t>saskaņā ar 17. panta 3. punktu Direktīvā 2012/19/ES par elektrisko un elektronisko iekārtu atkritumiem</w:t>
            </w:r>
            <w:r>
              <w:rPr>
                <w:i/>
                <w:iCs/>
              </w:rPr>
              <w:t>.</w:t>
            </w:r>
            <w:r>
              <w:t>” Direktīvas 2012/19/ES 17. panta 3. punkts ir pārņemts Atkritumu apsaimniekošanas likuma 24.panta 1.</w:t>
            </w:r>
            <w:r>
              <w:rPr>
                <w:vertAlign w:val="superscript"/>
              </w:rPr>
              <w:t>1</w:t>
            </w:r>
            <w:r>
              <w:t xml:space="preserve"> daļas 1.teikumā. Tādējādi iesakām papildināt projekta 11. punktā izteiktajā 1.</w:t>
            </w:r>
            <w:r>
              <w:rPr>
                <w:vertAlign w:val="superscript"/>
              </w:rPr>
              <w:t>1</w:t>
            </w:r>
            <w:r>
              <w:t xml:space="preserve"> pielikumā ietverto iekārtu ražotāja apliecinājumu pēc vārda “ražotājs” ar norādi: “saskaņā ar Atkritumu apsaimniekošanas likuma 24.panta 1.</w:t>
            </w:r>
            <w:r>
              <w:rPr>
                <w:vertAlign w:val="superscript"/>
              </w:rPr>
              <w:t>1</w:t>
            </w:r>
            <w:r>
              <w:t xml:space="preserve"> daļu.”</w:t>
            </w:r>
          </w:p>
          <w:p w14:paraId="02742383" w14:textId="77777777" w:rsidR="004A60F6" w:rsidRPr="00DB1CE9" w:rsidRDefault="004A60F6" w:rsidP="00DB1CE9">
            <w:pPr>
              <w:pStyle w:val="naisc"/>
              <w:spacing w:before="0" w:after="0"/>
              <w:jc w:val="both"/>
              <w:rPr>
                <w:b/>
              </w:rPr>
            </w:pPr>
          </w:p>
        </w:tc>
        <w:tc>
          <w:tcPr>
            <w:tcW w:w="2835" w:type="dxa"/>
            <w:tcBorders>
              <w:top w:val="single" w:sz="6" w:space="0" w:color="000000"/>
              <w:left w:val="single" w:sz="6" w:space="0" w:color="000000"/>
              <w:bottom w:val="single" w:sz="6" w:space="0" w:color="000000"/>
              <w:right w:val="single" w:sz="6" w:space="0" w:color="000000"/>
            </w:tcBorders>
          </w:tcPr>
          <w:p w14:paraId="02742384" w14:textId="77777777" w:rsidR="004A60F6" w:rsidRDefault="0067635B" w:rsidP="00E665B9">
            <w:pPr>
              <w:pStyle w:val="naisc"/>
              <w:spacing w:before="0" w:after="0"/>
              <w:ind w:firstLine="21"/>
              <w:jc w:val="left"/>
              <w:rPr>
                <w:b/>
              </w:rPr>
            </w:pPr>
            <w:r>
              <w:rPr>
                <w:b/>
              </w:rPr>
              <w:t xml:space="preserve">Priekšlikums ir ņemts vērā. </w:t>
            </w:r>
          </w:p>
        </w:tc>
        <w:tc>
          <w:tcPr>
            <w:tcW w:w="3686" w:type="dxa"/>
            <w:tcBorders>
              <w:top w:val="single" w:sz="4" w:space="0" w:color="auto"/>
              <w:left w:val="single" w:sz="4" w:space="0" w:color="auto"/>
              <w:bottom w:val="single" w:sz="4" w:space="0" w:color="auto"/>
            </w:tcBorders>
          </w:tcPr>
          <w:p w14:paraId="02742385" w14:textId="77777777" w:rsidR="0067635B" w:rsidRPr="00B32ABD" w:rsidRDefault="0067635B" w:rsidP="0067635B">
            <w:pPr>
              <w:pStyle w:val="ListParagraph"/>
              <w:ind w:left="0"/>
            </w:pPr>
            <w:r w:rsidRPr="00B32ABD">
              <w:t>Iekārtu ražotāja apliecinājums: Ar šo apliecinu, ka minēto pilnvaroto pārstāvi ar rakstisku pilnvarojumu ir iecēlis pārstāvētais ražotājs saskaņā ar Atkritumu apsaimniekošanas likuma 24.</w:t>
            </w:r>
            <w:r w:rsidR="00467A69">
              <w:t> </w:t>
            </w:r>
            <w:r w:rsidRPr="00B32ABD">
              <w:t>panta 1.</w:t>
            </w:r>
            <w:r w:rsidRPr="00B32ABD">
              <w:rPr>
                <w:vertAlign w:val="superscript"/>
              </w:rPr>
              <w:t>1</w:t>
            </w:r>
            <w:r w:rsidR="00467A69">
              <w:t> </w:t>
            </w:r>
            <w:r w:rsidRPr="00B32ABD">
              <w:t>daļu.</w:t>
            </w:r>
          </w:p>
          <w:p w14:paraId="02742386" w14:textId="77777777" w:rsidR="004A60F6" w:rsidRDefault="004A60F6" w:rsidP="00AB118F">
            <w:pPr>
              <w:rPr>
                <w:b/>
              </w:rPr>
            </w:pPr>
          </w:p>
        </w:tc>
      </w:tr>
      <w:tr w:rsidR="004A60F6" w:rsidRPr="003E1F78" w14:paraId="0274238F" w14:textId="0BAEC556" w:rsidTr="00AB118F">
        <w:tc>
          <w:tcPr>
            <w:tcW w:w="675" w:type="dxa"/>
            <w:tcBorders>
              <w:top w:val="single" w:sz="6" w:space="0" w:color="000000"/>
              <w:left w:val="single" w:sz="6" w:space="0" w:color="000000"/>
              <w:bottom w:val="single" w:sz="6" w:space="0" w:color="000000"/>
              <w:right w:val="single" w:sz="6" w:space="0" w:color="000000"/>
            </w:tcBorders>
          </w:tcPr>
          <w:p w14:paraId="02742388" w14:textId="77777777" w:rsidR="004A60F6" w:rsidRDefault="004A60F6" w:rsidP="00CE33D2">
            <w:pPr>
              <w:pStyle w:val="naisc"/>
              <w:spacing w:before="0" w:after="0"/>
              <w:jc w:val="both"/>
              <w:rPr>
                <w:b/>
              </w:rPr>
            </w:pPr>
            <w:r>
              <w:rPr>
                <w:b/>
              </w:rPr>
              <w:t xml:space="preserve">8. </w:t>
            </w:r>
          </w:p>
        </w:tc>
        <w:tc>
          <w:tcPr>
            <w:tcW w:w="2977" w:type="dxa"/>
            <w:tcBorders>
              <w:top w:val="single" w:sz="6" w:space="0" w:color="000000"/>
              <w:left w:val="single" w:sz="6" w:space="0" w:color="000000"/>
              <w:bottom w:val="single" w:sz="6" w:space="0" w:color="000000"/>
              <w:right w:val="single" w:sz="6" w:space="0" w:color="000000"/>
            </w:tcBorders>
            <w:vAlign w:val="center"/>
          </w:tcPr>
          <w:p w14:paraId="02742389" w14:textId="77777777" w:rsidR="004A60F6" w:rsidRDefault="004A60F6" w:rsidP="00CE33D2">
            <w:pPr>
              <w:pStyle w:val="naisc"/>
              <w:spacing w:before="0" w:after="0"/>
              <w:ind w:firstLine="12"/>
              <w:jc w:val="both"/>
            </w:pPr>
          </w:p>
        </w:tc>
        <w:tc>
          <w:tcPr>
            <w:tcW w:w="4394" w:type="dxa"/>
            <w:tcBorders>
              <w:top w:val="single" w:sz="6" w:space="0" w:color="000000"/>
              <w:left w:val="single" w:sz="6" w:space="0" w:color="000000"/>
              <w:bottom w:val="single" w:sz="6" w:space="0" w:color="000000"/>
              <w:right w:val="single" w:sz="6" w:space="0" w:color="000000"/>
            </w:tcBorders>
            <w:vAlign w:val="center"/>
          </w:tcPr>
          <w:p w14:paraId="0274238A" w14:textId="77777777" w:rsidR="004A60F6" w:rsidRDefault="004A60F6" w:rsidP="00DB1CE9">
            <w:pPr>
              <w:pStyle w:val="naisc"/>
              <w:spacing w:before="0" w:after="0"/>
              <w:jc w:val="both"/>
              <w:rPr>
                <w:b/>
              </w:rPr>
            </w:pPr>
            <w:r>
              <w:rPr>
                <w:b/>
              </w:rPr>
              <w:t>Tieslietu ministrija (priekšlikums):</w:t>
            </w:r>
          </w:p>
          <w:p w14:paraId="0274238B" w14:textId="77777777" w:rsidR="004A60F6" w:rsidRDefault="004A60F6" w:rsidP="004A60F6">
            <w:pPr>
              <w:pStyle w:val="ListParagraph"/>
              <w:numPr>
                <w:ilvl w:val="0"/>
                <w:numId w:val="9"/>
              </w:numPr>
            </w:pPr>
            <w:r>
              <w:t>Lūdzam norādīt konkrētāk projekta anotācijas V sadaļas 1. tabulā, vai projekta 11. punktā izteiktajā 1.</w:t>
            </w:r>
            <w:r w:rsidRPr="004A60F6">
              <w:rPr>
                <w:vertAlign w:val="superscript"/>
              </w:rPr>
              <w:t>2</w:t>
            </w:r>
            <w:r>
              <w:t xml:space="preserve"> pielikumā tiek ieviesti Regulas 2019/290 I pielikuma B daļas nosacījumi. Nepieciešamības gadījumā lūdzam precizēt 1.</w:t>
            </w:r>
            <w:r w:rsidRPr="004A60F6">
              <w:rPr>
                <w:vertAlign w:val="superscript"/>
              </w:rPr>
              <w:t>2</w:t>
            </w:r>
            <w:r>
              <w:t xml:space="preserve"> pielikumā ietverto apliecinājumu, izsakot to, kā noteikts Regulā 2019/290.</w:t>
            </w:r>
          </w:p>
          <w:p w14:paraId="0274238C" w14:textId="77777777" w:rsidR="004A60F6" w:rsidRPr="00DB1CE9" w:rsidRDefault="004A60F6" w:rsidP="00DB1CE9">
            <w:pPr>
              <w:pStyle w:val="naisc"/>
              <w:spacing w:before="0" w:after="0"/>
              <w:jc w:val="both"/>
              <w:rPr>
                <w:b/>
              </w:rPr>
            </w:pPr>
          </w:p>
        </w:tc>
        <w:tc>
          <w:tcPr>
            <w:tcW w:w="2835" w:type="dxa"/>
            <w:tcBorders>
              <w:top w:val="single" w:sz="6" w:space="0" w:color="000000"/>
              <w:left w:val="single" w:sz="6" w:space="0" w:color="000000"/>
              <w:bottom w:val="single" w:sz="6" w:space="0" w:color="000000"/>
              <w:right w:val="single" w:sz="6" w:space="0" w:color="000000"/>
            </w:tcBorders>
          </w:tcPr>
          <w:p w14:paraId="0274238D" w14:textId="77777777" w:rsidR="004A60F6" w:rsidRDefault="006A3607" w:rsidP="00E665B9">
            <w:pPr>
              <w:pStyle w:val="naisc"/>
              <w:spacing w:before="0" w:after="0"/>
              <w:ind w:firstLine="21"/>
              <w:jc w:val="left"/>
              <w:rPr>
                <w:b/>
              </w:rPr>
            </w:pPr>
            <w:r>
              <w:rPr>
                <w:b/>
              </w:rPr>
              <w:t xml:space="preserve">Priekšlikums ir ņemts vērā. </w:t>
            </w:r>
          </w:p>
        </w:tc>
        <w:tc>
          <w:tcPr>
            <w:tcW w:w="3686" w:type="dxa"/>
            <w:tcBorders>
              <w:top w:val="single" w:sz="4" w:space="0" w:color="auto"/>
              <w:left w:val="single" w:sz="4" w:space="0" w:color="auto"/>
              <w:bottom w:val="single" w:sz="4" w:space="0" w:color="auto"/>
            </w:tcBorders>
          </w:tcPr>
          <w:p w14:paraId="0274238E" w14:textId="77777777" w:rsidR="004A60F6" w:rsidRDefault="004A60F6" w:rsidP="00AB118F">
            <w:pPr>
              <w:rPr>
                <w:b/>
              </w:rPr>
            </w:pPr>
          </w:p>
        </w:tc>
      </w:tr>
    </w:tbl>
    <w:p w14:paraId="02742390" w14:textId="77777777" w:rsidR="007020C2" w:rsidRDefault="007020C2"/>
    <w:p w14:paraId="02742391" w14:textId="77777777" w:rsidR="00DB1CE9" w:rsidRDefault="00DB1CE9"/>
    <w:p w14:paraId="02742392" w14:textId="77777777" w:rsidR="00467A69" w:rsidRPr="00467A69" w:rsidRDefault="00DB1CE9">
      <w:r>
        <w:t>Atbildīgā amatpersona</w:t>
      </w:r>
      <w:r>
        <w:tab/>
      </w:r>
      <w:r>
        <w:tab/>
      </w:r>
      <w:r>
        <w:tab/>
      </w:r>
      <w:r>
        <w:tab/>
      </w:r>
      <w:r>
        <w:tab/>
      </w:r>
      <w:r>
        <w:tab/>
      </w:r>
      <w:r>
        <w:tab/>
      </w:r>
      <w:r>
        <w:tab/>
        <w:t>Ilze</w:t>
      </w:r>
      <w:r w:rsidR="00467A69">
        <w:t> </w:t>
      </w:r>
      <w:r>
        <w:t>Doniņa</w:t>
      </w:r>
    </w:p>
    <w:sectPr w:rsidR="00467A69" w:rsidRPr="00467A69" w:rsidSect="00DB1CE9">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6AD0F" w14:textId="77777777" w:rsidR="00381309" w:rsidRDefault="00381309" w:rsidP="00DB1CE9">
      <w:r>
        <w:separator/>
      </w:r>
    </w:p>
  </w:endnote>
  <w:endnote w:type="continuationSeparator" w:id="0">
    <w:p w14:paraId="6AD37842" w14:textId="77777777" w:rsidR="00381309" w:rsidRDefault="00381309" w:rsidP="00DB1CE9">
      <w:r>
        <w:continuationSeparator/>
      </w:r>
    </w:p>
  </w:endnote>
  <w:endnote w:type="continuationNotice" w:id="1">
    <w:p w14:paraId="0D067CAA" w14:textId="77777777" w:rsidR="00147CF4" w:rsidRDefault="00147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4239A" w14:textId="77777777" w:rsidR="00381309" w:rsidRDefault="00381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4239B" w14:textId="77777777" w:rsidR="00381309" w:rsidRDefault="00381309">
    <w:pPr>
      <w:pStyle w:val="Footer"/>
    </w:pPr>
    <w:r>
      <w:t>VARAMIzz_111119_groz331_registracija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4239D" w14:textId="77777777" w:rsidR="00381309" w:rsidRDefault="00381309">
    <w:pPr>
      <w:pStyle w:val="Footer"/>
    </w:pPr>
    <w:r>
      <w:t>VARAMIzz_111119_groz331_registracija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FE07A" w14:textId="77777777" w:rsidR="00381309" w:rsidRDefault="00381309" w:rsidP="00DB1CE9">
      <w:r>
        <w:separator/>
      </w:r>
    </w:p>
  </w:footnote>
  <w:footnote w:type="continuationSeparator" w:id="0">
    <w:p w14:paraId="4B6E58DC" w14:textId="77777777" w:rsidR="00381309" w:rsidRDefault="00381309" w:rsidP="00DB1CE9">
      <w:r>
        <w:continuationSeparator/>
      </w:r>
    </w:p>
  </w:footnote>
  <w:footnote w:type="continuationNotice" w:id="1">
    <w:p w14:paraId="5F39E9E7" w14:textId="77777777" w:rsidR="00147CF4" w:rsidRDefault="00147C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42397" w14:textId="77777777" w:rsidR="00381309" w:rsidRDefault="00381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972857"/>
      <w:docPartObj>
        <w:docPartGallery w:val="Page Numbers (Top of Page)"/>
        <w:docPartUnique/>
      </w:docPartObj>
    </w:sdtPr>
    <w:sdtEndPr>
      <w:rPr>
        <w:noProof/>
      </w:rPr>
    </w:sdtEndPr>
    <w:sdtContent>
      <w:p w14:paraId="02742398" w14:textId="77777777" w:rsidR="00381309" w:rsidRDefault="00381309">
        <w:pPr>
          <w:pStyle w:val="Header"/>
          <w:jc w:val="center"/>
        </w:pPr>
        <w:r>
          <w:fldChar w:fldCharType="begin"/>
        </w:r>
        <w:r>
          <w:instrText xml:space="preserve"> PAGE   \* MERGEFORMAT </w:instrText>
        </w:r>
        <w:r>
          <w:fldChar w:fldCharType="separate"/>
        </w:r>
        <w:r w:rsidR="00147CF4">
          <w:rPr>
            <w:noProof/>
          </w:rPr>
          <w:t>13</w:t>
        </w:r>
        <w:r>
          <w:rPr>
            <w:noProof/>
          </w:rPr>
          <w:fldChar w:fldCharType="end"/>
        </w:r>
      </w:p>
    </w:sdtContent>
  </w:sdt>
  <w:p w14:paraId="02742399" w14:textId="77777777" w:rsidR="00381309" w:rsidRDefault="00381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4239C" w14:textId="77777777" w:rsidR="00381309" w:rsidRDefault="00381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7835"/>
    <w:multiLevelType w:val="hybridMultilevel"/>
    <w:tmpl w:val="2868628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7619"/>
    <w:multiLevelType w:val="hybridMultilevel"/>
    <w:tmpl w:val="60BCA700"/>
    <w:lvl w:ilvl="0" w:tplc="D04233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A650BF"/>
    <w:multiLevelType w:val="hybridMultilevel"/>
    <w:tmpl w:val="C31223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D949FF"/>
    <w:multiLevelType w:val="hybridMultilevel"/>
    <w:tmpl w:val="BE5EC938"/>
    <w:lvl w:ilvl="0" w:tplc="11EABD74">
      <w:start w:val="1"/>
      <w:numFmt w:val="decimal"/>
      <w:lvlText w:val="%1."/>
      <w:lvlJc w:val="left"/>
      <w:pPr>
        <w:ind w:left="5746" w:hanging="360"/>
      </w:pPr>
      <w:rPr>
        <w:rFonts w:hint="default"/>
        <w:sz w:val="28"/>
        <w:szCs w:val="28"/>
      </w:rPr>
    </w:lvl>
    <w:lvl w:ilvl="1" w:tplc="04260019" w:tentative="1">
      <w:start w:val="1"/>
      <w:numFmt w:val="lowerLetter"/>
      <w:lvlText w:val="%2."/>
      <w:lvlJc w:val="left"/>
      <w:pPr>
        <w:ind w:left="6466" w:hanging="360"/>
      </w:pPr>
    </w:lvl>
    <w:lvl w:ilvl="2" w:tplc="0426001B" w:tentative="1">
      <w:start w:val="1"/>
      <w:numFmt w:val="lowerRoman"/>
      <w:lvlText w:val="%3."/>
      <w:lvlJc w:val="right"/>
      <w:pPr>
        <w:ind w:left="7186" w:hanging="180"/>
      </w:pPr>
    </w:lvl>
    <w:lvl w:ilvl="3" w:tplc="0426000F" w:tentative="1">
      <w:start w:val="1"/>
      <w:numFmt w:val="decimal"/>
      <w:lvlText w:val="%4."/>
      <w:lvlJc w:val="left"/>
      <w:pPr>
        <w:ind w:left="7906" w:hanging="360"/>
      </w:pPr>
    </w:lvl>
    <w:lvl w:ilvl="4" w:tplc="04260019" w:tentative="1">
      <w:start w:val="1"/>
      <w:numFmt w:val="lowerLetter"/>
      <w:lvlText w:val="%5."/>
      <w:lvlJc w:val="left"/>
      <w:pPr>
        <w:ind w:left="8626" w:hanging="360"/>
      </w:pPr>
    </w:lvl>
    <w:lvl w:ilvl="5" w:tplc="0426001B" w:tentative="1">
      <w:start w:val="1"/>
      <w:numFmt w:val="lowerRoman"/>
      <w:lvlText w:val="%6."/>
      <w:lvlJc w:val="right"/>
      <w:pPr>
        <w:ind w:left="9346" w:hanging="180"/>
      </w:pPr>
    </w:lvl>
    <w:lvl w:ilvl="6" w:tplc="0426000F" w:tentative="1">
      <w:start w:val="1"/>
      <w:numFmt w:val="decimal"/>
      <w:lvlText w:val="%7."/>
      <w:lvlJc w:val="left"/>
      <w:pPr>
        <w:ind w:left="10066" w:hanging="360"/>
      </w:pPr>
    </w:lvl>
    <w:lvl w:ilvl="7" w:tplc="04260019" w:tentative="1">
      <w:start w:val="1"/>
      <w:numFmt w:val="lowerLetter"/>
      <w:lvlText w:val="%8."/>
      <w:lvlJc w:val="left"/>
      <w:pPr>
        <w:ind w:left="10786" w:hanging="360"/>
      </w:pPr>
    </w:lvl>
    <w:lvl w:ilvl="8" w:tplc="0426001B" w:tentative="1">
      <w:start w:val="1"/>
      <w:numFmt w:val="lowerRoman"/>
      <w:lvlText w:val="%9."/>
      <w:lvlJc w:val="right"/>
      <w:pPr>
        <w:ind w:left="11506" w:hanging="180"/>
      </w:pPr>
    </w:lvl>
  </w:abstractNum>
  <w:abstractNum w:abstractNumId="4" w15:restartNumberingAfterBreak="0">
    <w:nsid w:val="4FBB0A7A"/>
    <w:multiLevelType w:val="hybridMultilevel"/>
    <w:tmpl w:val="C31223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4823448"/>
    <w:multiLevelType w:val="hybridMultilevel"/>
    <w:tmpl w:val="E0723AB6"/>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580289"/>
    <w:multiLevelType w:val="hybridMultilevel"/>
    <w:tmpl w:val="835A962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06A6F6F"/>
    <w:multiLevelType w:val="hybridMultilevel"/>
    <w:tmpl w:val="84CAC93C"/>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E891668"/>
    <w:multiLevelType w:val="hybridMultilevel"/>
    <w:tmpl w:val="C31223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C2"/>
    <w:rsid w:val="000329E1"/>
    <w:rsid w:val="001438D9"/>
    <w:rsid w:val="00146012"/>
    <w:rsid w:val="00147CF4"/>
    <w:rsid w:val="001927B2"/>
    <w:rsid w:val="001E76A4"/>
    <w:rsid w:val="002A4D59"/>
    <w:rsid w:val="00381309"/>
    <w:rsid w:val="00467A69"/>
    <w:rsid w:val="004A60F6"/>
    <w:rsid w:val="0059243D"/>
    <w:rsid w:val="0067635B"/>
    <w:rsid w:val="006A3607"/>
    <w:rsid w:val="006B5070"/>
    <w:rsid w:val="007020C2"/>
    <w:rsid w:val="007C59A5"/>
    <w:rsid w:val="0082623C"/>
    <w:rsid w:val="008D4602"/>
    <w:rsid w:val="00A20473"/>
    <w:rsid w:val="00AB118F"/>
    <w:rsid w:val="00B32ABD"/>
    <w:rsid w:val="00BE5318"/>
    <w:rsid w:val="00BE6B98"/>
    <w:rsid w:val="00C445A1"/>
    <w:rsid w:val="00CE33D2"/>
    <w:rsid w:val="00D66B22"/>
    <w:rsid w:val="00D677D0"/>
    <w:rsid w:val="00DB1CE9"/>
    <w:rsid w:val="00DF13AC"/>
    <w:rsid w:val="00DF3334"/>
    <w:rsid w:val="00E665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422FF"/>
  <w15:chartTrackingRefBased/>
  <w15:docId w15:val="{784F4398-B82F-4D1A-8BEA-9C6A29DA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0C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20C2"/>
    <w:pPr>
      <w:spacing w:before="100" w:beforeAutospacing="1" w:after="100" w:afterAutospacing="1"/>
    </w:pPr>
  </w:style>
  <w:style w:type="paragraph" w:customStyle="1" w:styleId="naisf">
    <w:name w:val="naisf"/>
    <w:basedOn w:val="Normal"/>
    <w:rsid w:val="007020C2"/>
    <w:pPr>
      <w:spacing w:before="75" w:after="75"/>
      <w:ind w:firstLine="375"/>
      <w:jc w:val="both"/>
    </w:pPr>
  </w:style>
  <w:style w:type="paragraph" w:customStyle="1" w:styleId="naiskr">
    <w:name w:val="naiskr"/>
    <w:basedOn w:val="Normal"/>
    <w:rsid w:val="007020C2"/>
    <w:pPr>
      <w:spacing w:before="75" w:after="75"/>
    </w:pPr>
  </w:style>
  <w:style w:type="paragraph" w:customStyle="1" w:styleId="naisc">
    <w:name w:val="naisc"/>
    <w:basedOn w:val="Normal"/>
    <w:rsid w:val="007020C2"/>
    <w:pPr>
      <w:spacing w:before="75" w:after="75"/>
      <w:jc w:val="center"/>
    </w:pPr>
  </w:style>
  <w:style w:type="paragraph" w:styleId="ListParagraph">
    <w:name w:val="List Paragraph"/>
    <w:basedOn w:val="Normal"/>
    <w:uiPriority w:val="34"/>
    <w:qFormat/>
    <w:rsid w:val="007020C2"/>
    <w:pPr>
      <w:widowControl w:val="0"/>
      <w:ind w:left="720"/>
      <w:contextualSpacing/>
      <w:jc w:val="both"/>
    </w:pPr>
    <w:rPr>
      <w:rFonts w:eastAsia="Calibri"/>
      <w:szCs w:val="22"/>
      <w:lang w:eastAsia="en-US"/>
    </w:rPr>
  </w:style>
  <w:style w:type="paragraph" w:styleId="Footer">
    <w:name w:val="footer"/>
    <w:basedOn w:val="Normal"/>
    <w:link w:val="FooterChar"/>
    <w:uiPriority w:val="99"/>
    <w:unhideWhenUsed/>
    <w:rsid w:val="007020C2"/>
    <w:pPr>
      <w:widowControl w:val="0"/>
      <w:tabs>
        <w:tab w:val="center" w:pos="4320"/>
        <w:tab w:val="right" w:pos="8640"/>
      </w:tabs>
      <w:jc w:val="both"/>
    </w:pPr>
    <w:rPr>
      <w:rFonts w:eastAsia="Calibri"/>
      <w:szCs w:val="22"/>
      <w:lang w:eastAsia="en-US"/>
    </w:rPr>
  </w:style>
  <w:style w:type="character" w:customStyle="1" w:styleId="FooterChar">
    <w:name w:val="Footer Char"/>
    <w:basedOn w:val="DefaultParagraphFont"/>
    <w:link w:val="Footer"/>
    <w:uiPriority w:val="99"/>
    <w:rsid w:val="007020C2"/>
    <w:rPr>
      <w:rFonts w:ascii="Times New Roman" w:eastAsia="Calibri" w:hAnsi="Times New Roman" w:cs="Times New Roman"/>
      <w:sz w:val="24"/>
    </w:rPr>
  </w:style>
  <w:style w:type="paragraph" w:customStyle="1" w:styleId="tvhtml">
    <w:name w:val="tv_html"/>
    <w:basedOn w:val="Normal"/>
    <w:rsid w:val="00CE33D2"/>
    <w:pPr>
      <w:spacing w:before="100" w:beforeAutospacing="1" w:after="100" w:afterAutospacing="1"/>
    </w:pPr>
  </w:style>
  <w:style w:type="paragraph" w:styleId="BalloonText">
    <w:name w:val="Balloon Text"/>
    <w:basedOn w:val="Normal"/>
    <w:link w:val="BalloonTextChar"/>
    <w:uiPriority w:val="99"/>
    <w:semiHidden/>
    <w:unhideWhenUsed/>
    <w:rsid w:val="00D66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B22"/>
    <w:rPr>
      <w:rFonts w:ascii="Segoe UI" w:eastAsia="Times New Roman" w:hAnsi="Segoe UI" w:cs="Segoe UI"/>
      <w:sz w:val="18"/>
      <w:szCs w:val="18"/>
      <w:lang w:eastAsia="lv-LV"/>
    </w:rPr>
  </w:style>
  <w:style w:type="paragraph" w:styleId="Header">
    <w:name w:val="header"/>
    <w:basedOn w:val="Normal"/>
    <w:link w:val="HeaderChar"/>
    <w:uiPriority w:val="99"/>
    <w:unhideWhenUsed/>
    <w:rsid w:val="00DB1CE9"/>
    <w:pPr>
      <w:tabs>
        <w:tab w:val="center" w:pos="4153"/>
        <w:tab w:val="right" w:pos="8306"/>
      </w:tabs>
    </w:pPr>
  </w:style>
  <w:style w:type="character" w:customStyle="1" w:styleId="HeaderChar">
    <w:name w:val="Header Char"/>
    <w:basedOn w:val="DefaultParagraphFont"/>
    <w:link w:val="Header"/>
    <w:uiPriority w:val="99"/>
    <w:rsid w:val="00DB1CE9"/>
    <w:rPr>
      <w:rFonts w:ascii="Times New Roman" w:eastAsia="Times New Roman" w:hAnsi="Times New Roman" w:cs="Times New Roman"/>
      <w:sz w:val="24"/>
      <w:szCs w:val="24"/>
      <w:lang w:eastAsia="lv-LV"/>
    </w:rPr>
  </w:style>
  <w:style w:type="character" w:customStyle="1" w:styleId="italic">
    <w:name w:val="italic"/>
    <w:rsid w:val="007C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11091</Words>
  <Characters>6323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Doniņa</dc:creator>
  <cp:keywords/>
  <dc:description/>
  <cp:lastModifiedBy>Dmitrijs Dmitrijevs</cp:lastModifiedBy>
  <cp:revision>3</cp:revision>
  <dcterms:created xsi:type="dcterms:W3CDTF">2019-11-11T12:21:00Z</dcterms:created>
  <dcterms:modified xsi:type="dcterms:W3CDTF">2019-11-19T09:12:00Z</dcterms:modified>
</cp:coreProperties>
</file>