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E6D9" w14:textId="77777777" w:rsidR="008E2ADA" w:rsidRDefault="008E2ADA" w:rsidP="0095057B">
      <w:pPr>
        <w:rPr>
          <w:rFonts w:ascii="Times New Roman" w:hAnsi="Times New Roman"/>
          <w:color w:val="000000"/>
          <w:sz w:val="20"/>
          <w:szCs w:val="20"/>
        </w:rPr>
      </w:pPr>
    </w:p>
    <w:p w14:paraId="7EEE93B9" w14:textId="77777777" w:rsidR="0095057B" w:rsidRDefault="0095057B" w:rsidP="00A30829">
      <w:pPr>
        <w:tabs>
          <w:tab w:val="left" w:pos="3544"/>
        </w:tabs>
        <w:spacing w:after="0"/>
        <w:jc w:val="center"/>
        <w:rPr>
          <w:rFonts w:ascii="Times New Roman" w:hAnsi="Times New Roman"/>
          <w:b/>
          <w:sz w:val="26"/>
          <w:szCs w:val="26"/>
        </w:rPr>
      </w:pPr>
      <w:r>
        <w:rPr>
          <w:rFonts w:ascii="Times New Roman" w:hAnsi="Times New Roman"/>
          <w:b/>
          <w:sz w:val="26"/>
          <w:szCs w:val="26"/>
        </w:rPr>
        <w:t xml:space="preserve">Informatīvais ziņojums </w:t>
      </w:r>
    </w:p>
    <w:p w14:paraId="587861AC" w14:textId="62CD742B" w:rsidR="00A30829" w:rsidRPr="00A30829" w:rsidRDefault="00A30829" w:rsidP="00A30829">
      <w:pPr>
        <w:tabs>
          <w:tab w:val="left" w:pos="3544"/>
        </w:tabs>
        <w:spacing w:after="0"/>
        <w:jc w:val="center"/>
        <w:rPr>
          <w:rFonts w:ascii="Times New Roman" w:hAnsi="Times New Roman"/>
          <w:b/>
          <w:sz w:val="26"/>
          <w:szCs w:val="26"/>
        </w:rPr>
      </w:pPr>
      <w:bookmarkStart w:id="0" w:name="_GoBack"/>
      <w:bookmarkEnd w:id="0"/>
      <w:r w:rsidRPr="00A30829">
        <w:rPr>
          <w:rFonts w:ascii="Times New Roman" w:hAnsi="Times New Roman"/>
          <w:b/>
          <w:sz w:val="26"/>
          <w:szCs w:val="26"/>
        </w:rPr>
        <w:t>par prioritāri atveramajām datu kopām, kas ir valsts iestāžu rīcībā</w:t>
      </w:r>
    </w:p>
    <w:p w14:paraId="1D47DCBA" w14:textId="77777777" w:rsidR="00A30829" w:rsidRPr="00A30829" w:rsidRDefault="00A30829" w:rsidP="00A30829">
      <w:pPr>
        <w:spacing w:after="0"/>
        <w:jc w:val="center"/>
        <w:rPr>
          <w:rFonts w:ascii="Times New Roman" w:hAnsi="Times New Roman"/>
          <w:b/>
          <w:highlight w:val="yellow"/>
        </w:rPr>
      </w:pPr>
    </w:p>
    <w:sdt>
      <w:sdtPr>
        <w:rPr>
          <w:rFonts w:ascii="Calibri" w:eastAsia="Calibri" w:hAnsi="Calibri" w:cs="Times New Roman"/>
          <w:color w:val="auto"/>
          <w:sz w:val="22"/>
          <w:szCs w:val="22"/>
          <w:lang w:eastAsia="en-US"/>
        </w:rPr>
        <w:id w:val="2144529507"/>
        <w:docPartObj>
          <w:docPartGallery w:val="Table of Contents"/>
          <w:docPartUnique/>
        </w:docPartObj>
      </w:sdtPr>
      <w:sdtEndPr>
        <w:rPr>
          <w:b/>
          <w:bCs/>
        </w:rPr>
      </w:sdtEndPr>
      <w:sdtContent>
        <w:p w14:paraId="263358E7" w14:textId="4AF8A546" w:rsidR="00652BE7" w:rsidRPr="00652BE7" w:rsidRDefault="00652BE7" w:rsidP="00854777">
          <w:pPr>
            <w:pStyle w:val="TOCHeading"/>
            <w:jc w:val="center"/>
            <w:rPr>
              <w:rFonts w:ascii="Times New Roman" w:hAnsi="Times New Roman" w:cs="Times New Roman"/>
              <w:color w:val="auto"/>
              <w:sz w:val="28"/>
            </w:rPr>
          </w:pPr>
          <w:r w:rsidRPr="00652BE7">
            <w:rPr>
              <w:rFonts w:ascii="Times New Roman" w:hAnsi="Times New Roman" w:cs="Times New Roman"/>
              <w:color w:val="auto"/>
              <w:sz w:val="28"/>
            </w:rPr>
            <w:t>Saturs</w:t>
          </w:r>
        </w:p>
        <w:p w14:paraId="5BDF7EAB" w14:textId="7DDB5187" w:rsidR="00652BE7" w:rsidRDefault="00652BE7">
          <w:pPr>
            <w:pStyle w:val="TOC1"/>
            <w:tabs>
              <w:tab w:val="right" w:leader="dot" w:pos="9358"/>
            </w:tabs>
            <w:rPr>
              <w:rFonts w:asciiTheme="minorHAnsi" w:eastAsiaTheme="minorEastAsia" w:hAnsiTheme="minorHAnsi" w:cstheme="minorBidi"/>
              <w:noProof/>
              <w:lang w:eastAsia="lv-LV"/>
            </w:rPr>
          </w:pPr>
          <w:r>
            <w:fldChar w:fldCharType="begin"/>
          </w:r>
          <w:r>
            <w:instrText xml:space="preserve"> TOC \o "1-3" \h \z \u </w:instrText>
          </w:r>
          <w:r>
            <w:fldChar w:fldCharType="separate"/>
          </w:r>
          <w:hyperlink w:anchor="_Toc26252149" w:history="1">
            <w:r w:rsidRPr="004D2ED4">
              <w:rPr>
                <w:rStyle w:val="Hyperlink"/>
                <w:rFonts w:ascii="Times New Roman" w:hAnsi="Times New Roman"/>
                <w:noProof/>
              </w:rPr>
              <w:t>Ievads</w:t>
            </w:r>
            <w:r>
              <w:rPr>
                <w:noProof/>
                <w:webHidden/>
              </w:rPr>
              <w:tab/>
            </w:r>
            <w:r>
              <w:rPr>
                <w:noProof/>
                <w:webHidden/>
              </w:rPr>
              <w:fldChar w:fldCharType="begin"/>
            </w:r>
            <w:r>
              <w:rPr>
                <w:noProof/>
                <w:webHidden/>
              </w:rPr>
              <w:instrText xml:space="preserve"> PAGEREF _Toc26252149 \h </w:instrText>
            </w:r>
            <w:r>
              <w:rPr>
                <w:noProof/>
                <w:webHidden/>
              </w:rPr>
            </w:r>
            <w:r>
              <w:rPr>
                <w:noProof/>
                <w:webHidden/>
              </w:rPr>
              <w:fldChar w:fldCharType="separate"/>
            </w:r>
            <w:r>
              <w:rPr>
                <w:noProof/>
                <w:webHidden/>
              </w:rPr>
              <w:t>1</w:t>
            </w:r>
            <w:r>
              <w:rPr>
                <w:noProof/>
                <w:webHidden/>
              </w:rPr>
              <w:fldChar w:fldCharType="end"/>
            </w:r>
          </w:hyperlink>
        </w:p>
        <w:p w14:paraId="280B41C3" w14:textId="02B46AC7"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0" w:history="1">
            <w:r w:rsidR="00652BE7" w:rsidRPr="004D2ED4">
              <w:rPr>
                <w:rStyle w:val="Hyperlink"/>
                <w:rFonts w:ascii="Times New Roman" w:hAnsi="Times New Roman"/>
                <w:noProof/>
              </w:rPr>
              <w:t>1.</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Pašreizējās situācijas apraksts</w:t>
            </w:r>
            <w:r w:rsidR="00652BE7">
              <w:rPr>
                <w:noProof/>
                <w:webHidden/>
              </w:rPr>
              <w:tab/>
            </w:r>
            <w:r w:rsidR="00652BE7">
              <w:rPr>
                <w:noProof/>
                <w:webHidden/>
              </w:rPr>
              <w:fldChar w:fldCharType="begin"/>
            </w:r>
            <w:r w:rsidR="00652BE7">
              <w:rPr>
                <w:noProof/>
                <w:webHidden/>
              </w:rPr>
              <w:instrText xml:space="preserve"> PAGEREF _Toc26252150 \h </w:instrText>
            </w:r>
            <w:r w:rsidR="00652BE7">
              <w:rPr>
                <w:noProof/>
                <w:webHidden/>
              </w:rPr>
            </w:r>
            <w:r w:rsidR="00652BE7">
              <w:rPr>
                <w:noProof/>
                <w:webHidden/>
              </w:rPr>
              <w:fldChar w:fldCharType="separate"/>
            </w:r>
            <w:r w:rsidR="00652BE7">
              <w:rPr>
                <w:noProof/>
                <w:webHidden/>
              </w:rPr>
              <w:t>2</w:t>
            </w:r>
            <w:r w:rsidR="00652BE7">
              <w:rPr>
                <w:noProof/>
                <w:webHidden/>
              </w:rPr>
              <w:fldChar w:fldCharType="end"/>
            </w:r>
          </w:hyperlink>
        </w:p>
        <w:p w14:paraId="52E68EEF" w14:textId="48101392"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1" w:history="1">
            <w:r w:rsidR="00652BE7" w:rsidRPr="004D2ED4">
              <w:rPr>
                <w:rStyle w:val="Hyperlink"/>
                <w:rFonts w:ascii="Times New Roman" w:hAnsi="Times New Roman"/>
                <w:noProof/>
              </w:rPr>
              <w:t>2.</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Latvijas Atvērto datu stratēģija</w:t>
            </w:r>
            <w:r w:rsidR="00652BE7">
              <w:rPr>
                <w:noProof/>
                <w:webHidden/>
              </w:rPr>
              <w:tab/>
            </w:r>
            <w:r w:rsidR="00652BE7">
              <w:rPr>
                <w:noProof/>
                <w:webHidden/>
              </w:rPr>
              <w:fldChar w:fldCharType="begin"/>
            </w:r>
            <w:r w:rsidR="00652BE7">
              <w:rPr>
                <w:noProof/>
                <w:webHidden/>
              </w:rPr>
              <w:instrText xml:space="preserve"> PAGEREF _Toc26252151 \h </w:instrText>
            </w:r>
            <w:r w:rsidR="00652BE7">
              <w:rPr>
                <w:noProof/>
                <w:webHidden/>
              </w:rPr>
            </w:r>
            <w:r w:rsidR="00652BE7">
              <w:rPr>
                <w:noProof/>
                <w:webHidden/>
              </w:rPr>
              <w:fldChar w:fldCharType="separate"/>
            </w:r>
            <w:r w:rsidR="00652BE7">
              <w:rPr>
                <w:noProof/>
                <w:webHidden/>
              </w:rPr>
              <w:t>3</w:t>
            </w:r>
            <w:r w:rsidR="00652BE7">
              <w:rPr>
                <w:noProof/>
                <w:webHidden/>
              </w:rPr>
              <w:fldChar w:fldCharType="end"/>
            </w:r>
          </w:hyperlink>
        </w:p>
        <w:p w14:paraId="72065065" w14:textId="7120C58D"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2" w:history="1">
            <w:r w:rsidR="00652BE7" w:rsidRPr="004D2ED4">
              <w:rPr>
                <w:rStyle w:val="Hyperlink"/>
                <w:rFonts w:ascii="Times New Roman" w:hAnsi="Times New Roman"/>
                <w:noProof/>
              </w:rPr>
              <w:t>3.</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Valsts meža dienesta (VMD) datu publicēšana</w:t>
            </w:r>
            <w:r w:rsidR="00652BE7">
              <w:rPr>
                <w:noProof/>
                <w:webHidden/>
              </w:rPr>
              <w:tab/>
            </w:r>
            <w:r w:rsidR="00652BE7">
              <w:rPr>
                <w:noProof/>
                <w:webHidden/>
              </w:rPr>
              <w:fldChar w:fldCharType="begin"/>
            </w:r>
            <w:r w:rsidR="00652BE7">
              <w:rPr>
                <w:noProof/>
                <w:webHidden/>
              </w:rPr>
              <w:instrText xml:space="preserve"> PAGEREF _Toc26252152 \h </w:instrText>
            </w:r>
            <w:r w:rsidR="00652BE7">
              <w:rPr>
                <w:noProof/>
                <w:webHidden/>
              </w:rPr>
            </w:r>
            <w:r w:rsidR="00652BE7">
              <w:rPr>
                <w:noProof/>
                <w:webHidden/>
              </w:rPr>
              <w:fldChar w:fldCharType="separate"/>
            </w:r>
            <w:r w:rsidR="00652BE7">
              <w:rPr>
                <w:noProof/>
                <w:webHidden/>
              </w:rPr>
              <w:t>6</w:t>
            </w:r>
            <w:r w:rsidR="00652BE7">
              <w:rPr>
                <w:noProof/>
                <w:webHidden/>
              </w:rPr>
              <w:fldChar w:fldCharType="end"/>
            </w:r>
          </w:hyperlink>
        </w:p>
        <w:p w14:paraId="77473045" w14:textId="6F074DC4"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3" w:history="1">
            <w:r w:rsidR="00652BE7" w:rsidRPr="004D2ED4">
              <w:rPr>
                <w:rStyle w:val="Hyperlink"/>
                <w:rFonts w:ascii="Times New Roman" w:hAnsi="Times New Roman"/>
                <w:noProof/>
              </w:rPr>
              <w:t>4.</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Latvijas Valsts ceļu (LVC) datu publicēšana</w:t>
            </w:r>
            <w:r w:rsidR="00652BE7">
              <w:rPr>
                <w:noProof/>
                <w:webHidden/>
              </w:rPr>
              <w:tab/>
            </w:r>
            <w:r w:rsidR="00652BE7">
              <w:rPr>
                <w:noProof/>
                <w:webHidden/>
              </w:rPr>
              <w:fldChar w:fldCharType="begin"/>
            </w:r>
            <w:r w:rsidR="00652BE7">
              <w:rPr>
                <w:noProof/>
                <w:webHidden/>
              </w:rPr>
              <w:instrText xml:space="preserve"> PAGEREF _Toc26252153 \h </w:instrText>
            </w:r>
            <w:r w:rsidR="00652BE7">
              <w:rPr>
                <w:noProof/>
                <w:webHidden/>
              </w:rPr>
            </w:r>
            <w:r w:rsidR="00652BE7">
              <w:rPr>
                <w:noProof/>
                <w:webHidden/>
              </w:rPr>
              <w:fldChar w:fldCharType="separate"/>
            </w:r>
            <w:r w:rsidR="00652BE7">
              <w:rPr>
                <w:noProof/>
                <w:webHidden/>
              </w:rPr>
              <w:t>6</w:t>
            </w:r>
            <w:r w:rsidR="00652BE7">
              <w:rPr>
                <w:noProof/>
                <w:webHidden/>
              </w:rPr>
              <w:fldChar w:fldCharType="end"/>
            </w:r>
          </w:hyperlink>
        </w:p>
        <w:p w14:paraId="0113B165" w14:textId="3C64E760"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4" w:history="1">
            <w:r w:rsidR="00652BE7" w:rsidRPr="004D2ED4">
              <w:rPr>
                <w:rStyle w:val="Hyperlink"/>
                <w:rFonts w:ascii="Times New Roman" w:hAnsi="Times New Roman"/>
                <w:noProof/>
              </w:rPr>
              <w:t>5.</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Uzņēmumu reģistra (UR) rīcībā esošo datu kopu publicēšana</w:t>
            </w:r>
            <w:r w:rsidR="00652BE7">
              <w:rPr>
                <w:noProof/>
                <w:webHidden/>
              </w:rPr>
              <w:tab/>
            </w:r>
            <w:r w:rsidR="00652BE7">
              <w:rPr>
                <w:noProof/>
                <w:webHidden/>
              </w:rPr>
              <w:fldChar w:fldCharType="begin"/>
            </w:r>
            <w:r w:rsidR="00652BE7">
              <w:rPr>
                <w:noProof/>
                <w:webHidden/>
              </w:rPr>
              <w:instrText xml:space="preserve"> PAGEREF _Toc26252154 \h </w:instrText>
            </w:r>
            <w:r w:rsidR="00652BE7">
              <w:rPr>
                <w:noProof/>
                <w:webHidden/>
              </w:rPr>
            </w:r>
            <w:r w:rsidR="00652BE7">
              <w:rPr>
                <w:noProof/>
                <w:webHidden/>
              </w:rPr>
              <w:fldChar w:fldCharType="separate"/>
            </w:r>
            <w:r w:rsidR="00652BE7">
              <w:rPr>
                <w:noProof/>
                <w:webHidden/>
              </w:rPr>
              <w:t>6</w:t>
            </w:r>
            <w:r w:rsidR="00652BE7">
              <w:rPr>
                <w:noProof/>
                <w:webHidden/>
              </w:rPr>
              <w:fldChar w:fldCharType="end"/>
            </w:r>
          </w:hyperlink>
        </w:p>
        <w:p w14:paraId="6B891993" w14:textId="20F4D5C0"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5" w:history="1">
            <w:r w:rsidR="00652BE7" w:rsidRPr="004D2ED4">
              <w:rPr>
                <w:rStyle w:val="Hyperlink"/>
                <w:rFonts w:ascii="Times New Roman" w:hAnsi="Times New Roman"/>
                <w:noProof/>
              </w:rPr>
              <w:t>6.</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Veselības ministrijas (VM, NVD, ZVA, SPKC) rīcībā esošo datu publicēšana</w:t>
            </w:r>
            <w:r w:rsidR="00652BE7">
              <w:rPr>
                <w:noProof/>
                <w:webHidden/>
              </w:rPr>
              <w:tab/>
            </w:r>
            <w:r w:rsidR="00652BE7">
              <w:rPr>
                <w:noProof/>
                <w:webHidden/>
              </w:rPr>
              <w:fldChar w:fldCharType="begin"/>
            </w:r>
            <w:r w:rsidR="00652BE7">
              <w:rPr>
                <w:noProof/>
                <w:webHidden/>
              </w:rPr>
              <w:instrText xml:space="preserve"> PAGEREF _Toc26252155 \h </w:instrText>
            </w:r>
            <w:r w:rsidR="00652BE7">
              <w:rPr>
                <w:noProof/>
                <w:webHidden/>
              </w:rPr>
            </w:r>
            <w:r w:rsidR="00652BE7">
              <w:rPr>
                <w:noProof/>
                <w:webHidden/>
              </w:rPr>
              <w:fldChar w:fldCharType="separate"/>
            </w:r>
            <w:r w:rsidR="00652BE7">
              <w:rPr>
                <w:noProof/>
                <w:webHidden/>
              </w:rPr>
              <w:t>7</w:t>
            </w:r>
            <w:r w:rsidR="00652BE7">
              <w:rPr>
                <w:noProof/>
                <w:webHidden/>
              </w:rPr>
              <w:fldChar w:fldCharType="end"/>
            </w:r>
          </w:hyperlink>
        </w:p>
        <w:p w14:paraId="05A70ADA" w14:textId="5ED8138B"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6" w:history="1">
            <w:r w:rsidR="00652BE7" w:rsidRPr="004D2ED4">
              <w:rPr>
                <w:rStyle w:val="Hyperlink"/>
                <w:rFonts w:ascii="Times New Roman" w:hAnsi="Times New Roman"/>
                <w:noProof/>
              </w:rPr>
              <w:t>7.</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Valsts ieņēmumu dienesta (VID) datu publicēšana</w:t>
            </w:r>
            <w:r w:rsidR="00652BE7">
              <w:rPr>
                <w:noProof/>
                <w:webHidden/>
              </w:rPr>
              <w:tab/>
            </w:r>
            <w:r w:rsidR="00652BE7">
              <w:rPr>
                <w:noProof/>
                <w:webHidden/>
              </w:rPr>
              <w:fldChar w:fldCharType="begin"/>
            </w:r>
            <w:r w:rsidR="00652BE7">
              <w:rPr>
                <w:noProof/>
                <w:webHidden/>
              </w:rPr>
              <w:instrText xml:space="preserve"> PAGEREF _Toc26252156 \h </w:instrText>
            </w:r>
            <w:r w:rsidR="00652BE7">
              <w:rPr>
                <w:noProof/>
                <w:webHidden/>
              </w:rPr>
            </w:r>
            <w:r w:rsidR="00652BE7">
              <w:rPr>
                <w:noProof/>
                <w:webHidden/>
              </w:rPr>
              <w:fldChar w:fldCharType="separate"/>
            </w:r>
            <w:r w:rsidR="00652BE7">
              <w:rPr>
                <w:noProof/>
                <w:webHidden/>
              </w:rPr>
              <w:t>7</w:t>
            </w:r>
            <w:r w:rsidR="00652BE7">
              <w:rPr>
                <w:noProof/>
                <w:webHidden/>
              </w:rPr>
              <w:fldChar w:fldCharType="end"/>
            </w:r>
          </w:hyperlink>
        </w:p>
        <w:p w14:paraId="7458022B" w14:textId="17A3F151"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7" w:history="1">
            <w:r w:rsidR="00652BE7" w:rsidRPr="004D2ED4">
              <w:rPr>
                <w:rStyle w:val="Hyperlink"/>
                <w:rFonts w:ascii="Times New Roman" w:hAnsi="Times New Roman"/>
                <w:noProof/>
              </w:rPr>
              <w:t>8.</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Pārtikas veterinārā dienesta (PVD) datu publicēšana</w:t>
            </w:r>
            <w:r w:rsidR="00652BE7">
              <w:rPr>
                <w:noProof/>
                <w:webHidden/>
              </w:rPr>
              <w:tab/>
            </w:r>
            <w:r w:rsidR="00652BE7">
              <w:rPr>
                <w:noProof/>
                <w:webHidden/>
              </w:rPr>
              <w:fldChar w:fldCharType="begin"/>
            </w:r>
            <w:r w:rsidR="00652BE7">
              <w:rPr>
                <w:noProof/>
                <w:webHidden/>
              </w:rPr>
              <w:instrText xml:space="preserve"> PAGEREF _Toc26252157 \h </w:instrText>
            </w:r>
            <w:r w:rsidR="00652BE7">
              <w:rPr>
                <w:noProof/>
                <w:webHidden/>
              </w:rPr>
            </w:r>
            <w:r w:rsidR="00652BE7">
              <w:rPr>
                <w:noProof/>
                <w:webHidden/>
              </w:rPr>
              <w:fldChar w:fldCharType="separate"/>
            </w:r>
            <w:r w:rsidR="00652BE7">
              <w:rPr>
                <w:noProof/>
                <w:webHidden/>
              </w:rPr>
              <w:t>8</w:t>
            </w:r>
            <w:r w:rsidR="00652BE7">
              <w:rPr>
                <w:noProof/>
                <w:webHidden/>
              </w:rPr>
              <w:fldChar w:fldCharType="end"/>
            </w:r>
          </w:hyperlink>
        </w:p>
        <w:p w14:paraId="6F581591" w14:textId="6B490024" w:rsidR="00652BE7" w:rsidRDefault="001C5902">
          <w:pPr>
            <w:pStyle w:val="TOC1"/>
            <w:tabs>
              <w:tab w:val="left" w:pos="440"/>
              <w:tab w:val="right" w:leader="dot" w:pos="9358"/>
            </w:tabs>
            <w:rPr>
              <w:rFonts w:asciiTheme="minorHAnsi" w:eastAsiaTheme="minorEastAsia" w:hAnsiTheme="minorHAnsi" w:cstheme="minorBidi"/>
              <w:noProof/>
              <w:lang w:eastAsia="lv-LV"/>
            </w:rPr>
          </w:pPr>
          <w:hyperlink w:anchor="_Toc26252158" w:history="1">
            <w:r w:rsidR="00652BE7" w:rsidRPr="004D2ED4">
              <w:rPr>
                <w:rStyle w:val="Hyperlink"/>
                <w:rFonts w:ascii="Times New Roman" w:hAnsi="Times New Roman"/>
                <w:noProof/>
              </w:rPr>
              <w:t>9.</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Kultūras informācijas sistēmas centra (KISC) datu publicēšana</w:t>
            </w:r>
            <w:r w:rsidR="00652BE7">
              <w:rPr>
                <w:noProof/>
                <w:webHidden/>
              </w:rPr>
              <w:tab/>
            </w:r>
            <w:r w:rsidR="00652BE7">
              <w:rPr>
                <w:noProof/>
                <w:webHidden/>
              </w:rPr>
              <w:fldChar w:fldCharType="begin"/>
            </w:r>
            <w:r w:rsidR="00652BE7">
              <w:rPr>
                <w:noProof/>
                <w:webHidden/>
              </w:rPr>
              <w:instrText xml:space="preserve"> PAGEREF _Toc26252158 \h </w:instrText>
            </w:r>
            <w:r w:rsidR="00652BE7">
              <w:rPr>
                <w:noProof/>
                <w:webHidden/>
              </w:rPr>
            </w:r>
            <w:r w:rsidR="00652BE7">
              <w:rPr>
                <w:noProof/>
                <w:webHidden/>
              </w:rPr>
              <w:fldChar w:fldCharType="separate"/>
            </w:r>
            <w:r w:rsidR="00652BE7">
              <w:rPr>
                <w:noProof/>
                <w:webHidden/>
              </w:rPr>
              <w:t>8</w:t>
            </w:r>
            <w:r w:rsidR="00652BE7">
              <w:rPr>
                <w:noProof/>
                <w:webHidden/>
              </w:rPr>
              <w:fldChar w:fldCharType="end"/>
            </w:r>
          </w:hyperlink>
        </w:p>
        <w:p w14:paraId="214055E3" w14:textId="4F8E9773" w:rsidR="00652BE7" w:rsidRDefault="001C5902">
          <w:pPr>
            <w:pStyle w:val="TOC1"/>
            <w:tabs>
              <w:tab w:val="left" w:pos="660"/>
              <w:tab w:val="right" w:leader="dot" w:pos="9358"/>
            </w:tabs>
            <w:rPr>
              <w:rFonts w:asciiTheme="minorHAnsi" w:eastAsiaTheme="minorEastAsia" w:hAnsiTheme="minorHAnsi" w:cstheme="minorBidi"/>
              <w:noProof/>
              <w:lang w:eastAsia="lv-LV"/>
            </w:rPr>
          </w:pPr>
          <w:hyperlink w:anchor="_Toc26252159" w:history="1">
            <w:r w:rsidR="00652BE7" w:rsidRPr="004D2ED4">
              <w:rPr>
                <w:rStyle w:val="Hyperlink"/>
                <w:rFonts w:ascii="Times New Roman" w:hAnsi="Times New Roman"/>
                <w:noProof/>
              </w:rPr>
              <w:t>10.</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Nacionālā Kultūras mantojuma pārvaldes (NKMP) datu publicēšana</w:t>
            </w:r>
            <w:r w:rsidR="00652BE7">
              <w:rPr>
                <w:noProof/>
                <w:webHidden/>
              </w:rPr>
              <w:tab/>
            </w:r>
            <w:r w:rsidR="00652BE7">
              <w:rPr>
                <w:noProof/>
                <w:webHidden/>
              </w:rPr>
              <w:fldChar w:fldCharType="begin"/>
            </w:r>
            <w:r w:rsidR="00652BE7">
              <w:rPr>
                <w:noProof/>
                <w:webHidden/>
              </w:rPr>
              <w:instrText xml:space="preserve"> PAGEREF _Toc26252159 \h </w:instrText>
            </w:r>
            <w:r w:rsidR="00652BE7">
              <w:rPr>
                <w:noProof/>
                <w:webHidden/>
              </w:rPr>
            </w:r>
            <w:r w:rsidR="00652BE7">
              <w:rPr>
                <w:noProof/>
                <w:webHidden/>
              </w:rPr>
              <w:fldChar w:fldCharType="separate"/>
            </w:r>
            <w:r w:rsidR="00652BE7">
              <w:rPr>
                <w:noProof/>
                <w:webHidden/>
              </w:rPr>
              <w:t>10</w:t>
            </w:r>
            <w:r w:rsidR="00652BE7">
              <w:rPr>
                <w:noProof/>
                <w:webHidden/>
              </w:rPr>
              <w:fldChar w:fldCharType="end"/>
            </w:r>
          </w:hyperlink>
        </w:p>
        <w:p w14:paraId="3C2BA2D5" w14:textId="20BC31C8" w:rsidR="00652BE7" w:rsidRDefault="001C5902">
          <w:pPr>
            <w:pStyle w:val="TOC1"/>
            <w:tabs>
              <w:tab w:val="left" w:pos="660"/>
              <w:tab w:val="right" w:leader="dot" w:pos="9358"/>
            </w:tabs>
            <w:rPr>
              <w:rFonts w:asciiTheme="minorHAnsi" w:eastAsiaTheme="minorEastAsia" w:hAnsiTheme="minorHAnsi" w:cstheme="minorBidi"/>
              <w:noProof/>
              <w:lang w:eastAsia="lv-LV"/>
            </w:rPr>
          </w:pPr>
          <w:hyperlink w:anchor="_Toc26252160" w:history="1">
            <w:r w:rsidR="00652BE7" w:rsidRPr="004D2ED4">
              <w:rPr>
                <w:rStyle w:val="Hyperlink"/>
                <w:rFonts w:ascii="Times New Roman" w:hAnsi="Times New Roman"/>
                <w:noProof/>
              </w:rPr>
              <w:t>11.</w:t>
            </w:r>
            <w:r w:rsidR="00652BE7">
              <w:rPr>
                <w:rFonts w:asciiTheme="minorHAnsi" w:eastAsiaTheme="minorEastAsia" w:hAnsiTheme="minorHAnsi" w:cstheme="minorBidi"/>
                <w:noProof/>
                <w:lang w:eastAsia="lv-LV"/>
              </w:rPr>
              <w:tab/>
            </w:r>
            <w:r w:rsidR="00652BE7" w:rsidRPr="004D2ED4">
              <w:rPr>
                <w:rStyle w:val="Hyperlink"/>
                <w:rFonts w:ascii="Times New Roman" w:hAnsi="Times New Roman"/>
                <w:noProof/>
              </w:rPr>
              <w:t>Apkopojums par iesniedzamajām datu kopām</w:t>
            </w:r>
            <w:r w:rsidR="00652BE7">
              <w:rPr>
                <w:noProof/>
                <w:webHidden/>
              </w:rPr>
              <w:tab/>
            </w:r>
            <w:r w:rsidR="00652BE7">
              <w:rPr>
                <w:noProof/>
                <w:webHidden/>
              </w:rPr>
              <w:fldChar w:fldCharType="begin"/>
            </w:r>
            <w:r w:rsidR="00652BE7">
              <w:rPr>
                <w:noProof/>
                <w:webHidden/>
              </w:rPr>
              <w:instrText xml:space="preserve"> PAGEREF _Toc26252160 \h </w:instrText>
            </w:r>
            <w:r w:rsidR="00652BE7">
              <w:rPr>
                <w:noProof/>
                <w:webHidden/>
              </w:rPr>
            </w:r>
            <w:r w:rsidR="00652BE7">
              <w:rPr>
                <w:noProof/>
                <w:webHidden/>
              </w:rPr>
              <w:fldChar w:fldCharType="separate"/>
            </w:r>
            <w:r w:rsidR="00652BE7">
              <w:rPr>
                <w:noProof/>
                <w:webHidden/>
              </w:rPr>
              <w:t>10</w:t>
            </w:r>
            <w:r w:rsidR="00652BE7">
              <w:rPr>
                <w:noProof/>
                <w:webHidden/>
              </w:rPr>
              <w:fldChar w:fldCharType="end"/>
            </w:r>
          </w:hyperlink>
        </w:p>
        <w:p w14:paraId="1AE65E00" w14:textId="7AAD0D2D" w:rsidR="00652BE7" w:rsidRDefault="00652BE7">
          <w:r>
            <w:rPr>
              <w:b/>
              <w:bCs/>
            </w:rPr>
            <w:fldChar w:fldCharType="end"/>
          </w:r>
        </w:p>
      </w:sdtContent>
    </w:sdt>
    <w:p w14:paraId="57AE9EFD" w14:textId="77777777" w:rsidR="00652BE7" w:rsidRDefault="00652BE7">
      <w:pPr>
        <w:widowControl/>
        <w:spacing w:after="0" w:line="240" w:lineRule="auto"/>
        <w:rPr>
          <w:rFonts w:ascii="Times New Roman" w:eastAsiaTheme="majorEastAsia" w:hAnsi="Times New Roman"/>
          <w:sz w:val="28"/>
          <w:szCs w:val="32"/>
        </w:rPr>
      </w:pPr>
      <w:bookmarkStart w:id="1" w:name="_Toc26252149"/>
      <w:r>
        <w:rPr>
          <w:rFonts w:ascii="Times New Roman" w:hAnsi="Times New Roman"/>
          <w:sz w:val="28"/>
        </w:rPr>
        <w:br w:type="page"/>
      </w:r>
    </w:p>
    <w:p w14:paraId="468B14A1" w14:textId="05B04E0B" w:rsidR="00D07118" w:rsidRPr="00652BE7" w:rsidRDefault="00D07118" w:rsidP="00652BE7">
      <w:pPr>
        <w:pStyle w:val="Heading1"/>
        <w:ind w:left="720"/>
        <w:jc w:val="center"/>
        <w:rPr>
          <w:rFonts w:ascii="Times New Roman" w:hAnsi="Times New Roman" w:cs="Times New Roman"/>
          <w:color w:val="auto"/>
          <w:sz w:val="28"/>
        </w:rPr>
      </w:pPr>
      <w:r w:rsidRPr="00652BE7">
        <w:rPr>
          <w:rFonts w:ascii="Times New Roman" w:hAnsi="Times New Roman" w:cs="Times New Roman"/>
          <w:color w:val="auto"/>
          <w:sz w:val="28"/>
        </w:rPr>
        <w:lastRenderedPageBreak/>
        <w:t>Ievads</w:t>
      </w:r>
      <w:bookmarkEnd w:id="1"/>
    </w:p>
    <w:p w14:paraId="4E62FCDA" w14:textId="77777777" w:rsidR="00D07118" w:rsidRDefault="00D07118" w:rsidP="00FC6F26">
      <w:pPr>
        <w:ind w:firstLine="562"/>
        <w:jc w:val="both"/>
        <w:rPr>
          <w:rFonts w:ascii="Times New Roman" w:hAnsi="Times New Roman"/>
          <w:sz w:val="24"/>
        </w:rPr>
      </w:pPr>
    </w:p>
    <w:p w14:paraId="68EB8BDB" w14:textId="77777777" w:rsidR="00A30829" w:rsidRPr="00FC6F26" w:rsidRDefault="00A30829" w:rsidP="00FC6F26">
      <w:pPr>
        <w:ind w:firstLine="562"/>
        <w:jc w:val="both"/>
        <w:rPr>
          <w:rFonts w:ascii="Times New Roman" w:hAnsi="Times New Roman"/>
          <w:sz w:val="24"/>
          <w:szCs w:val="24"/>
        </w:rPr>
      </w:pPr>
      <w:r w:rsidRPr="00FC6F26">
        <w:rPr>
          <w:rFonts w:ascii="Times New Roman" w:hAnsi="Times New Roman"/>
          <w:sz w:val="24"/>
        </w:rPr>
        <w:t>Informatīvais ziņojums</w:t>
      </w:r>
      <w:r w:rsidRPr="00FC6F26">
        <w:rPr>
          <w:rFonts w:ascii="Times New Roman" w:hAnsi="Times New Roman"/>
          <w:b/>
          <w:sz w:val="28"/>
          <w:szCs w:val="26"/>
        </w:rPr>
        <w:t xml:space="preserve"> </w:t>
      </w:r>
      <w:r w:rsidRPr="00FC6F26">
        <w:rPr>
          <w:rFonts w:ascii="Times New Roman" w:hAnsi="Times New Roman"/>
          <w:sz w:val="24"/>
        </w:rPr>
        <w:t xml:space="preserve">par prioritāri atveramajām datu kopām, kas ir valsts iestāžu rīcībā (turpmāk – informatīvais ziņojums) ir izstrādāts, </w:t>
      </w:r>
      <w:r w:rsidR="005D6DBD" w:rsidRPr="00FC6F26">
        <w:rPr>
          <w:rFonts w:ascii="Times New Roman" w:hAnsi="Times New Roman"/>
          <w:sz w:val="24"/>
        </w:rPr>
        <w:t xml:space="preserve">lai sekmētu </w:t>
      </w:r>
      <w:r w:rsidR="00FC6F26" w:rsidRPr="00FC6F26">
        <w:rPr>
          <w:rFonts w:ascii="Times New Roman" w:hAnsi="Times New Roman"/>
          <w:sz w:val="24"/>
        </w:rPr>
        <w:t xml:space="preserve">Latvijas Atvērto datu stratēģijā noteikto mērķi: </w:t>
      </w:r>
      <w:r w:rsidR="00FC6F26" w:rsidRPr="00FC6F26">
        <w:rPr>
          <w:rFonts w:ascii="Times New Roman" w:hAnsi="Times New Roman"/>
          <w:sz w:val="24"/>
          <w:szCs w:val="24"/>
        </w:rPr>
        <w:t xml:space="preserve">definēt sistemātisku pieeju vienotas un koordinētas politikas un saistītā regulējuma izstrādē, metodiskajā vadībā un īstenošanā, veicinot datu pieejamības nodrošināšanu atbilstoši “atvērts pēc noklusējuma” principam, sekmējot datos un tehnoloģijās balstītu inovāciju attīstību un to </w:t>
      </w:r>
      <w:proofErr w:type="spellStart"/>
      <w:r w:rsidR="00FC6F26" w:rsidRPr="00FC6F26">
        <w:rPr>
          <w:rFonts w:ascii="Times New Roman" w:hAnsi="Times New Roman"/>
          <w:sz w:val="24"/>
          <w:szCs w:val="24"/>
        </w:rPr>
        <w:t>komercializāciju</w:t>
      </w:r>
      <w:proofErr w:type="spellEnd"/>
      <w:r w:rsidR="00FC6F26" w:rsidRPr="00FC6F26">
        <w:rPr>
          <w:rFonts w:ascii="Times New Roman" w:hAnsi="Times New Roman"/>
          <w:sz w:val="24"/>
        </w:rPr>
        <w:t xml:space="preserve">. </w:t>
      </w:r>
      <w:r w:rsidRPr="00FC6F26">
        <w:rPr>
          <w:rFonts w:ascii="Times New Roman" w:hAnsi="Times New Roman"/>
          <w:sz w:val="24"/>
        </w:rPr>
        <w:t xml:space="preserve">Kā prioritāri atveramās datu kopas izvēlētas tās datu kopas, kuru publicēšana informācijas un komunikācijas tehnoloģiju (turpmāk – IKT) nozarei dod iespēju radīt jaunus pakalpojumus un produktus. Atveramās datu kopas noteiktas sadarbībā ar IKT nevalstiskajām organizācijām – Latvijas atvērto tehnoloģiju asociāciju un Latvijas informācijas un komunikācijas tehnoloģiju asociāciju. </w:t>
      </w:r>
    </w:p>
    <w:p w14:paraId="2F614AEB" w14:textId="77777777" w:rsidR="00A30829" w:rsidRPr="00A30829" w:rsidRDefault="00A30829" w:rsidP="00A30829">
      <w:pPr>
        <w:spacing w:after="0"/>
        <w:ind w:firstLine="709"/>
        <w:jc w:val="both"/>
        <w:rPr>
          <w:rFonts w:ascii="Times New Roman" w:hAnsi="Times New Roman"/>
        </w:rPr>
      </w:pPr>
    </w:p>
    <w:p w14:paraId="4283E499" w14:textId="409A0BFC" w:rsidR="00A30829" w:rsidRPr="00652BE7" w:rsidRDefault="00A30829" w:rsidP="00652BE7">
      <w:pPr>
        <w:pStyle w:val="Heading1"/>
        <w:numPr>
          <w:ilvl w:val="0"/>
          <w:numId w:val="27"/>
        </w:numPr>
        <w:jc w:val="center"/>
        <w:rPr>
          <w:rFonts w:ascii="Times New Roman" w:hAnsi="Times New Roman" w:cs="Times New Roman"/>
          <w:color w:val="auto"/>
          <w:sz w:val="28"/>
        </w:rPr>
      </w:pPr>
      <w:bookmarkStart w:id="2" w:name="_Toc26252150"/>
      <w:r w:rsidRPr="00652BE7">
        <w:rPr>
          <w:rStyle w:val="Heading1Char"/>
          <w:rFonts w:ascii="Times New Roman" w:hAnsi="Times New Roman" w:cs="Times New Roman"/>
          <w:color w:val="auto"/>
          <w:sz w:val="28"/>
        </w:rPr>
        <w:t>Pašreizējās</w:t>
      </w:r>
      <w:r w:rsidRPr="00652BE7">
        <w:rPr>
          <w:rFonts w:ascii="Times New Roman" w:hAnsi="Times New Roman" w:cs="Times New Roman"/>
          <w:color w:val="auto"/>
          <w:sz w:val="28"/>
        </w:rPr>
        <w:t xml:space="preserve"> situācijas apraksts</w:t>
      </w:r>
      <w:bookmarkEnd w:id="2"/>
    </w:p>
    <w:p w14:paraId="58E5A982" w14:textId="77777777" w:rsidR="00A30829" w:rsidRPr="00A30829" w:rsidRDefault="00A30829" w:rsidP="00A30829">
      <w:pPr>
        <w:pStyle w:val="ListParagraph"/>
        <w:ind w:left="1069"/>
        <w:jc w:val="both"/>
        <w:rPr>
          <w:b/>
        </w:rPr>
      </w:pPr>
    </w:p>
    <w:p w14:paraId="7DA4B797" w14:textId="421C8E5A" w:rsidR="00A30829" w:rsidRDefault="00A30829" w:rsidP="00A30829">
      <w:pPr>
        <w:spacing w:after="0"/>
        <w:ind w:firstLine="709"/>
        <w:jc w:val="both"/>
        <w:rPr>
          <w:rFonts w:ascii="Times New Roman" w:hAnsi="Times New Roman"/>
          <w:sz w:val="24"/>
          <w:szCs w:val="24"/>
        </w:rPr>
      </w:pPr>
      <w:r w:rsidRPr="00A30829">
        <w:rPr>
          <w:rFonts w:ascii="Times New Roman" w:hAnsi="Times New Roman"/>
          <w:sz w:val="24"/>
          <w:szCs w:val="24"/>
        </w:rPr>
        <w:t>Atbilstoši Starptautiskajai atvērto datu hartai</w:t>
      </w:r>
      <w:r w:rsidRPr="00A30829">
        <w:rPr>
          <w:rStyle w:val="FootnoteReference"/>
          <w:rFonts w:ascii="Times New Roman" w:hAnsi="Times New Roman"/>
          <w:sz w:val="24"/>
          <w:szCs w:val="24"/>
        </w:rPr>
        <w:footnoteReference w:id="1"/>
      </w:r>
      <w:r w:rsidRPr="00A30829">
        <w:rPr>
          <w:rFonts w:ascii="Times New Roman" w:hAnsi="Times New Roman"/>
          <w:sz w:val="24"/>
          <w:szCs w:val="24"/>
        </w:rPr>
        <w:t xml:space="preserve"> ikviena organizācija tiek aicināta digitālās informācijas uzturēšanas jomā ievērot principu “atvērts pēc noklusējuma”, publiski sniedzot informāciju sabiedrībai, izņemot gadījumus, kad </w:t>
      </w:r>
      <w:r w:rsidR="00E7219D">
        <w:rPr>
          <w:rFonts w:ascii="Times New Roman" w:hAnsi="Times New Roman"/>
          <w:sz w:val="24"/>
          <w:szCs w:val="24"/>
        </w:rPr>
        <w:t>normatīvie akti to aizliedz</w:t>
      </w:r>
      <w:r w:rsidRPr="00A30829">
        <w:rPr>
          <w:rFonts w:ascii="Times New Roman" w:hAnsi="Times New Roman"/>
          <w:sz w:val="24"/>
          <w:szCs w:val="24"/>
        </w:rPr>
        <w:t>. Pēc Eiropas Komisijas viedokļa datu atvēršana var ievērojami uzlabot valsts administrācijas caurskatāmību un veicināt iedzīvotāju sociālās un politiskās aktivitātes izaugsmi. 2014.-2020. gada attīstības plānošanas periodā Publiskās pārvaldes datu pieejamība atvērto datu veidā ir viens no e-pārvaldes politikas pamatprincipiem.</w:t>
      </w:r>
    </w:p>
    <w:p w14:paraId="3324141E" w14:textId="2F82C09B" w:rsidR="00E95366" w:rsidRDefault="00E95366">
      <w:pPr>
        <w:spacing w:after="0"/>
        <w:ind w:firstLine="709"/>
        <w:jc w:val="both"/>
        <w:rPr>
          <w:rFonts w:ascii="Times New Roman" w:hAnsi="Times New Roman"/>
          <w:sz w:val="24"/>
          <w:szCs w:val="24"/>
        </w:rPr>
      </w:pPr>
      <w:r w:rsidRPr="00D67C28">
        <w:rPr>
          <w:rFonts w:ascii="Times New Roman" w:hAnsi="Times New Roman"/>
          <w:sz w:val="24"/>
          <w:szCs w:val="24"/>
        </w:rPr>
        <w:t xml:space="preserve">Kā norādīts Eiropas Komisijas Publiskā sektora informācijas </w:t>
      </w:r>
      <w:proofErr w:type="spellStart"/>
      <w:r w:rsidRPr="00D67C28">
        <w:rPr>
          <w:rFonts w:ascii="Times New Roman" w:hAnsi="Times New Roman"/>
          <w:sz w:val="24"/>
          <w:szCs w:val="24"/>
        </w:rPr>
        <w:t>atkalizmantošanas</w:t>
      </w:r>
      <w:proofErr w:type="spellEnd"/>
      <w:r w:rsidRPr="00D67C28">
        <w:rPr>
          <w:rFonts w:ascii="Times New Roman" w:hAnsi="Times New Roman"/>
          <w:sz w:val="24"/>
          <w:szCs w:val="24"/>
        </w:rPr>
        <w:t xml:space="preserve"> direktīvas</w:t>
      </w:r>
      <w:r w:rsidR="00652BE7">
        <w:rPr>
          <w:rStyle w:val="FootnoteReference"/>
          <w:rFonts w:ascii="Times New Roman" w:hAnsi="Times New Roman"/>
          <w:sz w:val="24"/>
          <w:szCs w:val="24"/>
        </w:rPr>
        <w:footnoteReference w:id="2"/>
      </w:r>
      <w:r w:rsidR="00E7219D">
        <w:rPr>
          <w:rFonts w:ascii="Times New Roman" w:hAnsi="Times New Roman"/>
          <w:sz w:val="24"/>
          <w:szCs w:val="24"/>
        </w:rPr>
        <w:t xml:space="preserve"> (ES, 2019/1024, 2019.gada 20.jūnijs)</w:t>
      </w:r>
      <w:r w:rsidRPr="00D67C28">
        <w:rPr>
          <w:rFonts w:ascii="Times New Roman" w:hAnsi="Times New Roman"/>
          <w:sz w:val="24"/>
          <w:szCs w:val="24"/>
        </w:rPr>
        <w:t xml:space="preserve"> </w:t>
      </w:r>
      <w:r w:rsidR="008C5045">
        <w:rPr>
          <w:rFonts w:ascii="Times New Roman" w:hAnsi="Times New Roman"/>
          <w:sz w:val="24"/>
          <w:szCs w:val="24"/>
        </w:rPr>
        <w:t xml:space="preserve">(turpmāk – Direktīva) </w:t>
      </w:r>
      <w:r w:rsidRPr="00D67C28">
        <w:rPr>
          <w:rFonts w:ascii="Times New Roman" w:hAnsi="Times New Roman"/>
          <w:sz w:val="24"/>
          <w:szCs w:val="24"/>
        </w:rPr>
        <w:t xml:space="preserve">ietekmes </w:t>
      </w:r>
      <w:proofErr w:type="spellStart"/>
      <w:r w:rsidRPr="00D67C28">
        <w:rPr>
          <w:rFonts w:ascii="Times New Roman" w:hAnsi="Times New Roman"/>
          <w:sz w:val="24"/>
          <w:szCs w:val="24"/>
        </w:rPr>
        <w:t>izvērtējumā</w:t>
      </w:r>
      <w:proofErr w:type="spellEnd"/>
      <w:r w:rsidRPr="00D67C28">
        <w:rPr>
          <w:rStyle w:val="FootnoteReference"/>
          <w:rFonts w:ascii="Times New Roman" w:hAnsi="Times New Roman"/>
          <w:sz w:val="24"/>
          <w:szCs w:val="24"/>
        </w:rPr>
        <w:footnoteReference w:id="3"/>
      </w:r>
      <w:r w:rsidRPr="00D67C28">
        <w:rPr>
          <w:rFonts w:ascii="Times New Roman" w:hAnsi="Times New Roman"/>
          <w:sz w:val="24"/>
          <w:szCs w:val="24"/>
        </w:rPr>
        <w:t xml:space="preserve">, Eiropas datu tirgus aug strauji un jau tuvākajos gados pie labvēlīgiem apstākļiem var sasniegt pat 4% no visa Eiropas </w:t>
      </w:r>
      <w:r w:rsidR="00E7219D">
        <w:rPr>
          <w:rFonts w:ascii="Times New Roman" w:hAnsi="Times New Roman"/>
          <w:sz w:val="24"/>
          <w:szCs w:val="24"/>
        </w:rPr>
        <w:t>Savienības</w:t>
      </w:r>
      <w:r w:rsidR="00652BE7">
        <w:rPr>
          <w:rFonts w:ascii="Times New Roman" w:hAnsi="Times New Roman"/>
          <w:sz w:val="24"/>
          <w:szCs w:val="24"/>
        </w:rPr>
        <w:t xml:space="preserve"> (turpmāk – ES)</w:t>
      </w:r>
      <w:r w:rsidR="00E7219D">
        <w:rPr>
          <w:rFonts w:ascii="Times New Roman" w:hAnsi="Times New Roman"/>
          <w:sz w:val="24"/>
          <w:szCs w:val="24"/>
        </w:rPr>
        <w:t xml:space="preserve"> </w:t>
      </w:r>
      <w:r w:rsidRPr="00D67C28">
        <w:rPr>
          <w:rFonts w:ascii="Times New Roman" w:hAnsi="Times New Roman"/>
          <w:sz w:val="24"/>
          <w:szCs w:val="24"/>
        </w:rPr>
        <w:t xml:space="preserve">kopprodukta. Tā kā publiskais sektors ir viens no tautsaimniecības datu intensīvākajiem sektoriem, ES atvērto datu tirgus ir galvenais kopējās ES datu ekonomikas struktūras elements. Atvērto datu potenciāls var palielināt valsts pārvaldes darbības efektivitāti, uzlabojot politikas veidošanu, tādā veidā </w:t>
      </w:r>
      <w:r w:rsidR="00E7219D">
        <w:rPr>
          <w:rFonts w:ascii="Times New Roman" w:hAnsi="Times New Roman"/>
          <w:sz w:val="24"/>
          <w:szCs w:val="24"/>
        </w:rPr>
        <w:t xml:space="preserve">līdz 2020.gadam </w:t>
      </w:r>
      <w:r w:rsidRPr="00D67C28">
        <w:rPr>
          <w:rFonts w:ascii="Times New Roman" w:hAnsi="Times New Roman"/>
          <w:sz w:val="24"/>
          <w:szCs w:val="24"/>
        </w:rPr>
        <w:t xml:space="preserve">ietaupot EUR 1,7 miljardus 28 </w:t>
      </w:r>
      <w:r w:rsidR="008C5045" w:rsidRPr="00D67C28">
        <w:rPr>
          <w:rFonts w:ascii="Times New Roman" w:hAnsi="Times New Roman"/>
          <w:sz w:val="24"/>
          <w:szCs w:val="24"/>
        </w:rPr>
        <w:t xml:space="preserve">ES </w:t>
      </w:r>
      <w:r w:rsidRPr="00D67C28">
        <w:rPr>
          <w:rFonts w:ascii="Times New Roman" w:hAnsi="Times New Roman"/>
          <w:sz w:val="24"/>
          <w:szCs w:val="24"/>
        </w:rPr>
        <w:t>valstu pārvaldes iestādēm.</w:t>
      </w:r>
    </w:p>
    <w:p w14:paraId="0A248AE8" w14:textId="5D75939E" w:rsidR="00E95366" w:rsidRPr="00E95366" w:rsidRDefault="00E95366" w:rsidP="00E95366">
      <w:pPr>
        <w:spacing w:after="0"/>
        <w:ind w:firstLine="709"/>
        <w:contextualSpacing/>
        <w:jc w:val="both"/>
        <w:rPr>
          <w:rFonts w:ascii="Times New Roman" w:hAnsi="Times New Roman"/>
          <w:sz w:val="24"/>
        </w:rPr>
      </w:pPr>
      <w:r w:rsidRPr="00E95366">
        <w:rPr>
          <w:rFonts w:ascii="Times New Roman" w:hAnsi="Times New Roman"/>
          <w:sz w:val="24"/>
        </w:rPr>
        <w:t xml:space="preserve">Šobrīd Eiropas Komisija ir uzsākusi darbu, lai atkārtoti veiktu grozījumus Direktīvā, paredzot, ka turpmāk direktīva attiektos arī uz valsts un pašvaldību uzņēmumiem, kapitālsabiedrībām. Izstrādātie Direktīvas grozījumi paredz arī noteikt visām </w:t>
      </w:r>
      <w:r w:rsidR="0030577D">
        <w:rPr>
          <w:rFonts w:ascii="Times New Roman" w:hAnsi="Times New Roman"/>
          <w:sz w:val="24"/>
        </w:rPr>
        <w:t>ES</w:t>
      </w:r>
      <w:r w:rsidRPr="00E95366">
        <w:rPr>
          <w:rFonts w:ascii="Times New Roman" w:hAnsi="Times New Roman"/>
          <w:sz w:val="24"/>
        </w:rPr>
        <w:t xml:space="preserve"> dalībvalstīm harmonizētu konkrētu datu sarakstu vai nozares, kuru rīcībā esošos datus padarīt publiski pieejamus. </w:t>
      </w:r>
    </w:p>
    <w:p w14:paraId="36F1AF1D" w14:textId="02AD0C83" w:rsidR="00E95366" w:rsidRPr="00E95366" w:rsidRDefault="00E95366" w:rsidP="00E95366">
      <w:pPr>
        <w:spacing w:after="0"/>
        <w:ind w:firstLine="709"/>
        <w:contextualSpacing/>
        <w:jc w:val="both"/>
        <w:rPr>
          <w:rFonts w:ascii="Times New Roman" w:hAnsi="Times New Roman"/>
          <w:sz w:val="24"/>
          <w:szCs w:val="24"/>
        </w:rPr>
      </w:pPr>
      <w:r w:rsidRPr="00E95366">
        <w:rPr>
          <w:rFonts w:ascii="Times New Roman" w:hAnsi="Times New Roman"/>
          <w:sz w:val="24"/>
          <w:szCs w:val="24"/>
        </w:rPr>
        <w:t xml:space="preserve">Valsts sektora datu </w:t>
      </w:r>
      <w:proofErr w:type="spellStart"/>
      <w:r w:rsidRPr="00E95366">
        <w:rPr>
          <w:rFonts w:ascii="Times New Roman" w:hAnsi="Times New Roman"/>
          <w:sz w:val="24"/>
          <w:szCs w:val="24"/>
        </w:rPr>
        <w:t>atkalizmantošanai</w:t>
      </w:r>
      <w:proofErr w:type="spellEnd"/>
      <w:r w:rsidRPr="00E95366">
        <w:rPr>
          <w:rFonts w:ascii="Times New Roman" w:hAnsi="Times New Roman"/>
          <w:sz w:val="24"/>
          <w:szCs w:val="24"/>
        </w:rPr>
        <w:t xml:space="preserve"> komerciāliem vai nekomerciāliem mērķiem ir pilnībā jāatbilst </w:t>
      </w:r>
      <w:r w:rsidR="0030577D">
        <w:rPr>
          <w:rFonts w:ascii="Times New Roman" w:hAnsi="Times New Roman"/>
          <w:sz w:val="24"/>
          <w:szCs w:val="24"/>
        </w:rPr>
        <w:t>ES</w:t>
      </w:r>
      <w:r w:rsidRPr="00E95366">
        <w:rPr>
          <w:rFonts w:ascii="Times New Roman" w:hAnsi="Times New Roman"/>
          <w:sz w:val="24"/>
          <w:szCs w:val="24"/>
        </w:rPr>
        <w:t xml:space="preserve"> un tās dalībvalstu nacionālajiem privātuma </w:t>
      </w:r>
      <w:r w:rsidR="0030577D">
        <w:rPr>
          <w:rFonts w:ascii="Times New Roman" w:hAnsi="Times New Roman"/>
          <w:sz w:val="24"/>
          <w:szCs w:val="24"/>
        </w:rPr>
        <w:t xml:space="preserve">aizsardzības </w:t>
      </w:r>
      <w:r w:rsidRPr="00E95366">
        <w:rPr>
          <w:rFonts w:ascii="Times New Roman" w:hAnsi="Times New Roman"/>
          <w:sz w:val="24"/>
          <w:szCs w:val="24"/>
        </w:rPr>
        <w:t xml:space="preserve">tiesību aktiem. Atklātu pārvaldes iestāžu datu izmantošanas veicināšanas mērķi un personas datu aizsargāšana var būt savstarpēji pastiprinoši, ja tiek izmantota </w:t>
      </w:r>
      <w:proofErr w:type="spellStart"/>
      <w:r w:rsidRPr="00E95366">
        <w:rPr>
          <w:rFonts w:ascii="Times New Roman" w:hAnsi="Times New Roman"/>
          <w:sz w:val="24"/>
          <w:szCs w:val="24"/>
        </w:rPr>
        <w:t>pro</w:t>
      </w:r>
      <w:proofErr w:type="spellEnd"/>
      <w:r w:rsidR="0030577D">
        <w:rPr>
          <w:rFonts w:ascii="Times New Roman" w:hAnsi="Times New Roman"/>
          <w:sz w:val="24"/>
          <w:szCs w:val="24"/>
        </w:rPr>
        <w:t>-</w:t>
      </w:r>
      <w:r w:rsidRPr="00E95366">
        <w:rPr>
          <w:rFonts w:ascii="Times New Roman" w:hAnsi="Times New Roman"/>
          <w:sz w:val="24"/>
          <w:szCs w:val="24"/>
        </w:rPr>
        <w:t xml:space="preserve">aktīva un apzināta informācijas pārvaldība valsts </w:t>
      </w:r>
      <w:r w:rsidRPr="00E95366">
        <w:rPr>
          <w:rFonts w:ascii="Times New Roman" w:hAnsi="Times New Roman"/>
          <w:sz w:val="24"/>
          <w:szCs w:val="24"/>
        </w:rPr>
        <w:lastRenderedPageBreak/>
        <w:t>sektorā</w:t>
      </w:r>
      <w:r w:rsidRPr="00E95366">
        <w:rPr>
          <w:rStyle w:val="FootnoteReference"/>
          <w:rFonts w:ascii="Times New Roman" w:hAnsi="Times New Roman"/>
          <w:sz w:val="24"/>
          <w:szCs w:val="24"/>
        </w:rPr>
        <w:footnoteReference w:id="4"/>
      </w:r>
      <w:r w:rsidRPr="00E95366">
        <w:rPr>
          <w:rFonts w:ascii="Times New Roman" w:hAnsi="Times New Roman"/>
          <w:sz w:val="24"/>
          <w:szCs w:val="24"/>
        </w:rPr>
        <w:t>.</w:t>
      </w:r>
    </w:p>
    <w:p w14:paraId="70D7B44A" w14:textId="76872BB8" w:rsidR="00A30829" w:rsidRDefault="00652BE7" w:rsidP="00A30829">
      <w:pPr>
        <w:spacing w:after="0"/>
        <w:ind w:firstLine="709"/>
        <w:jc w:val="both"/>
        <w:rPr>
          <w:rFonts w:ascii="Times New Roman" w:hAnsi="Times New Roman"/>
          <w:sz w:val="24"/>
          <w:szCs w:val="24"/>
        </w:rPr>
      </w:pPr>
      <w:r>
        <w:rPr>
          <w:rFonts w:ascii="Times New Roman" w:hAnsi="Times New Roman"/>
          <w:sz w:val="24"/>
          <w:szCs w:val="24"/>
        </w:rPr>
        <w:t>ES</w:t>
      </w:r>
      <w:r w:rsidR="00E7219D">
        <w:rPr>
          <w:rFonts w:ascii="Times New Roman" w:hAnsi="Times New Roman"/>
          <w:sz w:val="24"/>
          <w:szCs w:val="24"/>
        </w:rPr>
        <w:t xml:space="preserve"> dalībvalstu p</w:t>
      </w:r>
      <w:r w:rsidR="00A30829" w:rsidRPr="00A30829">
        <w:rPr>
          <w:rFonts w:ascii="Times New Roman" w:hAnsi="Times New Roman"/>
          <w:sz w:val="24"/>
          <w:szCs w:val="24"/>
        </w:rPr>
        <w:t xml:space="preserve">ubliskajā pārvaldē tikai atsevišķos izņēmuma gadījumos tiek nodrošinātas atvērto datu izmantošanas iespējas. Nodrošinot valsts rīcībā esošo datu brīvu pieejamību, tiktu radīti priekšnoteikumi privātā, nevalstiskā un zinātniskā sektora iespējamai sadarbībai, kas balstītos uz publiskās pārvaldes radītiem datiem. Tā rezultātā tiktu radīti jauni e-pakalpojumi un veicināta IKT produktu attīstība, kā arī iespēja pastarpinātai situācijas analīzei un izpētei, tādejādi sekmējot valsts ekonomisko izaugsmi, darbavietu radīšanu, kā arī sociālo procesu modelēšanu un paredzēšanu nākotnē. </w:t>
      </w:r>
    </w:p>
    <w:p w14:paraId="1E2C6309" w14:textId="43C5B796" w:rsidR="000E7CE9" w:rsidRDefault="000E7CE9" w:rsidP="000E7CE9">
      <w:pPr>
        <w:spacing w:after="0"/>
        <w:ind w:firstLine="709"/>
        <w:contextualSpacing/>
        <w:jc w:val="both"/>
        <w:rPr>
          <w:rFonts w:ascii="Times New Roman" w:hAnsi="Times New Roman"/>
          <w:sz w:val="24"/>
          <w:szCs w:val="24"/>
        </w:rPr>
      </w:pPr>
      <w:r w:rsidRPr="000E7CE9">
        <w:rPr>
          <w:rFonts w:ascii="Times New Roman" w:hAnsi="Times New Roman"/>
          <w:sz w:val="24"/>
          <w:szCs w:val="24"/>
        </w:rPr>
        <w:t xml:space="preserve">Informācijas atklātības likums nosaka, ka atvērtie dati ir “brīvi pieejama bezmaksas informācija bez </w:t>
      </w:r>
      <w:proofErr w:type="spellStart"/>
      <w:r w:rsidRPr="000E7CE9">
        <w:rPr>
          <w:rFonts w:ascii="Times New Roman" w:hAnsi="Times New Roman"/>
          <w:sz w:val="24"/>
          <w:szCs w:val="24"/>
        </w:rPr>
        <w:t>atkalizmantošanas</w:t>
      </w:r>
      <w:proofErr w:type="spellEnd"/>
      <w:r w:rsidRPr="000E7CE9">
        <w:rPr>
          <w:rFonts w:ascii="Times New Roman" w:hAnsi="Times New Roman"/>
          <w:sz w:val="24"/>
          <w:szCs w:val="24"/>
        </w:rPr>
        <w:t xml:space="preserve"> ierobežojumiem, kuru var rediģēt un automatizēti apstrādāt ar brīvi pieejamām lietojumprogrammām”. Savukārt, Ministru kabineta 2018.gada 25.septembra noteikumu Nr.611 “Kārtībā, kādā iestādes ievieto informāciju internetā” 28.punkts nosaka, ka </w:t>
      </w:r>
      <w:r w:rsidRPr="00652BE7">
        <w:rPr>
          <w:rFonts w:ascii="Times New Roman" w:hAnsi="Times New Roman"/>
          <w:i/>
          <w:sz w:val="24"/>
          <w:szCs w:val="24"/>
        </w:rPr>
        <w:t>“</w:t>
      </w:r>
      <w:r w:rsidR="0030577D" w:rsidRPr="00652BE7">
        <w:rPr>
          <w:rFonts w:ascii="Times New Roman" w:hAnsi="Times New Roman"/>
          <w:i/>
          <w:sz w:val="24"/>
          <w:szCs w:val="24"/>
        </w:rPr>
        <w:t>[..]</w:t>
      </w:r>
      <w:r w:rsidRPr="00652BE7">
        <w:rPr>
          <w:rFonts w:ascii="Times New Roman" w:hAnsi="Times New Roman"/>
          <w:i/>
          <w:sz w:val="24"/>
          <w:szCs w:val="24"/>
        </w:rPr>
        <w:t>iestāde tās rīcībā esošos atvērtos datus mašīnlasāmā formā kopā ar metadatiem vai tikai datu kopas metadatus publicē Latvijas Atvērto datu portālā (</w:t>
      </w:r>
      <w:hyperlink r:id="rId8" w:history="1">
        <w:r w:rsidRPr="00652BE7">
          <w:rPr>
            <w:rStyle w:val="Hyperlink"/>
            <w:rFonts w:ascii="Times New Roman" w:hAnsi="Times New Roman"/>
            <w:i/>
            <w:sz w:val="24"/>
            <w:szCs w:val="24"/>
          </w:rPr>
          <w:t>https://data.gov.lv)</w:t>
        </w:r>
      </w:hyperlink>
      <w:r w:rsidR="0030577D" w:rsidRPr="00652BE7">
        <w:rPr>
          <w:rStyle w:val="Hyperlink"/>
          <w:rFonts w:ascii="Times New Roman" w:hAnsi="Times New Roman"/>
          <w:i/>
          <w:sz w:val="24"/>
          <w:szCs w:val="24"/>
        </w:rPr>
        <w:t xml:space="preserve"> [..]</w:t>
      </w:r>
      <w:r w:rsidRPr="000E7CE9">
        <w:rPr>
          <w:rFonts w:ascii="Times New Roman" w:hAnsi="Times New Roman"/>
          <w:sz w:val="24"/>
          <w:szCs w:val="24"/>
        </w:rPr>
        <w:t>”. Ja iestādes rīcībā ir atvērtie ģeotelpiskie dati, tā tos publicē valsts vienotajā ģeotelpiskās informācijas portālā (</w:t>
      </w:r>
      <w:hyperlink r:id="rId9" w:history="1">
        <w:r w:rsidRPr="000E7CE9">
          <w:rPr>
            <w:rStyle w:val="Hyperlink"/>
            <w:rFonts w:ascii="Times New Roman" w:hAnsi="Times New Roman"/>
            <w:sz w:val="24"/>
            <w:szCs w:val="24"/>
          </w:rPr>
          <w:t>https://geolatvija.lv</w:t>
        </w:r>
      </w:hyperlink>
      <w:r w:rsidRPr="000E7CE9">
        <w:rPr>
          <w:rFonts w:ascii="Times New Roman" w:hAnsi="Times New Roman"/>
          <w:sz w:val="24"/>
          <w:szCs w:val="24"/>
        </w:rPr>
        <w:t>). Lai gan normatīvais regulējums ir spēkā salīdzinoši nesen, atsevišķas iestādes, saskatot atvērto datu sniegtās iespējas, uzsāka to rīcībā esošo datu publicēšanu atvērto datu formātā jau daudz agrāk. Iepirkumu uzraudzības birojs</w:t>
      </w:r>
      <w:r w:rsidRPr="000E7CE9">
        <w:rPr>
          <w:rStyle w:val="FootnoteReference"/>
          <w:rFonts w:ascii="Times New Roman" w:hAnsi="Times New Roman"/>
          <w:sz w:val="24"/>
          <w:szCs w:val="24"/>
        </w:rPr>
        <w:footnoteReference w:id="5"/>
      </w:r>
      <w:r w:rsidRPr="000E7CE9">
        <w:rPr>
          <w:rFonts w:ascii="Times New Roman" w:hAnsi="Times New Roman"/>
          <w:sz w:val="24"/>
          <w:szCs w:val="24"/>
        </w:rPr>
        <w:t xml:space="preserve"> publicē informāciju par iepirkumiem par periodu, sākot no 2013.gada 1.janvār</w:t>
      </w:r>
      <w:r w:rsidR="0030577D">
        <w:rPr>
          <w:rFonts w:ascii="Times New Roman" w:hAnsi="Times New Roman"/>
          <w:sz w:val="24"/>
          <w:szCs w:val="24"/>
        </w:rPr>
        <w:t>a</w:t>
      </w:r>
      <w:r w:rsidR="00E7219D">
        <w:rPr>
          <w:rFonts w:ascii="Times New Roman" w:hAnsi="Times New Roman"/>
          <w:sz w:val="24"/>
          <w:szCs w:val="24"/>
        </w:rPr>
        <w:t>, kopš 2017.gada</w:t>
      </w:r>
      <w:r w:rsidRPr="000E7CE9">
        <w:rPr>
          <w:rFonts w:ascii="Times New Roman" w:hAnsi="Times New Roman"/>
          <w:sz w:val="24"/>
          <w:szCs w:val="24"/>
        </w:rPr>
        <w:t xml:space="preserve"> atvērtos datus publicē arī Uzņēmumu reģistrs</w:t>
      </w:r>
      <w:r w:rsidRPr="000E7CE9">
        <w:rPr>
          <w:rStyle w:val="FootnoteReference"/>
          <w:rFonts w:ascii="Times New Roman" w:hAnsi="Times New Roman"/>
          <w:sz w:val="24"/>
          <w:szCs w:val="24"/>
        </w:rPr>
        <w:footnoteReference w:id="6"/>
      </w:r>
      <w:r w:rsidRPr="000E7CE9">
        <w:rPr>
          <w:rFonts w:ascii="Times New Roman" w:hAnsi="Times New Roman"/>
          <w:sz w:val="24"/>
          <w:szCs w:val="24"/>
        </w:rPr>
        <w:t>, kopš 2015.gada - Rīgas dome</w:t>
      </w:r>
      <w:r w:rsidRPr="000E7CE9">
        <w:rPr>
          <w:rStyle w:val="FootnoteReference"/>
          <w:rFonts w:ascii="Times New Roman" w:hAnsi="Times New Roman"/>
          <w:sz w:val="24"/>
          <w:szCs w:val="24"/>
        </w:rPr>
        <w:footnoteReference w:id="7"/>
      </w:r>
      <w:r w:rsidRPr="000E7CE9">
        <w:rPr>
          <w:rFonts w:ascii="Times New Roman" w:hAnsi="Times New Roman"/>
          <w:sz w:val="24"/>
          <w:szCs w:val="24"/>
        </w:rPr>
        <w:t xml:space="preserve">. </w:t>
      </w:r>
    </w:p>
    <w:p w14:paraId="27E01654" w14:textId="6997AC2E" w:rsidR="000E7CE9" w:rsidRPr="000E7CE9" w:rsidRDefault="000E7CE9" w:rsidP="000E7CE9">
      <w:pPr>
        <w:spacing w:after="0"/>
        <w:ind w:firstLine="709"/>
        <w:contextualSpacing/>
        <w:jc w:val="both"/>
        <w:rPr>
          <w:rFonts w:ascii="Times New Roman" w:hAnsi="Times New Roman"/>
          <w:sz w:val="24"/>
        </w:rPr>
      </w:pPr>
      <w:r w:rsidRPr="000E7CE9">
        <w:rPr>
          <w:rFonts w:ascii="Times New Roman" w:hAnsi="Times New Roman"/>
          <w:sz w:val="24"/>
        </w:rPr>
        <w:t xml:space="preserve">Lai sekmētu atvērto datu koncepta attīstību un tā pielietojumu valsts pārvaldē </w:t>
      </w:r>
      <w:r w:rsidR="0030577D">
        <w:rPr>
          <w:rFonts w:ascii="Times New Roman" w:hAnsi="Times New Roman"/>
          <w:sz w:val="24"/>
        </w:rPr>
        <w:t xml:space="preserve">Vides aizsardzības un reģionālās attīstības ministrija (turpmāk – </w:t>
      </w:r>
      <w:r w:rsidRPr="000E7CE9">
        <w:rPr>
          <w:rFonts w:ascii="Times New Roman" w:hAnsi="Times New Roman"/>
          <w:sz w:val="24"/>
        </w:rPr>
        <w:t>VARAM</w:t>
      </w:r>
      <w:r w:rsidR="0030577D">
        <w:rPr>
          <w:rFonts w:ascii="Times New Roman" w:hAnsi="Times New Roman"/>
          <w:sz w:val="24"/>
        </w:rPr>
        <w:t>)</w:t>
      </w:r>
      <w:r w:rsidRPr="000E7CE9">
        <w:rPr>
          <w:rFonts w:ascii="Times New Roman" w:hAnsi="Times New Roman"/>
          <w:sz w:val="24"/>
        </w:rPr>
        <w:t>, sadarbībā ar Valsts administrācijas skolu projekta Nr.3.4.2.0/15/I/001 “Valsts pārvaldes cilvēkresursu profesionālā pilnveide labāka regulējuma izstrādē mazo un vidējo komersantu atbalsta jomā” ietvaros rīkoja mācību pasākumu “Ievads izpratnei darbam ar atvērtajiem datiem”</w:t>
      </w:r>
      <w:r w:rsidRPr="000E7CE9">
        <w:rPr>
          <w:rStyle w:val="FootnoteReference"/>
          <w:rFonts w:ascii="Times New Roman" w:hAnsi="Times New Roman"/>
          <w:sz w:val="24"/>
        </w:rPr>
        <w:footnoteReference w:id="8"/>
      </w:r>
      <w:r w:rsidRPr="000E7CE9">
        <w:rPr>
          <w:rFonts w:ascii="Times New Roman" w:hAnsi="Times New Roman"/>
          <w:sz w:val="24"/>
        </w:rPr>
        <w:t xml:space="preserve">.  Mācību pasākuma mērķis bija sniegt informāciju par atvērtajiem datiem (t.sk. nozīmi, pieejamību, pielietojumu, publicēšanu/komunicēšanu, labajiem prakses piemēriem), lai veicinātu atvērto datu kā resursa pieejamību Latvijas sabiedrībai. </w:t>
      </w:r>
    </w:p>
    <w:p w14:paraId="5AC567FC" w14:textId="528FE2D1" w:rsidR="000E7CE9" w:rsidRPr="00E7219D" w:rsidRDefault="000E7CE9" w:rsidP="000E7CE9">
      <w:pPr>
        <w:spacing w:after="0"/>
        <w:ind w:firstLine="709"/>
        <w:contextualSpacing/>
        <w:jc w:val="both"/>
        <w:rPr>
          <w:rFonts w:ascii="Times New Roman" w:hAnsi="Times New Roman"/>
          <w:sz w:val="24"/>
          <w:szCs w:val="24"/>
        </w:rPr>
      </w:pPr>
      <w:r w:rsidRPr="000E7CE9">
        <w:rPr>
          <w:rFonts w:ascii="Times New Roman" w:hAnsi="Times New Roman"/>
          <w:sz w:val="24"/>
        </w:rPr>
        <w:t xml:space="preserve">Ņemot vērā atvērto datu nozīmības pieaugumu pēdējos gados un to, ka iestāžu rīcībā esošo datu apjoms arvien pieaug, VARAM sadarbībā ar Valsts administrācijas skolu plāno organizēt līdzīga veida informatīvos seminārus. Lai informatīvajiem semināriem būtu augstāka pievienotā vērtība, kursa satura izstrādē un semināru vadīšanā tiks iesaistīta gan Valsts reģionālās attīstības aģentūra un </w:t>
      </w:r>
      <w:r w:rsidR="00E7219D">
        <w:rPr>
          <w:rFonts w:ascii="Times New Roman" w:hAnsi="Times New Roman"/>
          <w:sz w:val="24"/>
        </w:rPr>
        <w:t xml:space="preserve">Latvijas Atvēro tehnoloģiju asociācija (turpmāk – </w:t>
      </w:r>
      <w:r w:rsidRPr="000E7CE9">
        <w:rPr>
          <w:rFonts w:ascii="Times New Roman" w:hAnsi="Times New Roman"/>
          <w:sz w:val="24"/>
        </w:rPr>
        <w:t>L</w:t>
      </w:r>
      <w:r w:rsidR="00E7219D">
        <w:rPr>
          <w:rFonts w:ascii="Times New Roman" w:hAnsi="Times New Roman"/>
          <w:sz w:val="24"/>
        </w:rPr>
        <w:t>A</w:t>
      </w:r>
      <w:r w:rsidRPr="000E7CE9">
        <w:rPr>
          <w:rFonts w:ascii="Times New Roman" w:hAnsi="Times New Roman"/>
          <w:sz w:val="24"/>
        </w:rPr>
        <w:t>TA</w:t>
      </w:r>
      <w:r w:rsidR="00E7219D">
        <w:rPr>
          <w:rFonts w:ascii="Times New Roman" w:hAnsi="Times New Roman"/>
          <w:sz w:val="24"/>
        </w:rPr>
        <w:t>)</w:t>
      </w:r>
      <w:r w:rsidRPr="000E7CE9">
        <w:rPr>
          <w:rFonts w:ascii="Times New Roman" w:hAnsi="Times New Roman"/>
          <w:sz w:val="24"/>
        </w:rPr>
        <w:t xml:space="preserve"> un </w:t>
      </w:r>
      <w:r w:rsidR="00E7219D">
        <w:rPr>
          <w:rFonts w:ascii="Times New Roman" w:hAnsi="Times New Roman"/>
          <w:sz w:val="24"/>
        </w:rPr>
        <w:t xml:space="preserve">Latvijas Informācijas un komunikāciju </w:t>
      </w:r>
      <w:r w:rsidR="00E7219D" w:rsidRPr="00E7219D">
        <w:rPr>
          <w:rFonts w:ascii="Times New Roman" w:hAnsi="Times New Roman"/>
          <w:sz w:val="24"/>
          <w:szCs w:val="24"/>
        </w:rPr>
        <w:t>tehnoloģiju asociācija (turpmāk – LIKTA)</w:t>
      </w:r>
      <w:r w:rsidRPr="00E7219D">
        <w:rPr>
          <w:rFonts w:ascii="Times New Roman" w:hAnsi="Times New Roman"/>
          <w:sz w:val="24"/>
          <w:szCs w:val="24"/>
        </w:rPr>
        <w:t>.</w:t>
      </w:r>
    </w:p>
    <w:p w14:paraId="623315B9" w14:textId="1320BF9A" w:rsidR="000E7CE9" w:rsidRPr="000E7CE9" w:rsidRDefault="00E7219D" w:rsidP="000E7CE9">
      <w:pPr>
        <w:spacing w:after="0"/>
        <w:ind w:firstLine="709"/>
        <w:contextualSpacing/>
        <w:jc w:val="both"/>
        <w:rPr>
          <w:rFonts w:ascii="Times New Roman" w:hAnsi="Times New Roman"/>
          <w:sz w:val="24"/>
          <w:szCs w:val="24"/>
        </w:rPr>
      </w:pPr>
      <w:r w:rsidRPr="00E7219D">
        <w:rPr>
          <w:rFonts w:ascii="Times New Roman" w:hAnsi="Times New Roman"/>
          <w:sz w:val="24"/>
          <w:szCs w:val="24"/>
        </w:rPr>
        <w:t xml:space="preserve">Ministru kabineta </w:t>
      </w:r>
      <w:r w:rsidR="000E7CE9" w:rsidRPr="00E7219D">
        <w:rPr>
          <w:rFonts w:ascii="Times New Roman" w:hAnsi="Times New Roman"/>
          <w:sz w:val="24"/>
          <w:szCs w:val="24"/>
        </w:rPr>
        <w:t>2018.gada 6.februāra</w:t>
      </w:r>
      <w:r w:rsidRPr="00E7219D">
        <w:rPr>
          <w:rFonts w:ascii="Times New Roman" w:hAnsi="Times New Roman"/>
          <w:sz w:val="24"/>
          <w:szCs w:val="24"/>
        </w:rPr>
        <w:t xml:space="preserve"> sēdē apstiprinātais</w:t>
      </w:r>
      <w:r w:rsidR="000E7CE9" w:rsidRPr="00E7219D">
        <w:rPr>
          <w:rFonts w:ascii="Times New Roman" w:hAnsi="Times New Roman"/>
          <w:sz w:val="24"/>
          <w:szCs w:val="24"/>
        </w:rPr>
        <w:t xml:space="preserve"> informatīvais ziņojums </w:t>
      </w:r>
      <w:r w:rsidRPr="00E7219D">
        <w:rPr>
          <w:rFonts w:ascii="Times New Roman" w:hAnsi="Times New Roman"/>
          <w:sz w:val="24"/>
          <w:szCs w:val="24"/>
        </w:rPr>
        <w:t xml:space="preserve">"Par Ministru kabineta 2017.gada 25.jūlija sēdes </w:t>
      </w:r>
      <w:proofErr w:type="spellStart"/>
      <w:r w:rsidRPr="00E7219D">
        <w:rPr>
          <w:rFonts w:ascii="Times New Roman" w:hAnsi="Times New Roman"/>
          <w:sz w:val="24"/>
          <w:szCs w:val="24"/>
        </w:rPr>
        <w:t>protokollēmumā</w:t>
      </w:r>
      <w:proofErr w:type="spellEnd"/>
      <w:r w:rsidRPr="00E7219D">
        <w:rPr>
          <w:rFonts w:ascii="Times New Roman" w:hAnsi="Times New Roman"/>
          <w:sz w:val="24"/>
          <w:szCs w:val="24"/>
        </w:rPr>
        <w:t xml:space="preserve"> (prot. Nr.37 1.§) "Noteikumu projekts "Latvijas Ģeotelpiskās informācijas aģentūras maksas pakalpojumu cenrādis un tā piemērošanas kārtība"" 3.punktā dotā uzdevuma izpildi"”</w:t>
      </w:r>
      <w:r>
        <w:rPr>
          <w:rFonts w:ascii="Times New Roman" w:hAnsi="Times New Roman"/>
          <w:sz w:val="24"/>
          <w:szCs w:val="24"/>
        </w:rPr>
        <w:t xml:space="preserve"> </w:t>
      </w:r>
      <w:r w:rsidR="000E7CE9" w:rsidRPr="00E7219D">
        <w:rPr>
          <w:rFonts w:ascii="Times New Roman" w:hAnsi="Times New Roman"/>
          <w:sz w:val="24"/>
          <w:szCs w:val="24"/>
        </w:rPr>
        <w:t>noteica VARAM kā atbildīgo valsts iestādi atvērto datu jomā. VARAM jau kopš 2015.gada, organizējot</w:t>
      </w:r>
      <w:r w:rsidR="000E7CE9" w:rsidRPr="000E7CE9">
        <w:rPr>
          <w:rFonts w:ascii="Times New Roman" w:hAnsi="Times New Roman"/>
          <w:sz w:val="24"/>
        </w:rPr>
        <w:t xml:space="preserve"> izglītojošus seminārus valsts pārvaldes darbiniekiem un interesentiem,  ir veicinājusi atvērto datu politikas un iniciatīvu īstenošanu valsts pārvaldē. Līdz ar Atvērto datu portāla nodošanas ekspluatācijā Latvija </w:t>
      </w:r>
      <w:r w:rsidR="00EF1EDB">
        <w:rPr>
          <w:rFonts w:ascii="Times New Roman" w:hAnsi="Times New Roman"/>
          <w:sz w:val="24"/>
        </w:rPr>
        <w:t>trīs</w:t>
      </w:r>
      <w:r w:rsidR="000E7CE9" w:rsidRPr="000E7CE9">
        <w:rPr>
          <w:rFonts w:ascii="Times New Roman" w:hAnsi="Times New Roman"/>
          <w:sz w:val="24"/>
        </w:rPr>
        <w:t xml:space="preserve"> gadu </w:t>
      </w:r>
      <w:r w:rsidR="000E7CE9" w:rsidRPr="000E7CE9">
        <w:rPr>
          <w:rFonts w:ascii="Times New Roman" w:hAnsi="Times New Roman"/>
          <w:sz w:val="24"/>
        </w:rPr>
        <w:lastRenderedPageBreak/>
        <w:t>laikā ir pakāpusies uz 1</w:t>
      </w:r>
      <w:r w:rsidR="00EF1EDB">
        <w:rPr>
          <w:rFonts w:ascii="Times New Roman" w:hAnsi="Times New Roman"/>
          <w:sz w:val="24"/>
        </w:rPr>
        <w:t>0</w:t>
      </w:r>
      <w:r w:rsidR="000E7CE9" w:rsidRPr="000E7CE9">
        <w:rPr>
          <w:rFonts w:ascii="Times New Roman" w:hAnsi="Times New Roman"/>
          <w:sz w:val="24"/>
        </w:rPr>
        <w:t xml:space="preserve">.vietu Eiropas Atvērto datu </w:t>
      </w:r>
      <w:proofErr w:type="spellStart"/>
      <w:r w:rsidR="000E7CE9" w:rsidRPr="000E7CE9">
        <w:rPr>
          <w:rFonts w:ascii="Times New Roman" w:hAnsi="Times New Roman"/>
          <w:sz w:val="24"/>
        </w:rPr>
        <w:t>atkalizmantošanas</w:t>
      </w:r>
      <w:proofErr w:type="spellEnd"/>
      <w:r w:rsidR="000E7CE9" w:rsidRPr="000E7CE9">
        <w:rPr>
          <w:rFonts w:ascii="Times New Roman" w:hAnsi="Times New Roman"/>
          <w:sz w:val="24"/>
        </w:rPr>
        <w:t xml:space="preserve"> indeksā</w:t>
      </w:r>
      <w:r w:rsidR="000E7CE9" w:rsidRPr="000E7CE9">
        <w:rPr>
          <w:rStyle w:val="FootnoteReference"/>
          <w:rFonts w:ascii="Times New Roman" w:hAnsi="Times New Roman"/>
          <w:sz w:val="24"/>
        </w:rPr>
        <w:footnoteReference w:id="9"/>
      </w:r>
      <w:r w:rsidR="000E7CE9" w:rsidRPr="000E7CE9">
        <w:rPr>
          <w:rFonts w:ascii="Times New Roman" w:hAnsi="Times New Roman"/>
          <w:sz w:val="24"/>
        </w:rPr>
        <w:t xml:space="preserve">. Atvērto datu politikas jomā Latvija uz citu ES dalībvalstu fona izcēlusies tieši licencēšanas normu piemērošanas sadaļā, pārsniedzot </w:t>
      </w:r>
      <w:r w:rsidR="00965DBF">
        <w:rPr>
          <w:rFonts w:ascii="Times New Roman" w:hAnsi="Times New Roman"/>
          <w:sz w:val="24"/>
        </w:rPr>
        <w:t>ES</w:t>
      </w:r>
      <w:r w:rsidR="00965DBF" w:rsidRPr="000E7CE9">
        <w:rPr>
          <w:rFonts w:ascii="Times New Roman" w:hAnsi="Times New Roman"/>
          <w:sz w:val="24"/>
        </w:rPr>
        <w:t xml:space="preserve"> </w:t>
      </w:r>
      <w:r w:rsidR="000E7CE9" w:rsidRPr="000E7CE9">
        <w:rPr>
          <w:rFonts w:ascii="Times New Roman" w:hAnsi="Times New Roman"/>
          <w:sz w:val="24"/>
        </w:rPr>
        <w:t xml:space="preserve">vidējo rādītāju. </w:t>
      </w:r>
    </w:p>
    <w:p w14:paraId="5CD5389E" w14:textId="77777777" w:rsidR="000E7CE9" w:rsidRPr="000E7CE9" w:rsidRDefault="000E7CE9" w:rsidP="000E7CE9">
      <w:pPr>
        <w:spacing w:after="0"/>
        <w:ind w:firstLine="709"/>
        <w:jc w:val="both"/>
        <w:rPr>
          <w:rFonts w:ascii="Times New Roman" w:hAnsi="Times New Roman"/>
          <w:sz w:val="24"/>
          <w:szCs w:val="24"/>
        </w:rPr>
      </w:pPr>
    </w:p>
    <w:p w14:paraId="7AE9DA24" w14:textId="2E772DB3" w:rsidR="000E7CE9" w:rsidRPr="00652BE7" w:rsidRDefault="000E7CE9" w:rsidP="00652BE7">
      <w:pPr>
        <w:pStyle w:val="Heading1"/>
        <w:numPr>
          <w:ilvl w:val="0"/>
          <w:numId w:val="27"/>
        </w:numPr>
        <w:jc w:val="center"/>
        <w:rPr>
          <w:rFonts w:ascii="Times New Roman" w:hAnsi="Times New Roman" w:cs="Times New Roman"/>
          <w:color w:val="auto"/>
          <w:sz w:val="28"/>
        </w:rPr>
      </w:pPr>
      <w:bookmarkStart w:id="3" w:name="_Toc26252151"/>
      <w:r w:rsidRPr="00652BE7">
        <w:rPr>
          <w:rFonts w:ascii="Times New Roman" w:hAnsi="Times New Roman" w:cs="Times New Roman"/>
          <w:color w:val="auto"/>
          <w:sz w:val="28"/>
        </w:rPr>
        <w:t>Latvijas Atvērto datu stratēģija</w:t>
      </w:r>
      <w:bookmarkEnd w:id="3"/>
    </w:p>
    <w:p w14:paraId="786281A0" w14:textId="77777777" w:rsidR="000E7CE9" w:rsidRDefault="000E7CE9" w:rsidP="00D94D07">
      <w:pPr>
        <w:spacing w:after="0"/>
        <w:ind w:firstLine="709"/>
        <w:jc w:val="both"/>
        <w:rPr>
          <w:rFonts w:ascii="Times New Roman" w:hAnsi="Times New Roman"/>
          <w:sz w:val="24"/>
          <w:szCs w:val="24"/>
        </w:rPr>
      </w:pPr>
    </w:p>
    <w:p w14:paraId="7613BC5A" w14:textId="0D7F839E" w:rsidR="003C45DA" w:rsidRPr="00553058" w:rsidRDefault="003C45DA" w:rsidP="00D94D07">
      <w:pPr>
        <w:spacing w:after="0"/>
        <w:ind w:firstLine="709"/>
        <w:jc w:val="both"/>
        <w:rPr>
          <w:rFonts w:ascii="Times New Roman" w:hAnsi="Times New Roman"/>
          <w:sz w:val="24"/>
          <w:szCs w:val="24"/>
        </w:rPr>
      </w:pPr>
      <w:r>
        <w:rPr>
          <w:rFonts w:ascii="Times New Roman" w:hAnsi="Times New Roman"/>
          <w:sz w:val="24"/>
          <w:szCs w:val="24"/>
        </w:rPr>
        <w:t>Lai attīstītu vienotu, sistēmisku pieeju valsts rīcībā esošo atvērto datu jomā, VARAM izstrādāja un iesniedza Ministru kabinetā informatīvo ziņojumu “Latvijas Atvērto datu stratēģija”</w:t>
      </w:r>
      <w:r w:rsidR="00D94D07">
        <w:rPr>
          <w:rStyle w:val="FootnoteReference"/>
          <w:rFonts w:ascii="Times New Roman" w:hAnsi="Times New Roman"/>
          <w:sz w:val="24"/>
          <w:szCs w:val="24"/>
        </w:rPr>
        <w:footnoteReference w:id="10"/>
      </w:r>
      <w:r w:rsidR="00D94D07">
        <w:rPr>
          <w:rFonts w:ascii="Times New Roman" w:hAnsi="Times New Roman"/>
          <w:sz w:val="24"/>
          <w:szCs w:val="24"/>
        </w:rPr>
        <w:t xml:space="preserve"> (turpmāk – Stratēģija). Informatīvais ziņojums tika izstrādāts iesaistot šādas nevalstiskās </w:t>
      </w:r>
      <w:r w:rsidR="00D94D07" w:rsidRPr="00D94D07">
        <w:rPr>
          <w:rFonts w:ascii="Times New Roman" w:hAnsi="Times New Roman"/>
          <w:sz w:val="24"/>
          <w:szCs w:val="24"/>
        </w:rPr>
        <w:t xml:space="preserve">organizācijas </w:t>
      </w:r>
      <w:r w:rsidR="00E7219D">
        <w:rPr>
          <w:rFonts w:ascii="Times New Roman" w:hAnsi="Times New Roman"/>
          <w:sz w:val="24"/>
          <w:szCs w:val="24"/>
        </w:rPr>
        <w:t xml:space="preserve">- LATA, </w:t>
      </w:r>
      <w:r w:rsidR="00D94D07" w:rsidRPr="00553058">
        <w:rPr>
          <w:rFonts w:ascii="Times New Roman" w:hAnsi="Times New Roman"/>
          <w:sz w:val="24"/>
          <w:szCs w:val="24"/>
        </w:rPr>
        <w:t>LIKTA un Latvijas Tirdzniecības un rūpniecības kameru (turpmāk – LTRK).  Ņemot vērā atvērto datu potenciālo ieguldījumu jaunu un inovatīvu pakalpojumu un produktu radīšanā, Stratēģijas izveidē tika iesaistīta arī Ekonomikas ministrija.</w:t>
      </w:r>
    </w:p>
    <w:p w14:paraId="6E2DB1D1" w14:textId="392B5452" w:rsidR="00D94D07" w:rsidRPr="00553058" w:rsidRDefault="00B72747" w:rsidP="00652BE7">
      <w:pPr>
        <w:spacing w:after="0"/>
        <w:ind w:firstLine="709"/>
        <w:contextualSpacing/>
        <w:jc w:val="both"/>
        <w:rPr>
          <w:rFonts w:ascii="Times New Roman" w:hAnsi="Times New Roman"/>
          <w:sz w:val="24"/>
          <w:szCs w:val="24"/>
        </w:rPr>
      </w:pPr>
      <w:r>
        <w:rPr>
          <w:rFonts w:ascii="Times New Roman" w:hAnsi="Times New Roman"/>
          <w:sz w:val="24"/>
          <w:szCs w:val="24"/>
        </w:rPr>
        <w:t>Stratēģijā</w:t>
      </w:r>
      <w:r w:rsidR="00D94D07" w:rsidRPr="00553058">
        <w:rPr>
          <w:rFonts w:ascii="Times New Roman" w:hAnsi="Times New Roman"/>
          <w:sz w:val="24"/>
          <w:szCs w:val="24"/>
        </w:rPr>
        <w:t xml:space="preserve"> tiek aprakstīta atvērto datu situācija Latvijā 2019.gada sākumā, izskaidrota atvērto datu stratēģijas ieviešanas principu izveide, aprakstīti datu publicēšanas ieguvumi un izaicinājumi, starptautiskās novitātes atvērto datu jomā un tos ietekmējošie faktori, kā arī aprakstīti datu stratēģijas ieviešanas principi un katram ieviešanas principam noteikti sasniedzamie rezultāti.</w:t>
      </w:r>
    </w:p>
    <w:p w14:paraId="6A0B9922" w14:textId="77777777" w:rsidR="00D94D07" w:rsidRPr="00553058" w:rsidRDefault="00D94D07" w:rsidP="00652BE7">
      <w:pPr>
        <w:spacing w:after="0"/>
        <w:ind w:firstLine="709"/>
        <w:jc w:val="both"/>
        <w:rPr>
          <w:rFonts w:ascii="Times New Roman" w:hAnsi="Times New Roman"/>
          <w:sz w:val="24"/>
          <w:szCs w:val="24"/>
        </w:rPr>
      </w:pPr>
      <w:r w:rsidRPr="00553058">
        <w:rPr>
          <w:rFonts w:ascii="Times New Roman" w:hAnsi="Times New Roman"/>
          <w:sz w:val="24"/>
          <w:szCs w:val="24"/>
        </w:rPr>
        <w:t>Stratēģijā ir identificētas būtiskākie izaicinājumi atvērto datu jomā Latvijā, kā arī noteikti četri darbības virzieni šo izaicinājumu novēršanā. Kā būtiskākie Latvijas izaicinājumi atvērto datu jomā tika identificēti:</w:t>
      </w:r>
    </w:p>
    <w:p w14:paraId="59FE9114" w14:textId="6A6333B6" w:rsidR="00D94D07" w:rsidRPr="00553058" w:rsidRDefault="00965DBF" w:rsidP="00652BE7">
      <w:pPr>
        <w:pStyle w:val="ListParagraph"/>
        <w:numPr>
          <w:ilvl w:val="0"/>
          <w:numId w:val="18"/>
        </w:numPr>
        <w:jc w:val="both"/>
      </w:pPr>
      <w:r>
        <w:t>v</w:t>
      </w:r>
      <w:r w:rsidR="00D94D07" w:rsidRPr="00553058">
        <w:t xml:space="preserve">alsts pārvaldē </w:t>
      </w:r>
      <w:r w:rsidR="00553058" w:rsidRPr="00553058">
        <w:t>iztrūkst izpratne par atvērtajiem datiem;</w:t>
      </w:r>
    </w:p>
    <w:p w14:paraId="1610A368" w14:textId="7AC3B2DE" w:rsidR="00553058" w:rsidRPr="00553058" w:rsidRDefault="00965DBF" w:rsidP="00652BE7">
      <w:pPr>
        <w:pStyle w:val="ListParagraph"/>
        <w:numPr>
          <w:ilvl w:val="0"/>
          <w:numId w:val="18"/>
        </w:numPr>
        <w:jc w:val="both"/>
      </w:pPr>
      <w:r>
        <w:t>a</w:t>
      </w:r>
      <w:r w:rsidR="00553058" w:rsidRPr="00553058">
        <w:t>tvērto datu nepieejamība;</w:t>
      </w:r>
    </w:p>
    <w:p w14:paraId="175978EB" w14:textId="40B1E21D" w:rsidR="00553058" w:rsidRPr="00553058" w:rsidRDefault="00965DBF" w:rsidP="00652BE7">
      <w:pPr>
        <w:pStyle w:val="ListParagraph"/>
        <w:numPr>
          <w:ilvl w:val="0"/>
          <w:numId w:val="18"/>
        </w:numPr>
        <w:jc w:val="both"/>
      </w:pPr>
      <w:r>
        <w:t>a</w:t>
      </w:r>
      <w:r w:rsidR="00553058" w:rsidRPr="00553058">
        <w:t>tvērto datu publicēšanas izmaksas un to segšanas avoti;</w:t>
      </w:r>
    </w:p>
    <w:p w14:paraId="5E808252" w14:textId="033C48EE" w:rsidR="00553058" w:rsidRPr="00553058" w:rsidRDefault="00965DBF" w:rsidP="00652BE7">
      <w:pPr>
        <w:pStyle w:val="ListParagraph"/>
        <w:numPr>
          <w:ilvl w:val="0"/>
          <w:numId w:val="18"/>
        </w:numPr>
        <w:jc w:val="both"/>
      </w:pPr>
      <w:r>
        <w:t>a</w:t>
      </w:r>
      <w:r w:rsidR="00553058" w:rsidRPr="00553058">
        <w:t>tvērtie dati netiek izmantoti valsts pārvaldes darbības caurskatāmības veicināšanai;</w:t>
      </w:r>
    </w:p>
    <w:p w14:paraId="0314716A" w14:textId="3AC6967F" w:rsidR="00553058" w:rsidRPr="00553058" w:rsidRDefault="00965DBF" w:rsidP="00652BE7">
      <w:pPr>
        <w:pStyle w:val="ListParagraph"/>
        <w:numPr>
          <w:ilvl w:val="0"/>
          <w:numId w:val="18"/>
        </w:numPr>
        <w:jc w:val="both"/>
      </w:pPr>
      <w:r>
        <w:t>n</w:t>
      </w:r>
      <w:r w:rsidR="00553058" w:rsidRPr="00553058">
        <w:t>ormatīvais un metodiskā atbalsta ietvars ir nepilnīgs un nesekmē atvērto datu izmantošanu;</w:t>
      </w:r>
    </w:p>
    <w:p w14:paraId="424F9905" w14:textId="6F885D47" w:rsidR="00553058" w:rsidRPr="00553058" w:rsidRDefault="00965DBF" w:rsidP="00652BE7">
      <w:pPr>
        <w:pStyle w:val="ListParagraph"/>
        <w:numPr>
          <w:ilvl w:val="0"/>
          <w:numId w:val="18"/>
        </w:numPr>
        <w:jc w:val="both"/>
      </w:pPr>
      <w:r>
        <w:t>v</w:t>
      </w:r>
      <w:r w:rsidR="00553058" w:rsidRPr="00553058">
        <w:t>alsts pārvaldē ir nepietiekama atvērto datu potenciāla izmantošana;</w:t>
      </w:r>
    </w:p>
    <w:p w14:paraId="02AE206D" w14:textId="5D6F6726" w:rsidR="00553058" w:rsidRPr="00553058" w:rsidRDefault="00965DBF" w:rsidP="00652BE7">
      <w:pPr>
        <w:pStyle w:val="ListParagraph"/>
        <w:numPr>
          <w:ilvl w:val="0"/>
          <w:numId w:val="18"/>
        </w:numPr>
        <w:ind w:left="1066" w:hanging="357"/>
        <w:jc w:val="both"/>
      </w:pPr>
      <w:r>
        <w:t>n</w:t>
      </w:r>
      <w:r w:rsidR="00553058" w:rsidRPr="00553058">
        <w:t>epietiekama atgriezeniskās saite no atvērto datu izmantotājiem.</w:t>
      </w:r>
    </w:p>
    <w:p w14:paraId="6D1EA447" w14:textId="77777777" w:rsidR="00553058" w:rsidRPr="00553058" w:rsidRDefault="00553058" w:rsidP="00652BE7">
      <w:pPr>
        <w:spacing w:after="0"/>
        <w:jc w:val="both"/>
        <w:rPr>
          <w:rFonts w:ascii="Times New Roman" w:hAnsi="Times New Roman"/>
          <w:sz w:val="24"/>
          <w:szCs w:val="24"/>
        </w:rPr>
      </w:pPr>
      <w:r w:rsidRPr="00553058">
        <w:rPr>
          <w:rFonts w:ascii="Times New Roman" w:hAnsi="Times New Roman"/>
          <w:sz w:val="24"/>
          <w:szCs w:val="24"/>
        </w:rPr>
        <w:t>Kā četri darbības virzieni nosaukto izaicinājumu novēršanai tika noteikti:</w:t>
      </w:r>
    </w:p>
    <w:p w14:paraId="4B9117DA" w14:textId="15D50E79" w:rsidR="00553058" w:rsidRPr="00553058" w:rsidRDefault="00965DBF" w:rsidP="00652BE7">
      <w:pPr>
        <w:pStyle w:val="ListParagraph"/>
        <w:numPr>
          <w:ilvl w:val="0"/>
          <w:numId w:val="19"/>
        </w:numPr>
        <w:jc w:val="both"/>
      </w:pPr>
      <w:r>
        <w:t>a</w:t>
      </w:r>
      <w:r w:rsidR="00553058" w:rsidRPr="00553058">
        <w:t>tvērto datu pieejamības pieaugums</w:t>
      </w:r>
    </w:p>
    <w:p w14:paraId="184CF1DF" w14:textId="2999007D" w:rsidR="00553058" w:rsidRPr="00553058" w:rsidRDefault="00965DBF" w:rsidP="00652BE7">
      <w:pPr>
        <w:pStyle w:val="ListParagraph"/>
        <w:numPr>
          <w:ilvl w:val="0"/>
          <w:numId w:val="19"/>
        </w:numPr>
        <w:jc w:val="both"/>
      </w:pPr>
      <w:r>
        <w:t>a</w:t>
      </w:r>
      <w:r w:rsidR="00553058" w:rsidRPr="00553058">
        <w:t>tvērto datu izmantošanas pieaugums</w:t>
      </w:r>
    </w:p>
    <w:p w14:paraId="5AE7AC29" w14:textId="6DB48EA7" w:rsidR="00553058" w:rsidRPr="00553058" w:rsidRDefault="00965DBF" w:rsidP="00652BE7">
      <w:pPr>
        <w:pStyle w:val="ListParagraph"/>
        <w:numPr>
          <w:ilvl w:val="0"/>
          <w:numId w:val="19"/>
        </w:numPr>
        <w:jc w:val="both"/>
      </w:pPr>
      <w:r>
        <w:t>a</w:t>
      </w:r>
      <w:r w:rsidR="00553058" w:rsidRPr="00553058">
        <w:t xml:space="preserve">ugstvērtīgo datu kopu identificēšana un </w:t>
      </w:r>
      <w:proofErr w:type="spellStart"/>
      <w:r w:rsidR="00553058" w:rsidRPr="00553058">
        <w:t>prioritizēšana</w:t>
      </w:r>
      <w:proofErr w:type="spellEnd"/>
    </w:p>
    <w:p w14:paraId="04C48AEC" w14:textId="42D1954D" w:rsidR="00553058" w:rsidRPr="00553058" w:rsidRDefault="00965DBF" w:rsidP="00652BE7">
      <w:pPr>
        <w:pStyle w:val="ListParagraph"/>
        <w:numPr>
          <w:ilvl w:val="0"/>
          <w:numId w:val="19"/>
        </w:numPr>
        <w:jc w:val="both"/>
      </w:pPr>
      <w:r>
        <w:t>a</w:t>
      </w:r>
      <w:r w:rsidR="00553058" w:rsidRPr="00553058">
        <w:t>tvērto datu jomas koordinēšana</w:t>
      </w:r>
      <w:r>
        <w:t>.</w:t>
      </w:r>
    </w:p>
    <w:p w14:paraId="0312340A" w14:textId="77777777" w:rsidR="00D94D07" w:rsidRPr="00553058" w:rsidRDefault="00D94D07" w:rsidP="00652BE7">
      <w:pPr>
        <w:spacing w:after="0"/>
        <w:ind w:firstLine="709"/>
        <w:jc w:val="both"/>
        <w:rPr>
          <w:rFonts w:ascii="Times New Roman" w:hAnsi="Times New Roman"/>
          <w:sz w:val="24"/>
          <w:szCs w:val="24"/>
        </w:rPr>
      </w:pPr>
    </w:p>
    <w:p w14:paraId="6C630EDD" w14:textId="77777777" w:rsidR="00D94D07" w:rsidRDefault="00553058" w:rsidP="00652BE7">
      <w:pPr>
        <w:spacing w:after="0"/>
        <w:jc w:val="both"/>
        <w:rPr>
          <w:rFonts w:ascii="Times New Roman" w:hAnsi="Times New Roman"/>
          <w:sz w:val="24"/>
          <w:szCs w:val="24"/>
        </w:rPr>
      </w:pPr>
      <w:r>
        <w:rPr>
          <w:rFonts w:ascii="Times New Roman" w:hAnsi="Times New Roman"/>
          <w:sz w:val="24"/>
          <w:szCs w:val="24"/>
        </w:rPr>
        <w:t>Stratēģijā izveidots rīcības plāns, kurš iekļauj uzdevumus un pasākumu kopumu, lai sasniegtu Stratēģijas izvirzītos mērķus:</w:t>
      </w:r>
    </w:p>
    <w:p w14:paraId="2F3E2D13" w14:textId="7D5995E4" w:rsidR="00553058" w:rsidRDefault="00553058" w:rsidP="00553058">
      <w:pPr>
        <w:pStyle w:val="ListParagraph"/>
        <w:numPr>
          <w:ilvl w:val="0"/>
          <w:numId w:val="20"/>
        </w:numPr>
        <w:jc w:val="both"/>
      </w:pPr>
      <w:r>
        <w:t>Izstrādāt visaptverošas vadlīnijas atvērto datu identificēšana, klasificēšanai un atvēršanai, tādā veidā ieviešot principu “Atvērts pēc noklusējuma” (</w:t>
      </w:r>
      <w:proofErr w:type="spellStart"/>
      <w:r w:rsidRPr="00652BE7">
        <w:rPr>
          <w:i/>
        </w:rPr>
        <w:t>Open</w:t>
      </w:r>
      <w:proofErr w:type="spellEnd"/>
      <w:r w:rsidRPr="00652BE7">
        <w:rPr>
          <w:i/>
        </w:rPr>
        <w:t xml:space="preserve"> </w:t>
      </w:r>
      <w:proofErr w:type="spellStart"/>
      <w:r w:rsidRPr="00652BE7">
        <w:rPr>
          <w:i/>
        </w:rPr>
        <w:t>by</w:t>
      </w:r>
      <w:proofErr w:type="spellEnd"/>
      <w:r w:rsidRPr="00652BE7">
        <w:rPr>
          <w:i/>
        </w:rPr>
        <w:t xml:space="preserve"> </w:t>
      </w:r>
      <w:proofErr w:type="spellStart"/>
      <w:r w:rsidRPr="00652BE7">
        <w:rPr>
          <w:i/>
        </w:rPr>
        <w:t>default</w:t>
      </w:r>
      <w:proofErr w:type="spellEnd"/>
      <w:r>
        <w:t>) – Vadlīnijas ietvers informāciju par to, kas ir atvērtie dati, to pazīmes un datu publicēšanas iespējām Latvijas atvērto datu portālā. Vadlīnijās būs iekļauts principa “Atvērts pēc noklusējuma” apraksts</w:t>
      </w:r>
      <w:r w:rsidR="00965DBF">
        <w:t>.</w:t>
      </w:r>
    </w:p>
    <w:p w14:paraId="7F53F4F6" w14:textId="70D853BF" w:rsidR="00553058" w:rsidRDefault="00553058" w:rsidP="00553058">
      <w:pPr>
        <w:pStyle w:val="ListParagraph"/>
        <w:numPr>
          <w:ilvl w:val="0"/>
          <w:numId w:val="20"/>
        </w:numPr>
        <w:jc w:val="both"/>
      </w:pPr>
      <w:r>
        <w:t xml:space="preserve">Izstrādāt instrukciju prioritāri atveramo datu kopu identificēšanai, klasificēšanai un atvēršanai </w:t>
      </w:r>
      <w:r w:rsidR="0084585D">
        <w:t>–</w:t>
      </w:r>
      <w:r>
        <w:t xml:space="preserve"> </w:t>
      </w:r>
      <w:r w:rsidR="0084585D">
        <w:t xml:space="preserve">instrukcija ietvers informāciju par prioritārām atvērto datu kopām no to identificēšanas brīža līdz to publicēšanai Latvijas Atvērto datu portālā. Ja iestādes rīcībā esošie dati un informācija, kas ir potenciālais atvērto datu objekts un ir noteikts kā maksas </w:t>
      </w:r>
      <w:r w:rsidR="0084585D">
        <w:lastRenderedPageBreak/>
        <w:t>pakalpojums, iestāde izvērtē šo datu publicēšanas izmaksas, finanšu ietekmi un gatavo pieprasījumu no valsts budžeta prioritārajiem pasākumiem vai kompensē šos izdevumus esošā budžeta ietvaros</w:t>
      </w:r>
      <w:r w:rsidR="00965DBF">
        <w:t>.</w:t>
      </w:r>
    </w:p>
    <w:p w14:paraId="52E97102" w14:textId="3611B369" w:rsidR="00801811" w:rsidRDefault="00801811" w:rsidP="00553058">
      <w:pPr>
        <w:pStyle w:val="ListParagraph"/>
        <w:numPr>
          <w:ilvl w:val="0"/>
          <w:numId w:val="20"/>
        </w:numPr>
        <w:jc w:val="both"/>
      </w:pPr>
      <w:r>
        <w:t xml:space="preserve">Veikt publiskās pārvaldes rīcībā esošās informācijas un datu klasifikāciju un to reģistrēšanu Valsts informācijas resursu sistēmā un </w:t>
      </w:r>
      <w:proofErr w:type="spellStart"/>
      <w:r>
        <w:t>sadarbspējas</w:t>
      </w:r>
      <w:proofErr w:type="spellEnd"/>
      <w:r>
        <w:t xml:space="preserve"> </w:t>
      </w:r>
      <w:r w:rsidR="0076146A">
        <w:t xml:space="preserve">informācijas sistēmā (VIRSIS), identificējot </w:t>
      </w:r>
      <w:proofErr w:type="spellStart"/>
      <w:r w:rsidR="0076146A">
        <w:t>atkalizmantojamos</w:t>
      </w:r>
      <w:proofErr w:type="spellEnd"/>
      <w:r w:rsidR="0076146A">
        <w:t xml:space="preserve"> un atveramos datus – iestādes apzina savā rīcībā esošos informācijas resursus un datu ievadi VISRSIS sistēmā uzsāk ar 2019.gada 1.oktobri. Ievadot informācijas resursus VIRSIS sistēmā, iestāde izvērtē attiecīgās informācijas datu atvēršanas iespējas, nododot tos sabiedrībai atvērto datu veidā (atveramajiem datiem piešķirot atsevišķu iezīmi. Primāri prasības apzināt publiskās pārvaldes rīcībā esošos informācijas resursus un veikt datu klasifikāciju un to reģistrēšanu VIRSIS sistēmā attieksies un valsts pārvaldes tiešajām iestādēm un to pakļautības un padotības iestādēm</w:t>
      </w:r>
      <w:r w:rsidR="00965DBF">
        <w:t>.</w:t>
      </w:r>
    </w:p>
    <w:p w14:paraId="60A14C71" w14:textId="601C81B5" w:rsidR="0076146A" w:rsidRDefault="0076146A" w:rsidP="00553058">
      <w:pPr>
        <w:pStyle w:val="ListParagraph"/>
        <w:numPr>
          <w:ilvl w:val="0"/>
          <w:numId w:val="20"/>
        </w:numPr>
        <w:jc w:val="both"/>
      </w:pPr>
      <w:r>
        <w:t>Atbilstoši VIRSIS sistēmā identificētajam, izstrādāt katras institūcijas datu publicēšanas grafiku un publicēt identificētos datus Latvijas Atvērto datu portālā – pēc iestāžu rīcībā esošo atveramo datu kopu identificēšanas, iestādes sagatavos datu kopu publicēšanas grafiku. Atveramo datu kopu publicēšanas grafika pārraudzību un koordinēšanu nodrošina VARAM. Attīstot reāllaika datu apmaiņas risinājumus valsts pārvaldē, to publicēšanai Latvijas Atvērto datu portālā tiktu nodrošināta sasaiste un papildu rīki Ministru kabineta 2019.gada 2.aprīlī apstiprinātā informatīvā ziņojuma “Par informācijas aprites un piekļuves risinājumiem”</w:t>
      </w:r>
      <w:r>
        <w:rPr>
          <w:rStyle w:val="FootnoteReference"/>
        </w:rPr>
        <w:footnoteReference w:id="11"/>
      </w:r>
      <w:r>
        <w:t xml:space="preserve"> ieviešanai</w:t>
      </w:r>
      <w:r w:rsidR="00965DBF">
        <w:t>.</w:t>
      </w:r>
    </w:p>
    <w:p w14:paraId="26FE686A" w14:textId="40A8F04B" w:rsidR="0076146A" w:rsidRDefault="0076146A" w:rsidP="00553058">
      <w:pPr>
        <w:pStyle w:val="ListParagraph"/>
        <w:numPr>
          <w:ilvl w:val="0"/>
          <w:numId w:val="20"/>
        </w:numPr>
        <w:jc w:val="both"/>
      </w:pPr>
      <w:r>
        <w:t xml:space="preserve">Sekmēt datos un tehnoloģijās balstītu inovāciju attīstību un to </w:t>
      </w:r>
      <w:proofErr w:type="spellStart"/>
      <w:r>
        <w:t>komercializāciju</w:t>
      </w:r>
      <w:proofErr w:type="spellEnd"/>
      <w:r>
        <w:t xml:space="preserve"> – šis uzdevums tiks īstenots Ekonomikas ministrijas pārraudzībā esošās </w:t>
      </w:r>
      <w:r w:rsidR="000E7CE9">
        <w:t>“</w:t>
      </w:r>
      <w:r>
        <w:t>Kompetences centru</w:t>
      </w:r>
      <w:r w:rsidR="000E7CE9">
        <w:t>”</w:t>
      </w:r>
      <w:r>
        <w:t xml:space="preserve">, </w:t>
      </w:r>
      <w:r w:rsidR="000E7CE9">
        <w:t>“T</w:t>
      </w:r>
      <w:r>
        <w:t xml:space="preserve">ehnoloģiju </w:t>
      </w:r>
      <w:proofErr w:type="spellStart"/>
      <w:r>
        <w:t>pārneses</w:t>
      </w:r>
      <w:proofErr w:type="spellEnd"/>
      <w:r w:rsidR="000E7CE9">
        <w:t>”, “Biznesa inkubatori reģionos”</w:t>
      </w:r>
      <w:r w:rsidR="000E7CE9" w:rsidRPr="000E7CE9">
        <w:t xml:space="preserve"> </w:t>
      </w:r>
      <w:r w:rsidR="000E7CE9">
        <w:t>programmu, kā arī Norvēģijas finanšu instrumenta programmas “Uzņēmējdarbības attīstība, inovācijas un MVU”</w:t>
      </w:r>
      <w:r>
        <w:t xml:space="preserve"> </w:t>
      </w:r>
      <w:r w:rsidR="000E7CE9">
        <w:t>ietvaros</w:t>
      </w:r>
      <w:r w:rsidR="00965DBF">
        <w:t>.</w:t>
      </w:r>
    </w:p>
    <w:p w14:paraId="08F86A6D" w14:textId="2C174A89" w:rsidR="000E7CE9" w:rsidRPr="000E7CE9" w:rsidRDefault="000E7CE9" w:rsidP="00553058">
      <w:pPr>
        <w:pStyle w:val="ListParagraph"/>
        <w:numPr>
          <w:ilvl w:val="0"/>
          <w:numId w:val="20"/>
        </w:numPr>
        <w:jc w:val="both"/>
      </w:pPr>
      <w:r w:rsidRPr="00CC6490">
        <w:t>Veikt grozījumus Ministru kabineta 2011.gada 29.marta noteikumos nr.233  “Vides aizsardzības un reģionālās attīstības ministrijas nolikums”, precizējot  ministrijas kompetences, papildinot ar atvērto datu politikas  koordinācijas jomu</w:t>
      </w:r>
      <w:r>
        <w:t xml:space="preserve"> - </w:t>
      </w:r>
      <w:r>
        <w:rPr>
          <w:rFonts w:eastAsia="Calibri"/>
        </w:rPr>
        <w:t xml:space="preserve">grozījumi VARAM nolikumā noteiks VARAM kā par atvērtajiem datiem atbildīgo ministriju. Lai paaugstinātu datu pieejamību un </w:t>
      </w:r>
      <w:proofErr w:type="spellStart"/>
      <w:r>
        <w:rPr>
          <w:rFonts w:eastAsia="Calibri"/>
        </w:rPr>
        <w:t>atkalizmantošanas</w:t>
      </w:r>
      <w:proofErr w:type="spellEnd"/>
      <w:r>
        <w:rPr>
          <w:rFonts w:eastAsia="Calibri"/>
        </w:rPr>
        <w:t xml:space="preserve"> apjomu plānots izveidot sadarbības padomi atvērto datu jomas koordinēšanai. Sadarbības padomes sastāvā būs pārstāvji no Ekonomikas ministrijas, Tieslietu ministrijas un nevalstiskajām organizācijām.</w:t>
      </w:r>
      <w:r w:rsidRPr="000E7CE9">
        <w:rPr>
          <w:rFonts w:eastAsia="Calibri"/>
        </w:rPr>
        <w:t xml:space="preserve"> </w:t>
      </w:r>
      <w:r>
        <w:rPr>
          <w:rFonts w:eastAsia="Calibri"/>
        </w:rPr>
        <w:t xml:space="preserve">Tās viena no funkcijām būs apzināt atvērto datu situāciju Latvijā, gūt atgriezenisko saiti no datu </w:t>
      </w:r>
      <w:proofErr w:type="spellStart"/>
      <w:r>
        <w:rPr>
          <w:rFonts w:eastAsia="Calibri"/>
        </w:rPr>
        <w:t>atkalizmantotājiem</w:t>
      </w:r>
      <w:proofErr w:type="spellEnd"/>
      <w:r>
        <w:rPr>
          <w:rFonts w:eastAsia="Calibri"/>
        </w:rPr>
        <w:t>, apzināt labās prakses piemērus un gatavot informāciju par atvērto datu jomas attīstību Informācijas sabiedrības padomei</w:t>
      </w:r>
      <w:r w:rsidR="00965DBF">
        <w:rPr>
          <w:rFonts w:eastAsia="Calibri"/>
        </w:rPr>
        <w:t>.</w:t>
      </w:r>
    </w:p>
    <w:p w14:paraId="3D1788C0" w14:textId="149322B8" w:rsidR="000E7CE9" w:rsidRPr="000E7CE9" w:rsidRDefault="000E7CE9" w:rsidP="00553058">
      <w:pPr>
        <w:pStyle w:val="ListParagraph"/>
        <w:numPr>
          <w:ilvl w:val="0"/>
          <w:numId w:val="20"/>
        </w:numPr>
        <w:jc w:val="both"/>
      </w:pPr>
      <w:r>
        <w:rPr>
          <w:rFonts w:eastAsia="Calibri"/>
        </w:rPr>
        <w:t>Nodrošināt metodisko atbalstu datu identificēšana, klasificēšanas un publicēšanas procesos - VARAM kā par atvērto datu jomu atbildīgā iestāde sniegs atbalstu citu iestāžu darbiniekiem jautājumos par atvērto datu pieejamības nodrošināšanu Atvērto datu portālā un datu pārvaldības jautājumiem</w:t>
      </w:r>
      <w:r w:rsidR="00965DBF">
        <w:rPr>
          <w:rFonts w:eastAsia="Calibri"/>
        </w:rPr>
        <w:t>.</w:t>
      </w:r>
    </w:p>
    <w:p w14:paraId="4AE60D95" w14:textId="77777777" w:rsidR="000E7CE9" w:rsidRPr="00553058" w:rsidRDefault="000E7CE9" w:rsidP="00B1073D">
      <w:pPr>
        <w:pStyle w:val="ListParagraph"/>
        <w:numPr>
          <w:ilvl w:val="0"/>
          <w:numId w:val="20"/>
        </w:numPr>
        <w:jc w:val="both"/>
      </w:pPr>
      <w:r w:rsidRPr="00CC6490">
        <w:t xml:space="preserve">Īstenot publiskās pārvaldes un privātā sektora kapacitātes </w:t>
      </w:r>
      <w:r>
        <w:t>paaugstināšanas</w:t>
      </w:r>
      <w:r w:rsidRPr="00CC6490">
        <w:t xml:space="preserve"> un informēšanas   pasākumus</w:t>
      </w:r>
      <w:r>
        <w:t xml:space="preserve"> – Lai informētu un izglītotu valsts iestāžu darbiniekus un iedzīvotājus par atvērtajiem datiem tiks organizēti izglītojoši kursi, kā arī ekspertu semināri dažādos formātos. </w:t>
      </w:r>
    </w:p>
    <w:p w14:paraId="76A3F32E" w14:textId="7AE586D5" w:rsidR="00A30829" w:rsidRPr="00A30829" w:rsidRDefault="00A30829" w:rsidP="00B1073D">
      <w:pPr>
        <w:spacing w:after="0"/>
        <w:ind w:firstLine="709"/>
        <w:jc w:val="both"/>
        <w:rPr>
          <w:rFonts w:ascii="Times New Roman" w:hAnsi="Times New Roman"/>
          <w:sz w:val="24"/>
          <w:szCs w:val="24"/>
        </w:rPr>
      </w:pPr>
      <w:r w:rsidRPr="00553058">
        <w:rPr>
          <w:rFonts w:ascii="Times New Roman" w:hAnsi="Times New Roman"/>
          <w:sz w:val="24"/>
          <w:szCs w:val="24"/>
        </w:rPr>
        <w:t>Latvijā</w:t>
      </w:r>
      <w:r w:rsidR="007A62AE">
        <w:rPr>
          <w:rFonts w:ascii="Times New Roman" w:hAnsi="Times New Roman"/>
          <w:sz w:val="24"/>
          <w:szCs w:val="24"/>
        </w:rPr>
        <w:t xml:space="preserve"> līdz </w:t>
      </w:r>
      <w:r w:rsidR="00E7219D">
        <w:rPr>
          <w:rFonts w:ascii="Times New Roman" w:hAnsi="Times New Roman"/>
          <w:sz w:val="24"/>
          <w:szCs w:val="24"/>
        </w:rPr>
        <w:t>Stratēģijas apstiprināšanas</w:t>
      </w:r>
      <w:r w:rsidR="007A62AE">
        <w:rPr>
          <w:rFonts w:ascii="Times New Roman" w:hAnsi="Times New Roman"/>
          <w:sz w:val="24"/>
          <w:szCs w:val="24"/>
        </w:rPr>
        <w:t xml:space="preserve"> </w:t>
      </w:r>
      <w:r w:rsidRPr="00553058">
        <w:rPr>
          <w:rFonts w:ascii="Times New Roman" w:hAnsi="Times New Roman"/>
          <w:sz w:val="24"/>
          <w:szCs w:val="24"/>
        </w:rPr>
        <w:t xml:space="preserve"> </w:t>
      </w:r>
      <w:r w:rsidR="007A62AE">
        <w:rPr>
          <w:rFonts w:ascii="Times New Roman" w:hAnsi="Times New Roman"/>
          <w:sz w:val="24"/>
          <w:szCs w:val="24"/>
        </w:rPr>
        <w:t>nebija</w:t>
      </w:r>
      <w:r w:rsidRPr="00553058">
        <w:rPr>
          <w:rFonts w:ascii="Times New Roman" w:hAnsi="Times New Roman"/>
          <w:sz w:val="24"/>
          <w:szCs w:val="24"/>
        </w:rPr>
        <w:t xml:space="preserve"> vienotas pieejas atvērto datu politikas ieviešanai, jo nav noteiktas prioritātes, un datu atvēršana tiek organizēta</w:t>
      </w:r>
      <w:r w:rsidRPr="00A30829">
        <w:rPr>
          <w:rFonts w:ascii="Times New Roman" w:hAnsi="Times New Roman"/>
          <w:sz w:val="24"/>
          <w:szCs w:val="24"/>
        </w:rPr>
        <w:t xml:space="preserve"> tikai Eiropas reģionālā attīstības fonda (turpmāk – ERAF) vai citu ārvalstu </w:t>
      </w:r>
      <w:r w:rsidR="00965DBF">
        <w:rPr>
          <w:rFonts w:ascii="Times New Roman" w:hAnsi="Times New Roman"/>
          <w:sz w:val="24"/>
          <w:szCs w:val="24"/>
        </w:rPr>
        <w:t xml:space="preserve">finanšu instrumentu </w:t>
      </w:r>
      <w:r w:rsidRPr="00A30829">
        <w:rPr>
          <w:rFonts w:ascii="Times New Roman" w:hAnsi="Times New Roman"/>
          <w:sz w:val="24"/>
          <w:szCs w:val="24"/>
        </w:rPr>
        <w:t xml:space="preserve">finansētajos projektos. Iestādēm, kuras nav piedalījušās ERAF vai citu ārvalstu </w:t>
      </w:r>
      <w:r w:rsidR="00965DBF">
        <w:rPr>
          <w:rFonts w:ascii="Times New Roman" w:hAnsi="Times New Roman"/>
          <w:sz w:val="24"/>
          <w:szCs w:val="24"/>
        </w:rPr>
        <w:t xml:space="preserve">finanšu instrumentu </w:t>
      </w:r>
      <w:r w:rsidRPr="00A30829">
        <w:rPr>
          <w:rFonts w:ascii="Times New Roman" w:hAnsi="Times New Roman"/>
          <w:sz w:val="24"/>
          <w:szCs w:val="24"/>
        </w:rPr>
        <w:t xml:space="preserve">projektu īstenošanā, izdevumi datu apmaiņai un </w:t>
      </w:r>
      <w:proofErr w:type="spellStart"/>
      <w:r w:rsidRPr="00A30829">
        <w:rPr>
          <w:rFonts w:ascii="Times New Roman" w:hAnsi="Times New Roman"/>
          <w:sz w:val="24"/>
          <w:szCs w:val="24"/>
        </w:rPr>
        <w:t>sadarbspējas</w:t>
      </w:r>
      <w:proofErr w:type="spellEnd"/>
      <w:r w:rsidRPr="00A30829">
        <w:rPr>
          <w:rFonts w:ascii="Times New Roman" w:hAnsi="Times New Roman"/>
          <w:sz w:val="24"/>
          <w:szCs w:val="24"/>
        </w:rPr>
        <w:t xml:space="preserve"> attīstībai ir jāfinansē no pieejamā budžeta. </w:t>
      </w:r>
    </w:p>
    <w:p w14:paraId="0AB514B0" w14:textId="6BA7A21E" w:rsidR="007A62AE" w:rsidRPr="007A62AE" w:rsidRDefault="007A62AE" w:rsidP="00B1073D">
      <w:pPr>
        <w:spacing w:after="0"/>
        <w:ind w:firstLine="562"/>
        <w:jc w:val="both"/>
        <w:rPr>
          <w:rFonts w:ascii="Times New Roman" w:hAnsi="Times New Roman"/>
          <w:color w:val="000000" w:themeColor="text1"/>
          <w:sz w:val="24"/>
          <w:szCs w:val="24"/>
        </w:rPr>
      </w:pPr>
      <w:r w:rsidRPr="007A62AE">
        <w:rPr>
          <w:rFonts w:ascii="Times New Roman" w:hAnsi="Times New Roman"/>
          <w:sz w:val="24"/>
          <w:szCs w:val="24"/>
        </w:rPr>
        <w:t xml:space="preserve">Stratēģijas uzdevumi izriet no tās mērķiem un faktiski ir sistemātisku </w:t>
      </w:r>
      <w:r w:rsidRPr="007A62AE">
        <w:rPr>
          <w:rFonts w:ascii="Times New Roman" w:hAnsi="Times New Roman"/>
          <w:color w:val="000000" w:themeColor="text1"/>
          <w:sz w:val="24"/>
          <w:szCs w:val="24"/>
        </w:rPr>
        <w:t xml:space="preserve">uzdevumu un </w:t>
      </w:r>
      <w:r w:rsidRPr="007A62AE">
        <w:rPr>
          <w:rFonts w:ascii="Times New Roman" w:hAnsi="Times New Roman"/>
          <w:color w:val="000000" w:themeColor="text1"/>
          <w:sz w:val="24"/>
          <w:szCs w:val="24"/>
        </w:rPr>
        <w:lastRenderedPageBreak/>
        <w:t xml:space="preserve">pasākumu kopa, kas dažādā ietekmes intensitātē mijiedarbojas, radot  ekosistēmu uz datos balstītas sabiedrības un valsts attīstībai. Ņemot vērā labas pārvaldības principu, </w:t>
      </w:r>
      <w:r w:rsidR="00E7219D">
        <w:rPr>
          <w:rFonts w:ascii="Times New Roman" w:hAnsi="Times New Roman"/>
          <w:color w:val="000000" w:themeColor="text1"/>
          <w:sz w:val="24"/>
          <w:szCs w:val="24"/>
        </w:rPr>
        <w:t>S</w:t>
      </w:r>
      <w:r w:rsidRPr="007A62AE">
        <w:rPr>
          <w:rFonts w:ascii="Times New Roman" w:hAnsi="Times New Roman"/>
          <w:color w:val="000000" w:themeColor="text1"/>
          <w:sz w:val="24"/>
          <w:szCs w:val="24"/>
        </w:rPr>
        <w:t>tratēģijā iekļautās aktivitātes rosina publiskajam sektoram neveidot jaunus produktus vai pakalpojumus, tādējādi konkurējot ar privāto sektoru. Tās mērķis ir, publiskajam sektoram atverot datus, ļaut privātajam sektoram veidot jaunus, kvalitatīvus un inovatīvus pakalpojumus.</w:t>
      </w:r>
    </w:p>
    <w:p w14:paraId="5FE769D8" w14:textId="77777777" w:rsidR="00A30829" w:rsidRPr="00A30829" w:rsidRDefault="00A30829" w:rsidP="00A30829">
      <w:pPr>
        <w:jc w:val="both"/>
        <w:rPr>
          <w:rFonts w:ascii="Times New Roman" w:hAnsi="Times New Roman"/>
        </w:rPr>
      </w:pPr>
    </w:p>
    <w:p w14:paraId="4BD46F5D" w14:textId="3EE380AD" w:rsidR="00A30829" w:rsidRPr="00652BE7" w:rsidRDefault="00BE3558" w:rsidP="00652BE7">
      <w:pPr>
        <w:pStyle w:val="Heading1"/>
        <w:numPr>
          <w:ilvl w:val="0"/>
          <w:numId w:val="27"/>
        </w:numPr>
        <w:jc w:val="center"/>
        <w:rPr>
          <w:rFonts w:ascii="Times New Roman" w:hAnsi="Times New Roman" w:cs="Times New Roman"/>
          <w:color w:val="auto"/>
          <w:sz w:val="28"/>
        </w:rPr>
      </w:pPr>
      <w:bookmarkStart w:id="4" w:name="_Toc26252152"/>
      <w:r w:rsidRPr="00652BE7">
        <w:rPr>
          <w:rFonts w:ascii="Times New Roman" w:hAnsi="Times New Roman" w:cs="Times New Roman"/>
          <w:color w:val="auto"/>
          <w:sz w:val="28"/>
        </w:rPr>
        <w:t>Valsts meža dienesta</w:t>
      </w:r>
      <w:r w:rsidR="00005E6C" w:rsidRPr="00652BE7">
        <w:rPr>
          <w:rFonts w:ascii="Times New Roman" w:hAnsi="Times New Roman" w:cs="Times New Roman"/>
          <w:color w:val="auto"/>
          <w:sz w:val="28"/>
        </w:rPr>
        <w:t xml:space="preserve"> (VMD)</w:t>
      </w:r>
      <w:r w:rsidRPr="00652BE7">
        <w:rPr>
          <w:rFonts w:ascii="Times New Roman" w:hAnsi="Times New Roman" w:cs="Times New Roman"/>
          <w:color w:val="auto"/>
          <w:sz w:val="28"/>
        </w:rPr>
        <w:t xml:space="preserve"> datu publicēšana</w:t>
      </w:r>
      <w:bookmarkEnd w:id="4"/>
    </w:p>
    <w:p w14:paraId="2FC13234" w14:textId="77777777" w:rsidR="00A30829" w:rsidRDefault="00A30829" w:rsidP="00BE3558">
      <w:pPr>
        <w:jc w:val="both"/>
        <w:rPr>
          <w:rFonts w:ascii="Times New Roman" w:hAnsi="Times New Roman"/>
        </w:rPr>
      </w:pPr>
      <w:r w:rsidRPr="00A30829">
        <w:rPr>
          <w:rFonts w:ascii="Times New Roman" w:hAnsi="Times New Roman"/>
        </w:rPr>
        <w:t xml:space="preserve"> </w:t>
      </w:r>
    </w:p>
    <w:p w14:paraId="21AFD28E" w14:textId="7E06430B" w:rsidR="00394A6A" w:rsidRPr="00EE16B2" w:rsidRDefault="00005E6C" w:rsidP="00005E6C">
      <w:pPr>
        <w:ind w:firstLine="709"/>
        <w:jc w:val="both"/>
        <w:rPr>
          <w:rFonts w:ascii="Times New Roman" w:hAnsi="Times New Roman"/>
          <w:sz w:val="24"/>
          <w:szCs w:val="24"/>
        </w:rPr>
      </w:pPr>
      <w:r>
        <w:rPr>
          <w:rFonts w:ascii="Times New Roman" w:hAnsi="Times New Roman"/>
          <w:sz w:val="24"/>
        </w:rPr>
        <w:t>No LATA, LIKTA un LTRK</w:t>
      </w:r>
      <w:r w:rsidR="00E7219D">
        <w:rPr>
          <w:rFonts w:ascii="Times New Roman" w:hAnsi="Times New Roman"/>
          <w:sz w:val="24"/>
        </w:rPr>
        <w:t xml:space="preserve"> ieteikumiem</w:t>
      </w:r>
      <w:r>
        <w:rPr>
          <w:rFonts w:ascii="Times New Roman" w:hAnsi="Times New Roman"/>
          <w:sz w:val="24"/>
        </w:rPr>
        <w:t xml:space="preserve"> tika identificēt</w:t>
      </w:r>
      <w:r w:rsidR="00E7219D">
        <w:rPr>
          <w:rFonts w:ascii="Times New Roman" w:hAnsi="Times New Roman"/>
          <w:sz w:val="24"/>
        </w:rPr>
        <w:t>a nepieciešamība</w:t>
      </w:r>
      <w:r>
        <w:rPr>
          <w:rFonts w:ascii="Times New Roman" w:hAnsi="Times New Roman"/>
          <w:sz w:val="24"/>
        </w:rPr>
        <w:t xml:space="preserve"> publicēt “</w:t>
      </w:r>
      <w:bookmarkStart w:id="5" w:name="_Hlk23507805"/>
      <w:r>
        <w:rPr>
          <w:rFonts w:ascii="Times New Roman" w:hAnsi="Times New Roman"/>
          <w:sz w:val="24"/>
        </w:rPr>
        <w:t>Meža inventarizācijas ģeotelpiskos un tabulāros datus</w:t>
      </w:r>
      <w:bookmarkEnd w:id="5"/>
      <w:r>
        <w:rPr>
          <w:rFonts w:ascii="Times New Roman" w:hAnsi="Times New Roman"/>
          <w:sz w:val="24"/>
        </w:rPr>
        <w:t>”. Tikšanās laikā</w:t>
      </w:r>
      <w:r w:rsidR="00E7219D">
        <w:rPr>
          <w:rFonts w:ascii="Times New Roman" w:hAnsi="Times New Roman"/>
          <w:sz w:val="24"/>
        </w:rPr>
        <w:t>, kurā piedalījās VARAM, LATA, LIKTA un LTRK pārstāvji,</w:t>
      </w:r>
      <w:r>
        <w:rPr>
          <w:rFonts w:ascii="Times New Roman" w:hAnsi="Times New Roman"/>
          <w:sz w:val="24"/>
        </w:rPr>
        <w:t xml:space="preserve"> VMD informēja, ka iestāde ir ieinteresēta šos datus padarīt publiski pieejamus, jo tādā veidā tā varētu ietaupīt administratīvos resursus, kuri šobrīd tiek izmantoti informācijas pieprasījumu nodrošināšanai. VMD </w:t>
      </w:r>
      <w:r w:rsidRPr="00EE16B2">
        <w:rPr>
          <w:rFonts w:ascii="Times New Roman" w:hAnsi="Times New Roman"/>
          <w:sz w:val="24"/>
          <w:szCs w:val="24"/>
        </w:rPr>
        <w:t>informēja, ka šobrīd publicēt konkrēto datu kopu neļauj Meža likuma 30.panta otrais teikums</w:t>
      </w:r>
      <w:r w:rsidRPr="00EE16B2">
        <w:rPr>
          <w:rStyle w:val="FootnoteReference"/>
          <w:rFonts w:ascii="Times New Roman" w:hAnsi="Times New Roman"/>
          <w:sz w:val="24"/>
          <w:szCs w:val="24"/>
        </w:rPr>
        <w:footnoteReference w:id="12"/>
      </w:r>
      <w:r w:rsidRPr="00EE16B2">
        <w:rPr>
          <w:rFonts w:ascii="Times New Roman" w:hAnsi="Times New Roman"/>
          <w:sz w:val="24"/>
          <w:szCs w:val="24"/>
        </w:rPr>
        <w:t xml:space="preserve">, kurš nosaka: </w:t>
      </w:r>
      <w:r w:rsidRPr="00652BE7">
        <w:rPr>
          <w:rFonts w:ascii="Times New Roman" w:hAnsi="Times New Roman"/>
          <w:i/>
          <w:sz w:val="24"/>
          <w:szCs w:val="24"/>
        </w:rPr>
        <w:t>“</w:t>
      </w:r>
      <w:r w:rsidR="00E00450" w:rsidRPr="00652BE7">
        <w:rPr>
          <w:rFonts w:ascii="Times New Roman" w:hAnsi="Times New Roman"/>
          <w:i/>
          <w:sz w:val="24"/>
          <w:szCs w:val="24"/>
        </w:rPr>
        <w:t xml:space="preserve">[..] </w:t>
      </w:r>
      <w:r w:rsidRPr="00652BE7">
        <w:rPr>
          <w:rFonts w:ascii="Times New Roman" w:hAnsi="Times New Roman"/>
          <w:i/>
          <w:sz w:val="24"/>
          <w:szCs w:val="24"/>
        </w:rPr>
        <w:t>Meža inventarizācijas informācija par konkrētā īpašnieka vai tiesiskā valdītāja mežu ir ierobežotas pieejamības informācija</w:t>
      </w:r>
      <w:r w:rsidR="00E00450" w:rsidRPr="00652BE7">
        <w:rPr>
          <w:rFonts w:ascii="Times New Roman" w:hAnsi="Times New Roman"/>
          <w:i/>
          <w:sz w:val="24"/>
          <w:szCs w:val="24"/>
        </w:rPr>
        <w:t>[..]</w:t>
      </w:r>
      <w:r w:rsidRPr="00EE16B2">
        <w:rPr>
          <w:rFonts w:ascii="Times New Roman" w:hAnsi="Times New Roman"/>
          <w:sz w:val="24"/>
          <w:szCs w:val="24"/>
        </w:rPr>
        <w:t>”.</w:t>
      </w:r>
    </w:p>
    <w:p w14:paraId="712D4702" w14:textId="468C95C6" w:rsidR="00005E6C" w:rsidRPr="00005E6C" w:rsidRDefault="00005E6C" w:rsidP="0072420E">
      <w:pPr>
        <w:ind w:firstLine="709"/>
        <w:jc w:val="both"/>
        <w:rPr>
          <w:sz w:val="24"/>
        </w:rPr>
      </w:pPr>
      <w:r w:rsidRPr="00EE16B2">
        <w:rPr>
          <w:rFonts w:ascii="Times New Roman" w:hAnsi="Times New Roman"/>
          <w:sz w:val="24"/>
          <w:szCs w:val="24"/>
        </w:rPr>
        <w:t>VMD informēja, ka ir sagatavojuši grozījumus Meža</w:t>
      </w:r>
      <w:r>
        <w:rPr>
          <w:rFonts w:ascii="Times New Roman" w:hAnsi="Times New Roman"/>
          <w:sz w:val="24"/>
        </w:rPr>
        <w:t xml:space="preserve"> likumā, kuri noteiks, ka </w:t>
      </w:r>
      <w:r w:rsidR="0072420E">
        <w:rPr>
          <w:rFonts w:ascii="Times New Roman" w:hAnsi="Times New Roman"/>
          <w:sz w:val="24"/>
        </w:rPr>
        <w:t>konkrētie dati ir publiski pieejama informācija,</w:t>
      </w:r>
      <w:r>
        <w:rPr>
          <w:rFonts w:ascii="Times New Roman" w:hAnsi="Times New Roman"/>
          <w:sz w:val="24"/>
        </w:rPr>
        <w:t xml:space="preserve"> un iesnieguši </w:t>
      </w:r>
      <w:r w:rsidR="00E00450" w:rsidRPr="00EE16B2">
        <w:rPr>
          <w:rFonts w:ascii="Times New Roman" w:hAnsi="Times New Roman"/>
          <w:sz w:val="24"/>
          <w:szCs w:val="24"/>
        </w:rPr>
        <w:t>grozījumus</w:t>
      </w:r>
      <w:r w:rsidR="00E00450">
        <w:rPr>
          <w:rFonts w:ascii="Times New Roman" w:hAnsi="Times New Roman"/>
          <w:sz w:val="24"/>
        </w:rPr>
        <w:t xml:space="preserve"> </w:t>
      </w:r>
      <w:r>
        <w:rPr>
          <w:rFonts w:ascii="Times New Roman" w:hAnsi="Times New Roman"/>
          <w:sz w:val="24"/>
        </w:rPr>
        <w:t xml:space="preserve">Zemkopības ministrijā un tie tiek virzīti kopā ar citiem aktuāliem grozījumiem </w:t>
      </w:r>
      <w:r w:rsidR="00E00450">
        <w:rPr>
          <w:rFonts w:ascii="Times New Roman" w:hAnsi="Times New Roman"/>
          <w:sz w:val="24"/>
        </w:rPr>
        <w:t xml:space="preserve">šajā </w:t>
      </w:r>
      <w:r>
        <w:rPr>
          <w:rFonts w:ascii="Times New Roman" w:hAnsi="Times New Roman"/>
          <w:sz w:val="24"/>
        </w:rPr>
        <w:t xml:space="preserve">likumā. Ņemot vērā, ka citi grozījumi ir komplicētāki un skar dažādas sabiedrības grupas, prognozēt konkrētu grozījumu spēkā stāšanās laiku </w:t>
      </w:r>
      <w:r w:rsidR="00E00450">
        <w:rPr>
          <w:rFonts w:ascii="Times New Roman" w:hAnsi="Times New Roman"/>
          <w:sz w:val="24"/>
        </w:rPr>
        <w:t xml:space="preserve">šobrīd </w:t>
      </w:r>
      <w:r>
        <w:rPr>
          <w:rFonts w:ascii="Times New Roman" w:hAnsi="Times New Roman"/>
          <w:sz w:val="24"/>
        </w:rPr>
        <w:t xml:space="preserve">nav iespējams. </w:t>
      </w:r>
    </w:p>
    <w:p w14:paraId="710A051F" w14:textId="78353C93" w:rsidR="00A30829" w:rsidRPr="00652BE7" w:rsidRDefault="00BE3558" w:rsidP="00652BE7">
      <w:pPr>
        <w:pStyle w:val="Heading1"/>
        <w:numPr>
          <w:ilvl w:val="0"/>
          <w:numId w:val="27"/>
        </w:numPr>
        <w:jc w:val="center"/>
        <w:rPr>
          <w:rFonts w:ascii="Times New Roman" w:hAnsi="Times New Roman" w:cs="Times New Roman"/>
          <w:color w:val="auto"/>
          <w:sz w:val="28"/>
        </w:rPr>
      </w:pPr>
      <w:bookmarkStart w:id="6" w:name="_Toc26252153"/>
      <w:r w:rsidRPr="00652BE7">
        <w:rPr>
          <w:rFonts w:ascii="Times New Roman" w:hAnsi="Times New Roman" w:cs="Times New Roman"/>
          <w:color w:val="auto"/>
          <w:sz w:val="28"/>
        </w:rPr>
        <w:t>Latvijas Valsts ceļu</w:t>
      </w:r>
      <w:r w:rsidR="0072420E" w:rsidRPr="00652BE7">
        <w:rPr>
          <w:rFonts w:ascii="Times New Roman" w:hAnsi="Times New Roman" w:cs="Times New Roman"/>
          <w:color w:val="auto"/>
          <w:sz w:val="28"/>
        </w:rPr>
        <w:t xml:space="preserve"> (LVC)</w:t>
      </w:r>
      <w:r w:rsidRPr="00652BE7">
        <w:rPr>
          <w:rFonts w:ascii="Times New Roman" w:hAnsi="Times New Roman" w:cs="Times New Roman"/>
          <w:color w:val="auto"/>
          <w:sz w:val="28"/>
        </w:rPr>
        <w:t xml:space="preserve"> datu publicēšana</w:t>
      </w:r>
      <w:bookmarkEnd w:id="6"/>
    </w:p>
    <w:p w14:paraId="28735798" w14:textId="77777777" w:rsidR="0072420E" w:rsidRDefault="0072420E" w:rsidP="0072420E">
      <w:pPr>
        <w:jc w:val="both"/>
        <w:rPr>
          <w:rFonts w:ascii="Times New Roman" w:hAnsi="Times New Roman"/>
        </w:rPr>
      </w:pPr>
    </w:p>
    <w:p w14:paraId="6BF43A42" w14:textId="1E9BE048" w:rsidR="0072420E" w:rsidRDefault="00E7219D" w:rsidP="00F60FC2">
      <w:pPr>
        <w:spacing w:after="0"/>
        <w:ind w:firstLine="709"/>
        <w:jc w:val="both"/>
        <w:rPr>
          <w:rFonts w:ascii="Times New Roman" w:hAnsi="Times New Roman"/>
          <w:sz w:val="24"/>
        </w:rPr>
      </w:pPr>
      <w:r>
        <w:rPr>
          <w:rFonts w:ascii="Times New Roman" w:hAnsi="Times New Roman"/>
          <w:sz w:val="24"/>
        </w:rPr>
        <w:t>No LATA, LIKTA un LTRK ieteikumiem tika identificēta nepieciešamība</w:t>
      </w:r>
      <w:r w:rsidR="0072420E">
        <w:rPr>
          <w:rFonts w:ascii="Times New Roman" w:hAnsi="Times New Roman"/>
          <w:sz w:val="24"/>
        </w:rPr>
        <w:t xml:space="preserve"> publicēt “</w:t>
      </w:r>
      <w:bookmarkStart w:id="7" w:name="_Hlk23507832"/>
      <w:r w:rsidR="0072420E">
        <w:rPr>
          <w:rFonts w:ascii="Times New Roman" w:hAnsi="Times New Roman"/>
          <w:sz w:val="24"/>
        </w:rPr>
        <w:t>Autoceļu remontdarbu operatīvo informāciju un satiksmes ierobežojumus</w:t>
      </w:r>
      <w:bookmarkEnd w:id="7"/>
      <w:r w:rsidR="0072420E">
        <w:rPr>
          <w:rFonts w:ascii="Times New Roman" w:hAnsi="Times New Roman"/>
          <w:sz w:val="24"/>
        </w:rPr>
        <w:t xml:space="preserve">”, kā arī “Dinamiskos transporta kustības datus”. </w:t>
      </w:r>
      <w:r>
        <w:rPr>
          <w:rFonts w:ascii="Times New Roman" w:hAnsi="Times New Roman"/>
          <w:sz w:val="24"/>
        </w:rPr>
        <w:t xml:space="preserve">Tikšanās laikā, kurā piedalījās VARAM, LATA, LIKTA un LTRK pārstāvji, </w:t>
      </w:r>
      <w:r w:rsidR="0072420E">
        <w:rPr>
          <w:rFonts w:ascii="Times New Roman" w:hAnsi="Times New Roman"/>
          <w:sz w:val="24"/>
        </w:rPr>
        <w:t xml:space="preserve">LVC apņēmās datu kopu “Autoceļu remontdarbu operatīvo informāciju un satiksmes ierobežojumus” publicēt līdz 2020.gada 31.janvārim. </w:t>
      </w:r>
      <w:r w:rsidR="00997EEC">
        <w:rPr>
          <w:rFonts w:ascii="Times New Roman" w:hAnsi="Times New Roman"/>
          <w:sz w:val="24"/>
        </w:rPr>
        <w:t xml:space="preserve">Tikšanās laikā </w:t>
      </w:r>
      <w:r w:rsidR="0072420E">
        <w:rPr>
          <w:rFonts w:ascii="Times New Roman" w:hAnsi="Times New Roman"/>
          <w:sz w:val="24"/>
        </w:rPr>
        <w:t>LVC norādīja, ka “Dinamiskos transporta kustības datus” mašīnlasāmā formātā</w:t>
      </w:r>
      <w:r w:rsidR="00003F23" w:rsidRPr="00003F23">
        <w:rPr>
          <w:rFonts w:ascii="Times New Roman" w:hAnsi="Times New Roman"/>
          <w:sz w:val="24"/>
        </w:rPr>
        <w:t xml:space="preserve"> </w:t>
      </w:r>
      <w:r w:rsidR="00003F23">
        <w:rPr>
          <w:rFonts w:ascii="Times New Roman" w:hAnsi="Times New Roman"/>
          <w:sz w:val="24"/>
        </w:rPr>
        <w:t>izgūt nav lietderīgi (tie ir nepārskatāmi)</w:t>
      </w:r>
      <w:r w:rsidR="0072420E">
        <w:rPr>
          <w:rFonts w:ascii="Times New Roman" w:hAnsi="Times New Roman"/>
          <w:sz w:val="24"/>
        </w:rPr>
        <w:t xml:space="preserve">. LVC var publicēt </w:t>
      </w:r>
      <w:bookmarkStart w:id="8" w:name="_Hlk23507859"/>
      <w:r w:rsidR="0072420E">
        <w:rPr>
          <w:rFonts w:ascii="Times New Roman" w:hAnsi="Times New Roman"/>
          <w:sz w:val="24"/>
        </w:rPr>
        <w:t xml:space="preserve">gada vidējo statistiku par transporta kustību </w:t>
      </w:r>
      <w:bookmarkEnd w:id="8"/>
      <w:r w:rsidR="0072420E">
        <w:rPr>
          <w:rFonts w:ascii="Times New Roman" w:hAnsi="Times New Roman"/>
          <w:sz w:val="24"/>
        </w:rPr>
        <w:t>(arī vēsturiskos datus), sa</w:t>
      </w:r>
      <w:r w:rsidR="007B0BF6">
        <w:rPr>
          <w:rFonts w:ascii="Times New Roman" w:hAnsi="Times New Roman"/>
          <w:sz w:val="24"/>
        </w:rPr>
        <w:t xml:space="preserve">vukārt satiksmes intensitātes datus tuvu reāllaikam varētu publicēt </w:t>
      </w:r>
      <w:r w:rsidR="00F60FC2">
        <w:rPr>
          <w:rFonts w:ascii="Times New Roman" w:hAnsi="Times New Roman"/>
          <w:sz w:val="24"/>
        </w:rPr>
        <w:t xml:space="preserve">DATEX II standartiem atbilstošus datus </w:t>
      </w:r>
      <w:r w:rsidR="007B0BF6" w:rsidRPr="00F60FC2">
        <w:rPr>
          <w:rFonts w:ascii="Times New Roman" w:hAnsi="Times New Roman"/>
          <w:sz w:val="24"/>
          <w:szCs w:val="24"/>
        </w:rPr>
        <w:t xml:space="preserve">caur </w:t>
      </w:r>
      <w:r w:rsidR="00F60FC2" w:rsidRPr="00F60FC2">
        <w:rPr>
          <w:rFonts w:ascii="Times New Roman" w:hAnsi="Times New Roman"/>
          <w:sz w:val="24"/>
          <w:szCs w:val="24"/>
        </w:rPr>
        <w:t>transporta nozares informācijas nacionālo piekļuves platformu</w:t>
      </w:r>
      <w:r w:rsidR="00F60FC2">
        <w:rPr>
          <w:rFonts w:ascii="Times New Roman" w:hAnsi="Times New Roman"/>
          <w:sz w:val="24"/>
          <w:szCs w:val="24"/>
        </w:rPr>
        <w:t xml:space="preserve"> (NPP). </w:t>
      </w:r>
    </w:p>
    <w:p w14:paraId="136BE03A" w14:textId="0628E72E" w:rsidR="000226CF" w:rsidRDefault="007B0BF6" w:rsidP="00F60FC2">
      <w:pPr>
        <w:spacing w:after="0"/>
        <w:ind w:firstLine="709"/>
        <w:jc w:val="both"/>
        <w:rPr>
          <w:rFonts w:ascii="Times New Roman" w:hAnsi="Times New Roman"/>
          <w:sz w:val="24"/>
        </w:rPr>
      </w:pPr>
      <w:r>
        <w:rPr>
          <w:rFonts w:ascii="Times New Roman" w:hAnsi="Times New Roman"/>
          <w:sz w:val="24"/>
        </w:rPr>
        <w:t>LVC līdz 2020.gada 31.janvārim Latvijas Atvērto datu portālā publicē</w:t>
      </w:r>
      <w:r w:rsidR="00EE16B2">
        <w:rPr>
          <w:rFonts w:ascii="Times New Roman" w:hAnsi="Times New Roman"/>
          <w:sz w:val="24"/>
        </w:rPr>
        <w:t>s</w:t>
      </w:r>
      <w:r>
        <w:rPr>
          <w:rFonts w:ascii="Times New Roman" w:hAnsi="Times New Roman"/>
          <w:sz w:val="24"/>
        </w:rPr>
        <w:t xml:space="preserve"> arī datus, kas iegūti no viedajām </w:t>
      </w:r>
      <w:r w:rsidRPr="00003F23">
        <w:rPr>
          <w:rFonts w:ascii="Times New Roman" w:hAnsi="Times New Roman"/>
          <w:sz w:val="24"/>
        </w:rPr>
        <w:t>ceļazīmēm, melno punktu karti, trokš</w:t>
      </w:r>
      <w:r w:rsidR="00EE16B2" w:rsidRPr="00003F23">
        <w:rPr>
          <w:rFonts w:ascii="Times New Roman" w:hAnsi="Times New Roman"/>
          <w:sz w:val="24"/>
        </w:rPr>
        <w:t>ņ</w:t>
      </w:r>
      <w:r w:rsidRPr="00003F23">
        <w:rPr>
          <w:rFonts w:ascii="Times New Roman" w:hAnsi="Times New Roman"/>
          <w:sz w:val="24"/>
        </w:rPr>
        <w:t xml:space="preserve">u karti (kā kartes slāni), greideru atrašanās vietas, </w:t>
      </w:r>
      <w:bookmarkStart w:id="9" w:name="_Hlk23507925"/>
      <w:r w:rsidR="00003F23" w:rsidRPr="00003F23">
        <w:rPr>
          <w:rFonts w:ascii="Times New Roman" w:hAnsi="Times New Roman"/>
          <w:sz w:val="24"/>
          <w:szCs w:val="24"/>
        </w:rPr>
        <w:t xml:space="preserve">asfalta seguma ceļu bedru remontu </w:t>
      </w:r>
      <w:r w:rsidRPr="00003F23">
        <w:rPr>
          <w:rFonts w:ascii="Times New Roman" w:hAnsi="Times New Roman"/>
          <w:sz w:val="24"/>
        </w:rPr>
        <w:t>vietu karti</w:t>
      </w:r>
      <w:bookmarkEnd w:id="9"/>
      <w:r w:rsidRPr="00003F23">
        <w:rPr>
          <w:rFonts w:ascii="Times New Roman" w:hAnsi="Times New Roman"/>
          <w:sz w:val="24"/>
        </w:rPr>
        <w:t xml:space="preserve">, </w:t>
      </w:r>
      <w:bookmarkStart w:id="10" w:name="_Hlk23507930"/>
      <w:r w:rsidRPr="00003F23">
        <w:rPr>
          <w:rFonts w:ascii="Times New Roman" w:hAnsi="Times New Roman"/>
          <w:sz w:val="24"/>
        </w:rPr>
        <w:t>stāvlaukumu koordinātas</w:t>
      </w:r>
      <w:bookmarkEnd w:id="10"/>
      <w:r w:rsidRPr="00003F23">
        <w:rPr>
          <w:rFonts w:ascii="Times New Roman" w:hAnsi="Times New Roman"/>
          <w:sz w:val="24"/>
        </w:rPr>
        <w:t xml:space="preserve">, </w:t>
      </w:r>
      <w:bookmarkStart w:id="11" w:name="_Hlk23507941"/>
      <w:r w:rsidRPr="00003F23">
        <w:rPr>
          <w:rFonts w:ascii="Times New Roman" w:hAnsi="Times New Roman"/>
          <w:sz w:val="24"/>
        </w:rPr>
        <w:t>datus no ceļu malās</w:t>
      </w:r>
      <w:r>
        <w:rPr>
          <w:rFonts w:ascii="Times New Roman" w:hAnsi="Times New Roman"/>
          <w:sz w:val="24"/>
        </w:rPr>
        <w:t xml:space="preserve"> izvietotajām </w:t>
      </w:r>
      <w:proofErr w:type="spellStart"/>
      <w:r>
        <w:rPr>
          <w:rFonts w:ascii="Times New Roman" w:hAnsi="Times New Roman"/>
          <w:sz w:val="24"/>
        </w:rPr>
        <w:t>meteostacijām</w:t>
      </w:r>
      <w:bookmarkEnd w:id="11"/>
      <w:proofErr w:type="spellEnd"/>
      <w:r>
        <w:rPr>
          <w:rFonts w:ascii="Times New Roman" w:hAnsi="Times New Roman"/>
          <w:sz w:val="24"/>
        </w:rPr>
        <w:t xml:space="preserve">.  </w:t>
      </w:r>
    </w:p>
    <w:p w14:paraId="2C85DA6D" w14:textId="77777777" w:rsidR="00DF78FE" w:rsidRPr="00A30829" w:rsidRDefault="00DF78FE" w:rsidP="00F60FC2">
      <w:pPr>
        <w:spacing w:after="0"/>
        <w:ind w:firstLine="709"/>
        <w:jc w:val="both"/>
        <w:rPr>
          <w:rFonts w:ascii="Times New Roman" w:hAnsi="Times New Roman"/>
        </w:rPr>
      </w:pPr>
    </w:p>
    <w:p w14:paraId="26195AC5" w14:textId="72729350" w:rsidR="00A30829" w:rsidRPr="00652BE7" w:rsidRDefault="00761FBA" w:rsidP="00652BE7">
      <w:pPr>
        <w:pStyle w:val="Heading1"/>
        <w:numPr>
          <w:ilvl w:val="0"/>
          <w:numId w:val="27"/>
        </w:numPr>
        <w:jc w:val="center"/>
        <w:rPr>
          <w:rFonts w:ascii="Times New Roman" w:hAnsi="Times New Roman" w:cs="Times New Roman"/>
          <w:color w:val="auto"/>
          <w:sz w:val="28"/>
        </w:rPr>
      </w:pPr>
      <w:bookmarkStart w:id="12" w:name="_Toc26252154"/>
      <w:r w:rsidRPr="00652BE7">
        <w:rPr>
          <w:rFonts w:ascii="Times New Roman" w:hAnsi="Times New Roman" w:cs="Times New Roman"/>
          <w:color w:val="auto"/>
          <w:sz w:val="28"/>
        </w:rPr>
        <w:lastRenderedPageBreak/>
        <w:t>Uzņēmumu reģistra</w:t>
      </w:r>
      <w:r w:rsidR="00575C31" w:rsidRPr="00652BE7">
        <w:rPr>
          <w:rFonts w:ascii="Times New Roman" w:hAnsi="Times New Roman" w:cs="Times New Roman"/>
          <w:color w:val="auto"/>
          <w:sz w:val="28"/>
        </w:rPr>
        <w:t xml:space="preserve"> (UR)</w:t>
      </w:r>
      <w:r w:rsidR="00A30829" w:rsidRPr="00652BE7">
        <w:rPr>
          <w:rFonts w:ascii="Times New Roman" w:hAnsi="Times New Roman" w:cs="Times New Roman"/>
          <w:color w:val="auto"/>
          <w:sz w:val="28"/>
        </w:rPr>
        <w:t xml:space="preserve"> rīcībā esošo datu kopu publicēšana</w:t>
      </w:r>
      <w:bookmarkEnd w:id="12"/>
    </w:p>
    <w:p w14:paraId="35BC02DF" w14:textId="77777777" w:rsidR="007B0BF6" w:rsidRDefault="007B0BF6" w:rsidP="00B42BA0">
      <w:pPr>
        <w:spacing w:after="0"/>
        <w:jc w:val="both"/>
        <w:rPr>
          <w:b/>
        </w:rPr>
      </w:pPr>
    </w:p>
    <w:p w14:paraId="08C6ED8C" w14:textId="4DED1C10" w:rsidR="001D54C8" w:rsidRPr="00A76342" w:rsidRDefault="001D54C8" w:rsidP="00A76342">
      <w:pPr>
        <w:spacing w:after="0"/>
        <w:ind w:firstLine="709"/>
        <w:jc w:val="both"/>
        <w:rPr>
          <w:rFonts w:ascii="Times New Roman" w:hAnsi="Times New Roman"/>
          <w:sz w:val="24"/>
          <w:szCs w:val="24"/>
        </w:rPr>
      </w:pPr>
      <w:r>
        <w:rPr>
          <w:rFonts w:ascii="Times New Roman" w:hAnsi="Times New Roman"/>
          <w:sz w:val="24"/>
          <w:szCs w:val="24"/>
        </w:rPr>
        <w:t>No LATA, LIKTA un LTRK</w:t>
      </w:r>
      <w:r w:rsidR="00E7219D">
        <w:rPr>
          <w:rFonts w:ascii="Times New Roman" w:hAnsi="Times New Roman"/>
          <w:sz w:val="24"/>
          <w:szCs w:val="24"/>
        </w:rPr>
        <w:t xml:space="preserve"> ieteikumiem</w:t>
      </w:r>
      <w:r>
        <w:rPr>
          <w:rFonts w:ascii="Times New Roman" w:hAnsi="Times New Roman"/>
          <w:sz w:val="24"/>
          <w:szCs w:val="24"/>
        </w:rPr>
        <w:t xml:space="preserve"> tika identificēt</w:t>
      </w:r>
      <w:r w:rsidR="00E7219D">
        <w:rPr>
          <w:rFonts w:ascii="Times New Roman" w:hAnsi="Times New Roman"/>
          <w:sz w:val="24"/>
          <w:szCs w:val="24"/>
        </w:rPr>
        <w:t>a nepieciešamība</w:t>
      </w:r>
      <w:r>
        <w:rPr>
          <w:rFonts w:ascii="Times New Roman" w:hAnsi="Times New Roman"/>
          <w:sz w:val="24"/>
          <w:szCs w:val="24"/>
        </w:rPr>
        <w:t xml:space="preserve"> publicēt </w:t>
      </w:r>
      <w:bookmarkStart w:id="13" w:name="_Hlk23508870"/>
      <w:r>
        <w:rPr>
          <w:rFonts w:ascii="Times New Roman" w:hAnsi="Times New Roman"/>
          <w:sz w:val="24"/>
          <w:szCs w:val="24"/>
        </w:rPr>
        <w:t>Uzņēmumu gada pārskatus</w:t>
      </w:r>
      <w:bookmarkEnd w:id="13"/>
      <w:r>
        <w:rPr>
          <w:rFonts w:ascii="Times New Roman" w:hAnsi="Times New Roman"/>
          <w:sz w:val="24"/>
          <w:szCs w:val="24"/>
        </w:rPr>
        <w:t xml:space="preserve">, </w:t>
      </w:r>
      <w:bookmarkStart w:id="14" w:name="_Hlk23508882"/>
      <w:r>
        <w:rPr>
          <w:rFonts w:ascii="Times New Roman" w:hAnsi="Times New Roman"/>
          <w:sz w:val="24"/>
          <w:szCs w:val="24"/>
        </w:rPr>
        <w:t>uzņēmumu valdes locekļu sastāvu</w:t>
      </w:r>
      <w:bookmarkEnd w:id="14"/>
      <w:r>
        <w:rPr>
          <w:rFonts w:ascii="Times New Roman" w:hAnsi="Times New Roman"/>
          <w:sz w:val="24"/>
          <w:szCs w:val="24"/>
        </w:rPr>
        <w:t xml:space="preserve">, </w:t>
      </w:r>
      <w:bookmarkStart w:id="15" w:name="_Hlk23508891"/>
      <w:r>
        <w:rPr>
          <w:rFonts w:ascii="Times New Roman" w:hAnsi="Times New Roman"/>
          <w:sz w:val="24"/>
          <w:szCs w:val="24"/>
        </w:rPr>
        <w:t>uzņēmumu īpašniekus (dalībniekus)</w:t>
      </w:r>
      <w:bookmarkEnd w:id="15"/>
      <w:r>
        <w:rPr>
          <w:rFonts w:ascii="Times New Roman" w:hAnsi="Times New Roman"/>
          <w:sz w:val="24"/>
          <w:szCs w:val="24"/>
        </w:rPr>
        <w:t xml:space="preserve">, </w:t>
      </w:r>
      <w:bookmarkStart w:id="16" w:name="_Hlk23508906"/>
      <w:r>
        <w:rPr>
          <w:rFonts w:ascii="Times New Roman" w:hAnsi="Times New Roman"/>
          <w:sz w:val="24"/>
          <w:szCs w:val="24"/>
        </w:rPr>
        <w:t>uzņēmumu patiesā labuma guvēju sarakstu</w:t>
      </w:r>
      <w:bookmarkEnd w:id="16"/>
      <w:r>
        <w:rPr>
          <w:rFonts w:ascii="Times New Roman" w:hAnsi="Times New Roman"/>
          <w:sz w:val="24"/>
          <w:szCs w:val="24"/>
        </w:rPr>
        <w:t xml:space="preserve">. Tikšanās laikā UR norādīja, ka šobrīd notiek saskaņošanas process Uzņēmuma reģistra </w:t>
      </w:r>
      <w:r w:rsidRPr="00A76342">
        <w:rPr>
          <w:rFonts w:ascii="Times New Roman" w:hAnsi="Times New Roman"/>
          <w:sz w:val="24"/>
          <w:szCs w:val="24"/>
        </w:rPr>
        <w:t xml:space="preserve">likumā, kurā tiktu noteikti primārie nosacījumi UR rīcībā esošo datu publicēšanai. </w:t>
      </w:r>
    </w:p>
    <w:p w14:paraId="5293C0BE" w14:textId="77777777" w:rsidR="001D54C8" w:rsidRPr="00A76342" w:rsidRDefault="001D54C8" w:rsidP="00A76342">
      <w:pPr>
        <w:spacing w:after="0"/>
        <w:ind w:firstLine="709"/>
        <w:jc w:val="both"/>
        <w:rPr>
          <w:rFonts w:ascii="Times New Roman" w:hAnsi="Times New Roman"/>
          <w:sz w:val="24"/>
          <w:szCs w:val="24"/>
        </w:rPr>
      </w:pPr>
      <w:r w:rsidRPr="00A76342">
        <w:rPr>
          <w:rFonts w:ascii="Times New Roman" w:hAnsi="Times New Roman"/>
          <w:sz w:val="24"/>
          <w:szCs w:val="24"/>
        </w:rPr>
        <w:t>UR informēja, ka no uzņēmumu gada pārskatiem primāri publicēs uzņēmumu finanšu datus. Uzņēmumu gada pārskatu pieejamība sekmētu uzticamību uzņēmumiem sadarbojoties starptautiskos projektos. Publicējot šo informāciju atvērto datu veidā, tas dos iespēju šos datus izmantot arī ārvalstniekiem, kuriem savukārt nebūtu iespēja  </w:t>
      </w:r>
      <w:proofErr w:type="spellStart"/>
      <w:r w:rsidRPr="00A76342">
        <w:rPr>
          <w:rFonts w:ascii="Times New Roman" w:hAnsi="Times New Roman"/>
          <w:bCs/>
          <w:sz w:val="24"/>
          <w:szCs w:val="24"/>
        </w:rPr>
        <w:t>atkalizmantot</w:t>
      </w:r>
      <w:proofErr w:type="spellEnd"/>
      <w:r w:rsidRPr="00A76342">
        <w:rPr>
          <w:rFonts w:ascii="Times New Roman" w:hAnsi="Times New Roman"/>
          <w:sz w:val="24"/>
          <w:szCs w:val="24"/>
        </w:rPr>
        <w:t xml:space="preserve"> UR </w:t>
      </w:r>
      <w:r w:rsidRPr="00A76342">
        <w:rPr>
          <w:rFonts w:ascii="Times New Roman" w:hAnsi="Times New Roman"/>
          <w:bCs/>
          <w:sz w:val="24"/>
          <w:szCs w:val="24"/>
        </w:rPr>
        <w:t xml:space="preserve">informāciju caur Valsts informācijas sistēmu </w:t>
      </w:r>
      <w:proofErr w:type="spellStart"/>
      <w:r w:rsidRPr="00A76342">
        <w:rPr>
          <w:rFonts w:ascii="Times New Roman" w:hAnsi="Times New Roman"/>
          <w:bCs/>
          <w:sz w:val="24"/>
          <w:szCs w:val="24"/>
        </w:rPr>
        <w:t>savietotāju</w:t>
      </w:r>
      <w:proofErr w:type="spellEnd"/>
      <w:r w:rsidRPr="00A76342">
        <w:rPr>
          <w:rFonts w:ascii="Times New Roman" w:hAnsi="Times New Roman"/>
          <w:sz w:val="24"/>
          <w:szCs w:val="24"/>
        </w:rPr>
        <w:t>.</w:t>
      </w:r>
    </w:p>
    <w:p w14:paraId="09560B4C" w14:textId="77777777" w:rsidR="001D54C8" w:rsidRPr="00A76342" w:rsidRDefault="001D54C8" w:rsidP="00A76342">
      <w:pPr>
        <w:spacing w:after="0"/>
        <w:ind w:firstLine="709"/>
        <w:jc w:val="both"/>
        <w:rPr>
          <w:rFonts w:ascii="Times New Roman" w:hAnsi="Times New Roman"/>
          <w:sz w:val="24"/>
          <w:szCs w:val="24"/>
        </w:rPr>
      </w:pPr>
      <w:r w:rsidRPr="00A76342">
        <w:rPr>
          <w:rFonts w:ascii="Times New Roman" w:hAnsi="Times New Roman"/>
          <w:sz w:val="24"/>
          <w:szCs w:val="24"/>
        </w:rPr>
        <w:t xml:space="preserve">Visas nozares nosauktās datu kopas </w:t>
      </w:r>
      <w:r w:rsidRPr="00A76342">
        <w:rPr>
          <w:rFonts w:ascii="Times New Roman" w:hAnsi="Times New Roman"/>
          <w:bCs/>
          <w:sz w:val="24"/>
          <w:szCs w:val="24"/>
        </w:rPr>
        <w:t>atvērto datu veidā</w:t>
      </w:r>
      <w:r w:rsidRPr="00A76342">
        <w:rPr>
          <w:rFonts w:ascii="Times New Roman" w:hAnsi="Times New Roman"/>
          <w:sz w:val="24"/>
          <w:szCs w:val="24"/>
        </w:rPr>
        <w:t xml:space="preserve"> UR plāno publicēt sākot no 2021.gada 1.oktobra. Joprojām pastāv diskusijas par publiski pieejamās informācijas apmēru, kur ir </w:t>
      </w:r>
      <w:r w:rsidRPr="00A76342">
        <w:rPr>
          <w:rFonts w:ascii="Times New Roman" w:hAnsi="Times New Roman"/>
          <w:bCs/>
          <w:sz w:val="24"/>
          <w:szCs w:val="24"/>
        </w:rPr>
        <w:t xml:space="preserve">jāsaglabā līdzsvars starp personas datu aizsardzību un datu </w:t>
      </w:r>
      <w:proofErr w:type="spellStart"/>
      <w:r w:rsidRPr="00A76342">
        <w:rPr>
          <w:rFonts w:ascii="Times New Roman" w:hAnsi="Times New Roman"/>
          <w:bCs/>
          <w:sz w:val="24"/>
          <w:szCs w:val="24"/>
        </w:rPr>
        <w:t>izmantojamību</w:t>
      </w:r>
      <w:proofErr w:type="spellEnd"/>
      <w:r w:rsidRPr="00A76342">
        <w:rPr>
          <w:rFonts w:ascii="Times New Roman" w:hAnsi="Times New Roman"/>
          <w:bCs/>
          <w:sz w:val="24"/>
          <w:szCs w:val="24"/>
        </w:rPr>
        <w:t>, publicējot pēc iespējas mazāk personas datu (piemēram, aizstājot daļu personas koda) vienlaikus saglabājot datu vērtību un paturot iespēju salīdzināt unikālus datus.</w:t>
      </w:r>
    </w:p>
    <w:p w14:paraId="44FC2705" w14:textId="77777777" w:rsidR="00A30829" w:rsidRPr="00A30829" w:rsidRDefault="00A30829" w:rsidP="00A30829">
      <w:pPr>
        <w:spacing w:after="0"/>
        <w:ind w:firstLine="709"/>
        <w:jc w:val="both"/>
        <w:rPr>
          <w:rFonts w:ascii="Times New Roman" w:hAnsi="Times New Roman"/>
          <w:sz w:val="24"/>
          <w:szCs w:val="24"/>
        </w:rPr>
      </w:pPr>
    </w:p>
    <w:p w14:paraId="1871BE70" w14:textId="500BB0D2" w:rsidR="00A30829" w:rsidRPr="00652BE7" w:rsidRDefault="00761FBA" w:rsidP="00652BE7">
      <w:pPr>
        <w:pStyle w:val="Heading1"/>
        <w:numPr>
          <w:ilvl w:val="0"/>
          <w:numId w:val="27"/>
        </w:numPr>
        <w:jc w:val="center"/>
        <w:rPr>
          <w:rFonts w:ascii="Times New Roman" w:hAnsi="Times New Roman" w:cs="Times New Roman"/>
          <w:color w:val="auto"/>
          <w:sz w:val="28"/>
        </w:rPr>
      </w:pPr>
      <w:bookmarkStart w:id="17" w:name="_Toc26252155"/>
      <w:r w:rsidRPr="00652BE7">
        <w:rPr>
          <w:rFonts w:ascii="Times New Roman" w:hAnsi="Times New Roman" w:cs="Times New Roman"/>
          <w:color w:val="auto"/>
          <w:sz w:val="28"/>
        </w:rPr>
        <w:t>Veselības ministrijas</w:t>
      </w:r>
      <w:r w:rsidR="00A30829" w:rsidRPr="00652BE7">
        <w:rPr>
          <w:rFonts w:ascii="Times New Roman" w:hAnsi="Times New Roman" w:cs="Times New Roman"/>
          <w:color w:val="auto"/>
          <w:sz w:val="28"/>
        </w:rPr>
        <w:t xml:space="preserve"> </w:t>
      </w:r>
      <w:r w:rsidR="00B42BA0" w:rsidRPr="00652BE7">
        <w:rPr>
          <w:rFonts w:ascii="Times New Roman" w:hAnsi="Times New Roman" w:cs="Times New Roman"/>
          <w:color w:val="auto"/>
          <w:sz w:val="28"/>
        </w:rPr>
        <w:t>(VM, NVD, ZVA</w:t>
      </w:r>
      <w:r w:rsidR="00EE16B2" w:rsidRPr="00652BE7">
        <w:rPr>
          <w:rFonts w:ascii="Times New Roman" w:hAnsi="Times New Roman" w:cs="Times New Roman"/>
          <w:color w:val="auto"/>
          <w:sz w:val="28"/>
        </w:rPr>
        <w:t>, SPKC</w:t>
      </w:r>
      <w:r w:rsidR="00B42BA0" w:rsidRPr="00652BE7">
        <w:rPr>
          <w:rFonts w:ascii="Times New Roman" w:hAnsi="Times New Roman" w:cs="Times New Roman"/>
          <w:color w:val="auto"/>
          <w:sz w:val="28"/>
        </w:rPr>
        <w:t xml:space="preserve">) </w:t>
      </w:r>
      <w:r w:rsidR="00A30829" w:rsidRPr="00652BE7">
        <w:rPr>
          <w:rFonts w:ascii="Times New Roman" w:hAnsi="Times New Roman" w:cs="Times New Roman"/>
          <w:color w:val="auto"/>
          <w:sz w:val="28"/>
        </w:rPr>
        <w:t>rīcībā esošo datu publicēšana</w:t>
      </w:r>
      <w:bookmarkEnd w:id="17"/>
    </w:p>
    <w:p w14:paraId="5EA39D70" w14:textId="77777777" w:rsidR="00B42BA0" w:rsidRDefault="00B42BA0" w:rsidP="00B42BA0">
      <w:pPr>
        <w:jc w:val="both"/>
        <w:rPr>
          <w:b/>
        </w:rPr>
      </w:pPr>
    </w:p>
    <w:p w14:paraId="45DBA7DB" w14:textId="2B95E4C9" w:rsidR="00B42BA0" w:rsidRDefault="00B42BA0" w:rsidP="00EE16B2">
      <w:pPr>
        <w:spacing w:after="0"/>
        <w:ind w:firstLine="709"/>
        <w:jc w:val="both"/>
        <w:rPr>
          <w:rFonts w:ascii="Times New Roman" w:hAnsi="Times New Roman"/>
          <w:sz w:val="24"/>
          <w:szCs w:val="24"/>
        </w:rPr>
      </w:pPr>
      <w:r w:rsidRPr="004B125B">
        <w:rPr>
          <w:rFonts w:ascii="Times New Roman" w:hAnsi="Times New Roman"/>
          <w:sz w:val="24"/>
          <w:szCs w:val="24"/>
        </w:rPr>
        <w:t>No LATA, LIKTA un LTRK tika identificēt</w:t>
      </w:r>
      <w:r w:rsidR="00E7219D">
        <w:rPr>
          <w:rFonts w:ascii="Times New Roman" w:hAnsi="Times New Roman"/>
          <w:sz w:val="24"/>
          <w:szCs w:val="24"/>
        </w:rPr>
        <w:t>a nepieciešamība</w:t>
      </w:r>
      <w:r w:rsidRPr="004B125B">
        <w:rPr>
          <w:rFonts w:ascii="Times New Roman" w:hAnsi="Times New Roman"/>
          <w:sz w:val="24"/>
          <w:szCs w:val="24"/>
        </w:rPr>
        <w:t xml:space="preserve"> publicēt</w:t>
      </w:r>
      <w:r>
        <w:rPr>
          <w:rFonts w:ascii="Times New Roman" w:hAnsi="Times New Roman"/>
          <w:sz w:val="24"/>
          <w:szCs w:val="24"/>
        </w:rPr>
        <w:t xml:space="preserve"> </w:t>
      </w:r>
      <w:r w:rsidR="00E00450">
        <w:rPr>
          <w:rFonts w:ascii="Times New Roman" w:hAnsi="Times New Roman"/>
          <w:sz w:val="24"/>
          <w:szCs w:val="24"/>
        </w:rPr>
        <w:t>o</w:t>
      </w:r>
      <w:r>
        <w:rPr>
          <w:rFonts w:ascii="Times New Roman" w:hAnsi="Times New Roman"/>
          <w:sz w:val="24"/>
          <w:szCs w:val="24"/>
        </w:rPr>
        <w:t xml:space="preserve">ficiālos statistikas datus par saslimstību ar onkoloģiskām slimībām, diabētu un citām slimībām, kam valsts kompensē ilgstošu ārstēšanos un </w:t>
      </w:r>
      <w:r w:rsidR="00E00450">
        <w:rPr>
          <w:rFonts w:ascii="Times New Roman" w:hAnsi="Times New Roman"/>
          <w:sz w:val="24"/>
          <w:szCs w:val="24"/>
        </w:rPr>
        <w:t>o</w:t>
      </w:r>
      <w:r>
        <w:rPr>
          <w:rFonts w:ascii="Times New Roman" w:hAnsi="Times New Roman"/>
          <w:sz w:val="24"/>
          <w:szCs w:val="24"/>
        </w:rPr>
        <w:t>ficiālos statistikas datus par zālēm, zāļu cenām, recepšu medikamentiem (</w:t>
      </w:r>
      <w:proofErr w:type="spellStart"/>
      <w:r>
        <w:rPr>
          <w:rFonts w:ascii="Times New Roman" w:hAnsi="Times New Roman"/>
          <w:sz w:val="24"/>
          <w:szCs w:val="24"/>
        </w:rPr>
        <w:t>anonimizēti</w:t>
      </w:r>
      <w:proofErr w:type="spellEnd"/>
      <w:r>
        <w:rPr>
          <w:rFonts w:ascii="Times New Roman" w:hAnsi="Times New Roman"/>
          <w:sz w:val="24"/>
          <w:szCs w:val="24"/>
        </w:rPr>
        <w:t xml:space="preserve"> dati par sabiedrības veselību).</w:t>
      </w:r>
    </w:p>
    <w:p w14:paraId="16C3520E" w14:textId="664A6BCD" w:rsidR="00B42BA0" w:rsidRDefault="00B42BA0" w:rsidP="00EE16B2">
      <w:pPr>
        <w:spacing w:after="0"/>
        <w:ind w:firstLine="709"/>
        <w:jc w:val="both"/>
        <w:rPr>
          <w:rFonts w:ascii="Times New Roman" w:hAnsi="Times New Roman"/>
          <w:sz w:val="24"/>
          <w:szCs w:val="24"/>
        </w:rPr>
      </w:pPr>
      <w:r>
        <w:rPr>
          <w:rFonts w:ascii="Times New Roman" w:hAnsi="Times New Roman"/>
          <w:sz w:val="24"/>
          <w:szCs w:val="24"/>
        </w:rPr>
        <w:t xml:space="preserve">Lai risinātu datu publicēšanas jautājumus, VARAM organizēja vairākkārtējas tikšanās ar VM, NVD un ZVA pārstāvjiem. NVD norādīja, ka VM padotības iestāžu rīcībā ir daudz datu, bet </w:t>
      </w:r>
      <w:proofErr w:type="spellStart"/>
      <w:r>
        <w:rPr>
          <w:rFonts w:ascii="Times New Roman" w:hAnsi="Times New Roman"/>
          <w:sz w:val="24"/>
          <w:szCs w:val="24"/>
        </w:rPr>
        <w:t>cilvēkresurss</w:t>
      </w:r>
      <w:proofErr w:type="spellEnd"/>
      <w:r>
        <w:rPr>
          <w:rFonts w:ascii="Times New Roman" w:hAnsi="Times New Roman"/>
          <w:sz w:val="24"/>
          <w:szCs w:val="24"/>
        </w:rPr>
        <w:t xml:space="preserve"> ir noslogots ar jau esošos informācijas tehnoloģiju resursu risinājumu uzturēšanu un pamatfunkciju veikšanu. </w:t>
      </w:r>
      <w:r w:rsidR="00AB72FE">
        <w:rPr>
          <w:rFonts w:ascii="Times New Roman" w:hAnsi="Times New Roman"/>
          <w:sz w:val="24"/>
          <w:szCs w:val="24"/>
        </w:rPr>
        <w:t>VM apņēmās apzināt iekšējos resursus, juridisko ietvaru un iespēju robežās pakāpeniski līdz 2020.gada beigām publicēt NVD un SPKC rīcībā esošos datus.</w:t>
      </w:r>
    </w:p>
    <w:p w14:paraId="5E2FA03A" w14:textId="3076B1D0" w:rsidR="00AB72FE" w:rsidRPr="00B42BA0" w:rsidRDefault="00AB72FE" w:rsidP="00EE16B2">
      <w:pPr>
        <w:spacing w:after="0"/>
        <w:ind w:firstLine="709"/>
        <w:jc w:val="both"/>
        <w:rPr>
          <w:b/>
        </w:rPr>
      </w:pPr>
      <w:r>
        <w:rPr>
          <w:rFonts w:ascii="Times New Roman" w:hAnsi="Times New Roman"/>
          <w:sz w:val="24"/>
          <w:szCs w:val="24"/>
        </w:rPr>
        <w:t>Sanāksmē ZVA</w:t>
      </w:r>
      <w:r w:rsidR="00EE16B2">
        <w:rPr>
          <w:rFonts w:ascii="Times New Roman" w:hAnsi="Times New Roman"/>
          <w:sz w:val="24"/>
          <w:szCs w:val="24"/>
        </w:rPr>
        <w:t xml:space="preserve"> </w:t>
      </w:r>
      <w:r>
        <w:rPr>
          <w:rFonts w:ascii="Times New Roman" w:hAnsi="Times New Roman"/>
          <w:sz w:val="24"/>
          <w:szCs w:val="24"/>
        </w:rPr>
        <w:t xml:space="preserve">informēja, ka Latvijas Atvērto datu portālā ir publicēts viss zāļu reģistrs ar norādi par maksimālo atļauto </w:t>
      </w:r>
      <w:r w:rsidRPr="005B3278">
        <w:rPr>
          <w:rFonts w:ascii="Times New Roman" w:hAnsi="Times New Roman"/>
          <w:sz w:val="24"/>
          <w:szCs w:val="24"/>
        </w:rPr>
        <w:t>aptiekas cenu, izsniegšanas kārtību (recepšu/bezrecepšu). Tomēr zāļu patēriņa statistiku liedz publicēt Ministru kabineta 20</w:t>
      </w:r>
      <w:r w:rsidR="005B3278" w:rsidRPr="005B3278">
        <w:rPr>
          <w:rFonts w:ascii="Times New Roman" w:hAnsi="Times New Roman"/>
          <w:sz w:val="24"/>
          <w:szCs w:val="24"/>
        </w:rPr>
        <w:t>07</w:t>
      </w:r>
      <w:r w:rsidRPr="005B3278">
        <w:rPr>
          <w:rFonts w:ascii="Times New Roman" w:hAnsi="Times New Roman"/>
          <w:sz w:val="24"/>
          <w:szCs w:val="24"/>
        </w:rPr>
        <w:t xml:space="preserve">.gada </w:t>
      </w:r>
      <w:r w:rsidR="005B3278" w:rsidRPr="005B3278">
        <w:rPr>
          <w:rFonts w:ascii="Times New Roman" w:hAnsi="Times New Roman"/>
          <w:sz w:val="24"/>
          <w:szCs w:val="24"/>
        </w:rPr>
        <w:t>26.jūnija</w:t>
      </w:r>
      <w:r w:rsidRPr="005B3278">
        <w:rPr>
          <w:rFonts w:ascii="Times New Roman" w:hAnsi="Times New Roman"/>
          <w:sz w:val="24"/>
          <w:szCs w:val="24"/>
        </w:rPr>
        <w:t xml:space="preserve"> noteikumi Nr.416 “</w:t>
      </w:r>
      <w:r w:rsidR="005B3278" w:rsidRPr="005B3278">
        <w:rPr>
          <w:rFonts w:ascii="Times New Roman" w:hAnsi="Times New Roman"/>
          <w:sz w:val="24"/>
          <w:szCs w:val="24"/>
        </w:rPr>
        <w:t>Zāļu izplatīšanas un kvalitātes kontroles kārtība</w:t>
      </w:r>
      <w:r w:rsidRPr="005B3278">
        <w:rPr>
          <w:rFonts w:ascii="Times New Roman" w:hAnsi="Times New Roman"/>
          <w:sz w:val="24"/>
          <w:szCs w:val="24"/>
        </w:rPr>
        <w:t>”</w:t>
      </w:r>
      <w:r w:rsidR="005B3278" w:rsidRPr="005B3278">
        <w:rPr>
          <w:rFonts w:ascii="Times New Roman" w:hAnsi="Times New Roman"/>
          <w:sz w:val="24"/>
          <w:szCs w:val="24"/>
        </w:rPr>
        <w:t>, kuri nosaka konkrētu informāciju, ko ZVA drīkst publicēt. ZVA līdz šim ir bijušas tiesvedības</w:t>
      </w:r>
      <w:r w:rsidR="005B3278">
        <w:rPr>
          <w:rFonts w:ascii="Times New Roman" w:hAnsi="Times New Roman"/>
          <w:sz w:val="24"/>
          <w:szCs w:val="24"/>
        </w:rPr>
        <w:t xml:space="preserve"> par papildu informācijas publicēšanu, līdz ar </w:t>
      </w:r>
      <w:r w:rsidR="00E00450">
        <w:rPr>
          <w:rFonts w:ascii="Times New Roman" w:hAnsi="Times New Roman"/>
          <w:sz w:val="24"/>
          <w:szCs w:val="24"/>
        </w:rPr>
        <w:t>t</w:t>
      </w:r>
      <w:r w:rsidR="005B3278">
        <w:rPr>
          <w:rFonts w:ascii="Times New Roman" w:hAnsi="Times New Roman"/>
          <w:sz w:val="24"/>
          <w:szCs w:val="24"/>
        </w:rPr>
        <w:t>o zāļu patēriņa statistiku publicēt nevar.</w:t>
      </w:r>
    </w:p>
    <w:p w14:paraId="6422B34D" w14:textId="77777777" w:rsidR="00A30829" w:rsidRPr="00A30829" w:rsidRDefault="00A30829" w:rsidP="00A30829">
      <w:pPr>
        <w:spacing w:after="0"/>
        <w:ind w:firstLine="709"/>
        <w:jc w:val="both"/>
        <w:rPr>
          <w:rFonts w:ascii="Times New Roman" w:hAnsi="Times New Roman"/>
          <w:sz w:val="24"/>
        </w:rPr>
      </w:pPr>
    </w:p>
    <w:p w14:paraId="22456FD6" w14:textId="77777777" w:rsidR="00A30829" w:rsidRPr="00A30829" w:rsidRDefault="00A30829" w:rsidP="00A30829">
      <w:pPr>
        <w:pStyle w:val="ListParagraph"/>
        <w:ind w:left="1069"/>
        <w:jc w:val="both"/>
      </w:pPr>
    </w:p>
    <w:p w14:paraId="5CE01691" w14:textId="5F051014" w:rsidR="00A30829" w:rsidRPr="00652BE7" w:rsidRDefault="00761FBA" w:rsidP="00652BE7">
      <w:pPr>
        <w:pStyle w:val="Heading1"/>
        <w:numPr>
          <w:ilvl w:val="0"/>
          <w:numId w:val="27"/>
        </w:numPr>
        <w:jc w:val="center"/>
        <w:rPr>
          <w:rFonts w:ascii="Times New Roman" w:hAnsi="Times New Roman" w:cs="Times New Roman"/>
          <w:color w:val="auto"/>
          <w:sz w:val="28"/>
        </w:rPr>
      </w:pPr>
      <w:bookmarkStart w:id="18" w:name="_Toc26252156"/>
      <w:r w:rsidRPr="00652BE7">
        <w:rPr>
          <w:rFonts w:ascii="Times New Roman" w:hAnsi="Times New Roman" w:cs="Times New Roman"/>
          <w:color w:val="auto"/>
          <w:sz w:val="28"/>
        </w:rPr>
        <w:t>Valsts ieņēmumu dienesta</w:t>
      </w:r>
      <w:r w:rsidR="007B0BF6" w:rsidRPr="00652BE7">
        <w:rPr>
          <w:rFonts w:ascii="Times New Roman" w:hAnsi="Times New Roman" w:cs="Times New Roman"/>
          <w:color w:val="auto"/>
          <w:sz w:val="28"/>
        </w:rPr>
        <w:t xml:space="preserve"> (VID)</w:t>
      </w:r>
      <w:r w:rsidR="00A30829" w:rsidRPr="00652BE7">
        <w:rPr>
          <w:rFonts w:ascii="Times New Roman" w:hAnsi="Times New Roman" w:cs="Times New Roman"/>
          <w:color w:val="auto"/>
          <w:sz w:val="28"/>
        </w:rPr>
        <w:t xml:space="preserve"> datu publicēšana</w:t>
      </w:r>
      <w:bookmarkEnd w:id="18"/>
    </w:p>
    <w:p w14:paraId="1BCEB0DD" w14:textId="77777777" w:rsidR="007B0BF6" w:rsidRPr="004B125B" w:rsidRDefault="007B0BF6" w:rsidP="007B0BF6">
      <w:pPr>
        <w:jc w:val="both"/>
        <w:rPr>
          <w:rFonts w:ascii="Times New Roman" w:hAnsi="Times New Roman"/>
          <w:sz w:val="24"/>
          <w:szCs w:val="24"/>
        </w:rPr>
      </w:pPr>
    </w:p>
    <w:p w14:paraId="6363CF3F" w14:textId="3CC2228A" w:rsidR="004B125B" w:rsidRPr="004B125B" w:rsidRDefault="007B0BF6" w:rsidP="00EE16B2">
      <w:pPr>
        <w:spacing w:after="0"/>
        <w:ind w:firstLine="360"/>
        <w:jc w:val="both"/>
        <w:rPr>
          <w:rFonts w:ascii="Times New Roman" w:hAnsi="Times New Roman"/>
          <w:sz w:val="24"/>
          <w:szCs w:val="24"/>
        </w:rPr>
      </w:pPr>
      <w:r w:rsidRPr="004B125B">
        <w:rPr>
          <w:rFonts w:ascii="Times New Roman" w:hAnsi="Times New Roman"/>
          <w:sz w:val="24"/>
          <w:szCs w:val="24"/>
        </w:rPr>
        <w:t>No LATA, LIKTA un LTRK tika identificēt</w:t>
      </w:r>
      <w:r w:rsidR="00E7219D">
        <w:rPr>
          <w:rFonts w:ascii="Times New Roman" w:hAnsi="Times New Roman"/>
          <w:sz w:val="24"/>
          <w:szCs w:val="24"/>
        </w:rPr>
        <w:t>a nepieciešamība</w:t>
      </w:r>
      <w:r w:rsidRPr="004B125B">
        <w:rPr>
          <w:rFonts w:ascii="Times New Roman" w:hAnsi="Times New Roman"/>
          <w:sz w:val="24"/>
          <w:szCs w:val="24"/>
        </w:rPr>
        <w:t xml:space="preserve"> publicēt “PVN maksātāju” reģistra datus, “</w:t>
      </w:r>
      <w:proofErr w:type="spellStart"/>
      <w:r w:rsidRPr="004B125B">
        <w:rPr>
          <w:rFonts w:ascii="Times New Roman" w:hAnsi="Times New Roman"/>
          <w:sz w:val="24"/>
          <w:szCs w:val="24"/>
        </w:rPr>
        <w:t>Mikrouzņēmuma</w:t>
      </w:r>
      <w:proofErr w:type="spellEnd"/>
      <w:r w:rsidRPr="004B125B">
        <w:rPr>
          <w:rFonts w:ascii="Times New Roman" w:hAnsi="Times New Roman"/>
          <w:sz w:val="24"/>
          <w:szCs w:val="24"/>
        </w:rPr>
        <w:t xml:space="preserve"> nodokļu maksātāju” sarakstu, VID datus par nozaru uzņēmumu </w:t>
      </w:r>
      <w:r w:rsidRPr="004B125B">
        <w:rPr>
          <w:rFonts w:ascii="Times New Roman" w:hAnsi="Times New Roman"/>
          <w:sz w:val="24"/>
          <w:szCs w:val="24"/>
        </w:rPr>
        <w:lastRenderedPageBreak/>
        <w:t xml:space="preserve">samaksātajiem nodokļiem (par visiem nodokļu veidiem). Tikšanās laikā VID norādīja, ka jau šobrīd Latvijas Atvērto datu portālā publicē četras datu kopas: </w:t>
      </w:r>
    </w:p>
    <w:p w14:paraId="0712903D" w14:textId="3B327F14" w:rsidR="004B125B" w:rsidRPr="004B125B" w:rsidRDefault="00E00450" w:rsidP="004B125B">
      <w:pPr>
        <w:pStyle w:val="ListParagraph"/>
        <w:numPr>
          <w:ilvl w:val="0"/>
          <w:numId w:val="21"/>
        </w:numPr>
        <w:jc w:val="both"/>
      </w:pPr>
      <w:bookmarkStart w:id="19" w:name="_Hlk23508945"/>
      <w:r>
        <w:t>m</w:t>
      </w:r>
      <w:r w:rsidR="007B0BF6" w:rsidRPr="004B125B">
        <w:t>uitā noformētās deklarācijas</w:t>
      </w:r>
      <w:r>
        <w:t>;</w:t>
      </w:r>
      <w:r w:rsidR="007B0BF6" w:rsidRPr="004B125B">
        <w:t xml:space="preserve"> </w:t>
      </w:r>
    </w:p>
    <w:p w14:paraId="6E341A4C" w14:textId="4E6E5E19" w:rsidR="004B125B" w:rsidRPr="004B125B" w:rsidRDefault="00E00450" w:rsidP="004B125B">
      <w:pPr>
        <w:pStyle w:val="ListParagraph"/>
        <w:numPr>
          <w:ilvl w:val="0"/>
          <w:numId w:val="21"/>
        </w:numPr>
        <w:jc w:val="both"/>
      </w:pPr>
      <w:r>
        <w:t>d</w:t>
      </w:r>
      <w:r w:rsidR="007B0BF6" w:rsidRPr="004B125B">
        <w:t>eklar</w:t>
      </w:r>
      <w:r w:rsidR="004B125B" w:rsidRPr="004B125B">
        <w:t>ētās preces</w:t>
      </w:r>
      <w:r>
        <w:t>;</w:t>
      </w:r>
      <w:r w:rsidR="004B125B" w:rsidRPr="004B125B">
        <w:t xml:space="preserve"> </w:t>
      </w:r>
    </w:p>
    <w:p w14:paraId="5FE1C0E8" w14:textId="7B1CD373" w:rsidR="004B125B" w:rsidRPr="004B125B" w:rsidRDefault="00E00450" w:rsidP="004B125B">
      <w:pPr>
        <w:pStyle w:val="ListParagraph"/>
        <w:numPr>
          <w:ilvl w:val="0"/>
          <w:numId w:val="21"/>
        </w:numPr>
        <w:jc w:val="both"/>
      </w:pPr>
      <w:r>
        <w:t>a</w:t>
      </w:r>
      <w:r w:rsidR="004B125B" w:rsidRPr="004B125B">
        <w:t xml:space="preserve">prēķinātie muitas administrējamie maksājumi; </w:t>
      </w:r>
    </w:p>
    <w:p w14:paraId="72B26250" w14:textId="1BE8D1F9" w:rsidR="007B0BF6" w:rsidRPr="004B125B" w:rsidRDefault="00E00450" w:rsidP="004B125B">
      <w:pPr>
        <w:pStyle w:val="ListParagraph"/>
        <w:numPr>
          <w:ilvl w:val="0"/>
          <w:numId w:val="21"/>
        </w:numPr>
        <w:jc w:val="both"/>
      </w:pPr>
      <w:r>
        <w:t>u</w:t>
      </w:r>
      <w:r w:rsidR="004B125B" w:rsidRPr="004B125B">
        <w:t>z robežas deklarētie skaidras naudas līdzekļi.</w:t>
      </w:r>
    </w:p>
    <w:bookmarkEnd w:id="19"/>
    <w:p w14:paraId="407295B1" w14:textId="77777777" w:rsidR="00EE16B2" w:rsidRDefault="00EE16B2" w:rsidP="00EE16B2">
      <w:pPr>
        <w:ind w:firstLine="360"/>
        <w:jc w:val="both"/>
        <w:rPr>
          <w:rFonts w:ascii="Times New Roman" w:hAnsi="Times New Roman"/>
          <w:sz w:val="24"/>
          <w:szCs w:val="24"/>
        </w:rPr>
      </w:pPr>
    </w:p>
    <w:p w14:paraId="06E5803F" w14:textId="510ED2AC" w:rsidR="004B125B" w:rsidRDefault="004B125B" w:rsidP="00EE16B2">
      <w:pPr>
        <w:spacing w:after="0"/>
        <w:ind w:firstLine="357"/>
        <w:jc w:val="both"/>
        <w:rPr>
          <w:rFonts w:ascii="Times New Roman" w:hAnsi="Times New Roman"/>
          <w:sz w:val="24"/>
          <w:szCs w:val="24"/>
        </w:rPr>
      </w:pPr>
      <w:r w:rsidRPr="004B125B">
        <w:rPr>
          <w:rFonts w:ascii="Times New Roman" w:hAnsi="Times New Roman"/>
          <w:sz w:val="24"/>
          <w:szCs w:val="24"/>
        </w:rPr>
        <w:t xml:space="preserve">Līdz </w:t>
      </w:r>
      <w:r>
        <w:rPr>
          <w:rFonts w:ascii="Times New Roman" w:hAnsi="Times New Roman"/>
          <w:sz w:val="24"/>
          <w:szCs w:val="24"/>
        </w:rPr>
        <w:t xml:space="preserve">2019.gada beigām VID Latvijas Atvērto datu portālā plāno publicēt </w:t>
      </w:r>
      <w:bookmarkStart w:id="20" w:name="_Hlk23508983"/>
      <w:r w:rsidR="00E00450">
        <w:rPr>
          <w:rFonts w:ascii="Times New Roman" w:hAnsi="Times New Roman"/>
          <w:sz w:val="24"/>
          <w:szCs w:val="24"/>
        </w:rPr>
        <w:t xml:space="preserve">pievienotās vērtības nodokļa </w:t>
      </w:r>
      <w:r>
        <w:rPr>
          <w:rFonts w:ascii="Times New Roman" w:hAnsi="Times New Roman"/>
          <w:sz w:val="24"/>
          <w:szCs w:val="24"/>
        </w:rPr>
        <w:t xml:space="preserve">un </w:t>
      </w:r>
      <w:proofErr w:type="spellStart"/>
      <w:r>
        <w:rPr>
          <w:rFonts w:ascii="Times New Roman" w:hAnsi="Times New Roman"/>
          <w:sz w:val="24"/>
          <w:szCs w:val="24"/>
        </w:rPr>
        <w:t>mikronodokļu</w:t>
      </w:r>
      <w:proofErr w:type="spellEnd"/>
      <w:r>
        <w:rPr>
          <w:rFonts w:ascii="Times New Roman" w:hAnsi="Times New Roman"/>
          <w:sz w:val="24"/>
          <w:szCs w:val="24"/>
        </w:rPr>
        <w:t xml:space="preserve"> maksātāju sarakstu</w:t>
      </w:r>
      <w:bookmarkEnd w:id="20"/>
      <w:r w:rsidR="004B5FCE">
        <w:rPr>
          <w:rFonts w:ascii="Times New Roman" w:hAnsi="Times New Roman"/>
          <w:sz w:val="24"/>
          <w:szCs w:val="24"/>
        </w:rPr>
        <w:t xml:space="preserve">, </w:t>
      </w:r>
      <w:bookmarkStart w:id="21" w:name="_Hlk23508990"/>
      <w:r w:rsidR="004B5FCE">
        <w:rPr>
          <w:rFonts w:ascii="Times New Roman" w:hAnsi="Times New Roman"/>
          <w:sz w:val="24"/>
          <w:szCs w:val="24"/>
        </w:rPr>
        <w:t>datus par saimnieciskās darbības apturēšanu</w:t>
      </w:r>
      <w:bookmarkEnd w:id="21"/>
      <w:r w:rsidR="004B5FCE">
        <w:rPr>
          <w:rFonts w:ascii="Times New Roman" w:hAnsi="Times New Roman"/>
          <w:sz w:val="24"/>
          <w:szCs w:val="24"/>
        </w:rPr>
        <w:t>,</w:t>
      </w:r>
      <w:bookmarkStart w:id="22" w:name="_Hlk23509003"/>
      <w:r w:rsidR="004B5FCE">
        <w:rPr>
          <w:rFonts w:ascii="Times New Roman" w:hAnsi="Times New Roman"/>
          <w:sz w:val="24"/>
          <w:szCs w:val="24"/>
        </w:rPr>
        <w:t xml:space="preserve"> akcīzes nodokļa markas un speciālās atļaujas (licences) </w:t>
      </w:r>
      <w:bookmarkEnd w:id="22"/>
      <w:r w:rsidR="004B5FCE">
        <w:rPr>
          <w:rFonts w:ascii="Times New Roman" w:hAnsi="Times New Roman"/>
          <w:sz w:val="24"/>
          <w:szCs w:val="24"/>
        </w:rPr>
        <w:t xml:space="preserve">un </w:t>
      </w:r>
      <w:bookmarkStart w:id="23" w:name="_Hlk23509010"/>
      <w:r w:rsidR="004B5FCE">
        <w:rPr>
          <w:rFonts w:ascii="Times New Roman" w:hAnsi="Times New Roman"/>
          <w:sz w:val="24"/>
          <w:szCs w:val="24"/>
        </w:rPr>
        <w:t>izziņas darbībām ar akcīzes precēm</w:t>
      </w:r>
      <w:bookmarkEnd w:id="23"/>
      <w:r>
        <w:rPr>
          <w:rFonts w:ascii="Times New Roman" w:hAnsi="Times New Roman"/>
          <w:sz w:val="24"/>
          <w:szCs w:val="24"/>
        </w:rPr>
        <w:t xml:space="preserve">. VID informēja, ka jau šobrīd publicē </w:t>
      </w:r>
      <w:r w:rsidR="004B5FCE">
        <w:rPr>
          <w:rFonts w:ascii="Times New Roman" w:hAnsi="Times New Roman"/>
          <w:sz w:val="24"/>
          <w:szCs w:val="24"/>
        </w:rPr>
        <w:t xml:space="preserve">dažāda veida </w:t>
      </w:r>
      <w:r>
        <w:rPr>
          <w:rFonts w:ascii="Times New Roman" w:hAnsi="Times New Roman"/>
          <w:sz w:val="24"/>
          <w:szCs w:val="24"/>
        </w:rPr>
        <w:t xml:space="preserve">informāciju par </w:t>
      </w:r>
      <w:r w:rsidR="004B5FCE">
        <w:rPr>
          <w:rFonts w:ascii="Times New Roman" w:hAnsi="Times New Roman"/>
          <w:sz w:val="24"/>
          <w:szCs w:val="24"/>
        </w:rPr>
        <w:t>VID administrētajiem procesiem</w:t>
      </w:r>
      <w:r w:rsidR="004B5FCE">
        <w:rPr>
          <w:rStyle w:val="FootnoteReference"/>
          <w:rFonts w:ascii="Times New Roman" w:hAnsi="Times New Roman"/>
          <w:sz w:val="24"/>
          <w:szCs w:val="24"/>
        </w:rPr>
        <w:footnoteReference w:id="13"/>
      </w:r>
      <w:r w:rsidR="004B5FCE">
        <w:rPr>
          <w:rFonts w:ascii="Times New Roman" w:hAnsi="Times New Roman"/>
          <w:sz w:val="24"/>
          <w:szCs w:val="24"/>
        </w:rPr>
        <w:t xml:space="preserve">. </w:t>
      </w:r>
    </w:p>
    <w:p w14:paraId="2D75954E" w14:textId="29749FEE" w:rsidR="004B5FCE" w:rsidRDefault="004B5FCE" w:rsidP="00EE16B2">
      <w:pPr>
        <w:spacing w:after="0"/>
        <w:ind w:firstLine="357"/>
        <w:jc w:val="both"/>
        <w:rPr>
          <w:rFonts w:ascii="Verdana" w:hAnsi="Verdana"/>
          <w:color w:val="44546A"/>
          <w:sz w:val="20"/>
          <w:szCs w:val="20"/>
        </w:rPr>
      </w:pPr>
      <w:r>
        <w:rPr>
          <w:rFonts w:ascii="Times New Roman" w:hAnsi="Times New Roman"/>
          <w:sz w:val="24"/>
          <w:szCs w:val="24"/>
        </w:rPr>
        <w:t xml:space="preserve">VID pārstāvji arī informēja, ka vairākas informācijas sistēmu infrastruktūras un to arhitektūras ir </w:t>
      </w:r>
      <w:r w:rsidRPr="004B5FCE">
        <w:rPr>
          <w:rFonts w:ascii="Times New Roman" w:hAnsi="Times New Roman"/>
          <w:sz w:val="24"/>
          <w:szCs w:val="24"/>
        </w:rPr>
        <w:t>novecojušas – datus mašīnlasāmā formātā izgūt no tām ir sarežģīti, līdz ar to, arvien jaunu datu kopu publicēšanu var plānot attīstot</w:t>
      </w:r>
      <w:r w:rsidR="005A1CED">
        <w:rPr>
          <w:rFonts w:ascii="Times New Roman" w:hAnsi="Times New Roman"/>
          <w:sz w:val="24"/>
          <w:szCs w:val="24"/>
        </w:rPr>
        <w:t xml:space="preserve"> vai </w:t>
      </w:r>
      <w:r w:rsidRPr="004B5FCE">
        <w:rPr>
          <w:rFonts w:ascii="Times New Roman" w:hAnsi="Times New Roman"/>
          <w:sz w:val="24"/>
          <w:szCs w:val="24"/>
        </w:rPr>
        <w:t xml:space="preserve">nomainot </w:t>
      </w:r>
      <w:r w:rsidR="00E7219D">
        <w:rPr>
          <w:rFonts w:ascii="Times New Roman" w:hAnsi="Times New Roman"/>
          <w:sz w:val="24"/>
          <w:szCs w:val="24"/>
        </w:rPr>
        <w:t xml:space="preserve">informācijas sistēmu </w:t>
      </w:r>
      <w:r w:rsidRPr="004B5FCE">
        <w:rPr>
          <w:rFonts w:ascii="Times New Roman" w:hAnsi="Times New Roman"/>
          <w:sz w:val="24"/>
          <w:szCs w:val="24"/>
        </w:rPr>
        <w:t xml:space="preserve">infrastruktūru. Līdz 2021.gada beigām VID plāno publicēt </w:t>
      </w:r>
      <w:bookmarkStart w:id="24" w:name="_Hlk23509023"/>
      <w:r w:rsidRPr="004B5FCE">
        <w:rPr>
          <w:rFonts w:ascii="Times New Roman" w:hAnsi="Times New Roman"/>
          <w:sz w:val="24"/>
          <w:szCs w:val="24"/>
        </w:rPr>
        <w:t>informāciju par darba devējiem, kuru darbinieku vidējais mēneša atalgojums ir valstī noteiktās minimālās mēneša darba algas apmērā vai mazāks</w:t>
      </w:r>
      <w:bookmarkEnd w:id="24"/>
      <w:r w:rsidRPr="004B5FCE">
        <w:rPr>
          <w:rFonts w:ascii="Times New Roman" w:hAnsi="Times New Roman"/>
          <w:sz w:val="24"/>
          <w:szCs w:val="24"/>
        </w:rPr>
        <w:t xml:space="preserve">; </w:t>
      </w:r>
      <w:bookmarkStart w:id="25" w:name="_Hlk23509032"/>
      <w:r w:rsidRPr="004B5FCE">
        <w:rPr>
          <w:rFonts w:ascii="Times New Roman" w:hAnsi="Times New Roman"/>
          <w:sz w:val="24"/>
          <w:szCs w:val="24"/>
        </w:rPr>
        <w:t>neiesniegtās nodokļu deklarācijas</w:t>
      </w:r>
      <w:bookmarkEnd w:id="25"/>
      <w:r w:rsidRPr="004B5FCE">
        <w:rPr>
          <w:rFonts w:ascii="Times New Roman" w:hAnsi="Times New Roman"/>
          <w:sz w:val="24"/>
          <w:szCs w:val="24"/>
        </w:rPr>
        <w:t xml:space="preserve">; </w:t>
      </w:r>
      <w:bookmarkStart w:id="26" w:name="_Hlk23509051"/>
      <w:r w:rsidRPr="004B5FCE">
        <w:rPr>
          <w:rFonts w:ascii="Times New Roman" w:hAnsi="Times New Roman"/>
          <w:sz w:val="24"/>
          <w:szCs w:val="24"/>
        </w:rPr>
        <w:t>nodokļu maksātāju (komersantu) taksācijas gadā samaksāto VID administrēto nodokļu kopsummas</w:t>
      </w:r>
      <w:bookmarkEnd w:id="26"/>
      <w:r w:rsidRPr="004B5FCE">
        <w:rPr>
          <w:rFonts w:ascii="Times New Roman" w:hAnsi="Times New Roman"/>
          <w:sz w:val="24"/>
          <w:szCs w:val="24"/>
        </w:rPr>
        <w:t>.</w:t>
      </w:r>
    </w:p>
    <w:p w14:paraId="12ED8F74" w14:textId="77777777" w:rsidR="00761FBA" w:rsidRPr="004B125B" w:rsidRDefault="00761FBA" w:rsidP="00761FBA">
      <w:pPr>
        <w:pStyle w:val="ListParagraph"/>
        <w:ind w:left="1069"/>
        <w:jc w:val="both"/>
      </w:pPr>
    </w:p>
    <w:p w14:paraId="3EA51EDF" w14:textId="52496852" w:rsidR="00761FBA" w:rsidRPr="00652BE7" w:rsidRDefault="00761FBA" w:rsidP="00652BE7">
      <w:pPr>
        <w:pStyle w:val="Heading1"/>
        <w:numPr>
          <w:ilvl w:val="0"/>
          <w:numId w:val="27"/>
        </w:numPr>
        <w:jc w:val="center"/>
        <w:rPr>
          <w:rFonts w:ascii="Times New Roman" w:hAnsi="Times New Roman" w:cs="Times New Roman"/>
          <w:color w:val="auto"/>
          <w:sz w:val="28"/>
        </w:rPr>
      </w:pPr>
      <w:bookmarkStart w:id="27" w:name="_Toc26252157"/>
      <w:r w:rsidRPr="00652BE7">
        <w:rPr>
          <w:rFonts w:ascii="Times New Roman" w:hAnsi="Times New Roman" w:cs="Times New Roman"/>
          <w:color w:val="auto"/>
          <w:sz w:val="28"/>
        </w:rPr>
        <w:t xml:space="preserve">Pārtikas veterinārā dienesta </w:t>
      </w:r>
      <w:r w:rsidR="0097499C" w:rsidRPr="00652BE7">
        <w:rPr>
          <w:rFonts w:ascii="Times New Roman" w:hAnsi="Times New Roman" w:cs="Times New Roman"/>
          <w:color w:val="auto"/>
          <w:sz w:val="28"/>
        </w:rPr>
        <w:t xml:space="preserve">(PVD) </w:t>
      </w:r>
      <w:r w:rsidRPr="00652BE7">
        <w:rPr>
          <w:rFonts w:ascii="Times New Roman" w:hAnsi="Times New Roman" w:cs="Times New Roman"/>
          <w:color w:val="auto"/>
          <w:sz w:val="28"/>
        </w:rPr>
        <w:t>datu publicēšana</w:t>
      </w:r>
      <w:bookmarkEnd w:id="27"/>
    </w:p>
    <w:p w14:paraId="5F9E20A9" w14:textId="77777777" w:rsidR="004B5FCE" w:rsidRDefault="004B5FCE" w:rsidP="004B5FCE">
      <w:pPr>
        <w:jc w:val="both"/>
        <w:rPr>
          <w:b/>
        </w:rPr>
      </w:pPr>
    </w:p>
    <w:p w14:paraId="5057D074" w14:textId="7A2837DD" w:rsidR="004B5FCE" w:rsidRPr="00701E84" w:rsidRDefault="0097499C" w:rsidP="00701E84">
      <w:pPr>
        <w:spacing w:after="0"/>
        <w:ind w:firstLine="709"/>
        <w:jc w:val="both"/>
        <w:rPr>
          <w:rFonts w:ascii="Times New Roman" w:hAnsi="Times New Roman"/>
          <w:sz w:val="24"/>
        </w:rPr>
      </w:pPr>
      <w:r w:rsidRPr="00701E84">
        <w:rPr>
          <w:rFonts w:ascii="Times New Roman" w:hAnsi="Times New Roman"/>
          <w:sz w:val="24"/>
        </w:rPr>
        <w:t xml:space="preserve">LATA, LIKTA un LTRK norādīja, ka vēlētos lai PVD publicētu </w:t>
      </w:r>
      <w:bookmarkStart w:id="28" w:name="_Hlk23509064"/>
      <w:r w:rsidRPr="00701E84">
        <w:rPr>
          <w:rFonts w:ascii="Times New Roman" w:hAnsi="Times New Roman"/>
          <w:sz w:val="24"/>
        </w:rPr>
        <w:t>datus par cūku mēra skartajām teritorijām</w:t>
      </w:r>
      <w:bookmarkEnd w:id="28"/>
      <w:r w:rsidRPr="00701E84">
        <w:rPr>
          <w:rFonts w:ascii="Times New Roman" w:hAnsi="Times New Roman"/>
          <w:sz w:val="24"/>
        </w:rPr>
        <w:t xml:space="preserve">, kā arī </w:t>
      </w:r>
      <w:bookmarkStart w:id="29" w:name="_Hlk23509074"/>
      <w:r w:rsidRPr="00701E84">
        <w:rPr>
          <w:rFonts w:ascii="Times New Roman" w:hAnsi="Times New Roman"/>
          <w:sz w:val="24"/>
        </w:rPr>
        <w:t>PVD veikto pārbaužu rezultātus tiklīdz tie ir publiskojami</w:t>
      </w:r>
      <w:bookmarkEnd w:id="29"/>
      <w:r w:rsidRPr="00701E84">
        <w:rPr>
          <w:rFonts w:ascii="Times New Roman" w:hAnsi="Times New Roman"/>
          <w:sz w:val="24"/>
        </w:rPr>
        <w:t xml:space="preserve">. Sanāksmes laikā PVD informēja, ka PVD </w:t>
      </w:r>
      <w:r w:rsidR="005A1CED">
        <w:rPr>
          <w:rFonts w:ascii="Times New Roman" w:hAnsi="Times New Roman"/>
          <w:sz w:val="24"/>
        </w:rPr>
        <w:t xml:space="preserve">tīmekļvietnē </w:t>
      </w:r>
      <w:r w:rsidRPr="00701E84">
        <w:rPr>
          <w:rFonts w:ascii="Times New Roman" w:hAnsi="Times New Roman"/>
          <w:sz w:val="24"/>
        </w:rPr>
        <w:t xml:space="preserve"> jau šobrīd ir dati atvērto datu veidā no PVD reģistriem par būtiskākajām </w:t>
      </w:r>
      <w:r w:rsidR="00EE16B2">
        <w:rPr>
          <w:rFonts w:ascii="Times New Roman" w:hAnsi="Times New Roman"/>
          <w:sz w:val="24"/>
        </w:rPr>
        <w:t>PVD</w:t>
      </w:r>
      <w:r w:rsidRPr="00701E84">
        <w:rPr>
          <w:rFonts w:ascii="Times New Roman" w:hAnsi="Times New Roman"/>
          <w:sz w:val="24"/>
        </w:rPr>
        <w:t xml:space="preserve"> darbības jomām</w:t>
      </w:r>
      <w:r w:rsidRPr="00701E84">
        <w:rPr>
          <w:rStyle w:val="FootnoteReference"/>
          <w:rFonts w:ascii="Times New Roman" w:hAnsi="Times New Roman"/>
          <w:sz w:val="24"/>
        </w:rPr>
        <w:footnoteReference w:id="14"/>
      </w:r>
      <w:r w:rsidR="00701E84" w:rsidRPr="00701E84">
        <w:rPr>
          <w:rFonts w:ascii="Times New Roman" w:hAnsi="Times New Roman"/>
          <w:sz w:val="24"/>
        </w:rPr>
        <w:t xml:space="preserve"> un tie ir pieejami arī Latvijas Atvērto datu portālā</w:t>
      </w:r>
      <w:r w:rsidR="00701E84" w:rsidRPr="00701E84">
        <w:rPr>
          <w:rStyle w:val="FootnoteReference"/>
          <w:rFonts w:ascii="Times New Roman" w:hAnsi="Times New Roman"/>
          <w:sz w:val="24"/>
        </w:rPr>
        <w:footnoteReference w:id="15"/>
      </w:r>
      <w:r w:rsidRPr="00701E84">
        <w:rPr>
          <w:rFonts w:ascii="Times New Roman" w:hAnsi="Times New Roman"/>
          <w:sz w:val="24"/>
        </w:rPr>
        <w:t xml:space="preserve">. </w:t>
      </w:r>
    </w:p>
    <w:p w14:paraId="53E4E2E8" w14:textId="6455713F" w:rsidR="0097499C" w:rsidRPr="00701E84" w:rsidRDefault="0097499C" w:rsidP="00701E84">
      <w:pPr>
        <w:spacing w:after="0"/>
        <w:ind w:firstLine="709"/>
        <w:jc w:val="both"/>
        <w:rPr>
          <w:rFonts w:ascii="Times New Roman" w:hAnsi="Times New Roman"/>
          <w:sz w:val="24"/>
        </w:rPr>
      </w:pPr>
      <w:r w:rsidRPr="00701E84">
        <w:rPr>
          <w:rFonts w:ascii="Times New Roman" w:hAnsi="Times New Roman"/>
          <w:sz w:val="24"/>
        </w:rPr>
        <w:t xml:space="preserve">PVD norādīja, ka publicēt datus par PVD veiktajām pārbaudēm drīkst tikai pēc gala lēmuma pieņemšanas, jo savādāk tas var kaitēt uzņēmuma reputācijai, ir jāņem vērā komercnoslēpumu saturoša informācija u.c. faktori. PVD arī norādīja, ka ja pārbaudēs tiek konstatēti būtiski pārkāpumi, PVD drīkst informēt sabiedrību, jo sabiedrības intereses ir vērtējamas augstāk par viena uzņēmuma biznesa interesēm. Katrs gadījums, kad tiek atklāti konkrēti pārkāpumi, tiek vērtēts atsevišķi. LATA aicināja publicēt arī </w:t>
      </w:r>
      <w:proofErr w:type="spellStart"/>
      <w:r w:rsidRPr="00701E84">
        <w:rPr>
          <w:rFonts w:ascii="Times New Roman" w:hAnsi="Times New Roman"/>
          <w:sz w:val="24"/>
        </w:rPr>
        <w:t>starplēmumu</w:t>
      </w:r>
      <w:r w:rsidR="005A1CED">
        <w:rPr>
          <w:rFonts w:ascii="Times New Roman" w:hAnsi="Times New Roman"/>
          <w:sz w:val="24"/>
        </w:rPr>
        <w:t>s</w:t>
      </w:r>
      <w:proofErr w:type="spellEnd"/>
      <w:r w:rsidRPr="00701E84">
        <w:rPr>
          <w:rFonts w:ascii="Times New Roman" w:hAnsi="Times New Roman"/>
          <w:sz w:val="24"/>
        </w:rPr>
        <w:t xml:space="preserve"> (cik juridiski tas ir iespējams), bet PVD norādīja, ka katram šādam gadījuma </w:t>
      </w:r>
      <w:r w:rsidR="00701E84" w:rsidRPr="00701E84">
        <w:rPr>
          <w:rFonts w:ascii="Times New Roman" w:hAnsi="Times New Roman"/>
          <w:sz w:val="24"/>
        </w:rPr>
        <w:t xml:space="preserve">pievērst papildu uzmanību prasītu nesamērīgu administratīvo slogu un tāpēc nebūtu lietderīgi. </w:t>
      </w:r>
    </w:p>
    <w:p w14:paraId="0EE1C649" w14:textId="77777777" w:rsidR="00701E84" w:rsidRPr="00701E84" w:rsidRDefault="00701E84" w:rsidP="00701E84">
      <w:pPr>
        <w:spacing w:after="0"/>
        <w:ind w:firstLine="709"/>
        <w:jc w:val="both"/>
        <w:rPr>
          <w:rFonts w:ascii="Times New Roman" w:hAnsi="Times New Roman"/>
          <w:sz w:val="24"/>
        </w:rPr>
      </w:pPr>
      <w:r w:rsidRPr="00701E84">
        <w:rPr>
          <w:rFonts w:ascii="Times New Roman" w:hAnsi="Times New Roman"/>
          <w:sz w:val="24"/>
        </w:rPr>
        <w:t>LIKTA informēja, ka būtu būtiski zināt precīzas piemēram, cūku mēra skartās teritorijas robežas, lai varētu sagatavot kartogrāfiskos materiālus, kas savukārt sekmētu uzņēmēju iespējas plānot savas loģistikas ķēdes, darbības attīstību u.c. būtiskus apsvērumus attiecīgajās teritorijās.</w:t>
      </w:r>
    </w:p>
    <w:p w14:paraId="0680967F" w14:textId="77777777" w:rsidR="00701E84" w:rsidRPr="00701E84" w:rsidRDefault="00701E84" w:rsidP="00701E84">
      <w:pPr>
        <w:spacing w:after="0"/>
        <w:ind w:firstLine="709"/>
        <w:jc w:val="both"/>
        <w:rPr>
          <w:rFonts w:ascii="Times New Roman" w:hAnsi="Times New Roman"/>
          <w:sz w:val="24"/>
        </w:rPr>
      </w:pPr>
      <w:r w:rsidRPr="00701E84">
        <w:rPr>
          <w:rFonts w:ascii="Times New Roman" w:hAnsi="Times New Roman"/>
          <w:sz w:val="24"/>
          <w:u w:val="single"/>
        </w:rPr>
        <w:t>PVD līdz 2020.gada 9.aprīlim</w:t>
      </w:r>
      <w:r w:rsidRPr="00701E84">
        <w:rPr>
          <w:rFonts w:ascii="Times New Roman" w:hAnsi="Times New Roman"/>
          <w:sz w:val="24"/>
        </w:rPr>
        <w:t xml:space="preserve"> izvērtē</w:t>
      </w:r>
      <w:r w:rsidR="00B1073D">
        <w:rPr>
          <w:rFonts w:ascii="Times New Roman" w:hAnsi="Times New Roman"/>
          <w:sz w:val="24"/>
        </w:rPr>
        <w:t>s</w:t>
      </w:r>
      <w:r w:rsidRPr="00701E84">
        <w:rPr>
          <w:rFonts w:ascii="Times New Roman" w:hAnsi="Times New Roman"/>
          <w:sz w:val="24"/>
        </w:rPr>
        <w:t xml:space="preserve"> juridisko regulējumu PVD pārbaužu rezultātu (ne pilnā apmērā) publicēšanas iespējām atvērto datu veidā</w:t>
      </w:r>
      <w:r w:rsidR="00EE16B2">
        <w:rPr>
          <w:rFonts w:ascii="Times New Roman" w:hAnsi="Times New Roman"/>
          <w:sz w:val="24"/>
        </w:rPr>
        <w:t xml:space="preserve"> un cūku mēra skarto teritoriju robežas</w:t>
      </w:r>
      <w:r w:rsidRPr="00701E84">
        <w:rPr>
          <w:rFonts w:ascii="Times New Roman" w:hAnsi="Times New Roman"/>
          <w:sz w:val="24"/>
        </w:rPr>
        <w:t xml:space="preserve">. </w:t>
      </w:r>
    </w:p>
    <w:p w14:paraId="0E1A2D8D" w14:textId="77777777" w:rsidR="00761FBA" w:rsidRPr="004B5FCE" w:rsidRDefault="00761FBA" w:rsidP="00761FBA">
      <w:pPr>
        <w:pStyle w:val="ListParagraph"/>
        <w:ind w:left="1069"/>
        <w:jc w:val="both"/>
        <w:rPr>
          <w:b/>
        </w:rPr>
      </w:pPr>
    </w:p>
    <w:p w14:paraId="1D524288" w14:textId="1617A50B" w:rsidR="00761FBA" w:rsidRPr="00652BE7" w:rsidRDefault="00761FBA" w:rsidP="00652BE7">
      <w:pPr>
        <w:pStyle w:val="Heading1"/>
        <w:numPr>
          <w:ilvl w:val="0"/>
          <w:numId w:val="27"/>
        </w:numPr>
        <w:jc w:val="center"/>
        <w:rPr>
          <w:rFonts w:ascii="Times New Roman" w:hAnsi="Times New Roman" w:cs="Times New Roman"/>
          <w:color w:val="auto"/>
          <w:sz w:val="28"/>
        </w:rPr>
      </w:pPr>
      <w:bookmarkStart w:id="30" w:name="_Toc26252158"/>
      <w:r w:rsidRPr="00652BE7">
        <w:rPr>
          <w:rFonts w:ascii="Times New Roman" w:hAnsi="Times New Roman" w:cs="Times New Roman"/>
          <w:color w:val="auto"/>
          <w:sz w:val="28"/>
        </w:rPr>
        <w:lastRenderedPageBreak/>
        <w:t xml:space="preserve">Kultūras informācijas sistēmas centra </w:t>
      </w:r>
      <w:r w:rsidR="00701E84" w:rsidRPr="00652BE7">
        <w:rPr>
          <w:rFonts w:ascii="Times New Roman" w:hAnsi="Times New Roman" w:cs="Times New Roman"/>
          <w:color w:val="auto"/>
          <w:sz w:val="28"/>
        </w:rPr>
        <w:t xml:space="preserve">(KISC) </w:t>
      </w:r>
      <w:r w:rsidRPr="00652BE7">
        <w:rPr>
          <w:rFonts w:ascii="Times New Roman" w:hAnsi="Times New Roman" w:cs="Times New Roman"/>
          <w:color w:val="auto"/>
          <w:sz w:val="28"/>
        </w:rPr>
        <w:t>datu publicēšana</w:t>
      </w:r>
      <w:bookmarkEnd w:id="30"/>
    </w:p>
    <w:p w14:paraId="77CF19BE" w14:textId="77777777" w:rsidR="00701E84" w:rsidRDefault="00701E84" w:rsidP="00701E84">
      <w:pPr>
        <w:jc w:val="both"/>
        <w:rPr>
          <w:b/>
        </w:rPr>
      </w:pPr>
    </w:p>
    <w:p w14:paraId="5F1B9305" w14:textId="77777777" w:rsidR="001005E9" w:rsidRDefault="001005E9" w:rsidP="00003F23">
      <w:pPr>
        <w:spacing w:after="0"/>
        <w:ind w:firstLine="709"/>
        <w:contextualSpacing/>
        <w:jc w:val="both"/>
        <w:rPr>
          <w:rFonts w:ascii="Times New Roman" w:hAnsi="Times New Roman"/>
          <w:sz w:val="24"/>
          <w:szCs w:val="24"/>
        </w:rPr>
      </w:pPr>
      <w:r w:rsidRPr="00E73016">
        <w:rPr>
          <w:rFonts w:ascii="Times New Roman" w:hAnsi="Times New Roman"/>
          <w:sz w:val="24"/>
          <w:szCs w:val="24"/>
        </w:rPr>
        <w:t xml:space="preserve">Latvijas valsts pārvaldē ir institūcijas, kuras veic tulkošanu </w:t>
      </w:r>
      <w:r>
        <w:rPr>
          <w:rFonts w:ascii="Times New Roman" w:hAnsi="Times New Roman"/>
          <w:sz w:val="24"/>
          <w:szCs w:val="24"/>
        </w:rPr>
        <w:t xml:space="preserve">pašas </w:t>
      </w:r>
      <w:r w:rsidRPr="00E73016">
        <w:rPr>
          <w:rFonts w:ascii="Times New Roman" w:hAnsi="Times New Roman"/>
          <w:sz w:val="24"/>
          <w:szCs w:val="24"/>
        </w:rPr>
        <w:t xml:space="preserve">un šādi tulkošanas darbi tiek veikti, izmantojot tehnoloģiskos risinājumus, kādi ir pamata darbarīks tulkošanas uzņēmumos, tādus kā – CAT rīkus. Ar tulkošanas rīkiem (CAT – </w:t>
      </w:r>
      <w:proofErr w:type="spellStart"/>
      <w:r w:rsidRPr="00652BE7">
        <w:rPr>
          <w:rFonts w:ascii="Times New Roman" w:hAnsi="Times New Roman"/>
          <w:i/>
          <w:sz w:val="24"/>
          <w:szCs w:val="24"/>
        </w:rPr>
        <w:t>computer</w:t>
      </w:r>
      <w:proofErr w:type="spellEnd"/>
      <w:r w:rsidRPr="00652BE7">
        <w:rPr>
          <w:rFonts w:ascii="Times New Roman" w:hAnsi="Times New Roman"/>
          <w:i/>
          <w:sz w:val="24"/>
          <w:szCs w:val="24"/>
        </w:rPr>
        <w:t xml:space="preserve"> </w:t>
      </w:r>
      <w:proofErr w:type="spellStart"/>
      <w:r w:rsidRPr="00652BE7">
        <w:rPr>
          <w:rFonts w:ascii="Times New Roman" w:hAnsi="Times New Roman"/>
          <w:i/>
          <w:sz w:val="24"/>
          <w:szCs w:val="24"/>
        </w:rPr>
        <w:t>assited</w:t>
      </w:r>
      <w:proofErr w:type="spellEnd"/>
      <w:r w:rsidRPr="00652BE7">
        <w:rPr>
          <w:rFonts w:ascii="Times New Roman" w:hAnsi="Times New Roman"/>
          <w:i/>
          <w:sz w:val="24"/>
          <w:szCs w:val="24"/>
        </w:rPr>
        <w:t xml:space="preserve"> </w:t>
      </w:r>
      <w:proofErr w:type="spellStart"/>
      <w:r w:rsidRPr="00652BE7">
        <w:rPr>
          <w:rFonts w:ascii="Times New Roman" w:hAnsi="Times New Roman"/>
          <w:i/>
          <w:sz w:val="24"/>
          <w:szCs w:val="24"/>
        </w:rPr>
        <w:t>translation</w:t>
      </w:r>
      <w:proofErr w:type="spellEnd"/>
      <w:r w:rsidRPr="00E73016">
        <w:rPr>
          <w:rFonts w:ascii="Times New Roman" w:hAnsi="Times New Roman"/>
          <w:sz w:val="24"/>
          <w:szCs w:val="24"/>
        </w:rPr>
        <w:t xml:space="preserve">) tulkojuma uzdevumam un veicamajam darbam ir nepieciešamais laiks kļūst īsāks. Tulkošanas rīki ir tulkotājiem izveidotas un tulkošanas darbā pielāgotas programmas, kurās netiek veikta automatizēta tulkošana, bet programmatūra palīdz speciālistam tulkošanas procesā, piedāvājot tulkojamā teksta </w:t>
      </w:r>
      <w:r>
        <w:rPr>
          <w:rFonts w:ascii="Times New Roman" w:hAnsi="Times New Roman"/>
          <w:sz w:val="24"/>
          <w:szCs w:val="24"/>
        </w:rPr>
        <w:t>sagataves no iepriekš jau tulkotajiem tekstu blokiem. Š</w:t>
      </w:r>
      <w:r w:rsidRPr="00E73016">
        <w:rPr>
          <w:rFonts w:ascii="Times New Roman" w:hAnsi="Times New Roman"/>
          <w:sz w:val="24"/>
          <w:szCs w:val="24"/>
        </w:rPr>
        <w:t>ādā veidā tehnoloģijas palīdz nodrošināt, ka divi vienādi teikumi nekad nebūs jātulko vairāk par vienu reizi. Valsts iestādes, kuras izmanto šādus rīkus rada arī tulkošanas atmiņas,  iztulkotais teksts tiek glabāts katrā iestādē atsevišķi vai katrā tulkošanas rīkā atsevišķi un netiek nodrošināta iepriekš iztulkotā teksta atkal izmantošana.</w:t>
      </w:r>
    </w:p>
    <w:p w14:paraId="3FE4108A" w14:textId="3CE67626" w:rsidR="001005E9" w:rsidRPr="00E73016" w:rsidRDefault="001005E9" w:rsidP="00003F23">
      <w:pPr>
        <w:spacing w:after="0"/>
        <w:ind w:firstLine="360"/>
        <w:contextualSpacing/>
        <w:jc w:val="both"/>
        <w:rPr>
          <w:rFonts w:ascii="Times New Roman" w:hAnsi="Times New Roman"/>
          <w:sz w:val="24"/>
          <w:szCs w:val="24"/>
        </w:rPr>
      </w:pPr>
      <w:r>
        <w:rPr>
          <w:rFonts w:ascii="Times New Roman" w:hAnsi="Times New Roman"/>
          <w:sz w:val="24"/>
          <w:szCs w:val="24"/>
        </w:rPr>
        <w:t xml:space="preserve">Ir </w:t>
      </w:r>
      <w:r w:rsidRPr="00E73016">
        <w:rPr>
          <w:rFonts w:ascii="Times New Roman" w:hAnsi="Times New Roman"/>
          <w:sz w:val="24"/>
          <w:szCs w:val="24"/>
        </w:rPr>
        <w:t>publiskās pārvaldes iestādes</w:t>
      </w:r>
      <w:r>
        <w:rPr>
          <w:rFonts w:ascii="Times New Roman" w:hAnsi="Times New Roman"/>
          <w:sz w:val="24"/>
          <w:szCs w:val="24"/>
        </w:rPr>
        <w:t>, kuras</w:t>
      </w:r>
      <w:r w:rsidRPr="00E73016">
        <w:rPr>
          <w:rFonts w:ascii="Times New Roman" w:hAnsi="Times New Roman"/>
          <w:sz w:val="24"/>
          <w:szCs w:val="24"/>
        </w:rPr>
        <w:t xml:space="preserve"> specifisku tulkošanas vajadzību nodrošināšanai izmanto ārpakalpojuma sniedzēju sniegtos pakalpojumus.</w:t>
      </w:r>
      <w:r w:rsidR="00B0778E">
        <w:rPr>
          <w:rFonts w:ascii="Times New Roman" w:hAnsi="Times New Roman"/>
          <w:sz w:val="24"/>
          <w:szCs w:val="24"/>
        </w:rPr>
        <w:t xml:space="preserve"> Paš</w:t>
      </w:r>
      <w:r w:rsidRPr="00E73016">
        <w:rPr>
          <w:rFonts w:ascii="Times New Roman" w:hAnsi="Times New Roman"/>
          <w:sz w:val="24"/>
          <w:szCs w:val="24"/>
        </w:rPr>
        <w:t xml:space="preserve">reiz neviens normatīvais akts neparedz, ka, organizējot tulkošanas pakalpojuma iepirkumu vai cenu aptauju, </w:t>
      </w:r>
      <w:r>
        <w:rPr>
          <w:rFonts w:ascii="Times New Roman" w:hAnsi="Times New Roman"/>
          <w:sz w:val="24"/>
          <w:szCs w:val="24"/>
        </w:rPr>
        <w:t xml:space="preserve">iestādei </w:t>
      </w:r>
      <w:r w:rsidRPr="00E73016">
        <w:rPr>
          <w:rFonts w:ascii="Times New Roman" w:hAnsi="Times New Roman"/>
          <w:sz w:val="24"/>
          <w:szCs w:val="24"/>
        </w:rPr>
        <w:t xml:space="preserve">nav tiesību prasīt un līdz ar to pakalpojumu </w:t>
      </w:r>
      <w:r>
        <w:rPr>
          <w:rFonts w:ascii="Times New Roman" w:hAnsi="Times New Roman"/>
          <w:sz w:val="24"/>
          <w:szCs w:val="24"/>
        </w:rPr>
        <w:t>sniedzējam</w:t>
      </w:r>
      <w:r w:rsidRPr="00E73016">
        <w:rPr>
          <w:rFonts w:ascii="Times New Roman" w:hAnsi="Times New Roman"/>
          <w:sz w:val="24"/>
          <w:szCs w:val="24"/>
        </w:rPr>
        <w:t xml:space="preserve"> nav pienākums nodevumā iekļaut tulkotā teksta atvasinātos materiālus</w:t>
      </w:r>
      <w:r>
        <w:rPr>
          <w:rFonts w:ascii="Times New Roman" w:hAnsi="Times New Roman"/>
          <w:sz w:val="24"/>
          <w:szCs w:val="24"/>
        </w:rPr>
        <w:t xml:space="preserve"> - </w:t>
      </w:r>
      <w:r w:rsidRPr="00E73016">
        <w:rPr>
          <w:rFonts w:ascii="Times New Roman" w:hAnsi="Times New Roman"/>
          <w:sz w:val="24"/>
          <w:szCs w:val="24"/>
        </w:rPr>
        <w:t xml:space="preserve"> tādus kā tulkošanas atmiņas kopā ar pašu iztulkoto tekstu. Kā rāda informācija, kas ir pieejam</w:t>
      </w:r>
      <w:r w:rsidR="005A1CED">
        <w:rPr>
          <w:rFonts w:ascii="Times New Roman" w:hAnsi="Times New Roman"/>
          <w:sz w:val="24"/>
          <w:szCs w:val="24"/>
        </w:rPr>
        <w:t>a</w:t>
      </w:r>
      <w:r w:rsidRPr="00E73016">
        <w:rPr>
          <w:rFonts w:ascii="Times New Roman" w:hAnsi="Times New Roman"/>
          <w:sz w:val="24"/>
          <w:szCs w:val="24"/>
        </w:rPr>
        <w:t xml:space="preserve"> Iepirkumu uzraudzības biroja atvērtajos datos, tad pēdējo četru gadu laikā (01.01.2015-01.09.2018.) valsts pārvaldes pasūtītajos tulkošanas pakalpojumos tika izlietots 8,7 miljoni </w:t>
      </w:r>
      <w:r w:rsidRPr="00E7219D">
        <w:rPr>
          <w:rFonts w:ascii="Times New Roman" w:hAnsi="Times New Roman"/>
          <w:i/>
          <w:sz w:val="24"/>
          <w:szCs w:val="24"/>
        </w:rPr>
        <w:t>eiro</w:t>
      </w:r>
      <w:r w:rsidRPr="00E73016">
        <w:rPr>
          <w:rFonts w:ascii="Times New Roman" w:hAnsi="Times New Roman"/>
          <w:sz w:val="24"/>
          <w:szCs w:val="24"/>
        </w:rPr>
        <w:t xml:space="preserve">.  </w:t>
      </w:r>
    </w:p>
    <w:p w14:paraId="2B5B634A" w14:textId="764A4A0E" w:rsidR="001005E9" w:rsidRPr="00E73016" w:rsidRDefault="001005E9" w:rsidP="00003F23">
      <w:pPr>
        <w:spacing w:after="0"/>
        <w:ind w:firstLine="360"/>
        <w:contextualSpacing/>
        <w:jc w:val="both"/>
        <w:rPr>
          <w:rFonts w:ascii="Times New Roman" w:hAnsi="Times New Roman"/>
          <w:sz w:val="24"/>
          <w:szCs w:val="24"/>
        </w:rPr>
      </w:pPr>
      <w:r>
        <w:rPr>
          <w:rFonts w:ascii="Times New Roman" w:hAnsi="Times New Roman"/>
          <w:sz w:val="24"/>
          <w:szCs w:val="24"/>
        </w:rPr>
        <w:t>Tulkošanas a</w:t>
      </w:r>
      <w:r w:rsidRPr="00E73016">
        <w:rPr>
          <w:rFonts w:ascii="Times New Roman" w:hAnsi="Times New Roman"/>
          <w:sz w:val="24"/>
          <w:szCs w:val="24"/>
        </w:rPr>
        <w:t>tmiņas</w:t>
      </w:r>
      <w:r w:rsidR="00E7219D">
        <w:rPr>
          <w:rFonts w:ascii="Times New Roman" w:hAnsi="Times New Roman"/>
          <w:sz w:val="24"/>
          <w:szCs w:val="24"/>
        </w:rPr>
        <w:t xml:space="preserve"> bloki</w:t>
      </w:r>
      <w:r w:rsidRPr="00E73016">
        <w:rPr>
          <w:rFonts w:ascii="Times New Roman" w:hAnsi="Times New Roman"/>
          <w:sz w:val="24"/>
          <w:szCs w:val="24"/>
        </w:rPr>
        <w:t xml:space="preserve"> ir vērtīgs resurss gan pētniecībai, gan biznesa attīstībai.  </w:t>
      </w:r>
      <w:r>
        <w:rPr>
          <w:rFonts w:ascii="Times New Roman" w:hAnsi="Times New Roman"/>
          <w:sz w:val="24"/>
          <w:szCs w:val="24"/>
        </w:rPr>
        <w:t>Tulkošanas atmiņas</w:t>
      </w:r>
      <w:r w:rsidRPr="00E73016">
        <w:rPr>
          <w:rFonts w:ascii="Times New Roman" w:hAnsi="Times New Roman"/>
          <w:sz w:val="24"/>
          <w:szCs w:val="24"/>
        </w:rPr>
        <w:t xml:space="preserve"> ir neaizstājams resurss dažādu tehnoloģisko risinājumu pilnveidošanai piemēram, balss atpazīšanā, dažādu virtuālo asistentu veidošanā, </w:t>
      </w:r>
      <w:proofErr w:type="spellStart"/>
      <w:r w:rsidRPr="00E73016">
        <w:rPr>
          <w:rFonts w:ascii="Times New Roman" w:hAnsi="Times New Roman"/>
          <w:sz w:val="24"/>
          <w:szCs w:val="24"/>
        </w:rPr>
        <w:t>daudzvalodu</w:t>
      </w:r>
      <w:proofErr w:type="spellEnd"/>
      <w:r w:rsidRPr="00E73016">
        <w:rPr>
          <w:rFonts w:ascii="Times New Roman" w:hAnsi="Times New Roman"/>
          <w:sz w:val="24"/>
          <w:szCs w:val="24"/>
        </w:rPr>
        <w:t xml:space="preserve"> automatizētā tulkošanā un tamlīdzīgi.  Lai gan uzņēmumi, kas nodarbojas ar valodu tehnoloģiju izstrādi krāj un attīsta paši savas </w:t>
      </w:r>
      <w:r>
        <w:rPr>
          <w:rFonts w:ascii="Times New Roman" w:hAnsi="Times New Roman"/>
          <w:sz w:val="24"/>
          <w:szCs w:val="24"/>
        </w:rPr>
        <w:t xml:space="preserve">tulkošanas </w:t>
      </w:r>
      <w:r w:rsidRPr="00E73016">
        <w:rPr>
          <w:rFonts w:ascii="Times New Roman" w:hAnsi="Times New Roman"/>
          <w:sz w:val="24"/>
          <w:szCs w:val="24"/>
        </w:rPr>
        <w:t xml:space="preserve">atmiņas un </w:t>
      </w:r>
      <w:proofErr w:type="spellStart"/>
      <w:r w:rsidRPr="00E73016">
        <w:rPr>
          <w:rFonts w:ascii="Times New Roman" w:hAnsi="Times New Roman"/>
          <w:sz w:val="24"/>
          <w:szCs w:val="24"/>
        </w:rPr>
        <w:t>daudzvalodu</w:t>
      </w:r>
      <w:proofErr w:type="spellEnd"/>
      <w:r w:rsidRPr="00E73016">
        <w:rPr>
          <w:rFonts w:ascii="Times New Roman" w:hAnsi="Times New Roman"/>
          <w:sz w:val="24"/>
          <w:szCs w:val="24"/>
        </w:rPr>
        <w:t xml:space="preserve"> korpusus</w:t>
      </w:r>
      <w:r w:rsidR="00E7219D">
        <w:rPr>
          <w:rFonts w:ascii="Times New Roman" w:hAnsi="Times New Roman"/>
          <w:sz w:val="24"/>
          <w:szCs w:val="24"/>
        </w:rPr>
        <w:t xml:space="preserve"> (teksta blokus, kas jau ir tulkoti un to tulkojumi)</w:t>
      </w:r>
      <w:r w:rsidRPr="00E73016">
        <w:rPr>
          <w:rFonts w:ascii="Times New Roman" w:hAnsi="Times New Roman"/>
          <w:sz w:val="24"/>
          <w:szCs w:val="24"/>
        </w:rPr>
        <w:t xml:space="preserve">, piekļuve nacionālajam tulkoto materiālu resursam uzlabotu latviešu valodai piemērotas tehnoloģijas, tā saglabājot latviešu valodas jēgu digitālajā vidē, un veicinātu nacionālo tehnoloģiju uzņēmumu konkurētspēju ārvalstu tirgos.  </w:t>
      </w:r>
    </w:p>
    <w:p w14:paraId="6BFCC999" w14:textId="6CE7EDF5" w:rsidR="001005E9" w:rsidRPr="00E73016" w:rsidRDefault="001005E9" w:rsidP="00003F23">
      <w:pPr>
        <w:spacing w:after="0"/>
        <w:ind w:firstLine="360"/>
        <w:contextualSpacing/>
        <w:jc w:val="both"/>
        <w:rPr>
          <w:rFonts w:ascii="Times New Roman" w:hAnsi="Times New Roman"/>
          <w:sz w:val="24"/>
          <w:szCs w:val="24"/>
        </w:rPr>
      </w:pPr>
      <w:r w:rsidRPr="00E73016">
        <w:rPr>
          <w:rFonts w:ascii="Times New Roman" w:hAnsi="Times New Roman"/>
          <w:sz w:val="24"/>
          <w:szCs w:val="24"/>
        </w:rPr>
        <w:t>Piemēram, piekļuve tulkoto tekstu korpusiem uzlabotu visu Latvijā strādājošo tulkošanas uzņēmumu konkurētspēju ārvalstu tirgos. Tehnoloģiju uzņēmumiem piekļuve šiem nacionāliem korpusiem ļautu līdzekļus, kuri tiek ieguldīti savu korpusu veidošanā novirzīt biznesa un pašu tehnoloģiju attīstībai.  Pētnieku piekļuve šādām tulkošanas atmiņām ļautu pētīt valodas specifiskos jautājumus, valodas izmantoš</w:t>
      </w:r>
      <w:r w:rsidR="005A1CED">
        <w:rPr>
          <w:rFonts w:ascii="Times New Roman" w:hAnsi="Times New Roman"/>
          <w:sz w:val="24"/>
          <w:szCs w:val="24"/>
        </w:rPr>
        <w:t>an</w:t>
      </w:r>
      <w:r w:rsidRPr="00E73016">
        <w:rPr>
          <w:rFonts w:ascii="Times New Roman" w:hAnsi="Times New Roman"/>
          <w:sz w:val="24"/>
          <w:szCs w:val="24"/>
        </w:rPr>
        <w:t xml:space="preserve">u digitālajā vidē un izmantot šos datus dažādos eksperimentos un jaunu metožu radīšanā rakstītā teksta apstrādei, piemēram, jaunus algoritmus rakstītā teksta </w:t>
      </w:r>
      <w:proofErr w:type="spellStart"/>
      <w:r w:rsidRPr="00E73016">
        <w:rPr>
          <w:rFonts w:ascii="Times New Roman" w:hAnsi="Times New Roman"/>
          <w:sz w:val="24"/>
          <w:szCs w:val="24"/>
        </w:rPr>
        <w:t>anonimizēšanai</w:t>
      </w:r>
      <w:proofErr w:type="spellEnd"/>
      <w:r w:rsidRPr="00E73016">
        <w:rPr>
          <w:rFonts w:ascii="Times New Roman" w:hAnsi="Times New Roman"/>
          <w:sz w:val="24"/>
          <w:szCs w:val="24"/>
        </w:rPr>
        <w:t xml:space="preserve"> vai jaunus algoritmus </w:t>
      </w:r>
      <w:proofErr w:type="spellStart"/>
      <w:r w:rsidRPr="00E73016">
        <w:rPr>
          <w:rFonts w:ascii="Times New Roman" w:hAnsi="Times New Roman"/>
          <w:sz w:val="24"/>
          <w:szCs w:val="24"/>
        </w:rPr>
        <w:t>mašīntulkošanas</w:t>
      </w:r>
      <w:proofErr w:type="spellEnd"/>
      <w:r w:rsidRPr="00E73016">
        <w:rPr>
          <w:rFonts w:ascii="Times New Roman" w:hAnsi="Times New Roman"/>
          <w:sz w:val="24"/>
          <w:szCs w:val="24"/>
        </w:rPr>
        <w:t xml:space="preserve"> sistēmu izveidei un </w:t>
      </w:r>
      <w:r w:rsidR="005A1CED">
        <w:rPr>
          <w:rFonts w:ascii="Times New Roman" w:hAnsi="Times New Roman"/>
          <w:sz w:val="24"/>
          <w:szCs w:val="24"/>
        </w:rPr>
        <w:t xml:space="preserve">to produktu </w:t>
      </w:r>
      <w:r w:rsidRPr="00E73016">
        <w:rPr>
          <w:rFonts w:ascii="Times New Roman" w:hAnsi="Times New Roman"/>
          <w:sz w:val="24"/>
          <w:szCs w:val="24"/>
        </w:rPr>
        <w:t xml:space="preserve">augstas kvalitātes nodrošināšanai.    </w:t>
      </w:r>
    </w:p>
    <w:p w14:paraId="5BCEE9DE" w14:textId="77777777" w:rsidR="001005E9" w:rsidRPr="00E73016" w:rsidRDefault="001005E9" w:rsidP="00003F23">
      <w:pPr>
        <w:spacing w:after="0"/>
        <w:ind w:firstLine="360"/>
        <w:contextualSpacing/>
        <w:rPr>
          <w:rFonts w:ascii="Times New Roman" w:hAnsi="Times New Roman"/>
          <w:sz w:val="24"/>
          <w:szCs w:val="24"/>
        </w:rPr>
      </w:pPr>
      <w:r w:rsidRPr="00E73016">
        <w:rPr>
          <w:rFonts w:ascii="Times New Roman" w:hAnsi="Times New Roman"/>
          <w:sz w:val="24"/>
          <w:szCs w:val="24"/>
        </w:rPr>
        <w:t>Atverot tulkošanas atmiņas un mainot procedūras šādu datu iegūšanai valsts pārvaldē  tiktu sasniegti vairāki būtiski mērķi</w:t>
      </w:r>
      <w:r>
        <w:rPr>
          <w:rFonts w:ascii="Times New Roman" w:hAnsi="Times New Roman"/>
          <w:sz w:val="24"/>
          <w:szCs w:val="24"/>
        </w:rPr>
        <w:t>:</w:t>
      </w:r>
    </w:p>
    <w:p w14:paraId="2BEECA15" w14:textId="77777777" w:rsidR="001005E9" w:rsidRPr="00DB6E5A" w:rsidRDefault="001005E9" w:rsidP="00003F23">
      <w:pPr>
        <w:pStyle w:val="ListParagraph"/>
        <w:numPr>
          <w:ilvl w:val="0"/>
          <w:numId w:val="24"/>
        </w:numPr>
        <w:suppressAutoHyphens w:val="0"/>
        <w:spacing w:line="259" w:lineRule="auto"/>
        <w:contextualSpacing/>
        <w:jc w:val="both"/>
      </w:pPr>
      <w:r w:rsidRPr="00DB6E5A">
        <w:t xml:space="preserve">Saņemot tulkošanas atmiņas kopā ar iepirkumiem un piedāvājot tās jaunos iepirkumos, valsts pārvaldei būs iespēja samazināt izdevumus, jo patērētais laiks un faktiski iztulkotais vārdu apjoms turpmākos iepirkumos būs ievērojami mazāks Šāda prakse ir atzīta par efektīvu un  tiek izmantota tulkošanas industrijā. Iegūstot tulkošanas atmiņas no tulkošanas pakalpojumiem tiktu palielināts tulkošanas atmiņu apjoms (kā atvērto datu apjoms), kas būtu atkal izmantojamas jaunu risinājumu radīšanai un konkurētspējas nodrošināšanai. </w:t>
      </w:r>
    </w:p>
    <w:p w14:paraId="02CB58B5" w14:textId="539C1EA2" w:rsidR="001005E9" w:rsidRDefault="001005E9" w:rsidP="00003F23">
      <w:pPr>
        <w:pStyle w:val="ListParagraph"/>
        <w:numPr>
          <w:ilvl w:val="0"/>
          <w:numId w:val="24"/>
        </w:numPr>
        <w:suppressAutoHyphens w:val="0"/>
        <w:spacing w:line="259" w:lineRule="auto"/>
        <w:contextualSpacing/>
        <w:jc w:val="both"/>
      </w:pPr>
      <w:r w:rsidRPr="00DB6E5A">
        <w:lastRenderedPageBreak/>
        <w:t xml:space="preserve">Tulkošanas atmiņu pieejamība atļaus efektīvāk izstrādāt jaunas </w:t>
      </w:r>
      <w:proofErr w:type="spellStart"/>
      <w:r w:rsidRPr="00DB6E5A">
        <w:t>mašīntulkošanas</w:t>
      </w:r>
      <w:proofErr w:type="spellEnd"/>
      <w:r w:rsidRPr="00DB6E5A">
        <w:t xml:space="preserve"> sistēmas, jo to trenēšanā un kvalitātes nodrošināšanā kritisku lomu ieņem tieši valodas dati. Būtiski ir minēt, ka šādu datu pieejamība varēs veicināt arī HUGO</w:t>
      </w:r>
      <w:r w:rsidR="00997EEC">
        <w:t>.</w:t>
      </w:r>
      <w:r w:rsidRPr="00DB6E5A">
        <w:t xml:space="preserve">LV (valsts pārvaldes </w:t>
      </w:r>
      <w:proofErr w:type="spellStart"/>
      <w:r w:rsidRPr="00DB6E5A">
        <w:t>mašīntulkošanas</w:t>
      </w:r>
      <w:proofErr w:type="spellEnd"/>
      <w:r w:rsidRPr="00DB6E5A">
        <w:t xml:space="preserve"> sistēma) sistēmas uzlabošanu un augstākas kvalitātes nodrošināšanu. Sistēmu trenēšanas procesam paliekot efektīvākam un lētākām tiks veicināta sistēmu pieejamība komersantiem un sabiedrībai. </w:t>
      </w:r>
      <w:r>
        <w:t xml:space="preserve">Tas </w:t>
      </w:r>
      <w:r w:rsidRPr="00DB6E5A">
        <w:t xml:space="preserve">ļaus izmantot </w:t>
      </w:r>
      <w:proofErr w:type="spellStart"/>
      <w:r w:rsidRPr="00DB6E5A">
        <w:t>mašīntulkus</w:t>
      </w:r>
      <w:proofErr w:type="spellEnd"/>
      <w:r w:rsidRPr="00DB6E5A">
        <w:t xml:space="preserve">, lai automātiski tulkotu eksporta dokumentus, anketas, produktu informāciju un citus tekstus savās vēlamās valodās.  </w:t>
      </w:r>
    </w:p>
    <w:p w14:paraId="4E16B965" w14:textId="26FF2816" w:rsidR="001005E9" w:rsidRPr="00DB6E5A" w:rsidRDefault="001005E9" w:rsidP="00003F23">
      <w:pPr>
        <w:pStyle w:val="ListParagraph"/>
        <w:numPr>
          <w:ilvl w:val="0"/>
          <w:numId w:val="24"/>
        </w:numPr>
        <w:suppressAutoHyphens w:val="0"/>
        <w:spacing w:line="259" w:lineRule="auto"/>
        <w:contextualSpacing/>
        <w:jc w:val="both"/>
      </w:pPr>
      <w:r w:rsidRPr="00DB6E5A">
        <w:t xml:space="preserve">Atverot tulkošanas atmiņas un valsts pārvaldes turējumā esošos tulkojumus, Latvija veicinātu </w:t>
      </w:r>
      <w:r w:rsidR="00CE1723">
        <w:t>Direktīvā</w:t>
      </w:r>
      <w:r w:rsidRPr="00DB6E5A">
        <w:t xml:space="preserve"> noteikto mērķu ieviešanu. Direktīva dalībvalstis aicina ieviest brīvi pieejamu datu politiku, kas veicina valsts sektora informācijas plašu pieejamību un </w:t>
      </w:r>
      <w:proofErr w:type="spellStart"/>
      <w:r w:rsidRPr="00DB6E5A">
        <w:t>atkalizmantošanu</w:t>
      </w:r>
      <w:proofErr w:type="spellEnd"/>
      <w:r w:rsidRPr="00DB6E5A">
        <w:t xml:space="preserve"> privātiem vai komerciāliem mērķiem un veicina informācijas apriti ne vien uzņēmēju, bet visas sabiedrības vajadzībām. </w:t>
      </w:r>
    </w:p>
    <w:p w14:paraId="58D346E3" w14:textId="23B3431E" w:rsidR="00701E84" w:rsidRDefault="00701E84" w:rsidP="00003F23">
      <w:pPr>
        <w:spacing w:after="0"/>
        <w:ind w:firstLine="709"/>
        <w:contextualSpacing/>
        <w:jc w:val="both"/>
        <w:rPr>
          <w:rFonts w:ascii="Times New Roman" w:hAnsi="Times New Roman"/>
          <w:sz w:val="24"/>
        </w:rPr>
      </w:pPr>
      <w:r w:rsidRPr="00701E84">
        <w:rPr>
          <w:rFonts w:ascii="Times New Roman" w:hAnsi="Times New Roman"/>
          <w:sz w:val="24"/>
        </w:rPr>
        <w:t xml:space="preserve">LIKTA un LTRK </w:t>
      </w:r>
      <w:r>
        <w:rPr>
          <w:rFonts w:ascii="Times New Roman" w:hAnsi="Times New Roman"/>
          <w:sz w:val="24"/>
        </w:rPr>
        <w:t xml:space="preserve">norādīja, ka vēlētos lai </w:t>
      </w:r>
      <w:r w:rsidR="00951B35">
        <w:rPr>
          <w:rFonts w:ascii="Times New Roman" w:hAnsi="Times New Roman"/>
          <w:sz w:val="24"/>
        </w:rPr>
        <w:t xml:space="preserve">KISC publicētu </w:t>
      </w:r>
      <w:bookmarkStart w:id="31" w:name="_Hlk23509091"/>
      <w:r w:rsidR="00951B35">
        <w:rPr>
          <w:rFonts w:ascii="Times New Roman" w:hAnsi="Times New Roman"/>
          <w:sz w:val="24"/>
        </w:rPr>
        <w:t>Valsts valodas centra tulkošanas atmiņas</w:t>
      </w:r>
      <w:bookmarkEnd w:id="31"/>
      <w:r w:rsidR="00951B35">
        <w:rPr>
          <w:rFonts w:ascii="Times New Roman" w:hAnsi="Times New Roman"/>
          <w:sz w:val="24"/>
        </w:rPr>
        <w:t xml:space="preserve"> un </w:t>
      </w:r>
      <w:bookmarkStart w:id="32" w:name="_Hlk23509098"/>
      <w:r w:rsidR="00951B35">
        <w:rPr>
          <w:rFonts w:ascii="Times New Roman" w:hAnsi="Times New Roman"/>
          <w:sz w:val="24"/>
        </w:rPr>
        <w:t>valsts iestāžu veikto tekstu tulkojumu korpusus atvērto datu veidā</w:t>
      </w:r>
      <w:bookmarkEnd w:id="32"/>
      <w:r w:rsidR="00951B35">
        <w:rPr>
          <w:rFonts w:ascii="Times New Roman" w:hAnsi="Times New Roman"/>
          <w:sz w:val="24"/>
        </w:rPr>
        <w:t xml:space="preserve">. KISC informēja, ka abas šīs datu kopas tehniski ir iespējams </w:t>
      </w:r>
      <w:r w:rsidR="00E96737">
        <w:rPr>
          <w:rFonts w:ascii="Times New Roman" w:hAnsi="Times New Roman"/>
          <w:sz w:val="24"/>
        </w:rPr>
        <w:t xml:space="preserve">publicēt tulkošanas vietnes </w:t>
      </w:r>
      <w:r w:rsidR="001318C8">
        <w:rPr>
          <w:rFonts w:ascii="Times New Roman" w:hAnsi="Times New Roman"/>
          <w:sz w:val="24"/>
        </w:rPr>
        <w:t xml:space="preserve">HUGO.LV </w:t>
      </w:r>
      <w:r w:rsidR="00E96737">
        <w:rPr>
          <w:rFonts w:ascii="Times New Roman" w:hAnsi="Times New Roman"/>
          <w:sz w:val="24"/>
        </w:rPr>
        <w:t xml:space="preserve">drošajā vidē. Jau šobrīd KISC cenšas atvērt arvien jaunas tulkošanas atmiņas un tekstu tulkojumu korpusus, tomēr KISC norādīja, ka </w:t>
      </w:r>
      <w:r w:rsidR="002C064E">
        <w:rPr>
          <w:rFonts w:ascii="Times New Roman" w:hAnsi="Times New Roman"/>
          <w:sz w:val="24"/>
        </w:rPr>
        <w:t>iestādei</w:t>
      </w:r>
      <w:r w:rsidR="00E96737">
        <w:rPr>
          <w:rFonts w:ascii="Times New Roman" w:hAnsi="Times New Roman"/>
          <w:sz w:val="24"/>
        </w:rPr>
        <w:t xml:space="preserve"> nav pieredzes ar M</w:t>
      </w:r>
      <w:r w:rsidR="002C064E">
        <w:rPr>
          <w:rFonts w:ascii="Times New Roman" w:hAnsi="Times New Roman"/>
          <w:sz w:val="24"/>
        </w:rPr>
        <w:t>inistru kabineta</w:t>
      </w:r>
      <w:r w:rsidR="00E96737">
        <w:rPr>
          <w:rFonts w:ascii="Times New Roman" w:hAnsi="Times New Roman"/>
          <w:sz w:val="24"/>
        </w:rPr>
        <w:t xml:space="preserve"> rīkojumu gatavošanu un virzīšanu uz Ministru kabinetu, lai varētu iestādēm uzdot iesniegt to rīcībā esošos tulkojumus. </w:t>
      </w:r>
    </w:p>
    <w:p w14:paraId="3C535239" w14:textId="77777777" w:rsidR="00E96737" w:rsidRDefault="00E96737" w:rsidP="00003F23">
      <w:pPr>
        <w:spacing w:after="0"/>
        <w:ind w:firstLine="709"/>
        <w:contextualSpacing/>
        <w:jc w:val="both"/>
        <w:rPr>
          <w:rFonts w:ascii="Times New Roman" w:hAnsi="Times New Roman"/>
          <w:sz w:val="24"/>
        </w:rPr>
      </w:pPr>
      <w:r>
        <w:rPr>
          <w:rFonts w:ascii="Times New Roman" w:hAnsi="Times New Roman"/>
          <w:sz w:val="24"/>
        </w:rPr>
        <w:t xml:space="preserve">LIKTA </w:t>
      </w:r>
      <w:r w:rsidR="002C064E">
        <w:rPr>
          <w:rFonts w:ascii="Times New Roman" w:hAnsi="Times New Roman"/>
          <w:sz w:val="24"/>
        </w:rPr>
        <w:t>norādīj</w:t>
      </w:r>
      <w:r>
        <w:rPr>
          <w:rFonts w:ascii="Times New Roman" w:hAnsi="Times New Roman"/>
          <w:sz w:val="24"/>
        </w:rPr>
        <w:t>a, ka iestādes kopumā pašlaik tulkojumiem tērē ievērojamus finanšu resursus, tāpēc to rīcībā esošo tulkojumu iekļaušana Hugo.lv s</w:t>
      </w:r>
      <w:r w:rsidR="001A2942">
        <w:rPr>
          <w:rFonts w:ascii="Times New Roman" w:hAnsi="Times New Roman"/>
          <w:sz w:val="24"/>
        </w:rPr>
        <w:t>amazinātu tulkošanas pakalpojumu izmaksas</w:t>
      </w:r>
      <w:r w:rsidR="00B0778E">
        <w:rPr>
          <w:rFonts w:ascii="Times New Roman" w:hAnsi="Times New Roman"/>
          <w:sz w:val="24"/>
        </w:rPr>
        <w:t>.</w:t>
      </w:r>
    </w:p>
    <w:p w14:paraId="638633CA" w14:textId="77777777" w:rsidR="001A2942" w:rsidRDefault="001A2942" w:rsidP="00003F23">
      <w:pPr>
        <w:spacing w:after="0"/>
        <w:ind w:firstLine="709"/>
        <w:contextualSpacing/>
        <w:jc w:val="both"/>
        <w:rPr>
          <w:rFonts w:ascii="Times New Roman" w:hAnsi="Times New Roman"/>
          <w:sz w:val="24"/>
        </w:rPr>
      </w:pPr>
      <w:r>
        <w:rPr>
          <w:rFonts w:ascii="Times New Roman" w:hAnsi="Times New Roman"/>
          <w:sz w:val="24"/>
        </w:rPr>
        <w:t>Kā būtisku risinājumu tulkošanas pakalpojumu jomā LIKTA minēja tulkošanas pakalpojumu</w:t>
      </w:r>
      <w:r w:rsidR="002C064E">
        <w:rPr>
          <w:rFonts w:ascii="Times New Roman" w:hAnsi="Times New Roman"/>
          <w:sz w:val="24"/>
        </w:rPr>
        <w:t xml:space="preserve"> iekļaušanu</w:t>
      </w:r>
      <w:r>
        <w:rPr>
          <w:rFonts w:ascii="Times New Roman" w:hAnsi="Times New Roman"/>
          <w:sz w:val="24"/>
        </w:rPr>
        <w:t xml:space="preserve"> Elektroniskās iepirkuma sistēmas</w:t>
      </w:r>
      <w:r w:rsidR="002C064E">
        <w:rPr>
          <w:rFonts w:ascii="Times New Roman" w:hAnsi="Times New Roman"/>
          <w:sz w:val="24"/>
        </w:rPr>
        <w:t xml:space="preserve"> (EIS)</w:t>
      </w:r>
      <w:r>
        <w:rPr>
          <w:rFonts w:ascii="Times New Roman" w:hAnsi="Times New Roman"/>
          <w:sz w:val="24"/>
        </w:rPr>
        <w:t xml:space="preserve"> katalogā, pievienojot prasību, ka tulkojuma veicējs iesniedz KISC sistēmā gan oriģinālvalodas tekstu, kā arī tulkojumu – tādā veidā ar kvalitatīvu tulkojumu papildinot KISC rīcībā esošo tulkojumu tekstu korpusus.  </w:t>
      </w:r>
    </w:p>
    <w:p w14:paraId="2E7DB97B" w14:textId="77777777" w:rsidR="00176C01" w:rsidRDefault="00176C01" w:rsidP="00003F23">
      <w:pPr>
        <w:spacing w:after="0"/>
        <w:ind w:firstLine="709"/>
        <w:jc w:val="both"/>
        <w:rPr>
          <w:rFonts w:ascii="Times New Roman" w:hAnsi="Times New Roman"/>
          <w:sz w:val="24"/>
        </w:rPr>
      </w:pPr>
    </w:p>
    <w:p w14:paraId="28416925" w14:textId="02462401" w:rsidR="00176C01" w:rsidRPr="00652BE7" w:rsidRDefault="00176C01" w:rsidP="00652BE7">
      <w:pPr>
        <w:pStyle w:val="Heading1"/>
        <w:numPr>
          <w:ilvl w:val="0"/>
          <w:numId w:val="27"/>
        </w:numPr>
        <w:jc w:val="center"/>
        <w:rPr>
          <w:rFonts w:ascii="Times New Roman" w:hAnsi="Times New Roman" w:cs="Times New Roman"/>
          <w:color w:val="auto"/>
          <w:sz w:val="28"/>
        </w:rPr>
      </w:pPr>
      <w:bookmarkStart w:id="33" w:name="_Toc26252159"/>
      <w:r w:rsidRPr="00652BE7">
        <w:rPr>
          <w:rFonts w:ascii="Times New Roman" w:hAnsi="Times New Roman" w:cs="Times New Roman"/>
          <w:color w:val="auto"/>
          <w:sz w:val="28"/>
        </w:rPr>
        <w:t>Nacionālā Kultūras mantojuma pārvaldes (NKMP) datu publicēšana</w:t>
      </w:r>
      <w:bookmarkEnd w:id="33"/>
    </w:p>
    <w:p w14:paraId="706B7287" w14:textId="77777777" w:rsidR="00176C01" w:rsidRDefault="00176C01" w:rsidP="00003F23">
      <w:pPr>
        <w:spacing w:after="0"/>
        <w:jc w:val="both"/>
        <w:rPr>
          <w:b/>
        </w:rPr>
      </w:pPr>
    </w:p>
    <w:p w14:paraId="0DA68560" w14:textId="77777777" w:rsidR="00003F23" w:rsidRDefault="00003F23" w:rsidP="00003F23">
      <w:pPr>
        <w:spacing w:after="0"/>
        <w:ind w:firstLine="709"/>
        <w:jc w:val="both"/>
        <w:rPr>
          <w:rFonts w:ascii="Times New Roman" w:hAnsi="Times New Roman"/>
          <w:sz w:val="24"/>
        </w:rPr>
      </w:pPr>
      <w:r>
        <w:rPr>
          <w:rFonts w:ascii="Times New Roman" w:hAnsi="Times New Roman"/>
          <w:sz w:val="24"/>
        </w:rPr>
        <w:t xml:space="preserve">NKMP ir Kultūras ministrijas padotībā esoša tiešās pārvaldes iestāde, kas īsteno valsts politiku un kontroli kultūras pieminekļu aizsardzībā, veic kultūras mantojuma apzināšanu, izpēti un pieminekļu uzskaiti. Kultūras pieminekļu aizsardzības nozares </w:t>
      </w:r>
      <w:proofErr w:type="spellStart"/>
      <w:r>
        <w:rPr>
          <w:rFonts w:ascii="Times New Roman" w:hAnsi="Times New Roman"/>
          <w:sz w:val="24"/>
        </w:rPr>
        <w:t>virsmērķis</w:t>
      </w:r>
      <w:proofErr w:type="spellEnd"/>
      <w:r>
        <w:rPr>
          <w:rFonts w:ascii="Times New Roman" w:hAnsi="Times New Roman"/>
          <w:sz w:val="24"/>
        </w:rPr>
        <w:t xml:space="preserve"> ir saglabāt kultūras mantojumu kā cilvēka dzīves kvalitātes nozīmīgu faktoru – apzināt, aizsargāt un iekļaut mūsdienu dzīves apritē materiālo kultūras mantojumu, veicināt sabiedrībā kultūrvēsturisko vērtību izpratni.</w:t>
      </w:r>
    </w:p>
    <w:p w14:paraId="651586D3" w14:textId="73F40148" w:rsidR="00176C01" w:rsidRPr="00176C01" w:rsidRDefault="00176C01" w:rsidP="00003F23">
      <w:pPr>
        <w:spacing w:after="0"/>
        <w:ind w:firstLine="709"/>
        <w:jc w:val="both"/>
        <w:rPr>
          <w:b/>
        </w:rPr>
      </w:pPr>
      <w:r w:rsidRPr="00701E84">
        <w:rPr>
          <w:rFonts w:ascii="Times New Roman" w:hAnsi="Times New Roman"/>
          <w:sz w:val="24"/>
        </w:rPr>
        <w:t xml:space="preserve">LIKTA un LTRK </w:t>
      </w:r>
      <w:r>
        <w:rPr>
          <w:rFonts w:ascii="Times New Roman" w:hAnsi="Times New Roman"/>
          <w:sz w:val="24"/>
        </w:rPr>
        <w:t>norādīja, ka vēlētos lai NKMP publicētu kultūras pieminekļu ģeotelpiskos datus. Tikšanās laikā NKMP informēja, ka jau šobrīd ir apkopoti kultūras pieminekļu ģeotelpiskie dati un izveidota to karte un tos plānots publicēt Valsts vienotajā ģeotelpiskās informācijas portālā (geolatvija.lv). Tehniskos sagatavošanas darbus plānots paveikt un datus publicēt līdz 2020.gada 28.februārim</w:t>
      </w:r>
    </w:p>
    <w:p w14:paraId="05E22825" w14:textId="184DC4AF" w:rsidR="00A30829" w:rsidRDefault="00A30829" w:rsidP="00A30829">
      <w:pPr>
        <w:pStyle w:val="ListParagraph"/>
        <w:ind w:left="1069"/>
        <w:jc w:val="both"/>
        <w:rPr>
          <w:b/>
        </w:rPr>
      </w:pPr>
    </w:p>
    <w:p w14:paraId="7A7F38F3" w14:textId="7DB8B823" w:rsidR="00652BE7" w:rsidRDefault="00652BE7" w:rsidP="00A30829">
      <w:pPr>
        <w:pStyle w:val="ListParagraph"/>
        <w:ind w:left="1069"/>
        <w:jc w:val="both"/>
        <w:rPr>
          <w:b/>
        </w:rPr>
      </w:pPr>
    </w:p>
    <w:p w14:paraId="327D0C47" w14:textId="0E29334B" w:rsidR="00652BE7" w:rsidRDefault="00652BE7" w:rsidP="00A30829">
      <w:pPr>
        <w:pStyle w:val="ListParagraph"/>
        <w:ind w:left="1069"/>
        <w:jc w:val="both"/>
        <w:rPr>
          <w:b/>
        </w:rPr>
      </w:pPr>
    </w:p>
    <w:p w14:paraId="5DA1825C" w14:textId="7DAC9701" w:rsidR="00652BE7" w:rsidRDefault="00652BE7" w:rsidP="00A30829">
      <w:pPr>
        <w:pStyle w:val="ListParagraph"/>
        <w:ind w:left="1069"/>
        <w:jc w:val="both"/>
        <w:rPr>
          <w:b/>
        </w:rPr>
      </w:pPr>
    </w:p>
    <w:p w14:paraId="6129F221" w14:textId="77777777" w:rsidR="00652BE7" w:rsidRPr="004B5FCE" w:rsidRDefault="00652BE7" w:rsidP="00A30829">
      <w:pPr>
        <w:pStyle w:val="ListParagraph"/>
        <w:ind w:left="1069"/>
        <w:jc w:val="both"/>
        <w:rPr>
          <w:b/>
        </w:rPr>
      </w:pPr>
    </w:p>
    <w:p w14:paraId="502ABE99" w14:textId="415F8F0B" w:rsidR="00A30829" w:rsidRPr="00652BE7" w:rsidRDefault="00A30829" w:rsidP="00652BE7">
      <w:pPr>
        <w:pStyle w:val="Heading1"/>
        <w:numPr>
          <w:ilvl w:val="0"/>
          <w:numId w:val="27"/>
        </w:numPr>
        <w:jc w:val="center"/>
        <w:rPr>
          <w:rFonts w:ascii="Times New Roman" w:hAnsi="Times New Roman" w:cs="Times New Roman"/>
          <w:color w:val="auto"/>
          <w:sz w:val="28"/>
        </w:rPr>
      </w:pPr>
      <w:bookmarkStart w:id="34" w:name="_Toc26252160"/>
      <w:r w:rsidRPr="00652BE7">
        <w:rPr>
          <w:rFonts w:ascii="Times New Roman" w:hAnsi="Times New Roman" w:cs="Times New Roman"/>
          <w:color w:val="auto"/>
          <w:sz w:val="28"/>
        </w:rPr>
        <w:lastRenderedPageBreak/>
        <w:t>Apkopojums par iesniedzamajām datu kopām</w:t>
      </w:r>
      <w:bookmarkEnd w:id="34"/>
    </w:p>
    <w:p w14:paraId="12DEE567" w14:textId="77777777" w:rsidR="00A30829" w:rsidRDefault="00A30829" w:rsidP="00A30829">
      <w:pPr>
        <w:ind w:left="709"/>
        <w:jc w:val="both"/>
      </w:pPr>
    </w:p>
    <w:tbl>
      <w:tblPr>
        <w:tblStyle w:val="TableGrid"/>
        <w:tblW w:w="0" w:type="auto"/>
        <w:tblLayout w:type="fixed"/>
        <w:tblLook w:val="04A0" w:firstRow="1" w:lastRow="0" w:firstColumn="1" w:lastColumn="0" w:noHBand="0" w:noVBand="1"/>
      </w:tblPr>
      <w:tblGrid>
        <w:gridCol w:w="704"/>
        <w:gridCol w:w="1814"/>
        <w:gridCol w:w="3941"/>
        <w:gridCol w:w="2602"/>
      </w:tblGrid>
      <w:tr w:rsidR="00A30829" w:rsidRPr="00314809" w14:paraId="7FB7140C" w14:textId="77777777" w:rsidTr="0072420E">
        <w:tc>
          <w:tcPr>
            <w:tcW w:w="704" w:type="dxa"/>
            <w:shd w:val="clear" w:color="auto" w:fill="D9D9D9" w:themeFill="background1" w:themeFillShade="D9"/>
          </w:tcPr>
          <w:p w14:paraId="0C135087" w14:textId="77777777" w:rsidR="00A30829" w:rsidRPr="00176C01" w:rsidRDefault="00A30829" w:rsidP="0072420E">
            <w:pPr>
              <w:jc w:val="both"/>
              <w:rPr>
                <w:sz w:val="24"/>
                <w:szCs w:val="24"/>
              </w:rPr>
            </w:pPr>
            <w:r w:rsidRPr="00314809">
              <w:tab/>
            </w:r>
            <w:proofErr w:type="spellStart"/>
            <w:r w:rsidRPr="00176C01">
              <w:rPr>
                <w:sz w:val="24"/>
                <w:szCs w:val="24"/>
              </w:rPr>
              <w:t>Nr.p.k</w:t>
            </w:r>
            <w:proofErr w:type="spellEnd"/>
            <w:r w:rsidRPr="00176C01">
              <w:rPr>
                <w:sz w:val="24"/>
                <w:szCs w:val="24"/>
              </w:rPr>
              <w:t>.</w:t>
            </w:r>
          </w:p>
        </w:tc>
        <w:tc>
          <w:tcPr>
            <w:tcW w:w="1814" w:type="dxa"/>
            <w:shd w:val="clear" w:color="auto" w:fill="D9D9D9" w:themeFill="background1" w:themeFillShade="D9"/>
          </w:tcPr>
          <w:p w14:paraId="5C04EFAE" w14:textId="77777777" w:rsidR="00A30829" w:rsidRPr="00176C01" w:rsidRDefault="00A30829" w:rsidP="0072420E">
            <w:pPr>
              <w:jc w:val="both"/>
              <w:rPr>
                <w:sz w:val="24"/>
                <w:szCs w:val="24"/>
              </w:rPr>
            </w:pPr>
            <w:r w:rsidRPr="00176C01">
              <w:rPr>
                <w:sz w:val="24"/>
                <w:szCs w:val="24"/>
              </w:rPr>
              <w:t>Iestāde</w:t>
            </w:r>
          </w:p>
        </w:tc>
        <w:tc>
          <w:tcPr>
            <w:tcW w:w="3941" w:type="dxa"/>
            <w:shd w:val="clear" w:color="auto" w:fill="D9D9D9" w:themeFill="background1" w:themeFillShade="D9"/>
          </w:tcPr>
          <w:p w14:paraId="446BDF98" w14:textId="77777777" w:rsidR="00A30829" w:rsidRPr="00176C01" w:rsidRDefault="00A30829" w:rsidP="0072420E">
            <w:pPr>
              <w:jc w:val="both"/>
              <w:rPr>
                <w:sz w:val="24"/>
                <w:szCs w:val="24"/>
              </w:rPr>
            </w:pPr>
            <w:r w:rsidRPr="00176C01">
              <w:rPr>
                <w:sz w:val="24"/>
                <w:szCs w:val="24"/>
              </w:rPr>
              <w:t>Datu kopa</w:t>
            </w:r>
          </w:p>
        </w:tc>
        <w:tc>
          <w:tcPr>
            <w:tcW w:w="2602" w:type="dxa"/>
            <w:shd w:val="clear" w:color="auto" w:fill="D9D9D9" w:themeFill="background1" w:themeFillShade="D9"/>
          </w:tcPr>
          <w:p w14:paraId="796DADF2" w14:textId="77777777" w:rsidR="00A30829" w:rsidRPr="00176C01" w:rsidRDefault="00A30829" w:rsidP="0072420E">
            <w:pPr>
              <w:jc w:val="both"/>
              <w:rPr>
                <w:sz w:val="24"/>
                <w:szCs w:val="24"/>
              </w:rPr>
            </w:pPr>
            <w:r w:rsidRPr="00176C01">
              <w:rPr>
                <w:sz w:val="24"/>
                <w:szCs w:val="24"/>
              </w:rPr>
              <w:t>Termiņš</w:t>
            </w:r>
          </w:p>
        </w:tc>
      </w:tr>
      <w:tr w:rsidR="00A30829" w:rsidRPr="00314809" w14:paraId="53E610C8" w14:textId="77777777" w:rsidTr="0072420E">
        <w:tc>
          <w:tcPr>
            <w:tcW w:w="704" w:type="dxa"/>
          </w:tcPr>
          <w:p w14:paraId="2D89095F" w14:textId="77777777" w:rsidR="00A30829" w:rsidRPr="00176C01" w:rsidRDefault="00A30829" w:rsidP="0072420E">
            <w:pPr>
              <w:jc w:val="both"/>
              <w:rPr>
                <w:sz w:val="24"/>
                <w:szCs w:val="24"/>
              </w:rPr>
            </w:pPr>
            <w:r w:rsidRPr="00176C01">
              <w:rPr>
                <w:sz w:val="24"/>
                <w:szCs w:val="24"/>
              </w:rPr>
              <w:t>1.</w:t>
            </w:r>
          </w:p>
        </w:tc>
        <w:tc>
          <w:tcPr>
            <w:tcW w:w="1814" w:type="dxa"/>
          </w:tcPr>
          <w:p w14:paraId="7D394279" w14:textId="77777777" w:rsidR="00A30829" w:rsidRPr="00176C01" w:rsidRDefault="00B45182" w:rsidP="0072420E">
            <w:pPr>
              <w:jc w:val="both"/>
              <w:rPr>
                <w:sz w:val="24"/>
                <w:szCs w:val="24"/>
              </w:rPr>
            </w:pPr>
            <w:r w:rsidRPr="00176C01">
              <w:rPr>
                <w:sz w:val="24"/>
                <w:szCs w:val="24"/>
              </w:rPr>
              <w:t>Valsts meža dienests</w:t>
            </w:r>
          </w:p>
        </w:tc>
        <w:tc>
          <w:tcPr>
            <w:tcW w:w="3941" w:type="dxa"/>
          </w:tcPr>
          <w:p w14:paraId="18B8084E" w14:textId="77777777" w:rsidR="00A30829" w:rsidRPr="00176C01" w:rsidRDefault="00B45182" w:rsidP="0072420E">
            <w:pPr>
              <w:jc w:val="both"/>
              <w:rPr>
                <w:sz w:val="24"/>
                <w:szCs w:val="24"/>
              </w:rPr>
            </w:pPr>
            <w:r w:rsidRPr="00176C01">
              <w:rPr>
                <w:sz w:val="24"/>
                <w:szCs w:val="24"/>
              </w:rPr>
              <w:t>Meža inventarizācijas ģeotelpiskos un tabulāros dati</w:t>
            </w:r>
          </w:p>
        </w:tc>
        <w:tc>
          <w:tcPr>
            <w:tcW w:w="2602" w:type="dxa"/>
          </w:tcPr>
          <w:p w14:paraId="672364FC" w14:textId="77777777" w:rsidR="00A30829" w:rsidRPr="00176C01" w:rsidRDefault="00B45182" w:rsidP="0072420E">
            <w:pPr>
              <w:jc w:val="both"/>
              <w:rPr>
                <w:sz w:val="24"/>
                <w:szCs w:val="24"/>
              </w:rPr>
            </w:pPr>
            <w:r w:rsidRPr="00176C01">
              <w:rPr>
                <w:sz w:val="24"/>
                <w:szCs w:val="24"/>
              </w:rPr>
              <w:t>Līdz ar grozījumu Meža likumā spēkā stāšanos</w:t>
            </w:r>
          </w:p>
        </w:tc>
      </w:tr>
      <w:tr w:rsidR="001318C8" w:rsidRPr="00314809" w14:paraId="1A2D8354" w14:textId="77777777" w:rsidTr="0072420E">
        <w:tc>
          <w:tcPr>
            <w:tcW w:w="704" w:type="dxa"/>
          </w:tcPr>
          <w:p w14:paraId="3C1E9E73" w14:textId="77777777" w:rsidR="001318C8" w:rsidRPr="00176C01" w:rsidRDefault="001318C8" w:rsidP="0072420E">
            <w:pPr>
              <w:jc w:val="both"/>
              <w:rPr>
                <w:sz w:val="24"/>
                <w:szCs w:val="24"/>
              </w:rPr>
            </w:pPr>
            <w:r w:rsidRPr="00176C01">
              <w:rPr>
                <w:sz w:val="24"/>
                <w:szCs w:val="24"/>
              </w:rPr>
              <w:t>2.</w:t>
            </w:r>
          </w:p>
        </w:tc>
        <w:tc>
          <w:tcPr>
            <w:tcW w:w="1814" w:type="dxa"/>
            <w:vMerge w:val="restart"/>
          </w:tcPr>
          <w:p w14:paraId="39E7C366" w14:textId="77777777" w:rsidR="001318C8" w:rsidRPr="00176C01" w:rsidRDefault="001318C8" w:rsidP="0072420E">
            <w:pPr>
              <w:jc w:val="both"/>
              <w:rPr>
                <w:sz w:val="24"/>
                <w:szCs w:val="24"/>
              </w:rPr>
            </w:pPr>
            <w:r w:rsidRPr="00176C01">
              <w:rPr>
                <w:sz w:val="24"/>
                <w:szCs w:val="24"/>
              </w:rPr>
              <w:t>Latvijas Valsts ceļi</w:t>
            </w:r>
          </w:p>
          <w:p w14:paraId="0B3FE332" w14:textId="72E22BDA" w:rsidR="001318C8" w:rsidRPr="00176C01" w:rsidRDefault="001318C8" w:rsidP="0072420E">
            <w:pPr>
              <w:jc w:val="both"/>
              <w:rPr>
                <w:sz w:val="24"/>
                <w:szCs w:val="24"/>
              </w:rPr>
            </w:pPr>
          </w:p>
          <w:p w14:paraId="2CFBAA84" w14:textId="69B93E68" w:rsidR="001318C8" w:rsidRPr="00176C01" w:rsidRDefault="001318C8" w:rsidP="0072420E">
            <w:pPr>
              <w:jc w:val="both"/>
              <w:rPr>
                <w:sz w:val="24"/>
                <w:szCs w:val="24"/>
              </w:rPr>
            </w:pPr>
          </w:p>
          <w:p w14:paraId="4DC94A04" w14:textId="029C117F" w:rsidR="001318C8" w:rsidRPr="00176C01" w:rsidRDefault="001318C8" w:rsidP="0072420E">
            <w:pPr>
              <w:jc w:val="both"/>
              <w:rPr>
                <w:sz w:val="24"/>
                <w:szCs w:val="24"/>
              </w:rPr>
            </w:pPr>
          </w:p>
          <w:p w14:paraId="3E2960E8" w14:textId="3857F653" w:rsidR="001318C8" w:rsidRPr="00176C01" w:rsidRDefault="001318C8" w:rsidP="0072420E">
            <w:pPr>
              <w:jc w:val="both"/>
              <w:rPr>
                <w:sz w:val="24"/>
                <w:szCs w:val="24"/>
              </w:rPr>
            </w:pPr>
          </w:p>
          <w:p w14:paraId="54777BDF" w14:textId="2191A90B" w:rsidR="001318C8" w:rsidRPr="00176C01" w:rsidRDefault="001318C8" w:rsidP="0072420E">
            <w:pPr>
              <w:jc w:val="both"/>
              <w:rPr>
                <w:sz w:val="24"/>
                <w:szCs w:val="24"/>
              </w:rPr>
            </w:pPr>
          </w:p>
          <w:p w14:paraId="06D800D1" w14:textId="6C0EE223" w:rsidR="001318C8" w:rsidRPr="00176C01" w:rsidRDefault="001318C8" w:rsidP="0072420E">
            <w:pPr>
              <w:jc w:val="both"/>
              <w:rPr>
                <w:sz w:val="24"/>
                <w:szCs w:val="24"/>
              </w:rPr>
            </w:pPr>
          </w:p>
          <w:p w14:paraId="27A40D7F" w14:textId="12063C13" w:rsidR="001318C8" w:rsidRPr="00176C01" w:rsidRDefault="001318C8" w:rsidP="0072420E">
            <w:pPr>
              <w:jc w:val="both"/>
              <w:rPr>
                <w:sz w:val="24"/>
                <w:szCs w:val="24"/>
              </w:rPr>
            </w:pPr>
          </w:p>
          <w:p w14:paraId="7DB17ACA" w14:textId="143B52FC" w:rsidR="001318C8" w:rsidRPr="00176C01" w:rsidRDefault="001318C8" w:rsidP="0072420E">
            <w:pPr>
              <w:jc w:val="both"/>
              <w:rPr>
                <w:sz w:val="24"/>
                <w:szCs w:val="24"/>
              </w:rPr>
            </w:pPr>
          </w:p>
        </w:tc>
        <w:tc>
          <w:tcPr>
            <w:tcW w:w="3941" w:type="dxa"/>
          </w:tcPr>
          <w:p w14:paraId="1CC08F7F" w14:textId="77777777" w:rsidR="001318C8" w:rsidRPr="00176C01" w:rsidRDefault="001318C8" w:rsidP="0072420E">
            <w:pPr>
              <w:jc w:val="both"/>
              <w:rPr>
                <w:sz w:val="24"/>
                <w:szCs w:val="24"/>
              </w:rPr>
            </w:pPr>
            <w:r w:rsidRPr="00176C01">
              <w:rPr>
                <w:sz w:val="24"/>
                <w:szCs w:val="24"/>
              </w:rPr>
              <w:t>Autoceļu remontdarbu operatīvo informācija un satiksmes ierobežojumi</w:t>
            </w:r>
          </w:p>
        </w:tc>
        <w:tc>
          <w:tcPr>
            <w:tcW w:w="2602" w:type="dxa"/>
          </w:tcPr>
          <w:p w14:paraId="224DB535"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45FBB32B" w14:textId="77777777" w:rsidTr="0072420E">
        <w:tc>
          <w:tcPr>
            <w:tcW w:w="704" w:type="dxa"/>
          </w:tcPr>
          <w:p w14:paraId="5F13F585" w14:textId="77777777" w:rsidR="001318C8" w:rsidRPr="00176C01" w:rsidRDefault="001318C8" w:rsidP="0072420E">
            <w:pPr>
              <w:jc w:val="both"/>
              <w:rPr>
                <w:sz w:val="24"/>
                <w:szCs w:val="24"/>
              </w:rPr>
            </w:pPr>
            <w:r w:rsidRPr="00176C01">
              <w:rPr>
                <w:sz w:val="24"/>
                <w:szCs w:val="24"/>
              </w:rPr>
              <w:t>3.</w:t>
            </w:r>
          </w:p>
        </w:tc>
        <w:tc>
          <w:tcPr>
            <w:tcW w:w="1814" w:type="dxa"/>
            <w:vMerge/>
          </w:tcPr>
          <w:p w14:paraId="1BBEDE83" w14:textId="010863C2" w:rsidR="001318C8" w:rsidRPr="00176C01" w:rsidRDefault="001318C8" w:rsidP="0072420E">
            <w:pPr>
              <w:jc w:val="both"/>
              <w:rPr>
                <w:sz w:val="24"/>
                <w:szCs w:val="24"/>
              </w:rPr>
            </w:pPr>
          </w:p>
        </w:tc>
        <w:tc>
          <w:tcPr>
            <w:tcW w:w="3941" w:type="dxa"/>
          </w:tcPr>
          <w:p w14:paraId="046B1059" w14:textId="77777777" w:rsidR="001318C8" w:rsidRPr="00176C01" w:rsidRDefault="001318C8" w:rsidP="00B45182">
            <w:pPr>
              <w:rPr>
                <w:sz w:val="24"/>
                <w:szCs w:val="24"/>
              </w:rPr>
            </w:pPr>
            <w:r w:rsidRPr="00176C01">
              <w:rPr>
                <w:sz w:val="24"/>
                <w:szCs w:val="24"/>
              </w:rPr>
              <w:t>Gada vidējā statistika par transporta kustību</w:t>
            </w:r>
          </w:p>
        </w:tc>
        <w:tc>
          <w:tcPr>
            <w:tcW w:w="2602" w:type="dxa"/>
          </w:tcPr>
          <w:p w14:paraId="1A5EE81F"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4114DAF6" w14:textId="77777777" w:rsidTr="0072420E">
        <w:tc>
          <w:tcPr>
            <w:tcW w:w="704" w:type="dxa"/>
          </w:tcPr>
          <w:p w14:paraId="64156484" w14:textId="77777777" w:rsidR="001318C8" w:rsidRPr="00176C01" w:rsidRDefault="001318C8" w:rsidP="0072420E">
            <w:pPr>
              <w:jc w:val="both"/>
              <w:rPr>
                <w:sz w:val="24"/>
                <w:szCs w:val="24"/>
              </w:rPr>
            </w:pPr>
            <w:r w:rsidRPr="00176C01">
              <w:rPr>
                <w:sz w:val="24"/>
                <w:szCs w:val="24"/>
              </w:rPr>
              <w:t>4.</w:t>
            </w:r>
          </w:p>
        </w:tc>
        <w:tc>
          <w:tcPr>
            <w:tcW w:w="1814" w:type="dxa"/>
            <w:vMerge/>
          </w:tcPr>
          <w:p w14:paraId="23BE0B60" w14:textId="1210F3EC" w:rsidR="001318C8" w:rsidRPr="00176C01" w:rsidRDefault="001318C8" w:rsidP="0072420E">
            <w:pPr>
              <w:jc w:val="both"/>
              <w:rPr>
                <w:sz w:val="24"/>
                <w:szCs w:val="24"/>
              </w:rPr>
            </w:pPr>
          </w:p>
        </w:tc>
        <w:tc>
          <w:tcPr>
            <w:tcW w:w="3941" w:type="dxa"/>
          </w:tcPr>
          <w:p w14:paraId="4CC7192C" w14:textId="77777777" w:rsidR="001318C8" w:rsidRPr="00176C01" w:rsidRDefault="001318C8" w:rsidP="0072420E">
            <w:pPr>
              <w:jc w:val="both"/>
              <w:rPr>
                <w:sz w:val="24"/>
                <w:szCs w:val="24"/>
              </w:rPr>
            </w:pPr>
            <w:r w:rsidRPr="00176C01">
              <w:rPr>
                <w:sz w:val="24"/>
                <w:szCs w:val="24"/>
              </w:rPr>
              <w:t>Viedo ceļazīmju dati</w:t>
            </w:r>
          </w:p>
        </w:tc>
        <w:tc>
          <w:tcPr>
            <w:tcW w:w="2602" w:type="dxa"/>
          </w:tcPr>
          <w:p w14:paraId="0D1D88C6"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20FB3DF2" w14:textId="77777777" w:rsidTr="0072420E">
        <w:tc>
          <w:tcPr>
            <w:tcW w:w="704" w:type="dxa"/>
          </w:tcPr>
          <w:p w14:paraId="5820F0B3" w14:textId="77777777" w:rsidR="001318C8" w:rsidRPr="00176C01" w:rsidRDefault="001318C8" w:rsidP="0072420E">
            <w:pPr>
              <w:jc w:val="both"/>
              <w:rPr>
                <w:sz w:val="24"/>
                <w:szCs w:val="24"/>
              </w:rPr>
            </w:pPr>
            <w:r w:rsidRPr="00176C01">
              <w:rPr>
                <w:sz w:val="24"/>
                <w:szCs w:val="24"/>
              </w:rPr>
              <w:t>5.</w:t>
            </w:r>
          </w:p>
        </w:tc>
        <w:tc>
          <w:tcPr>
            <w:tcW w:w="1814" w:type="dxa"/>
            <w:vMerge/>
          </w:tcPr>
          <w:p w14:paraId="02BEDAFF" w14:textId="3CC21265" w:rsidR="001318C8" w:rsidRPr="00176C01" w:rsidRDefault="001318C8" w:rsidP="0072420E">
            <w:pPr>
              <w:jc w:val="both"/>
              <w:rPr>
                <w:sz w:val="24"/>
                <w:szCs w:val="24"/>
              </w:rPr>
            </w:pPr>
          </w:p>
        </w:tc>
        <w:tc>
          <w:tcPr>
            <w:tcW w:w="3941" w:type="dxa"/>
          </w:tcPr>
          <w:p w14:paraId="6EE4258D" w14:textId="77777777" w:rsidR="001318C8" w:rsidRPr="00176C01" w:rsidRDefault="001318C8" w:rsidP="00B45182">
            <w:pPr>
              <w:rPr>
                <w:sz w:val="24"/>
                <w:szCs w:val="24"/>
              </w:rPr>
            </w:pPr>
            <w:r w:rsidRPr="00176C01">
              <w:rPr>
                <w:sz w:val="24"/>
                <w:szCs w:val="24"/>
              </w:rPr>
              <w:t>Melno punktu karte</w:t>
            </w:r>
          </w:p>
        </w:tc>
        <w:tc>
          <w:tcPr>
            <w:tcW w:w="2602" w:type="dxa"/>
          </w:tcPr>
          <w:p w14:paraId="418185EA"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17930A48" w14:textId="77777777" w:rsidTr="0072420E">
        <w:tc>
          <w:tcPr>
            <w:tcW w:w="704" w:type="dxa"/>
          </w:tcPr>
          <w:p w14:paraId="618441E2" w14:textId="77777777" w:rsidR="001318C8" w:rsidRPr="00176C01" w:rsidRDefault="001318C8" w:rsidP="0072420E">
            <w:pPr>
              <w:jc w:val="both"/>
              <w:rPr>
                <w:sz w:val="24"/>
                <w:szCs w:val="24"/>
              </w:rPr>
            </w:pPr>
            <w:r w:rsidRPr="00176C01">
              <w:rPr>
                <w:sz w:val="24"/>
                <w:szCs w:val="24"/>
              </w:rPr>
              <w:t>6.</w:t>
            </w:r>
          </w:p>
        </w:tc>
        <w:tc>
          <w:tcPr>
            <w:tcW w:w="1814" w:type="dxa"/>
            <w:vMerge/>
          </w:tcPr>
          <w:p w14:paraId="29E05431" w14:textId="397CDCE4" w:rsidR="001318C8" w:rsidRPr="00176C01" w:rsidRDefault="001318C8" w:rsidP="0072420E">
            <w:pPr>
              <w:jc w:val="both"/>
              <w:rPr>
                <w:sz w:val="24"/>
                <w:szCs w:val="24"/>
              </w:rPr>
            </w:pPr>
          </w:p>
        </w:tc>
        <w:tc>
          <w:tcPr>
            <w:tcW w:w="3941" w:type="dxa"/>
          </w:tcPr>
          <w:p w14:paraId="1E0AB485" w14:textId="77777777" w:rsidR="001318C8" w:rsidRPr="00176C01" w:rsidRDefault="001318C8" w:rsidP="0072420E">
            <w:pPr>
              <w:jc w:val="both"/>
              <w:rPr>
                <w:sz w:val="24"/>
                <w:szCs w:val="24"/>
              </w:rPr>
            </w:pPr>
            <w:r w:rsidRPr="00176C01">
              <w:rPr>
                <w:sz w:val="24"/>
                <w:szCs w:val="24"/>
              </w:rPr>
              <w:t>trokšņu karte (kā kartes slānis)</w:t>
            </w:r>
          </w:p>
        </w:tc>
        <w:tc>
          <w:tcPr>
            <w:tcW w:w="2602" w:type="dxa"/>
          </w:tcPr>
          <w:p w14:paraId="1BBC0831"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4EF66DE2" w14:textId="77777777" w:rsidTr="0072420E">
        <w:tc>
          <w:tcPr>
            <w:tcW w:w="704" w:type="dxa"/>
          </w:tcPr>
          <w:p w14:paraId="7EFE34C2" w14:textId="77777777" w:rsidR="001318C8" w:rsidRPr="00176C01" w:rsidRDefault="001318C8" w:rsidP="0072420E">
            <w:pPr>
              <w:jc w:val="both"/>
              <w:rPr>
                <w:sz w:val="24"/>
                <w:szCs w:val="24"/>
              </w:rPr>
            </w:pPr>
            <w:r w:rsidRPr="00176C01">
              <w:rPr>
                <w:sz w:val="24"/>
                <w:szCs w:val="24"/>
              </w:rPr>
              <w:t>7.</w:t>
            </w:r>
          </w:p>
        </w:tc>
        <w:tc>
          <w:tcPr>
            <w:tcW w:w="1814" w:type="dxa"/>
            <w:vMerge/>
          </w:tcPr>
          <w:p w14:paraId="793AF70D" w14:textId="38446909" w:rsidR="001318C8" w:rsidRPr="00176C01" w:rsidRDefault="001318C8" w:rsidP="0072420E">
            <w:pPr>
              <w:jc w:val="both"/>
              <w:rPr>
                <w:sz w:val="24"/>
                <w:szCs w:val="24"/>
              </w:rPr>
            </w:pPr>
          </w:p>
        </w:tc>
        <w:tc>
          <w:tcPr>
            <w:tcW w:w="3941" w:type="dxa"/>
          </w:tcPr>
          <w:p w14:paraId="6624A23C" w14:textId="77777777" w:rsidR="001318C8" w:rsidRPr="00176C01" w:rsidRDefault="001318C8" w:rsidP="00B45182">
            <w:pPr>
              <w:rPr>
                <w:sz w:val="24"/>
                <w:szCs w:val="24"/>
              </w:rPr>
            </w:pPr>
            <w:r w:rsidRPr="00176C01">
              <w:rPr>
                <w:sz w:val="24"/>
                <w:szCs w:val="24"/>
              </w:rPr>
              <w:t>greideru atrašanās lokācija</w:t>
            </w:r>
          </w:p>
        </w:tc>
        <w:tc>
          <w:tcPr>
            <w:tcW w:w="2602" w:type="dxa"/>
          </w:tcPr>
          <w:p w14:paraId="2670C305"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35A5F500" w14:textId="77777777" w:rsidTr="0072420E">
        <w:tc>
          <w:tcPr>
            <w:tcW w:w="704" w:type="dxa"/>
          </w:tcPr>
          <w:p w14:paraId="5EE2537D" w14:textId="77777777" w:rsidR="001318C8" w:rsidRPr="00176C01" w:rsidRDefault="001318C8" w:rsidP="0072420E">
            <w:pPr>
              <w:jc w:val="both"/>
              <w:rPr>
                <w:sz w:val="24"/>
                <w:szCs w:val="24"/>
              </w:rPr>
            </w:pPr>
            <w:r w:rsidRPr="00176C01">
              <w:rPr>
                <w:sz w:val="24"/>
                <w:szCs w:val="24"/>
              </w:rPr>
              <w:t>8.</w:t>
            </w:r>
          </w:p>
        </w:tc>
        <w:tc>
          <w:tcPr>
            <w:tcW w:w="1814" w:type="dxa"/>
            <w:vMerge/>
          </w:tcPr>
          <w:p w14:paraId="2BA9BAD4" w14:textId="1E029A86" w:rsidR="001318C8" w:rsidRPr="00176C01" w:rsidRDefault="001318C8" w:rsidP="0072420E">
            <w:pPr>
              <w:jc w:val="both"/>
              <w:rPr>
                <w:sz w:val="24"/>
                <w:szCs w:val="24"/>
              </w:rPr>
            </w:pPr>
          </w:p>
        </w:tc>
        <w:tc>
          <w:tcPr>
            <w:tcW w:w="3941" w:type="dxa"/>
          </w:tcPr>
          <w:p w14:paraId="29711761" w14:textId="273C518B" w:rsidR="001318C8" w:rsidRPr="00176C01" w:rsidRDefault="001318C8" w:rsidP="00B45182">
            <w:pPr>
              <w:rPr>
                <w:sz w:val="24"/>
                <w:szCs w:val="24"/>
              </w:rPr>
            </w:pPr>
            <w:r>
              <w:rPr>
                <w:sz w:val="24"/>
                <w:szCs w:val="24"/>
              </w:rPr>
              <w:t>asfalta seguma ceļu bedru remontu</w:t>
            </w:r>
            <w:r w:rsidRPr="00176C01">
              <w:rPr>
                <w:sz w:val="24"/>
                <w:szCs w:val="24"/>
              </w:rPr>
              <w:t xml:space="preserve"> vietu karte</w:t>
            </w:r>
          </w:p>
        </w:tc>
        <w:tc>
          <w:tcPr>
            <w:tcW w:w="2602" w:type="dxa"/>
          </w:tcPr>
          <w:p w14:paraId="729ABF33"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049BF20A" w14:textId="77777777" w:rsidTr="0072420E">
        <w:tc>
          <w:tcPr>
            <w:tcW w:w="704" w:type="dxa"/>
          </w:tcPr>
          <w:p w14:paraId="3AB4C303" w14:textId="77777777" w:rsidR="001318C8" w:rsidRPr="00176C01" w:rsidRDefault="001318C8" w:rsidP="0072420E">
            <w:pPr>
              <w:jc w:val="both"/>
              <w:rPr>
                <w:sz w:val="24"/>
                <w:szCs w:val="24"/>
              </w:rPr>
            </w:pPr>
            <w:r w:rsidRPr="00176C01">
              <w:rPr>
                <w:sz w:val="24"/>
                <w:szCs w:val="24"/>
              </w:rPr>
              <w:t>9.</w:t>
            </w:r>
          </w:p>
        </w:tc>
        <w:tc>
          <w:tcPr>
            <w:tcW w:w="1814" w:type="dxa"/>
            <w:vMerge/>
          </w:tcPr>
          <w:p w14:paraId="43AA24E7" w14:textId="57B7F967" w:rsidR="001318C8" w:rsidRPr="00176C01" w:rsidRDefault="001318C8" w:rsidP="0072420E">
            <w:pPr>
              <w:jc w:val="both"/>
              <w:rPr>
                <w:sz w:val="24"/>
                <w:szCs w:val="24"/>
              </w:rPr>
            </w:pPr>
          </w:p>
        </w:tc>
        <w:tc>
          <w:tcPr>
            <w:tcW w:w="3941" w:type="dxa"/>
          </w:tcPr>
          <w:p w14:paraId="71569173" w14:textId="77777777" w:rsidR="001318C8" w:rsidRPr="00176C01" w:rsidRDefault="001318C8" w:rsidP="00B45182">
            <w:pPr>
              <w:rPr>
                <w:sz w:val="24"/>
                <w:szCs w:val="24"/>
              </w:rPr>
            </w:pPr>
            <w:r w:rsidRPr="00176C01">
              <w:rPr>
                <w:sz w:val="24"/>
                <w:szCs w:val="24"/>
              </w:rPr>
              <w:t>stāvlaukumu koordinātas</w:t>
            </w:r>
          </w:p>
        </w:tc>
        <w:tc>
          <w:tcPr>
            <w:tcW w:w="2602" w:type="dxa"/>
          </w:tcPr>
          <w:p w14:paraId="2116D952"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15E4C82F" w14:textId="77777777" w:rsidTr="0072420E">
        <w:tc>
          <w:tcPr>
            <w:tcW w:w="704" w:type="dxa"/>
          </w:tcPr>
          <w:p w14:paraId="6DA1158A" w14:textId="77777777" w:rsidR="001318C8" w:rsidRPr="00176C01" w:rsidRDefault="001318C8" w:rsidP="0072420E">
            <w:pPr>
              <w:jc w:val="both"/>
              <w:rPr>
                <w:sz w:val="24"/>
                <w:szCs w:val="24"/>
              </w:rPr>
            </w:pPr>
            <w:r w:rsidRPr="00176C01">
              <w:rPr>
                <w:sz w:val="24"/>
                <w:szCs w:val="24"/>
              </w:rPr>
              <w:t>10.</w:t>
            </w:r>
          </w:p>
        </w:tc>
        <w:tc>
          <w:tcPr>
            <w:tcW w:w="1814" w:type="dxa"/>
            <w:vMerge/>
          </w:tcPr>
          <w:p w14:paraId="57C439E8" w14:textId="60D55635" w:rsidR="001318C8" w:rsidRPr="00176C01" w:rsidRDefault="001318C8" w:rsidP="0072420E">
            <w:pPr>
              <w:jc w:val="both"/>
              <w:rPr>
                <w:sz w:val="24"/>
                <w:szCs w:val="24"/>
              </w:rPr>
            </w:pPr>
          </w:p>
        </w:tc>
        <w:tc>
          <w:tcPr>
            <w:tcW w:w="3941" w:type="dxa"/>
            <w:vAlign w:val="bottom"/>
          </w:tcPr>
          <w:p w14:paraId="1DEE4CFB" w14:textId="77777777" w:rsidR="001318C8" w:rsidRPr="00176C01" w:rsidRDefault="001318C8" w:rsidP="0072420E">
            <w:pPr>
              <w:jc w:val="both"/>
              <w:rPr>
                <w:sz w:val="24"/>
                <w:szCs w:val="24"/>
              </w:rPr>
            </w:pPr>
            <w:r w:rsidRPr="00176C01">
              <w:rPr>
                <w:sz w:val="24"/>
                <w:szCs w:val="24"/>
              </w:rPr>
              <w:t xml:space="preserve">Autoceļu malās izvietoto </w:t>
            </w:r>
            <w:proofErr w:type="spellStart"/>
            <w:r w:rsidRPr="00176C01">
              <w:rPr>
                <w:sz w:val="24"/>
                <w:szCs w:val="24"/>
              </w:rPr>
              <w:t>meteostaciju</w:t>
            </w:r>
            <w:proofErr w:type="spellEnd"/>
            <w:r w:rsidRPr="00176C01">
              <w:rPr>
                <w:sz w:val="24"/>
                <w:szCs w:val="24"/>
              </w:rPr>
              <w:t xml:space="preserve"> dati</w:t>
            </w:r>
          </w:p>
        </w:tc>
        <w:tc>
          <w:tcPr>
            <w:tcW w:w="2602" w:type="dxa"/>
          </w:tcPr>
          <w:p w14:paraId="5A0BE889" w14:textId="77777777" w:rsidR="001318C8" w:rsidRPr="00176C01" w:rsidRDefault="001318C8" w:rsidP="0072420E">
            <w:pPr>
              <w:jc w:val="both"/>
              <w:rPr>
                <w:sz w:val="24"/>
                <w:szCs w:val="24"/>
              </w:rPr>
            </w:pPr>
            <w:r w:rsidRPr="00176C01">
              <w:rPr>
                <w:sz w:val="24"/>
                <w:szCs w:val="24"/>
              </w:rPr>
              <w:t>2020.gada 31.janvāris</w:t>
            </w:r>
          </w:p>
        </w:tc>
      </w:tr>
      <w:tr w:rsidR="001318C8" w:rsidRPr="00314809" w14:paraId="559E2C41" w14:textId="77777777" w:rsidTr="0072420E">
        <w:tc>
          <w:tcPr>
            <w:tcW w:w="704" w:type="dxa"/>
          </w:tcPr>
          <w:p w14:paraId="04E06295" w14:textId="77777777" w:rsidR="001318C8" w:rsidRPr="00176C01" w:rsidRDefault="001318C8" w:rsidP="0072420E">
            <w:pPr>
              <w:jc w:val="both"/>
              <w:rPr>
                <w:sz w:val="24"/>
                <w:szCs w:val="24"/>
              </w:rPr>
            </w:pPr>
            <w:r w:rsidRPr="00176C01">
              <w:rPr>
                <w:sz w:val="24"/>
                <w:szCs w:val="24"/>
              </w:rPr>
              <w:t>11.</w:t>
            </w:r>
          </w:p>
        </w:tc>
        <w:tc>
          <w:tcPr>
            <w:tcW w:w="1814" w:type="dxa"/>
            <w:vMerge w:val="restart"/>
          </w:tcPr>
          <w:p w14:paraId="6A977749" w14:textId="77777777" w:rsidR="001318C8" w:rsidRPr="00176C01" w:rsidRDefault="001318C8" w:rsidP="0072420E">
            <w:pPr>
              <w:jc w:val="both"/>
              <w:rPr>
                <w:sz w:val="24"/>
                <w:szCs w:val="24"/>
              </w:rPr>
            </w:pPr>
            <w:r w:rsidRPr="00176C01">
              <w:rPr>
                <w:sz w:val="24"/>
                <w:szCs w:val="24"/>
              </w:rPr>
              <w:t>Uzņēmumu reģistrs</w:t>
            </w:r>
          </w:p>
          <w:p w14:paraId="4FC82102" w14:textId="42EB5C39" w:rsidR="001318C8" w:rsidRPr="00176C01" w:rsidRDefault="001318C8" w:rsidP="00B45182">
            <w:pPr>
              <w:jc w:val="both"/>
              <w:rPr>
                <w:sz w:val="24"/>
                <w:szCs w:val="24"/>
              </w:rPr>
            </w:pPr>
          </w:p>
          <w:p w14:paraId="4BA71C5F" w14:textId="5A3DC5E8" w:rsidR="001318C8" w:rsidRPr="00176C01" w:rsidRDefault="001318C8" w:rsidP="00B45182">
            <w:pPr>
              <w:jc w:val="both"/>
              <w:rPr>
                <w:sz w:val="24"/>
                <w:szCs w:val="24"/>
              </w:rPr>
            </w:pPr>
          </w:p>
          <w:p w14:paraId="2F32A7C0" w14:textId="0EDE2EE6" w:rsidR="001318C8" w:rsidRPr="00176C01" w:rsidRDefault="001318C8" w:rsidP="00B45182">
            <w:pPr>
              <w:jc w:val="both"/>
              <w:rPr>
                <w:sz w:val="24"/>
                <w:szCs w:val="24"/>
              </w:rPr>
            </w:pPr>
          </w:p>
        </w:tc>
        <w:tc>
          <w:tcPr>
            <w:tcW w:w="3941" w:type="dxa"/>
          </w:tcPr>
          <w:p w14:paraId="455A3E60" w14:textId="77777777" w:rsidR="001318C8" w:rsidRPr="00176C01" w:rsidRDefault="001318C8" w:rsidP="0072420E">
            <w:pPr>
              <w:jc w:val="both"/>
              <w:rPr>
                <w:sz w:val="24"/>
                <w:szCs w:val="24"/>
              </w:rPr>
            </w:pPr>
            <w:r w:rsidRPr="00176C01">
              <w:rPr>
                <w:sz w:val="24"/>
                <w:szCs w:val="24"/>
              </w:rPr>
              <w:t>Uzņēmumu gada pārskati</w:t>
            </w:r>
          </w:p>
        </w:tc>
        <w:tc>
          <w:tcPr>
            <w:tcW w:w="2602" w:type="dxa"/>
          </w:tcPr>
          <w:p w14:paraId="3217C99C" w14:textId="77777777" w:rsidR="001318C8" w:rsidRPr="00176C01" w:rsidRDefault="001318C8" w:rsidP="0072420E">
            <w:pPr>
              <w:jc w:val="both"/>
              <w:rPr>
                <w:sz w:val="24"/>
                <w:szCs w:val="24"/>
              </w:rPr>
            </w:pPr>
            <w:r w:rsidRPr="00176C01">
              <w:rPr>
                <w:sz w:val="24"/>
                <w:szCs w:val="24"/>
              </w:rPr>
              <w:t>2021.gada 1.oktobris</w:t>
            </w:r>
          </w:p>
        </w:tc>
      </w:tr>
      <w:tr w:rsidR="001318C8" w:rsidRPr="00314809" w14:paraId="16E1CA54" w14:textId="77777777" w:rsidTr="0072420E">
        <w:tc>
          <w:tcPr>
            <w:tcW w:w="704" w:type="dxa"/>
          </w:tcPr>
          <w:p w14:paraId="30149780" w14:textId="77777777" w:rsidR="001318C8" w:rsidRPr="00176C01" w:rsidRDefault="001318C8" w:rsidP="00B45182">
            <w:pPr>
              <w:jc w:val="both"/>
              <w:rPr>
                <w:sz w:val="24"/>
                <w:szCs w:val="24"/>
              </w:rPr>
            </w:pPr>
            <w:r w:rsidRPr="00176C01">
              <w:rPr>
                <w:sz w:val="24"/>
                <w:szCs w:val="24"/>
              </w:rPr>
              <w:t>12.</w:t>
            </w:r>
          </w:p>
        </w:tc>
        <w:tc>
          <w:tcPr>
            <w:tcW w:w="1814" w:type="dxa"/>
            <w:vMerge/>
          </w:tcPr>
          <w:p w14:paraId="2104D3D5" w14:textId="4915F652" w:rsidR="001318C8" w:rsidRPr="00176C01" w:rsidRDefault="001318C8" w:rsidP="00B45182">
            <w:pPr>
              <w:jc w:val="both"/>
              <w:rPr>
                <w:sz w:val="24"/>
                <w:szCs w:val="24"/>
              </w:rPr>
            </w:pPr>
          </w:p>
        </w:tc>
        <w:tc>
          <w:tcPr>
            <w:tcW w:w="3941" w:type="dxa"/>
            <w:vAlign w:val="bottom"/>
          </w:tcPr>
          <w:p w14:paraId="513F4D0C" w14:textId="77777777" w:rsidR="001318C8" w:rsidRPr="00176C01" w:rsidRDefault="001318C8" w:rsidP="00B45182">
            <w:pPr>
              <w:rPr>
                <w:sz w:val="24"/>
                <w:szCs w:val="24"/>
              </w:rPr>
            </w:pPr>
            <w:r w:rsidRPr="00176C01">
              <w:rPr>
                <w:sz w:val="24"/>
                <w:szCs w:val="24"/>
              </w:rPr>
              <w:t>Uzņēmumu valdes locekļu sastāvs</w:t>
            </w:r>
          </w:p>
        </w:tc>
        <w:tc>
          <w:tcPr>
            <w:tcW w:w="2602" w:type="dxa"/>
          </w:tcPr>
          <w:p w14:paraId="047BA7D2" w14:textId="77777777" w:rsidR="001318C8" w:rsidRPr="00176C01" w:rsidRDefault="001318C8" w:rsidP="00B45182">
            <w:pPr>
              <w:jc w:val="both"/>
              <w:rPr>
                <w:sz w:val="24"/>
                <w:szCs w:val="24"/>
              </w:rPr>
            </w:pPr>
            <w:r w:rsidRPr="00176C01">
              <w:rPr>
                <w:sz w:val="24"/>
                <w:szCs w:val="24"/>
              </w:rPr>
              <w:t>2021.gada 1.oktobris</w:t>
            </w:r>
          </w:p>
        </w:tc>
      </w:tr>
      <w:tr w:rsidR="001318C8" w:rsidRPr="00314809" w14:paraId="1F56BFE2" w14:textId="77777777" w:rsidTr="0072420E">
        <w:tc>
          <w:tcPr>
            <w:tcW w:w="704" w:type="dxa"/>
          </w:tcPr>
          <w:p w14:paraId="6F1BC457" w14:textId="77777777" w:rsidR="001318C8" w:rsidRPr="00176C01" w:rsidRDefault="001318C8" w:rsidP="00B45182">
            <w:pPr>
              <w:jc w:val="both"/>
              <w:rPr>
                <w:sz w:val="24"/>
                <w:szCs w:val="24"/>
              </w:rPr>
            </w:pPr>
            <w:r w:rsidRPr="00176C01">
              <w:rPr>
                <w:sz w:val="24"/>
                <w:szCs w:val="24"/>
              </w:rPr>
              <w:t>13.</w:t>
            </w:r>
          </w:p>
        </w:tc>
        <w:tc>
          <w:tcPr>
            <w:tcW w:w="1814" w:type="dxa"/>
            <w:vMerge/>
          </w:tcPr>
          <w:p w14:paraId="174836EB" w14:textId="553F2628" w:rsidR="001318C8" w:rsidRPr="00176C01" w:rsidRDefault="001318C8" w:rsidP="00B45182">
            <w:pPr>
              <w:jc w:val="both"/>
              <w:rPr>
                <w:sz w:val="24"/>
                <w:szCs w:val="24"/>
              </w:rPr>
            </w:pPr>
          </w:p>
        </w:tc>
        <w:tc>
          <w:tcPr>
            <w:tcW w:w="3941" w:type="dxa"/>
            <w:vAlign w:val="center"/>
          </w:tcPr>
          <w:p w14:paraId="486F8BD8" w14:textId="77777777" w:rsidR="001318C8" w:rsidRPr="00176C01" w:rsidRDefault="001318C8" w:rsidP="00B45182">
            <w:pPr>
              <w:rPr>
                <w:sz w:val="24"/>
                <w:szCs w:val="24"/>
              </w:rPr>
            </w:pPr>
            <w:r w:rsidRPr="00176C01">
              <w:rPr>
                <w:sz w:val="24"/>
                <w:szCs w:val="24"/>
              </w:rPr>
              <w:t>Uzņēmumu īpašnieki (dalībnieki)</w:t>
            </w:r>
          </w:p>
        </w:tc>
        <w:tc>
          <w:tcPr>
            <w:tcW w:w="2602" w:type="dxa"/>
          </w:tcPr>
          <w:p w14:paraId="7A54B954" w14:textId="77777777" w:rsidR="001318C8" w:rsidRPr="00176C01" w:rsidRDefault="001318C8" w:rsidP="00B45182">
            <w:pPr>
              <w:jc w:val="both"/>
              <w:rPr>
                <w:sz w:val="24"/>
                <w:szCs w:val="24"/>
              </w:rPr>
            </w:pPr>
            <w:r w:rsidRPr="00176C01">
              <w:rPr>
                <w:sz w:val="24"/>
                <w:szCs w:val="24"/>
              </w:rPr>
              <w:t>2021.gada 1.oktobris</w:t>
            </w:r>
          </w:p>
        </w:tc>
      </w:tr>
      <w:tr w:rsidR="001318C8" w:rsidRPr="00314809" w14:paraId="24E53A80" w14:textId="77777777" w:rsidTr="0072420E">
        <w:tc>
          <w:tcPr>
            <w:tcW w:w="704" w:type="dxa"/>
          </w:tcPr>
          <w:p w14:paraId="5E0BF806" w14:textId="77777777" w:rsidR="001318C8" w:rsidRPr="00176C01" w:rsidRDefault="001318C8" w:rsidP="00B45182">
            <w:pPr>
              <w:jc w:val="both"/>
              <w:rPr>
                <w:sz w:val="24"/>
                <w:szCs w:val="24"/>
              </w:rPr>
            </w:pPr>
            <w:r w:rsidRPr="00176C01">
              <w:rPr>
                <w:sz w:val="24"/>
                <w:szCs w:val="24"/>
              </w:rPr>
              <w:t>14.</w:t>
            </w:r>
          </w:p>
        </w:tc>
        <w:tc>
          <w:tcPr>
            <w:tcW w:w="1814" w:type="dxa"/>
            <w:vMerge/>
          </w:tcPr>
          <w:p w14:paraId="0C36DD7E" w14:textId="1A6BDEA9" w:rsidR="001318C8" w:rsidRPr="00176C01" w:rsidRDefault="001318C8" w:rsidP="00B45182">
            <w:pPr>
              <w:jc w:val="both"/>
              <w:rPr>
                <w:sz w:val="24"/>
                <w:szCs w:val="24"/>
              </w:rPr>
            </w:pPr>
          </w:p>
        </w:tc>
        <w:tc>
          <w:tcPr>
            <w:tcW w:w="3941" w:type="dxa"/>
          </w:tcPr>
          <w:p w14:paraId="2FDBE00C" w14:textId="77777777" w:rsidR="001318C8" w:rsidRPr="00176C01" w:rsidRDefault="001318C8" w:rsidP="00B45182">
            <w:pPr>
              <w:rPr>
                <w:sz w:val="24"/>
                <w:szCs w:val="24"/>
              </w:rPr>
            </w:pPr>
            <w:r w:rsidRPr="00176C01">
              <w:rPr>
                <w:sz w:val="24"/>
                <w:szCs w:val="24"/>
              </w:rPr>
              <w:t>Uzņēmumu patiesā labuma guvēju saraksts</w:t>
            </w:r>
          </w:p>
        </w:tc>
        <w:tc>
          <w:tcPr>
            <w:tcW w:w="2602" w:type="dxa"/>
          </w:tcPr>
          <w:p w14:paraId="212F0BD2" w14:textId="77777777" w:rsidR="001318C8" w:rsidRPr="00176C01" w:rsidRDefault="001318C8" w:rsidP="00B45182">
            <w:pPr>
              <w:jc w:val="both"/>
              <w:rPr>
                <w:sz w:val="24"/>
                <w:szCs w:val="24"/>
              </w:rPr>
            </w:pPr>
            <w:r w:rsidRPr="00176C01">
              <w:rPr>
                <w:sz w:val="24"/>
                <w:szCs w:val="24"/>
              </w:rPr>
              <w:t>2021.gada 1.oktobris</w:t>
            </w:r>
          </w:p>
        </w:tc>
      </w:tr>
      <w:tr w:rsidR="00B45182" w:rsidRPr="00314809" w14:paraId="0A075ED0" w14:textId="77777777" w:rsidTr="0072420E">
        <w:tc>
          <w:tcPr>
            <w:tcW w:w="704" w:type="dxa"/>
          </w:tcPr>
          <w:p w14:paraId="090217B8" w14:textId="77777777" w:rsidR="00B45182" w:rsidRPr="00176C01" w:rsidRDefault="00B45182" w:rsidP="00B45182">
            <w:pPr>
              <w:jc w:val="both"/>
              <w:rPr>
                <w:sz w:val="24"/>
                <w:szCs w:val="24"/>
              </w:rPr>
            </w:pPr>
            <w:r w:rsidRPr="00176C01">
              <w:rPr>
                <w:sz w:val="24"/>
                <w:szCs w:val="24"/>
              </w:rPr>
              <w:t>15.</w:t>
            </w:r>
          </w:p>
        </w:tc>
        <w:tc>
          <w:tcPr>
            <w:tcW w:w="1814" w:type="dxa"/>
          </w:tcPr>
          <w:p w14:paraId="3054B1CE" w14:textId="77777777" w:rsidR="00B45182" w:rsidRPr="00176C01" w:rsidRDefault="00B45182" w:rsidP="00B45182">
            <w:pPr>
              <w:jc w:val="both"/>
              <w:rPr>
                <w:sz w:val="24"/>
                <w:szCs w:val="24"/>
              </w:rPr>
            </w:pPr>
            <w:r w:rsidRPr="00176C01">
              <w:rPr>
                <w:sz w:val="24"/>
                <w:szCs w:val="24"/>
              </w:rPr>
              <w:t>Veselības ministrija</w:t>
            </w:r>
          </w:p>
        </w:tc>
        <w:tc>
          <w:tcPr>
            <w:tcW w:w="3941" w:type="dxa"/>
          </w:tcPr>
          <w:p w14:paraId="3C35FC03" w14:textId="77777777" w:rsidR="00B45182" w:rsidRPr="00176C01" w:rsidRDefault="00B45182" w:rsidP="00B45182">
            <w:pPr>
              <w:jc w:val="both"/>
              <w:rPr>
                <w:sz w:val="24"/>
                <w:szCs w:val="24"/>
              </w:rPr>
            </w:pPr>
            <w:r w:rsidRPr="00176C01">
              <w:rPr>
                <w:sz w:val="24"/>
                <w:szCs w:val="24"/>
              </w:rPr>
              <w:t>Nacionālā veselības dienesta un Slimību profilakses un kontroles centra dati</w:t>
            </w:r>
          </w:p>
        </w:tc>
        <w:tc>
          <w:tcPr>
            <w:tcW w:w="2602" w:type="dxa"/>
          </w:tcPr>
          <w:p w14:paraId="7E11C033" w14:textId="77777777" w:rsidR="00B45182" w:rsidRPr="00176C01" w:rsidRDefault="00B45182" w:rsidP="00B45182">
            <w:pPr>
              <w:jc w:val="both"/>
              <w:rPr>
                <w:sz w:val="24"/>
                <w:szCs w:val="24"/>
              </w:rPr>
            </w:pPr>
            <w:r w:rsidRPr="00176C01">
              <w:rPr>
                <w:sz w:val="24"/>
                <w:szCs w:val="24"/>
              </w:rPr>
              <w:t>2021.gada 1.oktobris</w:t>
            </w:r>
          </w:p>
        </w:tc>
      </w:tr>
      <w:tr w:rsidR="001318C8" w:rsidRPr="00314809" w14:paraId="2EBBC464" w14:textId="77777777" w:rsidTr="0072420E">
        <w:tc>
          <w:tcPr>
            <w:tcW w:w="704" w:type="dxa"/>
          </w:tcPr>
          <w:p w14:paraId="57CD15D2" w14:textId="77777777" w:rsidR="001318C8" w:rsidRPr="00176C01" w:rsidRDefault="001318C8" w:rsidP="00B45182">
            <w:pPr>
              <w:jc w:val="both"/>
              <w:rPr>
                <w:sz w:val="24"/>
                <w:szCs w:val="24"/>
              </w:rPr>
            </w:pPr>
            <w:r w:rsidRPr="00176C01">
              <w:rPr>
                <w:sz w:val="24"/>
                <w:szCs w:val="24"/>
              </w:rPr>
              <w:t>16.</w:t>
            </w:r>
          </w:p>
        </w:tc>
        <w:tc>
          <w:tcPr>
            <w:tcW w:w="1814" w:type="dxa"/>
            <w:vMerge w:val="restart"/>
          </w:tcPr>
          <w:p w14:paraId="59F8AF92" w14:textId="77777777" w:rsidR="001318C8" w:rsidRPr="00176C01" w:rsidRDefault="001318C8" w:rsidP="00B45182">
            <w:pPr>
              <w:jc w:val="both"/>
              <w:rPr>
                <w:sz w:val="24"/>
                <w:szCs w:val="24"/>
              </w:rPr>
            </w:pPr>
            <w:r w:rsidRPr="00176C01">
              <w:rPr>
                <w:sz w:val="24"/>
                <w:szCs w:val="24"/>
              </w:rPr>
              <w:t>Valsts ieņēmumu dienests</w:t>
            </w:r>
          </w:p>
          <w:p w14:paraId="34744CD5" w14:textId="7CB9EA51" w:rsidR="001318C8" w:rsidRPr="00176C01" w:rsidRDefault="001318C8" w:rsidP="00B45182">
            <w:pPr>
              <w:jc w:val="both"/>
              <w:rPr>
                <w:sz w:val="24"/>
                <w:szCs w:val="24"/>
              </w:rPr>
            </w:pPr>
          </w:p>
          <w:p w14:paraId="6CB44438" w14:textId="035F318C" w:rsidR="001318C8" w:rsidRPr="00176C01" w:rsidRDefault="001318C8" w:rsidP="00B45182">
            <w:pPr>
              <w:jc w:val="both"/>
              <w:rPr>
                <w:sz w:val="24"/>
                <w:szCs w:val="24"/>
              </w:rPr>
            </w:pPr>
          </w:p>
          <w:p w14:paraId="5AAA0510" w14:textId="75FC6EBF" w:rsidR="001318C8" w:rsidRPr="00176C01" w:rsidRDefault="001318C8" w:rsidP="00B45182">
            <w:pPr>
              <w:jc w:val="both"/>
              <w:rPr>
                <w:sz w:val="24"/>
                <w:szCs w:val="24"/>
              </w:rPr>
            </w:pPr>
          </w:p>
          <w:p w14:paraId="4791263B" w14:textId="703179A3" w:rsidR="001318C8" w:rsidRPr="00176C01" w:rsidRDefault="001318C8" w:rsidP="00B45182">
            <w:pPr>
              <w:jc w:val="both"/>
              <w:rPr>
                <w:sz w:val="24"/>
                <w:szCs w:val="24"/>
              </w:rPr>
            </w:pPr>
          </w:p>
          <w:p w14:paraId="26748319" w14:textId="351463EB" w:rsidR="001318C8" w:rsidRPr="00176C01" w:rsidRDefault="001318C8" w:rsidP="00B45182">
            <w:pPr>
              <w:jc w:val="both"/>
              <w:rPr>
                <w:sz w:val="24"/>
                <w:szCs w:val="24"/>
              </w:rPr>
            </w:pPr>
          </w:p>
          <w:p w14:paraId="5ED60B81" w14:textId="6A49F207" w:rsidR="001318C8" w:rsidRPr="00176C01" w:rsidRDefault="001318C8" w:rsidP="00B45182">
            <w:pPr>
              <w:jc w:val="both"/>
              <w:rPr>
                <w:sz w:val="24"/>
                <w:szCs w:val="24"/>
              </w:rPr>
            </w:pPr>
          </w:p>
          <w:p w14:paraId="71CB0555" w14:textId="1EE46DA3" w:rsidR="001318C8" w:rsidRPr="00176C01" w:rsidRDefault="001318C8" w:rsidP="00B45182">
            <w:pPr>
              <w:jc w:val="both"/>
              <w:rPr>
                <w:sz w:val="24"/>
                <w:szCs w:val="24"/>
              </w:rPr>
            </w:pPr>
          </w:p>
        </w:tc>
        <w:tc>
          <w:tcPr>
            <w:tcW w:w="3941" w:type="dxa"/>
          </w:tcPr>
          <w:p w14:paraId="14988B3D" w14:textId="77777777" w:rsidR="001318C8" w:rsidRPr="00176C01" w:rsidRDefault="001318C8" w:rsidP="00B45182">
            <w:pPr>
              <w:jc w:val="both"/>
              <w:rPr>
                <w:sz w:val="24"/>
                <w:szCs w:val="24"/>
              </w:rPr>
            </w:pPr>
            <w:r w:rsidRPr="00176C01">
              <w:rPr>
                <w:sz w:val="24"/>
                <w:szCs w:val="24"/>
              </w:rPr>
              <w:lastRenderedPageBreak/>
              <w:t xml:space="preserve">Pievienotā vērtības nodokļu maksātāju saraksts </w:t>
            </w:r>
          </w:p>
        </w:tc>
        <w:tc>
          <w:tcPr>
            <w:tcW w:w="2602" w:type="dxa"/>
          </w:tcPr>
          <w:p w14:paraId="3B22524A" w14:textId="77777777" w:rsidR="001318C8" w:rsidRPr="00176C01" w:rsidRDefault="001318C8" w:rsidP="00B45182">
            <w:pPr>
              <w:jc w:val="both"/>
              <w:rPr>
                <w:sz w:val="24"/>
                <w:szCs w:val="24"/>
              </w:rPr>
            </w:pPr>
            <w:r w:rsidRPr="00176C01">
              <w:rPr>
                <w:color w:val="000000"/>
                <w:sz w:val="24"/>
                <w:szCs w:val="24"/>
              </w:rPr>
              <w:t>2019.gada decembris</w:t>
            </w:r>
          </w:p>
        </w:tc>
      </w:tr>
      <w:tr w:rsidR="001318C8" w:rsidRPr="00314809" w14:paraId="391A38FD" w14:textId="77777777" w:rsidTr="0072420E">
        <w:tc>
          <w:tcPr>
            <w:tcW w:w="704" w:type="dxa"/>
          </w:tcPr>
          <w:p w14:paraId="7469EC31" w14:textId="77777777" w:rsidR="001318C8" w:rsidRPr="00176C01" w:rsidRDefault="001318C8" w:rsidP="00B45182">
            <w:pPr>
              <w:jc w:val="both"/>
              <w:rPr>
                <w:sz w:val="24"/>
                <w:szCs w:val="24"/>
              </w:rPr>
            </w:pPr>
            <w:r w:rsidRPr="00176C01">
              <w:rPr>
                <w:sz w:val="24"/>
                <w:szCs w:val="24"/>
              </w:rPr>
              <w:t>17.</w:t>
            </w:r>
          </w:p>
        </w:tc>
        <w:tc>
          <w:tcPr>
            <w:tcW w:w="1814" w:type="dxa"/>
            <w:vMerge/>
          </w:tcPr>
          <w:p w14:paraId="1E971907" w14:textId="562163A6" w:rsidR="001318C8" w:rsidRPr="00176C01" w:rsidRDefault="001318C8" w:rsidP="00B45182">
            <w:pPr>
              <w:jc w:val="both"/>
              <w:rPr>
                <w:sz w:val="24"/>
                <w:szCs w:val="24"/>
              </w:rPr>
            </w:pPr>
          </w:p>
        </w:tc>
        <w:tc>
          <w:tcPr>
            <w:tcW w:w="3941" w:type="dxa"/>
          </w:tcPr>
          <w:p w14:paraId="25A7D386" w14:textId="77777777" w:rsidR="001318C8" w:rsidRPr="00176C01" w:rsidRDefault="001318C8" w:rsidP="00B45182">
            <w:pPr>
              <w:jc w:val="both"/>
              <w:rPr>
                <w:sz w:val="24"/>
                <w:szCs w:val="24"/>
              </w:rPr>
            </w:pPr>
            <w:proofErr w:type="spellStart"/>
            <w:r w:rsidRPr="00176C01">
              <w:rPr>
                <w:sz w:val="24"/>
                <w:szCs w:val="24"/>
              </w:rPr>
              <w:t>Mikronodokļu</w:t>
            </w:r>
            <w:proofErr w:type="spellEnd"/>
            <w:r w:rsidRPr="00176C01">
              <w:rPr>
                <w:sz w:val="24"/>
                <w:szCs w:val="24"/>
              </w:rPr>
              <w:t xml:space="preserve"> maksātāju saraksts</w:t>
            </w:r>
          </w:p>
        </w:tc>
        <w:tc>
          <w:tcPr>
            <w:tcW w:w="2602" w:type="dxa"/>
          </w:tcPr>
          <w:p w14:paraId="326A7513" w14:textId="77777777" w:rsidR="001318C8" w:rsidRPr="00176C01" w:rsidRDefault="001318C8" w:rsidP="00B45182">
            <w:pPr>
              <w:jc w:val="both"/>
              <w:rPr>
                <w:sz w:val="24"/>
                <w:szCs w:val="24"/>
              </w:rPr>
            </w:pPr>
            <w:r w:rsidRPr="00176C01">
              <w:rPr>
                <w:color w:val="000000"/>
                <w:sz w:val="24"/>
                <w:szCs w:val="24"/>
              </w:rPr>
              <w:t>2019.gada decembris</w:t>
            </w:r>
          </w:p>
        </w:tc>
      </w:tr>
      <w:tr w:rsidR="001318C8" w:rsidRPr="00314809" w14:paraId="2DBD6F19" w14:textId="77777777" w:rsidTr="0072420E">
        <w:tc>
          <w:tcPr>
            <w:tcW w:w="704" w:type="dxa"/>
          </w:tcPr>
          <w:p w14:paraId="3E0908A5" w14:textId="77777777" w:rsidR="001318C8" w:rsidRPr="00176C01" w:rsidRDefault="001318C8" w:rsidP="00B45182">
            <w:pPr>
              <w:jc w:val="both"/>
              <w:rPr>
                <w:sz w:val="24"/>
                <w:szCs w:val="24"/>
              </w:rPr>
            </w:pPr>
            <w:r w:rsidRPr="00176C01">
              <w:rPr>
                <w:sz w:val="24"/>
                <w:szCs w:val="24"/>
              </w:rPr>
              <w:t>18.</w:t>
            </w:r>
          </w:p>
        </w:tc>
        <w:tc>
          <w:tcPr>
            <w:tcW w:w="1814" w:type="dxa"/>
            <w:vMerge/>
          </w:tcPr>
          <w:p w14:paraId="7B9D6766" w14:textId="11F2E859" w:rsidR="001318C8" w:rsidRPr="00176C01" w:rsidRDefault="001318C8" w:rsidP="00B45182">
            <w:pPr>
              <w:jc w:val="both"/>
              <w:rPr>
                <w:sz w:val="24"/>
                <w:szCs w:val="24"/>
              </w:rPr>
            </w:pPr>
          </w:p>
        </w:tc>
        <w:tc>
          <w:tcPr>
            <w:tcW w:w="3941" w:type="dxa"/>
          </w:tcPr>
          <w:p w14:paraId="60949C81" w14:textId="77777777" w:rsidR="001318C8" w:rsidRPr="00176C01" w:rsidRDefault="001318C8" w:rsidP="00B45182">
            <w:pPr>
              <w:jc w:val="both"/>
              <w:rPr>
                <w:sz w:val="24"/>
                <w:szCs w:val="24"/>
              </w:rPr>
            </w:pPr>
            <w:r w:rsidRPr="00176C01">
              <w:rPr>
                <w:sz w:val="24"/>
                <w:szCs w:val="24"/>
              </w:rPr>
              <w:t xml:space="preserve">Dati par saimnieciskās darbības </w:t>
            </w:r>
            <w:r w:rsidRPr="00176C01">
              <w:rPr>
                <w:sz w:val="24"/>
                <w:szCs w:val="24"/>
              </w:rPr>
              <w:lastRenderedPageBreak/>
              <w:t>apturēšanu</w:t>
            </w:r>
          </w:p>
        </w:tc>
        <w:tc>
          <w:tcPr>
            <w:tcW w:w="2602" w:type="dxa"/>
          </w:tcPr>
          <w:p w14:paraId="4044E2CB" w14:textId="77777777" w:rsidR="001318C8" w:rsidRPr="00176C01" w:rsidRDefault="001318C8" w:rsidP="00B45182">
            <w:pPr>
              <w:jc w:val="both"/>
              <w:rPr>
                <w:sz w:val="24"/>
                <w:szCs w:val="24"/>
              </w:rPr>
            </w:pPr>
            <w:r w:rsidRPr="00176C01">
              <w:rPr>
                <w:color w:val="000000"/>
                <w:sz w:val="24"/>
                <w:szCs w:val="24"/>
              </w:rPr>
              <w:lastRenderedPageBreak/>
              <w:t>2019.gada decembris</w:t>
            </w:r>
          </w:p>
        </w:tc>
      </w:tr>
      <w:tr w:rsidR="001318C8" w:rsidRPr="00314809" w14:paraId="60869460" w14:textId="77777777" w:rsidTr="0072420E">
        <w:tc>
          <w:tcPr>
            <w:tcW w:w="704" w:type="dxa"/>
          </w:tcPr>
          <w:p w14:paraId="575BD464" w14:textId="77777777" w:rsidR="001318C8" w:rsidRPr="00176C01" w:rsidRDefault="001318C8" w:rsidP="00B45182">
            <w:pPr>
              <w:jc w:val="both"/>
              <w:rPr>
                <w:sz w:val="24"/>
                <w:szCs w:val="24"/>
              </w:rPr>
            </w:pPr>
            <w:r w:rsidRPr="00176C01">
              <w:rPr>
                <w:sz w:val="24"/>
                <w:szCs w:val="24"/>
              </w:rPr>
              <w:t>19.</w:t>
            </w:r>
          </w:p>
        </w:tc>
        <w:tc>
          <w:tcPr>
            <w:tcW w:w="1814" w:type="dxa"/>
            <w:vMerge/>
          </w:tcPr>
          <w:p w14:paraId="78EFF703" w14:textId="272A90DF" w:rsidR="001318C8" w:rsidRPr="00176C01" w:rsidRDefault="001318C8" w:rsidP="00B45182">
            <w:pPr>
              <w:jc w:val="both"/>
              <w:rPr>
                <w:sz w:val="24"/>
                <w:szCs w:val="24"/>
              </w:rPr>
            </w:pPr>
          </w:p>
        </w:tc>
        <w:tc>
          <w:tcPr>
            <w:tcW w:w="3941" w:type="dxa"/>
          </w:tcPr>
          <w:p w14:paraId="28E42381" w14:textId="77777777" w:rsidR="001318C8" w:rsidRPr="00176C01" w:rsidRDefault="001318C8" w:rsidP="00B45182">
            <w:pPr>
              <w:jc w:val="both"/>
              <w:rPr>
                <w:sz w:val="24"/>
                <w:szCs w:val="24"/>
              </w:rPr>
            </w:pPr>
            <w:r w:rsidRPr="00176C01">
              <w:rPr>
                <w:sz w:val="24"/>
                <w:szCs w:val="24"/>
              </w:rPr>
              <w:t>Akcīzes nodokļa markas un speciālās atļaujas (licences)</w:t>
            </w:r>
          </w:p>
        </w:tc>
        <w:tc>
          <w:tcPr>
            <w:tcW w:w="2602" w:type="dxa"/>
          </w:tcPr>
          <w:p w14:paraId="5332D79D" w14:textId="77777777" w:rsidR="001318C8" w:rsidRPr="00176C01" w:rsidRDefault="001318C8" w:rsidP="00B45182">
            <w:pPr>
              <w:jc w:val="both"/>
              <w:rPr>
                <w:sz w:val="24"/>
                <w:szCs w:val="24"/>
              </w:rPr>
            </w:pPr>
            <w:r w:rsidRPr="00176C01">
              <w:rPr>
                <w:color w:val="000000"/>
                <w:sz w:val="24"/>
                <w:szCs w:val="24"/>
              </w:rPr>
              <w:t>2019.gada decembris</w:t>
            </w:r>
          </w:p>
        </w:tc>
      </w:tr>
      <w:tr w:rsidR="001318C8" w:rsidRPr="00314809" w14:paraId="09B499CA" w14:textId="77777777" w:rsidTr="0072420E">
        <w:tc>
          <w:tcPr>
            <w:tcW w:w="704" w:type="dxa"/>
          </w:tcPr>
          <w:p w14:paraId="25F707C2" w14:textId="77777777" w:rsidR="001318C8" w:rsidRPr="00176C01" w:rsidRDefault="001318C8" w:rsidP="00B45182">
            <w:pPr>
              <w:jc w:val="both"/>
              <w:rPr>
                <w:sz w:val="24"/>
                <w:szCs w:val="24"/>
              </w:rPr>
            </w:pPr>
            <w:r w:rsidRPr="00176C01">
              <w:rPr>
                <w:sz w:val="24"/>
                <w:szCs w:val="24"/>
              </w:rPr>
              <w:t>20.</w:t>
            </w:r>
          </w:p>
        </w:tc>
        <w:tc>
          <w:tcPr>
            <w:tcW w:w="1814" w:type="dxa"/>
            <w:vMerge/>
          </w:tcPr>
          <w:p w14:paraId="10F17200" w14:textId="140529A4" w:rsidR="001318C8" w:rsidRPr="00176C01" w:rsidRDefault="001318C8" w:rsidP="00B45182">
            <w:pPr>
              <w:jc w:val="both"/>
              <w:rPr>
                <w:sz w:val="24"/>
                <w:szCs w:val="24"/>
              </w:rPr>
            </w:pPr>
          </w:p>
        </w:tc>
        <w:tc>
          <w:tcPr>
            <w:tcW w:w="3941" w:type="dxa"/>
          </w:tcPr>
          <w:p w14:paraId="19AF1948" w14:textId="77777777" w:rsidR="001318C8" w:rsidRPr="00176C01" w:rsidRDefault="001318C8" w:rsidP="00B45182">
            <w:pPr>
              <w:jc w:val="both"/>
              <w:rPr>
                <w:sz w:val="24"/>
                <w:szCs w:val="24"/>
              </w:rPr>
            </w:pPr>
            <w:r w:rsidRPr="00176C01">
              <w:rPr>
                <w:sz w:val="24"/>
                <w:szCs w:val="24"/>
              </w:rPr>
              <w:t>Izziņas darbībām ar akcīzes precēm</w:t>
            </w:r>
          </w:p>
        </w:tc>
        <w:tc>
          <w:tcPr>
            <w:tcW w:w="2602" w:type="dxa"/>
          </w:tcPr>
          <w:p w14:paraId="6D69AA3B" w14:textId="77777777" w:rsidR="001318C8" w:rsidRPr="00176C01" w:rsidRDefault="001318C8" w:rsidP="00B45182">
            <w:pPr>
              <w:jc w:val="both"/>
              <w:rPr>
                <w:sz w:val="24"/>
                <w:szCs w:val="24"/>
              </w:rPr>
            </w:pPr>
            <w:r w:rsidRPr="00176C01">
              <w:rPr>
                <w:color w:val="000000"/>
                <w:sz w:val="24"/>
                <w:szCs w:val="24"/>
              </w:rPr>
              <w:t>2019.gada decembris</w:t>
            </w:r>
          </w:p>
        </w:tc>
      </w:tr>
      <w:tr w:rsidR="001318C8" w:rsidRPr="00314809" w14:paraId="619C21F5" w14:textId="77777777" w:rsidTr="0072420E">
        <w:tc>
          <w:tcPr>
            <w:tcW w:w="704" w:type="dxa"/>
          </w:tcPr>
          <w:p w14:paraId="707C93B3" w14:textId="77777777" w:rsidR="001318C8" w:rsidRPr="00176C01" w:rsidRDefault="001318C8" w:rsidP="00B45182">
            <w:pPr>
              <w:jc w:val="both"/>
              <w:rPr>
                <w:sz w:val="24"/>
                <w:szCs w:val="24"/>
              </w:rPr>
            </w:pPr>
            <w:r w:rsidRPr="00176C01">
              <w:rPr>
                <w:sz w:val="24"/>
                <w:szCs w:val="24"/>
              </w:rPr>
              <w:t>21.</w:t>
            </w:r>
          </w:p>
        </w:tc>
        <w:tc>
          <w:tcPr>
            <w:tcW w:w="1814" w:type="dxa"/>
            <w:vMerge/>
          </w:tcPr>
          <w:p w14:paraId="763B3881" w14:textId="0704F9C2" w:rsidR="001318C8" w:rsidRPr="00176C01" w:rsidRDefault="001318C8" w:rsidP="00B45182">
            <w:pPr>
              <w:jc w:val="both"/>
              <w:rPr>
                <w:sz w:val="24"/>
                <w:szCs w:val="24"/>
              </w:rPr>
            </w:pPr>
          </w:p>
        </w:tc>
        <w:tc>
          <w:tcPr>
            <w:tcW w:w="3941" w:type="dxa"/>
          </w:tcPr>
          <w:p w14:paraId="58F39E14" w14:textId="77777777" w:rsidR="001318C8" w:rsidRPr="00176C01" w:rsidRDefault="001318C8" w:rsidP="00B45182">
            <w:pPr>
              <w:jc w:val="both"/>
              <w:rPr>
                <w:color w:val="000000"/>
                <w:sz w:val="24"/>
                <w:szCs w:val="24"/>
              </w:rPr>
            </w:pPr>
            <w:r w:rsidRPr="00176C01">
              <w:rPr>
                <w:sz w:val="24"/>
                <w:szCs w:val="24"/>
              </w:rPr>
              <w:t>Darba devēju saraksts, kuru darbinieku vidējais mēneša atalgojums ir valstī noteiktās minimālās mēneša darba algas apmērā vai mazāks</w:t>
            </w:r>
          </w:p>
        </w:tc>
        <w:tc>
          <w:tcPr>
            <w:tcW w:w="2602" w:type="dxa"/>
          </w:tcPr>
          <w:p w14:paraId="150450CA" w14:textId="77777777" w:rsidR="001318C8" w:rsidRPr="00176C01" w:rsidRDefault="001318C8" w:rsidP="00B45182">
            <w:pPr>
              <w:jc w:val="both"/>
              <w:rPr>
                <w:color w:val="000000"/>
                <w:sz w:val="24"/>
                <w:szCs w:val="24"/>
              </w:rPr>
            </w:pPr>
            <w:r w:rsidRPr="00176C01">
              <w:rPr>
                <w:color w:val="000000"/>
                <w:sz w:val="24"/>
                <w:szCs w:val="24"/>
              </w:rPr>
              <w:t>2021.gada decembris</w:t>
            </w:r>
          </w:p>
        </w:tc>
      </w:tr>
      <w:tr w:rsidR="001318C8" w:rsidRPr="00314809" w14:paraId="70AB4655" w14:textId="77777777" w:rsidTr="0072420E">
        <w:tc>
          <w:tcPr>
            <w:tcW w:w="704" w:type="dxa"/>
          </w:tcPr>
          <w:p w14:paraId="3DCFA645" w14:textId="77777777" w:rsidR="001318C8" w:rsidRPr="00176C01" w:rsidRDefault="001318C8" w:rsidP="00B45182">
            <w:pPr>
              <w:jc w:val="both"/>
              <w:rPr>
                <w:sz w:val="24"/>
                <w:szCs w:val="24"/>
              </w:rPr>
            </w:pPr>
            <w:r w:rsidRPr="00176C01">
              <w:rPr>
                <w:sz w:val="24"/>
                <w:szCs w:val="24"/>
              </w:rPr>
              <w:t>22.</w:t>
            </w:r>
          </w:p>
        </w:tc>
        <w:tc>
          <w:tcPr>
            <w:tcW w:w="1814" w:type="dxa"/>
            <w:vMerge/>
          </w:tcPr>
          <w:p w14:paraId="622A7EFB" w14:textId="758AAC34" w:rsidR="001318C8" w:rsidRPr="00176C01" w:rsidRDefault="001318C8" w:rsidP="00B45182">
            <w:pPr>
              <w:jc w:val="both"/>
              <w:rPr>
                <w:sz w:val="24"/>
                <w:szCs w:val="24"/>
              </w:rPr>
            </w:pPr>
          </w:p>
        </w:tc>
        <w:tc>
          <w:tcPr>
            <w:tcW w:w="3941" w:type="dxa"/>
          </w:tcPr>
          <w:p w14:paraId="13563BD4" w14:textId="77777777" w:rsidR="001318C8" w:rsidRPr="00176C01" w:rsidRDefault="001318C8" w:rsidP="00B45182">
            <w:pPr>
              <w:rPr>
                <w:sz w:val="24"/>
                <w:szCs w:val="24"/>
              </w:rPr>
            </w:pPr>
            <w:r w:rsidRPr="00176C01">
              <w:rPr>
                <w:sz w:val="24"/>
                <w:szCs w:val="24"/>
              </w:rPr>
              <w:t>Neiesniegto nodokļu deklarāciju saraksts</w:t>
            </w:r>
          </w:p>
        </w:tc>
        <w:tc>
          <w:tcPr>
            <w:tcW w:w="2602" w:type="dxa"/>
          </w:tcPr>
          <w:p w14:paraId="6E41E2EB" w14:textId="77777777" w:rsidR="001318C8" w:rsidRPr="00176C01" w:rsidRDefault="001318C8" w:rsidP="00B45182">
            <w:pPr>
              <w:jc w:val="both"/>
              <w:rPr>
                <w:color w:val="000000"/>
                <w:sz w:val="24"/>
                <w:szCs w:val="24"/>
              </w:rPr>
            </w:pPr>
            <w:r w:rsidRPr="00176C01">
              <w:rPr>
                <w:color w:val="000000"/>
                <w:sz w:val="24"/>
                <w:szCs w:val="24"/>
              </w:rPr>
              <w:t>2021.gada decembris</w:t>
            </w:r>
          </w:p>
        </w:tc>
      </w:tr>
      <w:tr w:rsidR="001318C8" w:rsidRPr="00314809" w14:paraId="4D10CB97" w14:textId="77777777" w:rsidTr="0072420E">
        <w:tc>
          <w:tcPr>
            <w:tcW w:w="704" w:type="dxa"/>
          </w:tcPr>
          <w:p w14:paraId="75B6198C" w14:textId="77777777" w:rsidR="001318C8" w:rsidRPr="00176C01" w:rsidRDefault="001318C8" w:rsidP="00B45182">
            <w:pPr>
              <w:jc w:val="both"/>
              <w:rPr>
                <w:sz w:val="24"/>
                <w:szCs w:val="24"/>
              </w:rPr>
            </w:pPr>
            <w:r w:rsidRPr="00176C01">
              <w:rPr>
                <w:sz w:val="24"/>
                <w:szCs w:val="24"/>
              </w:rPr>
              <w:t>23.</w:t>
            </w:r>
          </w:p>
        </w:tc>
        <w:tc>
          <w:tcPr>
            <w:tcW w:w="1814" w:type="dxa"/>
            <w:vMerge/>
          </w:tcPr>
          <w:p w14:paraId="65FEF4A3" w14:textId="4CDECC68" w:rsidR="001318C8" w:rsidRPr="00176C01" w:rsidRDefault="001318C8" w:rsidP="00B45182">
            <w:pPr>
              <w:jc w:val="both"/>
              <w:rPr>
                <w:sz w:val="24"/>
                <w:szCs w:val="24"/>
              </w:rPr>
            </w:pPr>
          </w:p>
        </w:tc>
        <w:tc>
          <w:tcPr>
            <w:tcW w:w="3941" w:type="dxa"/>
          </w:tcPr>
          <w:p w14:paraId="00FBF6E6" w14:textId="77777777" w:rsidR="001318C8" w:rsidRPr="00176C01" w:rsidRDefault="001318C8" w:rsidP="00B45182">
            <w:pPr>
              <w:jc w:val="both"/>
              <w:rPr>
                <w:color w:val="000000"/>
                <w:sz w:val="24"/>
                <w:szCs w:val="24"/>
              </w:rPr>
            </w:pPr>
            <w:r w:rsidRPr="00176C01">
              <w:rPr>
                <w:sz w:val="24"/>
                <w:szCs w:val="24"/>
              </w:rPr>
              <w:t>nodokļu maksātāju (komersantu) taksācijas gadā samaksāto VID administrēto nodokļu kopsummas</w:t>
            </w:r>
          </w:p>
        </w:tc>
        <w:tc>
          <w:tcPr>
            <w:tcW w:w="2602" w:type="dxa"/>
          </w:tcPr>
          <w:p w14:paraId="5D3B7553" w14:textId="77777777" w:rsidR="001318C8" w:rsidRPr="00176C01" w:rsidRDefault="001318C8" w:rsidP="00B45182">
            <w:pPr>
              <w:jc w:val="both"/>
              <w:rPr>
                <w:color w:val="000000"/>
                <w:sz w:val="24"/>
                <w:szCs w:val="24"/>
              </w:rPr>
            </w:pPr>
            <w:r w:rsidRPr="00176C01">
              <w:rPr>
                <w:color w:val="000000"/>
                <w:sz w:val="24"/>
                <w:szCs w:val="24"/>
              </w:rPr>
              <w:t>2021.gada decembris</w:t>
            </w:r>
          </w:p>
        </w:tc>
      </w:tr>
      <w:tr w:rsidR="001318C8" w:rsidRPr="00314809" w14:paraId="3AF138DD" w14:textId="77777777" w:rsidTr="0072420E">
        <w:tc>
          <w:tcPr>
            <w:tcW w:w="704" w:type="dxa"/>
          </w:tcPr>
          <w:p w14:paraId="185F4E61" w14:textId="77777777" w:rsidR="001318C8" w:rsidRPr="00176C01" w:rsidRDefault="001318C8" w:rsidP="00B45182">
            <w:pPr>
              <w:jc w:val="both"/>
              <w:rPr>
                <w:sz w:val="24"/>
                <w:szCs w:val="24"/>
              </w:rPr>
            </w:pPr>
            <w:r w:rsidRPr="00176C01">
              <w:rPr>
                <w:sz w:val="24"/>
                <w:szCs w:val="24"/>
              </w:rPr>
              <w:t>24.</w:t>
            </w:r>
          </w:p>
        </w:tc>
        <w:tc>
          <w:tcPr>
            <w:tcW w:w="1814" w:type="dxa"/>
            <w:vMerge w:val="restart"/>
          </w:tcPr>
          <w:p w14:paraId="64011323" w14:textId="77777777" w:rsidR="001318C8" w:rsidRPr="00176C01" w:rsidRDefault="001318C8" w:rsidP="00B45182">
            <w:pPr>
              <w:jc w:val="both"/>
              <w:rPr>
                <w:sz w:val="24"/>
                <w:szCs w:val="24"/>
              </w:rPr>
            </w:pPr>
            <w:r w:rsidRPr="00176C01">
              <w:rPr>
                <w:sz w:val="24"/>
                <w:szCs w:val="24"/>
              </w:rPr>
              <w:t>Pārtikas un veterinārais dienests</w:t>
            </w:r>
          </w:p>
          <w:p w14:paraId="1B4E8FA5" w14:textId="37D9B790" w:rsidR="001318C8" w:rsidRPr="00176C01" w:rsidRDefault="001318C8" w:rsidP="00B45182">
            <w:pPr>
              <w:jc w:val="both"/>
              <w:rPr>
                <w:sz w:val="24"/>
                <w:szCs w:val="24"/>
              </w:rPr>
            </w:pPr>
          </w:p>
        </w:tc>
        <w:tc>
          <w:tcPr>
            <w:tcW w:w="3941" w:type="dxa"/>
          </w:tcPr>
          <w:p w14:paraId="2FE96D75" w14:textId="77777777" w:rsidR="001318C8" w:rsidRPr="00176C01" w:rsidRDefault="001318C8" w:rsidP="00B45182">
            <w:pPr>
              <w:jc w:val="both"/>
              <w:rPr>
                <w:sz w:val="24"/>
                <w:szCs w:val="24"/>
              </w:rPr>
            </w:pPr>
            <w:r w:rsidRPr="00176C01">
              <w:rPr>
                <w:sz w:val="24"/>
                <w:szCs w:val="24"/>
              </w:rPr>
              <w:t>Dati par cūku mēra skartajām teritorijām</w:t>
            </w:r>
          </w:p>
        </w:tc>
        <w:tc>
          <w:tcPr>
            <w:tcW w:w="2602" w:type="dxa"/>
          </w:tcPr>
          <w:p w14:paraId="2918E40B" w14:textId="77777777" w:rsidR="001318C8" w:rsidRPr="00176C01" w:rsidRDefault="001318C8" w:rsidP="00B45182">
            <w:pPr>
              <w:jc w:val="both"/>
              <w:rPr>
                <w:color w:val="000000"/>
                <w:sz w:val="24"/>
                <w:szCs w:val="24"/>
              </w:rPr>
            </w:pPr>
            <w:r>
              <w:rPr>
                <w:color w:val="000000"/>
                <w:sz w:val="24"/>
                <w:szCs w:val="24"/>
              </w:rPr>
              <w:t xml:space="preserve">Izvērtējums par datu publicēšanu līdz </w:t>
            </w:r>
            <w:r w:rsidRPr="00176C01">
              <w:rPr>
                <w:color w:val="000000"/>
                <w:sz w:val="24"/>
                <w:szCs w:val="24"/>
              </w:rPr>
              <w:t>2020.gada 9.aprīli</w:t>
            </w:r>
            <w:r>
              <w:rPr>
                <w:color w:val="000000"/>
                <w:sz w:val="24"/>
                <w:szCs w:val="24"/>
              </w:rPr>
              <w:t>m</w:t>
            </w:r>
          </w:p>
        </w:tc>
      </w:tr>
      <w:tr w:rsidR="001318C8" w:rsidRPr="00314809" w14:paraId="29FDA3CE" w14:textId="77777777" w:rsidTr="0072420E">
        <w:tc>
          <w:tcPr>
            <w:tcW w:w="704" w:type="dxa"/>
          </w:tcPr>
          <w:p w14:paraId="531F38F8" w14:textId="77777777" w:rsidR="001318C8" w:rsidRPr="00176C01" w:rsidRDefault="001318C8" w:rsidP="00B45182">
            <w:pPr>
              <w:jc w:val="both"/>
              <w:rPr>
                <w:sz w:val="24"/>
                <w:szCs w:val="24"/>
              </w:rPr>
            </w:pPr>
            <w:r w:rsidRPr="00176C01">
              <w:rPr>
                <w:sz w:val="24"/>
                <w:szCs w:val="24"/>
              </w:rPr>
              <w:t>25.</w:t>
            </w:r>
          </w:p>
        </w:tc>
        <w:tc>
          <w:tcPr>
            <w:tcW w:w="1814" w:type="dxa"/>
            <w:vMerge/>
          </w:tcPr>
          <w:p w14:paraId="6FD97542" w14:textId="348B6DD3" w:rsidR="001318C8" w:rsidRPr="00176C01" w:rsidRDefault="001318C8" w:rsidP="00B45182">
            <w:pPr>
              <w:jc w:val="both"/>
              <w:rPr>
                <w:sz w:val="24"/>
                <w:szCs w:val="24"/>
              </w:rPr>
            </w:pPr>
          </w:p>
        </w:tc>
        <w:tc>
          <w:tcPr>
            <w:tcW w:w="3941" w:type="dxa"/>
          </w:tcPr>
          <w:p w14:paraId="047445CA" w14:textId="77777777" w:rsidR="001318C8" w:rsidRPr="00176C01" w:rsidRDefault="001318C8" w:rsidP="00B45182">
            <w:pPr>
              <w:jc w:val="both"/>
              <w:rPr>
                <w:sz w:val="24"/>
                <w:szCs w:val="24"/>
              </w:rPr>
            </w:pPr>
            <w:r w:rsidRPr="00176C01">
              <w:rPr>
                <w:sz w:val="24"/>
                <w:szCs w:val="24"/>
              </w:rPr>
              <w:t>Veikto pārbaužu rezultāti (tiklīdz tie ir publiskojami)</w:t>
            </w:r>
          </w:p>
        </w:tc>
        <w:tc>
          <w:tcPr>
            <w:tcW w:w="2602" w:type="dxa"/>
          </w:tcPr>
          <w:p w14:paraId="7BA5FD91" w14:textId="77777777" w:rsidR="001318C8" w:rsidRPr="00176C01" w:rsidRDefault="001318C8" w:rsidP="00B45182">
            <w:pPr>
              <w:jc w:val="both"/>
              <w:rPr>
                <w:color w:val="000000"/>
                <w:sz w:val="24"/>
                <w:szCs w:val="24"/>
              </w:rPr>
            </w:pPr>
            <w:r>
              <w:rPr>
                <w:color w:val="000000"/>
                <w:sz w:val="24"/>
                <w:szCs w:val="24"/>
              </w:rPr>
              <w:t xml:space="preserve">Izvērtējums par datu publicēšanu līdz </w:t>
            </w:r>
            <w:r w:rsidRPr="00176C01">
              <w:rPr>
                <w:color w:val="000000"/>
                <w:sz w:val="24"/>
                <w:szCs w:val="24"/>
              </w:rPr>
              <w:t>2020.gada 9.aprīli</w:t>
            </w:r>
            <w:r>
              <w:rPr>
                <w:color w:val="000000"/>
                <w:sz w:val="24"/>
                <w:szCs w:val="24"/>
              </w:rPr>
              <w:t>m</w:t>
            </w:r>
          </w:p>
        </w:tc>
      </w:tr>
      <w:tr w:rsidR="001318C8" w:rsidRPr="00314809" w14:paraId="4DC1CC6F" w14:textId="77777777" w:rsidTr="0072420E">
        <w:tc>
          <w:tcPr>
            <w:tcW w:w="704" w:type="dxa"/>
          </w:tcPr>
          <w:p w14:paraId="0281E0B2" w14:textId="77777777" w:rsidR="001318C8" w:rsidRPr="00176C01" w:rsidRDefault="001318C8" w:rsidP="00B45182">
            <w:pPr>
              <w:jc w:val="both"/>
              <w:rPr>
                <w:sz w:val="24"/>
                <w:szCs w:val="24"/>
              </w:rPr>
            </w:pPr>
            <w:r w:rsidRPr="00176C01">
              <w:rPr>
                <w:sz w:val="24"/>
                <w:szCs w:val="24"/>
              </w:rPr>
              <w:t>26.</w:t>
            </w:r>
          </w:p>
        </w:tc>
        <w:tc>
          <w:tcPr>
            <w:tcW w:w="1814" w:type="dxa"/>
            <w:vMerge w:val="restart"/>
          </w:tcPr>
          <w:p w14:paraId="37E7B7A7" w14:textId="77777777" w:rsidR="001318C8" w:rsidRPr="00176C01" w:rsidRDefault="001318C8" w:rsidP="00B45182">
            <w:pPr>
              <w:jc w:val="both"/>
              <w:rPr>
                <w:sz w:val="24"/>
                <w:szCs w:val="24"/>
              </w:rPr>
            </w:pPr>
            <w:r w:rsidRPr="00176C01">
              <w:rPr>
                <w:sz w:val="24"/>
                <w:szCs w:val="24"/>
              </w:rPr>
              <w:t>Kultūras informācijas sistēmu centrs</w:t>
            </w:r>
          </w:p>
          <w:p w14:paraId="4B95AB62" w14:textId="3663DAB1" w:rsidR="001318C8" w:rsidRPr="00176C01" w:rsidRDefault="001318C8" w:rsidP="00B45182">
            <w:pPr>
              <w:jc w:val="both"/>
              <w:rPr>
                <w:sz w:val="24"/>
                <w:szCs w:val="24"/>
              </w:rPr>
            </w:pPr>
          </w:p>
        </w:tc>
        <w:tc>
          <w:tcPr>
            <w:tcW w:w="3941" w:type="dxa"/>
          </w:tcPr>
          <w:p w14:paraId="47DCBA93" w14:textId="77777777" w:rsidR="001318C8" w:rsidRPr="00176C01" w:rsidRDefault="001318C8" w:rsidP="00B45182">
            <w:pPr>
              <w:jc w:val="both"/>
              <w:rPr>
                <w:sz w:val="24"/>
                <w:szCs w:val="24"/>
              </w:rPr>
            </w:pPr>
            <w:r w:rsidRPr="00176C01">
              <w:rPr>
                <w:sz w:val="24"/>
                <w:szCs w:val="24"/>
              </w:rPr>
              <w:t>Valsts valodas centra tulkošanas atmiņas</w:t>
            </w:r>
          </w:p>
        </w:tc>
        <w:tc>
          <w:tcPr>
            <w:tcW w:w="2602" w:type="dxa"/>
          </w:tcPr>
          <w:p w14:paraId="79EE806D" w14:textId="77777777" w:rsidR="001318C8" w:rsidRPr="00176C01" w:rsidRDefault="001318C8" w:rsidP="00B45182">
            <w:pPr>
              <w:jc w:val="both"/>
              <w:rPr>
                <w:color w:val="000000"/>
                <w:sz w:val="24"/>
                <w:szCs w:val="24"/>
              </w:rPr>
            </w:pPr>
            <w:r w:rsidRPr="00176C01">
              <w:rPr>
                <w:color w:val="000000"/>
                <w:sz w:val="24"/>
                <w:szCs w:val="24"/>
              </w:rPr>
              <w:t>Pēc Ministru  kabineta noteikumu grozījumiem</w:t>
            </w:r>
          </w:p>
        </w:tc>
      </w:tr>
      <w:tr w:rsidR="001318C8" w:rsidRPr="00314809" w14:paraId="447A7339" w14:textId="77777777" w:rsidTr="0072420E">
        <w:tc>
          <w:tcPr>
            <w:tcW w:w="704" w:type="dxa"/>
          </w:tcPr>
          <w:p w14:paraId="1ECC9B76" w14:textId="77777777" w:rsidR="001318C8" w:rsidRPr="00176C01" w:rsidRDefault="001318C8" w:rsidP="00B45182">
            <w:pPr>
              <w:jc w:val="both"/>
              <w:rPr>
                <w:sz w:val="24"/>
                <w:szCs w:val="24"/>
              </w:rPr>
            </w:pPr>
            <w:r w:rsidRPr="00176C01">
              <w:rPr>
                <w:sz w:val="24"/>
                <w:szCs w:val="24"/>
              </w:rPr>
              <w:t>27.</w:t>
            </w:r>
          </w:p>
        </w:tc>
        <w:tc>
          <w:tcPr>
            <w:tcW w:w="1814" w:type="dxa"/>
            <w:vMerge/>
          </w:tcPr>
          <w:p w14:paraId="2A74CF3E" w14:textId="26D441A9" w:rsidR="001318C8" w:rsidRPr="00176C01" w:rsidRDefault="001318C8" w:rsidP="00B45182">
            <w:pPr>
              <w:jc w:val="both"/>
              <w:rPr>
                <w:sz w:val="24"/>
                <w:szCs w:val="24"/>
              </w:rPr>
            </w:pPr>
          </w:p>
        </w:tc>
        <w:tc>
          <w:tcPr>
            <w:tcW w:w="3941" w:type="dxa"/>
          </w:tcPr>
          <w:p w14:paraId="5E3F3B0A" w14:textId="77777777" w:rsidR="001318C8" w:rsidRPr="00176C01" w:rsidRDefault="001318C8" w:rsidP="00B45182">
            <w:pPr>
              <w:jc w:val="both"/>
              <w:rPr>
                <w:sz w:val="24"/>
                <w:szCs w:val="24"/>
              </w:rPr>
            </w:pPr>
            <w:r w:rsidRPr="00176C01">
              <w:rPr>
                <w:sz w:val="24"/>
                <w:szCs w:val="24"/>
              </w:rPr>
              <w:t>Valsts iestāžu veikto tekstu tulkojumu korpusus atvērto datu veidā</w:t>
            </w:r>
          </w:p>
        </w:tc>
        <w:tc>
          <w:tcPr>
            <w:tcW w:w="2602" w:type="dxa"/>
          </w:tcPr>
          <w:p w14:paraId="3AC8CD58" w14:textId="77777777" w:rsidR="001318C8" w:rsidRPr="00176C01" w:rsidRDefault="001318C8" w:rsidP="00B45182">
            <w:pPr>
              <w:jc w:val="both"/>
              <w:rPr>
                <w:color w:val="000000"/>
                <w:sz w:val="24"/>
                <w:szCs w:val="24"/>
              </w:rPr>
            </w:pPr>
            <w:r w:rsidRPr="00176C01">
              <w:rPr>
                <w:color w:val="000000"/>
                <w:sz w:val="24"/>
                <w:szCs w:val="24"/>
              </w:rPr>
              <w:t>Pēc Ministru  kabineta noteikumu grozījumiem</w:t>
            </w:r>
          </w:p>
        </w:tc>
      </w:tr>
      <w:tr w:rsidR="00B45182" w:rsidRPr="00314809" w14:paraId="5F72B61A" w14:textId="77777777" w:rsidTr="0072420E">
        <w:tc>
          <w:tcPr>
            <w:tcW w:w="704" w:type="dxa"/>
          </w:tcPr>
          <w:p w14:paraId="28A32BC6" w14:textId="77777777" w:rsidR="00B45182" w:rsidRPr="00176C01" w:rsidRDefault="00B45182" w:rsidP="00B45182">
            <w:pPr>
              <w:jc w:val="both"/>
              <w:rPr>
                <w:sz w:val="24"/>
                <w:szCs w:val="24"/>
              </w:rPr>
            </w:pPr>
            <w:r w:rsidRPr="00176C01">
              <w:rPr>
                <w:sz w:val="24"/>
                <w:szCs w:val="24"/>
              </w:rPr>
              <w:t>28.</w:t>
            </w:r>
          </w:p>
        </w:tc>
        <w:tc>
          <w:tcPr>
            <w:tcW w:w="1814" w:type="dxa"/>
          </w:tcPr>
          <w:p w14:paraId="16D30B25" w14:textId="77777777" w:rsidR="00B45182" w:rsidRPr="00176C01" w:rsidRDefault="00B45182" w:rsidP="00B45182">
            <w:pPr>
              <w:jc w:val="both"/>
              <w:rPr>
                <w:sz w:val="24"/>
                <w:szCs w:val="24"/>
              </w:rPr>
            </w:pPr>
            <w:r w:rsidRPr="00176C01">
              <w:rPr>
                <w:sz w:val="24"/>
                <w:szCs w:val="24"/>
              </w:rPr>
              <w:t>Nacionālā Kultūras mantojuma pārvalde</w:t>
            </w:r>
          </w:p>
        </w:tc>
        <w:tc>
          <w:tcPr>
            <w:tcW w:w="3941" w:type="dxa"/>
          </w:tcPr>
          <w:p w14:paraId="395F5778" w14:textId="77777777" w:rsidR="00B45182" w:rsidRPr="00176C01" w:rsidRDefault="00176C01" w:rsidP="00B45182">
            <w:pPr>
              <w:jc w:val="both"/>
              <w:rPr>
                <w:sz w:val="24"/>
                <w:szCs w:val="24"/>
              </w:rPr>
            </w:pPr>
            <w:r w:rsidRPr="00176C01">
              <w:rPr>
                <w:sz w:val="24"/>
                <w:szCs w:val="24"/>
              </w:rPr>
              <w:t>Kultūras pieminekļu ģeotelpiskie dati</w:t>
            </w:r>
          </w:p>
        </w:tc>
        <w:tc>
          <w:tcPr>
            <w:tcW w:w="2602" w:type="dxa"/>
          </w:tcPr>
          <w:p w14:paraId="19AB65F2" w14:textId="77777777" w:rsidR="00B45182" w:rsidRPr="00176C01" w:rsidRDefault="00176C01" w:rsidP="00B45182">
            <w:pPr>
              <w:jc w:val="both"/>
              <w:rPr>
                <w:color w:val="000000"/>
                <w:sz w:val="24"/>
                <w:szCs w:val="24"/>
              </w:rPr>
            </w:pPr>
            <w:r w:rsidRPr="00176C01">
              <w:rPr>
                <w:color w:val="000000"/>
                <w:sz w:val="24"/>
                <w:szCs w:val="24"/>
              </w:rPr>
              <w:t>2020.gada 28.februāris</w:t>
            </w:r>
          </w:p>
        </w:tc>
      </w:tr>
    </w:tbl>
    <w:p w14:paraId="4EC0DE55" w14:textId="77777777" w:rsidR="00A30829" w:rsidRPr="00A30829" w:rsidRDefault="00A30829" w:rsidP="00A30829">
      <w:pPr>
        <w:ind w:firstLine="709"/>
        <w:jc w:val="both"/>
        <w:rPr>
          <w:rFonts w:ascii="Times New Roman" w:hAnsi="Times New Roman"/>
          <w:sz w:val="24"/>
          <w:szCs w:val="24"/>
        </w:rPr>
      </w:pPr>
    </w:p>
    <w:p w14:paraId="581E4961" w14:textId="77777777" w:rsidR="00A30829" w:rsidRPr="00A30829" w:rsidRDefault="00A30829" w:rsidP="00003F23">
      <w:pPr>
        <w:spacing w:after="0"/>
        <w:jc w:val="both"/>
        <w:rPr>
          <w:rFonts w:ascii="Times New Roman" w:hAnsi="Times New Roman"/>
          <w:sz w:val="24"/>
          <w:szCs w:val="24"/>
        </w:rPr>
      </w:pPr>
      <w:r w:rsidRPr="00A30829">
        <w:rPr>
          <w:rFonts w:ascii="Times New Roman" w:hAnsi="Times New Roman"/>
          <w:sz w:val="24"/>
          <w:szCs w:val="24"/>
        </w:rPr>
        <w:t>Vides aizsardzības un reģionālās</w:t>
      </w:r>
    </w:p>
    <w:p w14:paraId="1CF1FAA9" w14:textId="77777777" w:rsidR="00A30829" w:rsidRPr="00A30829" w:rsidRDefault="00A30829" w:rsidP="00A30829">
      <w:pPr>
        <w:jc w:val="both"/>
        <w:rPr>
          <w:rFonts w:ascii="Times New Roman" w:hAnsi="Times New Roman"/>
          <w:sz w:val="24"/>
          <w:szCs w:val="24"/>
        </w:rPr>
      </w:pPr>
      <w:r w:rsidRPr="00A30829">
        <w:rPr>
          <w:rFonts w:ascii="Times New Roman" w:hAnsi="Times New Roman"/>
          <w:sz w:val="24"/>
          <w:szCs w:val="24"/>
        </w:rPr>
        <w:t>attīstības ministrs</w:t>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Pr="00A30829">
        <w:rPr>
          <w:rFonts w:ascii="Times New Roman" w:hAnsi="Times New Roman"/>
          <w:sz w:val="24"/>
          <w:szCs w:val="24"/>
        </w:rPr>
        <w:tab/>
      </w:r>
      <w:r w:rsidR="00BE3558">
        <w:rPr>
          <w:rFonts w:ascii="Times New Roman" w:hAnsi="Times New Roman"/>
          <w:sz w:val="24"/>
          <w:szCs w:val="24"/>
        </w:rPr>
        <w:t>J.Pūce</w:t>
      </w:r>
    </w:p>
    <w:p w14:paraId="0A29F8DE" w14:textId="77777777" w:rsidR="00A30829" w:rsidRPr="00A30829" w:rsidRDefault="00A30829" w:rsidP="00A30829">
      <w:pPr>
        <w:jc w:val="both"/>
        <w:rPr>
          <w:rFonts w:ascii="Times New Roman" w:hAnsi="Times New Roman"/>
          <w:sz w:val="24"/>
          <w:szCs w:val="24"/>
        </w:rPr>
      </w:pPr>
    </w:p>
    <w:tbl>
      <w:tblPr>
        <w:tblW w:w="0" w:type="auto"/>
        <w:tblInd w:w="108" w:type="dxa"/>
        <w:tblLook w:val="04A0" w:firstRow="1" w:lastRow="0" w:firstColumn="1" w:lastColumn="0" w:noHBand="0" w:noVBand="1"/>
      </w:tblPr>
      <w:tblGrid>
        <w:gridCol w:w="8222"/>
      </w:tblGrid>
      <w:tr w:rsidR="00F950F2" w14:paraId="6E837689" w14:textId="77777777" w:rsidTr="0072420E">
        <w:trPr>
          <w:cantSplit/>
          <w:trHeight w:val="579"/>
        </w:trPr>
        <w:tc>
          <w:tcPr>
            <w:tcW w:w="8222" w:type="dxa"/>
          </w:tcPr>
          <w:p w14:paraId="4EA01647" w14:textId="2941FDF8" w:rsidR="0072420E" w:rsidRDefault="00A30829" w:rsidP="0072420E">
            <w:pPr>
              <w:pStyle w:val="BodyTextIndent"/>
              <w:ind w:left="0"/>
            </w:pPr>
            <w:r>
              <w:t>ŠIS DOKUMENTS IR ELEKTRONISKI PARAKSTĪTS AR DROŠU ELEKTRONISKO PARAKSTU UN SATUR LAIKA ZĪMOGU</w:t>
            </w:r>
            <w:bookmarkStart w:id="35" w:name="edoc_info" w:colFirst="0" w:colLast="0"/>
          </w:p>
        </w:tc>
      </w:tr>
      <w:bookmarkEnd w:id="35"/>
    </w:tbl>
    <w:p w14:paraId="44675051" w14:textId="77777777" w:rsidR="0072420E" w:rsidRPr="00C27521" w:rsidRDefault="0072420E" w:rsidP="00BE3558">
      <w:pPr>
        <w:rPr>
          <w:rFonts w:ascii="Times New Roman" w:hAnsi="Times New Roman"/>
          <w:sz w:val="24"/>
          <w:szCs w:val="24"/>
        </w:rPr>
      </w:pPr>
    </w:p>
    <w:sectPr w:rsidR="0072420E" w:rsidRPr="00C27521" w:rsidSect="0072420E">
      <w:footerReference w:type="defaul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6BA8" w14:textId="77777777" w:rsidR="001C5902" w:rsidRDefault="001C5902">
      <w:pPr>
        <w:spacing w:after="0" w:line="240" w:lineRule="auto"/>
      </w:pPr>
      <w:r>
        <w:separator/>
      </w:r>
    </w:p>
  </w:endnote>
  <w:endnote w:type="continuationSeparator" w:id="0">
    <w:p w14:paraId="006EA792" w14:textId="77777777" w:rsidR="001C5902" w:rsidRDefault="001C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07AA" w14:textId="6C78CBAF" w:rsidR="005D6DBD" w:rsidRPr="00F85C6C" w:rsidRDefault="005D6DBD" w:rsidP="00F85C6C">
    <w:pPr>
      <w:jc w:val="both"/>
      <w:rPr>
        <w:rFonts w:ascii="Times New Roman" w:hAnsi="Times New Roman"/>
        <w:sz w:val="20"/>
        <w:szCs w:val="20"/>
      </w:rPr>
    </w:pPr>
    <w:r w:rsidRPr="00F85C6C">
      <w:rPr>
        <w:rFonts w:ascii="Times New Roman" w:hAnsi="Times New Roman"/>
        <w:sz w:val="20"/>
        <w:szCs w:val="20"/>
      </w:rPr>
      <w:fldChar w:fldCharType="begin"/>
    </w:r>
    <w:r w:rsidRPr="00F85C6C">
      <w:rPr>
        <w:rFonts w:ascii="Times New Roman" w:hAnsi="Times New Roman"/>
        <w:sz w:val="20"/>
        <w:szCs w:val="20"/>
      </w:rPr>
      <w:instrText xml:space="preserve"> FILENAME   \* MERGEFORMAT </w:instrText>
    </w:r>
    <w:r w:rsidRPr="00F85C6C">
      <w:rPr>
        <w:rFonts w:ascii="Times New Roman" w:hAnsi="Times New Roman"/>
        <w:sz w:val="20"/>
        <w:szCs w:val="20"/>
      </w:rPr>
      <w:fldChar w:fldCharType="separate"/>
    </w:r>
    <w:r w:rsidR="006462FA">
      <w:rPr>
        <w:rFonts w:ascii="Times New Roman" w:hAnsi="Times New Roman"/>
        <w:noProof/>
        <w:sz w:val="20"/>
        <w:szCs w:val="20"/>
      </w:rPr>
      <w:t>VARAMzino_dati</w:t>
    </w:r>
    <w:r w:rsidRPr="00F85C6C">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86F9" w14:textId="1514A2C7" w:rsidR="005D6DBD" w:rsidRPr="00F85C6C" w:rsidRDefault="005D6DBD" w:rsidP="00F85C6C">
    <w:pPr>
      <w:jc w:val="both"/>
      <w:rPr>
        <w:rFonts w:ascii="Times New Roman" w:hAnsi="Times New Roman"/>
        <w:sz w:val="20"/>
        <w:szCs w:val="20"/>
      </w:rPr>
    </w:pPr>
    <w:r w:rsidRPr="00F85C6C">
      <w:rPr>
        <w:rFonts w:ascii="Times New Roman" w:hAnsi="Times New Roman"/>
        <w:sz w:val="20"/>
        <w:szCs w:val="20"/>
      </w:rPr>
      <w:fldChar w:fldCharType="begin"/>
    </w:r>
    <w:r w:rsidRPr="00F85C6C">
      <w:rPr>
        <w:rFonts w:ascii="Times New Roman" w:hAnsi="Times New Roman"/>
        <w:sz w:val="20"/>
        <w:szCs w:val="20"/>
      </w:rPr>
      <w:instrText xml:space="preserve"> FILENAME   \* MERGEFORMAT </w:instrText>
    </w:r>
    <w:r w:rsidRPr="00F85C6C">
      <w:rPr>
        <w:rFonts w:ascii="Times New Roman" w:hAnsi="Times New Roman"/>
        <w:sz w:val="20"/>
        <w:szCs w:val="20"/>
      </w:rPr>
      <w:fldChar w:fldCharType="separate"/>
    </w:r>
    <w:r w:rsidR="006462FA">
      <w:rPr>
        <w:rFonts w:ascii="Times New Roman" w:hAnsi="Times New Roman"/>
        <w:noProof/>
        <w:sz w:val="20"/>
        <w:szCs w:val="20"/>
      </w:rPr>
      <w:t>VARAMzino_dati</w:t>
    </w:r>
    <w:r w:rsidRPr="00F85C6C">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D115" w14:textId="77777777" w:rsidR="001C5902" w:rsidRDefault="001C5902">
      <w:pPr>
        <w:spacing w:after="0" w:line="240" w:lineRule="auto"/>
      </w:pPr>
      <w:r>
        <w:separator/>
      </w:r>
    </w:p>
  </w:footnote>
  <w:footnote w:type="continuationSeparator" w:id="0">
    <w:p w14:paraId="55C54720" w14:textId="77777777" w:rsidR="001C5902" w:rsidRDefault="001C5902">
      <w:pPr>
        <w:spacing w:after="0" w:line="240" w:lineRule="auto"/>
      </w:pPr>
      <w:r>
        <w:continuationSeparator/>
      </w:r>
    </w:p>
  </w:footnote>
  <w:footnote w:id="1">
    <w:p w14:paraId="3A8E8C7A" w14:textId="77777777" w:rsidR="005D6DBD" w:rsidRPr="00A32893" w:rsidRDefault="005D6DBD" w:rsidP="00A30829">
      <w:pPr>
        <w:pStyle w:val="FootnoteText"/>
        <w:jc w:val="both"/>
        <w:rPr>
          <w:lang w:val="en-US"/>
        </w:rPr>
      </w:pPr>
      <w:r>
        <w:rPr>
          <w:rStyle w:val="FootnoteReference"/>
        </w:rPr>
        <w:footnoteRef/>
      </w:r>
      <w:r>
        <w:t xml:space="preserve"> Starptautiskā atvērto datu harta </w:t>
      </w:r>
      <w:hyperlink r:id="rId1" w:history="1">
        <w:r w:rsidRPr="00605790">
          <w:rPr>
            <w:rStyle w:val="Hyperlink"/>
          </w:rPr>
          <w:t>http://opendatacharter.net/principles/</w:t>
        </w:r>
      </w:hyperlink>
      <w:r>
        <w:t xml:space="preserve"> (avots pēdējoreiz skatīts 25.07.2017.)</w:t>
      </w:r>
    </w:p>
  </w:footnote>
  <w:footnote w:id="2">
    <w:p w14:paraId="2587BCE9" w14:textId="22B77534" w:rsidR="00652BE7" w:rsidRDefault="00652BE7">
      <w:pPr>
        <w:pStyle w:val="FootnoteText"/>
      </w:pPr>
      <w:r>
        <w:rPr>
          <w:rStyle w:val="FootnoteReference"/>
        </w:rPr>
        <w:footnoteRef/>
      </w:r>
      <w:r>
        <w:t xml:space="preserve"> </w:t>
      </w:r>
      <w:hyperlink r:id="rId2" w:history="1">
        <w:r w:rsidRPr="00152A55">
          <w:rPr>
            <w:rStyle w:val="Hyperlink"/>
          </w:rPr>
          <w:t>https://eur-lex.europa.eu/legal-content/LV/TXT/?qid=1572337629116&amp;uri=CELEX:32019L1024</w:t>
        </w:r>
      </w:hyperlink>
      <w:r>
        <w:t xml:space="preserve"> </w:t>
      </w:r>
    </w:p>
  </w:footnote>
  <w:footnote w:id="3">
    <w:p w14:paraId="09AFFA31" w14:textId="77777777" w:rsidR="005D6DBD" w:rsidRPr="00EE7A2A" w:rsidRDefault="005D6DBD" w:rsidP="00E95366">
      <w:pPr>
        <w:pStyle w:val="FootnoteText"/>
        <w:rPr>
          <w:lang w:val="en-US"/>
        </w:rPr>
      </w:pPr>
      <w:r>
        <w:rPr>
          <w:rStyle w:val="FootnoteReference"/>
        </w:rPr>
        <w:footnoteRef/>
      </w:r>
      <w:r>
        <w:t xml:space="preserve"> </w:t>
      </w:r>
      <w:proofErr w:type="spellStart"/>
      <w:r>
        <w:t>Creating</w:t>
      </w:r>
      <w:proofErr w:type="spellEnd"/>
      <w:r>
        <w:t xml:space="preserve"> </w:t>
      </w:r>
      <w:proofErr w:type="spellStart"/>
      <w:r>
        <w:t>Value</w:t>
      </w:r>
      <w:proofErr w:type="spellEnd"/>
      <w:r>
        <w:t xml:space="preserve"> </w:t>
      </w:r>
      <w:proofErr w:type="spellStart"/>
      <w:r>
        <w:t>through</w:t>
      </w:r>
      <w:proofErr w:type="spellEnd"/>
      <w:r>
        <w:t xml:space="preserve"> </w:t>
      </w:r>
      <w:proofErr w:type="spellStart"/>
      <w:r>
        <w:t>Open</w:t>
      </w:r>
      <w:proofErr w:type="spellEnd"/>
      <w:r>
        <w:t xml:space="preserve"> </w:t>
      </w:r>
      <w:proofErr w:type="spellStart"/>
      <w:r>
        <w:t>Data</w:t>
      </w:r>
      <w:proofErr w:type="spellEnd"/>
      <w:r>
        <w:t xml:space="preserve"> </w:t>
      </w:r>
      <w:proofErr w:type="spellStart"/>
      <w:r>
        <w:t>report</w:t>
      </w:r>
      <w:proofErr w:type="spellEnd"/>
      <w:r>
        <w:t xml:space="preserve">, </w:t>
      </w:r>
      <w:proofErr w:type="spellStart"/>
      <w:r>
        <w:t>European</w:t>
      </w:r>
      <w:proofErr w:type="spellEnd"/>
      <w:r>
        <w:t xml:space="preserve"> </w:t>
      </w:r>
      <w:proofErr w:type="spellStart"/>
      <w:r>
        <w:t>Data</w:t>
      </w:r>
      <w:proofErr w:type="spellEnd"/>
      <w:r>
        <w:t xml:space="preserve"> </w:t>
      </w:r>
      <w:proofErr w:type="spellStart"/>
      <w:r>
        <w:t>Portal</w:t>
      </w:r>
      <w:proofErr w:type="spellEnd"/>
      <w:r>
        <w:t xml:space="preserve">, </w:t>
      </w:r>
      <w:proofErr w:type="spellStart"/>
      <w:r>
        <w:t>November</w:t>
      </w:r>
      <w:proofErr w:type="spellEnd"/>
      <w:r>
        <w:t xml:space="preserve"> 2015.   </w:t>
      </w:r>
    </w:p>
  </w:footnote>
  <w:footnote w:id="4">
    <w:p w14:paraId="3F1DE36C" w14:textId="77777777" w:rsidR="005D6DBD" w:rsidRPr="003D720A" w:rsidRDefault="005D6DBD" w:rsidP="00E95366">
      <w:pPr>
        <w:pStyle w:val="FootnoteText"/>
        <w:rPr>
          <w:lang w:val="en-US"/>
        </w:rPr>
      </w:pPr>
      <w:r>
        <w:rPr>
          <w:rStyle w:val="FootnoteReference"/>
        </w:rPr>
        <w:footnoteRef/>
      </w:r>
      <w:r>
        <w:t xml:space="preserve"> </w:t>
      </w:r>
      <w:hyperlink r:id="rId3" w:history="1">
        <w:r w:rsidRPr="006F2C43">
          <w:rPr>
            <w:rStyle w:val="Hyperlink"/>
            <w:rFonts w:eastAsia="Courier New"/>
          </w:rPr>
          <w:t>https://eur-lex.europa.eu/legal-content/LV/TXT/HTML/?uri=CELEX:52011DC0882&amp;from=EN</w:t>
        </w:r>
      </w:hyperlink>
      <w:r>
        <w:t xml:space="preserve"> </w:t>
      </w:r>
    </w:p>
  </w:footnote>
  <w:footnote w:id="5">
    <w:p w14:paraId="78AA73DB" w14:textId="77777777" w:rsidR="005D6DBD" w:rsidRPr="007A0A43" w:rsidRDefault="005D6DBD" w:rsidP="000E7CE9">
      <w:pPr>
        <w:pStyle w:val="FootnoteText"/>
        <w:rPr>
          <w:lang w:val="en-US"/>
        </w:rPr>
      </w:pPr>
      <w:r>
        <w:rPr>
          <w:rStyle w:val="FootnoteReference"/>
        </w:rPr>
        <w:footnoteRef/>
      </w:r>
      <w:r>
        <w:t xml:space="preserve"> </w:t>
      </w:r>
      <w:hyperlink r:id="rId4" w:history="1">
        <w:r w:rsidRPr="00AF6431">
          <w:rPr>
            <w:rStyle w:val="Hyperlink"/>
            <w:rFonts w:eastAsia="Courier New"/>
          </w:rPr>
          <w:t>http://open.iub.gov.lv/</w:t>
        </w:r>
      </w:hyperlink>
      <w:r>
        <w:t xml:space="preserve"> </w:t>
      </w:r>
    </w:p>
  </w:footnote>
  <w:footnote w:id="6">
    <w:p w14:paraId="3E2B9FA8" w14:textId="77777777" w:rsidR="005D6DBD" w:rsidRPr="007A0A43" w:rsidRDefault="005D6DBD" w:rsidP="000E7CE9">
      <w:pPr>
        <w:pStyle w:val="FootnoteText"/>
        <w:rPr>
          <w:lang w:val="en-US"/>
        </w:rPr>
      </w:pPr>
      <w:r>
        <w:rPr>
          <w:rStyle w:val="FootnoteReference"/>
        </w:rPr>
        <w:footnoteRef/>
      </w:r>
      <w:r>
        <w:t xml:space="preserve"> </w:t>
      </w:r>
      <w:hyperlink r:id="rId5" w:history="1">
        <w:r w:rsidRPr="00AF6431">
          <w:rPr>
            <w:rStyle w:val="Hyperlink"/>
            <w:rFonts w:eastAsia="Courier New"/>
          </w:rPr>
          <w:t>https://www.ur.gov.lv/lv/specializeta-informacija/atvertie-dati/</w:t>
        </w:r>
      </w:hyperlink>
      <w:r>
        <w:t xml:space="preserve"> </w:t>
      </w:r>
    </w:p>
  </w:footnote>
  <w:footnote w:id="7">
    <w:p w14:paraId="2A98B6B1" w14:textId="77777777" w:rsidR="005D6DBD" w:rsidRPr="007A0A43" w:rsidRDefault="005D6DBD" w:rsidP="000E7CE9">
      <w:pPr>
        <w:pStyle w:val="FootnoteText"/>
        <w:rPr>
          <w:lang w:val="en-US"/>
        </w:rPr>
      </w:pPr>
      <w:r>
        <w:rPr>
          <w:rStyle w:val="FootnoteReference"/>
        </w:rPr>
        <w:footnoteRef/>
      </w:r>
      <w:r>
        <w:t xml:space="preserve"> </w:t>
      </w:r>
      <w:hyperlink r:id="rId6" w:history="1">
        <w:r w:rsidRPr="00AF6431">
          <w:rPr>
            <w:rStyle w:val="Hyperlink"/>
            <w:rFonts w:eastAsia="Courier New"/>
          </w:rPr>
          <w:t>https://opendata.riga.lv/sakums-112.html</w:t>
        </w:r>
      </w:hyperlink>
      <w:r>
        <w:t xml:space="preserve"> </w:t>
      </w:r>
    </w:p>
  </w:footnote>
  <w:footnote w:id="8">
    <w:p w14:paraId="3FA562CB" w14:textId="77777777" w:rsidR="005D6DBD" w:rsidRPr="00CC6490" w:rsidRDefault="005D6DBD" w:rsidP="000E7CE9">
      <w:pPr>
        <w:pStyle w:val="FootnoteText"/>
        <w:rPr>
          <w:lang w:val="en-US"/>
        </w:rPr>
      </w:pPr>
      <w:r>
        <w:rPr>
          <w:rStyle w:val="FootnoteReference"/>
        </w:rPr>
        <w:footnoteRef/>
      </w:r>
      <w:r>
        <w:t xml:space="preserve"> </w:t>
      </w:r>
      <w:hyperlink r:id="rId7" w:history="1">
        <w:r w:rsidRPr="00D24E65">
          <w:rPr>
            <w:rStyle w:val="Hyperlink"/>
          </w:rPr>
          <w:t>http://vas.gov.lv/lv/box/images/Bezmaksas_pasaakumi/U%20proj.pdf</w:t>
        </w:r>
      </w:hyperlink>
      <w:r>
        <w:t xml:space="preserve"> </w:t>
      </w:r>
    </w:p>
  </w:footnote>
  <w:footnote w:id="9">
    <w:p w14:paraId="46CBCBF4" w14:textId="77777777" w:rsidR="005D6DBD" w:rsidRPr="0016584E" w:rsidRDefault="005D6DBD" w:rsidP="000E7CE9">
      <w:pPr>
        <w:pStyle w:val="FootnoteText"/>
        <w:rPr>
          <w:lang w:val="en-US"/>
        </w:rPr>
      </w:pPr>
      <w:r>
        <w:rPr>
          <w:rStyle w:val="FootnoteReference"/>
        </w:rPr>
        <w:footnoteRef/>
      </w:r>
      <w:r>
        <w:t xml:space="preserve"> </w:t>
      </w:r>
      <w:hyperlink r:id="rId8" w:anchor="2018" w:history="1">
        <w:r w:rsidRPr="00670800">
          <w:rPr>
            <w:rStyle w:val="Hyperlink"/>
          </w:rPr>
          <w:t>https://www.europeandataportal.eu/en/dashboard#2018</w:t>
        </w:r>
      </w:hyperlink>
      <w:r>
        <w:t xml:space="preserve"> </w:t>
      </w:r>
    </w:p>
  </w:footnote>
  <w:footnote w:id="10">
    <w:p w14:paraId="135C310D" w14:textId="77777777" w:rsidR="005D6DBD" w:rsidRDefault="005D6DBD">
      <w:pPr>
        <w:pStyle w:val="FootnoteText"/>
      </w:pPr>
      <w:r>
        <w:rPr>
          <w:rStyle w:val="FootnoteReference"/>
        </w:rPr>
        <w:footnoteRef/>
      </w:r>
      <w:r>
        <w:t xml:space="preserve"> Informatīvais ziņojums apstiprināts 2019.gada 20.augustā. Pieejams:  </w:t>
      </w:r>
      <w:hyperlink r:id="rId9" w:history="1">
        <w:r w:rsidRPr="00190648">
          <w:rPr>
            <w:rStyle w:val="Hyperlink"/>
          </w:rPr>
          <w:t>http://tap.mk.gov.lv/lv/mk/tap/?pid=40472319&amp;mode=mk&amp;date=2019-08-20</w:t>
        </w:r>
      </w:hyperlink>
      <w:r>
        <w:t xml:space="preserve"> </w:t>
      </w:r>
    </w:p>
  </w:footnote>
  <w:footnote w:id="11">
    <w:p w14:paraId="52D2784B" w14:textId="77777777" w:rsidR="005D6DBD" w:rsidRDefault="005D6DBD">
      <w:pPr>
        <w:pStyle w:val="FootnoteText"/>
      </w:pPr>
      <w:r>
        <w:rPr>
          <w:rStyle w:val="FootnoteReference"/>
        </w:rPr>
        <w:footnoteRef/>
      </w:r>
      <w:r>
        <w:t xml:space="preserve"> </w:t>
      </w:r>
      <w:hyperlink r:id="rId10" w:history="1">
        <w:r w:rsidRPr="00190648">
          <w:rPr>
            <w:rStyle w:val="Hyperlink"/>
          </w:rPr>
          <w:t>http://tap.mk.gov.lv/lv/mk/tap/?pid=40460016&amp;mode=mk&amp;date=2019-04-02</w:t>
        </w:r>
      </w:hyperlink>
      <w:r>
        <w:t xml:space="preserve"> </w:t>
      </w:r>
    </w:p>
  </w:footnote>
  <w:footnote w:id="12">
    <w:p w14:paraId="6F5DB467" w14:textId="77777777" w:rsidR="005D6DBD" w:rsidRDefault="005D6DBD">
      <w:pPr>
        <w:pStyle w:val="FootnoteText"/>
      </w:pPr>
      <w:r>
        <w:rPr>
          <w:rStyle w:val="FootnoteReference"/>
        </w:rPr>
        <w:footnoteRef/>
      </w:r>
      <w:r>
        <w:t xml:space="preserve"> </w:t>
      </w:r>
      <w:hyperlink r:id="rId11" w:history="1">
        <w:r w:rsidRPr="00190648">
          <w:rPr>
            <w:rStyle w:val="Hyperlink"/>
          </w:rPr>
          <w:t>https://likumi.lv/doc.php?id=2825</w:t>
        </w:r>
      </w:hyperlink>
      <w:r>
        <w:t xml:space="preserve"> </w:t>
      </w:r>
    </w:p>
  </w:footnote>
  <w:footnote w:id="13">
    <w:p w14:paraId="78DEC77B" w14:textId="77777777" w:rsidR="005D6DBD" w:rsidRDefault="005D6DBD">
      <w:pPr>
        <w:pStyle w:val="FootnoteText"/>
      </w:pPr>
      <w:r>
        <w:rPr>
          <w:rStyle w:val="FootnoteReference"/>
        </w:rPr>
        <w:footnoteRef/>
      </w:r>
      <w:r>
        <w:t xml:space="preserve"> Piemēram: </w:t>
      </w:r>
      <w:hyperlink r:id="rId12" w:history="1">
        <w:r w:rsidRPr="00190648">
          <w:rPr>
            <w:rStyle w:val="Hyperlink"/>
          </w:rPr>
          <w:t>https://www.vid.gov.lv/lv/statistika/nozaru-statistika</w:t>
        </w:r>
      </w:hyperlink>
      <w:r>
        <w:t xml:space="preserve"> </w:t>
      </w:r>
    </w:p>
  </w:footnote>
  <w:footnote w:id="14">
    <w:p w14:paraId="1597A176" w14:textId="77777777" w:rsidR="005D6DBD" w:rsidRDefault="005D6DBD">
      <w:pPr>
        <w:pStyle w:val="FootnoteText"/>
      </w:pPr>
      <w:r>
        <w:rPr>
          <w:rStyle w:val="FootnoteReference"/>
        </w:rPr>
        <w:footnoteRef/>
      </w:r>
      <w:r>
        <w:t xml:space="preserve"> </w:t>
      </w:r>
      <w:hyperlink r:id="rId13" w:history="1">
        <w:r w:rsidRPr="00190648">
          <w:rPr>
            <w:rStyle w:val="Hyperlink"/>
          </w:rPr>
          <w:t>https://registri.pvd.gov.lv/</w:t>
        </w:r>
      </w:hyperlink>
      <w:r>
        <w:t xml:space="preserve"> </w:t>
      </w:r>
    </w:p>
  </w:footnote>
  <w:footnote w:id="15">
    <w:p w14:paraId="7519F55E" w14:textId="77777777" w:rsidR="005D6DBD" w:rsidRDefault="005D6DBD">
      <w:pPr>
        <w:pStyle w:val="FootnoteText"/>
      </w:pPr>
      <w:r>
        <w:rPr>
          <w:rStyle w:val="FootnoteReference"/>
        </w:rPr>
        <w:footnoteRef/>
      </w:r>
      <w:r>
        <w:t xml:space="preserve"> </w:t>
      </w:r>
      <w:hyperlink r:id="rId14" w:history="1">
        <w:r w:rsidRPr="00190648">
          <w:rPr>
            <w:rStyle w:val="Hyperlink"/>
          </w:rPr>
          <w:t>https://data.gov.lv/dati/lv/dataset?organization=partikas-un-veterinarais-dienests&amp;q=p%C4%81rtikas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14D04"/>
    <w:multiLevelType w:val="hybridMultilevel"/>
    <w:tmpl w:val="1458DEA2"/>
    <w:lvl w:ilvl="0" w:tplc="448E74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09843AF0"/>
    <w:multiLevelType w:val="hybridMultilevel"/>
    <w:tmpl w:val="6D467D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0D407782"/>
    <w:multiLevelType w:val="hybridMultilevel"/>
    <w:tmpl w:val="255A585A"/>
    <w:lvl w:ilvl="0" w:tplc="E8D032A4">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E9533B"/>
    <w:multiLevelType w:val="hybridMultilevel"/>
    <w:tmpl w:val="E7EE4784"/>
    <w:lvl w:ilvl="0" w:tplc="5EDA53B0">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5" w15:restartNumberingAfterBreak="0">
    <w:nsid w:val="18873115"/>
    <w:multiLevelType w:val="hybridMultilevel"/>
    <w:tmpl w:val="5DFE3F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3291CE8"/>
    <w:multiLevelType w:val="hybridMultilevel"/>
    <w:tmpl w:val="2B1C1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51632D"/>
    <w:multiLevelType w:val="hybridMultilevel"/>
    <w:tmpl w:val="2056E9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0AE0BE0"/>
    <w:multiLevelType w:val="hybridMultilevel"/>
    <w:tmpl w:val="733E740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431125C5"/>
    <w:multiLevelType w:val="hybridMultilevel"/>
    <w:tmpl w:val="22CE9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80B7D"/>
    <w:multiLevelType w:val="hybridMultilevel"/>
    <w:tmpl w:val="65226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0B17DC"/>
    <w:multiLevelType w:val="hybridMultilevel"/>
    <w:tmpl w:val="DE365E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403191E"/>
    <w:multiLevelType w:val="hybridMultilevel"/>
    <w:tmpl w:val="8C4CB2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163DD"/>
    <w:multiLevelType w:val="hybridMultilevel"/>
    <w:tmpl w:val="09F2011E"/>
    <w:lvl w:ilvl="0" w:tplc="E8D032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D384219"/>
    <w:multiLevelType w:val="hybridMultilevel"/>
    <w:tmpl w:val="5C7675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0C9265F"/>
    <w:multiLevelType w:val="hybridMultilevel"/>
    <w:tmpl w:val="0DE8ED24"/>
    <w:lvl w:ilvl="0" w:tplc="7A7ED0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2365828"/>
    <w:multiLevelType w:val="hybridMultilevel"/>
    <w:tmpl w:val="6D32B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8"/>
  </w:num>
  <w:num w:numId="17">
    <w:abstractNumId w:val="16"/>
  </w:num>
  <w:num w:numId="18">
    <w:abstractNumId w:val="23"/>
  </w:num>
  <w:num w:numId="19">
    <w:abstractNumId w:val="13"/>
  </w:num>
  <w:num w:numId="20">
    <w:abstractNumId w:val="26"/>
  </w:num>
  <w:num w:numId="21">
    <w:abstractNumId w:val="22"/>
  </w:num>
  <w:num w:numId="22">
    <w:abstractNumId w:val="12"/>
  </w:num>
  <w:num w:numId="23">
    <w:abstractNumId w:val="24"/>
  </w:num>
  <w:num w:numId="24">
    <w:abstractNumId w:val="19"/>
  </w:num>
  <w:num w:numId="25">
    <w:abstractNumId w:val="14"/>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F2"/>
    <w:rsid w:val="00003F23"/>
    <w:rsid w:val="00005E6C"/>
    <w:rsid w:val="000226CF"/>
    <w:rsid w:val="000E7CE9"/>
    <w:rsid w:val="001005E9"/>
    <w:rsid w:val="001318C8"/>
    <w:rsid w:val="00176C01"/>
    <w:rsid w:val="001A2942"/>
    <w:rsid w:val="001C5902"/>
    <w:rsid w:val="001D54C8"/>
    <w:rsid w:val="00284F90"/>
    <w:rsid w:val="002B2250"/>
    <w:rsid w:val="002C064E"/>
    <w:rsid w:val="002D17B2"/>
    <w:rsid w:val="002F4027"/>
    <w:rsid w:val="003021D8"/>
    <w:rsid w:val="0030577D"/>
    <w:rsid w:val="003269ED"/>
    <w:rsid w:val="00332DF4"/>
    <w:rsid w:val="00394A6A"/>
    <w:rsid w:val="003C45DA"/>
    <w:rsid w:val="004B125B"/>
    <w:rsid w:val="004B5FCE"/>
    <w:rsid w:val="004C0FD6"/>
    <w:rsid w:val="004C5EC4"/>
    <w:rsid w:val="004F775D"/>
    <w:rsid w:val="00553058"/>
    <w:rsid w:val="00575C31"/>
    <w:rsid w:val="005A1CED"/>
    <w:rsid w:val="005B3278"/>
    <w:rsid w:val="005D6DBD"/>
    <w:rsid w:val="006462FA"/>
    <w:rsid w:val="00652BE7"/>
    <w:rsid w:val="00665845"/>
    <w:rsid w:val="00701E84"/>
    <w:rsid w:val="00722171"/>
    <w:rsid w:val="0072420E"/>
    <w:rsid w:val="00757114"/>
    <w:rsid w:val="0076146A"/>
    <w:rsid w:val="00761FBA"/>
    <w:rsid w:val="007817AB"/>
    <w:rsid w:val="00783DBF"/>
    <w:rsid w:val="007A62AE"/>
    <w:rsid w:val="007B0BF6"/>
    <w:rsid w:val="00801811"/>
    <w:rsid w:val="0084585D"/>
    <w:rsid w:val="00854777"/>
    <w:rsid w:val="008C5045"/>
    <w:rsid w:val="008D5B8F"/>
    <w:rsid w:val="008E2ADA"/>
    <w:rsid w:val="0095057B"/>
    <w:rsid w:val="00951B35"/>
    <w:rsid w:val="00965DBF"/>
    <w:rsid w:val="0097499C"/>
    <w:rsid w:val="00997EEC"/>
    <w:rsid w:val="00A15E8A"/>
    <w:rsid w:val="00A30829"/>
    <w:rsid w:val="00A54C96"/>
    <w:rsid w:val="00A76342"/>
    <w:rsid w:val="00AB72FE"/>
    <w:rsid w:val="00AE724F"/>
    <w:rsid w:val="00B0461A"/>
    <w:rsid w:val="00B0778E"/>
    <w:rsid w:val="00B1073D"/>
    <w:rsid w:val="00B42BA0"/>
    <w:rsid w:val="00B45182"/>
    <w:rsid w:val="00B72747"/>
    <w:rsid w:val="00BC1953"/>
    <w:rsid w:val="00BE3558"/>
    <w:rsid w:val="00C1721F"/>
    <w:rsid w:val="00CE1723"/>
    <w:rsid w:val="00D07118"/>
    <w:rsid w:val="00D1707C"/>
    <w:rsid w:val="00D31B7B"/>
    <w:rsid w:val="00D92A72"/>
    <w:rsid w:val="00D94D07"/>
    <w:rsid w:val="00DA7526"/>
    <w:rsid w:val="00DF78FE"/>
    <w:rsid w:val="00E00450"/>
    <w:rsid w:val="00E63920"/>
    <w:rsid w:val="00E7219D"/>
    <w:rsid w:val="00E928E8"/>
    <w:rsid w:val="00E95366"/>
    <w:rsid w:val="00E96737"/>
    <w:rsid w:val="00EE16B2"/>
    <w:rsid w:val="00EF1EDB"/>
    <w:rsid w:val="00F21312"/>
    <w:rsid w:val="00F60FC2"/>
    <w:rsid w:val="00F85C6C"/>
    <w:rsid w:val="00F950F2"/>
    <w:rsid w:val="00FC6F2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260B"/>
  <w15:docId w15:val="{DE4D0461-43C8-4E6F-ACEA-9747CE88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652B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table" w:styleId="TableGrid">
    <w:name w:val="Table Grid"/>
    <w:basedOn w:val="TableNormal"/>
    <w:rsid w:val="00A30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29"/>
    <w:pPr>
      <w:widowControl/>
      <w:suppressAutoHyphens/>
      <w:spacing w:after="0" w:line="240" w:lineRule="auto"/>
      <w:ind w:left="720"/>
    </w:pPr>
    <w:rPr>
      <w:rFonts w:ascii="Times New Roman" w:eastAsia="Times New Roman" w:hAnsi="Times New Roman"/>
      <w:sz w:val="24"/>
      <w:szCs w:val="24"/>
      <w:lang w:eastAsia="zh-CN"/>
    </w:rPr>
  </w:style>
  <w:style w:type="paragraph" w:styleId="FootnoteText">
    <w:name w:val="footnote text"/>
    <w:aliases w:val="Footnote,Fußnote"/>
    <w:basedOn w:val="Normal"/>
    <w:link w:val="FootnoteTextChar"/>
    <w:rsid w:val="00A30829"/>
    <w:pPr>
      <w:widowControl/>
      <w:suppressAutoHyphens/>
      <w:spacing w:after="0" w:line="240" w:lineRule="auto"/>
    </w:pPr>
    <w:rPr>
      <w:rFonts w:ascii="Times New Roman" w:eastAsia="Times New Roman" w:hAnsi="Times New Roman"/>
      <w:sz w:val="20"/>
      <w:szCs w:val="20"/>
      <w:lang w:eastAsia="zh-CN"/>
    </w:rPr>
  </w:style>
  <w:style w:type="character" w:customStyle="1" w:styleId="FootnoteTextChar">
    <w:name w:val="Footnote Text Char"/>
    <w:aliases w:val="Footnote Char,Fußnote Char"/>
    <w:basedOn w:val="DefaultParagraphFont"/>
    <w:link w:val="FootnoteText"/>
    <w:rsid w:val="00A30829"/>
    <w:rPr>
      <w:rFonts w:ascii="Times New Roman" w:eastAsia="Times New Roman" w:hAnsi="Times New Roman"/>
      <w:lang w:eastAsia="zh-CN"/>
    </w:rPr>
  </w:style>
  <w:style w:type="paragraph" w:styleId="Title">
    <w:name w:val="Title"/>
    <w:basedOn w:val="Normal"/>
    <w:link w:val="TitleChar"/>
    <w:qFormat/>
    <w:rsid w:val="00A30829"/>
    <w:pPr>
      <w:widowControl/>
      <w:spacing w:after="0" w:line="240" w:lineRule="auto"/>
      <w:jc w:val="center"/>
    </w:pPr>
    <w:rPr>
      <w:rFonts w:ascii="Times New Roman" w:eastAsia="Times New Roman" w:hAnsi="Times New Roman"/>
      <w:sz w:val="28"/>
      <w:szCs w:val="28"/>
      <w:lang w:eastAsia="lv-LV"/>
    </w:rPr>
  </w:style>
  <w:style w:type="character" w:customStyle="1" w:styleId="TitleChar">
    <w:name w:val="Title Char"/>
    <w:basedOn w:val="DefaultParagraphFont"/>
    <w:link w:val="Title"/>
    <w:rsid w:val="00A30829"/>
    <w:rPr>
      <w:rFonts w:ascii="Times New Roman" w:eastAsia="Times New Roman" w:hAnsi="Times New Roman"/>
      <w:sz w:val="28"/>
      <w:szCs w:val="28"/>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unhideWhenUsed/>
    <w:rsid w:val="00A30829"/>
    <w:rPr>
      <w:vertAlign w:val="superscript"/>
    </w:rPr>
  </w:style>
  <w:style w:type="character" w:customStyle="1" w:styleId="Internetasaite">
    <w:name w:val="Interneta saite"/>
    <w:rsid w:val="00A30829"/>
    <w:rPr>
      <w:color w:val="0000FF"/>
      <w:u w:val="single"/>
    </w:rPr>
  </w:style>
  <w:style w:type="paragraph" w:styleId="NormalWeb">
    <w:name w:val="Normal (Web)"/>
    <w:basedOn w:val="Normal"/>
    <w:uiPriority w:val="99"/>
    <w:unhideWhenUsed/>
    <w:rsid w:val="00A30829"/>
    <w:pPr>
      <w:widowControl/>
      <w:spacing w:before="100" w:beforeAutospacing="1" w:after="100" w:afterAutospacing="1" w:line="240" w:lineRule="auto"/>
    </w:pPr>
    <w:rPr>
      <w:rFonts w:ascii="Times New Roman" w:eastAsiaTheme="minorHAnsi" w:hAnsi="Times New Roman"/>
      <w:color w:val="000000"/>
      <w:sz w:val="24"/>
      <w:szCs w:val="24"/>
      <w:lang w:eastAsia="lv-LV"/>
    </w:rPr>
  </w:style>
  <w:style w:type="character" w:customStyle="1" w:styleId="UnresolvedMention1">
    <w:name w:val="Unresolved Mention1"/>
    <w:basedOn w:val="DefaultParagraphFont"/>
    <w:uiPriority w:val="99"/>
    <w:semiHidden/>
    <w:unhideWhenUsed/>
    <w:rsid w:val="00D94D07"/>
    <w:rPr>
      <w:color w:val="605E5C"/>
      <w:shd w:val="clear" w:color="auto" w:fill="E1DFDD"/>
    </w:rPr>
  </w:style>
  <w:style w:type="character" w:styleId="CommentReference">
    <w:name w:val="annotation reference"/>
    <w:basedOn w:val="DefaultParagraphFont"/>
    <w:uiPriority w:val="99"/>
    <w:semiHidden/>
    <w:unhideWhenUsed/>
    <w:rsid w:val="008C5045"/>
    <w:rPr>
      <w:sz w:val="16"/>
      <w:szCs w:val="16"/>
    </w:rPr>
  </w:style>
  <w:style w:type="paragraph" w:styleId="CommentText">
    <w:name w:val="annotation text"/>
    <w:basedOn w:val="Normal"/>
    <w:link w:val="CommentTextChar"/>
    <w:uiPriority w:val="99"/>
    <w:semiHidden/>
    <w:unhideWhenUsed/>
    <w:rsid w:val="008C5045"/>
    <w:pPr>
      <w:spacing w:line="240" w:lineRule="auto"/>
    </w:pPr>
    <w:rPr>
      <w:sz w:val="20"/>
      <w:szCs w:val="20"/>
    </w:rPr>
  </w:style>
  <w:style w:type="character" w:customStyle="1" w:styleId="CommentTextChar">
    <w:name w:val="Comment Text Char"/>
    <w:basedOn w:val="DefaultParagraphFont"/>
    <w:link w:val="CommentText"/>
    <w:uiPriority w:val="99"/>
    <w:semiHidden/>
    <w:rsid w:val="008C5045"/>
    <w:rPr>
      <w:lang w:eastAsia="en-US"/>
    </w:rPr>
  </w:style>
  <w:style w:type="paragraph" w:styleId="CommentSubject">
    <w:name w:val="annotation subject"/>
    <w:basedOn w:val="CommentText"/>
    <w:next w:val="CommentText"/>
    <w:link w:val="CommentSubjectChar"/>
    <w:uiPriority w:val="99"/>
    <w:semiHidden/>
    <w:unhideWhenUsed/>
    <w:rsid w:val="008C5045"/>
    <w:rPr>
      <w:b/>
      <w:bCs/>
    </w:rPr>
  </w:style>
  <w:style w:type="character" w:customStyle="1" w:styleId="CommentSubjectChar">
    <w:name w:val="Comment Subject Char"/>
    <w:basedOn w:val="CommentTextChar"/>
    <w:link w:val="CommentSubject"/>
    <w:uiPriority w:val="99"/>
    <w:semiHidden/>
    <w:rsid w:val="008C5045"/>
    <w:rPr>
      <w:b/>
      <w:bCs/>
      <w:lang w:eastAsia="en-US"/>
    </w:rPr>
  </w:style>
  <w:style w:type="character" w:styleId="FollowedHyperlink">
    <w:name w:val="FollowedHyperlink"/>
    <w:basedOn w:val="DefaultParagraphFont"/>
    <w:uiPriority w:val="99"/>
    <w:semiHidden/>
    <w:unhideWhenUsed/>
    <w:rsid w:val="008C5045"/>
    <w:rPr>
      <w:color w:val="800080" w:themeColor="followedHyperlink"/>
      <w:u w:val="single"/>
    </w:rPr>
  </w:style>
  <w:style w:type="character" w:styleId="UnresolvedMention">
    <w:name w:val="Unresolved Mention"/>
    <w:basedOn w:val="DefaultParagraphFont"/>
    <w:uiPriority w:val="99"/>
    <w:semiHidden/>
    <w:unhideWhenUsed/>
    <w:rsid w:val="00652BE7"/>
    <w:rPr>
      <w:color w:val="605E5C"/>
      <w:shd w:val="clear" w:color="auto" w:fill="E1DFDD"/>
    </w:rPr>
  </w:style>
  <w:style w:type="character" w:customStyle="1" w:styleId="Heading1Char">
    <w:name w:val="Heading 1 Char"/>
    <w:basedOn w:val="DefaultParagraphFont"/>
    <w:link w:val="Heading1"/>
    <w:uiPriority w:val="9"/>
    <w:rsid w:val="00652BE7"/>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652BE7"/>
    <w:pPr>
      <w:widowControl/>
      <w:spacing w:line="259" w:lineRule="auto"/>
      <w:outlineLvl w:val="9"/>
    </w:pPr>
    <w:rPr>
      <w:lang w:eastAsia="lv-LV"/>
    </w:rPr>
  </w:style>
  <w:style w:type="paragraph" w:styleId="TOC1">
    <w:name w:val="toc 1"/>
    <w:basedOn w:val="Normal"/>
    <w:next w:val="Normal"/>
    <w:autoRedefine/>
    <w:uiPriority w:val="39"/>
    <w:unhideWhenUsed/>
    <w:rsid w:val="00652B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690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345597022">
          <w:marLeft w:val="0"/>
          <w:marRight w:val="0"/>
          <w:marTop w:val="0"/>
          <w:marBottom w:val="0"/>
          <w:divBdr>
            <w:top w:val="none" w:sz="0" w:space="0" w:color="auto"/>
            <w:left w:val="none" w:sz="0" w:space="0" w:color="auto"/>
            <w:bottom w:val="none" w:sz="0" w:space="0" w:color="auto"/>
            <w:right w:val="none" w:sz="0" w:space="0" w:color="auto"/>
          </w:divBdr>
          <w:divsChild>
            <w:div w:id="528761838">
              <w:marLeft w:val="0"/>
              <w:marRight w:val="0"/>
              <w:marTop w:val="0"/>
              <w:marBottom w:val="0"/>
              <w:divBdr>
                <w:top w:val="none" w:sz="0" w:space="0" w:color="auto"/>
                <w:left w:val="none" w:sz="0" w:space="0" w:color="auto"/>
                <w:bottom w:val="none" w:sz="0" w:space="0" w:color="auto"/>
                <w:right w:val="none" w:sz="0" w:space="0" w:color="auto"/>
              </w:divBdr>
              <w:divsChild>
                <w:div w:id="1165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olatvij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dataportal.eu/en/dashboard" TargetMode="External"/><Relationship Id="rId13" Type="http://schemas.openxmlformats.org/officeDocument/2006/relationships/hyperlink" Target="https://registri.pvd.gov.lv/" TargetMode="External"/><Relationship Id="rId3" Type="http://schemas.openxmlformats.org/officeDocument/2006/relationships/hyperlink" Target="https://eur-lex.europa.eu/legal-content/LV/TXT/HTML/?uri=CELEX:52011DC0882&amp;from=EN" TargetMode="External"/><Relationship Id="rId7" Type="http://schemas.openxmlformats.org/officeDocument/2006/relationships/hyperlink" Target="http://vas.gov.lv/lv/box/images/Bezmaksas_pasaakumi/U%20proj.pdf" TargetMode="External"/><Relationship Id="rId12" Type="http://schemas.openxmlformats.org/officeDocument/2006/relationships/hyperlink" Target="https://www.vid.gov.lv/lv/statistika/nozaru-statistika" TargetMode="External"/><Relationship Id="rId2" Type="http://schemas.openxmlformats.org/officeDocument/2006/relationships/hyperlink" Target="https://eur-lex.europa.eu/legal-content/LV/TXT/?qid=1572337629116&amp;uri=CELEX:32019L1024" TargetMode="External"/><Relationship Id="rId1" Type="http://schemas.openxmlformats.org/officeDocument/2006/relationships/hyperlink" Target="http://opendatacharter.net/principles/" TargetMode="External"/><Relationship Id="rId6" Type="http://schemas.openxmlformats.org/officeDocument/2006/relationships/hyperlink" Target="https://opendata.riga.lv/sakums-112.html" TargetMode="External"/><Relationship Id="rId11" Type="http://schemas.openxmlformats.org/officeDocument/2006/relationships/hyperlink" Target="https://likumi.lv/doc.php?id=2825" TargetMode="External"/><Relationship Id="rId5" Type="http://schemas.openxmlformats.org/officeDocument/2006/relationships/hyperlink" Target="https://www.ur.gov.lv/lv/specializeta-informacija/atvertie-dati/" TargetMode="External"/><Relationship Id="rId10" Type="http://schemas.openxmlformats.org/officeDocument/2006/relationships/hyperlink" Target="http://tap.mk.gov.lv/lv/mk/tap/?pid=40460016&amp;mode=mk&amp;date=2019-04-02" TargetMode="External"/><Relationship Id="rId4" Type="http://schemas.openxmlformats.org/officeDocument/2006/relationships/hyperlink" Target="http://open.iub.gov.lv/" TargetMode="External"/><Relationship Id="rId9" Type="http://schemas.openxmlformats.org/officeDocument/2006/relationships/hyperlink" Target="http://tap.mk.gov.lv/lv/mk/tap/?pid=40472319&amp;mode=mk&amp;date=2019-08-20" TargetMode="External"/><Relationship Id="rId14" Type="http://schemas.openxmlformats.org/officeDocument/2006/relationships/hyperlink" Target="https://data.gov.lv/dati/lv/dataset?organization=partikas-un-veterinarais-dienests&amp;q=p%C4%81rtik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FB00-583F-4AAC-AD92-7874D3A5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20880</Words>
  <Characters>11903</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dc:description/>
  <cp:lastModifiedBy>Mikus Jēkabsons</cp:lastModifiedBy>
  <cp:revision>6</cp:revision>
  <cp:lastPrinted>2019-11-08T12:58:00Z</cp:lastPrinted>
  <dcterms:created xsi:type="dcterms:W3CDTF">2019-12-02T21:04:00Z</dcterms:created>
  <dcterms:modified xsi:type="dcterms:W3CDTF">2019-12-03T07:28:00Z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