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Default="0021587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266863" w:rsidRPr="00266863">
        <w:rPr>
          <w:rFonts w:ascii="Times New Roman" w:eastAsia="Times New Roman" w:hAnsi="Times New Roman" w:cs="Times New Roman"/>
          <w:b/>
          <w:bCs/>
          <w:color w:val="414142"/>
          <w:sz w:val="28"/>
          <w:szCs w:val="24"/>
          <w:lang w:eastAsia="lv-LV"/>
        </w:rPr>
        <w:t>Bērnu psihoneiroloģiskā slimnīca “Ainaži”</w:t>
      </w:r>
      <w:r w:rsidR="004436D2" w:rsidRPr="00B57C6C">
        <w:rPr>
          <w:rFonts w:ascii="Times New Roman" w:eastAsia="Times New Roman" w:hAnsi="Times New Roman" w:cs="Times New Roman"/>
          <w:b/>
          <w:bCs/>
          <w:color w:val="414142"/>
          <w:sz w:val="28"/>
          <w:szCs w:val="24"/>
          <w:lang w:eastAsia="lv-LV"/>
        </w:rPr>
        <w:t xml:space="preserve">” </w:t>
      </w:r>
      <w:r w:rsidR="00F71D29" w:rsidRPr="00F71D29">
        <w:rPr>
          <w:rFonts w:ascii="Times New Roman" w:eastAsia="Times New Roman" w:hAnsi="Times New Roman" w:cs="Times New Roman"/>
          <w:b/>
          <w:bCs/>
          <w:color w:val="414142"/>
          <w:sz w:val="28"/>
          <w:szCs w:val="24"/>
          <w:lang w:eastAsia="lv-LV"/>
        </w:rPr>
        <w:t>valstij dividendēs izmaksājamo peļņas daļu</w:t>
      </w:r>
      <w:r w:rsidR="004436D2" w:rsidRPr="00B57C6C">
        <w:rPr>
          <w:rFonts w:ascii="Times New Roman" w:eastAsia="Times New Roman" w:hAnsi="Times New Roman" w:cs="Times New Roman"/>
          <w:b/>
          <w:bCs/>
          <w:color w:val="414142"/>
          <w:sz w:val="28"/>
          <w:szCs w:val="24"/>
          <w:lang w:eastAsia="lv-LV"/>
        </w:rPr>
        <w:t xml:space="preserve"> </w:t>
      </w:r>
      <w:r w:rsidR="00894C55" w:rsidRPr="00B57C6C">
        <w:rPr>
          <w:rFonts w:ascii="Times New Roman" w:eastAsia="Times New Roman" w:hAnsi="Times New Roman" w:cs="Times New Roman"/>
          <w:b/>
          <w:bCs/>
          <w:color w:val="414142"/>
          <w:sz w:val="28"/>
          <w:szCs w:val="24"/>
          <w:lang w:eastAsia="lv-LV"/>
        </w:rPr>
        <w:t>(anotācija)</w:t>
      </w:r>
    </w:p>
    <w:p w:rsidR="004A183C" w:rsidRPr="00B57C6C" w:rsidRDefault="004A183C"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5"/>
        <w:gridCol w:w="5390"/>
      </w:tblGrid>
      <w:tr w:rsidR="00A67C3C" w:rsidRPr="00B57C6C" w:rsidTr="00A67C3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A67C3C" w:rsidRPr="00B57C6C" w:rsidRDefault="00A67C3C"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A67C3C" w:rsidRPr="00B57C6C" w:rsidTr="00F57566">
        <w:trPr>
          <w:tblCellSpacing w:w="15" w:type="dxa"/>
        </w:trPr>
        <w:tc>
          <w:tcPr>
            <w:tcW w:w="2006" w:type="pct"/>
            <w:tcBorders>
              <w:top w:val="outset" w:sz="6" w:space="0" w:color="auto"/>
              <w:left w:val="outset" w:sz="6" w:space="0" w:color="auto"/>
              <w:bottom w:val="outset" w:sz="6" w:space="0" w:color="auto"/>
              <w:right w:val="outset" w:sz="6" w:space="0" w:color="auto"/>
            </w:tcBorders>
            <w:hideMark/>
          </w:tcPr>
          <w:p w:rsidR="00A67C3C" w:rsidRPr="00F86EC8" w:rsidRDefault="00A67C3C" w:rsidP="00E5323B">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0" w:name="_Hlk503445550"/>
            <w:r w:rsidRPr="00F86EC8">
              <w:rPr>
                <w:rFonts w:ascii="Times New Roman" w:eastAsia="Times New Roman" w:hAnsi="Times New Roman" w:cs="Times New Roman"/>
                <w:iCs/>
                <w:sz w:val="24"/>
                <w:szCs w:val="24"/>
                <w:lang w:eastAsia="lv-LV"/>
              </w:rPr>
              <w:t>risinājums</w:t>
            </w:r>
            <w:bookmarkEnd w:id="0"/>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44" w:type="pct"/>
            <w:tcBorders>
              <w:top w:val="outset" w:sz="6" w:space="0" w:color="auto"/>
              <w:left w:val="outset" w:sz="6" w:space="0" w:color="auto"/>
              <w:bottom w:val="outset" w:sz="6" w:space="0" w:color="auto"/>
              <w:right w:val="outset" w:sz="6" w:space="0" w:color="auto"/>
            </w:tcBorders>
            <w:hideMark/>
          </w:tcPr>
          <w:p w:rsidR="00A67C3C" w:rsidRDefault="00A67C3C" w:rsidP="000E3E70">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Projekts sagatavots, lai noteiktu </w:t>
            </w:r>
            <w:r>
              <w:rPr>
                <w:rFonts w:ascii="Times New Roman" w:eastAsia="Times New Roman" w:hAnsi="Times New Roman" w:cs="Times New Roman"/>
                <w:iCs/>
                <w:sz w:val="24"/>
                <w:szCs w:val="24"/>
                <w:lang w:eastAsia="lv-LV"/>
              </w:rPr>
              <w:t>VSIA</w:t>
            </w:r>
            <w:r w:rsidRPr="000B312A">
              <w:rPr>
                <w:rFonts w:ascii="Times New Roman" w:eastAsia="Times New Roman" w:hAnsi="Times New Roman" w:cs="Times New Roman"/>
                <w:iCs/>
                <w:sz w:val="24"/>
                <w:szCs w:val="24"/>
                <w:lang w:eastAsia="lv-LV"/>
              </w:rPr>
              <w:t xml:space="preserve"> “</w:t>
            </w:r>
            <w:r w:rsidRPr="00266863">
              <w:rPr>
                <w:rFonts w:ascii="Times New Roman" w:eastAsia="Times New Roman" w:hAnsi="Times New Roman" w:cs="Times New Roman"/>
                <w:iCs/>
                <w:sz w:val="24"/>
                <w:szCs w:val="24"/>
                <w:lang w:eastAsia="lv-LV"/>
              </w:rPr>
              <w:t>Bērnu psihoneiroloģiskā slimnīca “Ainaži”</w:t>
            </w:r>
            <w:r w:rsidRPr="000B312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(turpmāk – kapitālsabiedrība) atšķirīgu dividendēs izmaksājamo peļņas daļu 0 procentu apmērā</w:t>
            </w:r>
            <w:r w:rsidRPr="00B57C6C">
              <w:rPr>
                <w:rFonts w:ascii="Times New Roman" w:eastAsia="Times New Roman" w:hAnsi="Times New Roman" w:cs="Times New Roman"/>
                <w:iCs/>
                <w:sz w:val="24"/>
                <w:szCs w:val="24"/>
                <w:lang w:eastAsia="lv-LV"/>
              </w:rPr>
              <w:t>.</w:t>
            </w:r>
          </w:p>
          <w:p w:rsidR="00A67C3C" w:rsidRDefault="00A67C3C" w:rsidP="000E3E70">
            <w:pPr>
              <w:spacing w:after="0" w:line="240" w:lineRule="auto"/>
              <w:jc w:val="both"/>
              <w:rPr>
                <w:rFonts w:ascii="Times New Roman" w:hAnsi="Times New Roman" w:cs="Times New Roman"/>
                <w:sz w:val="24"/>
                <w:szCs w:val="24"/>
              </w:rPr>
            </w:pPr>
            <w:r w:rsidRPr="00D97EB4">
              <w:rPr>
                <w:rFonts w:ascii="Times New Roman" w:eastAsia="Times New Roman" w:hAnsi="Times New Roman" w:cs="Times New Roman"/>
                <w:iCs/>
                <w:sz w:val="24"/>
                <w:szCs w:val="24"/>
                <w:lang w:eastAsia="lv-LV"/>
              </w:rPr>
              <w:t>Kapitālsabiedrībai dividendēs izmaksājamā</w:t>
            </w:r>
            <w:r w:rsidRPr="000B312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peļņas daļa </w:t>
            </w:r>
            <w:r w:rsidRPr="00B57C6C">
              <w:rPr>
                <w:rFonts w:ascii="Times New Roman" w:hAnsi="Times New Roman" w:cs="Times New Roman"/>
                <w:sz w:val="24"/>
                <w:szCs w:val="24"/>
              </w:rPr>
              <w:t>par 201</w:t>
            </w:r>
            <w:r>
              <w:rPr>
                <w:rFonts w:ascii="Times New Roman" w:hAnsi="Times New Roman" w:cs="Times New Roman"/>
                <w:sz w:val="24"/>
                <w:szCs w:val="24"/>
              </w:rPr>
              <w:t>9</w:t>
            </w:r>
            <w:r w:rsidRPr="00B57C6C">
              <w:rPr>
                <w:rFonts w:ascii="Times New Roman" w:hAnsi="Times New Roman" w:cs="Times New Roman"/>
                <w:sz w:val="24"/>
                <w:szCs w:val="24"/>
              </w:rPr>
              <w:t>.-20</w:t>
            </w:r>
            <w:r>
              <w:rPr>
                <w:rFonts w:ascii="Times New Roman" w:hAnsi="Times New Roman" w:cs="Times New Roman"/>
                <w:sz w:val="24"/>
                <w:szCs w:val="24"/>
              </w:rPr>
              <w:t>21</w:t>
            </w:r>
            <w:r w:rsidRPr="00B57C6C">
              <w:rPr>
                <w:rFonts w:ascii="Times New Roman" w:hAnsi="Times New Roman" w:cs="Times New Roman"/>
                <w:sz w:val="24"/>
                <w:szCs w:val="24"/>
              </w:rPr>
              <w:t>.gadu</w:t>
            </w:r>
            <w:r>
              <w:rPr>
                <w:rFonts w:ascii="Times New Roman" w:eastAsia="Times New Roman" w:hAnsi="Times New Roman" w:cs="Times New Roman"/>
                <w:iCs/>
                <w:sz w:val="24"/>
                <w:szCs w:val="24"/>
                <w:lang w:eastAsia="lv-LV"/>
              </w:rPr>
              <w:t xml:space="preserve"> tiek noteikta</w:t>
            </w:r>
            <w:r w:rsidRPr="00164379">
              <w:rPr>
                <w:rFonts w:ascii="Times New Roman" w:eastAsia="Times New Roman" w:hAnsi="Times New Roman" w:cs="Times New Roman"/>
                <w:iCs/>
                <w:sz w:val="24"/>
                <w:szCs w:val="24"/>
                <w:lang w:eastAsia="lv-LV"/>
              </w:rPr>
              <w:t xml:space="preserve"> 0 procentu apmērā</w:t>
            </w:r>
            <w:r w:rsidRPr="000B312A">
              <w:rPr>
                <w:rFonts w:ascii="Times New Roman" w:eastAsia="Times New Roman" w:hAnsi="Times New Roman" w:cs="Times New Roman"/>
                <w:iCs/>
                <w:sz w:val="24"/>
                <w:szCs w:val="24"/>
                <w:lang w:eastAsia="lv-LV"/>
              </w:rPr>
              <w:t>.</w:t>
            </w:r>
          </w:p>
          <w:p w:rsidR="00A67C3C" w:rsidRPr="00164379" w:rsidRDefault="00A67C3C" w:rsidP="000E3E7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Rīkojums stājas spēkā pēc apstiprināšanas.</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F71D29">
              <w:rPr>
                <w:rFonts w:ascii="Times New Roman" w:eastAsia="Times New Roman" w:hAnsi="Times New Roman" w:cs="Times New Roman"/>
                <w:iCs/>
                <w:sz w:val="24"/>
                <w:szCs w:val="24"/>
                <w:lang w:eastAsia="lv-LV"/>
              </w:rPr>
              <w:t>“</w:t>
            </w:r>
            <w:r w:rsidR="00266863" w:rsidRPr="00266863">
              <w:rPr>
                <w:rFonts w:ascii="Times New Roman" w:eastAsia="Times New Roman" w:hAnsi="Times New Roman" w:cs="Times New Roman"/>
                <w:iCs/>
                <w:sz w:val="24"/>
                <w:szCs w:val="24"/>
                <w:lang w:eastAsia="lv-LV"/>
              </w:rPr>
              <w:t>Bērnu psihoneiroloģiskā slimnīca “Ainaži”</w:t>
            </w:r>
            <w:r w:rsidRPr="00B57C6C">
              <w:rPr>
                <w:rFonts w:ascii="Times New Roman" w:eastAsia="Times New Roman" w:hAnsi="Times New Roman" w:cs="Times New Roman"/>
                <w:iCs/>
                <w:sz w:val="24"/>
                <w:szCs w:val="24"/>
                <w:lang w:eastAsia="lv-LV"/>
              </w:rPr>
              <w:t>” valstij dividendēs izmaksājamo peļņas daļu” (turpmāk – Projekts) sagatavots saskaņā ar Likuma par budžetu un finanšu vadību 5.panta otro daļu, Publiskas personas kapitāla daļu un kapitālsabiedrību pārvaldības likuma 28.panta pirmo</w:t>
            </w:r>
            <w:r w:rsidR="00215876">
              <w:rPr>
                <w:rFonts w:ascii="Times New Roman" w:eastAsia="Times New Roman" w:hAnsi="Times New Roman" w:cs="Times New Roman"/>
                <w:iCs/>
                <w:sz w:val="24"/>
                <w:szCs w:val="24"/>
                <w:lang w:eastAsia="lv-LV"/>
              </w:rPr>
              <w:t xml:space="preserve"> un ceturto</w:t>
            </w:r>
            <w:r w:rsidRPr="00B57C6C">
              <w:rPr>
                <w:rFonts w:ascii="Times New Roman" w:eastAsia="Times New Roman" w:hAnsi="Times New Roman" w:cs="Times New Roman"/>
                <w:iCs/>
                <w:sz w:val="24"/>
                <w:szCs w:val="24"/>
                <w:lang w:eastAsia="lv-LV"/>
              </w:rPr>
              <w:t xml:space="preserve"> daļu un </w:t>
            </w:r>
            <w:r w:rsidR="00F71D29">
              <w:rPr>
                <w:rFonts w:ascii="Times New Roman" w:eastAsia="Times New Roman" w:hAnsi="Times New Roman" w:cs="Times New Roman"/>
                <w:iCs/>
                <w:sz w:val="24"/>
                <w:szCs w:val="24"/>
                <w:lang w:eastAsia="lv-LV"/>
              </w:rPr>
              <w:t>Ministru kabineta</w:t>
            </w:r>
            <w:r w:rsidR="00D37012">
              <w:rPr>
                <w:rFonts w:ascii="Times New Roman" w:eastAsia="Times New Roman" w:hAnsi="Times New Roman" w:cs="Times New Roman"/>
                <w:iCs/>
                <w:sz w:val="24"/>
                <w:szCs w:val="24"/>
                <w:lang w:eastAsia="lv-LV"/>
              </w:rPr>
              <w:t xml:space="preserve"> 2015.gada 22.de</w:t>
            </w:r>
            <w:r w:rsidR="00882F13">
              <w:rPr>
                <w:rFonts w:ascii="Times New Roman" w:eastAsia="Times New Roman" w:hAnsi="Times New Roman" w:cs="Times New Roman"/>
                <w:iCs/>
                <w:sz w:val="24"/>
                <w:szCs w:val="24"/>
                <w:lang w:eastAsia="lv-LV"/>
              </w:rPr>
              <w:t>c</w:t>
            </w:r>
            <w:r w:rsidR="00D37012">
              <w:rPr>
                <w:rFonts w:ascii="Times New Roman" w:eastAsia="Times New Roman" w:hAnsi="Times New Roman" w:cs="Times New Roman"/>
                <w:iCs/>
                <w:sz w:val="24"/>
                <w:szCs w:val="24"/>
                <w:lang w:eastAsia="lv-LV"/>
              </w:rPr>
              <w:t>embra</w:t>
            </w:r>
            <w:r w:rsidR="00F71D29">
              <w:rPr>
                <w:rFonts w:ascii="Times New Roman" w:eastAsia="Times New Roman" w:hAnsi="Times New Roman" w:cs="Times New Roman"/>
                <w:iCs/>
                <w:sz w:val="24"/>
                <w:szCs w:val="24"/>
                <w:lang w:eastAsia="lv-LV"/>
              </w:rPr>
              <w:t xml:space="preserve"> n</w:t>
            </w:r>
            <w:r w:rsidRPr="00B57C6C">
              <w:rPr>
                <w:rFonts w:ascii="Times New Roman" w:eastAsia="Times New Roman" w:hAnsi="Times New Roman" w:cs="Times New Roman"/>
                <w:iCs/>
                <w:sz w:val="24"/>
                <w:szCs w:val="24"/>
                <w:lang w:eastAsia="lv-LV"/>
              </w:rPr>
              <w:t>oteikumu Nr.</w:t>
            </w:r>
            <w:r w:rsidR="00E47B82">
              <w:rPr>
                <w:rFonts w:ascii="Times New Roman" w:eastAsia="Times New Roman" w:hAnsi="Times New Roman" w:cs="Times New Roman"/>
                <w:iCs/>
                <w:sz w:val="24"/>
                <w:szCs w:val="24"/>
                <w:lang w:eastAsia="lv-LV"/>
              </w:rPr>
              <w:t>806</w:t>
            </w:r>
            <w:r w:rsidR="00D37012">
              <w:rPr>
                <w:rFonts w:ascii="Times New Roman" w:eastAsia="Times New Roman" w:hAnsi="Times New Roman" w:cs="Times New Roman"/>
                <w:iCs/>
                <w:sz w:val="24"/>
                <w:szCs w:val="24"/>
                <w:lang w:eastAsia="lv-LV"/>
              </w:rPr>
              <w:t xml:space="preserve"> “</w:t>
            </w:r>
            <w:r w:rsidR="00D37012" w:rsidRPr="00D37012">
              <w:rPr>
                <w:rFonts w:ascii="Times New Roman" w:eastAsia="Times New Roman" w:hAnsi="Times New Roman" w:cs="Times New Roman"/>
                <w:iCs/>
                <w:sz w:val="24"/>
                <w:szCs w:val="24"/>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D37012">
              <w:rPr>
                <w:rFonts w:ascii="Times New Roman" w:eastAsia="Times New Roman" w:hAnsi="Times New Roman" w:cs="Times New Roman"/>
                <w:iCs/>
                <w:sz w:val="24"/>
                <w:szCs w:val="24"/>
                <w:lang w:eastAsia="lv-LV"/>
              </w:rPr>
              <w:t>” (turpmāk – Noteikumi Nr.806)</w:t>
            </w:r>
            <w:r w:rsidR="00E47B82">
              <w:rPr>
                <w:rFonts w:ascii="Times New Roman" w:eastAsia="Times New Roman" w:hAnsi="Times New Roman" w:cs="Times New Roman"/>
                <w:iCs/>
                <w:sz w:val="24"/>
                <w:szCs w:val="24"/>
                <w:lang w:eastAsia="lv-LV"/>
              </w:rPr>
              <w:t xml:space="preserve"> </w:t>
            </w:r>
            <w:r w:rsidRPr="00B57C6C">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B57C6C">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B57C6C">
              <w:rPr>
                <w:rFonts w:ascii="Times New Roman" w:eastAsia="Times New Roman" w:hAnsi="Times New Roman" w:cs="Times New Roman"/>
                <w:iCs/>
                <w:color w:val="414142"/>
                <w:sz w:val="24"/>
                <w:szCs w:val="24"/>
                <w:lang w:eastAsia="lv-LV"/>
              </w:rPr>
              <w:t>mērķis</w:t>
            </w:r>
            <w:bookmarkEnd w:id="2"/>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266863" w:rsidRPr="00266863">
              <w:rPr>
                <w:rFonts w:ascii="Times New Roman" w:eastAsia="Times New Roman" w:hAnsi="Times New Roman" w:cs="Times New Roman"/>
                <w:iCs/>
                <w:sz w:val="24"/>
                <w:szCs w:val="24"/>
                <w:lang w:eastAsia="lv-LV"/>
              </w:rPr>
              <w:t>Bērnu psihoneiroloģiskā slimnīca “Ainaži”</w:t>
            </w:r>
            <w:r w:rsidRPr="001C4FFD">
              <w:rPr>
                <w:rFonts w:ascii="Times New Roman" w:eastAsia="Times New Roman" w:hAnsi="Times New Roman" w:cs="Times New Roman"/>
                <w:iCs/>
                <w:sz w:val="24"/>
                <w:szCs w:val="24"/>
                <w:lang w:eastAsia="lv-LV"/>
              </w:rPr>
              <w:t>” (turpmāk - kapitālsabiedrība) ir valsts kapitālsabiedrība, kurā 100 procentu kapitāla daļu turētāja ir Veselības ministrija.</w:t>
            </w:r>
          </w:p>
          <w:p w:rsidR="00A923A6" w:rsidRDefault="004436D2" w:rsidP="00A923A6">
            <w:pPr>
              <w:pStyle w:val="Default"/>
              <w:jc w:val="both"/>
              <w:rPr>
                <w:rFonts w:eastAsia="Times New Roman"/>
                <w:iCs/>
                <w:color w:val="auto"/>
                <w:lang w:eastAsia="lv-LV"/>
              </w:rPr>
            </w:pPr>
            <w:r w:rsidRPr="001C4FFD">
              <w:rPr>
                <w:rFonts w:eastAsia="Times New Roman"/>
                <w:iCs/>
                <w:color w:val="auto"/>
                <w:lang w:eastAsia="lv-LV"/>
              </w:rPr>
              <w:t>Kapitālsabiedrības vidēja termiņa darbības stratēģij</w:t>
            </w:r>
            <w:r w:rsidR="0017073A">
              <w:rPr>
                <w:rFonts w:eastAsia="Times New Roman"/>
                <w:iCs/>
                <w:color w:val="auto"/>
                <w:lang w:eastAsia="lv-LV"/>
              </w:rPr>
              <w:t>as projektā</w:t>
            </w:r>
            <w:r w:rsidRPr="001C4FFD">
              <w:rPr>
                <w:rFonts w:eastAsia="Times New Roman"/>
                <w:iCs/>
                <w:color w:val="auto"/>
                <w:lang w:eastAsia="lv-LV"/>
              </w:rPr>
              <w:t xml:space="preserve"> 201</w:t>
            </w:r>
            <w:r w:rsidR="000200EA">
              <w:rPr>
                <w:rFonts w:eastAsia="Times New Roman"/>
                <w:iCs/>
                <w:color w:val="auto"/>
                <w:lang w:eastAsia="lv-LV"/>
              </w:rPr>
              <w:t>9</w:t>
            </w:r>
            <w:r w:rsidRPr="001C4FFD">
              <w:rPr>
                <w:rFonts w:eastAsia="Times New Roman"/>
                <w:iCs/>
                <w:color w:val="auto"/>
                <w:lang w:eastAsia="lv-LV"/>
              </w:rPr>
              <w:t>.–202</w:t>
            </w:r>
            <w:r w:rsidR="00D37012">
              <w:rPr>
                <w:rFonts w:eastAsia="Times New Roman"/>
                <w:iCs/>
                <w:color w:val="auto"/>
                <w:lang w:eastAsia="lv-LV"/>
              </w:rPr>
              <w:t>2</w:t>
            </w:r>
            <w:r w:rsidRPr="001C4FFD">
              <w:rPr>
                <w:rFonts w:eastAsia="Times New Roman"/>
                <w:iCs/>
                <w:color w:val="auto"/>
                <w:lang w:eastAsia="lv-LV"/>
              </w:rPr>
              <w:t xml:space="preserve">.gadam </w:t>
            </w:r>
            <w:r w:rsidR="0017073A">
              <w:rPr>
                <w:rFonts w:eastAsia="Times New Roman"/>
                <w:iCs/>
                <w:color w:val="auto"/>
                <w:lang w:eastAsia="lv-LV"/>
              </w:rPr>
              <w:t>izvirzī</w:t>
            </w:r>
            <w:r w:rsidRPr="001C4FFD">
              <w:rPr>
                <w:rFonts w:eastAsia="Times New Roman"/>
                <w:iCs/>
                <w:color w:val="auto"/>
                <w:lang w:eastAsia="lv-LV"/>
              </w:rPr>
              <w:t xml:space="preserve">tais finanšu mērķis ir nodrošināt finansiāli stabilu uzņēmuma darbību, kura sasniegšanai izvirzīti tādi finanšu radītāji kā neto peļņa, kapitāla struktūra (pašu kapitāla īpatsvars), ilgtermiņa ieguldījumu (investīciju) apmērs, pamatdarbības neto naudas plūsma, valsts budžetā prognozējamās dividendes, kopējā likviditāte un pašu kapitāla atdeve (ROE).  Tā kā kapitālsabiedrības darbības stratēģiskais </w:t>
            </w:r>
            <w:r w:rsidRPr="001C4FFD">
              <w:rPr>
                <w:rFonts w:eastAsia="Times New Roman"/>
                <w:iCs/>
                <w:color w:val="auto"/>
                <w:lang w:eastAsia="lv-LV"/>
              </w:rPr>
              <w:lastRenderedPageBreak/>
              <w:t xml:space="preserve">mērķis nav peļņas gūšana, bet gan kvalitatīvu </w:t>
            </w:r>
            <w:r w:rsidR="00546703">
              <w:rPr>
                <w:rFonts w:eastAsia="Times New Roman"/>
                <w:iCs/>
                <w:color w:val="auto"/>
                <w:lang w:eastAsia="lv-LV"/>
              </w:rPr>
              <w:t>psihiskās</w:t>
            </w:r>
            <w:r w:rsidRPr="001C4FFD">
              <w:rPr>
                <w:rFonts w:eastAsia="Times New Roman"/>
                <w:iCs/>
                <w:color w:val="auto"/>
                <w:lang w:eastAsia="lv-LV"/>
              </w:rPr>
              <w:t xml:space="preserve"> veselības aprūpes pakalpojumu, kas ir pakalpojumi ar vispārēju tautsaimniecisku nozīmi, sniegšana atbilstoši Ministru kabineta 201</w:t>
            </w:r>
            <w:r w:rsidR="00D37012">
              <w:rPr>
                <w:rFonts w:eastAsia="Times New Roman"/>
                <w:iCs/>
                <w:color w:val="auto"/>
                <w:lang w:eastAsia="lv-LV"/>
              </w:rPr>
              <w:t>8</w:t>
            </w:r>
            <w:r w:rsidRPr="001C4FFD">
              <w:rPr>
                <w:rFonts w:eastAsia="Times New Roman"/>
                <w:iCs/>
                <w:color w:val="auto"/>
                <w:lang w:eastAsia="lv-LV"/>
              </w:rPr>
              <w:t xml:space="preserve">.gada </w:t>
            </w:r>
            <w:r w:rsidR="00D37012">
              <w:rPr>
                <w:rFonts w:eastAsia="Times New Roman"/>
                <w:iCs/>
                <w:color w:val="auto"/>
                <w:lang w:eastAsia="lv-LV"/>
              </w:rPr>
              <w:t>28</w:t>
            </w:r>
            <w:r w:rsidRPr="001C4FFD">
              <w:rPr>
                <w:rFonts w:eastAsia="Times New Roman"/>
                <w:iCs/>
                <w:color w:val="auto"/>
                <w:lang w:eastAsia="lv-LV"/>
              </w:rPr>
              <w:t>.</w:t>
            </w:r>
            <w:r w:rsidR="00D37012">
              <w:rPr>
                <w:rFonts w:eastAsia="Times New Roman"/>
                <w:iCs/>
                <w:color w:val="auto"/>
                <w:lang w:eastAsia="lv-LV"/>
              </w:rPr>
              <w:t>august</w:t>
            </w:r>
            <w:r w:rsidRPr="001C4FFD">
              <w:rPr>
                <w:rFonts w:eastAsia="Times New Roman"/>
                <w:iCs/>
                <w:color w:val="auto"/>
                <w:lang w:eastAsia="lv-LV"/>
              </w:rPr>
              <w:t>a noteikumiem Nr.</w:t>
            </w:r>
            <w:r w:rsidR="00D37012">
              <w:rPr>
                <w:rFonts w:eastAsia="Times New Roman"/>
                <w:iCs/>
                <w:color w:val="auto"/>
                <w:lang w:eastAsia="lv-LV"/>
              </w:rPr>
              <w:t>555</w:t>
            </w:r>
            <w:r w:rsidRPr="001C4FFD">
              <w:rPr>
                <w:rFonts w:eastAsia="Times New Roman"/>
                <w:iCs/>
                <w:color w:val="auto"/>
                <w:lang w:eastAsia="lv-LV"/>
              </w:rPr>
              <w:t xml:space="preserve"> “</w:t>
            </w:r>
            <w:r w:rsidR="00D37012" w:rsidRPr="00D37012">
              <w:rPr>
                <w:rFonts w:eastAsia="Times New Roman"/>
                <w:iCs/>
                <w:color w:val="auto"/>
                <w:lang w:eastAsia="lv-LV"/>
              </w:rPr>
              <w:t>Veselības aprūpes pakalpojumu organizēšanas un samaksas kārtība</w:t>
            </w:r>
            <w:r w:rsidRPr="001C4FFD">
              <w:rPr>
                <w:rFonts w:eastAsia="Times New Roman"/>
                <w:iCs/>
                <w:color w:val="auto"/>
                <w:lang w:eastAsia="lv-LV"/>
              </w:rPr>
              <w:t>”, kapitālsabiedrības ikgadējo prognozējamo dividendēs izmaksājamo peļņas daļu nepieciešams novirzīt stratēģiskā mērķa</w:t>
            </w:r>
            <w:r w:rsidR="00D449B1">
              <w:rPr>
                <w:rFonts w:eastAsia="Times New Roman"/>
                <w:iCs/>
                <w:color w:val="auto"/>
                <w:lang w:eastAsia="lv-LV"/>
              </w:rPr>
              <w:t xml:space="preserve"> - </w:t>
            </w:r>
            <w:r w:rsidR="00266863" w:rsidRPr="00266863">
              <w:rPr>
                <w:rFonts w:eastAsia="Times New Roman"/>
                <w:iCs/>
                <w:color w:val="auto"/>
                <w:lang w:eastAsia="lv-LV"/>
              </w:rPr>
              <w:t>saglabāt, uzlabot un atjaunot bērnu un jauniešu psihisko veselību, nodrošinot kvalitatīvu, efektīvu, uz pacientu vērstu psihiatrijas pakalpojumu sniegšanu ilgstoši slimojošiem Latvijas bērniem un jauniešiem</w:t>
            </w:r>
            <w:r w:rsidR="00573A7E">
              <w:rPr>
                <w:rFonts w:eastAsia="Times New Roman"/>
                <w:iCs/>
                <w:color w:val="auto"/>
                <w:lang w:eastAsia="lv-LV"/>
              </w:rPr>
              <w:t xml:space="preserve"> </w:t>
            </w:r>
            <w:r w:rsidR="00A923A6">
              <w:rPr>
                <w:rFonts w:eastAsia="Times New Roman"/>
                <w:iCs/>
                <w:color w:val="auto"/>
                <w:lang w:eastAsia="lv-LV"/>
              </w:rPr>
              <w:t>–</w:t>
            </w:r>
            <w:r w:rsidRPr="001C4FFD">
              <w:rPr>
                <w:rFonts w:eastAsia="Times New Roman"/>
                <w:iCs/>
                <w:color w:val="auto"/>
                <w:lang w:eastAsia="lv-LV"/>
              </w:rPr>
              <w:t xml:space="preserve"> sasniegšanai, </w:t>
            </w:r>
            <w:r w:rsidR="00266863" w:rsidRPr="00266863">
              <w:rPr>
                <w:rFonts w:eastAsia="Times New Roman"/>
                <w:iCs/>
                <w:color w:val="auto"/>
                <w:lang w:eastAsia="lv-LV"/>
              </w:rPr>
              <w:t>lai nodrošinātu ilgtermiņa attīstību un attiecīgi uzlabotu sniegto valsts apmaksāto veselības aprūpes pakalpojumu kvalitāti un pieejamību</w:t>
            </w:r>
            <w:r w:rsidRPr="001C4FFD">
              <w:rPr>
                <w:rFonts w:eastAsia="Times New Roman"/>
                <w:iCs/>
                <w:color w:val="auto"/>
                <w:lang w:eastAsia="lv-LV"/>
              </w:rPr>
              <w:t xml:space="preserve">. </w:t>
            </w:r>
          </w:p>
          <w:p w:rsidR="004436D2" w:rsidRPr="001C4FFD" w:rsidRDefault="004436D2" w:rsidP="00A923A6">
            <w:pPr>
              <w:pStyle w:val="Default"/>
              <w:jc w:val="both"/>
              <w:rPr>
                <w:rFonts w:eastAsia="Times New Roman"/>
                <w:iCs/>
                <w:lang w:eastAsia="lv-LV"/>
              </w:rPr>
            </w:pPr>
            <w:r w:rsidRPr="00882F13">
              <w:rPr>
                <w:rFonts w:eastAsia="Times New Roman"/>
                <w:iCs/>
                <w:lang w:eastAsia="lv-LV"/>
              </w:rPr>
              <w:t xml:space="preserve">Saskaņā ar likuma </w:t>
            </w:r>
            <w:r w:rsidR="00D37012" w:rsidRPr="00882F13">
              <w:rPr>
                <w:rFonts w:eastAsia="Times New Roman"/>
                <w:iCs/>
                <w:lang w:eastAsia="lv-LV"/>
              </w:rPr>
              <w:t>“</w:t>
            </w:r>
            <w:r w:rsidRPr="00882F13">
              <w:rPr>
                <w:rFonts w:eastAsia="Times New Roman"/>
                <w:iCs/>
                <w:lang w:eastAsia="lv-LV"/>
              </w:rPr>
              <w:t xml:space="preserve">Par vidēja termiņa budžeta ietvaru 2018., 2019. un 2020.gadam” 24.panta pirmo daļu minimālo dividendēs izmaksājamo peļņas daļu par 2019.gada pārskata gadu kapitālsabiedrībām, kurās visas kapitāla daļas tieši vai pastarpināti pieder valstij, </w:t>
            </w:r>
            <w:r w:rsidRPr="00882F13">
              <w:rPr>
                <w:rFonts w:eastAsia="Times New Roman"/>
                <w:iCs/>
                <w:color w:val="000000" w:themeColor="text1"/>
                <w:lang w:eastAsia="lv-LV"/>
              </w:rPr>
              <w:t>2020.gadā (par 2019.gada pārskata gadu)</w:t>
            </w:r>
            <w:r w:rsidRPr="00882F13">
              <w:rPr>
                <w:rFonts w:eastAsia="Times New Roman"/>
                <w:iCs/>
                <w:lang w:eastAsia="lv-LV"/>
              </w:rPr>
              <w:t xml:space="preserve"> </w:t>
            </w:r>
            <w:r w:rsidR="00513F01" w:rsidRPr="00513F01">
              <w:rPr>
                <w:rFonts w:eastAsia="Times New Roman"/>
                <w:iCs/>
                <w:lang w:eastAsia="lv-LV"/>
              </w:rPr>
              <w:t>nosaka un aprēķina</w:t>
            </w:r>
            <w:r w:rsidRPr="00882F13">
              <w:rPr>
                <w:rFonts w:eastAsia="Times New Roman"/>
                <w:iCs/>
                <w:lang w:eastAsia="lv-LV"/>
              </w:rPr>
              <w:t xml:space="preserve"> 50 procentu apmērā no attiecīgās kapitālsabiedrības tīrās peļņas.</w:t>
            </w:r>
          </w:p>
          <w:p w:rsidR="004436D2" w:rsidRDefault="004436D2" w:rsidP="006B140E">
            <w:pPr>
              <w:pStyle w:val="tv2132"/>
              <w:spacing w:line="240" w:lineRule="auto"/>
              <w:ind w:firstLine="0"/>
              <w:jc w:val="both"/>
              <w:rPr>
                <w:iCs/>
                <w:color w:val="auto"/>
                <w:sz w:val="24"/>
                <w:szCs w:val="24"/>
              </w:rPr>
            </w:pPr>
            <w:r w:rsidRPr="001C4FFD">
              <w:rPr>
                <w:iCs/>
                <w:color w:val="auto"/>
                <w:sz w:val="24"/>
                <w:szCs w:val="24"/>
              </w:rPr>
              <w:t xml:space="preserve">Likuma </w:t>
            </w:r>
            <w:r w:rsidR="003B04FD">
              <w:rPr>
                <w:iCs/>
                <w:color w:val="auto"/>
                <w:sz w:val="24"/>
                <w:szCs w:val="24"/>
              </w:rPr>
              <w:t>“</w:t>
            </w:r>
            <w:r w:rsidRPr="001C4FFD">
              <w:rPr>
                <w:iCs/>
                <w:color w:val="auto"/>
                <w:sz w:val="24"/>
                <w:szCs w:val="24"/>
              </w:rPr>
              <w:t>Par vidēja termiņa budžeta ietvaru 2018., 2019. un 2020.gadam” 24.panta trešā daļa nosaka, ka Ministru kabinets normatīvajos aktos noteiktajos gadījumos un kārtībā var pieņemt lēmumu par atšķirīgu dividendēs izmaksājamo minimālo peļņas daļu.</w:t>
            </w:r>
          </w:p>
          <w:p w:rsidR="00882F13" w:rsidRPr="001C4FFD" w:rsidRDefault="00882F13" w:rsidP="006B140E">
            <w:pPr>
              <w:pStyle w:val="tv2132"/>
              <w:spacing w:line="240" w:lineRule="auto"/>
              <w:ind w:firstLine="0"/>
              <w:jc w:val="both"/>
              <w:rPr>
                <w:iCs/>
                <w:color w:val="auto"/>
                <w:sz w:val="24"/>
                <w:szCs w:val="24"/>
              </w:rPr>
            </w:pPr>
            <w:r>
              <w:rPr>
                <w:iCs/>
                <w:color w:val="auto"/>
                <w:sz w:val="24"/>
                <w:szCs w:val="24"/>
              </w:rPr>
              <w:t xml:space="preserve">Noteikumu Nr.806 3.punkts nosaka, ka </w:t>
            </w:r>
            <w:r w:rsidR="00215876">
              <w:rPr>
                <w:iCs/>
                <w:color w:val="auto"/>
                <w:sz w:val="24"/>
                <w:szCs w:val="24"/>
              </w:rPr>
              <w:t>m</w:t>
            </w:r>
            <w:bookmarkStart w:id="3" w:name="_GoBack"/>
            <w:bookmarkEnd w:id="3"/>
            <w:r w:rsidRPr="00882F13">
              <w:rPr>
                <w:iCs/>
                <w:color w:val="auto"/>
                <w:sz w:val="24"/>
                <w:szCs w:val="24"/>
              </w:rPr>
              <w:t>inimālā prognozējamā peļņas daļa, kas izmaksājama dividendēs, un dividendēs izmaksājamā peļņas daļa ir 50 % no kapitālsabiedrības tīrās peļņas, ja atbilstoši šo noteikumu II nodaļai kapitālsabiedrības vidējā termiņa darbības stratēģijā nav noteikts citādi.</w:t>
            </w:r>
          </w:p>
          <w:p w:rsidR="004436D2" w:rsidRPr="001C4FFD" w:rsidRDefault="004436D2" w:rsidP="006B140E">
            <w:pPr>
              <w:pStyle w:val="tv2132"/>
              <w:spacing w:line="240" w:lineRule="auto"/>
              <w:ind w:firstLine="0"/>
              <w:jc w:val="both"/>
              <w:rPr>
                <w:iCs/>
                <w:color w:val="auto"/>
                <w:sz w:val="24"/>
                <w:szCs w:val="24"/>
              </w:rPr>
            </w:pPr>
            <w:r w:rsidRPr="001C4FFD">
              <w:rPr>
                <w:iCs/>
                <w:color w:val="auto"/>
                <w:sz w:val="24"/>
                <w:szCs w:val="24"/>
              </w:rPr>
              <w:t xml:space="preserve">Noteikumu Nr.806 </w:t>
            </w:r>
            <w:bookmarkStart w:id="4" w:name="p-575084"/>
            <w:bookmarkStart w:id="5" w:name="p5"/>
            <w:bookmarkEnd w:id="4"/>
            <w:bookmarkEnd w:id="5"/>
            <w:r w:rsidRPr="001C4FFD">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8" w:anchor="p3" w:tgtFrame="_blank" w:history="1">
              <w:r w:rsidRPr="001C4FFD">
                <w:rPr>
                  <w:iCs/>
                  <w:color w:val="auto"/>
                  <w:sz w:val="24"/>
                  <w:szCs w:val="24"/>
                </w:rPr>
                <w:t>3.punktā</w:t>
              </w:r>
            </w:hyperlink>
            <w:r w:rsidRPr="001C4FFD">
              <w:rPr>
                <w:iCs/>
                <w:color w:val="auto"/>
                <w:sz w:val="24"/>
                <w:szCs w:val="24"/>
              </w:rPr>
              <w:t xml:space="preserve"> vai citos tiesību aktos.</w:t>
            </w:r>
            <w:bookmarkStart w:id="6" w:name="p-575086"/>
            <w:bookmarkStart w:id="7" w:name="p6"/>
            <w:bookmarkEnd w:id="6"/>
            <w:bookmarkEnd w:id="7"/>
            <w:r w:rsidRPr="001C4FFD">
              <w:rPr>
                <w:iCs/>
                <w:color w:val="auto"/>
                <w:sz w:val="24"/>
                <w:szCs w:val="24"/>
              </w:rPr>
              <w:t xml:space="preserve"> Noteikumu Nr.806 6.punkts nosaka, ka valsts kapitāla daļu turētājs iesniedz Ministru kabinetā Noteikumu Nr.806 </w:t>
            </w:r>
            <w:hyperlink r:id="rId9" w:anchor="p5" w:tgtFrame="_blank" w:history="1">
              <w:r w:rsidRPr="001C4FFD">
                <w:rPr>
                  <w:iCs/>
                  <w:color w:val="auto"/>
                  <w:sz w:val="24"/>
                  <w:szCs w:val="24"/>
                </w:rPr>
                <w:t>5.punktā</w:t>
              </w:r>
            </w:hyperlink>
            <w:r w:rsidRPr="001C4FFD">
              <w:rPr>
                <w:iCs/>
                <w:color w:val="auto"/>
                <w:sz w:val="24"/>
                <w:szCs w:val="24"/>
              </w:rPr>
              <w:t xml:space="preserve"> minēto priekšlikumu, attiecīgu Ministru kabineta rīkojuma projektu un sākotnējās ietekmes novērtējuma ziņojumu (anotāciju).</w:t>
            </w:r>
          </w:p>
          <w:p w:rsidR="00BF3A4E" w:rsidRPr="001C4FFD"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DE05C4">
              <w:rPr>
                <w:rFonts w:ascii="Times New Roman" w:eastAsia="Times New Roman" w:hAnsi="Times New Roman" w:cs="Times New Roman"/>
                <w:iCs/>
                <w:sz w:val="24"/>
                <w:szCs w:val="24"/>
                <w:lang w:eastAsia="lv-LV"/>
              </w:rPr>
              <w:t>psihiskās</w:t>
            </w:r>
            <w:r w:rsidRPr="001C4FFD">
              <w:rPr>
                <w:rFonts w:ascii="Times New Roman" w:eastAsia="Times New Roman" w:hAnsi="Times New Roman" w:cs="Times New Roman"/>
                <w:iCs/>
                <w:sz w:val="24"/>
                <w:szCs w:val="24"/>
                <w:lang w:eastAsia="lv-LV"/>
              </w:rPr>
              <w:t xml:space="preserve"> veselības aprūpes pakalpojumu kvalitāti un attiecīgi sasniegtu izvirzīto stratēģisko mērķi, Veselības ministrija, kā kapitāla daļu turētājs, ierosina </w:t>
            </w:r>
            <w:r w:rsidRPr="001C4FFD">
              <w:rPr>
                <w:rFonts w:ascii="Times New Roman" w:eastAsia="Times New Roman" w:hAnsi="Times New Roman" w:cs="Times New Roman"/>
                <w:iCs/>
                <w:sz w:val="24"/>
                <w:szCs w:val="24"/>
                <w:lang w:eastAsia="lv-LV"/>
              </w:rPr>
              <w:lastRenderedPageBreak/>
              <w:t xml:space="preserve">Ministru kabinetam kapitālsabiedrībai par </w:t>
            </w:r>
            <w:r w:rsidRPr="007D2949">
              <w:rPr>
                <w:rFonts w:ascii="Times New Roman" w:eastAsia="Times New Roman" w:hAnsi="Times New Roman" w:cs="Times New Roman"/>
                <w:iCs/>
                <w:sz w:val="24"/>
                <w:szCs w:val="24"/>
                <w:lang w:eastAsia="lv-LV"/>
              </w:rPr>
              <w:t>201</w:t>
            </w:r>
            <w:r w:rsidR="002B0559" w:rsidRPr="007D2949">
              <w:rPr>
                <w:rFonts w:ascii="Times New Roman" w:eastAsia="Times New Roman" w:hAnsi="Times New Roman" w:cs="Times New Roman"/>
                <w:iCs/>
                <w:sz w:val="24"/>
                <w:szCs w:val="24"/>
                <w:lang w:eastAsia="lv-LV"/>
              </w:rPr>
              <w:t>9</w:t>
            </w:r>
            <w:r w:rsidRPr="007D2949">
              <w:rPr>
                <w:rFonts w:ascii="Times New Roman" w:eastAsia="Times New Roman" w:hAnsi="Times New Roman" w:cs="Times New Roman"/>
                <w:iCs/>
                <w:sz w:val="24"/>
                <w:szCs w:val="24"/>
                <w:lang w:eastAsia="lv-LV"/>
              </w:rPr>
              <w:t>.-20</w:t>
            </w:r>
            <w:r w:rsidR="000200EA" w:rsidRPr="007D2949">
              <w:rPr>
                <w:rFonts w:ascii="Times New Roman" w:eastAsia="Times New Roman" w:hAnsi="Times New Roman" w:cs="Times New Roman"/>
                <w:iCs/>
                <w:sz w:val="24"/>
                <w:szCs w:val="24"/>
                <w:lang w:eastAsia="lv-LV"/>
              </w:rPr>
              <w:t>2</w:t>
            </w:r>
            <w:r w:rsidR="000930C0">
              <w:rPr>
                <w:rFonts w:ascii="Times New Roman" w:eastAsia="Times New Roman" w:hAnsi="Times New Roman" w:cs="Times New Roman"/>
                <w:iCs/>
                <w:sz w:val="24"/>
                <w:szCs w:val="24"/>
                <w:lang w:eastAsia="lv-LV"/>
              </w:rPr>
              <w:t>1</w:t>
            </w:r>
            <w:r w:rsidRPr="001C4FFD">
              <w:rPr>
                <w:rFonts w:ascii="Times New Roman" w:eastAsia="Times New Roman" w:hAnsi="Times New Roman" w:cs="Times New Roman"/>
                <w:iCs/>
                <w:sz w:val="24"/>
                <w:szCs w:val="24"/>
                <w:lang w:eastAsia="lv-LV"/>
              </w:rPr>
              <w:t>.gadu valsts budžetā dividendēs izmaksājamo peļņas daļu noteikt 0 procentu apmērā no tīrās peļņas un peļņu novirzīt infrastruktūras uzlabošanai un uzturēšanai, lai nodrošinātu ilgtermiņa attīstību un kvalitatīvu veselības aprūpes pakalpojumu sniegšanu. Kopš 2009.gada samazinātais valsts budžeta finansējums veselības 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3B04FD">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xml:space="preserve">.gadā kapitālsabiedrības apgrozījumu </w:t>
            </w:r>
            <w:r w:rsidR="000200EA">
              <w:rPr>
                <w:rFonts w:ascii="Times New Roman" w:eastAsia="Times New Roman" w:hAnsi="Times New Roman" w:cs="Times New Roman"/>
                <w:iCs/>
                <w:sz w:val="24"/>
                <w:szCs w:val="24"/>
                <w:lang w:eastAsia="lv-LV"/>
              </w:rPr>
              <w:t>9</w:t>
            </w:r>
            <w:r w:rsidR="00F611A0">
              <w:rPr>
                <w:rFonts w:ascii="Times New Roman" w:eastAsia="Times New Roman" w:hAnsi="Times New Roman" w:cs="Times New Roman"/>
                <w:iCs/>
                <w:sz w:val="24"/>
                <w:szCs w:val="24"/>
                <w:lang w:eastAsia="lv-LV"/>
              </w:rPr>
              <w:t>8</w:t>
            </w:r>
            <w:r w:rsidRPr="001C4FFD">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4436D2" w:rsidRPr="000D7B47"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Stratēģijā minētajā laika periodā kapitālsabiedrībai ir </w:t>
            </w:r>
            <w:r w:rsidRPr="004D0532">
              <w:rPr>
                <w:rFonts w:ascii="Times New Roman" w:eastAsia="Times New Roman" w:hAnsi="Times New Roman" w:cs="Times New Roman"/>
                <w:iCs/>
                <w:sz w:val="24"/>
                <w:szCs w:val="24"/>
                <w:lang w:eastAsia="lv-LV"/>
              </w:rPr>
              <w:t xml:space="preserve">nepieciešami ieguldījumi: </w:t>
            </w:r>
            <w:r w:rsidR="001268FF" w:rsidRPr="004D0532">
              <w:rPr>
                <w:rFonts w:ascii="Times New Roman" w:eastAsia="Times New Roman" w:hAnsi="Times New Roman" w:cs="Times New Roman"/>
                <w:iCs/>
                <w:sz w:val="24"/>
                <w:szCs w:val="24"/>
                <w:lang w:eastAsia="lv-LV"/>
              </w:rPr>
              <w:t>1)</w:t>
            </w:r>
            <w:r w:rsidR="001268FF" w:rsidRPr="004D0532">
              <w:t xml:space="preserve"> </w:t>
            </w:r>
            <w:r w:rsidR="004D0532" w:rsidRPr="004D0532">
              <w:rPr>
                <w:rFonts w:ascii="Times New Roman" w:eastAsia="Times New Roman" w:hAnsi="Times New Roman" w:cs="Times New Roman"/>
                <w:iCs/>
                <w:sz w:val="24"/>
                <w:szCs w:val="24"/>
                <w:lang w:eastAsia="lv-LV"/>
              </w:rPr>
              <w:t>Atvieglotas konstrukcijas angāra tipa noliktavas izbūve</w:t>
            </w:r>
            <w:r w:rsidR="00232A64" w:rsidRPr="004D0532">
              <w:rPr>
                <w:rFonts w:ascii="Times New Roman" w:eastAsia="Times New Roman" w:hAnsi="Times New Roman" w:cs="Times New Roman"/>
                <w:iCs/>
                <w:sz w:val="24"/>
                <w:szCs w:val="24"/>
                <w:lang w:eastAsia="lv-LV"/>
              </w:rPr>
              <w:t xml:space="preserve"> </w:t>
            </w:r>
            <w:r w:rsidR="004D0532" w:rsidRPr="004D0532">
              <w:rPr>
                <w:rFonts w:ascii="Times New Roman" w:eastAsia="Times New Roman" w:hAnsi="Times New Roman" w:cs="Times New Roman"/>
                <w:iCs/>
                <w:sz w:val="24"/>
                <w:szCs w:val="24"/>
                <w:lang w:eastAsia="lv-LV"/>
              </w:rPr>
              <w:t>48 000</w:t>
            </w:r>
            <w:r w:rsidR="00232A64" w:rsidRPr="004D0532">
              <w:rPr>
                <w:rFonts w:ascii="Times New Roman" w:eastAsia="Times New Roman" w:hAnsi="Times New Roman" w:cs="Times New Roman"/>
                <w:iCs/>
                <w:sz w:val="24"/>
                <w:szCs w:val="24"/>
                <w:lang w:eastAsia="lv-LV"/>
              </w:rPr>
              <w:t xml:space="preserve"> </w:t>
            </w:r>
            <w:r w:rsidR="00232A64" w:rsidRPr="004D0532">
              <w:rPr>
                <w:rFonts w:ascii="Times New Roman" w:eastAsia="Times New Roman" w:hAnsi="Times New Roman" w:cs="Times New Roman"/>
                <w:i/>
                <w:iCs/>
                <w:sz w:val="24"/>
                <w:szCs w:val="24"/>
                <w:lang w:eastAsia="lv-LV"/>
              </w:rPr>
              <w:t>euro</w:t>
            </w:r>
            <w:r w:rsidR="001268FF" w:rsidRPr="004D0532">
              <w:rPr>
                <w:rFonts w:ascii="Times New Roman" w:eastAsia="Times New Roman" w:hAnsi="Times New Roman" w:cs="Times New Roman"/>
                <w:iCs/>
                <w:sz w:val="24"/>
                <w:szCs w:val="24"/>
                <w:lang w:eastAsia="lv-LV"/>
              </w:rPr>
              <w:t>; 2</w:t>
            </w:r>
            <w:r w:rsidRPr="004D0532">
              <w:rPr>
                <w:rFonts w:ascii="Times New Roman" w:eastAsia="Times New Roman" w:hAnsi="Times New Roman" w:cs="Times New Roman"/>
                <w:iCs/>
                <w:sz w:val="24"/>
                <w:szCs w:val="24"/>
                <w:lang w:eastAsia="lv-LV"/>
              </w:rPr>
              <w:t xml:space="preserve">) </w:t>
            </w:r>
            <w:r w:rsidR="004D0532" w:rsidRPr="004D0532">
              <w:rPr>
                <w:rFonts w:ascii="Times New Roman" w:eastAsia="Times New Roman" w:hAnsi="Times New Roman" w:cs="Times New Roman"/>
                <w:iCs/>
                <w:sz w:val="24"/>
                <w:szCs w:val="24"/>
                <w:lang w:eastAsia="lv-LV"/>
              </w:rPr>
              <w:t>novērošanas/izolācijas telpu (“drošo istabu”) izbūvei</w:t>
            </w:r>
            <w:r w:rsidR="00232A64" w:rsidRPr="004D0532">
              <w:rPr>
                <w:rFonts w:ascii="Times New Roman" w:eastAsia="Times New Roman" w:hAnsi="Times New Roman" w:cs="Times New Roman"/>
                <w:iCs/>
                <w:sz w:val="24"/>
                <w:szCs w:val="24"/>
                <w:lang w:eastAsia="lv-LV"/>
              </w:rPr>
              <w:t xml:space="preserve"> </w:t>
            </w:r>
            <w:r w:rsidR="004D0532" w:rsidRPr="004D0532">
              <w:rPr>
                <w:rFonts w:ascii="Times New Roman" w:eastAsia="Times New Roman" w:hAnsi="Times New Roman" w:cs="Times New Roman"/>
                <w:iCs/>
                <w:sz w:val="24"/>
                <w:szCs w:val="24"/>
                <w:lang w:eastAsia="lv-LV"/>
              </w:rPr>
              <w:t>32 000</w:t>
            </w:r>
            <w:r w:rsidR="00232A64" w:rsidRPr="004D0532">
              <w:rPr>
                <w:rFonts w:ascii="Times New Roman" w:eastAsia="Times New Roman" w:hAnsi="Times New Roman" w:cs="Times New Roman"/>
                <w:iCs/>
                <w:sz w:val="24"/>
                <w:szCs w:val="24"/>
                <w:lang w:eastAsia="lv-LV"/>
              </w:rPr>
              <w:t xml:space="preserve"> </w:t>
            </w:r>
            <w:r w:rsidR="00232A64" w:rsidRPr="004D0532">
              <w:rPr>
                <w:rFonts w:ascii="Times New Roman" w:eastAsia="Times New Roman" w:hAnsi="Times New Roman" w:cs="Times New Roman"/>
                <w:i/>
                <w:iCs/>
                <w:sz w:val="24"/>
                <w:szCs w:val="24"/>
                <w:lang w:eastAsia="lv-LV"/>
              </w:rPr>
              <w:t>euro</w:t>
            </w:r>
            <w:r w:rsidRPr="004D0532">
              <w:rPr>
                <w:rFonts w:ascii="Times New Roman" w:eastAsia="Times New Roman" w:hAnsi="Times New Roman" w:cs="Times New Roman"/>
                <w:iCs/>
                <w:sz w:val="24"/>
                <w:szCs w:val="24"/>
                <w:lang w:eastAsia="lv-LV"/>
              </w:rPr>
              <w:t>.</w:t>
            </w:r>
            <w:r w:rsidR="003072A2" w:rsidRPr="004D0532">
              <w:rPr>
                <w:rFonts w:ascii="Times New Roman" w:eastAsia="Times New Roman" w:hAnsi="Times New Roman" w:cs="Times New Roman"/>
                <w:iCs/>
                <w:sz w:val="24"/>
                <w:szCs w:val="24"/>
                <w:lang w:eastAsia="lv-LV"/>
              </w:rPr>
              <w:t xml:space="preserve"> </w:t>
            </w:r>
            <w:r w:rsidR="002528E6" w:rsidRPr="004D0532">
              <w:rPr>
                <w:rFonts w:ascii="Times New Roman" w:eastAsia="Times New Roman" w:hAnsi="Times New Roman" w:cs="Times New Roman"/>
                <w:iCs/>
                <w:sz w:val="24"/>
                <w:szCs w:val="24"/>
                <w:lang w:eastAsia="lv-LV"/>
              </w:rPr>
              <w:t xml:space="preserve">Līdz ar to </w:t>
            </w:r>
            <w:r w:rsidR="001C5753" w:rsidRPr="004D0532">
              <w:rPr>
                <w:rFonts w:ascii="Times New Roman" w:eastAsia="Times New Roman" w:hAnsi="Times New Roman" w:cs="Times New Roman"/>
                <w:iCs/>
                <w:sz w:val="24"/>
                <w:szCs w:val="24"/>
                <w:lang w:eastAsia="lv-LV"/>
              </w:rPr>
              <w:t>kapitālsabiedrības tīrās peļņas daļa</w:t>
            </w:r>
            <w:r w:rsidR="003661C5" w:rsidRPr="004D0532">
              <w:rPr>
                <w:rFonts w:ascii="Times New Roman" w:eastAsia="Times New Roman" w:hAnsi="Times New Roman" w:cs="Times New Roman"/>
                <w:iCs/>
                <w:sz w:val="24"/>
                <w:szCs w:val="24"/>
                <w:lang w:eastAsia="lv-LV"/>
              </w:rPr>
              <w:t xml:space="preserve"> laika periodā no 2019.gada līdz 2021.gadam </w:t>
            </w:r>
            <w:r w:rsidR="001C5753" w:rsidRPr="004D0532">
              <w:rPr>
                <w:rFonts w:ascii="Times New Roman" w:eastAsia="Times New Roman" w:hAnsi="Times New Roman" w:cs="Times New Roman"/>
                <w:iCs/>
                <w:sz w:val="24"/>
                <w:szCs w:val="24"/>
                <w:lang w:eastAsia="lv-LV"/>
              </w:rPr>
              <w:t xml:space="preserve">tiks </w:t>
            </w:r>
            <w:r w:rsidR="00487536" w:rsidRPr="004D0532">
              <w:rPr>
                <w:rFonts w:ascii="Times New Roman" w:eastAsia="Times New Roman" w:hAnsi="Times New Roman" w:cs="Times New Roman"/>
                <w:iCs/>
                <w:sz w:val="24"/>
                <w:szCs w:val="24"/>
                <w:lang w:eastAsia="lv-LV"/>
              </w:rPr>
              <w:t xml:space="preserve">piesaistīta </w:t>
            </w:r>
            <w:r w:rsidR="003661C5" w:rsidRPr="004D0532">
              <w:rPr>
                <w:rFonts w:ascii="Times New Roman" w:eastAsia="Times New Roman" w:hAnsi="Times New Roman" w:cs="Times New Roman"/>
                <w:iCs/>
                <w:sz w:val="24"/>
                <w:szCs w:val="24"/>
                <w:lang w:eastAsia="lv-LV"/>
              </w:rPr>
              <w:t>atvieglotās konstrukcijas angāra tipa noliktavas izbūvei</w:t>
            </w:r>
            <w:r w:rsidR="003661C5" w:rsidRPr="003661C5">
              <w:rPr>
                <w:rFonts w:ascii="Times New Roman" w:eastAsia="Times New Roman" w:hAnsi="Times New Roman" w:cs="Times New Roman"/>
                <w:iCs/>
                <w:sz w:val="24"/>
                <w:szCs w:val="24"/>
                <w:lang w:eastAsia="lv-LV"/>
              </w:rPr>
              <w:t xml:space="preserve"> un novērošanas/izolācijas telpu (“drošo istabu”) izbūvei</w:t>
            </w:r>
            <w:r w:rsidR="00D449B1" w:rsidRPr="003661C5">
              <w:rPr>
                <w:rFonts w:ascii="Times New Roman" w:eastAsia="Times New Roman" w:hAnsi="Times New Roman" w:cs="Times New Roman"/>
                <w:iCs/>
                <w:sz w:val="24"/>
                <w:szCs w:val="24"/>
                <w:lang w:eastAsia="lv-LV"/>
              </w:rPr>
              <w:t>.</w:t>
            </w:r>
            <w:r w:rsidR="001C5753" w:rsidRPr="000D7B47">
              <w:rPr>
                <w:rFonts w:ascii="Times New Roman" w:eastAsia="Times New Roman" w:hAnsi="Times New Roman" w:cs="Times New Roman"/>
                <w:iCs/>
                <w:sz w:val="24"/>
                <w:szCs w:val="24"/>
                <w:lang w:eastAsia="lv-LV"/>
              </w:rPr>
              <w:t xml:space="preserve">  </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0D7B47">
              <w:rPr>
                <w:rFonts w:ascii="Times New Roman" w:eastAsia="Times New Roman" w:hAnsi="Times New Roman" w:cs="Times New Roman"/>
                <w:iCs/>
                <w:sz w:val="24"/>
                <w:szCs w:val="24"/>
                <w:lang w:eastAsia="lv-LV"/>
              </w:rPr>
              <w:t>Lai kapitālsabiedrība spētu īstenot tās stratēģij</w:t>
            </w:r>
            <w:r w:rsidR="0017073A" w:rsidRPr="000D7B47">
              <w:rPr>
                <w:rFonts w:ascii="Times New Roman" w:eastAsia="Times New Roman" w:hAnsi="Times New Roman" w:cs="Times New Roman"/>
                <w:iCs/>
                <w:sz w:val="24"/>
                <w:szCs w:val="24"/>
                <w:lang w:eastAsia="lv-LV"/>
              </w:rPr>
              <w:t>as</w:t>
            </w:r>
            <w:r w:rsidR="0017073A">
              <w:rPr>
                <w:rFonts w:ascii="Times New Roman" w:eastAsia="Times New Roman" w:hAnsi="Times New Roman" w:cs="Times New Roman"/>
                <w:iCs/>
                <w:sz w:val="24"/>
                <w:szCs w:val="24"/>
                <w:lang w:eastAsia="lv-LV"/>
              </w:rPr>
              <w:t xml:space="preserve"> projektā</w:t>
            </w:r>
            <w:r w:rsidRPr="001C4FFD">
              <w:rPr>
                <w:rFonts w:ascii="Times New Roman" w:eastAsia="Times New Roman" w:hAnsi="Times New Roman" w:cs="Times New Roman"/>
                <w:iCs/>
                <w:sz w:val="24"/>
                <w:szCs w:val="24"/>
                <w:lang w:eastAsia="lv-LV"/>
              </w:rPr>
              <w:t xml:space="preserve"> noteiktos mērķus, ir nepieciešams veikt regu</w:t>
            </w:r>
            <w:r w:rsidR="001B6974" w:rsidRPr="001C4FFD">
              <w:rPr>
                <w:rFonts w:ascii="Times New Roman" w:eastAsia="Times New Roman" w:hAnsi="Times New Roman" w:cs="Times New Roman"/>
                <w:iCs/>
                <w:sz w:val="24"/>
                <w:szCs w:val="24"/>
                <w:lang w:eastAsia="lv-LV"/>
              </w:rPr>
              <w:t>lārus ieguldījumus tehnoloģijās</w:t>
            </w:r>
            <w:r w:rsidRPr="001C4FFD">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tīrās peļņas.</w:t>
            </w:r>
          </w:p>
          <w:p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w:t>
            </w:r>
            <w:r w:rsidRPr="001C4FFD">
              <w:rPr>
                <w:rFonts w:ascii="Times New Roman" w:eastAsia="Times New Roman" w:hAnsi="Times New Roman" w:cs="Times New Roman"/>
                <w:iCs/>
                <w:sz w:val="24"/>
                <w:szCs w:val="24"/>
                <w:lang w:eastAsia="lv-LV"/>
              </w:rPr>
              <w:lastRenderedPageBreak/>
              <w:t>kompensāciju par sabiedriskajiem pakalpojumiem dažiem uzņēmumiem, kuriem uzticēts sniegt pakalpojumus ar vispārēju tautsaimniecisku nozīmi”.</w:t>
            </w:r>
          </w:p>
        </w:tc>
      </w:tr>
      <w:bookmarkEnd w:id="1"/>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266863" w:rsidRPr="00266863">
              <w:rPr>
                <w:rFonts w:ascii="Times New Roman" w:eastAsia="Times New Roman" w:hAnsi="Times New Roman" w:cs="Times New Roman"/>
                <w:iCs/>
                <w:sz w:val="24"/>
                <w:szCs w:val="24"/>
                <w:lang w:eastAsia="lv-LV"/>
              </w:rPr>
              <w:t>Bērnu psihoneiroloģiskā slimnīca “Ainaži”</w:t>
            </w:r>
            <w:r w:rsidRPr="00B57C6C">
              <w:rPr>
                <w:rFonts w:ascii="Times New Roman" w:eastAsia="Times New Roman" w:hAnsi="Times New Roman" w:cs="Times New Roman"/>
                <w:iCs/>
                <w:sz w:val="24"/>
                <w:szCs w:val="24"/>
                <w:lang w:eastAsia="lv-LV"/>
              </w:rPr>
              <w:t>”.</w:t>
            </w:r>
          </w:p>
        </w:tc>
      </w:tr>
      <w:tr w:rsidR="004436D2" w:rsidRPr="00B57C6C"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B57C6C"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6"/>
        <w:gridCol w:w="459"/>
        <w:gridCol w:w="794"/>
        <w:gridCol w:w="373"/>
        <w:gridCol w:w="509"/>
        <w:gridCol w:w="1373"/>
        <w:gridCol w:w="522"/>
        <w:gridCol w:w="558"/>
        <w:gridCol w:w="718"/>
        <w:gridCol w:w="1065"/>
        <w:gridCol w:w="718"/>
        <w:gridCol w:w="1080"/>
      </w:tblGrid>
      <w:tr w:rsidR="00EE4608" w:rsidRPr="00B57C6C" w:rsidTr="00F611A0">
        <w:trPr>
          <w:tblCellSpacing w:w="15" w:type="dxa"/>
          <w:jc w:val="center"/>
        </w:trPr>
        <w:tc>
          <w:tcPr>
            <w:tcW w:w="478" w:type="pct"/>
            <w:tcBorders>
              <w:top w:val="outset" w:sz="6" w:space="0" w:color="auto"/>
              <w:left w:val="outset" w:sz="6" w:space="0" w:color="auto"/>
              <w:bottom w:val="outset" w:sz="6" w:space="0" w:color="auto"/>
              <w:right w:val="outset" w:sz="6" w:space="0" w:color="auto"/>
            </w:tcBorders>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73" w:type="pct"/>
            <w:gridSpan w:val="11"/>
            <w:tcBorders>
              <w:top w:val="outset" w:sz="6" w:space="0" w:color="auto"/>
              <w:left w:val="outset" w:sz="6" w:space="0" w:color="auto"/>
              <w:bottom w:val="outset" w:sz="6" w:space="0" w:color="auto"/>
              <w:right w:val="outset" w:sz="6" w:space="0" w:color="auto"/>
            </w:tcBorders>
            <w:vAlign w:val="center"/>
            <w:hideMark/>
          </w:tcPr>
          <w:p w:rsidR="00EE4608" w:rsidRPr="00B57C6C"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B57C6C" w:rsidTr="00F611A0">
        <w:trPr>
          <w:tblCellSpacing w:w="15" w:type="dxa"/>
          <w:jc w:val="center"/>
        </w:trPr>
        <w:tc>
          <w:tcPr>
            <w:tcW w:w="71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Rādītāji</w:t>
            </w:r>
          </w:p>
        </w:tc>
        <w:tc>
          <w:tcPr>
            <w:tcW w:w="908"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201</w:t>
            </w:r>
            <w:r>
              <w:rPr>
                <w:rFonts w:ascii="Times New Roman" w:eastAsia="Times New Roman" w:hAnsi="Times New Roman" w:cs="Times New Roman"/>
                <w:iCs/>
                <w:color w:val="414142"/>
                <w:lang w:eastAsia="lv-LV"/>
              </w:rPr>
              <w:t>9</w:t>
            </w:r>
            <w:r w:rsidRPr="00077BD6">
              <w:rPr>
                <w:rFonts w:ascii="Times New Roman" w:eastAsia="Times New Roman" w:hAnsi="Times New Roman" w:cs="Times New Roman"/>
                <w:iCs/>
                <w:color w:val="414142"/>
                <w:lang w:eastAsia="lv-LV"/>
              </w:rPr>
              <w:t>.gads</w:t>
            </w:r>
          </w:p>
        </w:tc>
        <w:tc>
          <w:tcPr>
            <w:tcW w:w="1029" w:type="pct"/>
            <w:gridSpan w:val="2"/>
            <w:tcBorders>
              <w:top w:val="outset" w:sz="6" w:space="0" w:color="auto"/>
              <w:left w:val="outset" w:sz="6" w:space="0" w:color="auto"/>
              <w:bottom w:val="outset" w:sz="6" w:space="0" w:color="auto"/>
              <w:right w:val="outset" w:sz="6" w:space="0" w:color="auto"/>
            </w:tcBorders>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2261" w:type="pct"/>
            <w:gridSpan w:val="5"/>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Turpmākie trīs gadi (</w:t>
            </w:r>
            <w:r w:rsidRPr="00077BD6">
              <w:rPr>
                <w:rFonts w:ascii="Times New Roman" w:eastAsia="Times New Roman" w:hAnsi="Times New Roman" w:cs="Times New Roman"/>
                <w:i/>
                <w:iCs/>
                <w:color w:val="414142"/>
                <w:lang w:eastAsia="lv-LV"/>
              </w:rPr>
              <w:t>euro</w:t>
            </w:r>
            <w:r w:rsidRPr="00077BD6">
              <w:rPr>
                <w:rFonts w:ascii="Times New Roman" w:eastAsia="Times New Roman" w:hAnsi="Times New Roman" w:cs="Times New Roman"/>
                <w:iCs/>
                <w:color w:val="414142"/>
                <w:lang w:eastAsia="lv-LV"/>
              </w:rPr>
              <w:t>)</w:t>
            </w:r>
          </w:p>
        </w:tc>
      </w:tr>
      <w:tr w:rsidR="00EE4CC3" w:rsidRPr="00B57C6C" w:rsidTr="00F611A0">
        <w:trPr>
          <w:tblCellSpacing w:w="15" w:type="dxa"/>
          <w:jc w:val="center"/>
        </w:trPr>
        <w:tc>
          <w:tcPr>
            <w:tcW w:w="718"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6E61F6">
            <w:pPr>
              <w:spacing w:after="0" w:line="240" w:lineRule="auto"/>
              <w:rPr>
                <w:rFonts w:ascii="Times New Roman" w:eastAsia="Times New Roman" w:hAnsi="Times New Roman" w:cs="Times New Roman"/>
                <w:iCs/>
                <w:color w:val="414142"/>
                <w:lang w:eastAsia="lv-LV"/>
              </w:rPr>
            </w:pPr>
          </w:p>
        </w:tc>
        <w:tc>
          <w:tcPr>
            <w:tcW w:w="908"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77BD6">
            <w:pPr>
              <w:spacing w:after="0" w:line="240" w:lineRule="auto"/>
              <w:jc w:val="center"/>
              <w:rPr>
                <w:rFonts w:ascii="Times New Roman" w:eastAsia="Times New Roman" w:hAnsi="Times New Roman" w:cs="Times New Roman"/>
                <w:iCs/>
                <w:color w:val="414142"/>
                <w:lang w:eastAsia="lv-LV"/>
              </w:rPr>
            </w:pPr>
          </w:p>
        </w:tc>
        <w:tc>
          <w:tcPr>
            <w:tcW w:w="1338" w:type="pct"/>
            <w:gridSpan w:val="3"/>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w:t>
            </w:r>
            <w:r>
              <w:rPr>
                <w:rFonts w:ascii="Times New Roman" w:hAnsi="Times New Roman" w:cs="Times New Roman"/>
              </w:rPr>
              <w:t>20</w:t>
            </w:r>
            <w:r w:rsidRPr="00077BD6">
              <w:rPr>
                <w:rFonts w:ascii="Times New Roman" w:hAnsi="Times New Roman" w:cs="Times New Roman"/>
              </w:rPr>
              <w:t>.gads</w:t>
            </w:r>
          </w:p>
        </w:tc>
        <w:tc>
          <w:tcPr>
            <w:tcW w:w="968"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1</w:t>
            </w:r>
            <w:r w:rsidRPr="00077BD6">
              <w:rPr>
                <w:rFonts w:ascii="Times New Roman" w:hAnsi="Times New Roman" w:cs="Times New Roman"/>
              </w:rPr>
              <w:t>.gads</w:t>
            </w:r>
          </w:p>
        </w:tc>
        <w:tc>
          <w:tcPr>
            <w:tcW w:w="380" w:type="pct"/>
            <w:tcBorders>
              <w:top w:val="outset" w:sz="6" w:space="0" w:color="auto"/>
              <w:left w:val="outset" w:sz="6" w:space="0" w:color="auto"/>
              <w:bottom w:val="outset" w:sz="6" w:space="0" w:color="auto"/>
              <w:right w:val="outset" w:sz="6" w:space="0" w:color="auto"/>
            </w:tcBorders>
          </w:tcPr>
          <w:p w:rsidR="00EE4608" w:rsidRPr="00077BD6" w:rsidRDefault="00EE4608" w:rsidP="00077BD6">
            <w:pPr>
              <w:jc w:val="center"/>
              <w:rPr>
                <w:rFonts w:ascii="Times New Roman" w:hAnsi="Times New Roman" w:cs="Times New Roman"/>
              </w:rPr>
            </w:pPr>
          </w:p>
        </w:tc>
        <w:tc>
          <w:tcPr>
            <w:tcW w:w="572"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77BD6">
            <w:pPr>
              <w:jc w:val="center"/>
              <w:rPr>
                <w:rFonts w:ascii="Times New Roman" w:hAnsi="Times New Roman" w:cs="Times New Roman"/>
              </w:rPr>
            </w:pPr>
            <w:r w:rsidRPr="00077BD6">
              <w:rPr>
                <w:rFonts w:ascii="Times New Roman" w:hAnsi="Times New Roman" w:cs="Times New Roman"/>
              </w:rPr>
              <w:t>202</w:t>
            </w:r>
            <w:r>
              <w:rPr>
                <w:rFonts w:ascii="Times New Roman" w:hAnsi="Times New Roman" w:cs="Times New Roman"/>
              </w:rPr>
              <w:t>2</w:t>
            </w:r>
            <w:r w:rsidRPr="00077BD6">
              <w:rPr>
                <w:rFonts w:ascii="Times New Roman" w:hAnsi="Times New Roman" w:cs="Times New Roman"/>
              </w:rPr>
              <w:t>.gads</w:t>
            </w:r>
          </w:p>
        </w:tc>
      </w:tr>
      <w:tr w:rsidR="008E3452" w:rsidRPr="00B57C6C" w:rsidTr="00F611A0">
        <w:trPr>
          <w:tblCellSpacing w:w="15" w:type="dxa"/>
          <w:jc w:val="center"/>
        </w:trPr>
        <w:tc>
          <w:tcPr>
            <w:tcW w:w="718"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p>
        </w:tc>
        <w:tc>
          <w:tcPr>
            <w:tcW w:w="4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valsts budžetu kārtējam gadam</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kārtējā gadā, salīdzinot ar valsts budžetu kārtējam gadam</w:t>
            </w:r>
          </w:p>
        </w:tc>
        <w:tc>
          <w:tcPr>
            <w:tcW w:w="74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w:t>
            </w:r>
            <w:r w:rsidR="008E3452">
              <w:rPr>
                <w:rFonts w:ascii="Times New Roman" w:eastAsia="Times New Roman" w:hAnsi="Times New Roman" w:cs="Times New Roman"/>
                <w:iCs/>
                <w:color w:val="414142"/>
                <w:lang w:eastAsia="lv-LV"/>
              </w:rPr>
              <w:t>20</w:t>
            </w:r>
            <w:r w:rsidRPr="00077BD6">
              <w:rPr>
                <w:rFonts w:ascii="Times New Roman" w:eastAsia="Times New Roman" w:hAnsi="Times New Roman" w:cs="Times New Roman"/>
                <w:iCs/>
                <w:color w:val="414142"/>
                <w:lang w:eastAsia="lv-LV"/>
              </w:rPr>
              <w:t>.gadam</w:t>
            </w:r>
          </w:p>
        </w:tc>
        <w:tc>
          <w:tcPr>
            <w:tcW w:w="38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izmaiņas, salīdzinot ar vidēja termiņa budžeta ietvaru 202</w:t>
            </w:r>
            <w:r w:rsidR="005C6CAB">
              <w:rPr>
                <w:rFonts w:ascii="Times New Roman" w:eastAsia="Times New Roman" w:hAnsi="Times New Roman" w:cs="Times New Roman"/>
                <w:iCs/>
                <w:color w:val="414142"/>
                <w:lang w:eastAsia="lv-LV"/>
              </w:rPr>
              <w:t>1</w:t>
            </w:r>
            <w:r w:rsidRPr="00077BD6">
              <w:rPr>
                <w:rFonts w:ascii="Times New Roman" w:eastAsia="Times New Roman" w:hAnsi="Times New Roman" w:cs="Times New Roman"/>
                <w:iCs/>
                <w:color w:val="414142"/>
                <w:lang w:eastAsia="lv-LV"/>
              </w:rPr>
              <w:t>.gadam</w:t>
            </w:r>
          </w:p>
        </w:tc>
        <w:tc>
          <w:tcPr>
            <w:tcW w:w="38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saskaņā ar vidēja termiņa 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 xml:space="preserve">izmaiņas, salīdzinot ar vidēja termiņa budžeta </w:t>
            </w:r>
            <w:r w:rsidRPr="00077BD6">
              <w:rPr>
                <w:rFonts w:ascii="Times New Roman" w:eastAsia="Times New Roman" w:hAnsi="Times New Roman" w:cs="Times New Roman"/>
                <w:iCs/>
                <w:lang w:eastAsia="lv-LV"/>
              </w:rPr>
              <w:t>ietvaru 202</w:t>
            </w:r>
            <w:r w:rsidR="005C6CAB">
              <w:rPr>
                <w:rFonts w:ascii="Times New Roman" w:eastAsia="Times New Roman" w:hAnsi="Times New Roman" w:cs="Times New Roman"/>
                <w:iCs/>
                <w:lang w:eastAsia="lv-LV"/>
              </w:rPr>
              <w:t>2</w:t>
            </w:r>
            <w:r w:rsidRPr="00077BD6">
              <w:rPr>
                <w:rFonts w:ascii="Times New Roman" w:eastAsia="Times New Roman" w:hAnsi="Times New Roman" w:cs="Times New Roman"/>
                <w:iCs/>
                <w:lang w:eastAsia="lv-LV"/>
              </w:rPr>
              <w:t>.gadam</w:t>
            </w:r>
          </w:p>
        </w:tc>
      </w:tr>
      <w:tr w:rsidR="008E3452"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w:t>
            </w:r>
          </w:p>
        </w:tc>
        <w:tc>
          <w:tcPr>
            <w:tcW w:w="4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w:t>
            </w:r>
          </w:p>
        </w:tc>
        <w:tc>
          <w:tcPr>
            <w:tcW w:w="74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w:t>
            </w:r>
          </w:p>
        </w:tc>
        <w:tc>
          <w:tcPr>
            <w:tcW w:w="38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7</w:t>
            </w:r>
          </w:p>
        </w:tc>
        <w:tc>
          <w:tcPr>
            <w:tcW w:w="380" w:type="pct"/>
            <w:tcBorders>
              <w:top w:val="outset" w:sz="6" w:space="0" w:color="auto"/>
              <w:left w:val="outset" w:sz="6" w:space="0" w:color="auto"/>
              <w:bottom w:val="outset" w:sz="6" w:space="0" w:color="auto"/>
              <w:right w:val="outset" w:sz="6" w:space="0" w:color="auto"/>
            </w:tcBorders>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8</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E5323B">
            <w:pPr>
              <w:spacing w:after="0" w:line="240" w:lineRule="auto"/>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9</w:t>
            </w:r>
          </w:p>
        </w:tc>
      </w:tr>
      <w:tr w:rsidR="008E3452"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 Budžeta ieņēmumi</w:t>
            </w:r>
          </w:p>
        </w:tc>
        <w:tc>
          <w:tcPr>
            <w:tcW w:w="421" w:type="pct"/>
            <w:tcBorders>
              <w:top w:val="outset" w:sz="6" w:space="0" w:color="auto"/>
              <w:left w:val="outset" w:sz="6" w:space="0" w:color="auto"/>
              <w:bottom w:val="outset" w:sz="6" w:space="0" w:color="auto"/>
              <w:right w:val="outset" w:sz="6" w:space="0" w:color="auto"/>
            </w:tcBorders>
            <w:hideMark/>
          </w:tcPr>
          <w:p w:rsidR="00EE4608" w:rsidRPr="00077BD6" w:rsidRDefault="00EE4608" w:rsidP="000B312A">
            <w:pPr>
              <w:spacing w:before="75" w:after="75" w:line="240" w:lineRule="auto"/>
              <w:jc w:val="both"/>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209 440 039</w:t>
            </w:r>
          </w:p>
        </w:tc>
        <w:tc>
          <w:tcPr>
            <w:tcW w:w="470"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4709FC">
            <w:pPr>
              <w:spacing w:after="0" w:line="240" w:lineRule="auto"/>
              <w:rPr>
                <w:rFonts w:ascii="Times New Roman" w:eastAsia="Times New Roman" w:hAnsi="Times New Roman" w:cs="Times New Roman"/>
                <w:iCs/>
                <w:color w:val="414142"/>
                <w:lang w:eastAsia="lv-LV"/>
              </w:rPr>
            </w:pPr>
          </w:p>
          <w:p w:rsidR="00EE4608" w:rsidRPr="00077BD6" w:rsidRDefault="008A7E04" w:rsidP="008A7E04">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EE4608" w:rsidRPr="00F611A0" w:rsidRDefault="00EE4CC3" w:rsidP="00F611A0">
            <w:pPr>
              <w:pStyle w:val="ListParagraph"/>
              <w:numPr>
                <w:ilvl w:val="0"/>
                <w:numId w:val="2"/>
              </w:numPr>
              <w:spacing w:after="0" w:line="240" w:lineRule="auto"/>
              <w:rPr>
                <w:rFonts w:ascii="Times New Roman" w:eastAsia="Times New Roman" w:hAnsi="Times New Roman" w:cs="Times New Roman"/>
                <w:iCs/>
                <w:lang w:eastAsia="lv-LV"/>
              </w:rPr>
            </w:pPr>
            <w:r w:rsidRPr="00F611A0">
              <w:rPr>
                <w:rFonts w:ascii="Times New Roman" w:eastAsia="Times New Roman" w:hAnsi="Times New Roman" w:cs="Times New Roman"/>
                <w:iCs/>
                <w:lang w:eastAsia="lv-LV"/>
              </w:rPr>
              <w:t>388</w:t>
            </w:r>
            <w:r w:rsidR="00F611A0" w:rsidRPr="00F611A0">
              <w:rPr>
                <w:rFonts w:ascii="Times New Roman" w:eastAsia="Times New Roman" w:hAnsi="Times New Roman" w:cs="Times New Roman"/>
                <w:iCs/>
                <w:lang w:eastAsia="lv-LV"/>
              </w:rPr>
              <w:t> </w:t>
            </w:r>
            <w:r w:rsidRPr="00F611A0">
              <w:rPr>
                <w:rFonts w:ascii="Times New Roman" w:eastAsia="Times New Roman" w:hAnsi="Times New Roman" w:cs="Times New Roman"/>
                <w:iCs/>
                <w:lang w:eastAsia="lv-LV"/>
              </w:rPr>
              <w:t>262</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D7B47" w:rsidRPr="00F611A0" w:rsidRDefault="00F611A0" w:rsidP="00F611A0">
            <w:pPr>
              <w:spacing w:after="0" w:line="240" w:lineRule="auto"/>
              <w:ind w:left="-22"/>
              <w:jc w:val="center"/>
              <w:rPr>
                <w:rFonts w:ascii="Times New Roman" w:eastAsia="Times New Roman" w:hAnsi="Times New Roman" w:cs="Times New Roman"/>
                <w:iCs/>
                <w:lang w:eastAsia="lv-LV"/>
              </w:rPr>
            </w:pPr>
            <w:r w:rsidRPr="00F611A0">
              <w:rPr>
                <w:rFonts w:ascii="Times New Roman" w:eastAsia="Times New Roman" w:hAnsi="Times New Roman" w:cs="Times New Roman"/>
                <w:iCs/>
                <w:lang w:eastAsia="lv-LV"/>
              </w:rPr>
              <w:t>-3 062</w:t>
            </w:r>
          </w:p>
        </w:tc>
        <w:tc>
          <w:tcPr>
            <w:tcW w:w="38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0B31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F611A0"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-2 874</w:t>
            </w:r>
          </w:p>
        </w:tc>
        <w:tc>
          <w:tcPr>
            <w:tcW w:w="380" w:type="pct"/>
            <w:tcBorders>
              <w:top w:val="outset" w:sz="6" w:space="0" w:color="auto"/>
              <w:left w:val="outset" w:sz="6" w:space="0" w:color="auto"/>
              <w:bottom w:val="outset" w:sz="6" w:space="0" w:color="auto"/>
              <w:right w:val="outset" w:sz="6" w:space="0" w:color="auto"/>
            </w:tcBorders>
          </w:tcPr>
          <w:p w:rsidR="00EE4608" w:rsidRPr="00077BD6" w:rsidRDefault="00EE4CC3" w:rsidP="000B31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57</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080</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146</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F611A0"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- 3 597</w:t>
            </w:r>
          </w:p>
        </w:tc>
      </w:tr>
      <w:tr w:rsidR="008E3452"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F5542A">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1.1. valsts pamatbudžets, tai skaitā ieņēmumi no maksas pakalpojumiem un citi pašu ieņēmumi</w:t>
            </w:r>
          </w:p>
        </w:tc>
        <w:tc>
          <w:tcPr>
            <w:tcW w:w="4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Pr>
                <w:rFonts w:ascii="Times New Roman" w:eastAsia="Times New Roman" w:hAnsi="Times New Roman" w:cs="Times New Roman"/>
                <w:iCs/>
                <w:lang w:eastAsia="lv-LV"/>
              </w:rPr>
              <w:t>209 440 039</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8A7E04" w:rsidP="008A7E04">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CC3" w:rsidP="00F5542A">
            <w:pPr>
              <w:spacing w:after="0" w:line="240" w:lineRule="auto"/>
              <w:rPr>
                <w:rFonts w:ascii="Times New Roman" w:eastAsia="Times New Roman" w:hAnsi="Times New Roman" w:cs="Times New Roman"/>
                <w:iCs/>
                <w:lang w:eastAsia="lv-LV"/>
              </w:rPr>
            </w:pPr>
            <w:r w:rsidRPr="00EE4CC3">
              <w:rPr>
                <w:rFonts w:ascii="Times New Roman" w:eastAsia="Times New Roman" w:hAnsi="Times New Roman" w:cs="Times New Roman"/>
                <w:iCs/>
                <w:lang w:eastAsia="lv-LV"/>
              </w:rPr>
              <w:t>191</w:t>
            </w:r>
            <w:r w:rsidR="00417268">
              <w:rPr>
                <w:rFonts w:ascii="Times New Roman" w:eastAsia="Times New Roman" w:hAnsi="Times New Roman" w:cs="Times New Roman"/>
                <w:iCs/>
                <w:lang w:eastAsia="lv-LV"/>
              </w:rPr>
              <w:t> </w:t>
            </w:r>
            <w:r w:rsidRPr="00EE4CC3">
              <w:rPr>
                <w:rFonts w:ascii="Times New Roman" w:eastAsia="Times New Roman" w:hAnsi="Times New Roman" w:cs="Times New Roman"/>
                <w:iCs/>
                <w:lang w:eastAsia="lv-LV"/>
              </w:rPr>
              <w:t>388</w:t>
            </w:r>
            <w:r w:rsidR="00417268">
              <w:rPr>
                <w:rFonts w:ascii="Times New Roman" w:eastAsia="Times New Roman" w:hAnsi="Times New Roman" w:cs="Times New Roman"/>
                <w:iCs/>
                <w:lang w:eastAsia="lv-LV"/>
              </w:rPr>
              <w:t xml:space="preserve"> </w:t>
            </w:r>
            <w:r w:rsidRPr="00EE4CC3">
              <w:rPr>
                <w:rFonts w:ascii="Times New Roman" w:eastAsia="Times New Roman" w:hAnsi="Times New Roman" w:cs="Times New Roman"/>
                <w:iCs/>
                <w:lang w:eastAsia="lv-LV"/>
              </w:rPr>
              <w:t>262</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F611A0"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-3 062</w:t>
            </w:r>
          </w:p>
        </w:tc>
        <w:tc>
          <w:tcPr>
            <w:tcW w:w="38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F5542A">
            <w:pPr>
              <w:spacing w:after="0" w:line="240" w:lineRule="auto"/>
              <w:rPr>
                <w:rFonts w:ascii="Times New Roman" w:eastAsia="Times New Roman" w:hAnsi="Times New Roman" w:cs="Times New Roman"/>
                <w:iCs/>
                <w:lang w:eastAsia="lv-LV"/>
              </w:rPr>
            </w:pPr>
            <w:r w:rsidRPr="00077BD6">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55</w:t>
            </w:r>
            <w:r w:rsidR="00417268">
              <w:rPr>
                <w:rFonts w:ascii="Times New Roman" w:eastAsia="Times New Roman" w:hAnsi="Times New Roman" w:cs="Times New Roman"/>
                <w:iCs/>
                <w:lang w:eastAsia="lv-LV"/>
              </w:rPr>
              <w:t> </w:t>
            </w:r>
            <w:r w:rsidR="00EE4CC3" w:rsidRPr="00EE4CC3">
              <w:rPr>
                <w:rFonts w:ascii="Times New Roman" w:eastAsia="Times New Roman" w:hAnsi="Times New Roman" w:cs="Times New Roman"/>
                <w:iCs/>
                <w:lang w:eastAsia="lv-LV"/>
              </w:rPr>
              <w:t>961</w:t>
            </w:r>
            <w:r w:rsidR="00417268">
              <w:rPr>
                <w:rFonts w:ascii="Times New Roman" w:eastAsia="Times New Roman" w:hAnsi="Times New Roman" w:cs="Times New Roman"/>
                <w:iCs/>
                <w:lang w:eastAsia="lv-LV"/>
              </w:rPr>
              <w:t xml:space="preserve"> </w:t>
            </w:r>
            <w:r w:rsidR="00EE4CC3" w:rsidRPr="00EE4CC3">
              <w:rPr>
                <w:rFonts w:ascii="Times New Roman" w:eastAsia="Times New Roman" w:hAnsi="Times New Roman" w:cs="Times New Roman"/>
                <w:iCs/>
                <w:lang w:eastAsia="lv-LV"/>
              </w:rPr>
              <w:t>650</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F611A0"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-2 874</w:t>
            </w:r>
          </w:p>
        </w:tc>
        <w:tc>
          <w:tcPr>
            <w:tcW w:w="380" w:type="pct"/>
            <w:tcBorders>
              <w:top w:val="outset" w:sz="6" w:space="0" w:color="auto"/>
              <w:left w:val="outset" w:sz="6" w:space="0" w:color="auto"/>
              <w:bottom w:val="outset" w:sz="6" w:space="0" w:color="auto"/>
              <w:right w:val="outset" w:sz="6" w:space="0" w:color="auto"/>
            </w:tcBorders>
          </w:tcPr>
          <w:p w:rsidR="00EE4608" w:rsidRDefault="00EE4608" w:rsidP="00F5542A">
            <w:pPr>
              <w:spacing w:after="0" w:line="240" w:lineRule="auto"/>
              <w:rPr>
                <w:rFonts w:ascii="Times New Roman" w:eastAsia="Times New Roman" w:hAnsi="Times New Roman" w:cs="Times New Roman"/>
                <w:iCs/>
                <w:lang w:eastAsia="lv-LV"/>
              </w:rPr>
            </w:pPr>
          </w:p>
          <w:p w:rsidR="00EE4CC3" w:rsidRPr="00EE4CC3" w:rsidRDefault="00EE4CC3" w:rsidP="00EE4CC3">
            <w:pPr>
              <w:rPr>
                <w:rFonts w:ascii="Times New Roman" w:eastAsia="Times New Roman" w:hAnsi="Times New Roman" w:cs="Times New Roman"/>
                <w:lang w:eastAsia="lv-LV"/>
              </w:rPr>
            </w:pPr>
          </w:p>
          <w:p w:rsidR="00EE4CC3" w:rsidRPr="00EE4CC3" w:rsidRDefault="00EE4CC3" w:rsidP="00EE4CC3">
            <w:pPr>
              <w:rPr>
                <w:rFonts w:ascii="Times New Roman" w:eastAsia="Times New Roman" w:hAnsi="Times New Roman" w:cs="Times New Roman"/>
                <w:lang w:eastAsia="lv-LV"/>
              </w:rPr>
            </w:pPr>
            <w:r w:rsidRPr="00EE4CC3">
              <w:rPr>
                <w:rFonts w:ascii="Times New Roman" w:eastAsia="Times New Roman" w:hAnsi="Times New Roman" w:cs="Times New Roman"/>
                <w:lang w:eastAsia="lv-LV"/>
              </w:rPr>
              <w:t>57</w:t>
            </w:r>
            <w:r w:rsidR="00417268">
              <w:rPr>
                <w:rFonts w:ascii="Times New Roman" w:eastAsia="Times New Roman" w:hAnsi="Times New Roman" w:cs="Times New Roman"/>
                <w:lang w:eastAsia="lv-LV"/>
              </w:rPr>
              <w:t> </w:t>
            </w:r>
            <w:r w:rsidRPr="00EE4CC3">
              <w:rPr>
                <w:rFonts w:ascii="Times New Roman" w:eastAsia="Times New Roman" w:hAnsi="Times New Roman" w:cs="Times New Roman"/>
                <w:lang w:eastAsia="lv-LV"/>
              </w:rPr>
              <w:t>080</w:t>
            </w:r>
            <w:r w:rsidR="00417268">
              <w:rPr>
                <w:rFonts w:ascii="Times New Roman" w:eastAsia="Times New Roman" w:hAnsi="Times New Roman" w:cs="Times New Roman"/>
                <w:lang w:eastAsia="lv-LV"/>
              </w:rPr>
              <w:t xml:space="preserve"> </w:t>
            </w:r>
            <w:r w:rsidRPr="00EE4CC3">
              <w:rPr>
                <w:rFonts w:ascii="Times New Roman" w:eastAsia="Times New Roman" w:hAnsi="Times New Roman" w:cs="Times New Roman"/>
                <w:lang w:eastAsia="lv-LV"/>
              </w:rPr>
              <w:t>146</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F611A0" w:rsidP="000D7B47">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- 3 597</w:t>
            </w:r>
          </w:p>
        </w:tc>
      </w:tr>
      <w:tr w:rsidR="008E3452"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077BD6" w:rsidRDefault="00EE4608" w:rsidP="006544F5">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1.2. valsts speciālais 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tcPr>
          <w:p w:rsidR="00EE4608"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0930C0" w:rsidRDefault="000930C0" w:rsidP="000930C0">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EE4608" w:rsidRPr="00077BD6" w:rsidRDefault="00EE4608" w:rsidP="004709FC">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1.3. pašvaldību 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 Budžeta izdevumi</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lastRenderedPageBreak/>
              <w:t>2.1. valsts pamatbudžets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2.2. valsts speciālais 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2.3. pašvaldību 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F611A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 Finansiālā ietekme</w:t>
            </w:r>
          </w:p>
        </w:tc>
        <w:tc>
          <w:tcPr>
            <w:tcW w:w="421"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470" w:type="pct"/>
            <w:gridSpan w:val="2"/>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F611A0" w:rsidRPr="00F611A0" w:rsidRDefault="00F611A0" w:rsidP="00F611A0">
            <w:pPr>
              <w:spacing w:after="0"/>
              <w:jc w:val="center"/>
              <w:rPr>
                <w:rFonts w:ascii="Times New Roman" w:hAnsi="Times New Roman" w:cs="Times New Roman"/>
              </w:rPr>
            </w:pPr>
            <w:r w:rsidRPr="00F611A0">
              <w:rPr>
                <w:rFonts w:ascii="Times New Roman" w:hAnsi="Times New Roman" w:cs="Times New Roman"/>
              </w:rPr>
              <w:t>-3 062</w:t>
            </w:r>
          </w:p>
        </w:tc>
        <w:tc>
          <w:tcPr>
            <w:tcW w:w="380"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72"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-2 874</w:t>
            </w:r>
          </w:p>
        </w:tc>
        <w:tc>
          <w:tcPr>
            <w:tcW w:w="380" w:type="pct"/>
            <w:tcBorders>
              <w:top w:val="outset" w:sz="6" w:space="0" w:color="auto"/>
              <w:left w:val="outset" w:sz="6" w:space="0" w:color="auto"/>
              <w:bottom w:val="outset" w:sz="6" w:space="0" w:color="auto"/>
              <w:right w:val="outset" w:sz="6" w:space="0" w:color="auto"/>
            </w:tcBorders>
            <w:vAlign w:val="center"/>
          </w:tcPr>
          <w:p w:rsidR="00F611A0" w:rsidRPr="00077BD6" w:rsidRDefault="00F611A0" w:rsidP="00F611A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611A0" w:rsidRPr="00077BD6" w:rsidRDefault="00F611A0" w:rsidP="00F611A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- 3 597</w:t>
            </w:r>
          </w:p>
        </w:tc>
      </w:tr>
      <w:tr w:rsidR="00F611A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3.1. valsts pamatbudžets</w:t>
            </w:r>
          </w:p>
        </w:tc>
        <w:tc>
          <w:tcPr>
            <w:tcW w:w="421"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tabs>
                <w:tab w:val="center" w:pos="4153"/>
                <w:tab w:val="right" w:pos="8306"/>
              </w:tabs>
              <w:spacing w:before="75" w:after="75" w:line="240" w:lineRule="auto"/>
              <w:jc w:val="center"/>
              <w:rPr>
                <w:rFonts w:ascii="Times New Roman" w:eastAsia="Times New Roman" w:hAnsi="Times New Roman" w:cs="Times New Roman"/>
                <w:highlight w:val="yellow"/>
                <w:lang w:eastAsia="lv-LV"/>
              </w:rPr>
            </w:pPr>
            <w:r>
              <w:rPr>
                <w:rFonts w:ascii="Times New Roman" w:eastAsia="Times New Roman" w:hAnsi="Times New Roman" w:cs="Times New Roman"/>
                <w:lang w:eastAsia="lv-LV"/>
              </w:rPr>
              <w:t>0</w:t>
            </w:r>
          </w:p>
        </w:tc>
        <w:tc>
          <w:tcPr>
            <w:tcW w:w="470" w:type="pct"/>
            <w:gridSpan w:val="2"/>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742"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F611A0" w:rsidRPr="00F611A0" w:rsidRDefault="00F611A0" w:rsidP="00F611A0">
            <w:pPr>
              <w:spacing w:after="0"/>
              <w:jc w:val="center"/>
              <w:rPr>
                <w:rFonts w:ascii="Times New Roman" w:hAnsi="Times New Roman" w:cs="Times New Roman"/>
              </w:rPr>
            </w:pPr>
            <w:r w:rsidRPr="00F611A0">
              <w:rPr>
                <w:rFonts w:ascii="Times New Roman" w:hAnsi="Times New Roman" w:cs="Times New Roman"/>
              </w:rPr>
              <w:t>-3 062</w:t>
            </w:r>
          </w:p>
        </w:tc>
        <w:tc>
          <w:tcPr>
            <w:tcW w:w="380"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572" w:type="pct"/>
            <w:tcBorders>
              <w:top w:val="outset" w:sz="6" w:space="0" w:color="auto"/>
              <w:left w:val="outset" w:sz="6" w:space="0" w:color="auto"/>
              <w:bottom w:val="outset" w:sz="6" w:space="0" w:color="auto"/>
              <w:right w:val="outset" w:sz="6" w:space="0" w:color="auto"/>
            </w:tcBorders>
            <w:hideMark/>
          </w:tcPr>
          <w:p w:rsidR="00F611A0" w:rsidRPr="00077BD6" w:rsidRDefault="00F611A0" w:rsidP="00F611A0">
            <w:pPr>
              <w:spacing w:before="75" w:after="75" w:line="240" w:lineRule="auto"/>
              <w:jc w:val="center"/>
              <w:rPr>
                <w:rFonts w:ascii="Times New Roman" w:eastAsia="Times New Roman" w:hAnsi="Times New Roman" w:cs="Times New Roman"/>
                <w:lang w:eastAsia="lv-LV"/>
              </w:rPr>
            </w:pPr>
            <w:r>
              <w:rPr>
                <w:rFonts w:ascii="Times New Roman" w:eastAsia="Times New Roman" w:hAnsi="Times New Roman" w:cs="Times New Roman"/>
                <w:iCs/>
                <w:lang w:eastAsia="lv-LV"/>
              </w:rPr>
              <w:t>-2 874</w:t>
            </w:r>
          </w:p>
        </w:tc>
        <w:tc>
          <w:tcPr>
            <w:tcW w:w="380" w:type="pct"/>
            <w:tcBorders>
              <w:top w:val="outset" w:sz="6" w:space="0" w:color="auto"/>
              <w:left w:val="outset" w:sz="6" w:space="0" w:color="auto"/>
              <w:bottom w:val="outset" w:sz="6" w:space="0" w:color="auto"/>
              <w:right w:val="outset" w:sz="6" w:space="0" w:color="auto"/>
            </w:tcBorders>
            <w:vAlign w:val="center"/>
          </w:tcPr>
          <w:p w:rsidR="00F611A0" w:rsidRPr="00077BD6" w:rsidRDefault="00F611A0" w:rsidP="00F611A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F611A0" w:rsidRPr="00077BD6" w:rsidRDefault="00F611A0" w:rsidP="00F611A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lang w:eastAsia="lv-LV"/>
              </w:rPr>
              <w:t>- 3 597</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3.2. speciālais 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3.3. pašvaldību budžets</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21"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vAlign w:val="center"/>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 Precizēta finansiālā ietekme</w:t>
            </w:r>
          </w:p>
        </w:tc>
        <w:tc>
          <w:tcPr>
            <w:tcW w:w="421"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5.1. valsts pamatbudžets</w:t>
            </w:r>
          </w:p>
        </w:tc>
        <w:tc>
          <w:tcPr>
            <w:tcW w:w="421"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5.2. speciālais budžets</w:t>
            </w:r>
          </w:p>
        </w:tc>
        <w:tc>
          <w:tcPr>
            <w:tcW w:w="421"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0930C0"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5.3. pašvaldību budžets</w:t>
            </w:r>
          </w:p>
        </w:tc>
        <w:tc>
          <w:tcPr>
            <w:tcW w:w="421"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47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742"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80" w:type="pct"/>
            <w:gridSpan w:val="2"/>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vMerge/>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rPr>
                <w:rFonts w:ascii="Times New Roman" w:eastAsia="Times New Roman" w:hAnsi="Times New Roman" w:cs="Times New Roman"/>
                <w:iCs/>
                <w:color w:val="414142"/>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c>
          <w:tcPr>
            <w:tcW w:w="380" w:type="pct"/>
            <w:tcBorders>
              <w:top w:val="outset" w:sz="6" w:space="0" w:color="auto"/>
              <w:left w:val="outset" w:sz="6" w:space="0" w:color="auto"/>
              <w:bottom w:val="outset" w:sz="6" w:space="0" w:color="auto"/>
              <w:right w:val="outset" w:sz="6" w:space="0" w:color="auto"/>
            </w:tcBorders>
          </w:tcPr>
          <w:p w:rsidR="000930C0" w:rsidRPr="00462D96" w:rsidRDefault="000930C0" w:rsidP="000930C0">
            <w:pPr>
              <w:spacing w:after="0" w:line="240" w:lineRule="auto"/>
              <w:jc w:val="center"/>
              <w:rPr>
                <w:rFonts w:ascii="Times New Roman" w:eastAsia="Times New Roman" w:hAnsi="Times New Roman" w:cs="Times New Roman"/>
                <w:iCs/>
                <w:color w:val="414142"/>
              </w:rPr>
            </w:pPr>
          </w:p>
        </w:tc>
        <w:tc>
          <w:tcPr>
            <w:tcW w:w="572" w:type="pct"/>
            <w:tcBorders>
              <w:top w:val="outset" w:sz="6" w:space="0" w:color="auto"/>
              <w:left w:val="outset" w:sz="6" w:space="0" w:color="auto"/>
              <w:bottom w:val="outset" w:sz="6" w:space="0" w:color="auto"/>
              <w:right w:val="outset" w:sz="6" w:space="0" w:color="auto"/>
            </w:tcBorders>
            <w:vAlign w:val="center"/>
            <w:hideMark/>
          </w:tcPr>
          <w:p w:rsidR="000930C0" w:rsidRPr="00077BD6" w:rsidRDefault="000930C0" w:rsidP="000930C0">
            <w:pPr>
              <w:spacing w:after="0" w:line="240" w:lineRule="auto"/>
              <w:jc w:val="center"/>
              <w:rPr>
                <w:rFonts w:ascii="Times New Roman" w:eastAsia="Times New Roman" w:hAnsi="Times New Roman" w:cs="Times New Roman"/>
                <w:iCs/>
                <w:color w:val="414142"/>
                <w:lang w:eastAsia="lv-LV"/>
              </w:rPr>
            </w:pPr>
            <w:r w:rsidRPr="00077BD6">
              <w:rPr>
                <w:rFonts w:ascii="Times New Roman" w:eastAsia="Times New Roman" w:hAnsi="Times New Roman" w:cs="Times New Roman"/>
                <w:iCs/>
                <w:color w:val="414142"/>
                <w:lang w:eastAsia="lv-LV"/>
              </w:rPr>
              <w:t>0</w:t>
            </w:r>
          </w:p>
        </w:tc>
      </w:tr>
      <w:tr w:rsidR="00EE4608"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xml:space="preserve">6. Detalizēts ieņēmumu un izdevumu aprēķins (ja nepieciešams, detalizētu ieņēmumu un izdevumu aprēķinu var pievienot </w:t>
            </w:r>
            <w:r w:rsidRPr="00457253">
              <w:rPr>
                <w:rFonts w:ascii="Times New Roman" w:eastAsia="Times New Roman" w:hAnsi="Times New Roman" w:cs="Times New Roman"/>
                <w:iCs/>
                <w:color w:val="414142"/>
                <w:lang w:eastAsia="lv-LV"/>
              </w:rPr>
              <w:lastRenderedPageBreak/>
              <w:t>anotācijas pielikumā)</w:t>
            </w:r>
          </w:p>
        </w:tc>
        <w:tc>
          <w:tcPr>
            <w:tcW w:w="623"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592"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 </w:t>
            </w:r>
            <w:r w:rsidRPr="00457253">
              <w:rPr>
                <w:rFonts w:ascii="Times New Roman" w:hAnsi="Times New Roman" w:cs="Times New Roman"/>
              </w:rPr>
              <w:t>Projekts šo jomu neskar.</w:t>
            </w:r>
          </w:p>
        </w:tc>
      </w:tr>
      <w:tr w:rsidR="00EE4608"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6.1. detalizēts ieņēmumu aprēķins</w:t>
            </w:r>
          </w:p>
        </w:tc>
        <w:tc>
          <w:tcPr>
            <w:tcW w:w="623"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592"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6.2. detalizēts izdevumu aprēķins</w:t>
            </w:r>
          </w:p>
        </w:tc>
        <w:tc>
          <w:tcPr>
            <w:tcW w:w="623"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c>
          <w:tcPr>
            <w:tcW w:w="3592"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p>
        </w:tc>
      </w:tr>
      <w:tr w:rsidR="00EE4608"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color w:val="414142"/>
                <w:lang w:eastAsia="lv-LV"/>
              </w:rPr>
            </w:pPr>
            <w:r w:rsidRPr="00457253">
              <w:rPr>
                <w:rFonts w:ascii="Times New Roman" w:eastAsia="Times New Roman" w:hAnsi="Times New Roman" w:cs="Times New Roman"/>
                <w:iCs/>
                <w:color w:val="414142"/>
                <w:lang w:eastAsia="lv-LV"/>
              </w:rPr>
              <w:t>7. Amata vietu skaita izmaiņas</w:t>
            </w:r>
          </w:p>
        </w:tc>
        <w:tc>
          <w:tcPr>
            <w:tcW w:w="623" w:type="pct"/>
            <w:gridSpan w:val="2"/>
            <w:tcBorders>
              <w:top w:val="outset" w:sz="6" w:space="0" w:color="auto"/>
              <w:left w:val="outset" w:sz="6" w:space="0" w:color="auto"/>
              <w:bottom w:val="outset" w:sz="6" w:space="0" w:color="auto"/>
              <w:right w:val="outset" w:sz="6" w:space="0" w:color="auto"/>
            </w:tcBorders>
          </w:tcPr>
          <w:p w:rsidR="00EE4608" w:rsidRPr="00457253" w:rsidRDefault="00EE4608" w:rsidP="006544F5">
            <w:pPr>
              <w:spacing w:after="0" w:line="240" w:lineRule="auto"/>
              <w:rPr>
                <w:rFonts w:ascii="Times New Roman" w:eastAsia="Times New Roman" w:hAnsi="Times New Roman" w:cs="Times New Roman"/>
                <w:iCs/>
                <w:lang w:eastAsia="lv-LV"/>
              </w:rPr>
            </w:pPr>
          </w:p>
        </w:tc>
        <w:tc>
          <w:tcPr>
            <w:tcW w:w="3592" w:type="pct"/>
            <w:gridSpan w:val="8"/>
            <w:tcBorders>
              <w:top w:val="outset" w:sz="6" w:space="0" w:color="auto"/>
              <w:left w:val="outset" w:sz="6" w:space="0" w:color="auto"/>
              <w:bottom w:val="outset" w:sz="6" w:space="0" w:color="auto"/>
              <w:right w:val="outset" w:sz="6" w:space="0" w:color="auto"/>
            </w:tcBorders>
            <w:hideMark/>
          </w:tcPr>
          <w:p w:rsidR="00EE4608" w:rsidRPr="00457253" w:rsidRDefault="00EE4608" w:rsidP="006544F5">
            <w:pPr>
              <w:spacing w:after="0" w:line="240" w:lineRule="auto"/>
              <w:rPr>
                <w:rFonts w:ascii="Times New Roman" w:eastAsia="Times New Roman" w:hAnsi="Times New Roman" w:cs="Times New Roman"/>
                <w:iCs/>
                <w:lang w:eastAsia="lv-LV"/>
              </w:rPr>
            </w:pPr>
            <w:r w:rsidRPr="00457253">
              <w:rPr>
                <w:rFonts w:ascii="Times New Roman" w:eastAsia="Times New Roman" w:hAnsi="Times New Roman" w:cs="Times New Roman"/>
                <w:iCs/>
                <w:lang w:eastAsia="lv-LV"/>
              </w:rPr>
              <w:t>Nav attiecināms</w:t>
            </w:r>
          </w:p>
        </w:tc>
      </w:tr>
      <w:tr w:rsidR="00EE4608" w:rsidRPr="00B57C6C" w:rsidTr="00F611A0">
        <w:trPr>
          <w:tblCellSpacing w:w="15" w:type="dxa"/>
          <w:jc w:val="center"/>
        </w:trPr>
        <w:tc>
          <w:tcPr>
            <w:tcW w:w="718" w:type="pct"/>
            <w:gridSpan w:val="2"/>
            <w:tcBorders>
              <w:top w:val="outset" w:sz="6" w:space="0" w:color="auto"/>
              <w:left w:val="outset" w:sz="6" w:space="0" w:color="auto"/>
              <w:bottom w:val="outset" w:sz="6" w:space="0" w:color="auto"/>
              <w:right w:val="outset" w:sz="6" w:space="0" w:color="auto"/>
            </w:tcBorders>
            <w:hideMark/>
          </w:tcPr>
          <w:p w:rsidR="00EE4608" w:rsidRPr="00B57C6C" w:rsidRDefault="00EE4608" w:rsidP="006544F5">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8. Cita informācija</w:t>
            </w:r>
          </w:p>
        </w:tc>
        <w:tc>
          <w:tcPr>
            <w:tcW w:w="623" w:type="pct"/>
            <w:gridSpan w:val="2"/>
            <w:tcBorders>
              <w:top w:val="outset" w:sz="6" w:space="0" w:color="auto"/>
              <w:left w:val="outset" w:sz="6" w:space="0" w:color="auto"/>
              <w:bottom w:val="outset" w:sz="6" w:space="0" w:color="auto"/>
              <w:right w:val="outset" w:sz="6" w:space="0" w:color="auto"/>
            </w:tcBorders>
          </w:tcPr>
          <w:p w:rsidR="00EE4608" w:rsidRPr="000B312A"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592" w:type="pct"/>
            <w:gridSpan w:val="8"/>
            <w:tcBorders>
              <w:top w:val="outset" w:sz="6" w:space="0" w:color="auto"/>
              <w:left w:val="outset" w:sz="6" w:space="0" w:color="auto"/>
              <w:bottom w:val="outset" w:sz="6" w:space="0" w:color="auto"/>
              <w:right w:val="outset" w:sz="6" w:space="0" w:color="auto"/>
            </w:tcBorders>
            <w:hideMark/>
          </w:tcPr>
          <w:p w:rsidR="00EE4608" w:rsidRPr="00B57C6C" w:rsidRDefault="00FC0DD0" w:rsidP="006544F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S</w:t>
            </w:r>
            <w:r w:rsidR="00EE4608" w:rsidRPr="000B312A">
              <w:rPr>
                <w:rFonts w:ascii="Times New Roman" w:eastAsia="Times New Roman" w:hAnsi="Times New Roman" w:cs="Times New Roman"/>
                <w:iCs/>
                <w:sz w:val="24"/>
                <w:szCs w:val="24"/>
                <w:lang w:eastAsia="lv-LV"/>
              </w:rPr>
              <w:t>askaņā ar stratēģijas projektu “Valsts sabiedrības ar ierobežotu atbildību “</w:t>
            </w:r>
            <w:r w:rsidR="00266863" w:rsidRPr="00266863">
              <w:rPr>
                <w:rFonts w:ascii="Times New Roman" w:eastAsia="Times New Roman" w:hAnsi="Times New Roman" w:cs="Times New Roman"/>
                <w:iCs/>
                <w:sz w:val="24"/>
                <w:szCs w:val="24"/>
                <w:lang w:eastAsia="lv-LV"/>
              </w:rPr>
              <w:t>Bērnu psihoneiroloģiskā slimnīca “Ainaži”</w:t>
            </w:r>
            <w:r w:rsidR="00EE4608" w:rsidRPr="000B312A">
              <w:rPr>
                <w:rFonts w:ascii="Times New Roman" w:eastAsia="Times New Roman" w:hAnsi="Times New Roman" w:cs="Times New Roman"/>
                <w:iCs/>
                <w:sz w:val="24"/>
                <w:szCs w:val="24"/>
                <w:lang w:eastAsia="lv-LV"/>
              </w:rPr>
              <w:t xml:space="preserve">” </w:t>
            </w:r>
            <w:r w:rsidR="00A92B04" w:rsidRPr="00A92B04">
              <w:rPr>
                <w:rFonts w:ascii="Times New Roman" w:eastAsia="Times New Roman" w:hAnsi="Times New Roman" w:cs="Times New Roman"/>
                <w:iCs/>
                <w:sz w:val="24"/>
                <w:szCs w:val="24"/>
                <w:lang w:eastAsia="lv-LV"/>
              </w:rPr>
              <w:t xml:space="preserve">vidēja termiņa darbības stratēģija 2019. – 2022.gadam”, pieņemot lēmumu par atšķirīgu dividendēs izmaksājamo summu (nosakot 0 procentu likmi), valsts budžetā trijos gados kopā netiktu pārskaitīta summa </w:t>
            </w:r>
            <w:r w:rsidR="00A92B04">
              <w:rPr>
                <w:rFonts w:ascii="Times New Roman" w:eastAsia="Times New Roman" w:hAnsi="Times New Roman" w:cs="Times New Roman"/>
                <w:iCs/>
                <w:sz w:val="24"/>
                <w:szCs w:val="24"/>
                <w:lang w:eastAsia="lv-LV"/>
              </w:rPr>
              <w:t>9 533</w:t>
            </w:r>
            <w:r w:rsidR="00A92B04" w:rsidRPr="00A92B04">
              <w:rPr>
                <w:rFonts w:ascii="Times New Roman" w:eastAsia="Times New Roman" w:hAnsi="Times New Roman" w:cs="Times New Roman"/>
                <w:iCs/>
                <w:sz w:val="24"/>
                <w:szCs w:val="24"/>
                <w:lang w:eastAsia="lv-LV"/>
              </w:rPr>
              <w:t xml:space="preserve"> </w:t>
            </w:r>
            <w:r w:rsidR="00A92B04" w:rsidRPr="00A92B04">
              <w:rPr>
                <w:rFonts w:ascii="Times New Roman" w:eastAsia="Times New Roman" w:hAnsi="Times New Roman" w:cs="Times New Roman"/>
                <w:i/>
                <w:iCs/>
                <w:sz w:val="24"/>
                <w:szCs w:val="24"/>
                <w:lang w:eastAsia="lv-LV"/>
              </w:rPr>
              <w:t>euro</w:t>
            </w:r>
            <w:r w:rsidR="00A92B04" w:rsidRPr="00A92B04">
              <w:rPr>
                <w:rFonts w:ascii="Times New Roman" w:eastAsia="Times New Roman" w:hAnsi="Times New Roman" w:cs="Times New Roman"/>
                <w:iCs/>
                <w:sz w:val="24"/>
                <w:szCs w:val="24"/>
                <w:lang w:eastAsia="lv-LV"/>
              </w:rPr>
              <w:t xml:space="preserve"> apmērā. Minētā summa paliktu kapitālsabiedrības rīcībā un tiktu novirzīta infrastruktūras uzlabošanai un uzturēšanai, lai nodrošinātu ilgtermiņa attīstību un kvalitatīvu valsts apmaksāto veselības aprūpes pakalpojumu sniegšanu.</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57544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p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B57C6C"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B57C6C"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bCs/>
                <w:iCs/>
                <w:color w:val="414142"/>
                <w:sz w:val="24"/>
                <w:szCs w:val="24"/>
                <w:lang w:val="en-US" w:eastAsia="lv-LV"/>
              </w:rPr>
              <w:t>Projekts šo jomu neskar</w:t>
            </w:r>
          </w:p>
        </w:tc>
      </w:tr>
    </w:tbl>
    <w:p w:rsidR="004A183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rsidR="00C25B49" w:rsidRDefault="00C25B49" w:rsidP="00894C55">
      <w:pPr>
        <w:spacing w:after="0" w:line="240" w:lineRule="auto"/>
        <w:rPr>
          <w:rFonts w:ascii="Times New Roman" w:hAnsi="Times New Roman" w:cs="Times New Roman"/>
          <w:sz w:val="28"/>
          <w:szCs w:val="28"/>
        </w:rPr>
      </w:pPr>
    </w:p>
    <w:p w:rsidR="00563C1B" w:rsidRDefault="00563C1B" w:rsidP="00FA1A94">
      <w:pPr>
        <w:tabs>
          <w:tab w:val="left" w:pos="6237"/>
        </w:tabs>
        <w:spacing w:after="0" w:line="240" w:lineRule="auto"/>
        <w:ind w:firstLine="720"/>
        <w:rPr>
          <w:rFonts w:ascii="Times New Roman" w:hAnsi="Times New Roman" w:cs="Times New Roman"/>
          <w:sz w:val="28"/>
          <w:szCs w:val="28"/>
        </w:rPr>
      </w:pPr>
    </w:p>
    <w:p w:rsidR="00864963" w:rsidRDefault="00864963" w:rsidP="00864963">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rsidR="00864963" w:rsidRDefault="00864963" w:rsidP="00864963">
      <w:pPr>
        <w:tabs>
          <w:tab w:val="left" w:pos="6237"/>
        </w:tabs>
        <w:spacing w:after="0" w:line="240" w:lineRule="auto"/>
        <w:ind w:firstLine="720"/>
        <w:rPr>
          <w:rFonts w:ascii="Times New Roman" w:hAnsi="Times New Roman" w:cs="Times New Roman"/>
          <w:sz w:val="28"/>
          <w:szCs w:val="28"/>
        </w:rPr>
      </w:pPr>
    </w:p>
    <w:p w:rsidR="00864963" w:rsidRDefault="00864963" w:rsidP="00864963">
      <w:pPr>
        <w:autoSpaceDE w:val="0"/>
        <w:autoSpaceDN w:val="0"/>
        <w:adjustRightInd w:val="0"/>
        <w:spacing w:after="240" w:line="240" w:lineRule="auto"/>
        <w:rPr>
          <w:rFonts w:ascii="Times New Roman" w:hAnsi="Times New Roman" w:cs="Times New Roman"/>
          <w:sz w:val="28"/>
          <w:szCs w:val="28"/>
        </w:rPr>
      </w:pPr>
      <w:r>
        <w:rPr>
          <w:rFonts w:ascii="Times New Roman" w:hAnsi="Times New Roman"/>
          <w:sz w:val="28"/>
          <w:szCs w:val="28"/>
          <w:lang w:bidi="gu-IN"/>
        </w:rPr>
        <w:t>Vīza: Valsts sekretāre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D. Mūrmane-Umbraško</w:t>
      </w:r>
    </w:p>
    <w:p w:rsidR="00864963" w:rsidRDefault="00864963" w:rsidP="00864963">
      <w:pPr>
        <w:tabs>
          <w:tab w:val="left" w:pos="6237"/>
        </w:tabs>
        <w:spacing w:after="0" w:line="240" w:lineRule="auto"/>
        <w:rPr>
          <w:rFonts w:ascii="Times New Roman" w:hAnsi="Times New Roman" w:cs="Times New Roman"/>
          <w:sz w:val="24"/>
          <w:szCs w:val="28"/>
        </w:rPr>
      </w:pPr>
    </w:p>
    <w:p w:rsidR="00864963"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Karpovs</w:t>
      </w:r>
      <w:r w:rsidR="00864963">
        <w:rPr>
          <w:rFonts w:ascii="Times New Roman" w:hAnsi="Times New Roman" w:cs="Times New Roman"/>
          <w:sz w:val="24"/>
          <w:szCs w:val="28"/>
        </w:rPr>
        <w:t xml:space="preserve"> 67876</w:t>
      </w:r>
      <w:r>
        <w:rPr>
          <w:rFonts w:ascii="Times New Roman" w:hAnsi="Times New Roman" w:cs="Times New Roman"/>
          <w:sz w:val="24"/>
          <w:szCs w:val="28"/>
        </w:rPr>
        <w:t>036</w:t>
      </w:r>
    </w:p>
    <w:p w:rsidR="00894C55" w:rsidRPr="00B57C6C" w:rsidRDefault="00FC0DD0" w:rsidP="00864963">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Konstantins.Karpovs</w:t>
      </w:r>
      <w:r w:rsidR="00864963">
        <w:rPr>
          <w:rFonts w:ascii="Times New Roman" w:hAnsi="Times New Roman" w:cs="Times New Roman"/>
          <w:sz w:val="24"/>
          <w:szCs w:val="28"/>
        </w:rPr>
        <w:t>@vm.gov.lv</w:t>
      </w:r>
    </w:p>
    <w:sectPr w:rsidR="00894C55" w:rsidRPr="00B57C6C"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74" w:rsidRDefault="008F6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385ADF" w:rsidRDefault="00385ADF" w:rsidP="00385ADF">
    <w:pPr>
      <w:pStyle w:val="Footer"/>
      <w:rPr>
        <w:rFonts w:ascii="Times New Roman" w:hAnsi="Times New Roman" w:cs="Times New Roman"/>
        <w:sz w:val="20"/>
        <w:szCs w:val="20"/>
      </w:rPr>
    </w:pPr>
    <w:r>
      <w:rPr>
        <w:rFonts w:ascii="Times New Roman" w:hAnsi="Times New Roman" w:cs="Times New Roman"/>
        <w:sz w:val="20"/>
        <w:szCs w:val="20"/>
      </w:rPr>
      <w:t>VManot_</w:t>
    </w:r>
    <w:r w:rsidR="00716717">
      <w:rPr>
        <w:rFonts w:ascii="Times New Roman" w:hAnsi="Times New Roman" w:cs="Times New Roman"/>
        <w:sz w:val="20"/>
        <w:szCs w:val="20"/>
      </w:rPr>
      <w:t>2</w:t>
    </w:r>
    <w:r w:rsidR="008F6D74">
      <w:rPr>
        <w:rFonts w:ascii="Times New Roman" w:hAnsi="Times New Roman" w:cs="Times New Roman"/>
        <w:sz w:val="20"/>
        <w:szCs w:val="20"/>
      </w:rPr>
      <w:t>2</w:t>
    </w:r>
    <w:r>
      <w:rPr>
        <w:rFonts w:ascii="Times New Roman" w:hAnsi="Times New Roman" w:cs="Times New Roman"/>
        <w:sz w:val="20"/>
        <w:szCs w:val="20"/>
      </w:rPr>
      <w:t>1119</w:t>
    </w:r>
    <w:r w:rsidRPr="00260163">
      <w:rPr>
        <w:rFonts w:ascii="Times New Roman" w:hAnsi="Times New Roman" w:cs="Times New Roman"/>
        <w:sz w:val="20"/>
        <w:szCs w:val="20"/>
      </w:rPr>
      <w:t>_</w:t>
    </w:r>
    <w:r w:rsidR="00716717">
      <w:rPr>
        <w:rFonts w:ascii="Times New Roman" w:hAnsi="Times New Roman" w:cs="Times New Roman"/>
        <w:sz w:val="20"/>
        <w:szCs w:val="20"/>
      </w:rPr>
      <w:t>Ainazi</w:t>
    </w:r>
    <w:r w:rsidRPr="00260163">
      <w:rPr>
        <w:rFonts w:ascii="Times New Roman" w:hAnsi="Times New Roman" w:cs="Times New Roman"/>
        <w:sz w:val="20"/>
        <w:szCs w:val="20"/>
      </w:rPr>
      <w:t>_divid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385ADF" w:rsidRDefault="00774A56" w:rsidP="00864963">
    <w:pPr>
      <w:pStyle w:val="Footer"/>
      <w:rPr>
        <w:rFonts w:ascii="Times New Roman" w:hAnsi="Times New Roman" w:cs="Times New Roman"/>
        <w:sz w:val="20"/>
        <w:szCs w:val="20"/>
      </w:rPr>
    </w:pPr>
    <w:r>
      <w:rPr>
        <w:rFonts w:ascii="Times New Roman" w:hAnsi="Times New Roman" w:cs="Times New Roman"/>
        <w:sz w:val="20"/>
        <w:szCs w:val="20"/>
      </w:rPr>
      <w:t>VManot_</w:t>
    </w:r>
    <w:r w:rsidR="00716717">
      <w:rPr>
        <w:rFonts w:ascii="Times New Roman" w:hAnsi="Times New Roman" w:cs="Times New Roman"/>
        <w:sz w:val="20"/>
        <w:szCs w:val="20"/>
      </w:rPr>
      <w:t>2</w:t>
    </w:r>
    <w:r w:rsidR="008F6D74">
      <w:rPr>
        <w:rFonts w:ascii="Times New Roman" w:hAnsi="Times New Roman" w:cs="Times New Roman"/>
        <w:sz w:val="20"/>
        <w:szCs w:val="20"/>
      </w:rPr>
      <w:t>2</w:t>
    </w:r>
    <w:r>
      <w:rPr>
        <w:rFonts w:ascii="Times New Roman" w:hAnsi="Times New Roman" w:cs="Times New Roman"/>
        <w:sz w:val="20"/>
        <w:szCs w:val="20"/>
      </w:rPr>
      <w:t>1119</w:t>
    </w:r>
    <w:r w:rsidRPr="00260163">
      <w:rPr>
        <w:rFonts w:ascii="Times New Roman" w:hAnsi="Times New Roman" w:cs="Times New Roman"/>
        <w:sz w:val="20"/>
        <w:szCs w:val="20"/>
      </w:rPr>
      <w:t>_</w:t>
    </w:r>
    <w:r w:rsidR="00716717">
      <w:rPr>
        <w:rFonts w:ascii="Times New Roman" w:hAnsi="Times New Roman" w:cs="Times New Roman"/>
        <w:sz w:val="20"/>
        <w:szCs w:val="20"/>
      </w:rPr>
      <w:t>Ainazi</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74" w:rsidRDefault="008F6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D74" w:rsidRDefault="008F6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673C2"/>
    <w:multiLevelType w:val="hybridMultilevel"/>
    <w:tmpl w:val="0324B77E"/>
    <w:lvl w:ilvl="0" w:tplc="8EDAB3D8">
      <w:start w:val="191"/>
      <w:numFmt w:val="bullet"/>
      <w:lvlText w:val="-"/>
      <w:lvlJc w:val="left"/>
      <w:pPr>
        <w:ind w:left="338" w:hanging="360"/>
      </w:pPr>
      <w:rPr>
        <w:rFonts w:ascii="Times New Roman" w:eastAsia="Times New Roman" w:hAnsi="Times New Roman" w:cs="Times New Roman" w:hint="default"/>
      </w:rPr>
    </w:lvl>
    <w:lvl w:ilvl="1" w:tplc="04260003" w:tentative="1">
      <w:start w:val="1"/>
      <w:numFmt w:val="bullet"/>
      <w:lvlText w:val="o"/>
      <w:lvlJc w:val="left"/>
      <w:pPr>
        <w:ind w:left="1058" w:hanging="360"/>
      </w:pPr>
      <w:rPr>
        <w:rFonts w:ascii="Courier New" w:hAnsi="Courier New" w:cs="Courier New" w:hint="default"/>
      </w:rPr>
    </w:lvl>
    <w:lvl w:ilvl="2" w:tplc="04260005" w:tentative="1">
      <w:start w:val="1"/>
      <w:numFmt w:val="bullet"/>
      <w:lvlText w:val=""/>
      <w:lvlJc w:val="left"/>
      <w:pPr>
        <w:ind w:left="1778" w:hanging="360"/>
      </w:pPr>
      <w:rPr>
        <w:rFonts w:ascii="Wingdings" w:hAnsi="Wingdings" w:hint="default"/>
      </w:rPr>
    </w:lvl>
    <w:lvl w:ilvl="3" w:tplc="04260001" w:tentative="1">
      <w:start w:val="1"/>
      <w:numFmt w:val="bullet"/>
      <w:lvlText w:val=""/>
      <w:lvlJc w:val="left"/>
      <w:pPr>
        <w:ind w:left="2498" w:hanging="360"/>
      </w:pPr>
      <w:rPr>
        <w:rFonts w:ascii="Symbol" w:hAnsi="Symbol" w:hint="default"/>
      </w:rPr>
    </w:lvl>
    <w:lvl w:ilvl="4" w:tplc="04260003" w:tentative="1">
      <w:start w:val="1"/>
      <w:numFmt w:val="bullet"/>
      <w:lvlText w:val="o"/>
      <w:lvlJc w:val="left"/>
      <w:pPr>
        <w:ind w:left="3218" w:hanging="360"/>
      </w:pPr>
      <w:rPr>
        <w:rFonts w:ascii="Courier New" w:hAnsi="Courier New" w:cs="Courier New" w:hint="default"/>
      </w:rPr>
    </w:lvl>
    <w:lvl w:ilvl="5" w:tplc="04260005" w:tentative="1">
      <w:start w:val="1"/>
      <w:numFmt w:val="bullet"/>
      <w:lvlText w:val=""/>
      <w:lvlJc w:val="left"/>
      <w:pPr>
        <w:ind w:left="3938" w:hanging="360"/>
      </w:pPr>
      <w:rPr>
        <w:rFonts w:ascii="Wingdings" w:hAnsi="Wingdings" w:hint="default"/>
      </w:rPr>
    </w:lvl>
    <w:lvl w:ilvl="6" w:tplc="04260001" w:tentative="1">
      <w:start w:val="1"/>
      <w:numFmt w:val="bullet"/>
      <w:lvlText w:val=""/>
      <w:lvlJc w:val="left"/>
      <w:pPr>
        <w:ind w:left="4658" w:hanging="360"/>
      </w:pPr>
      <w:rPr>
        <w:rFonts w:ascii="Symbol" w:hAnsi="Symbol" w:hint="default"/>
      </w:rPr>
    </w:lvl>
    <w:lvl w:ilvl="7" w:tplc="04260003" w:tentative="1">
      <w:start w:val="1"/>
      <w:numFmt w:val="bullet"/>
      <w:lvlText w:val="o"/>
      <w:lvlJc w:val="left"/>
      <w:pPr>
        <w:ind w:left="5378" w:hanging="360"/>
      </w:pPr>
      <w:rPr>
        <w:rFonts w:ascii="Courier New" w:hAnsi="Courier New" w:cs="Courier New" w:hint="default"/>
      </w:rPr>
    </w:lvl>
    <w:lvl w:ilvl="8" w:tplc="04260005" w:tentative="1">
      <w:start w:val="1"/>
      <w:numFmt w:val="bullet"/>
      <w:lvlText w:val=""/>
      <w:lvlJc w:val="left"/>
      <w:pPr>
        <w:ind w:left="6098" w:hanging="360"/>
      </w:pPr>
      <w:rPr>
        <w:rFonts w:ascii="Wingdings" w:hAnsi="Wingdings" w:hint="default"/>
      </w:rPr>
    </w:lvl>
  </w:abstractNum>
  <w:abstractNum w:abstractNumId="1" w15:restartNumberingAfterBreak="0">
    <w:nsid w:val="2008038F"/>
    <w:multiLevelType w:val="hybridMultilevel"/>
    <w:tmpl w:val="F916640C"/>
    <w:lvl w:ilvl="0" w:tplc="234A13C6">
      <w:start w:val="19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509569D"/>
    <w:multiLevelType w:val="hybridMultilevel"/>
    <w:tmpl w:val="99F84A04"/>
    <w:lvl w:ilvl="0" w:tplc="51F824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930C0"/>
    <w:rsid w:val="000A1DFD"/>
    <w:rsid w:val="000B312A"/>
    <w:rsid w:val="000D7B47"/>
    <w:rsid w:val="000E3E70"/>
    <w:rsid w:val="00101B9F"/>
    <w:rsid w:val="00121DD8"/>
    <w:rsid w:val="001238B9"/>
    <w:rsid w:val="001268FF"/>
    <w:rsid w:val="00143D7B"/>
    <w:rsid w:val="00153D59"/>
    <w:rsid w:val="00164379"/>
    <w:rsid w:val="001661CE"/>
    <w:rsid w:val="0017073A"/>
    <w:rsid w:val="00191E1C"/>
    <w:rsid w:val="001922A9"/>
    <w:rsid w:val="001B6974"/>
    <w:rsid w:val="001C227A"/>
    <w:rsid w:val="001C4FFD"/>
    <w:rsid w:val="001C5753"/>
    <w:rsid w:val="00201378"/>
    <w:rsid w:val="002013A2"/>
    <w:rsid w:val="00202ECA"/>
    <w:rsid w:val="00215876"/>
    <w:rsid w:val="00220964"/>
    <w:rsid w:val="002237FB"/>
    <w:rsid w:val="00232A64"/>
    <w:rsid w:val="00243426"/>
    <w:rsid w:val="00247511"/>
    <w:rsid w:val="002528E6"/>
    <w:rsid w:val="00260163"/>
    <w:rsid w:val="00265A7E"/>
    <w:rsid w:val="00266863"/>
    <w:rsid w:val="002A71EA"/>
    <w:rsid w:val="002B0559"/>
    <w:rsid w:val="002E1C05"/>
    <w:rsid w:val="002F09C6"/>
    <w:rsid w:val="003072A2"/>
    <w:rsid w:val="00322721"/>
    <w:rsid w:val="003229A6"/>
    <w:rsid w:val="003661C5"/>
    <w:rsid w:val="00385ADF"/>
    <w:rsid w:val="00391B78"/>
    <w:rsid w:val="003B04FD"/>
    <w:rsid w:val="003B0BF9"/>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7536"/>
    <w:rsid w:val="004A183C"/>
    <w:rsid w:val="004B6B89"/>
    <w:rsid w:val="004D0532"/>
    <w:rsid w:val="004D45BB"/>
    <w:rsid w:val="004D4F56"/>
    <w:rsid w:val="0050178F"/>
    <w:rsid w:val="00504DE6"/>
    <w:rsid w:val="00510525"/>
    <w:rsid w:val="00513F01"/>
    <w:rsid w:val="00546703"/>
    <w:rsid w:val="005545CC"/>
    <w:rsid w:val="00554E18"/>
    <w:rsid w:val="0056130A"/>
    <w:rsid w:val="00563C1B"/>
    <w:rsid w:val="00572908"/>
    <w:rsid w:val="00573A7E"/>
    <w:rsid w:val="00575448"/>
    <w:rsid w:val="005A7D4F"/>
    <w:rsid w:val="005C6CAB"/>
    <w:rsid w:val="005D1079"/>
    <w:rsid w:val="005E3139"/>
    <w:rsid w:val="005F303D"/>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D734D"/>
    <w:rsid w:val="006E1081"/>
    <w:rsid w:val="006E15D7"/>
    <w:rsid w:val="006E61F6"/>
    <w:rsid w:val="006F250E"/>
    <w:rsid w:val="0071555E"/>
    <w:rsid w:val="00716717"/>
    <w:rsid w:val="00720585"/>
    <w:rsid w:val="00737624"/>
    <w:rsid w:val="007711AF"/>
    <w:rsid w:val="00773AF6"/>
    <w:rsid w:val="00774A56"/>
    <w:rsid w:val="00785179"/>
    <w:rsid w:val="007865F4"/>
    <w:rsid w:val="00795F71"/>
    <w:rsid w:val="007A60DB"/>
    <w:rsid w:val="007C54A9"/>
    <w:rsid w:val="007D2949"/>
    <w:rsid w:val="007E5F7A"/>
    <w:rsid w:val="007E73AB"/>
    <w:rsid w:val="008073CB"/>
    <w:rsid w:val="00816C11"/>
    <w:rsid w:val="00824D2E"/>
    <w:rsid w:val="00827162"/>
    <w:rsid w:val="00840FB7"/>
    <w:rsid w:val="00864963"/>
    <w:rsid w:val="00882F13"/>
    <w:rsid w:val="00894C55"/>
    <w:rsid w:val="00896A16"/>
    <w:rsid w:val="008A7E04"/>
    <w:rsid w:val="008D53BE"/>
    <w:rsid w:val="008E3452"/>
    <w:rsid w:val="008F26F9"/>
    <w:rsid w:val="008F6D74"/>
    <w:rsid w:val="00903BB7"/>
    <w:rsid w:val="009133DF"/>
    <w:rsid w:val="00920997"/>
    <w:rsid w:val="00952B0D"/>
    <w:rsid w:val="0095582A"/>
    <w:rsid w:val="00981C11"/>
    <w:rsid w:val="009A2654"/>
    <w:rsid w:val="009B670A"/>
    <w:rsid w:val="009B7901"/>
    <w:rsid w:val="00A050BA"/>
    <w:rsid w:val="00A10FC3"/>
    <w:rsid w:val="00A13641"/>
    <w:rsid w:val="00A243C6"/>
    <w:rsid w:val="00A43CC2"/>
    <w:rsid w:val="00A6073E"/>
    <w:rsid w:val="00A6727F"/>
    <w:rsid w:val="00A67C3C"/>
    <w:rsid w:val="00A923A6"/>
    <w:rsid w:val="00A926E5"/>
    <w:rsid w:val="00A92B04"/>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91CCF"/>
    <w:rsid w:val="00BA20AA"/>
    <w:rsid w:val="00BC6E0C"/>
    <w:rsid w:val="00BD4425"/>
    <w:rsid w:val="00BE14A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CF2846"/>
    <w:rsid w:val="00D133F8"/>
    <w:rsid w:val="00D14A3E"/>
    <w:rsid w:val="00D37012"/>
    <w:rsid w:val="00D449B1"/>
    <w:rsid w:val="00D44EEA"/>
    <w:rsid w:val="00D56635"/>
    <w:rsid w:val="00D83AB7"/>
    <w:rsid w:val="00D97EB4"/>
    <w:rsid w:val="00DE05C4"/>
    <w:rsid w:val="00DF663E"/>
    <w:rsid w:val="00E13F37"/>
    <w:rsid w:val="00E341E3"/>
    <w:rsid w:val="00E3716B"/>
    <w:rsid w:val="00E47B82"/>
    <w:rsid w:val="00E5323B"/>
    <w:rsid w:val="00E75C99"/>
    <w:rsid w:val="00E8749E"/>
    <w:rsid w:val="00E9066A"/>
    <w:rsid w:val="00E90C01"/>
    <w:rsid w:val="00EA2E8B"/>
    <w:rsid w:val="00EA486E"/>
    <w:rsid w:val="00EB403D"/>
    <w:rsid w:val="00ED254F"/>
    <w:rsid w:val="00EE4608"/>
    <w:rsid w:val="00EE4CC3"/>
    <w:rsid w:val="00EF1C67"/>
    <w:rsid w:val="00F02556"/>
    <w:rsid w:val="00F308B6"/>
    <w:rsid w:val="00F31294"/>
    <w:rsid w:val="00F5542A"/>
    <w:rsid w:val="00F55B22"/>
    <w:rsid w:val="00F57566"/>
    <w:rsid w:val="00F57B0C"/>
    <w:rsid w:val="00F611A0"/>
    <w:rsid w:val="00F71D29"/>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4A1F684"/>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1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9719-6D83-4E42-97E7-19B22565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7</Pages>
  <Words>7526</Words>
  <Characters>4291</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Anita Jurševica</cp:lastModifiedBy>
  <cp:revision>143</cp:revision>
  <cp:lastPrinted>2019-11-21T08:05:00Z</cp:lastPrinted>
  <dcterms:created xsi:type="dcterms:W3CDTF">2018-01-05T15:05:00Z</dcterms:created>
  <dcterms:modified xsi:type="dcterms:W3CDTF">2019-11-25T12:50:00Z</dcterms:modified>
</cp:coreProperties>
</file>