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8AC8" w14:textId="77777777" w:rsidR="0091656F" w:rsidRDefault="002F2072" w:rsidP="0091656F">
      <w:pPr>
        <w:shd w:val="clear" w:color="auto" w:fill="FFFFFF"/>
        <w:spacing w:after="0" w:line="240" w:lineRule="auto"/>
        <w:jc w:val="center"/>
        <w:rPr>
          <w:rFonts w:ascii="Times New Roman" w:eastAsia="Times New Roman" w:hAnsi="Times New Roman" w:cs="Times New Roman"/>
          <w:b/>
          <w:bCs/>
          <w:sz w:val="24"/>
          <w:szCs w:val="24"/>
          <w:lang w:eastAsia="lv-LV"/>
        </w:rPr>
      </w:pPr>
      <w:r w:rsidRPr="007203EF">
        <w:rPr>
          <w:rFonts w:ascii="Times New Roman" w:eastAsia="Times New Roman" w:hAnsi="Times New Roman" w:cs="Times New Roman"/>
          <w:b/>
          <w:bCs/>
          <w:sz w:val="24"/>
          <w:szCs w:val="24"/>
          <w:lang w:eastAsia="lv-LV"/>
        </w:rPr>
        <w:t xml:space="preserve">Ministru kabineta noteikumu </w:t>
      </w:r>
      <w:bookmarkStart w:id="0" w:name="OLE_LINK1"/>
      <w:bookmarkStart w:id="1" w:name="OLE_LINK2"/>
      <w:r w:rsidR="0091656F" w:rsidRPr="0091656F">
        <w:rPr>
          <w:rFonts w:ascii="Times New Roman" w:eastAsia="Times New Roman" w:hAnsi="Times New Roman" w:cs="Times New Roman"/>
          <w:b/>
          <w:bCs/>
          <w:sz w:val="24"/>
          <w:szCs w:val="24"/>
          <w:lang w:eastAsia="lv-LV"/>
        </w:rPr>
        <w:t>projekta “</w:t>
      </w:r>
      <w:r w:rsidR="0091656F">
        <w:rPr>
          <w:rFonts w:ascii="Times New Roman" w:eastAsia="Times New Roman" w:hAnsi="Times New Roman" w:cs="Times New Roman"/>
          <w:b/>
          <w:bCs/>
          <w:sz w:val="24"/>
          <w:szCs w:val="24"/>
          <w:lang w:eastAsia="lv-LV"/>
        </w:rPr>
        <w:t>V</w:t>
      </w:r>
      <w:r w:rsidR="0091656F" w:rsidRPr="0091656F">
        <w:rPr>
          <w:rFonts w:ascii="Times New Roman" w:eastAsia="Times New Roman" w:hAnsi="Times New Roman" w:cs="Times New Roman"/>
          <w:b/>
          <w:bCs/>
          <w:sz w:val="24"/>
          <w:szCs w:val="24"/>
          <w:lang w:eastAsia="lv-LV"/>
        </w:rPr>
        <w:t>alsts kapitālsabiedrības, kurā tiesu eksperta pienākumus pilda valsts tiesu eksperts, kompetencē esošo tiesu ekspertīžu maksas pakalpojumu cenrādi” sākotnējās ietekmes novērtējuma ziņojums</w:t>
      </w:r>
    </w:p>
    <w:p w14:paraId="06DCFD57" w14:textId="77777777" w:rsidR="00E5323B" w:rsidRDefault="0091656F" w:rsidP="0091656F">
      <w:pPr>
        <w:shd w:val="clear" w:color="auto" w:fill="FFFFFF"/>
        <w:spacing w:after="0" w:line="240" w:lineRule="auto"/>
        <w:jc w:val="center"/>
        <w:rPr>
          <w:rFonts w:ascii="Times New Roman" w:eastAsia="Times New Roman" w:hAnsi="Times New Roman" w:cs="Times New Roman"/>
          <w:b/>
          <w:bCs/>
          <w:sz w:val="24"/>
          <w:szCs w:val="24"/>
          <w:lang w:eastAsia="lv-LV"/>
        </w:rPr>
      </w:pPr>
      <w:r w:rsidRPr="0091656F">
        <w:rPr>
          <w:rFonts w:ascii="Times New Roman" w:eastAsia="Times New Roman" w:hAnsi="Times New Roman" w:cs="Times New Roman"/>
          <w:b/>
          <w:bCs/>
          <w:sz w:val="24"/>
          <w:szCs w:val="24"/>
          <w:lang w:eastAsia="lv-LV"/>
        </w:rPr>
        <w:t xml:space="preserve"> (anotācija)</w:t>
      </w:r>
      <w:bookmarkEnd w:id="0"/>
      <w:bookmarkEnd w:id="1"/>
    </w:p>
    <w:p w14:paraId="66EFAE8C" w14:textId="77777777" w:rsidR="0091656F" w:rsidRPr="0091656F" w:rsidRDefault="0091656F" w:rsidP="0091656F">
      <w:pPr>
        <w:shd w:val="clear" w:color="auto" w:fill="FFFFFF"/>
        <w:spacing w:after="0" w:line="240" w:lineRule="auto"/>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665589" w14:paraId="155B320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0816B1"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Tiesību akta projekta anotācijas kopsavilkums</w:t>
            </w:r>
          </w:p>
        </w:tc>
      </w:tr>
      <w:tr w:rsidR="00665589" w14:paraId="493D21C0" w14:textId="77777777" w:rsidTr="00A14842">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669A48EC"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5399AADF" w14:textId="45256F6F" w:rsidR="008A69BD" w:rsidRPr="00B95918" w:rsidRDefault="003E2D3C" w:rsidP="00B95918">
            <w:pPr>
              <w:spacing w:after="0" w:line="240" w:lineRule="auto"/>
              <w:ind w:firstLine="720"/>
              <w:jc w:val="both"/>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Ministru kabineta noteikumu p</w:t>
            </w:r>
            <w:r w:rsidR="005C7526" w:rsidRPr="00EB31B5">
              <w:rPr>
                <w:rFonts w:ascii="Times New Roman" w:eastAsia="Times New Roman" w:hAnsi="Times New Roman" w:cs="Times New Roman"/>
                <w:iCs/>
                <w:sz w:val="24"/>
                <w:szCs w:val="24"/>
                <w:lang w:eastAsia="lv-LV"/>
              </w:rPr>
              <w:t xml:space="preserve">rojekta mērķis ir </w:t>
            </w:r>
            <w:r w:rsidR="0091656F">
              <w:rPr>
                <w:rFonts w:ascii="Times New Roman" w:eastAsia="Times New Roman" w:hAnsi="Times New Roman" w:cs="Times New Roman"/>
                <w:iCs/>
                <w:sz w:val="24"/>
                <w:szCs w:val="24"/>
                <w:lang w:eastAsia="lv-LV"/>
              </w:rPr>
              <w:t>noteikt “</w:t>
            </w:r>
            <w:r w:rsidR="0091656F" w:rsidRPr="0091656F">
              <w:rPr>
                <w:rFonts w:ascii="Times New Roman" w:eastAsia="Times New Roman" w:hAnsi="Times New Roman" w:cs="Times New Roman"/>
                <w:iCs/>
                <w:sz w:val="24"/>
                <w:szCs w:val="24"/>
                <w:lang w:eastAsia="lv-LV"/>
              </w:rPr>
              <w:t>Valsts kapitālsabiedrības, kurā tiesu eksperta pienākumus pilda valsts tiesu eksperts, kompetencē esošo tiesu ekspertīžu maksas pakalpojumu cenrādi</w:t>
            </w:r>
            <w:r w:rsidR="0091656F">
              <w:rPr>
                <w:rFonts w:ascii="Times New Roman" w:eastAsia="Times New Roman" w:hAnsi="Times New Roman" w:cs="Times New Roman"/>
                <w:iCs/>
                <w:sz w:val="24"/>
                <w:szCs w:val="24"/>
                <w:lang w:eastAsia="lv-LV"/>
              </w:rPr>
              <w:t>”</w:t>
            </w:r>
            <w:r w:rsidR="005612B7" w:rsidRPr="0091656F">
              <w:rPr>
                <w:rFonts w:ascii="Times New Roman" w:eastAsia="Times New Roman" w:hAnsi="Times New Roman" w:cs="Times New Roman"/>
                <w:iCs/>
                <w:sz w:val="24"/>
                <w:szCs w:val="24"/>
                <w:lang w:eastAsia="lv-LV"/>
              </w:rPr>
              <w:t>.</w:t>
            </w:r>
          </w:p>
        </w:tc>
      </w:tr>
    </w:tbl>
    <w:p w14:paraId="49449C70"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5"/>
        <w:gridCol w:w="2140"/>
        <w:gridCol w:w="6510"/>
      </w:tblGrid>
      <w:tr w:rsidR="00665589" w14:paraId="6F6B26A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325EC9"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 Tiesību akta projekta izstrādes nepieciešamība</w:t>
            </w:r>
          </w:p>
        </w:tc>
      </w:tr>
      <w:tr w:rsidR="00665589" w14:paraId="4C0B36A3"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7CB6A224"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14:paraId="05773864"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Pamatojums</w:t>
            </w:r>
          </w:p>
        </w:tc>
        <w:tc>
          <w:tcPr>
            <w:tcW w:w="3570" w:type="pct"/>
            <w:tcBorders>
              <w:top w:val="outset" w:sz="6" w:space="0" w:color="auto"/>
              <w:left w:val="outset" w:sz="6" w:space="0" w:color="auto"/>
              <w:bottom w:val="outset" w:sz="6" w:space="0" w:color="auto"/>
              <w:right w:val="outset" w:sz="6" w:space="0" w:color="auto"/>
            </w:tcBorders>
            <w:hideMark/>
          </w:tcPr>
          <w:p w14:paraId="4B9CF73E" w14:textId="77777777" w:rsidR="000C01DB" w:rsidRDefault="000C01DB" w:rsidP="000C01DB">
            <w:pPr>
              <w:shd w:val="clear" w:color="auto" w:fill="FFFFFF"/>
              <w:spacing w:after="0" w:line="240" w:lineRule="auto"/>
              <w:ind w:firstLine="720"/>
              <w:jc w:val="both"/>
              <w:rPr>
                <w:rFonts w:ascii="Times New Roman" w:eastAsia="Times New Roman" w:hAnsi="Times New Roman" w:cs="Times New Roman"/>
                <w:color w:val="212121"/>
                <w:sz w:val="24"/>
                <w:szCs w:val="24"/>
                <w:lang w:eastAsia="lv-LV"/>
              </w:rPr>
            </w:pPr>
            <w:r w:rsidRPr="000C01DB">
              <w:rPr>
                <w:rFonts w:ascii="Times New Roman" w:eastAsia="Times New Roman" w:hAnsi="Times New Roman" w:cs="Times New Roman"/>
                <w:color w:val="000000"/>
                <w:sz w:val="24"/>
                <w:szCs w:val="24"/>
                <w:shd w:val="clear" w:color="auto" w:fill="FFFFFF"/>
                <w:lang w:eastAsia="lv-LV"/>
              </w:rPr>
              <w:t>Ministru kabineta noteikumu projekts “</w:t>
            </w:r>
            <w:r w:rsidRPr="000C01DB">
              <w:rPr>
                <w:rFonts w:ascii="Times New Roman" w:eastAsia="Times New Roman" w:hAnsi="Times New Roman" w:cs="Times New Roman"/>
                <w:color w:val="212121"/>
                <w:sz w:val="24"/>
                <w:szCs w:val="24"/>
                <w:lang w:eastAsia="lv-LV"/>
              </w:rPr>
              <w:t>Valsts kapitālsabiedrības, kurā tiesu eksperta pienākumus pilda valsts tiesu eksperts, kompetencē esošo tiesu ekspertīžu maksas pakalpojumu cenrādis</w:t>
            </w:r>
            <w:r w:rsidRPr="000C01DB">
              <w:rPr>
                <w:rFonts w:ascii="Times New Roman" w:eastAsia="Times New Roman" w:hAnsi="Times New Roman" w:cs="Times New Roman"/>
                <w:color w:val="000000"/>
                <w:sz w:val="24"/>
                <w:szCs w:val="24"/>
                <w:shd w:val="clear" w:color="auto" w:fill="FFFFFF"/>
                <w:lang w:eastAsia="lv-LV"/>
              </w:rPr>
              <w:t>” (turpmāk – Projekts) izstrādāts, pamatojoties uz  </w:t>
            </w:r>
            <w:r w:rsidRPr="000C01DB">
              <w:rPr>
                <w:rFonts w:ascii="Times New Roman" w:eastAsia="Times New Roman" w:hAnsi="Times New Roman" w:cs="Times New Roman"/>
                <w:color w:val="212121"/>
                <w:sz w:val="24"/>
                <w:szCs w:val="24"/>
                <w:lang w:eastAsia="lv-LV"/>
              </w:rPr>
              <w:t>Tiesu ekspertu likuma 10. panta ceturtajā daļā ietverto deleģējumu Ministru kabinetam, </w:t>
            </w:r>
            <w:r w:rsidRPr="000C01DB">
              <w:rPr>
                <w:rFonts w:ascii="Times New Roman" w:eastAsia="Times New Roman" w:hAnsi="Times New Roman" w:cs="Times New Roman"/>
                <w:color w:val="000000"/>
                <w:sz w:val="24"/>
                <w:szCs w:val="24"/>
                <w:shd w:val="clear" w:color="auto" w:fill="FFFFFF"/>
                <w:lang w:eastAsia="lv-LV"/>
              </w:rPr>
              <w:t>ar mērķi novērst nepilnības pašreiz spēkā esošajā normatīvā regulējumā, jo </w:t>
            </w:r>
            <w:r w:rsidRPr="000C01DB">
              <w:rPr>
                <w:rFonts w:ascii="Times New Roman" w:eastAsia="Times New Roman" w:hAnsi="Times New Roman" w:cs="Times New Roman"/>
                <w:color w:val="212121"/>
                <w:sz w:val="24"/>
                <w:szCs w:val="24"/>
                <w:lang w:eastAsia="lv-LV"/>
              </w:rPr>
              <w:t>valsts kapitālsabiedrībā veikto </w:t>
            </w:r>
            <w:r w:rsidRPr="000C01DB">
              <w:rPr>
                <w:rFonts w:ascii="Times New Roman" w:eastAsia="Times New Roman" w:hAnsi="Times New Roman" w:cs="Times New Roman"/>
                <w:color w:val="000000"/>
                <w:sz w:val="24"/>
                <w:szCs w:val="24"/>
                <w:shd w:val="clear" w:color="auto" w:fill="FFFFFF"/>
                <w:lang w:eastAsia="lv-LV"/>
              </w:rPr>
              <w:t>narkoloģisko un ķīmiski-toksikoloģisko ekspertīžu finansēšanas kārtība līdz šim nav reglamentēta vispār.</w:t>
            </w:r>
            <w:r w:rsidRPr="000C01DB">
              <w:rPr>
                <w:rFonts w:ascii="Times New Roman" w:eastAsia="Times New Roman" w:hAnsi="Times New Roman" w:cs="Times New Roman"/>
                <w:color w:val="212121"/>
                <w:sz w:val="24"/>
                <w:szCs w:val="24"/>
                <w:lang w:eastAsia="lv-LV"/>
              </w:rPr>
              <w:t> Atbilstoši Tiesu ekspertu likuma anotācijā noteiktajam – valsts kapitālsabiedrību maksas pakalpojumu cenrādi Ministru kabinets apstiprina kapitālsabiedrībai nodotās valsts funkcijas – tiesu ekspertīžu veikšana – izpildes jomā.</w:t>
            </w:r>
          </w:p>
          <w:p w14:paraId="7FA3DABB" w14:textId="546D7FAF" w:rsidR="004907F8" w:rsidRPr="00C42373" w:rsidRDefault="000C01DB" w:rsidP="000154C5">
            <w:pPr>
              <w:shd w:val="clear" w:color="auto" w:fill="FFFFFF"/>
              <w:spacing w:after="0" w:line="240" w:lineRule="auto"/>
              <w:ind w:firstLine="720"/>
              <w:jc w:val="both"/>
              <w:rPr>
                <w:rFonts w:ascii="Segoe UI" w:eastAsia="Times New Roman" w:hAnsi="Segoe UI" w:cs="Segoe UI"/>
                <w:color w:val="212121"/>
                <w:sz w:val="23"/>
                <w:szCs w:val="23"/>
                <w:lang w:eastAsia="lv-LV"/>
              </w:rPr>
            </w:pPr>
            <w:r w:rsidRPr="000C01DB">
              <w:rPr>
                <w:rFonts w:ascii="Times New Roman" w:eastAsia="Times New Roman" w:hAnsi="Times New Roman" w:cs="Times New Roman"/>
                <w:color w:val="212121"/>
                <w:sz w:val="24"/>
                <w:szCs w:val="24"/>
                <w:lang w:eastAsia="lv-LV"/>
              </w:rPr>
              <w:t>Noteikumu projekts sagatavots saskaņā ar Likuma par budžetu un finanšu vadību 5. panta divpadsmito daļu un Ministru kabineta 2011. gada 3. maija noteikumiem Nr. 333 „Kārtība, kādā plānojami un uzskaitāmi ieņēmumi no maksas pakalpojumiem un ar šo pakalpojumu sniegšanu saistītie izdevumi, kā arī maksas pakalpojumu izcenojumu noteikšanas metodika un izcenojumu apstiprināšanas kārtība” (turpmāk – noteikumi Nr. 333).</w:t>
            </w:r>
          </w:p>
        </w:tc>
      </w:tr>
      <w:tr w:rsidR="00665589" w14:paraId="3240542A" w14:textId="77777777" w:rsidTr="00A5182A">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53BEB0C"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165" w:type="pct"/>
            <w:tcBorders>
              <w:top w:val="outset" w:sz="6" w:space="0" w:color="auto"/>
              <w:left w:val="outset" w:sz="6" w:space="0" w:color="auto"/>
              <w:bottom w:val="outset" w:sz="6" w:space="0" w:color="auto"/>
              <w:right w:val="outset" w:sz="6" w:space="0" w:color="auto"/>
            </w:tcBorders>
            <w:hideMark/>
          </w:tcPr>
          <w:p w14:paraId="46B51169" w14:textId="77777777" w:rsidR="00FE0D27"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B69D21F" w14:textId="77777777" w:rsidR="00FE0D27" w:rsidRPr="00FE0D27" w:rsidRDefault="00FE0D27" w:rsidP="00FE0D27">
            <w:pPr>
              <w:rPr>
                <w:rFonts w:ascii="Times New Roman" w:eastAsia="Times New Roman" w:hAnsi="Times New Roman" w:cs="Times New Roman"/>
                <w:sz w:val="24"/>
                <w:szCs w:val="24"/>
                <w:lang w:eastAsia="lv-LV"/>
              </w:rPr>
            </w:pPr>
          </w:p>
          <w:p w14:paraId="15AEB519" w14:textId="77777777" w:rsidR="00FE0D27" w:rsidRPr="00FE0D27" w:rsidRDefault="00FE0D27" w:rsidP="00FE0D27">
            <w:pPr>
              <w:rPr>
                <w:rFonts w:ascii="Times New Roman" w:eastAsia="Times New Roman" w:hAnsi="Times New Roman" w:cs="Times New Roman"/>
                <w:sz w:val="24"/>
                <w:szCs w:val="24"/>
                <w:lang w:eastAsia="lv-LV"/>
              </w:rPr>
            </w:pPr>
          </w:p>
          <w:p w14:paraId="6A663EA5" w14:textId="77777777" w:rsidR="00FE0D27" w:rsidRPr="00FE0D27" w:rsidRDefault="00FE0D27" w:rsidP="00FE0D27">
            <w:pPr>
              <w:rPr>
                <w:rFonts w:ascii="Times New Roman" w:eastAsia="Times New Roman" w:hAnsi="Times New Roman" w:cs="Times New Roman"/>
                <w:sz w:val="24"/>
                <w:szCs w:val="24"/>
                <w:lang w:eastAsia="lv-LV"/>
              </w:rPr>
            </w:pPr>
          </w:p>
          <w:p w14:paraId="6F7E337A" w14:textId="77777777" w:rsidR="00FE0D27" w:rsidRPr="00FE0D27" w:rsidRDefault="00FE0D27" w:rsidP="00FE0D27">
            <w:pPr>
              <w:rPr>
                <w:rFonts w:ascii="Times New Roman" w:eastAsia="Times New Roman" w:hAnsi="Times New Roman" w:cs="Times New Roman"/>
                <w:sz w:val="24"/>
                <w:szCs w:val="24"/>
                <w:lang w:eastAsia="lv-LV"/>
              </w:rPr>
            </w:pPr>
          </w:p>
          <w:p w14:paraId="5789D2F8" w14:textId="77777777" w:rsidR="00FE0D27" w:rsidRPr="00FE0D27" w:rsidRDefault="00FE0D27" w:rsidP="00FE0D27">
            <w:pPr>
              <w:rPr>
                <w:rFonts w:ascii="Times New Roman" w:eastAsia="Times New Roman" w:hAnsi="Times New Roman" w:cs="Times New Roman"/>
                <w:sz w:val="24"/>
                <w:szCs w:val="24"/>
                <w:lang w:eastAsia="lv-LV"/>
              </w:rPr>
            </w:pPr>
          </w:p>
          <w:p w14:paraId="5D6F537A" w14:textId="77777777" w:rsidR="00FE0D27" w:rsidRPr="00FE0D27" w:rsidRDefault="00FE0D27" w:rsidP="00297CA7">
            <w:pPr>
              <w:ind w:firstLine="720"/>
              <w:rPr>
                <w:rFonts w:ascii="Times New Roman" w:eastAsia="Times New Roman" w:hAnsi="Times New Roman" w:cs="Times New Roman"/>
                <w:sz w:val="24"/>
                <w:szCs w:val="24"/>
                <w:lang w:eastAsia="lv-LV"/>
              </w:rPr>
            </w:pPr>
          </w:p>
          <w:p w14:paraId="12E251EE" w14:textId="77777777" w:rsidR="00FE0D27" w:rsidRPr="00FE0D27" w:rsidRDefault="00FE0D27" w:rsidP="00FE0D27">
            <w:pPr>
              <w:rPr>
                <w:rFonts w:ascii="Times New Roman" w:eastAsia="Times New Roman" w:hAnsi="Times New Roman" w:cs="Times New Roman"/>
                <w:sz w:val="24"/>
                <w:szCs w:val="24"/>
                <w:lang w:eastAsia="lv-LV"/>
              </w:rPr>
            </w:pPr>
          </w:p>
          <w:p w14:paraId="0F6DCC70" w14:textId="77777777" w:rsidR="00FE0D27" w:rsidRPr="00FE0D27" w:rsidRDefault="00FE0D27" w:rsidP="00FE0D27">
            <w:pPr>
              <w:rPr>
                <w:rFonts w:ascii="Times New Roman" w:eastAsia="Times New Roman" w:hAnsi="Times New Roman" w:cs="Times New Roman"/>
                <w:sz w:val="24"/>
                <w:szCs w:val="24"/>
                <w:lang w:eastAsia="lv-LV"/>
              </w:rPr>
            </w:pPr>
          </w:p>
          <w:p w14:paraId="0248A847" w14:textId="77777777" w:rsidR="00FE0D27" w:rsidRDefault="00FE0D27" w:rsidP="00FE0D27">
            <w:pPr>
              <w:rPr>
                <w:rFonts w:ascii="Times New Roman" w:eastAsia="Times New Roman" w:hAnsi="Times New Roman" w:cs="Times New Roman"/>
                <w:sz w:val="24"/>
                <w:szCs w:val="24"/>
                <w:lang w:eastAsia="lv-LV"/>
              </w:rPr>
            </w:pPr>
          </w:p>
          <w:p w14:paraId="386C5920" w14:textId="77777777" w:rsidR="00E5323B" w:rsidRPr="00FE0D27" w:rsidRDefault="00E5323B" w:rsidP="00FE0D27">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tcPr>
          <w:p w14:paraId="4DC02E9A" w14:textId="77777777" w:rsidR="000C01DB" w:rsidRPr="00C42373" w:rsidRDefault="000C01DB" w:rsidP="000154C5">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C42373">
              <w:rPr>
                <w:rFonts w:ascii="Times New Roman" w:eastAsia="Times New Roman" w:hAnsi="Times New Roman" w:cs="Times New Roman"/>
                <w:color w:val="000000"/>
                <w:sz w:val="24"/>
                <w:szCs w:val="24"/>
                <w:shd w:val="clear" w:color="auto" w:fill="FFFFFF"/>
                <w:lang w:eastAsia="lv-LV"/>
              </w:rPr>
              <w:lastRenderedPageBreak/>
              <w:t>2016. gada 15. martā stājās spēkā Tiesu ekspertu likums, kura 10. panta ceturtajā daļā noteikts deleģējums Ministru kabinetam apstiprināt valsts kapitālsabiedrības, kurā tiesu eksperta pienākumus pilda valsts tiesu eksperts, kompetencē esošo tiesu ekspertīžu maksas pakalpojumu cenrādi.</w:t>
            </w:r>
          </w:p>
          <w:p w14:paraId="60C8A189" w14:textId="77777777" w:rsidR="000C01DB" w:rsidRPr="00C42373" w:rsidRDefault="000C01DB" w:rsidP="000154C5">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C42373">
              <w:rPr>
                <w:rFonts w:ascii="Times New Roman" w:eastAsia="Times New Roman" w:hAnsi="Times New Roman" w:cs="Times New Roman"/>
                <w:color w:val="000000"/>
                <w:sz w:val="24"/>
                <w:szCs w:val="24"/>
                <w:shd w:val="clear" w:color="auto" w:fill="FFFFFF"/>
                <w:lang w:eastAsia="lv-LV"/>
              </w:rPr>
              <w:t>Valsts sabiedrība ar ierobežotu atbildību “Rīgas psihiatrijas un narkoloģijas centrs”, turpmāk – RPNC, ir valsts kapitālsabiedrība un vienlaikus arī tiesu ekspertīžu iestāde, kas atbilstoši Ministru kabineta 2016. gada 20. decembra noteikumu Nr. 835 “</w:t>
            </w:r>
            <w:hyperlink r:id="rId8" w:tgtFrame="_blank" w:history="1">
              <w:r w:rsidRPr="00C42373">
                <w:rPr>
                  <w:rFonts w:ascii="Times New Roman" w:eastAsia="Times New Roman" w:hAnsi="Times New Roman" w:cs="Times New Roman"/>
                  <w:color w:val="000000"/>
                  <w:sz w:val="24"/>
                  <w:szCs w:val="24"/>
                  <w:shd w:val="clear" w:color="auto" w:fill="FFFFFF"/>
                  <w:lang w:eastAsia="lv-LV"/>
                </w:rPr>
                <w:t>Noteikumi par tiesu ekspertīžu iestāžu sarakstu un tiesu ekspertu specialitāšu klasifikatoru</w:t>
              </w:r>
            </w:hyperlink>
            <w:r w:rsidRPr="00C42373">
              <w:rPr>
                <w:rFonts w:ascii="Times New Roman" w:eastAsia="Times New Roman" w:hAnsi="Times New Roman" w:cs="Times New Roman"/>
                <w:color w:val="000000"/>
                <w:sz w:val="24"/>
                <w:szCs w:val="24"/>
                <w:shd w:val="clear" w:color="auto" w:fill="FFFFFF"/>
                <w:lang w:eastAsia="lv-LV"/>
              </w:rPr>
              <w:t>” 2. punktam un 2. pielikumam (15., 16., 23. un 24.  punkts) nodrošina vairākas valsts tiesu ekspertu veiktu tiesu ekspertīžu specialitātes, tostarp:</w:t>
            </w:r>
          </w:p>
          <w:p w14:paraId="0BE9EB93" w14:textId="77777777" w:rsidR="000C01DB" w:rsidRPr="00C42373" w:rsidRDefault="000C01DB" w:rsidP="000154C5">
            <w:pPr>
              <w:shd w:val="clear" w:color="auto" w:fill="FFFFFF"/>
              <w:spacing w:after="0" w:line="240" w:lineRule="auto"/>
              <w:ind w:hanging="360"/>
              <w:jc w:val="both"/>
              <w:rPr>
                <w:rFonts w:ascii="Times New Roman" w:eastAsia="Times New Roman" w:hAnsi="Times New Roman" w:cs="Times New Roman"/>
                <w:color w:val="000000"/>
                <w:sz w:val="24"/>
                <w:szCs w:val="24"/>
                <w:shd w:val="clear" w:color="auto" w:fill="FFFFFF"/>
                <w:lang w:eastAsia="lv-LV"/>
              </w:rPr>
            </w:pPr>
            <w:r w:rsidRPr="00C42373">
              <w:rPr>
                <w:rFonts w:ascii="Times New Roman" w:eastAsia="Times New Roman" w:hAnsi="Times New Roman" w:cs="Times New Roman"/>
                <w:color w:val="000000"/>
                <w:sz w:val="24"/>
                <w:szCs w:val="24"/>
                <w:shd w:val="clear" w:color="auto" w:fill="FFFFFF"/>
                <w:lang w:eastAsia="lv-LV"/>
              </w:rPr>
              <w:t>-          Narkoloģisko ekspertīzi, kas ietver alkohola, narkotisko, psihotropo un toksisko vielu ietekmes uz personu narkoloģisko izpēti;</w:t>
            </w:r>
          </w:p>
          <w:p w14:paraId="27FF21F9" w14:textId="77777777" w:rsidR="000C01DB" w:rsidRPr="00C42373" w:rsidRDefault="000C01DB" w:rsidP="00C42373">
            <w:pPr>
              <w:shd w:val="clear" w:color="auto" w:fill="FFFFFF"/>
              <w:spacing w:after="0" w:line="240" w:lineRule="auto"/>
              <w:ind w:hanging="360"/>
              <w:rPr>
                <w:rFonts w:ascii="Times New Roman" w:eastAsia="Times New Roman" w:hAnsi="Times New Roman" w:cs="Times New Roman"/>
                <w:color w:val="000000"/>
                <w:sz w:val="24"/>
                <w:szCs w:val="24"/>
                <w:shd w:val="clear" w:color="auto" w:fill="FFFFFF"/>
                <w:lang w:eastAsia="lv-LV"/>
              </w:rPr>
            </w:pPr>
            <w:r w:rsidRPr="00C42373">
              <w:rPr>
                <w:rFonts w:ascii="Times New Roman" w:eastAsia="Times New Roman" w:hAnsi="Times New Roman" w:cs="Times New Roman"/>
                <w:color w:val="000000"/>
                <w:sz w:val="24"/>
                <w:szCs w:val="24"/>
                <w:shd w:val="clear" w:color="auto" w:fill="FFFFFF"/>
                <w:lang w:eastAsia="lv-LV"/>
              </w:rPr>
              <w:t>-          Ķīmiski – toksikoloģisko ekspertīzi.</w:t>
            </w:r>
          </w:p>
          <w:p w14:paraId="01C71072" w14:textId="77777777" w:rsidR="000C01DB" w:rsidRPr="00C42373" w:rsidRDefault="000C01DB" w:rsidP="000154C5">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C42373">
              <w:rPr>
                <w:rFonts w:ascii="Times New Roman" w:eastAsia="Times New Roman" w:hAnsi="Times New Roman" w:cs="Times New Roman"/>
                <w:color w:val="000000"/>
                <w:sz w:val="24"/>
                <w:szCs w:val="24"/>
                <w:shd w:val="clear" w:color="auto" w:fill="FFFFFF"/>
                <w:lang w:eastAsia="lv-LV"/>
              </w:rPr>
              <w:lastRenderedPageBreak/>
              <w:t>RPNC ir vienīgā kapitālsabiedrība un arī vienīgā tiesu ekspertīžu iestāde, kas nodrošina Narkoloģisko ekspertīžu veikšanu. Ķīmiski – toksikoloģisko ekspertīzi Latvijā veic tikai RPNC un Valsts tiesu medicīnas ekspertīzes centrs.</w:t>
            </w:r>
          </w:p>
          <w:p w14:paraId="4CCEA7BA" w14:textId="77777777" w:rsidR="000C01DB" w:rsidRPr="00C42373" w:rsidRDefault="000C01DB" w:rsidP="000154C5">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C42373">
              <w:rPr>
                <w:rFonts w:ascii="Times New Roman" w:eastAsia="Times New Roman" w:hAnsi="Times New Roman" w:cs="Times New Roman"/>
                <w:color w:val="000000"/>
                <w:sz w:val="24"/>
                <w:szCs w:val="24"/>
                <w:shd w:val="clear" w:color="auto" w:fill="FFFFFF"/>
                <w:lang w:eastAsia="lv-LV"/>
              </w:rPr>
              <w:t>Procesa virzītājs, pamatojoties uz Kriminālprocesa likuma 193. un turpm. pantiem un Administratīvā procesa likuma 178. un turpm. pantiem, atbilstoši Tiesu ekspertu likuma 13. pantā ietvertajam ierobežojumam, Narkoloģiskās un Ķīmiski – toksikoloģiskās ekspertīzes veikšanu nosaka tikai valsts tiesu ekspertam.   </w:t>
            </w:r>
          </w:p>
          <w:p w14:paraId="7B7CE93E" w14:textId="6B26458D" w:rsidR="000C01DB" w:rsidRPr="00C42373" w:rsidRDefault="000C01DB" w:rsidP="000154C5">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C42373">
              <w:rPr>
                <w:rFonts w:ascii="Times New Roman" w:eastAsia="Times New Roman" w:hAnsi="Times New Roman" w:cs="Times New Roman"/>
                <w:color w:val="000000"/>
                <w:sz w:val="24"/>
                <w:szCs w:val="24"/>
                <w:shd w:val="clear" w:color="auto" w:fill="FFFFFF"/>
                <w:lang w:eastAsia="lv-LV"/>
              </w:rPr>
              <w:t>Narkoloģisko un Ķīmiski toksikoloģisko ekspertīzi veic pamatojoties uz procesa virzītāja (policijas, prokuratūras, tiesas, vai cita procesa virzītāja) lēmumu par ekspertīzes noteikšanu. </w:t>
            </w:r>
            <w:r w:rsidR="00C42373" w:rsidRPr="00C42373">
              <w:rPr>
                <w:rFonts w:ascii="Times New Roman" w:eastAsia="Times New Roman" w:hAnsi="Times New Roman" w:cs="Times New Roman"/>
                <w:color w:val="000000"/>
                <w:sz w:val="24"/>
                <w:szCs w:val="24"/>
                <w:shd w:val="clear" w:color="auto" w:fill="FFFFFF"/>
                <w:lang w:eastAsia="lv-LV"/>
              </w:rPr>
              <w:t xml:space="preserve"> </w:t>
            </w:r>
            <w:r w:rsidRPr="000154C5">
              <w:rPr>
                <w:rFonts w:ascii="Times New Roman" w:eastAsia="Times New Roman" w:hAnsi="Times New Roman" w:cs="Times New Roman"/>
                <w:color w:val="000000"/>
                <w:sz w:val="24"/>
                <w:szCs w:val="24"/>
                <w:shd w:val="clear" w:color="auto" w:fill="FFFFFF"/>
                <w:lang w:eastAsia="lv-LV"/>
              </w:rPr>
              <w:t>Ekspertīzes</w:t>
            </w:r>
            <w:r w:rsidRPr="00C42373">
              <w:rPr>
                <w:rFonts w:ascii="Times New Roman" w:eastAsia="Times New Roman" w:hAnsi="Times New Roman" w:cs="Times New Roman"/>
                <w:color w:val="000000"/>
                <w:sz w:val="24"/>
                <w:szCs w:val="24"/>
                <w:shd w:val="clear" w:color="auto" w:fill="FFFFFF"/>
                <w:lang w:eastAsia="lv-LV"/>
              </w:rPr>
              <w:t> apmaksājamas no ekspertīzes noteicēja </w:t>
            </w:r>
            <w:r w:rsidRPr="000154C5">
              <w:rPr>
                <w:rFonts w:ascii="Times New Roman" w:eastAsia="Times New Roman" w:hAnsi="Times New Roman" w:cs="Times New Roman"/>
                <w:color w:val="000000"/>
                <w:sz w:val="24"/>
                <w:szCs w:val="24"/>
                <w:shd w:val="clear" w:color="auto" w:fill="FFFFFF"/>
                <w:lang w:eastAsia="lv-LV"/>
              </w:rPr>
              <w:t>rīcībā esošiem valsts budžeta</w:t>
            </w:r>
            <w:r w:rsidRPr="00C42373">
              <w:rPr>
                <w:rFonts w:ascii="Times New Roman" w:eastAsia="Times New Roman" w:hAnsi="Times New Roman" w:cs="Times New Roman"/>
                <w:color w:val="000000"/>
                <w:sz w:val="24"/>
                <w:szCs w:val="24"/>
                <w:shd w:val="clear" w:color="auto" w:fill="FFFFFF"/>
                <w:lang w:eastAsia="lv-LV"/>
              </w:rPr>
              <w:t> līdzekļiem</w:t>
            </w:r>
            <w:r w:rsidR="00C42373" w:rsidRPr="00C42373">
              <w:rPr>
                <w:rFonts w:ascii="Times New Roman" w:eastAsia="Times New Roman" w:hAnsi="Times New Roman" w:cs="Times New Roman"/>
                <w:color w:val="000000"/>
                <w:sz w:val="24"/>
                <w:szCs w:val="24"/>
                <w:shd w:val="clear" w:color="auto" w:fill="FFFFFF"/>
                <w:lang w:eastAsia="lv-LV"/>
              </w:rPr>
              <w:t xml:space="preserve">, </w:t>
            </w:r>
            <w:r w:rsidRPr="000154C5">
              <w:rPr>
                <w:rFonts w:ascii="Times New Roman" w:eastAsia="Times New Roman" w:hAnsi="Times New Roman" w:cs="Times New Roman"/>
                <w:color w:val="000000"/>
                <w:sz w:val="24"/>
                <w:szCs w:val="24"/>
                <w:shd w:val="clear" w:color="auto" w:fill="FFFFFF"/>
                <w:lang w:eastAsia="lv-LV"/>
              </w:rPr>
              <w:t>atbilstoši Ministru kabineta apstiprinātam maksas pakalpojuma cenrādim</w:t>
            </w:r>
            <w:r w:rsidRPr="00C42373">
              <w:rPr>
                <w:rFonts w:ascii="Times New Roman" w:eastAsia="Times New Roman" w:hAnsi="Times New Roman" w:cs="Times New Roman"/>
                <w:color w:val="000000"/>
                <w:sz w:val="24"/>
                <w:szCs w:val="24"/>
                <w:shd w:val="clear" w:color="auto" w:fill="FFFFFF"/>
                <w:lang w:eastAsia="lv-LV"/>
              </w:rPr>
              <w:t>.</w:t>
            </w:r>
          </w:p>
          <w:p w14:paraId="020CD881" w14:textId="77777777" w:rsidR="000C01DB" w:rsidRPr="00C42373" w:rsidRDefault="000C01DB" w:rsidP="000154C5">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C42373">
              <w:rPr>
                <w:rFonts w:ascii="Times New Roman" w:eastAsia="Times New Roman" w:hAnsi="Times New Roman" w:cs="Times New Roman"/>
                <w:color w:val="000000"/>
                <w:sz w:val="24"/>
                <w:szCs w:val="24"/>
                <w:shd w:val="clear" w:color="auto" w:fill="FFFFFF"/>
                <w:lang w:eastAsia="lv-LV"/>
              </w:rPr>
              <w:t>Izstrādātais maksas pakalpojumu cenrādis noteikts atbilstoši RPNC izcenojumiem. Cenrāža pozīcijas izstrādātas atbilstoši Kriminālprocesa likumā noteiktajiem ekspertīžu veidiem (196., 197., 198. un 199. pants): sākotnējā, atkārtotā, papildu un komisijas (kā arī kompleksā) ekspertīze, kā arī ievērojot tiesu ekspertu likuma 17. panta pirmajā, piektajā un septītajā daļā noteikto.</w:t>
            </w:r>
          </w:p>
          <w:p w14:paraId="41DA6C69" w14:textId="1A9D559F" w:rsidR="000C01DB" w:rsidRPr="00C42373" w:rsidRDefault="000C01DB" w:rsidP="000154C5">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C42373">
              <w:rPr>
                <w:rFonts w:ascii="Times New Roman" w:eastAsia="Times New Roman" w:hAnsi="Times New Roman" w:cs="Times New Roman"/>
                <w:color w:val="000000"/>
                <w:sz w:val="24"/>
                <w:szCs w:val="24"/>
                <w:shd w:val="clear" w:color="auto" w:fill="FFFFFF"/>
                <w:lang w:eastAsia="lv-LV"/>
              </w:rPr>
              <w:t>Pievienotās vērtības nodokļa likuma 3. panta astotā daļa nosaka, ka </w:t>
            </w:r>
            <w:r w:rsidRPr="000154C5">
              <w:rPr>
                <w:rFonts w:ascii="Times New Roman" w:eastAsia="Times New Roman" w:hAnsi="Times New Roman" w:cs="Times New Roman"/>
                <w:color w:val="000000"/>
                <w:sz w:val="24"/>
                <w:szCs w:val="24"/>
                <w:shd w:val="clear" w:color="auto" w:fill="FFFFFF"/>
                <w:lang w:eastAsia="lv-LV"/>
              </w:rPr>
              <w:t>privātpersonas</w:t>
            </w:r>
            <w:r w:rsidRPr="00C42373">
              <w:rPr>
                <w:rFonts w:ascii="Times New Roman" w:eastAsia="Times New Roman" w:hAnsi="Times New Roman" w:cs="Times New Roman"/>
                <w:color w:val="000000"/>
                <w:sz w:val="24"/>
                <w:szCs w:val="24"/>
                <w:shd w:val="clear" w:color="auto" w:fill="FFFFFF"/>
                <w:lang w:eastAsia="lv-LV"/>
              </w:rPr>
              <w:t>, kuras saskaņā ar Valsts pārvaldes iekārtas likumu pilda tām deleģētus vai ar pilnvarojumu nodotus valsts pārvaldes uzdevumus, neuzskata par nodokļa maksātājiem attiecībā uz darbībām vai darījumiem, kuros tās iesaistās valsts pārvaldes funkciju vai uzdevumu pildīšanā, līdz ar ko tiesu ekspertīžu maksas pakalpojuma cenrādī norādītas summas bez PVN.</w:t>
            </w:r>
          </w:p>
          <w:p w14:paraId="7312C5EF" w14:textId="2CC3960A" w:rsidR="00EF79EF" w:rsidRPr="00C42373" w:rsidRDefault="000C01DB" w:rsidP="00C42373">
            <w:pPr>
              <w:shd w:val="clear" w:color="auto" w:fill="FFFFFF"/>
              <w:spacing w:after="0" w:line="240" w:lineRule="auto"/>
              <w:ind w:firstLine="720"/>
              <w:jc w:val="both"/>
              <w:rPr>
                <w:rFonts w:ascii="Times New Roman" w:eastAsia="Times New Roman" w:hAnsi="Times New Roman" w:cs="Times New Roman"/>
                <w:color w:val="000000"/>
                <w:sz w:val="24"/>
                <w:szCs w:val="24"/>
                <w:shd w:val="clear" w:color="auto" w:fill="FFFFFF"/>
                <w:lang w:eastAsia="lv-LV"/>
              </w:rPr>
            </w:pPr>
            <w:r w:rsidRPr="00C42373">
              <w:rPr>
                <w:rFonts w:ascii="Times New Roman" w:eastAsia="Times New Roman" w:hAnsi="Times New Roman" w:cs="Times New Roman"/>
                <w:color w:val="000000"/>
                <w:sz w:val="24"/>
                <w:szCs w:val="24"/>
                <w:shd w:val="clear" w:color="auto" w:fill="FFFFFF"/>
                <w:lang w:eastAsia="lv-LV"/>
              </w:rPr>
              <w:t>Apstiprinot noteikumus par valsts kapitālsabiedrības, kurā tiesu eksperta pienākumus pilda valsts tiesu eksperts, kompetencē esošo tiesu ekspertīžu maksas pakalpojumu cenrādi, daļēji tiks izpildīts Tiesu ekspertu likuma 10.panta ceturtajā daļā ietvertais deleģējums par valsts kapitālsabiedrības kompetencē esošo tiesu ekspertīžu maksas pakalpojumu cenrāža apstiprināšanu, un tiks risināta šajā daļā atrunāto tiesu ekspertīžu cenu noteikšana atbilstošajām mērķauditorijām.</w:t>
            </w:r>
          </w:p>
        </w:tc>
      </w:tr>
      <w:tr w:rsidR="00665589" w14:paraId="3712248E"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68E9B04A"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3.</w:t>
            </w:r>
          </w:p>
        </w:tc>
        <w:tc>
          <w:tcPr>
            <w:tcW w:w="1165" w:type="pct"/>
            <w:tcBorders>
              <w:top w:val="outset" w:sz="6" w:space="0" w:color="auto"/>
              <w:left w:val="outset" w:sz="6" w:space="0" w:color="auto"/>
              <w:bottom w:val="outset" w:sz="6" w:space="0" w:color="auto"/>
              <w:right w:val="outset" w:sz="6" w:space="0" w:color="auto"/>
            </w:tcBorders>
            <w:hideMark/>
          </w:tcPr>
          <w:p w14:paraId="681CE956"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14:paraId="38307C02" w14:textId="456B602D" w:rsidR="00E5323B" w:rsidRPr="00EB31B5" w:rsidRDefault="000714FB" w:rsidP="00CD1C1E">
            <w:pPr>
              <w:spacing w:after="0" w:line="240" w:lineRule="auto"/>
              <w:jc w:val="both"/>
              <w:rPr>
                <w:rFonts w:ascii="Times New Roman" w:eastAsia="Times New Roman" w:hAnsi="Times New Roman" w:cs="Times New Roman"/>
                <w:iCs/>
                <w:sz w:val="24"/>
                <w:szCs w:val="24"/>
                <w:lang w:eastAsia="lv-LV"/>
              </w:rPr>
            </w:pPr>
            <w:r w:rsidRPr="000714FB">
              <w:rPr>
                <w:rFonts w:ascii="Times New Roman" w:hAnsi="Times New Roman"/>
                <w:sz w:val="24"/>
              </w:rPr>
              <w:t xml:space="preserve">Veselības ministrija, </w:t>
            </w:r>
            <w:r w:rsidR="00764E2D">
              <w:rPr>
                <w:rFonts w:ascii="Times New Roman" w:eastAsia="Times New Roman" w:hAnsi="Times New Roman" w:cs="Times New Roman"/>
                <w:sz w:val="24"/>
                <w:szCs w:val="24"/>
                <w:lang w:eastAsia="lv-LV"/>
              </w:rPr>
              <w:t>V</w:t>
            </w:r>
            <w:r w:rsidR="00764E2D" w:rsidRPr="008738C8">
              <w:rPr>
                <w:rFonts w:ascii="Times New Roman" w:eastAsia="Times New Roman" w:hAnsi="Times New Roman" w:cs="Times New Roman"/>
                <w:sz w:val="24"/>
                <w:szCs w:val="24"/>
                <w:lang w:eastAsia="lv-LV"/>
              </w:rPr>
              <w:t>alsts sabiedrība ar ierobežotu atbildību</w:t>
            </w:r>
            <w:r w:rsidRPr="000714FB">
              <w:rPr>
                <w:rFonts w:ascii="Times New Roman" w:hAnsi="Times New Roman"/>
                <w:sz w:val="24"/>
              </w:rPr>
              <w:t xml:space="preserve"> “Rīgas psihiatrijas un narkoloģijas centrs”</w:t>
            </w:r>
            <w:r>
              <w:rPr>
                <w:rFonts w:ascii="Times New Roman" w:hAnsi="Times New Roman"/>
                <w:sz w:val="24"/>
              </w:rPr>
              <w:t>.</w:t>
            </w:r>
          </w:p>
        </w:tc>
      </w:tr>
      <w:tr w:rsidR="00665589" w14:paraId="43AA9C13" w14:textId="77777777" w:rsidTr="00A14842">
        <w:trPr>
          <w:tblCellSpacing w:w="15" w:type="dxa"/>
        </w:trPr>
        <w:tc>
          <w:tcPr>
            <w:tcW w:w="198" w:type="pct"/>
            <w:tcBorders>
              <w:top w:val="outset" w:sz="6" w:space="0" w:color="auto"/>
              <w:left w:val="outset" w:sz="6" w:space="0" w:color="auto"/>
              <w:bottom w:val="outset" w:sz="6" w:space="0" w:color="auto"/>
              <w:right w:val="outset" w:sz="6" w:space="0" w:color="auto"/>
            </w:tcBorders>
            <w:hideMark/>
          </w:tcPr>
          <w:p w14:paraId="4E112E88"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14:paraId="0432F42C"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31CDEA84" w14:textId="77777777" w:rsidR="00E5323B" w:rsidRPr="002A0E1F" w:rsidRDefault="00580992" w:rsidP="001A31B2">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Nav</w:t>
            </w:r>
          </w:p>
        </w:tc>
      </w:tr>
    </w:tbl>
    <w:p w14:paraId="033261BE"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65589" w14:paraId="2915C1A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DC6B86" w14:textId="77777777" w:rsidR="00655F2C" w:rsidRPr="00EB31B5" w:rsidRDefault="003E2D3C" w:rsidP="00E5323B">
            <w:pPr>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42B86" w14:paraId="3930DD3B"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4246D"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13E638E0"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0220A399" w14:textId="77777777" w:rsidR="00342B86" w:rsidRPr="00FE0D27" w:rsidRDefault="000714FB" w:rsidP="006D073B">
            <w:pPr>
              <w:shd w:val="clear" w:color="auto" w:fill="FFFFFF"/>
              <w:spacing w:after="0" w:line="240" w:lineRule="auto"/>
              <w:jc w:val="both"/>
              <w:rPr>
                <w:rFonts w:ascii="Segoe UI" w:eastAsia="Times New Roman" w:hAnsi="Segoe UI" w:cs="Segoe UI"/>
                <w:color w:val="212121"/>
                <w:sz w:val="23"/>
                <w:szCs w:val="23"/>
                <w:lang w:eastAsia="lv-LV"/>
              </w:rPr>
            </w:pPr>
            <w:r w:rsidRPr="00191D5F">
              <w:rPr>
                <w:rFonts w:ascii="Times New Roman" w:hAnsi="Times New Roman"/>
                <w:sz w:val="24"/>
              </w:rPr>
              <w:t>Noteikumu projektā paredzēto publisko maksas pakalpojumu saņēmēji būs</w:t>
            </w:r>
            <w:r w:rsidR="00C80667" w:rsidRPr="00191D5F">
              <w:rPr>
                <w:rFonts w:ascii="Times New Roman" w:hAnsi="Times New Roman"/>
                <w:sz w:val="24"/>
              </w:rPr>
              <w:t xml:space="preserve"> ekspertīzes pieprasītāji (procesa virzītājs, tiesa vai institūcija, kuras lietvedībā ir administratīvā pārkāpuma lieta)</w:t>
            </w:r>
            <w:r w:rsidRPr="00191D5F">
              <w:rPr>
                <w:rFonts w:ascii="Times New Roman" w:hAnsi="Times New Roman"/>
                <w:sz w:val="24"/>
              </w:rPr>
              <w:t xml:space="preserve"> </w:t>
            </w:r>
          </w:p>
        </w:tc>
      </w:tr>
      <w:tr w:rsidR="00342B86" w14:paraId="714DC4D6"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A3E034"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DCE51D"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4C4E422E"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11BF811C"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8535AF"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46962CD"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A001F5A"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11576420"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C8D899"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62A6617"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239B2140" w14:textId="77777777" w:rsidR="00342B86" w:rsidRPr="00EB31B5" w:rsidRDefault="00342B86" w:rsidP="00342B86">
            <w:pPr>
              <w:spacing w:after="0" w:line="240" w:lineRule="auto"/>
              <w:rPr>
                <w:rFonts w:ascii="Times New Roman" w:eastAsia="Times New Roman" w:hAnsi="Times New Roman" w:cs="Times New Roman"/>
                <w:iCs/>
                <w:sz w:val="24"/>
                <w:szCs w:val="24"/>
                <w:highlight w:val="yellow"/>
                <w:lang w:eastAsia="lv-LV"/>
              </w:rPr>
            </w:pPr>
            <w:r w:rsidRPr="00EB31B5">
              <w:rPr>
                <w:rFonts w:ascii="Times New Roman" w:eastAsia="Calibri" w:hAnsi="Times New Roman" w:cs="Times New Roman"/>
                <w:iCs/>
                <w:sz w:val="24"/>
                <w:szCs w:val="24"/>
              </w:rPr>
              <w:t>Projekts šo jomu neskar.</w:t>
            </w:r>
          </w:p>
        </w:tc>
      </w:tr>
      <w:tr w:rsidR="00342B86" w14:paraId="7AD08C65" w14:textId="77777777" w:rsidTr="00342B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A8EB3A"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4B54F479"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533AF16" w14:textId="77777777" w:rsidR="00342B86" w:rsidRPr="00EB31B5" w:rsidRDefault="00342B86" w:rsidP="00342B86">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Nav</w:t>
            </w:r>
          </w:p>
        </w:tc>
      </w:tr>
    </w:tbl>
    <w:p w14:paraId="2DA701BE" w14:textId="77777777" w:rsidR="00E5323B"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  </w:t>
      </w:r>
    </w:p>
    <w:tbl>
      <w:tblPr>
        <w:tblW w:w="5005"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476"/>
        <w:gridCol w:w="845"/>
        <w:gridCol w:w="1128"/>
        <w:gridCol w:w="850"/>
        <w:gridCol w:w="1136"/>
        <w:gridCol w:w="844"/>
        <w:gridCol w:w="1217"/>
        <w:gridCol w:w="1568"/>
      </w:tblGrid>
      <w:tr w:rsidR="00090EED" w14:paraId="7C735763" w14:textId="77777777" w:rsidTr="000154C5">
        <w:trPr>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AFAA405" w14:textId="77777777" w:rsidR="00655F2C" w:rsidRPr="00EB31B5" w:rsidRDefault="003E2D3C" w:rsidP="00E5323B">
            <w:pPr>
              <w:tabs>
                <w:tab w:val="left" w:pos="1005"/>
              </w:tabs>
              <w:spacing w:after="0" w:line="240" w:lineRule="auto"/>
              <w:rPr>
                <w:rFonts w:ascii="Times New Roman" w:eastAsia="Times New Roman" w:hAnsi="Times New Roman" w:cs="Times New Roman"/>
                <w:b/>
                <w:bCs/>
                <w:iCs/>
                <w:sz w:val="24"/>
                <w:szCs w:val="24"/>
                <w:lang w:eastAsia="lv-LV"/>
              </w:rPr>
            </w:pPr>
            <w:r w:rsidRPr="00EB31B5">
              <w:rPr>
                <w:rFonts w:ascii="Times New Roman" w:eastAsia="Times New Roman" w:hAnsi="Times New Roman" w:cs="Times New Roman"/>
                <w:b/>
                <w:bCs/>
                <w:iCs/>
                <w:sz w:val="24"/>
                <w:szCs w:val="24"/>
                <w:lang w:eastAsia="lv-LV"/>
              </w:rPr>
              <w:t>III. Tiesību akta projekta ietekme uz valsts budžetu un pašvaldību budžetiem</w:t>
            </w:r>
          </w:p>
        </w:tc>
      </w:tr>
      <w:tr w:rsidR="00A527DA" w14:paraId="34F90F26" w14:textId="77777777" w:rsidTr="000154C5">
        <w:trPr>
          <w:tblCellSpacing w:w="15" w:type="dxa"/>
          <w:jc w:val="center"/>
        </w:trPr>
        <w:tc>
          <w:tcPr>
            <w:tcW w:w="808" w:type="pct"/>
            <w:vMerge w:val="restart"/>
            <w:tcBorders>
              <w:top w:val="outset" w:sz="6" w:space="0" w:color="auto"/>
              <w:left w:val="outset" w:sz="6" w:space="0" w:color="auto"/>
              <w:bottom w:val="outset" w:sz="6" w:space="0" w:color="auto"/>
              <w:right w:val="outset" w:sz="6" w:space="0" w:color="auto"/>
            </w:tcBorders>
            <w:vAlign w:val="center"/>
            <w:hideMark/>
          </w:tcPr>
          <w:p w14:paraId="6FEC6FAA"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Rādītāji</w:t>
            </w:r>
          </w:p>
        </w:tc>
        <w:tc>
          <w:tcPr>
            <w:tcW w:w="108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C84D2F4"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201</w:t>
            </w:r>
            <w:r w:rsidR="00DC4DA6">
              <w:rPr>
                <w:rFonts w:ascii="Times New Roman" w:eastAsia="Times New Roman" w:hAnsi="Times New Roman" w:cs="Times New Roman"/>
                <w:iCs/>
                <w:sz w:val="24"/>
                <w:szCs w:val="24"/>
                <w:lang w:eastAsia="lv-LV"/>
              </w:rPr>
              <w:t>9</w:t>
            </w:r>
            <w:r w:rsidRPr="00EB31B5">
              <w:rPr>
                <w:rFonts w:ascii="Times New Roman" w:eastAsia="Times New Roman" w:hAnsi="Times New Roman" w:cs="Times New Roman"/>
                <w:iCs/>
                <w:sz w:val="24"/>
                <w:szCs w:val="24"/>
                <w:lang w:eastAsia="lv-LV"/>
              </w:rPr>
              <w:t>.</w:t>
            </w:r>
            <w:r w:rsidR="00E5323B" w:rsidRPr="00EB31B5">
              <w:rPr>
                <w:rFonts w:ascii="Times New Roman" w:eastAsia="Times New Roman" w:hAnsi="Times New Roman" w:cs="Times New Roman"/>
                <w:iCs/>
                <w:sz w:val="24"/>
                <w:szCs w:val="24"/>
                <w:lang w:eastAsia="lv-LV"/>
              </w:rPr>
              <w:t>gads</w:t>
            </w:r>
          </w:p>
        </w:tc>
        <w:tc>
          <w:tcPr>
            <w:tcW w:w="3047" w:type="pct"/>
            <w:gridSpan w:val="5"/>
            <w:tcBorders>
              <w:top w:val="outset" w:sz="6" w:space="0" w:color="auto"/>
              <w:left w:val="outset" w:sz="6" w:space="0" w:color="auto"/>
              <w:bottom w:val="outset" w:sz="6" w:space="0" w:color="auto"/>
              <w:right w:val="outset" w:sz="6" w:space="0" w:color="auto"/>
            </w:tcBorders>
            <w:vAlign w:val="center"/>
            <w:hideMark/>
          </w:tcPr>
          <w:p w14:paraId="6E9DC0C4" w14:textId="77777777" w:rsidR="00655F2C" w:rsidRPr="00EB31B5" w:rsidRDefault="003E2D3C" w:rsidP="0056024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Turpmākie trīs gadi (</w:t>
            </w:r>
            <w:r w:rsidRPr="00EB31B5">
              <w:rPr>
                <w:rFonts w:ascii="Times New Roman" w:eastAsia="Times New Roman" w:hAnsi="Times New Roman" w:cs="Times New Roman"/>
                <w:i/>
                <w:iCs/>
                <w:sz w:val="24"/>
                <w:szCs w:val="24"/>
                <w:lang w:eastAsia="lv-LV"/>
              </w:rPr>
              <w:t>euro</w:t>
            </w:r>
            <w:r w:rsidRPr="00EB31B5">
              <w:rPr>
                <w:rFonts w:ascii="Times New Roman" w:eastAsia="Times New Roman" w:hAnsi="Times New Roman" w:cs="Times New Roman"/>
                <w:iCs/>
                <w:sz w:val="24"/>
                <w:szCs w:val="24"/>
                <w:lang w:eastAsia="lv-LV"/>
              </w:rPr>
              <w:t>)</w:t>
            </w:r>
          </w:p>
        </w:tc>
      </w:tr>
      <w:tr w:rsidR="00AB4680" w14:paraId="2EE93DB3" w14:textId="77777777" w:rsidTr="000154C5">
        <w:trPr>
          <w:tblCellSpacing w:w="15" w:type="dxa"/>
          <w:jc w:val="center"/>
        </w:trPr>
        <w:tc>
          <w:tcPr>
            <w:tcW w:w="808" w:type="pct"/>
            <w:vMerge/>
            <w:tcBorders>
              <w:top w:val="outset" w:sz="6" w:space="0" w:color="auto"/>
              <w:left w:val="outset" w:sz="6" w:space="0" w:color="auto"/>
              <w:bottom w:val="outset" w:sz="6" w:space="0" w:color="auto"/>
              <w:right w:val="outset" w:sz="6" w:space="0" w:color="auto"/>
            </w:tcBorders>
            <w:vAlign w:val="center"/>
            <w:hideMark/>
          </w:tcPr>
          <w:p w14:paraId="51C6E6AA"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080" w:type="pct"/>
            <w:gridSpan w:val="2"/>
            <w:vMerge/>
            <w:tcBorders>
              <w:top w:val="outset" w:sz="6" w:space="0" w:color="auto"/>
              <w:left w:val="outset" w:sz="6" w:space="0" w:color="auto"/>
              <w:bottom w:val="outset" w:sz="6" w:space="0" w:color="auto"/>
              <w:right w:val="outset" w:sz="6" w:space="0" w:color="auto"/>
            </w:tcBorders>
            <w:vAlign w:val="center"/>
            <w:hideMark/>
          </w:tcPr>
          <w:p w14:paraId="568BFAFF"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1088" w:type="pct"/>
            <w:gridSpan w:val="2"/>
            <w:tcBorders>
              <w:top w:val="outset" w:sz="6" w:space="0" w:color="auto"/>
              <w:left w:val="outset" w:sz="6" w:space="0" w:color="auto"/>
              <w:bottom w:val="outset" w:sz="6" w:space="0" w:color="auto"/>
              <w:right w:val="outset" w:sz="6" w:space="0" w:color="auto"/>
            </w:tcBorders>
            <w:vAlign w:val="center"/>
            <w:hideMark/>
          </w:tcPr>
          <w:p w14:paraId="5328F069"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w:t>
            </w:r>
            <w:r w:rsidR="00DC4DA6">
              <w:rPr>
                <w:rFonts w:ascii="Times New Roman" w:eastAsia="Times New Roman" w:hAnsi="Times New Roman" w:cs="Times New Roman"/>
                <w:iCs/>
                <w:sz w:val="24"/>
                <w:szCs w:val="24"/>
                <w:lang w:eastAsia="lv-LV"/>
              </w:rPr>
              <w:t>20</w:t>
            </w:r>
            <w:r w:rsidRPr="00EB31B5">
              <w:rPr>
                <w:rFonts w:ascii="Times New Roman" w:eastAsia="Times New Roman" w:hAnsi="Times New Roman" w:cs="Times New Roman"/>
                <w:iCs/>
                <w:sz w:val="24"/>
                <w:szCs w:val="24"/>
                <w:lang w:eastAsia="lv-LV"/>
              </w:rPr>
              <w:t>.gads</w:t>
            </w:r>
          </w:p>
        </w:tc>
        <w:tc>
          <w:tcPr>
            <w:tcW w:w="1131" w:type="pct"/>
            <w:gridSpan w:val="2"/>
            <w:tcBorders>
              <w:top w:val="outset" w:sz="6" w:space="0" w:color="auto"/>
              <w:left w:val="outset" w:sz="6" w:space="0" w:color="auto"/>
              <w:bottom w:val="outset" w:sz="6" w:space="0" w:color="auto"/>
              <w:right w:val="outset" w:sz="6" w:space="0" w:color="auto"/>
            </w:tcBorders>
            <w:vAlign w:val="center"/>
            <w:hideMark/>
          </w:tcPr>
          <w:p w14:paraId="649BDBF0"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w:t>
            </w:r>
            <w:r w:rsidR="00DC4DA6">
              <w:rPr>
                <w:rFonts w:ascii="Times New Roman" w:eastAsia="Times New Roman" w:hAnsi="Times New Roman" w:cs="Times New Roman"/>
                <w:iCs/>
                <w:sz w:val="24"/>
                <w:szCs w:val="24"/>
                <w:lang w:eastAsia="lv-LV"/>
              </w:rPr>
              <w:t>1</w:t>
            </w:r>
            <w:r w:rsidRPr="00EB31B5">
              <w:rPr>
                <w:rFonts w:ascii="Times New Roman" w:eastAsia="Times New Roman" w:hAnsi="Times New Roman" w:cs="Times New Roman"/>
                <w:iCs/>
                <w:sz w:val="24"/>
                <w:szCs w:val="24"/>
                <w:lang w:eastAsia="lv-LV"/>
              </w:rPr>
              <w:t>.gads</w:t>
            </w:r>
          </w:p>
        </w:tc>
        <w:tc>
          <w:tcPr>
            <w:tcW w:w="794" w:type="pct"/>
            <w:tcBorders>
              <w:top w:val="outset" w:sz="6" w:space="0" w:color="auto"/>
              <w:left w:val="outset" w:sz="6" w:space="0" w:color="auto"/>
              <w:bottom w:val="outset" w:sz="6" w:space="0" w:color="auto"/>
              <w:right w:val="outset" w:sz="6" w:space="0" w:color="auto"/>
            </w:tcBorders>
            <w:vAlign w:val="center"/>
            <w:hideMark/>
          </w:tcPr>
          <w:p w14:paraId="4A516053" w14:textId="77777777" w:rsidR="00655F2C" w:rsidRPr="00EB31B5" w:rsidRDefault="003E2D3C" w:rsidP="001410CF">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202</w:t>
            </w:r>
            <w:r w:rsidR="00DC4DA6">
              <w:rPr>
                <w:rFonts w:ascii="Times New Roman" w:eastAsia="Times New Roman" w:hAnsi="Times New Roman" w:cs="Times New Roman"/>
                <w:iCs/>
                <w:sz w:val="24"/>
                <w:szCs w:val="24"/>
                <w:lang w:eastAsia="lv-LV"/>
              </w:rPr>
              <w:t>2</w:t>
            </w:r>
            <w:r w:rsidRPr="00EB31B5">
              <w:rPr>
                <w:rFonts w:ascii="Times New Roman" w:eastAsia="Times New Roman" w:hAnsi="Times New Roman" w:cs="Times New Roman"/>
                <w:iCs/>
                <w:sz w:val="24"/>
                <w:szCs w:val="24"/>
                <w:lang w:eastAsia="lv-LV"/>
              </w:rPr>
              <w:t>.gads</w:t>
            </w:r>
          </w:p>
        </w:tc>
      </w:tr>
      <w:tr w:rsidR="000154C5" w14:paraId="381FB6E2" w14:textId="77777777" w:rsidTr="000154C5">
        <w:trPr>
          <w:tblCellSpacing w:w="15" w:type="dxa"/>
          <w:jc w:val="center"/>
        </w:trPr>
        <w:tc>
          <w:tcPr>
            <w:tcW w:w="808" w:type="pct"/>
            <w:vMerge/>
            <w:tcBorders>
              <w:top w:val="outset" w:sz="6" w:space="0" w:color="auto"/>
              <w:left w:val="outset" w:sz="6" w:space="0" w:color="auto"/>
              <w:bottom w:val="outset" w:sz="6" w:space="0" w:color="auto"/>
              <w:right w:val="outset" w:sz="6" w:space="0" w:color="auto"/>
            </w:tcBorders>
            <w:vAlign w:val="center"/>
            <w:hideMark/>
          </w:tcPr>
          <w:p w14:paraId="44F0C4EF" w14:textId="77777777" w:rsidR="00E5323B" w:rsidRPr="00EB31B5" w:rsidRDefault="00E5323B" w:rsidP="00E5323B">
            <w:pPr>
              <w:spacing w:after="0" w:line="240" w:lineRule="auto"/>
              <w:rPr>
                <w:rFonts w:ascii="Times New Roman" w:eastAsia="Times New Roman" w:hAnsi="Times New Roman" w:cs="Times New Roman"/>
                <w:iCs/>
                <w:sz w:val="24"/>
                <w:szCs w:val="24"/>
                <w:lang w:eastAsia="lv-LV"/>
              </w:rPr>
            </w:pPr>
          </w:p>
        </w:tc>
        <w:tc>
          <w:tcPr>
            <w:tcW w:w="460" w:type="pct"/>
            <w:tcBorders>
              <w:top w:val="outset" w:sz="6" w:space="0" w:color="auto"/>
              <w:left w:val="outset" w:sz="6" w:space="0" w:color="auto"/>
              <w:bottom w:val="outset" w:sz="6" w:space="0" w:color="auto"/>
              <w:right w:val="outset" w:sz="6" w:space="0" w:color="auto"/>
            </w:tcBorders>
            <w:vAlign w:val="center"/>
            <w:hideMark/>
          </w:tcPr>
          <w:p w14:paraId="63BFD48C"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valsts budžetu kārtējam gadam</w:t>
            </w:r>
          </w:p>
        </w:tc>
        <w:tc>
          <w:tcPr>
            <w:tcW w:w="603" w:type="pct"/>
            <w:tcBorders>
              <w:top w:val="outset" w:sz="6" w:space="0" w:color="auto"/>
              <w:left w:val="outset" w:sz="6" w:space="0" w:color="auto"/>
              <w:bottom w:val="outset" w:sz="6" w:space="0" w:color="auto"/>
              <w:right w:val="outset" w:sz="6" w:space="0" w:color="auto"/>
            </w:tcBorders>
            <w:vAlign w:val="center"/>
            <w:hideMark/>
          </w:tcPr>
          <w:p w14:paraId="5149E2E3"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kārtējā gadā, salīdzinot ar valsts budžetu kārtējam gadam</w:t>
            </w:r>
          </w:p>
        </w:tc>
        <w:tc>
          <w:tcPr>
            <w:tcW w:w="463" w:type="pct"/>
            <w:tcBorders>
              <w:top w:val="outset" w:sz="6" w:space="0" w:color="auto"/>
              <w:left w:val="outset" w:sz="6" w:space="0" w:color="auto"/>
              <w:bottom w:val="outset" w:sz="6" w:space="0" w:color="auto"/>
              <w:right w:val="outset" w:sz="6" w:space="0" w:color="auto"/>
            </w:tcBorders>
            <w:vAlign w:val="center"/>
            <w:hideMark/>
          </w:tcPr>
          <w:p w14:paraId="1A920B1D"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608" w:type="pct"/>
            <w:tcBorders>
              <w:top w:val="outset" w:sz="6" w:space="0" w:color="auto"/>
              <w:left w:val="outset" w:sz="6" w:space="0" w:color="auto"/>
              <w:bottom w:val="outset" w:sz="6" w:space="0" w:color="auto"/>
              <w:right w:val="outset" w:sz="6" w:space="0" w:color="auto"/>
            </w:tcBorders>
            <w:vAlign w:val="center"/>
            <w:hideMark/>
          </w:tcPr>
          <w:p w14:paraId="6FC1198B"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w:t>
            </w:r>
            <w:r w:rsidR="00976503" w:rsidRPr="00EB31B5">
              <w:rPr>
                <w:rFonts w:ascii="Times New Roman" w:eastAsia="Times New Roman" w:hAnsi="Times New Roman" w:cs="Times New Roman"/>
                <w:iCs/>
                <w:sz w:val="24"/>
                <w:szCs w:val="24"/>
                <w:lang w:eastAsia="lv-LV"/>
              </w:rPr>
              <w:t>ēja termiņa budžeta ietvaru 20</w:t>
            </w:r>
            <w:r w:rsidR="00DC4DA6">
              <w:rPr>
                <w:rFonts w:ascii="Times New Roman" w:eastAsia="Times New Roman" w:hAnsi="Times New Roman" w:cs="Times New Roman"/>
                <w:iCs/>
                <w:sz w:val="24"/>
                <w:szCs w:val="24"/>
                <w:lang w:eastAsia="lv-LV"/>
              </w:rPr>
              <w:t>20</w:t>
            </w:r>
            <w:r w:rsidR="00976503" w:rsidRPr="00EB31B5">
              <w:rPr>
                <w:rFonts w:ascii="Times New Roman" w:eastAsia="Times New Roman" w:hAnsi="Times New Roman" w:cs="Times New Roman"/>
                <w:iCs/>
                <w:sz w:val="24"/>
                <w:szCs w:val="24"/>
                <w:lang w:eastAsia="lv-LV"/>
              </w:rPr>
              <w:t xml:space="preserve">. </w:t>
            </w:r>
            <w:r w:rsidRPr="00EB31B5">
              <w:rPr>
                <w:rFonts w:ascii="Times New Roman" w:eastAsia="Times New Roman" w:hAnsi="Times New Roman" w:cs="Times New Roman"/>
                <w:iCs/>
                <w:sz w:val="24"/>
                <w:szCs w:val="24"/>
                <w:lang w:eastAsia="lv-LV"/>
              </w:rPr>
              <w:t>gadam</w:t>
            </w:r>
          </w:p>
        </w:tc>
        <w:tc>
          <w:tcPr>
            <w:tcW w:w="460" w:type="pct"/>
            <w:tcBorders>
              <w:top w:val="outset" w:sz="6" w:space="0" w:color="auto"/>
              <w:left w:val="outset" w:sz="6" w:space="0" w:color="auto"/>
              <w:bottom w:val="outset" w:sz="6" w:space="0" w:color="auto"/>
              <w:right w:val="outset" w:sz="6" w:space="0" w:color="auto"/>
            </w:tcBorders>
            <w:vAlign w:val="center"/>
            <w:hideMark/>
          </w:tcPr>
          <w:p w14:paraId="5DFDEAAC"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saskaņā ar vidēja termiņa budžeta ietvaru</w:t>
            </w:r>
          </w:p>
        </w:tc>
        <w:tc>
          <w:tcPr>
            <w:tcW w:w="655" w:type="pct"/>
            <w:tcBorders>
              <w:top w:val="outset" w:sz="6" w:space="0" w:color="auto"/>
              <w:left w:val="outset" w:sz="6" w:space="0" w:color="auto"/>
              <w:bottom w:val="outset" w:sz="6" w:space="0" w:color="auto"/>
              <w:right w:val="outset" w:sz="6" w:space="0" w:color="auto"/>
            </w:tcBorders>
            <w:vAlign w:val="center"/>
            <w:hideMark/>
          </w:tcPr>
          <w:p w14:paraId="7120A804"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izmaiņas, salīdzinot ar vidēja termiņa budžeta ietvaru </w:t>
            </w:r>
            <w:r w:rsidR="00976503" w:rsidRPr="00EB31B5">
              <w:rPr>
                <w:rFonts w:ascii="Times New Roman" w:eastAsia="Times New Roman" w:hAnsi="Times New Roman" w:cs="Times New Roman"/>
                <w:iCs/>
                <w:sz w:val="24"/>
                <w:szCs w:val="24"/>
                <w:lang w:eastAsia="lv-LV"/>
              </w:rPr>
              <w:t>202</w:t>
            </w:r>
            <w:r w:rsidR="00DC4DA6">
              <w:rPr>
                <w:rFonts w:ascii="Times New Roman" w:eastAsia="Times New Roman" w:hAnsi="Times New Roman" w:cs="Times New Roman"/>
                <w:iCs/>
                <w:sz w:val="24"/>
                <w:szCs w:val="24"/>
                <w:lang w:eastAsia="lv-LV"/>
              </w:rPr>
              <w:t>1</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c>
          <w:tcPr>
            <w:tcW w:w="794" w:type="pct"/>
            <w:tcBorders>
              <w:top w:val="outset" w:sz="6" w:space="0" w:color="auto"/>
              <w:left w:val="outset" w:sz="6" w:space="0" w:color="auto"/>
              <w:bottom w:val="outset" w:sz="6" w:space="0" w:color="auto"/>
              <w:right w:val="outset" w:sz="6" w:space="0" w:color="auto"/>
            </w:tcBorders>
            <w:vAlign w:val="center"/>
            <w:hideMark/>
          </w:tcPr>
          <w:p w14:paraId="0CDA9200"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izmaiņas, salīdzinot ar vidēja termiņa budžeta ietvar</w:t>
            </w:r>
            <w:r w:rsidR="00976503" w:rsidRPr="00EB31B5">
              <w:rPr>
                <w:rFonts w:ascii="Times New Roman" w:eastAsia="Times New Roman" w:hAnsi="Times New Roman" w:cs="Times New Roman"/>
                <w:iCs/>
                <w:sz w:val="24"/>
                <w:szCs w:val="24"/>
                <w:lang w:eastAsia="lv-LV"/>
              </w:rPr>
              <w:t>u 202</w:t>
            </w:r>
            <w:r w:rsidR="00DC4DA6">
              <w:rPr>
                <w:rFonts w:ascii="Times New Roman" w:eastAsia="Times New Roman" w:hAnsi="Times New Roman" w:cs="Times New Roman"/>
                <w:iCs/>
                <w:sz w:val="24"/>
                <w:szCs w:val="24"/>
                <w:lang w:eastAsia="lv-LV"/>
              </w:rPr>
              <w:t>1</w:t>
            </w:r>
            <w:r w:rsidR="00976503" w:rsidRPr="00EB31B5">
              <w:rPr>
                <w:rFonts w:ascii="Times New Roman" w:eastAsia="Times New Roman" w:hAnsi="Times New Roman" w:cs="Times New Roman"/>
                <w:iCs/>
                <w:sz w:val="24"/>
                <w:szCs w:val="24"/>
                <w:lang w:eastAsia="lv-LV"/>
              </w:rPr>
              <w:t>.</w:t>
            </w:r>
            <w:r w:rsidRPr="00EB31B5">
              <w:rPr>
                <w:rFonts w:ascii="Times New Roman" w:eastAsia="Times New Roman" w:hAnsi="Times New Roman" w:cs="Times New Roman"/>
                <w:iCs/>
                <w:sz w:val="24"/>
                <w:szCs w:val="24"/>
                <w:lang w:eastAsia="lv-LV"/>
              </w:rPr>
              <w:t xml:space="preserve"> gadam</w:t>
            </w:r>
          </w:p>
        </w:tc>
      </w:tr>
      <w:tr w:rsidR="000154C5" w14:paraId="0CA6A2FF"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vAlign w:val="center"/>
            <w:hideMark/>
          </w:tcPr>
          <w:p w14:paraId="33B7CE60"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w:t>
            </w:r>
          </w:p>
        </w:tc>
        <w:tc>
          <w:tcPr>
            <w:tcW w:w="460" w:type="pct"/>
            <w:tcBorders>
              <w:top w:val="outset" w:sz="6" w:space="0" w:color="auto"/>
              <w:left w:val="outset" w:sz="6" w:space="0" w:color="auto"/>
              <w:bottom w:val="outset" w:sz="6" w:space="0" w:color="auto"/>
              <w:right w:val="outset" w:sz="6" w:space="0" w:color="auto"/>
            </w:tcBorders>
            <w:vAlign w:val="center"/>
            <w:hideMark/>
          </w:tcPr>
          <w:p w14:paraId="2D74FD49"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w:t>
            </w:r>
          </w:p>
        </w:tc>
        <w:tc>
          <w:tcPr>
            <w:tcW w:w="603" w:type="pct"/>
            <w:tcBorders>
              <w:top w:val="outset" w:sz="6" w:space="0" w:color="auto"/>
              <w:left w:val="outset" w:sz="6" w:space="0" w:color="auto"/>
              <w:bottom w:val="outset" w:sz="6" w:space="0" w:color="auto"/>
              <w:right w:val="outset" w:sz="6" w:space="0" w:color="auto"/>
            </w:tcBorders>
            <w:vAlign w:val="center"/>
            <w:hideMark/>
          </w:tcPr>
          <w:p w14:paraId="7C25AD23"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w:t>
            </w:r>
          </w:p>
        </w:tc>
        <w:tc>
          <w:tcPr>
            <w:tcW w:w="463" w:type="pct"/>
            <w:tcBorders>
              <w:top w:val="outset" w:sz="6" w:space="0" w:color="auto"/>
              <w:left w:val="outset" w:sz="6" w:space="0" w:color="auto"/>
              <w:bottom w:val="outset" w:sz="6" w:space="0" w:color="auto"/>
              <w:right w:val="outset" w:sz="6" w:space="0" w:color="auto"/>
            </w:tcBorders>
            <w:vAlign w:val="center"/>
            <w:hideMark/>
          </w:tcPr>
          <w:p w14:paraId="4C700CD4"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w:t>
            </w:r>
          </w:p>
        </w:tc>
        <w:tc>
          <w:tcPr>
            <w:tcW w:w="608" w:type="pct"/>
            <w:tcBorders>
              <w:top w:val="outset" w:sz="6" w:space="0" w:color="auto"/>
              <w:left w:val="outset" w:sz="6" w:space="0" w:color="auto"/>
              <w:bottom w:val="outset" w:sz="6" w:space="0" w:color="auto"/>
              <w:right w:val="outset" w:sz="6" w:space="0" w:color="auto"/>
            </w:tcBorders>
            <w:vAlign w:val="center"/>
            <w:hideMark/>
          </w:tcPr>
          <w:p w14:paraId="01A8F743"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w:t>
            </w:r>
          </w:p>
        </w:tc>
        <w:tc>
          <w:tcPr>
            <w:tcW w:w="460" w:type="pct"/>
            <w:tcBorders>
              <w:top w:val="outset" w:sz="6" w:space="0" w:color="auto"/>
              <w:left w:val="outset" w:sz="6" w:space="0" w:color="auto"/>
              <w:bottom w:val="outset" w:sz="6" w:space="0" w:color="auto"/>
              <w:right w:val="outset" w:sz="6" w:space="0" w:color="auto"/>
            </w:tcBorders>
            <w:vAlign w:val="center"/>
            <w:hideMark/>
          </w:tcPr>
          <w:p w14:paraId="4A227B70"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w:t>
            </w:r>
          </w:p>
        </w:tc>
        <w:tc>
          <w:tcPr>
            <w:tcW w:w="655" w:type="pct"/>
            <w:tcBorders>
              <w:top w:val="outset" w:sz="6" w:space="0" w:color="auto"/>
              <w:left w:val="outset" w:sz="6" w:space="0" w:color="auto"/>
              <w:bottom w:val="outset" w:sz="6" w:space="0" w:color="auto"/>
              <w:right w:val="outset" w:sz="6" w:space="0" w:color="auto"/>
            </w:tcBorders>
            <w:vAlign w:val="center"/>
            <w:hideMark/>
          </w:tcPr>
          <w:p w14:paraId="27E65713"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7</w:t>
            </w:r>
          </w:p>
        </w:tc>
        <w:tc>
          <w:tcPr>
            <w:tcW w:w="794" w:type="pct"/>
            <w:tcBorders>
              <w:top w:val="outset" w:sz="6" w:space="0" w:color="auto"/>
              <w:left w:val="outset" w:sz="6" w:space="0" w:color="auto"/>
              <w:bottom w:val="outset" w:sz="6" w:space="0" w:color="auto"/>
              <w:right w:val="outset" w:sz="6" w:space="0" w:color="auto"/>
            </w:tcBorders>
            <w:vAlign w:val="center"/>
            <w:hideMark/>
          </w:tcPr>
          <w:p w14:paraId="4AA73B9C" w14:textId="77777777" w:rsidR="00655F2C" w:rsidRPr="00EB31B5" w:rsidRDefault="003E2D3C" w:rsidP="00E5323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w:t>
            </w:r>
          </w:p>
        </w:tc>
      </w:tr>
      <w:tr w:rsidR="000154C5" w14:paraId="2FC934CB"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6FC7C383" w14:textId="77777777" w:rsidR="000714FB" w:rsidRPr="00EB31B5" w:rsidRDefault="000714FB" w:rsidP="000714F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 Budžeta ieņēmumi</w:t>
            </w:r>
          </w:p>
        </w:tc>
        <w:tc>
          <w:tcPr>
            <w:tcW w:w="460" w:type="pct"/>
            <w:tcBorders>
              <w:top w:val="outset" w:sz="6" w:space="0" w:color="auto"/>
              <w:left w:val="outset" w:sz="6" w:space="0" w:color="auto"/>
              <w:bottom w:val="outset" w:sz="6" w:space="0" w:color="auto"/>
              <w:right w:val="outset" w:sz="6" w:space="0" w:color="auto"/>
            </w:tcBorders>
            <w:vAlign w:val="center"/>
          </w:tcPr>
          <w:p w14:paraId="5DA45F3D"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05E6A1AC"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tcPr>
          <w:p w14:paraId="7BD4F648"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14:paraId="33F92E34"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tcPr>
          <w:p w14:paraId="796E5914"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tcPr>
          <w:p w14:paraId="195C4C74"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04EDBF1B"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7B623FB3"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54FB1C3F" w14:textId="77777777" w:rsidR="000714FB" w:rsidRPr="00EB31B5" w:rsidRDefault="000714FB" w:rsidP="000714F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60" w:type="pct"/>
            <w:tcBorders>
              <w:top w:val="outset" w:sz="6" w:space="0" w:color="auto"/>
              <w:left w:val="outset" w:sz="6" w:space="0" w:color="auto"/>
              <w:bottom w:val="outset" w:sz="6" w:space="0" w:color="auto"/>
              <w:right w:val="outset" w:sz="6" w:space="0" w:color="auto"/>
            </w:tcBorders>
            <w:vAlign w:val="center"/>
          </w:tcPr>
          <w:p w14:paraId="4077882F"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44B0511C"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tcPr>
          <w:p w14:paraId="3B247770"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14:paraId="0106DC7B"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tcPr>
          <w:p w14:paraId="7F451786"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tcPr>
          <w:p w14:paraId="18A45C68"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7479B002"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5C73DBAD"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0332A35A" w14:textId="77777777" w:rsidR="000714FB" w:rsidRPr="00EB31B5" w:rsidRDefault="000714FB" w:rsidP="000714F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1.2. valsts speciālais budžets</w:t>
            </w:r>
          </w:p>
        </w:tc>
        <w:tc>
          <w:tcPr>
            <w:tcW w:w="460" w:type="pct"/>
            <w:tcBorders>
              <w:top w:val="outset" w:sz="6" w:space="0" w:color="auto"/>
              <w:left w:val="outset" w:sz="6" w:space="0" w:color="auto"/>
              <w:bottom w:val="outset" w:sz="6" w:space="0" w:color="auto"/>
              <w:right w:val="outset" w:sz="6" w:space="0" w:color="auto"/>
            </w:tcBorders>
            <w:vAlign w:val="center"/>
          </w:tcPr>
          <w:p w14:paraId="48B167C5"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58E6D39F"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tcPr>
          <w:p w14:paraId="2A51708D"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14:paraId="11579962"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tcPr>
          <w:p w14:paraId="68A3F501"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tcPr>
          <w:p w14:paraId="74FB0E3D"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5E5E230F"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05866113"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63BF64E5" w14:textId="77777777" w:rsidR="000714FB" w:rsidRPr="00EB31B5" w:rsidRDefault="000714FB" w:rsidP="000714F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1.3. pašvaldību budžets</w:t>
            </w:r>
          </w:p>
        </w:tc>
        <w:tc>
          <w:tcPr>
            <w:tcW w:w="460" w:type="pct"/>
            <w:tcBorders>
              <w:top w:val="outset" w:sz="6" w:space="0" w:color="auto"/>
              <w:left w:val="outset" w:sz="6" w:space="0" w:color="auto"/>
              <w:bottom w:val="outset" w:sz="6" w:space="0" w:color="auto"/>
              <w:right w:val="outset" w:sz="6" w:space="0" w:color="auto"/>
            </w:tcBorders>
            <w:vAlign w:val="center"/>
          </w:tcPr>
          <w:p w14:paraId="408E985B"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3977BBDE"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tcPr>
          <w:p w14:paraId="416F0133"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14:paraId="5A8DDB4A"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tcPr>
          <w:p w14:paraId="0F2296F4"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tcPr>
          <w:p w14:paraId="3D05C5CA"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2181A43C"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0F1A130A"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0F46D020" w14:textId="77777777" w:rsidR="000714FB" w:rsidRPr="00EB31B5" w:rsidRDefault="000714FB" w:rsidP="000714F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 Budžeta izdevumi</w:t>
            </w:r>
          </w:p>
        </w:tc>
        <w:tc>
          <w:tcPr>
            <w:tcW w:w="460" w:type="pct"/>
            <w:tcBorders>
              <w:top w:val="outset" w:sz="6" w:space="0" w:color="auto"/>
              <w:left w:val="outset" w:sz="6" w:space="0" w:color="auto"/>
              <w:bottom w:val="outset" w:sz="6" w:space="0" w:color="auto"/>
              <w:right w:val="outset" w:sz="6" w:space="0" w:color="auto"/>
            </w:tcBorders>
            <w:vAlign w:val="center"/>
          </w:tcPr>
          <w:p w14:paraId="2AAB1446"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00358133"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tcPr>
          <w:p w14:paraId="1FAA24BF"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14:paraId="5D507519"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tcPr>
          <w:p w14:paraId="72A933C5"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tcPr>
          <w:p w14:paraId="6033F7CA"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44B5D786"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76FD6324"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76591490" w14:textId="77777777" w:rsidR="000714FB" w:rsidRPr="00EB31B5" w:rsidRDefault="000714FB" w:rsidP="000714F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2.1. valsts pamatbudžets</w:t>
            </w:r>
          </w:p>
        </w:tc>
        <w:tc>
          <w:tcPr>
            <w:tcW w:w="460" w:type="pct"/>
            <w:tcBorders>
              <w:top w:val="outset" w:sz="6" w:space="0" w:color="auto"/>
              <w:left w:val="outset" w:sz="6" w:space="0" w:color="auto"/>
              <w:bottom w:val="outset" w:sz="6" w:space="0" w:color="auto"/>
              <w:right w:val="outset" w:sz="6" w:space="0" w:color="auto"/>
            </w:tcBorders>
            <w:vAlign w:val="center"/>
          </w:tcPr>
          <w:p w14:paraId="5276BF6A"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309A1CF3"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tcPr>
          <w:p w14:paraId="23556F25"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14:paraId="1F95A241"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tcPr>
          <w:p w14:paraId="4A7E59D9"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tcPr>
          <w:p w14:paraId="6C49C98C"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65C5F964"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3E7A42CE"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71D158E8" w14:textId="77777777" w:rsidR="000714FB" w:rsidRPr="00EB31B5" w:rsidRDefault="000714FB" w:rsidP="000714F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2.2. valsts speciālais budžets</w:t>
            </w:r>
          </w:p>
        </w:tc>
        <w:tc>
          <w:tcPr>
            <w:tcW w:w="460" w:type="pct"/>
            <w:tcBorders>
              <w:top w:val="outset" w:sz="6" w:space="0" w:color="auto"/>
              <w:left w:val="outset" w:sz="6" w:space="0" w:color="auto"/>
              <w:bottom w:val="outset" w:sz="6" w:space="0" w:color="auto"/>
              <w:right w:val="outset" w:sz="6" w:space="0" w:color="auto"/>
            </w:tcBorders>
            <w:vAlign w:val="center"/>
          </w:tcPr>
          <w:p w14:paraId="074CADCD"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23B44C25"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tcPr>
          <w:p w14:paraId="56D9E388"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14:paraId="7FFACC2B"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tcPr>
          <w:p w14:paraId="53777FD0"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tcPr>
          <w:p w14:paraId="2A6F2182"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046554FE"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2F63B669"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7361AAF4" w14:textId="77777777" w:rsidR="000714FB" w:rsidRPr="00EB31B5" w:rsidRDefault="000714FB" w:rsidP="000714F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2.3. pašvaldību budžets</w:t>
            </w:r>
          </w:p>
        </w:tc>
        <w:tc>
          <w:tcPr>
            <w:tcW w:w="460" w:type="pct"/>
            <w:tcBorders>
              <w:top w:val="outset" w:sz="6" w:space="0" w:color="auto"/>
              <w:left w:val="outset" w:sz="6" w:space="0" w:color="auto"/>
              <w:bottom w:val="outset" w:sz="6" w:space="0" w:color="auto"/>
              <w:right w:val="outset" w:sz="6" w:space="0" w:color="auto"/>
            </w:tcBorders>
            <w:vAlign w:val="center"/>
          </w:tcPr>
          <w:p w14:paraId="04E855D8"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6031F50A"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tcPr>
          <w:p w14:paraId="77927BF6"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14:paraId="49AA8BD2"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tcPr>
          <w:p w14:paraId="2EC2D015"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tcPr>
          <w:p w14:paraId="02B5727A"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05F55252"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4EA3DAB5"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1F59A178" w14:textId="77777777" w:rsidR="000714FB" w:rsidRPr="00EB31B5" w:rsidRDefault="000714FB" w:rsidP="000714F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 Finansiālā ietekme</w:t>
            </w:r>
          </w:p>
        </w:tc>
        <w:tc>
          <w:tcPr>
            <w:tcW w:w="460" w:type="pct"/>
            <w:tcBorders>
              <w:top w:val="outset" w:sz="6" w:space="0" w:color="auto"/>
              <w:left w:val="outset" w:sz="6" w:space="0" w:color="auto"/>
              <w:bottom w:val="outset" w:sz="6" w:space="0" w:color="auto"/>
              <w:right w:val="outset" w:sz="6" w:space="0" w:color="auto"/>
            </w:tcBorders>
            <w:vAlign w:val="center"/>
          </w:tcPr>
          <w:p w14:paraId="4C944030"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6E6F4D7C"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tcPr>
          <w:p w14:paraId="3EFC80B0"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14:paraId="77E1B67A"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tcPr>
          <w:p w14:paraId="29225EA8"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tcPr>
          <w:p w14:paraId="26962215"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68A64B4E"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2136EF0D"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7F0A36C1" w14:textId="77777777" w:rsidR="000714FB" w:rsidRPr="00EB31B5" w:rsidRDefault="000714FB" w:rsidP="000714FB">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3.1. valsts pamatbudžets</w:t>
            </w:r>
          </w:p>
        </w:tc>
        <w:tc>
          <w:tcPr>
            <w:tcW w:w="460" w:type="pct"/>
            <w:tcBorders>
              <w:top w:val="outset" w:sz="6" w:space="0" w:color="auto"/>
              <w:left w:val="outset" w:sz="6" w:space="0" w:color="auto"/>
              <w:bottom w:val="outset" w:sz="6" w:space="0" w:color="auto"/>
              <w:right w:val="outset" w:sz="6" w:space="0" w:color="auto"/>
            </w:tcBorders>
            <w:vAlign w:val="center"/>
          </w:tcPr>
          <w:p w14:paraId="45E3849F"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tcPr>
          <w:p w14:paraId="4463A100"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tcPr>
          <w:p w14:paraId="3D2463A7"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tcPr>
          <w:p w14:paraId="380FD1AA"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tcPr>
          <w:p w14:paraId="51EB31FC"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tcPr>
          <w:p w14:paraId="46E97879"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05BF9154" w14:textId="77777777" w:rsidR="000714FB" w:rsidRPr="00EB31B5" w:rsidRDefault="000714FB" w:rsidP="000714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1903144F"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537D8DA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3.2. speciālais budžets</w:t>
            </w:r>
          </w:p>
        </w:tc>
        <w:tc>
          <w:tcPr>
            <w:tcW w:w="460" w:type="pct"/>
            <w:tcBorders>
              <w:top w:val="outset" w:sz="6" w:space="0" w:color="auto"/>
              <w:left w:val="outset" w:sz="6" w:space="0" w:color="auto"/>
              <w:bottom w:val="outset" w:sz="6" w:space="0" w:color="auto"/>
              <w:right w:val="outset" w:sz="6" w:space="0" w:color="auto"/>
            </w:tcBorders>
            <w:vAlign w:val="center"/>
            <w:hideMark/>
          </w:tcPr>
          <w:p w14:paraId="12B027E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0AF7491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4BBAF8F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14:paraId="5EED721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563DF6A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222D386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3BD9439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49D5BE23"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262ED85E"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3.3. pašvaldību budžets</w:t>
            </w:r>
          </w:p>
        </w:tc>
        <w:tc>
          <w:tcPr>
            <w:tcW w:w="460" w:type="pct"/>
            <w:tcBorders>
              <w:top w:val="outset" w:sz="6" w:space="0" w:color="auto"/>
              <w:left w:val="outset" w:sz="6" w:space="0" w:color="auto"/>
              <w:bottom w:val="outset" w:sz="6" w:space="0" w:color="auto"/>
              <w:right w:val="outset" w:sz="6" w:space="0" w:color="auto"/>
            </w:tcBorders>
            <w:vAlign w:val="center"/>
            <w:hideMark/>
          </w:tcPr>
          <w:p w14:paraId="6E2F546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3" w:type="pct"/>
            <w:tcBorders>
              <w:top w:val="outset" w:sz="6" w:space="0" w:color="auto"/>
              <w:left w:val="outset" w:sz="6" w:space="0" w:color="auto"/>
              <w:bottom w:val="outset" w:sz="6" w:space="0" w:color="auto"/>
              <w:right w:val="outset" w:sz="6" w:space="0" w:color="auto"/>
            </w:tcBorders>
            <w:vAlign w:val="center"/>
            <w:hideMark/>
          </w:tcPr>
          <w:p w14:paraId="28C6E85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1CC0621"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08" w:type="pct"/>
            <w:tcBorders>
              <w:top w:val="outset" w:sz="6" w:space="0" w:color="auto"/>
              <w:left w:val="outset" w:sz="6" w:space="0" w:color="auto"/>
              <w:bottom w:val="outset" w:sz="6" w:space="0" w:color="auto"/>
              <w:right w:val="outset" w:sz="6" w:space="0" w:color="auto"/>
            </w:tcBorders>
            <w:vAlign w:val="center"/>
            <w:hideMark/>
          </w:tcPr>
          <w:p w14:paraId="3B14067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0A49D5D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655" w:type="pct"/>
            <w:tcBorders>
              <w:top w:val="outset" w:sz="6" w:space="0" w:color="auto"/>
              <w:left w:val="outset" w:sz="6" w:space="0" w:color="auto"/>
              <w:bottom w:val="outset" w:sz="6" w:space="0" w:color="auto"/>
              <w:right w:val="outset" w:sz="6" w:space="0" w:color="auto"/>
            </w:tcBorders>
            <w:vAlign w:val="center"/>
            <w:hideMark/>
          </w:tcPr>
          <w:p w14:paraId="4D9D1FD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1FDBAF0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1C02C17B"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27EC1976"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60" w:type="pct"/>
            <w:tcBorders>
              <w:top w:val="outset" w:sz="6" w:space="0" w:color="auto"/>
              <w:left w:val="outset" w:sz="6" w:space="0" w:color="auto"/>
              <w:bottom w:val="outset" w:sz="6" w:space="0" w:color="auto"/>
              <w:right w:val="outset" w:sz="6" w:space="0" w:color="auto"/>
            </w:tcBorders>
            <w:vAlign w:val="center"/>
            <w:hideMark/>
          </w:tcPr>
          <w:p w14:paraId="2799880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14:paraId="48053FCD"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0C6D769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08" w:type="pct"/>
            <w:tcBorders>
              <w:top w:val="outset" w:sz="6" w:space="0" w:color="auto"/>
              <w:left w:val="outset" w:sz="6" w:space="0" w:color="auto"/>
              <w:bottom w:val="outset" w:sz="6" w:space="0" w:color="auto"/>
              <w:right w:val="outset" w:sz="6" w:space="0" w:color="auto"/>
            </w:tcBorders>
            <w:vAlign w:val="center"/>
            <w:hideMark/>
          </w:tcPr>
          <w:p w14:paraId="5E6B2D8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tcBorders>
              <w:top w:val="outset" w:sz="6" w:space="0" w:color="auto"/>
              <w:left w:val="outset" w:sz="6" w:space="0" w:color="auto"/>
              <w:bottom w:val="outset" w:sz="6" w:space="0" w:color="auto"/>
              <w:right w:val="outset" w:sz="6" w:space="0" w:color="auto"/>
            </w:tcBorders>
            <w:vAlign w:val="center"/>
            <w:hideMark/>
          </w:tcPr>
          <w:p w14:paraId="50BEC0D4"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tcBorders>
              <w:top w:val="outset" w:sz="6" w:space="0" w:color="auto"/>
              <w:left w:val="outset" w:sz="6" w:space="0" w:color="auto"/>
              <w:bottom w:val="outset" w:sz="6" w:space="0" w:color="auto"/>
              <w:right w:val="outset" w:sz="6" w:space="0" w:color="auto"/>
            </w:tcBorders>
            <w:vAlign w:val="center"/>
            <w:hideMark/>
          </w:tcPr>
          <w:p w14:paraId="40F8599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12929249"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7E18518A"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30C53FA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 Precizēta finansiālā ietekme</w:t>
            </w:r>
          </w:p>
        </w:tc>
        <w:tc>
          <w:tcPr>
            <w:tcW w:w="460" w:type="pct"/>
            <w:vMerge w:val="restart"/>
            <w:tcBorders>
              <w:top w:val="outset" w:sz="6" w:space="0" w:color="auto"/>
              <w:left w:val="outset" w:sz="6" w:space="0" w:color="auto"/>
              <w:bottom w:val="outset" w:sz="6" w:space="0" w:color="auto"/>
              <w:right w:val="outset" w:sz="6" w:space="0" w:color="auto"/>
            </w:tcBorders>
            <w:vAlign w:val="center"/>
            <w:hideMark/>
          </w:tcPr>
          <w:p w14:paraId="1A28F8AA"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30D84E4D"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7540B0D1"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4DCC41C1"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30035E75"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0C4B841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03" w:type="pct"/>
            <w:tcBorders>
              <w:top w:val="outset" w:sz="6" w:space="0" w:color="auto"/>
              <w:left w:val="outset" w:sz="6" w:space="0" w:color="auto"/>
              <w:bottom w:val="outset" w:sz="6" w:space="0" w:color="auto"/>
              <w:right w:val="outset" w:sz="6" w:space="0" w:color="auto"/>
            </w:tcBorders>
            <w:vAlign w:val="center"/>
            <w:hideMark/>
          </w:tcPr>
          <w:p w14:paraId="4816910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vMerge w:val="restart"/>
            <w:tcBorders>
              <w:top w:val="outset" w:sz="6" w:space="0" w:color="auto"/>
              <w:left w:val="outset" w:sz="6" w:space="0" w:color="auto"/>
              <w:bottom w:val="outset" w:sz="6" w:space="0" w:color="auto"/>
              <w:right w:val="outset" w:sz="6" w:space="0" w:color="auto"/>
            </w:tcBorders>
            <w:vAlign w:val="center"/>
            <w:hideMark/>
          </w:tcPr>
          <w:p w14:paraId="24C5FE34"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5AB5C9C3"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0B0A1283"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C74E8CF"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4C141009"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38B8040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08" w:type="pct"/>
            <w:tcBorders>
              <w:top w:val="outset" w:sz="6" w:space="0" w:color="auto"/>
              <w:left w:val="outset" w:sz="6" w:space="0" w:color="auto"/>
              <w:bottom w:val="outset" w:sz="6" w:space="0" w:color="auto"/>
              <w:right w:val="outset" w:sz="6" w:space="0" w:color="auto"/>
            </w:tcBorders>
            <w:vAlign w:val="center"/>
            <w:hideMark/>
          </w:tcPr>
          <w:p w14:paraId="067E994C"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vMerge w:val="restart"/>
            <w:tcBorders>
              <w:top w:val="outset" w:sz="6" w:space="0" w:color="auto"/>
              <w:left w:val="outset" w:sz="6" w:space="0" w:color="auto"/>
              <w:bottom w:val="outset" w:sz="6" w:space="0" w:color="auto"/>
              <w:right w:val="outset" w:sz="6" w:space="0" w:color="auto"/>
            </w:tcBorders>
            <w:vAlign w:val="center"/>
            <w:hideMark/>
          </w:tcPr>
          <w:p w14:paraId="41CBA08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3BDAED95"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58D934FC"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1FD288CE"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6AD717D5"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p w14:paraId="58BA2DC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X</w:t>
            </w:r>
          </w:p>
        </w:tc>
        <w:tc>
          <w:tcPr>
            <w:tcW w:w="655" w:type="pct"/>
            <w:tcBorders>
              <w:top w:val="outset" w:sz="6" w:space="0" w:color="auto"/>
              <w:left w:val="outset" w:sz="6" w:space="0" w:color="auto"/>
              <w:bottom w:val="outset" w:sz="6" w:space="0" w:color="auto"/>
              <w:right w:val="outset" w:sz="6" w:space="0" w:color="auto"/>
            </w:tcBorders>
            <w:vAlign w:val="center"/>
            <w:hideMark/>
          </w:tcPr>
          <w:p w14:paraId="797B1E9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03520F0F"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13BBC40D"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05FD29F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5.1. valsts pamatbudžets</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5C3F21C6"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7CFF823E"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vMerge/>
            <w:tcBorders>
              <w:top w:val="outset" w:sz="6" w:space="0" w:color="auto"/>
              <w:left w:val="outset" w:sz="6" w:space="0" w:color="auto"/>
              <w:bottom w:val="outset" w:sz="6" w:space="0" w:color="auto"/>
              <w:right w:val="outset" w:sz="6" w:space="0" w:color="auto"/>
            </w:tcBorders>
            <w:vAlign w:val="center"/>
            <w:hideMark/>
          </w:tcPr>
          <w:p w14:paraId="71347224"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040BC56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52A05FF9"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tcBorders>
              <w:top w:val="outset" w:sz="6" w:space="0" w:color="auto"/>
              <w:left w:val="outset" w:sz="6" w:space="0" w:color="auto"/>
              <w:bottom w:val="outset" w:sz="6" w:space="0" w:color="auto"/>
              <w:right w:val="outset" w:sz="6" w:space="0" w:color="auto"/>
            </w:tcBorders>
            <w:vAlign w:val="center"/>
            <w:hideMark/>
          </w:tcPr>
          <w:p w14:paraId="6D8EBAB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179D972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606DBBB5"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255CF241"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5.2. speciālais budžets</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79C65EAF"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4A2B4CD2"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vMerge/>
            <w:tcBorders>
              <w:top w:val="outset" w:sz="6" w:space="0" w:color="auto"/>
              <w:left w:val="outset" w:sz="6" w:space="0" w:color="auto"/>
              <w:bottom w:val="outset" w:sz="6" w:space="0" w:color="auto"/>
              <w:right w:val="outset" w:sz="6" w:space="0" w:color="auto"/>
            </w:tcBorders>
            <w:vAlign w:val="center"/>
            <w:hideMark/>
          </w:tcPr>
          <w:p w14:paraId="7A2EE7D5"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7480C48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0B00231F"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tcBorders>
              <w:top w:val="outset" w:sz="6" w:space="0" w:color="auto"/>
              <w:left w:val="outset" w:sz="6" w:space="0" w:color="auto"/>
              <w:bottom w:val="outset" w:sz="6" w:space="0" w:color="auto"/>
              <w:right w:val="outset" w:sz="6" w:space="0" w:color="auto"/>
            </w:tcBorders>
            <w:vAlign w:val="center"/>
            <w:hideMark/>
          </w:tcPr>
          <w:p w14:paraId="1F501908"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5EDD074B"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154C5" w14:paraId="2C0D7450"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6CC70B6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5.3. pašvaldību budžets</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2B0E84C1"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03" w:type="pct"/>
            <w:tcBorders>
              <w:top w:val="outset" w:sz="6" w:space="0" w:color="auto"/>
              <w:left w:val="outset" w:sz="6" w:space="0" w:color="auto"/>
              <w:bottom w:val="outset" w:sz="6" w:space="0" w:color="auto"/>
              <w:right w:val="outset" w:sz="6" w:space="0" w:color="auto"/>
            </w:tcBorders>
            <w:vAlign w:val="center"/>
            <w:hideMark/>
          </w:tcPr>
          <w:p w14:paraId="6707BB73"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3" w:type="pct"/>
            <w:vMerge/>
            <w:tcBorders>
              <w:top w:val="outset" w:sz="6" w:space="0" w:color="auto"/>
              <w:left w:val="outset" w:sz="6" w:space="0" w:color="auto"/>
              <w:bottom w:val="outset" w:sz="6" w:space="0" w:color="auto"/>
              <w:right w:val="outset" w:sz="6" w:space="0" w:color="auto"/>
            </w:tcBorders>
            <w:vAlign w:val="center"/>
            <w:hideMark/>
          </w:tcPr>
          <w:p w14:paraId="2EAF14BA"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08" w:type="pct"/>
            <w:tcBorders>
              <w:top w:val="outset" w:sz="6" w:space="0" w:color="auto"/>
              <w:left w:val="outset" w:sz="6" w:space="0" w:color="auto"/>
              <w:bottom w:val="outset" w:sz="6" w:space="0" w:color="auto"/>
              <w:right w:val="outset" w:sz="6" w:space="0" w:color="auto"/>
            </w:tcBorders>
            <w:vAlign w:val="center"/>
            <w:hideMark/>
          </w:tcPr>
          <w:p w14:paraId="0DBAF745"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460" w:type="pct"/>
            <w:vMerge/>
            <w:tcBorders>
              <w:top w:val="outset" w:sz="6" w:space="0" w:color="auto"/>
              <w:left w:val="outset" w:sz="6" w:space="0" w:color="auto"/>
              <w:bottom w:val="outset" w:sz="6" w:space="0" w:color="auto"/>
              <w:right w:val="outset" w:sz="6" w:space="0" w:color="auto"/>
            </w:tcBorders>
            <w:vAlign w:val="center"/>
            <w:hideMark/>
          </w:tcPr>
          <w:p w14:paraId="58ACC16B" w14:textId="77777777" w:rsidR="003844DF" w:rsidRPr="00EB31B5" w:rsidRDefault="003844DF" w:rsidP="001E6EFB">
            <w:pPr>
              <w:spacing w:after="0" w:line="240" w:lineRule="auto"/>
              <w:jc w:val="center"/>
              <w:rPr>
                <w:rFonts w:ascii="Times New Roman" w:eastAsia="Times New Roman" w:hAnsi="Times New Roman" w:cs="Times New Roman"/>
                <w:iCs/>
                <w:sz w:val="24"/>
                <w:szCs w:val="24"/>
                <w:lang w:eastAsia="lv-LV"/>
              </w:rPr>
            </w:pPr>
          </w:p>
        </w:tc>
        <w:tc>
          <w:tcPr>
            <w:tcW w:w="655" w:type="pct"/>
            <w:tcBorders>
              <w:top w:val="outset" w:sz="6" w:space="0" w:color="auto"/>
              <w:left w:val="outset" w:sz="6" w:space="0" w:color="auto"/>
              <w:bottom w:val="outset" w:sz="6" w:space="0" w:color="auto"/>
              <w:right w:val="outset" w:sz="6" w:space="0" w:color="auto"/>
            </w:tcBorders>
            <w:vAlign w:val="center"/>
            <w:hideMark/>
          </w:tcPr>
          <w:p w14:paraId="76851E47"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c>
          <w:tcPr>
            <w:tcW w:w="794" w:type="pct"/>
            <w:tcBorders>
              <w:top w:val="outset" w:sz="6" w:space="0" w:color="auto"/>
              <w:left w:val="outset" w:sz="6" w:space="0" w:color="auto"/>
              <w:bottom w:val="outset" w:sz="6" w:space="0" w:color="auto"/>
              <w:right w:val="outset" w:sz="6" w:space="0" w:color="auto"/>
            </w:tcBorders>
            <w:vAlign w:val="center"/>
            <w:hideMark/>
          </w:tcPr>
          <w:p w14:paraId="6BE78606" w14:textId="77777777" w:rsidR="003844DF" w:rsidRPr="00EB31B5" w:rsidRDefault="003E2D3C" w:rsidP="001E6EFB">
            <w:pPr>
              <w:spacing w:after="0" w:line="240" w:lineRule="auto"/>
              <w:jc w:val="center"/>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0</w:t>
            </w:r>
          </w:p>
        </w:tc>
      </w:tr>
      <w:tr w:rsidR="00090EED" w14:paraId="431C099E"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1B33FCB4"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 xml:space="preserve">6. Detalizēts ieņēmumu un izdevumu aprēķins (ja nepieciešams, detalizētu ieņēmumu un </w:t>
            </w:r>
            <w:r w:rsidRPr="00EB31B5">
              <w:rPr>
                <w:rFonts w:ascii="Times New Roman" w:eastAsia="Times New Roman" w:hAnsi="Times New Roman" w:cs="Times New Roman"/>
                <w:iCs/>
                <w:sz w:val="24"/>
                <w:szCs w:val="24"/>
                <w:lang w:eastAsia="lv-LV"/>
              </w:rPr>
              <w:lastRenderedPageBreak/>
              <w:t>izdevumu aprēķinu var pievienot anotācijas pielikumā)</w:t>
            </w:r>
          </w:p>
        </w:tc>
        <w:tc>
          <w:tcPr>
            <w:tcW w:w="4143" w:type="pct"/>
            <w:gridSpan w:val="7"/>
            <w:vMerge w:val="restart"/>
            <w:tcBorders>
              <w:top w:val="outset" w:sz="6" w:space="0" w:color="auto"/>
              <w:left w:val="outset" w:sz="6" w:space="0" w:color="auto"/>
              <w:bottom w:val="single" w:sz="4" w:space="0" w:color="auto"/>
              <w:right w:val="outset" w:sz="6" w:space="0" w:color="auto"/>
            </w:tcBorders>
            <w:vAlign w:val="center"/>
            <w:hideMark/>
          </w:tcPr>
          <w:p w14:paraId="52ED4985" w14:textId="6EEBC37F" w:rsidR="001E7D69" w:rsidRPr="0059339C" w:rsidRDefault="0059339C" w:rsidP="000F7DDD">
            <w:pPr>
              <w:pStyle w:val="ListParagraph"/>
              <w:spacing w:after="0" w:line="240" w:lineRule="auto"/>
              <w:ind w:left="0" w:firstLine="448"/>
              <w:jc w:val="both"/>
              <w:rPr>
                <w:rFonts w:ascii="Times New Roman" w:hAnsi="Times New Roman"/>
                <w:sz w:val="24"/>
                <w:szCs w:val="24"/>
                <w:lang w:val="lv-LV"/>
              </w:rPr>
            </w:pPr>
            <w:r w:rsidRPr="0059339C">
              <w:rPr>
                <w:rFonts w:ascii="Times New Roman" w:eastAsia="Times New Roman" w:hAnsi="Times New Roman"/>
                <w:sz w:val="24"/>
                <w:szCs w:val="24"/>
                <w:lang w:val="lv-LV"/>
              </w:rPr>
              <w:lastRenderedPageBreak/>
              <w:t>Maksas pakalpojuma cenrādis nosaka:</w:t>
            </w:r>
          </w:p>
          <w:p w14:paraId="574DD531" w14:textId="44B79C20" w:rsidR="000F7DDD" w:rsidRPr="000154C5" w:rsidRDefault="004907F8" w:rsidP="000F7DDD">
            <w:pPr>
              <w:pStyle w:val="ListParagraph"/>
              <w:spacing w:after="0" w:line="240" w:lineRule="auto"/>
              <w:ind w:left="0" w:firstLine="448"/>
              <w:jc w:val="both"/>
              <w:rPr>
                <w:rFonts w:ascii="Times New Roman" w:hAnsi="Times New Roman"/>
                <w:sz w:val="24"/>
                <w:szCs w:val="24"/>
                <w:lang w:val="lv-LV"/>
              </w:rPr>
            </w:pPr>
            <w:r w:rsidRPr="000154C5">
              <w:rPr>
                <w:rFonts w:ascii="Times New Roman" w:hAnsi="Times New Roman"/>
                <w:sz w:val="24"/>
                <w:szCs w:val="24"/>
                <w:lang w:val="lv-LV"/>
              </w:rPr>
              <w:t>1)</w:t>
            </w:r>
            <w:r w:rsidRPr="000154C5">
              <w:rPr>
                <w:rFonts w:ascii="Times New Roman" w:hAnsi="Times New Roman"/>
                <w:sz w:val="14"/>
                <w:szCs w:val="14"/>
                <w:lang w:val="lv-LV"/>
              </w:rPr>
              <w:t xml:space="preserve">   </w:t>
            </w:r>
            <w:r w:rsidRPr="000154C5">
              <w:rPr>
                <w:rFonts w:ascii="Times New Roman" w:hAnsi="Times New Roman"/>
                <w:sz w:val="24"/>
                <w:szCs w:val="24"/>
                <w:lang w:val="lv-LV"/>
              </w:rPr>
              <w:t>Narkoloģisko ekspertīzi – alkohola, narkotisko, psihotropo un toksisko vielu ietekmes uz personu narkoloģiskā izpētes sākotnējo ekspertīzi vai atkārtoto ekspertīzi – 101</w:t>
            </w:r>
            <w:r w:rsidR="000F7DDD">
              <w:rPr>
                <w:rFonts w:ascii="Times New Roman" w:hAnsi="Times New Roman"/>
                <w:sz w:val="24"/>
                <w:szCs w:val="24"/>
                <w:lang w:val="lv-LV"/>
              </w:rPr>
              <w:t>,</w:t>
            </w:r>
            <w:r w:rsidRPr="000154C5">
              <w:rPr>
                <w:rFonts w:ascii="Times New Roman" w:hAnsi="Times New Roman"/>
                <w:sz w:val="24"/>
                <w:szCs w:val="24"/>
                <w:lang w:val="lv-LV"/>
              </w:rPr>
              <w:t xml:space="preserve">00 </w:t>
            </w:r>
            <w:r w:rsidRPr="000154C5">
              <w:rPr>
                <w:rFonts w:ascii="Times New Roman" w:hAnsi="Times New Roman"/>
                <w:i/>
                <w:iCs/>
                <w:sz w:val="24"/>
                <w:szCs w:val="24"/>
                <w:lang w:val="lv-LV"/>
              </w:rPr>
              <w:t>euro</w:t>
            </w:r>
            <w:r w:rsidRPr="000154C5">
              <w:rPr>
                <w:rFonts w:ascii="Times New Roman" w:hAnsi="Times New Roman"/>
                <w:sz w:val="24"/>
                <w:szCs w:val="24"/>
                <w:lang w:val="lv-LV"/>
              </w:rPr>
              <w:t>;</w:t>
            </w:r>
          </w:p>
          <w:p w14:paraId="5FF88C58" w14:textId="77777777" w:rsidR="000F7DDD" w:rsidRPr="000154C5" w:rsidRDefault="004907F8" w:rsidP="000F7DDD">
            <w:pPr>
              <w:pStyle w:val="ListParagraph"/>
              <w:spacing w:after="0" w:line="240" w:lineRule="auto"/>
              <w:ind w:left="0" w:firstLine="448"/>
              <w:jc w:val="both"/>
              <w:rPr>
                <w:rFonts w:ascii="Times New Roman" w:hAnsi="Times New Roman"/>
                <w:sz w:val="24"/>
                <w:szCs w:val="24"/>
                <w:lang w:val="lv-LV"/>
              </w:rPr>
            </w:pPr>
            <w:r w:rsidRPr="000154C5">
              <w:rPr>
                <w:rFonts w:ascii="Times New Roman" w:hAnsi="Times New Roman"/>
                <w:sz w:val="24"/>
                <w:szCs w:val="24"/>
                <w:lang w:val="lv-LV"/>
              </w:rPr>
              <w:t>2)</w:t>
            </w:r>
            <w:r w:rsidRPr="000154C5">
              <w:rPr>
                <w:rFonts w:ascii="Times New Roman" w:hAnsi="Times New Roman"/>
                <w:sz w:val="14"/>
                <w:szCs w:val="14"/>
                <w:lang w:val="lv-LV"/>
              </w:rPr>
              <w:t xml:space="preserve">   </w:t>
            </w:r>
            <w:r w:rsidRPr="000154C5">
              <w:rPr>
                <w:rFonts w:ascii="Times New Roman" w:hAnsi="Times New Roman"/>
                <w:sz w:val="24"/>
                <w:szCs w:val="24"/>
                <w:lang w:val="lv-LV"/>
              </w:rPr>
              <w:t>Narkoloģisko ekspertīzi – alkohola, narkotisko, psihotropo un toksisko vielu ietekmes uz personu narkoloģiskā izpētes papildus ekspertīzi</w:t>
            </w:r>
            <w:r w:rsidR="00563890">
              <w:rPr>
                <w:rFonts w:ascii="Times New Roman" w:hAnsi="Times New Roman"/>
                <w:sz w:val="24"/>
                <w:szCs w:val="24"/>
                <w:lang w:val="lv-LV"/>
              </w:rPr>
              <w:t xml:space="preserve"> </w:t>
            </w:r>
            <w:r w:rsidRPr="000154C5">
              <w:rPr>
                <w:rFonts w:ascii="Times New Roman" w:hAnsi="Times New Roman"/>
                <w:sz w:val="24"/>
                <w:szCs w:val="24"/>
                <w:lang w:val="lv-LV"/>
              </w:rPr>
              <w:t>– 52</w:t>
            </w:r>
            <w:r w:rsidR="000F7DDD">
              <w:rPr>
                <w:rFonts w:ascii="Times New Roman" w:hAnsi="Times New Roman"/>
                <w:sz w:val="24"/>
                <w:szCs w:val="24"/>
                <w:lang w:val="lv-LV"/>
              </w:rPr>
              <w:t>,</w:t>
            </w:r>
            <w:r w:rsidRPr="000154C5">
              <w:rPr>
                <w:rFonts w:ascii="Times New Roman" w:hAnsi="Times New Roman"/>
                <w:sz w:val="24"/>
                <w:szCs w:val="24"/>
                <w:lang w:val="lv-LV"/>
              </w:rPr>
              <w:t>8</w:t>
            </w:r>
            <w:r w:rsidR="000F7DDD">
              <w:rPr>
                <w:rFonts w:ascii="Times New Roman" w:hAnsi="Times New Roman"/>
                <w:sz w:val="24"/>
                <w:szCs w:val="24"/>
                <w:lang w:val="lv-LV"/>
              </w:rPr>
              <w:t>4</w:t>
            </w:r>
            <w:r w:rsidRPr="000154C5">
              <w:rPr>
                <w:rFonts w:ascii="Times New Roman" w:hAnsi="Times New Roman"/>
                <w:sz w:val="24"/>
                <w:szCs w:val="24"/>
                <w:lang w:val="lv-LV"/>
              </w:rPr>
              <w:t xml:space="preserve"> </w:t>
            </w:r>
            <w:r w:rsidRPr="000154C5">
              <w:rPr>
                <w:rFonts w:ascii="Times New Roman" w:hAnsi="Times New Roman"/>
                <w:i/>
                <w:iCs/>
                <w:sz w:val="24"/>
                <w:szCs w:val="24"/>
                <w:lang w:val="lv-LV"/>
              </w:rPr>
              <w:t>euro</w:t>
            </w:r>
            <w:r w:rsidRPr="000154C5">
              <w:rPr>
                <w:rFonts w:ascii="Times New Roman" w:hAnsi="Times New Roman"/>
                <w:sz w:val="24"/>
                <w:szCs w:val="24"/>
                <w:lang w:val="lv-LV"/>
              </w:rPr>
              <w:t>;</w:t>
            </w:r>
          </w:p>
          <w:p w14:paraId="5D2CFA1D" w14:textId="77777777" w:rsidR="000F7DDD" w:rsidRPr="000154C5" w:rsidRDefault="004907F8" w:rsidP="000F7DDD">
            <w:pPr>
              <w:pStyle w:val="ListParagraph"/>
              <w:spacing w:after="0" w:line="240" w:lineRule="auto"/>
              <w:ind w:left="0" w:firstLine="448"/>
              <w:jc w:val="both"/>
              <w:rPr>
                <w:rFonts w:ascii="Times New Roman" w:hAnsi="Times New Roman"/>
                <w:sz w:val="24"/>
                <w:szCs w:val="24"/>
                <w:lang w:val="lv-LV"/>
              </w:rPr>
            </w:pPr>
            <w:r w:rsidRPr="000154C5">
              <w:rPr>
                <w:rFonts w:ascii="Times New Roman" w:hAnsi="Times New Roman"/>
                <w:sz w:val="24"/>
                <w:szCs w:val="24"/>
                <w:lang w:val="lv-LV"/>
              </w:rPr>
              <w:lastRenderedPageBreak/>
              <w:t>3)</w:t>
            </w:r>
            <w:r w:rsidRPr="000154C5">
              <w:rPr>
                <w:rFonts w:ascii="Times New Roman" w:hAnsi="Times New Roman"/>
                <w:sz w:val="14"/>
                <w:szCs w:val="14"/>
                <w:lang w:val="lv-LV"/>
              </w:rPr>
              <w:t xml:space="preserve">   </w:t>
            </w:r>
            <w:r w:rsidRPr="000154C5">
              <w:rPr>
                <w:rFonts w:ascii="Times New Roman" w:hAnsi="Times New Roman"/>
                <w:sz w:val="24"/>
                <w:szCs w:val="24"/>
                <w:lang w:val="lv-LV"/>
              </w:rPr>
              <w:t> Ķīmiski - toksikoloģiskās izpētes sākotnējo ekspertīzi vai atkārtoto ekspertīzi</w:t>
            </w:r>
            <w:r w:rsidR="000F7DDD">
              <w:rPr>
                <w:rFonts w:ascii="Times New Roman" w:hAnsi="Times New Roman"/>
                <w:sz w:val="24"/>
                <w:szCs w:val="24"/>
                <w:lang w:val="lv-LV"/>
              </w:rPr>
              <w:t xml:space="preserve"> </w:t>
            </w:r>
            <w:r w:rsidRPr="000154C5">
              <w:rPr>
                <w:rFonts w:ascii="Times New Roman" w:hAnsi="Times New Roman"/>
                <w:sz w:val="24"/>
                <w:szCs w:val="24"/>
                <w:lang w:val="lv-LV"/>
              </w:rPr>
              <w:t>– 105</w:t>
            </w:r>
            <w:r w:rsidR="000F7DDD">
              <w:rPr>
                <w:rFonts w:ascii="Times New Roman" w:hAnsi="Times New Roman"/>
                <w:sz w:val="24"/>
                <w:szCs w:val="24"/>
                <w:lang w:val="lv-LV"/>
              </w:rPr>
              <w:t>,</w:t>
            </w:r>
            <w:r w:rsidRPr="000154C5">
              <w:rPr>
                <w:rFonts w:ascii="Times New Roman" w:hAnsi="Times New Roman"/>
                <w:sz w:val="24"/>
                <w:szCs w:val="24"/>
                <w:lang w:val="lv-LV"/>
              </w:rPr>
              <w:t xml:space="preserve">54 </w:t>
            </w:r>
            <w:r w:rsidRPr="000154C5">
              <w:rPr>
                <w:rFonts w:ascii="Times New Roman" w:hAnsi="Times New Roman"/>
                <w:i/>
                <w:iCs/>
                <w:sz w:val="24"/>
                <w:szCs w:val="24"/>
                <w:lang w:val="lv-LV"/>
              </w:rPr>
              <w:t>euro</w:t>
            </w:r>
            <w:r w:rsidRPr="000154C5">
              <w:rPr>
                <w:rFonts w:ascii="Times New Roman" w:hAnsi="Times New Roman"/>
                <w:sz w:val="24"/>
                <w:szCs w:val="24"/>
                <w:lang w:val="lv-LV"/>
              </w:rPr>
              <w:t>;</w:t>
            </w:r>
          </w:p>
          <w:p w14:paraId="218404D3" w14:textId="77777777" w:rsidR="000F7DDD" w:rsidRPr="000154C5" w:rsidRDefault="004907F8" w:rsidP="000F7DDD">
            <w:pPr>
              <w:pStyle w:val="ListParagraph"/>
              <w:spacing w:after="0" w:line="240" w:lineRule="auto"/>
              <w:ind w:left="0" w:firstLine="448"/>
              <w:jc w:val="both"/>
              <w:rPr>
                <w:rFonts w:ascii="Times New Roman" w:hAnsi="Times New Roman"/>
                <w:sz w:val="24"/>
                <w:szCs w:val="24"/>
                <w:lang w:val="lv-LV"/>
              </w:rPr>
            </w:pPr>
            <w:r w:rsidRPr="000154C5">
              <w:rPr>
                <w:rFonts w:ascii="Times New Roman" w:hAnsi="Times New Roman"/>
                <w:sz w:val="24"/>
                <w:szCs w:val="24"/>
                <w:lang w:val="lv-LV"/>
              </w:rPr>
              <w:t>4)</w:t>
            </w:r>
            <w:r w:rsidRPr="000154C5">
              <w:rPr>
                <w:rFonts w:ascii="Times New Roman" w:hAnsi="Times New Roman"/>
                <w:sz w:val="14"/>
                <w:szCs w:val="14"/>
                <w:lang w:val="lv-LV"/>
              </w:rPr>
              <w:t xml:space="preserve">   </w:t>
            </w:r>
            <w:r w:rsidRPr="000154C5">
              <w:rPr>
                <w:rFonts w:ascii="Times New Roman" w:hAnsi="Times New Roman"/>
                <w:sz w:val="24"/>
                <w:szCs w:val="24"/>
                <w:lang w:val="lv-LV"/>
              </w:rPr>
              <w:t>Ķīmiski - toksikoloģiskās izpētes papildus ekspertīzi–55</w:t>
            </w:r>
            <w:r w:rsidR="000F7DDD">
              <w:rPr>
                <w:rFonts w:ascii="Times New Roman" w:hAnsi="Times New Roman"/>
                <w:sz w:val="24"/>
                <w:szCs w:val="24"/>
                <w:lang w:val="lv-LV"/>
              </w:rPr>
              <w:t>,</w:t>
            </w:r>
            <w:r w:rsidRPr="000154C5">
              <w:rPr>
                <w:rFonts w:ascii="Times New Roman" w:hAnsi="Times New Roman"/>
                <w:sz w:val="24"/>
                <w:szCs w:val="24"/>
                <w:lang w:val="lv-LV"/>
              </w:rPr>
              <w:t xml:space="preserve">10 </w:t>
            </w:r>
            <w:r w:rsidRPr="000154C5">
              <w:rPr>
                <w:rFonts w:ascii="Times New Roman" w:hAnsi="Times New Roman"/>
                <w:i/>
                <w:iCs/>
                <w:sz w:val="24"/>
                <w:szCs w:val="24"/>
                <w:lang w:val="lv-LV"/>
              </w:rPr>
              <w:t>euro.</w:t>
            </w:r>
          </w:p>
          <w:p w14:paraId="60B9E7C5" w14:textId="77777777" w:rsidR="000F7DDD" w:rsidRPr="000154C5" w:rsidRDefault="004907F8" w:rsidP="000F7DDD">
            <w:pPr>
              <w:pStyle w:val="ListParagraph"/>
              <w:spacing w:after="0" w:line="240" w:lineRule="auto"/>
              <w:ind w:left="0" w:firstLine="448"/>
              <w:jc w:val="both"/>
              <w:rPr>
                <w:rFonts w:ascii="Times New Roman" w:hAnsi="Times New Roman"/>
                <w:sz w:val="24"/>
                <w:szCs w:val="24"/>
                <w:lang w:val="lv-LV"/>
              </w:rPr>
            </w:pPr>
            <w:r w:rsidRPr="000154C5">
              <w:rPr>
                <w:rFonts w:ascii="Times New Roman" w:hAnsi="Times New Roman"/>
                <w:sz w:val="24"/>
                <w:szCs w:val="24"/>
                <w:lang w:val="lv-LV"/>
              </w:rPr>
              <w:t>5)</w:t>
            </w:r>
            <w:r w:rsidRPr="000154C5">
              <w:rPr>
                <w:rFonts w:ascii="Times New Roman" w:hAnsi="Times New Roman"/>
                <w:sz w:val="14"/>
                <w:szCs w:val="14"/>
                <w:lang w:val="lv-LV"/>
              </w:rPr>
              <w:t xml:space="preserve">   </w:t>
            </w:r>
            <w:r w:rsidRPr="000154C5">
              <w:rPr>
                <w:rFonts w:ascii="Times New Roman" w:hAnsi="Times New Roman"/>
                <w:i/>
                <w:iCs/>
                <w:sz w:val="24"/>
                <w:szCs w:val="24"/>
                <w:lang w:val="lv-LV"/>
              </w:rPr>
              <w:t>Komisijas</w:t>
            </w:r>
            <w:r w:rsidR="000F7DDD">
              <w:rPr>
                <w:rFonts w:ascii="Times New Roman" w:hAnsi="Times New Roman"/>
                <w:i/>
                <w:iCs/>
                <w:sz w:val="24"/>
                <w:szCs w:val="24"/>
                <w:lang w:val="lv-LV"/>
              </w:rPr>
              <w:t xml:space="preserve"> (kompleks</w:t>
            </w:r>
            <w:r w:rsidR="001300ED">
              <w:rPr>
                <w:rFonts w:ascii="Times New Roman" w:hAnsi="Times New Roman"/>
                <w:i/>
                <w:iCs/>
                <w:sz w:val="24"/>
                <w:szCs w:val="24"/>
                <w:lang w:val="lv-LV"/>
              </w:rPr>
              <w:t>o</w:t>
            </w:r>
            <w:r w:rsidR="000F7DDD">
              <w:rPr>
                <w:rFonts w:ascii="Times New Roman" w:hAnsi="Times New Roman"/>
                <w:i/>
                <w:iCs/>
                <w:sz w:val="24"/>
                <w:szCs w:val="24"/>
                <w:lang w:val="lv-LV"/>
              </w:rPr>
              <w:t xml:space="preserve">) </w:t>
            </w:r>
            <w:r w:rsidRPr="000154C5">
              <w:rPr>
                <w:rFonts w:ascii="Times New Roman" w:hAnsi="Times New Roman"/>
                <w:i/>
                <w:iCs/>
                <w:sz w:val="24"/>
                <w:szCs w:val="24"/>
                <w:lang w:val="lv-LV"/>
              </w:rPr>
              <w:t>ekspertīz</w:t>
            </w:r>
            <w:r w:rsidR="00B31CD8">
              <w:rPr>
                <w:rFonts w:ascii="Times New Roman" w:hAnsi="Times New Roman"/>
                <w:i/>
                <w:iCs/>
                <w:sz w:val="24"/>
                <w:szCs w:val="24"/>
                <w:lang w:val="lv-LV"/>
              </w:rPr>
              <w:t>es maksu veido ekspertīzē iesaistīto speciālistu atzinumu maksas kopsumma</w:t>
            </w:r>
            <w:r w:rsidR="00B31CD8">
              <w:rPr>
                <w:rFonts w:ascii="Times New Roman" w:hAnsi="Times New Roman"/>
                <w:sz w:val="24"/>
                <w:szCs w:val="24"/>
                <w:lang w:val="lv-LV"/>
              </w:rPr>
              <w:t xml:space="preserve"> (piemēram: kompleksā eks</w:t>
            </w:r>
            <w:r w:rsidR="004A3DAC">
              <w:rPr>
                <w:rFonts w:ascii="Times New Roman" w:hAnsi="Times New Roman"/>
                <w:sz w:val="24"/>
                <w:szCs w:val="24"/>
                <w:lang w:val="lv-LV"/>
              </w:rPr>
              <w:t>pertīze, kuras veikšana uzdota diviem</w:t>
            </w:r>
            <w:r w:rsidR="00B31CD8">
              <w:rPr>
                <w:rFonts w:ascii="Times New Roman" w:hAnsi="Times New Roman"/>
                <w:sz w:val="24"/>
                <w:szCs w:val="24"/>
                <w:lang w:val="lv-LV"/>
              </w:rPr>
              <w:t xml:space="preserve"> </w:t>
            </w:r>
            <w:r w:rsidR="00B31CD8">
              <w:rPr>
                <w:rFonts w:ascii="Times New Roman" w:hAnsi="Times New Roman"/>
                <w:i/>
                <w:sz w:val="24"/>
                <w:szCs w:val="24"/>
                <w:lang w:val="lv-LV"/>
              </w:rPr>
              <w:t>narkologiem</w:t>
            </w:r>
            <w:r w:rsidR="00B31CD8" w:rsidRPr="00B31CD8">
              <w:rPr>
                <w:rFonts w:ascii="Times New Roman" w:hAnsi="Times New Roman"/>
                <w:i/>
                <w:sz w:val="24"/>
                <w:szCs w:val="24"/>
                <w:lang w:val="lv-LV"/>
              </w:rPr>
              <w:t xml:space="preserve"> </w:t>
            </w:r>
            <w:r w:rsidR="009519F2" w:rsidRPr="000154C5">
              <w:rPr>
                <w:rFonts w:ascii="Times New Roman" w:hAnsi="Times New Roman"/>
                <w:i/>
                <w:sz w:val="24"/>
                <w:szCs w:val="24"/>
                <w:lang w:val="lv-LV"/>
              </w:rPr>
              <w:t>un</w:t>
            </w:r>
            <w:r w:rsidR="00B31CD8" w:rsidRPr="000154C5">
              <w:rPr>
                <w:rFonts w:ascii="Times New Roman" w:hAnsi="Times New Roman"/>
                <w:i/>
                <w:sz w:val="24"/>
                <w:szCs w:val="24"/>
                <w:lang w:val="lv-LV"/>
              </w:rPr>
              <w:t xml:space="preserve"> eksperta</w:t>
            </w:r>
            <w:r w:rsidR="004A3DAC" w:rsidRPr="000154C5">
              <w:rPr>
                <w:rFonts w:ascii="Times New Roman" w:hAnsi="Times New Roman"/>
                <w:i/>
                <w:sz w:val="24"/>
                <w:szCs w:val="24"/>
                <w:lang w:val="lv-LV"/>
              </w:rPr>
              <w:t>m</w:t>
            </w:r>
            <w:r w:rsidR="00B31CD8" w:rsidRPr="000154C5">
              <w:rPr>
                <w:rFonts w:ascii="Times New Roman" w:hAnsi="Times New Roman"/>
                <w:i/>
                <w:sz w:val="24"/>
                <w:szCs w:val="24"/>
                <w:lang w:val="lv-LV"/>
              </w:rPr>
              <w:t>, kurš veic Ķīmiski-toksikoloģisko ekspertīzi</w:t>
            </w:r>
            <w:r w:rsidR="00B31CD8" w:rsidRPr="00B31CD8">
              <w:rPr>
                <w:rFonts w:ascii="Times New Roman" w:hAnsi="Times New Roman"/>
                <w:i/>
                <w:sz w:val="24"/>
                <w:szCs w:val="24"/>
                <w:lang w:val="lv-LV"/>
              </w:rPr>
              <w:t>,</w:t>
            </w:r>
            <w:r w:rsidR="00B31CD8">
              <w:rPr>
                <w:rFonts w:ascii="Times New Roman" w:hAnsi="Times New Roman"/>
                <w:i/>
                <w:sz w:val="24"/>
                <w:szCs w:val="24"/>
                <w:lang w:val="lv-LV"/>
              </w:rPr>
              <w:t xml:space="preserve"> tad maksa i</w:t>
            </w:r>
            <w:r w:rsidR="001D4919">
              <w:rPr>
                <w:rFonts w:ascii="Times New Roman" w:hAnsi="Times New Roman"/>
                <w:i/>
                <w:sz w:val="24"/>
                <w:szCs w:val="24"/>
                <w:lang w:val="lv-LV"/>
              </w:rPr>
              <w:t>r 3</w:t>
            </w:r>
            <w:r w:rsidR="00B31CD8">
              <w:rPr>
                <w:rFonts w:ascii="Times New Roman" w:hAnsi="Times New Roman"/>
                <w:i/>
                <w:sz w:val="24"/>
                <w:szCs w:val="24"/>
                <w:lang w:val="lv-LV"/>
              </w:rPr>
              <w:t>07,54 euro =(101,00+101,00)+105,54</w:t>
            </w:r>
            <w:r w:rsidR="001D4919">
              <w:rPr>
                <w:rFonts w:ascii="Times New Roman" w:hAnsi="Times New Roman"/>
                <w:i/>
                <w:sz w:val="24"/>
                <w:szCs w:val="24"/>
                <w:lang w:val="lv-LV"/>
              </w:rPr>
              <w:t>).</w:t>
            </w:r>
          </w:p>
          <w:p w14:paraId="56FD5797" w14:textId="43558826" w:rsidR="00F00B14" w:rsidRDefault="004E697F" w:rsidP="00F00B14">
            <w:pPr>
              <w:spacing w:line="240" w:lineRule="auto"/>
              <w:ind w:left="54" w:firstLine="425"/>
              <w:rPr>
                <w:rFonts w:ascii="Times New Roman" w:hAnsi="Times New Roman" w:cs="Times New Roman"/>
                <w:i/>
                <w:iCs/>
                <w:sz w:val="24"/>
                <w:szCs w:val="24"/>
              </w:rPr>
            </w:pPr>
            <w:r>
              <w:rPr>
                <w:rFonts w:ascii="Times New Roman" w:hAnsi="Times New Roman"/>
                <w:sz w:val="24"/>
                <w:szCs w:val="24"/>
              </w:rPr>
              <w:t>6)</w:t>
            </w:r>
            <w:r>
              <w:rPr>
                <w:rFonts w:ascii="Times New Roman" w:hAnsi="Times New Roman"/>
                <w:sz w:val="14"/>
                <w:szCs w:val="14"/>
              </w:rPr>
              <w:t xml:space="preserve">   </w:t>
            </w:r>
            <w:r w:rsidR="00055FA6" w:rsidRPr="00055FA6">
              <w:rPr>
                <w:rFonts w:ascii="Times New Roman" w:hAnsi="Times New Roman" w:cs="Times New Roman"/>
                <w:i/>
                <w:sz w:val="24"/>
                <w:szCs w:val="24"/>
              </w:rPr>
              <w:t>kā arī –</w:t>
            </w:r>
            <w:r w:rsidR="00B31CD8">
              <w:rPr>
                <w:rFonts w:ascii="Times New Roman" w:hAnsi="Times New Roman" w:cs="Times New Roman"/>
                <w:i/>
                <w:sz w:val="24"/>
                <w:szCs w:val="24"/>
              </w:rPr>
              <w:t xml:space="preserve"> </w:t>
            </w:r>
            <w:r w:rsidR="00055FA6" w:rsidRPr="00055FA6">
              <w:rPr>
                <w:rFonts w:ascii="Times New Roman" w:hAnsi="Times New Roman" w:cs="Times New Roman"/>
                <w:i/>
                <w:sz w:val="24"/>
                <w:szCs w:val="24"/>
              </w:rPr>
              <w:t>maksu par liela apjoma ekspertīzi, nosakot, ka par katriem nākamajiem pieciem izskatītajiem jautājumiem piemēro koeficientu 0,2.</w:t>
            </w:r>
            <w:r w:rsidR="00055FA6" w:rsidRPr="00055FA6">
              <w:rPr>
                <w:rFonts w:ascii="Times New Roman" w:hAnsi="Times New Roman" w:cs="Times New Roman"/>
                <w:sz w:val="24"/>
                <w:szCs w:val="24"/>
              </w:rPr>
              <w:t xml:space="preserve"> </w:t>
            </w:r>
            <w:r w:rsidR="004907F8" w:rsidRPr="007F4BBC">
              <w:rPr>
                <w:rFonts w:ascii="Times New Roman" w:hAnsi="Times New Roman" w:cs="Times New Roman"/>
                <w:i/>
                <w:iCs/>
                <w:sz w:val="24"/>
                <w:szCs w:val="24"/>
              </w:rPr>
              <w:t xml:space="preserve"> </w:t>
            </w:r>
          </w:p>
          <w:p w14:paraId="7EA38D49" w14:textId="2A117546" w:rsidR="000F7DDD" w:rsidRDefault="000C01DB" w:rsidP="000F7DDD">
            <w:pPr>
              <w:pStyle w:val="naiskr"/>
              <w:spacing w:before="0" w:after="0"/>
              <w:ind w:firstLine="448"/>
              <w:jc w:val="both"/>
            </w:pPr>
            <w:r w:rsidRPr="000154C5">
              <w:rPr>
                <w:color w:val="212121"/>
                <w:shd w:val="clear" w:color="auto" w:fill="FFFFFF"/>
              </w:rPr>
              <w:t>Maksas pakalpojumu izcenojumu aprēķins izstrādāts ievērojot nosacījumus, kas minēti 2011. gada 3. maija noteikumos Nr. 333 “Kārtība, kādā plānojami un uzskaitāmi ieņēmumi no maksas pakalpojumiem un ar šo pakalpojumu sniegšanu saistītie izdevumi, kā arī maksas pakalpojumu izcenojumu noteikšanas metodika un izcenojumu apstiprināšanas kārtība”, jo atsevišķi attiecībā uz valsts kapitālsabiedrību maksas pakalpojumu izcenojumu noteikšanu nav spēkā esoša normatīvā regulējuma (metodikas), </w:t>
            </w:r>
            <w:r w:rsidRPr="000154C5">
              <w:rPr>
                <w:color w:val="212121"/>
              </w:rPr>
              <w:t>ievērojot, ka RPNC vienlaikus ir tiesu ekspertīžu iestāde, kuras </w:t>
            </w:r>
            <w:r w:rsidRPr="000154C5">
              <w:rPr>
                <w:color w:val="414142"/>
              </w:rPr>
              <w:t>kompetencē esošo tiesu ekspertīžu maksas pakalpojumu cenrādi (</w:t>
            </w:r>
            <w:r w:rsidRPr="000154C5">
              <w:rPr>
                <w:color w:val="212121"/>
              </w:rPr>
              <w:t>atbilstoši Tiesu ekspertu likuma 11. panta trešajā daļā noteiktajam) </w:t>
            </w:r>
            <w:r w:rsidRPr="000154C5">
              <w:rPr>
                <w:color w:val="414142"/>
              </w:rPr>
              <w:t>apstiprina </w:t>
            </w:r>
            <w:hyperlink r:id="rId9" w:tgtFrame="_blank" w:history="1">
              <w:r w:rsidRPr="000154C5">
                <w:rPr>
                  <w:rStyle w:val="Hyperlink"/>
                  <w:color w:val="auto"/>
                </w:rPr>
                <w:t>Likumā par budžetu un finanšu vadību</w:t>
              </w:r>
            </w:hyperlink>
            <w:r w:rsidRPr="000154C5">
              <w:rPr>
                <w:color w:val="414142"/>
              </w:rPr>
              <w:t> noteiktajā kārtībā</w:t>
            </w:r>
            <w:r w:rsidRPr="000154C5">
              <w:rPr>
                <w:color w:val="212121"/>
              </w:rPr>
              <w:t>. </w:t>
            </w:r>
            <w:r w:rsidRPr="000154C5">
              <w:rPr>
                <w:color w:val="212121"/>
                <w:shd w:val="clear" w:color="auto" w:fill="FFFFFF"/>
              </w:rPr>
              <w:t>Attiecīgi maksas pakalpojumu izcenojuma aprēķinu, pakalpojumu skaitu un detalizētu sadalījumu pa pozīcijām, skatīt anotācijas pielikumā “Maksas pakalpojuma izcenojuma aprēķins”</w:t>
            </w:r>
            <w:r w:rsidR="00902C96">
              <w:rPr>
                <w:color w:val="212121"/>
                <w:shd w:val="clear" w:color="auto" w:fill="FFFFFF"/>
              </w:rPr>
              <w:t>.</w:t>
            </w:r>
            <w:r w:rsidR="000F7DDD">
              <w:t>Izstrādātais maksas pakalpojuma cenrādis var radīt ietekmi Prokuratūras, Iekšlietu ministrijas, Tieslietu ministrijas</w:t>
            </w:r>
            <w:r w:rsidR="007F4BBC">
              <w:t>,</w:t>
            </w:r>
            <w:r w:rsidR="000F7DDD">
              <w:t xml:space="preserve"> Finanšu ministrijas u.c. iestāžu budžetā. Lai noteiktu finanšu ietekmi, kāda rodas</w:t>
            </w:r>
            <w:r w:rsidR="007F4BBC">
              <w:t>,</w:t>
            </w:r>
            <w:r w:rsidR="000F7DDD">
              <w:t xml:space="preserve"> pieprasot maksas pakalpojumu cenrādī noteiktajos pakalpojumos, Veselības ministrija apkopoja kapitālsabiedrība</w:t>
            </w:r>
            <w:r w:rsidR="007F4BBC">
              <w:t>i</w:t>
            </w:r>
            <w:r w:rsidR="000F7DDD">
              <w:t xml:space="preserve"> 2018.</w:t>
            </w:r>
            <w:r w:rsidR="007F4BBC">
              <w:t> </w:t>
            </w:r>
            <w:r w:rsidR="000F7DDD">
              <w:t>gadā pieprasīto ekspertīžu statistiskos datus pa veidiem</w:t>
            </w:r>
            <w:r w:rsidR="007F4BBC">
              <w:t>,</w:t>
            </w:r>
            <w:r w:rsidR="000F7DDD">
              <w:t xml:space="preserve"> un atbilstoši noteiktajiem izcenojumiem saskaņā ar Pievienotās vērtības nodokļa likuma 3.</w:t>
            </w:r>
            <w:r w:rsidR="007F4BBC">
              <w:t> </w:t>
            </w:r>
            <w:r w:rsidR="000F7DDD">
              <w:t xml:space="preserve">panta </w:t>
            </w:r>
            <w:r w:rsidR="007F4BBC">
              <w:t>astoto</w:t>
            </w:r>
            <w:r w:rsidR="000F7DDD">
              <w:t xml:space="preserve"> daļu aprēķināta ietekme šādā apmērā: </w:t>
            </w:r>
          </w:p>
          <w:tbl>
            <w:tblPr>
              <w:tblW w:w="6630" w:type="dxa"/>
              <w:jc w:val="center"/>
              <w:tblLayout w:type="fixed"/>
              <w:tblCellMar>
                <w:left w:w="0" w:type="dxa"/>
                <w:right w:w="0" w:type="dxa"/>
              </w:tblCellMar>
              <w:tblLook w:val="04A0" w:firstRow="1" w:lastRow="0" w:firstColumn="1" w:lastColumn="0" w:noHBand="0" w:noVBand="1"/>
            </w:tblPr>
            <w:tblGrid>
              <w:gridCol w:w="674"/>
              <w:gridCol w:w="1410"/>
              <w:gridCol w:w="989"/>
              <w:gridCol w:w="1269"/>
              <w:gridCol w:w="1129"/>
              <w:gridCol w:w="1129"/>
              <w:gridCol w:w="30"/>
            </w:tblGrid>
            <w:tr w:rsidR="000F7DDD" w14:paraId="7134B892" w14:textId="77777777" w:rsidTr="00B31CD8">
              <w:trPr>
                <w:trHeight w:val="705"/>
                <w:jc w:val="center"/>
              </w:trPr>
              <w:tc>
                <w:tcPr>
                  <w:tcW w:w="674"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3701351" w14:textId="77777777" w:rsidR="000F7DDD" w:rsidRDefault="000F7DDD">
                  <w:pPr>
                    <w:jc w:val="center"/>
                    <w:rPr>
                      <w:rFonts w:ascii="Times New Roman" w:hAnsi="Times New Roman"/>
                      <w:sz w:val="20"/>
                      <w:szCs w:val="20"/>
                      <w:lang w:eastAsia="lv-LV"/>
                    </w:rPr>
                  </w:pPr>
                  <w:r>
                    <w:rPr>
                      <w:rFonts w:ascii="Times New Roman" w:hAnsi="Times New Roman"/>
                      <w:sz w:val="20"/>
                      <w:szCs w:val="20"/>
                      <w:lang w:eastAsia="lv-LV"/>
                    </w:rPr>
                    <w:t>Nr.   p.k.</w:t>
                  </w:r>
                </w:p>
              </w:tc>
              <w:tc>
                <w:tcPr>
                  <w:tcW w:w="141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A1F68C"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 xml:space="preserve">Tiesu ekspertīžu maksas pakalpojumu </w:t>
                  </w:r>
                  <w:r>
                    <w:rPr>
                      <w:rFonts w:ascii="Times New Roman" w:hAnsi="Times New Roman"/>
                      <w:color w:val="414142"/>
                      <w:sz w:val="20"/>
                      <w:szCs w:val="20"/>
                      <w:lang w:eastAsia="lv-LV"/>
                    </w:rPr>
                    <w:t>veids</w:t>
                  </w:r>
                </w:p>
              </w:tc>
              <w:tc>
                <w:tcPr>
                  <w:tcW w:w="98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7C36D2" w14:textId="77777777" w:rsidR="000F7DDD" w:rsidRDefault="000F7DDD">
                  <w:pPr>
                    <w:jc w:val="center"/>
                    <w:rPr>
                      <w:rFonts w:ascii="Times New Roman" w:hAnsi="Times New Roman"/>
                      <w:color w:val="414142"/>
                      <w:sz w:val="20"/>
                      <w:szCs w:val="20"/>
                      <w:lang w:eastAsia="lv-LV"/>
                    </w:rPr>
                  </w:pPr>
                  <w:r>
                    <w:rPr>
                      <w:rFonts w:ascii="Times New Roman" w:hAnsi="Times New Roman"/>
                      <w:color w:val="414142"/>
                      <w:sz w:val="20"/>
                      <w:szCs w:val="20"/>
                      <w:lang w:eastAsia="lv-LV"/>
                    </w:rPr>
                    <w:t>Cena bez PVN (</w:t>
                  </w:r>
                  <w:r>
                    <w:rPr>
                      <w:rFonts w:ascii="Times New Roman" w:hAnsi="Times New Roman"/>
                      <w:i/>
                      <w:iCs/>
                      <w:color w:val="414142"/>
                      <w:sz w:val="20"/>
                      <w:szCs w:val="20"/>
                      <w:lang w:eastAsia="lv-LV"/>
                    </w:rPr>
                    <w:t>euro</w:t>
                  </w:r>
                  <w:r>
                    <w:rPr>
                      <w:rFonts w:ascii="Times New Roman" w:hAnsi="Times New Roman"/>
                      <w:color w:val="414142"/>
                      <w:sz w:val="20"/>
                      <w:szCs w:val="20"/>
                      <w:lang w:eastAsia="lv-LV"/>
                    </w:rPr>
                    <w:t>)</w:t>
                  </w:r>
                </w:p>
              </w:tc>
              <w:tc>
                <w:tcPr>
                  <w:tcW w:w="1269" w:type="dxa"/>
                  <w:vMerge w:val="restar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4FE797"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Iestāde</w:t>
                  </w:r>
                </w:p>
              </w:tc>
              <w:tc>
                <w:tcPr>
                  <w:tcW w:w="11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744268"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Ekspertīžu skaits</w:t>
                  </w:r>
                </w:p>
              </w:tc>
              <w:tc>
                <w:tcPr>
                  <w:tcW w:w="112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244C40"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 xml:space="preserve">Summa </w:t>
                  </w:r>
                  <w:r>
                    <w:rPr>
                      <w:rFonts w:ascii="Times New Roman" w:hAnsi="Times New Roman"/>
                      <w:i/>
                      <w:iCs/>
                      <w:color w:val="000000"/>
                      <w:sz w:val="20"/>
                      <w:szCs w:val="20"/>
                      <w:lang w:eastAsia="lv-LV"/>
                    </w:rPr>
                    <w:t>(euro)</w:t>
                  </w:r>
                </w:p>
              </w:tc>
              <w:tc>
                <w:tcPr>
                  <w:tcW w:w="30" w:type="dxa"/>
                  <w:vAlign w:val="center"/>
                  <w:hideMark/>
                </w:tcPr>
                <w:p w14:paraId="5B8DFD21" w14:textId="77777777" w:rsidR="000F7DDD" w:rsidRDefault="000F7DDD">
                  <w:pPr>
                    <w:rPr>
                      <w:rFonts w:eastAsiaTheme="minorEastAsia"/>
                      <w:lang w:eastAsia="lv-LV"/>
                    </w:rPr>
                  </w:pPr>
                </w:p>
              </w:tc>
            </w:tr>
            <w:tr w:rsidR="000F7DDD" w14:paraId="649C3FCB" w14:textId="77777777" w:rsidTr="00B31CD8">
              <w:trPr>
                <w:trHeight w:val="684"/>
                <w:jc w:val="center"/>
              </w:trPr>
              <w:tc>
                <w:tcPr>
                  <w:tcW w:w="674" w:type="dxa"/>
                  <w:vMerge/>
                  <w:tcBorders>
                    <w:top w:val="single" w:sz="8" w:space="0" w:color="auto"/>
                    <w:left w:val="single" w:sz="8" w:space="0" w:color="auto"/>
                    <w:bottom w:val="single" w:sz="8" w:space="0" w:color="000000"/>
                    <w:right w:val="single" w:sz="8" w:space="0" w:color="auto"/>
                  </w:tcBorders>
                  <w:vAlign w:val="center"/>
                  <w:hideMark/>
                </w:tcPr>
                <w:p w14:paraId="0E99B439" w14:textId="77777777" w:rsidR="000F7DDD" w:rsidRDefault="000F7DDD">
                  <w:pPr>
                    <w:rPr>
                      <w:rFonts w:ascii="Times New Roman" w:hAnsi="Times New Roman"/>
                      <w:sz w:val="20"/>
                      <w:szCs w:val="20"/>
                      <w:lang w:eastAsia="lv-LV"/>
                    </w:rPr>
                  </w:pPr>
                </w:p>
              </w:tc>
              <w:tc>
                <w:tcPr>
                  <w:tcW w:w="1410" w:type="dxa"/>
                  <w:vMerge/>
                  <w:tcBorders>
                    <w:top w:val="single" w:sz="8" w:space="0" w:color="auto"/>
                    <w:left w:val="nil"/>
                    <w:bottom w:val="single" w:sz="8" w:space="0" w:color="auto"/>
                    <w:right w:val="single" w:sz="8" w:space="0" w:color="auto"/>
                  </w:tcBorders>
                  <w:vAlign w:val="center"/>
                  <w:hideMark/>
                </w:tcPr>
                <w:p w14:paraId="39A3B9DC" w14:textId="77777777" w:rsidR="000F7DDD" w:rsidRDefault="000F7DDD">
                  <w:pPr>
                    <w:rPr>
                      <w:rFonts w:ascii="Times New Roman" w:hAnsi="Times New Roman"/>
                      <w:color w:val="000000"/>
                      <w:sz w:val="20"/>
                      <w:szCs w:val="20"/>
                      <w:lang w:eastAsia="lv-LV"/>
                    </w:rPr>
                  </w:pPr>
                </w:p>
              </w:tc>
              <w:tc>
                <w:tcPr>
                  <w:tcW w:w="989" w:type="dxa"/>
                  <w:vMerge/>
                  <w:tcBorders>
                    <w:top w:val="single" w:sz="8" w:space="0" w:color="auto"/>
                    <w:left w:val="nil"/>
                    <w:bottom w:val="single" w:sz="8" w:space="0" w:color="auto"/>
                    <w:right w:val="single" w:sz="8" w:space="0" w:color="auto"/>
                  </w:tcBorders>
                  <w:vAlign w:val="center"/>
                  <w:hideMark/>
                </w:tcPr>
                <w:p w14:paraId="591E0DE1" w14:textId="77777777" w:rsidR="000F7DDD" w:rsidRDefault="000F7DDD">
                  <w:pPr>
                    <w:rPr>
                      <w:rFonts w:ascii="Times New Roman" w:hAnsi="Times New Roman"/>
                      <w:color w:val="414142"/>
                      <w:sz w:val="20"/>
                      <w:szCs w:val="20"/>
                      <w:lang w:eastAsia="lv-LV"/>
                    </w:rPr>
                  </w:pPr>
                </w:p>
              </w:tc>
              <w:tc>
                <w:tcPr>
                  <w:tcW w:w="1269" w:type="dxa"/>
                  <w:vMerge/>
                  <w:tcBorders>
                    <w:top w:val="single" w:sz="8" w:space="0" w:color="auto"/>
                    <w:left w:val="nil"/>
                    <w:bottom w:val="single" w:sz="8" w:space="0" w:color="auto"/>
                    <w:right w:val="single" w:sz="8" w:space="0" w:color="auto"/>
                  </w:tcBorders>
                  <w:vAlign w:val="center"/>
                  <w:hideMark/>
                </w:tcPr>
                <w:p w14:paraId="71074C39" w14:textId="77777777" w:rsidR="000F7DDD" w:rsidRDefault="000F7DDD">
                  <w:pPr>
                    <w:rPr>
                      <w:rFonts w:ascii="Times New Roman" w:hAnsi="Times New Roman"/>
                      <w:color w:val="000000"/>
                      <w:sz w:val="20"/>
                      <w:szCs w:val="20"/>
                      <w:lang w:eastAsia="lv-LV"/>
                    </w:rPr>
                  </w:pPr>
                </w:p>
              </w:tc>
              <w:tc>
                <w:tcPr>
                  <w:tcW w:w="1129" w:type="dxa"/>
                  <w:vMerge/>
                  <w:tcBorders>
                    <w:top w:val="single" w:sz="8" w:space="0" w:color="auto"/>
                    <w:left w:val="nil"/>
                    <w:bottom w:val="single" w:sz="8" w:space="0" w:color="auto"/>
                    <w:right w:val="single" w:sz="8" w:space="0" w:color="auto"/>
                  </w:tcBorders>
                  <w:vAlign w:val="center"/>
                  <w:hideMark/>
                </w:tcPr>
                <w:p w14:paraId="40041E98" w14:textId="77777777" w:rsidR="000F7DDD" w:rsidRDefault="000F7DDD">
                  <w:pPr>
                    <w:rPr>
                      <w:rFonts w:ascii="Times New Roman" w:hAnsi="Times New Roman"/>
                      <w:color w:val="000000"/>
                      <w:sz w:val="20"/>
                      <w:szCs w:val="20"/>
                      <w:lang w:eastAsia="lv-LV"/>
                    </w:rPr>
                  </w:pPr>
                </w:p>
              </w:tc>
              <w:tc>
                <w:tcPr>
                  <w:tcW w:w="1129" w:type="dxa"/>
                  <w:vMerge/>
                  <w:tcBorders>
                    <w:top w:val="single" w:sz="8" w:space="0" w:color="auto"/>
                    <w:left w:val="nil"/>
                    <w:bottom w:val="single" w:sz="8" w:space="0" w:color="auto"/>
                    <w:right w:val="single" w:sz="8" w:space="0" w:color="auto"/>
                  </w:tcBorders>
                  <w:vAlign w:val="center"/>
                  <w:hideMark/>
                </w:tcPr>
                <w:p w14:paraId="791678AB" w14:textId="77777777" w:rsidR="000F7DDD" w:rsidRDefault="000F7DDD">
                  <w:pPr>
                    <w:rPr>
                      <w:rFonts w:ascii="Times New Roman" w:hAnsi="Times New Roman"/>
                      <w:color w:val="000000"/>
                      <w:sz w:val="20"/>
                      <w:szCs w:val="20"/>
                      <w:lang w:eastAsia="lv-LV"/>
                    </w:rPr>
                  </w:pPr>
                </w:p>
              </w:tc>
              <w:tc>
                <w:tcPr>
                  <w:tcW w:w="30" w:type="dxa"/>
                  <w:vAlign w:val="center"/>
                  <w:hideMark/>
                </w:tcPr>
                <w:p w14:paraId="6E2034F3" w14:textId="77777777" w:rsidR="000F7DDD" w:rsidRDefault="000F7DDD">
                  <w:pPr>
                    <w:rPr>
                      <w:rFonts w:eastAsiaTheme="minorEastAsia"/>
                      <w:lang w:eastAsia="lv-LV"/>
                    </w:rPr>
                  </w:pPr>
                </w:p>
              </w:tc>
            </w:tr>
            <w:tr w:rsidR="000F7DDD" w14:paraId="2C8B49FF" w14:textId="77777777" w:rsidTr="00B31CD8">
              <w:trPr>
                <w:trHeight w:val="600"/>
                <w:jc w:val="center"/>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482FC7" w14:textId="77777777" w:rsidR="000F7DDD" w:rsidRDefault="000F7DDD">
                  <w:pPr>
                    <w:jc w:val="center"/>
                    <w:rPr>
                      <w:rFonts w:ascii="Times New Roman" w:hAnsi="Times New Roman"/>
                      <w:sz w:val="20"/>
                      <w:szCs w:val="20"/>
                      <w:lang w:eastAsia="lv-LV"/>
                    </w:rPr>
                  </w:pPr>
                  <w:r>
                    <w:rPr>
                      <w:rFonts w:ascii="Times New Roman" w:hAnsi="Times New Roman"/>
                      <w:sz w:val="20"/>
                      <w:szCs w:val="20"/>
                      <w:lang w:eastAsia="lv-LV"/>
                    </w:rPr>
                    <w:t>1.</w:t>
                  </w:r>
                </w:p>
              </w:tc>
              <w:tc>
                <w:tcPr>
                  <w:tcW w:w="5926"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15DC7C0"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Narkoloģiskā ekspertīze – alkohola, narkotisko, psihotropo un toksisko vielu ietekmes uz personu narkoloģiskā izpēte</w:t>
                  </w:r>
                </w:p>
              </w:tc>
              <w:tc>
                <w:tcPr>
                  <w:tcW w:w="30" w:type="dxa"/>
                  <w:vAlign w:val="center"/>
                  <w:hideMark/>
                </w:tcPr>
                <w:p w14:paraId="45C4DE27" w14:textId="77777777" w:rsidR="000F7DDD" w:rsidRDefault="000F7DDD">
                  <w:pPr>
                    <w:rPr>
                      <w:rFonts w:eastAsiaTheme="minorEastAsia"/>
                      <w:lang w:eastAsia="lv-LV"/>
                    </w:rPr>
                  </w:pPr>
                </w:p>
              </w:tc>
            </w:tr>
            <w:tr w:rsidR="000F7DDD" w14:paraId="1F91774E" w14:textId="77777777" w:rsidTr="00B31CD8">
              <w:trPr>
                <w:trHeight w:val="300"/>
                <w:jc w:val="center"/>
              </w:trPr>
              <w:tc>
                <w:tcPr>
                  <w:tcW w:w="67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A28E94" w14:textId="77777777" w:rsidR="000F7DDD" w:rsidRDefault="000F7DDD">
                  <w:pPr>
                    <w:jc w:val="center"/>
                    <w:rPr>
                      <w:rFonts w:ascii="Times New Roman" w:hAnsi="Times New Roman"/>
                      <w:sz w:val="20"/>
                      <w:szCs w:val="20"/>
                      <w:lang w:eastAsia="lv-LV"/>
                    </w:rPr>
                  </w:pPr>
                  <w:r>
                    <w:rPr>
                      <w:rFonts w:ascii="Times New Roman" w:hAnsi="Times New Roman"/>
                      <w:sz w:val="20"/>
                      <w:szCs w:val="20"/>
                      <w:lang w:eastAsia="lv-LV"/>
                    </w:rPr>
                    <w:t>1.1.</w:t>
                  </w:r>
                </w:p>
              </w:tc>
              <w:tc>
                <w:tcPr>
                  <w:tcW w:w="14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44C6E4"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Sākotnējā vai atkārtotā ekspertīze</w:t>
                  </w:r>
                </w:p>
              </w:tc>
              <w:tc>
                <w:tcPr>
                  <w:tcW w:w="98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8EEDDF"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101</w:t>
                  </w:r>
                  <w:r w:rsidR="001300ED">
                    <w:rPr>
                      <w:rFonts w:ascii="Times New Roman" w:hAnsi="Times New Roman"/>
                      <w:color w:val="000000"/>
                      <w:sz w:val="20"/>
                      <w:szCs w:val="20"/>
                      <w:lang w:eastAsia="lv-LV"/>
                    </w:rPr>
                    <w:t>,</w:t>
                  </w:r>
                  <w:r>
                    <w:rPr>
                      <w:rFonts w:ascii="Times New Roman" w:hAnsi="Times New Roman"/>
                      <w:color w:val="000000"/>
                      <w:sz w:val="20"/>
                      <w:szCs w:val="20"/>
                      <w:lang w:eastAsia="lv-LV"/>
                    </w:rPr>
                    <w:t>00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86411"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Prokuratūra</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3DB22"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5</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6A83F7" w14:textId="77777777" w:rsidR="000F7DDD" w:rsidRDefault="001300E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505,00</w:t>
                  </w:r>
                </w:p>
              </w:tc>
              <w:tc>
                <w:tcPr>
                  <w:tcW w:w="30" w:type="dxa"/>
                  <w:vAlign w:val="center"/>
                  <w:hideMark/>
                </w:tcPr>
                <w:p w14:paraId="0D5561B1" w14:textId="77777777" w:rsidR="000F7DDD" w:rsidRDefault="000F7DDD">
                  <w:pPr>
                    <w:rPr>
                      <w:rFonts w:eastAsiaTheme="minorEastAsia"/>
                      <w:lang w:eastAsia="lv-LV"/>
                    </w:rPr>
                  </w:pPr>
                </w:p>
              </w:tc>
            </w:tr>
            <w:tr w:rsidR="000F7DDD" w14:paraId="01BE120E" w14:textId="77777777" w:rsidTr="00B31CD8">
              <w:trPr>
                <w:trHeight w:val="300"/>
                <w:jc w:val="center"/>
              </w:trPr>
              <w:tc>
                <w:tcPr>
                  <w:tcW w:w="674" w:type="dxa"/>
                  <w:vMerge/>
                  <w:tcBorders>
                    <w:top w:val="nil"/>
                    <w:left w:val="single" w:sz="8" w:space="0" w:color="auto"/>
                    <w:bottom w:val="single" w:sz="8" w:space="0" w:color="auto"/>
                    <w:right w:val="single" w:sz="8" w:space="0" w:color="auto"/>
                  </w:tcBorders>
                  <w:vAlign w:val="center"/>
                  <w:hideMark/>
                </w:tcPr>
                <w:p w14:paraId="2A9AA110" w14:textId="77777777" w:rsidR="000F7DDD" w:rsidRDefault="000F7DDD">
                  <w:pPr>
                    <w:rPr>
                      <w:rFonts w:ascii="Times New Roman" w:hAnsi="Times New Roman"/>
                      <w:sz w:val="20"/>
                      <w:szCs w:val="20"/>
                      <w:lang w:eastAsia="lv-LV"/>
                    </w:rPr>
                  </w:pPr>
                </w:p>
              </w:tc>
              <w:tc>
                <w:tcPr>
                  <w:tcW w:w="1410" w:type="dxa"/>
                  <w:vMerge/>
                  <w:tcBorders>
                    <w:top w:val="nil"/>
                    <w:left w:val="nil"/>
                    <w:bottom w:val="single" w:sz="8" w:space="0" w:color="auto"/>
                    <w:right w:val="single" w:sz="8" w:space="0" w:color="auto"/>
                  </w:tcBorders>
                  <w:vAlign w:val="center"/>
                  <w:hideMark/>
                </w:tcPr>
                <w:p w14:paraId="09219F5C" w14:textId="77777777" w:rsidR="000F7DDD" w:rsidRDefault="000F7DDD">
                  <w:pPr>
                    <w:rPr>
                      <w:rFonts w:ascii="Times New Roman" w:hAnsi="Times New Roman"/>
                      <w:color w:val="000000"/>
                      <w:sz w:val="20"/>
                      <w:szCs w:val="20"/>
                      <w:lang w:eastAsia="lv-LV"/>
                    </w:rPr>
                  </w:pPr>
                </w:p>
              </w:tc>
              <w:tc>
                <w:tcPr>
                  <w:tcW w:w="989" w:type="dxa"/>
                  <w:vMerge/>
                  <w:tcBorders>
                    <w:top w:val="nil"/>
                    <w:left w:val="nil"/>
                    <w:bottom w:val="single" w:sz="8" w:space="0" w:color="auto"/>
                    <w:right w:val="single" w:sz="8" w:space="0" w:color="auto"/>
                  </w:tcBorders>
                  <w:vAlign w:val="center"/>
                  <w:hideMark/>
                </w:tcPr>
                <w:p w14:paraId="69EB36E7" w14:textId="77777777" w:rsidR="000F7DDD" w:rsidRDefault="000F7DDD">
                  <w:pPr>
                    <w:rPr>
                      <w:rFonts w:ascii="Times New Roman" w:hAnsi="Times New Roman"/>
                      <w:color w:val="000000"/>
                      <w:sz w:val="20"/>
                      <w:szCs w:val="20"/>
                      <w:lang w:eastAsia="lv-LV"/>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A63BBE"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Valsts policija</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4EE395"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5</w:t>
                  </w:r>
                  <w:r w:rsidR="00563890">
                    <w:rPr>
                      <w:rFonts w:ascii="Times New Roman" w:hAnsi="Times New Roman"/>
                      <w:color w:val="000000"/>
                      <w:sz w:val="20"/>
                      <w:szCs w:val="20"/>
                      <w:lang w:eastAsia="lv-LV"/>
                    </w:rPr>
                    <w:t>36</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D92D7" w14:textId="77777777" w:rsidR="000F7DDD" w:rsidRDefault="000F7DDD">
                  <w:pPr>
                    <w:rPr>
                      <w:rFonts w:ascii="Times New Roman" w:hAnsi="Times New Roman"/>
                      <w:color w:val="000000"/>
                      <w:sz w:val="20"/>
                      <w:szCs w:val="20"/>
                      <w:lang w:eastAsia="lv-LV"/>
                    </w:rPr>
                  </w:pPr>
                  <w:r>
                    <w:rPr>
                      <w:rFonts w:ascii="Times New Roman" w:hAnsi="Times New Roman"/>
                      <w:color w:val="000000"/>
                      <w:sz w:val="20"/>
                      <w:szCs w:val="20"/>
                      <w:lang w:eastAsia="lv-LV"/>
                    </w:rPr>
                    <w:t>54</w:t>
                  </w:r>
                  <w:r w:rsidR="00563890">
                    <w:rPr>
                      <w:rFonts w:ascii="Times New Roman" w:hAnsi="Times New Roman"/>
                      <w:color w:val="000000"/>
                      <w:sz w:val="20"/>
                      <w:szCs w:val="20"/>
                      <w:lang w:eastAsia="lv-LV"/>
                    </w:rPr>
                    <w:t> 136,00</w:t>
                  </w:r>
                </w:p>
              </w:tc>
              <w:tc>
                <w:tcPr>
                  <w:tcW w:w="30" w:type="dxa"/>
                  <w:vAlign w:val="center"/>
                  <w:hideMark/>
                </w:tcPr>
                <w:p w14:paraId="2476EF11" w14:textId="77777777" w:rsidR="000F7DDD" w:rsidRDefault="000F7DDD">
                  <w:pPr>
                    <w:rPr>
                      <w:rFonts w:eastAsiaTheme="minorEastAsia"/>
                      <w:lang w:eastAsia="lv-LV"/>
                    </w:rPr>
                  </w:pPr>
                </w:p>
              </w:tc>
            </w:tr>
            <w:tr w:rsidR="000F7DDD" w14:paraId="31B415C1" w14:textId="77777777" w:rsidTr="00B31CD8">
              <w:trPr>
                <w:trHeight w:val="630"/>
                <w:jc w:val="center"/>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C7635F" w14:textId="77777777" w:rsidR="000F7DDD" w:rsidRDefault="000F7DDD">
                  <w:pPr>
                    <w:jc w:val="center"/>
                    <w:rPr>
                      <w:rFonts w:ascii="Times New Roman" w:hAnsi="Times New Roman"/>
                      <w:sz w:val="20"/>
                      <w:szCs w:val="20"/>
                      <w:lang w:eastAsia="lv-LV"/>
                    </w:rPr>
                  </w:pPr>
                  <w:r>
                    <w:rPr>
                      <w:rFonts w:ascii="Times New Roman" w:hAnsi="Times New Roman"/>
                      <w:sz w:val="20"/>
                      <w:szCs w:val="20"/>
                      <w:lang w:eastAsia="lv-LV"/>
                    </w:rPr>
                    <w:t>1.2.</w:t>
                  </w:r>
                </w:p>
              </w:tc>
              <w:tc>
                <w:tcPr>
                  <w:tcW w:w="14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433C2DDF"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Papildu ekspertīze</w:t>
                  </w:r>
                </w:p>
              </w:tc>
              <w:tc>
                <w:tcPr>
                  <w:tcW w:w="989"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14:paraId="76B8A63D"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52</w:t>
                  </w:r>
                  <w:r w:rsidR="001300ED">
                    <w:rPr>
                      <w:rFonts w:ascii="Times New Roman" w:hAnsi="Times New Roman"/>
                      <w:color w:val="000000"/>
                      <w:sz w:val="20"/>
                      <w:szCs w:val="20"/>
                      <w:lang w:eastAsia="lv-LV"/>
                    </w:rPr>
                    <w:t>,</w:t>
                  </w:r>
                  <w:r>
                    <w:rPr>
                      <w:rFonts w:ascii="Times New Roman" w:hAnsi="Times New Roman"/>
                      <w:color w:val="000000"/>
                      <w:sz w:val="20"/>
                      <w:szCs w:val="20"/>
                      <w:lang w:eastAsia="lv-LV"/>
                    </w:rPr>
                    <w:t>84</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E7762"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Valsts policija</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C6C2F2"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4</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17750"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211</w:t>
                  </w:r>
                  <w:r w:rsidR="001300ED">
                    <w:rPr>
                      <w:rFonts w:ascii="Times New Roman" w:hAnsi="Times New Roman"/>
                      <w:color w:val="000000"/>
                      <w:sz w:val="20"/>
                      <w:szCs w:val="20"/>
                      <w:lang w:eastAsia="lv-LV"/>
                    </w:rPr>
                    <w:t>,</w:t>
                  </w:r>
                  <w:r>
                    <w:rPr>
                      <w:rFonts w:ascii="Times New Roman" w:hAnsi="Times New Roman"/>
                      <w:color w:val="000000"/>
                      <w:sz w:val="20"/>
                      <w:szCs w:val="20"/>
                      <w:lang w:eastAsia="lv-LV"/>
                    </w:rPr>
                    <w:t>36</w:t>
                  </w:r>
                </w:p>
              </w:tc>
              <w:tc>
                <w:tcPr>
                  <w:tcW w:w="30" w:type="dxa"/>
                  <w:vAlign w:val="center"/>
                  <w:hideMark/>
                </w:tcPr>
                <w:p w14:paraId="2FBAF0C9" w14:textId="77777777" w:rsidR="000F7DDD" w:rsidRDefault="000F7DDD">
                  <w:pPr>
                    <w:rPr>
                      <w:rFonts w:eastAsiaTheme="minorEastAsia"/>
                      <w:lang w:eastAsia="lv-LV"/>
                    </w:rPr>
                  </w:pPr>
                </w:p>
              </w:tc>
            </w:tr>
            <w:tr w:rsidR="000F7DDD" w14:paraId="4023A737" w14:textId="77777777" w:rsidTr="00B31CD8">
              <w:trPr>
                <w:trHeight w:val="315"/>
                <w:jc w:val="center"/>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B35292" w14:textId="77777777" w:rsidR="000F7DDD" w:rsidRDefault="000F7DDD">
                  <w:pPr>
                    <w:jc w:val="center"/>
                    <w:rPr>
                      <w:rFonts w:ascii="Times New Roman" w:hAnsi="Times New Roman"/>
                      <w:sz w:val="20"/>
                      <w:szCs w:val="20"/>
                      <w:lang w:eastAsia="lv-LV"/>
                    </w:rPr>
                  </w:pPr>
                  <w:r>
                    <w:rPr>
                      <w:rFonts w:ascii="Times New Roman" w:hAnsi="Times New Roman"/>
                      <w:sz w:val="20"/>
                      <w:szCs w:val="20"/>
                      <w:lang w:eastAsia="lv-LV"/>
                    </w:rPr>
                    <w:t>2.</w:t>
                  </w:r>
                </w:p>
              </w:tc>
              <w:tc>
                <w:tcPr>
                  <w:tcW w:w="5926" w:type="dxa"/>
                  <w:gridSpan w:val="5"/>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73937D"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Ķīmiski – toksikoloģiskā ekspertīze</w:t>
                  </w:r>
                </w:p>
              </w:tc>
              <w:tc>
                <w:tcPr>
                  <w:tcW w:w="30" w:type="dxa"/>
                  <w:vAlign w:val="center"/>
                  <w:hideMark/>
                </w:tcPr>
                <w:p w14:paraId="42EE0431" w14:textId="77777777" w:rsidR="000F7DDD" w:rsidRDefault="000F7DDD">
                  <w:pPr>
                    <w:rPr>
                      <w:rFonts w:eastAsiaTheme="minorEastAsia"/>
                      <w:lang w:eastAsia="lv-LV"/>
                    </w:rPr>
                  </w:pPr>
                </w:p>
              </w:tc>
            </w:tr>
            <w:tr w:rsidR="000F7DDD" w14:paraId="49DB2A52" w14:textId="77777777" w:rsidTr="00B31CD8">
              <w:trPr>
                <w:trHeight w:val="300"/>
                <w:jc w:val="center"/>
              </w:trPr>
              <w:tc>
                <w:tcPr>
                  <w:tcW w:w="67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D2B389" w14:textId="77777777" w:rsidR="000F7DDD" w:rsidRDefault="000F7DDD">
                  <w:pPr>
                    <w:jc w:val="center"/>
                    <w:rPr>
                      <w:rFonts w:ascii="Times New Roman" w:hAnsi="Times New Roman"/>
                      <w:sz w:val="20"/>
                      <w:szCs w:val="20"/>
                      <w:lang w:eastAsia="lv-LV"/>
                    </w:rPr>
                  </w:pPr>
                  <w:r>
                    <w:rPr>
                      <w:rFonts w:ascii="Times New Roman" w:hAnsi="Times New Roman"/>
                      <w:sz w:val="20"/>
                      <w:szCs w:val="20"/>
                      <w:lang w:eastAsia="lv-LV"/>
                    </w:rPr>
                    <w:t>2.1.</w:t>
                  </w:r>
                </w:p>
              </w:tc>
              <w:tc>
                <w:tcPr>
                  <w:tcW w:w="141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3E5E58"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Sākotnējā vai atkārtotā ekspertīze</w:t>
                  </w:r>
                </w:p>
              </w:tc>
              <w:tc>
                <w:tcPr>
                  <w:tcW w:w="989"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B62C0F"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105</w:t>
                  </w:r>
                  <w:r w:rsidR="001300ED">
                    <w:rPr>
                      <w:rFonts w:ascii="Times New Roman" w:hAnsi="Times New Roman"/>
                      <w:color w:val="000000"/>
                      <w:sz w:val="20"/>
                      <w:szCs w:val="20"/>
                      <w:lang w:eastAsia="lv-LV"/>
                    </w:rPr>
                    <w:t>,</w:t>
                  </w:r>
                  <w:r>
                    <w:rPr>
                      <w:rFonts w:ascii="Times New Roman" w:hAnsi="Times New Roman"/>
                      <w:color w:val="000000"/>
                      <w:sz w:val="20"/>
                      <w:szCs w:val="20"/>
                      <w:lang w:eastAsia="lv-LV"/>
                    </w:rPr>
                    <w:t>54</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C53056"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Prokuratūra</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C3ADF"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1</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B3881"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105</w:t>
                  </w:r>
                  <w:r w:rsidR="001300ED">
                    <w:rPr>
                      <w:rFonts w:ascii="Times New Roman" w:hAnsi="Times New Roman"/>
                      <w:color w:val="000000"/>
                      <w:sz w:val="20"/>
                      <w:szCs w:val="20"/>
                      <w:lang w:eastAsia="lv-LV"/>
                    </w:rPr>
                    <w:t>,</w:t>
                  </w:r>
                  <w:r>
                    <w:rPr>
                      <w:rFonts w:ascii="Times New Roman" w:hAnsi="Times New Roman"/>
                      <w:color w:val="000000"/>
                      <w:sz w:val="20"/>
                      <w:szCs w:val="20"/>
                      <w:lang w:eastAsia="lv-LV"/>
                    </w:rPr>
                    <w:t>54</w:t>
                  </w:r>
                </w:p>
              </w:tc>
              <w:tc>
                <w:tcPr>
                  <w:tcW w:w="30" w:type="dxa"/>
                  <w:vAlign w:val="center"/>
                  <w:hideMark/>
                </w:tcPr>
                <w:p w14:paraId="5B438F3E" w14:textId="77777777" w:rsidR="000F7DDD" w:rsidRDefault="000F7DDD">
                  <w:pPr>
                    <w:rPr>
                      <w:rFonts w:eastAsiaTheme="minorEastAsia"/>
                      <w:lang w:eastAsia="lv-LV"/>
                    </w:rPr>
                  </w:pPr>
                </w:p>
              </w:tc>
            </w:tr>
            <w:tr w:rsidR="000F7DDD" w14:paraId="31C1F878" w14:textId="77777777" w:rsidTr="00B31CD8">
              <w:trPr>
                <w:trHeight w:val="600"/>
                <w:jc w:val="center"/>
              </w:trPr>
              <w:tc>
                <w:tcPr>
                  <w:tcW w:w="674" w:type="dxa"/>
                  <w:vMerge/>
                  <w:tcBorders>
                    <w:top w:val="nil"/>
                    <w:left w:val="single" w:sz="8" w:space="0" w:color="auto"/>
                    <w:bottom w:val="single" w:sz="8" w:space="0" w:color="auto"/>
                    <w:right w:val="single" w:sz="8" w:space="0" w:color="auto"/>
                  </w:tcBorders>
                  <w:vAlign w:val="center"/>
                  <w:hideMark/>
                </w:tcPr>
                <w:p w14:paraId="77F35BBC" w14:textId="77777777" w:rsidR="000F7DDD" w:rsidRDefault="000F7DDD">
                  <w:pPr>
                    <w:rPr>
                      <w:rFonts w:ascii="Times New Roman" w:hAnsi="Times New Roman"/>
                      <w:sz w:val="20"/>
                      <w:szCs w:val="20"/>
                      <w:lang w:eastAsia="lv-LV"/>
                    </w:rPr>
                  </w:pPr>
                </w:p>
              </w:tc>
              <w:tc>
                <w:tcPr>
                  <w:tcW w:w="1410" w:type="dxa"/>
                  <w:vMerge/>
                  <w:tcBorders>
                    <w:top w:val="nil"/>
                    <w:left w:val="nil"/>
                    <w:bottom w:val="single" w:sz="8" w:space="0" w:color="auto"/>
                    <w:right w:val="single" w:sz="8" w:space="0" w:color="auto"/>
                  </w:tcBorders>
                  <w:vAlign w:val="center"/>
                  <w:hideMark/>
                </w:tcPr>
                <w:p w14:paraId="4E13343B" w14:textId="77777777" w:rsidR="000F7DDD" w:rsidRDefault="000F7DDD">
                  <w:pPr>
                    <w:rPr>
                      <w:rFonts w:ascii="Times New Roman" w:hAnsi="Times New Roman"/>
                      <w:color w:val="000000"/>
                      <w:sz w:val="20"/>
                      <w:szCs w:val="20"/>
                      <w:lang w:eastAsia="lv-LV"/>
                    </w:rPr>
                  </w:pPr>
                </w:p>
              </w:tc>
              <w:tc>
                <w:tcPr>
                  <w:tcW w:w="989" w:type="dxa"/>
                  <w:vMerge/>
                  <w:tcBorders>
                    <w:top w:val="nil"/>
                    <w:left w:val="nil"/>
                    <w:bottom w:val="single" w:sz="8" w:space="0" w:color="auto"/>
                    <w:right w:val="single" w:sz="8" w:space="0" w:color="auto"/>
                  </w:tcBorders>
                  <w:vAlign w:val="center"/>
                  <w:hideMark/>
                </w:tcPr>
                <w:p w14:paraId="51C79BDE" w14:textId="77777777" w:rsidR="000F7DDD" w:rsidRDefault="000F7DDD">
                  <w:pPr>
                    <w:rPr>
                      <w:rFonts w:ascii="Times New Roman" w:hAnsi="Times New Roman"/>
                      <w:color w:val="000000"/>
                      <w:sz w:val="20"/>
                      <w:szCs w:val="20"/>
                      <w:lang w:eastAsia="lv-LV"/>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364B8"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Valsts policija</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BD537"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11</w:t>
                  </w:r>
                  <w:r w:rsidR="00563890">
                    <w:rPr>
                      <w:rFonts w:ascii="Times New Roman" w:hAnsi="Times New Roman"/>
                      <w:color w:val="000000"/>
                      <w:sz w:val="20"/>
                      <w:szCs w:val="20"/>
                      <w:lang w:eastAsia="lv-LV"/>
                    </w:rPr>
                    <w:t>4</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F67E3"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12</w:t>
                  </w:r>
                  <w:r w:rsidR="00563890">
                    <w:rPr>
                      <w:rFonts w:ascii="Times New Roman" w:hAnsi="Times New Roman"/>
                      <w:color w:val="000000"/>
                      <w:sz w:val="20"/>
                      <w:szCs w:val="20"/>
                      <w:lang w:eastAsia="lv-LV"/>
                    </w:rPr>
                    <w:t> 031,56</w:t>
                  </w:r>
                </w:p>
              </w:tc>
              <w:tc>
                <w:tcPr>
                  <w:tcW w:w="30" w:type="dxa"/>
                  <w:vAlign w:val="center"/>
                  <w:hideMark/>
                </w:tcPr>
                <w:p w14:paraId="54613F30" w14:textId="77777777" w:rsidR="000F7DDD" w:rsidRDefault="000F7DDD">
                  <w:pPr>
                    <w:rPr>
                      <w:rFonts w:eastAsiaTheme="minorEastAsia"/>
                      <w:lang w:eastAsia="lv-LV"/>
                    </w:rPr>
                  </w:pPr>
                </w:p>
              </w:tc>
            </w:tr>
            <w:tr w:rsidR="000F7DDD" w14:paraId="037CDE7E" w14:textId="77777777" w:rsidTr="00B31CD8">
              <w:trPr>
                <w:trHeight w:val="600"/>
                <w:jc w:val="center"/>
              </w:trPr>
              <w:tc>
                <w:tcPr>
                  <w:tcW w:w="67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65D9E0" w14:textId="77777777" w:rsidR="000F7DDD" w:rsidRDefault="000F7DDD">
                  <w:pPr>
                    <w:jc w:val="center"/>
                    <w:rPr>
                      <w:rFonts w:ascii="Times New Roman" w:hAnsi="Times New Roman"/>
                      <w:sz w:val="20"/>
                      <w:szCs w:val="20"/>
                      <w:lang w:eastAsia="lv-LV"/>
                    </w:rPr>
                  </w:pPr>
                  <w:r>
                    <w:rPr>
                      <w:rFonts w:ascii="Times New Roman" w:hAnsi="Times New Roman"/>
                      <w:sz w:val="20"/>
                      <w:szCs w:val="20"/>
                      <w:lang w:eastAsia="lv-LV"/>
                    </w:rPr>
                    <w:t>2.2.</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3644EC0"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Papildu ekspertīze</w:t>
                  </w:r>
                </w:p>
              </w:tc>
              <w:tc>
                <w:tcPr>
                  <w:tcW w:w="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2DF6A3"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55</w:t>
                  </w:r>
                  <w:r w:rsidR="001300ED">
                    <w:rPr>
                      <w:rFonts w:ascii="Times New Roman" w:hAnsi="Times New Roman"/>
                      <w:color w:val="000000"/>
                      <w:sz w:val="20"/>
                      <w:szCs w:val="20"/>
                      <w:lang w:eastAsia="lv-LV"/>
                    </w:rPr>
                    <w:t>,</w:t>
                  </w:r>
                  <w:r>
                    <w:rPr>
                      <w:rFonts w:ascii="Times New Roman" w:hAnsi="Times New Roman"/>
                      <w:color w:val="000000"/>
                      <w:sz w:val="20"/>
                      <w:szCs w:val="20"/>
                      <w:lang w:eastAsia="lv-LV"/>
                    </w:rPr>
                    <w:t>10</w:t>
                  </w:r>
                </w:p>
              </w:tc>
              <w:tc>
                <w:tcPr>
                  <w:tcW w:w="12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5BB1B7"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Prokuratūra</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BDA5E7"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1</w:t>
                  </w:r>
                </w:p>
              </w:tc>
              <w:tc>
                <w:tcPr>
                  <w:tcW w:w="1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926263" w14:textId="77777777" w:rsidR="000F7DDD" w:rsidRDefault="000F7DDD">
                  <w:pPr>
                    <w:jc w:val="center"/>
                    <w:rPr>
                      <w:rFonts w:ascii="Times New Roman" w:hAnsi="Times New Roman"/>
                      <w:color w:val="000000"/>
                      <w:sz w:val="20"/>
                      <w:szCs w:val="20"/>
                      <w:lang w:eastAsia="lv-LV"/>
                    </w:rPr>
                  </w:pPr>
                  <w:r>
                    <w:rPr>
                      <w:rFonts w:ascii="Times New Roman" w:hAnsi="Times New Roman"/>
                      <w:color w:val="000000"/>
                      <w:sz w:val="20"/>
                      <w:szCs w:val="20"/>
                      <w:lang w:eastAsia="lv-LV"/>
                    </w:rPr>
                    <w:t>55</w:t>
                  </w:r>
                  <w:r w:rsidR="001300ED">
                    <w:rPr>
                      <w:rFonts w:ascii="Times New Roman" w:hAnsi="Times New Roman"/>
                      <w:color w:val="000000"/>
                      <w:sz w:val="20"/>
                      <w:szCs w:val="20"/>
                      <w:lang w:eastAsia="lv-LV"/>
                    </w:rPr>
                    <w:t>,</w:t>
                  </w:r>
                  <w:r>
                    <w:rPr>
                      <w:rFonts w:ascii="Times New Roman" w:hAnsi="Times New Roman"/>
                      <w:color w:val="000000"/>
                      <w:sz w:val="20"/>
                      <w:szCs w:val="20"/>
                      <w:lang w:eastAsia="lv-LV"/>
                    </w:rPr>
                    <w:t>10</w:t>
                  </w:r>
                </w:p>
              </w:tc>
              <w:tc>
                <w:tcPr>
                  <w:tcW w:w="30" w:type="dxa"/>
                  <w:vAlign w:val="center"/>
                  <w:hideMark/>
                </w:tcPr>
                <w:p w14:paraId="30D55724" w14:textId="77777777" w:rsidR="000F7DDD" w:rsidRDefault="000F7DDD">
                  <w:pPr>
                    <w:rPr>
                      <w:rFonts w:eastAsiaTheme="minorEastAsia"/>
                      <w:lang w:eastAsia="lv-LV"/>
                    </w:rPr>
                  </w:pPr>
                </w:p>
              </w:tc>
            </w:tr>
            <w:tr w:rsidR="000F7DDD" w14:paraId="04231611" w14:textId="77777777" w:rsidTr="00B31CD8">
              <w:trPr>
                <w:trHeight w:val="300"/>
                <w:jc w:val="center"/>
              </w:trPr>
              <w:tc>
                <w:tcPr>
                  <w:tcW w:w="5471"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703627" w14:textId="77777777" w:rsidR="000F7DDD" w:rsidRDefault="000F7DDD">
                  <w:pPr>
                    <w:jc w:val="right"/>
                    <w:rPr>
                      <w:rFonts w:ascii="Calibri" w:hAnsi="Calibri"/>
                      <w:color w:val="000000"/>
                      <w:sz w:val="20"/>
                      <w:szCs w:val="20"/>
                      <w:lang w:eastAsia="lv-LV"/>
                    </w:rPr>
                  </w:pPr>
                  <w:r>
                    <w:rPr>
                      <w:color w:val="000000"/>
                      <w:sz w:val="20"/>
                      <w:szCs w:val="20"/>
                      <w:lang w:eastAsia="lv-LV"/>
                    </w:rPr>
                    <w:t xml:space="preserve">Kopā: </w:t>
                  </w:r>
                </w:p>
              </w:tc>
              <w:tc>
                <w:tcPr>
                  <w:tcW w:w="11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DA60B8" w14:textId="77777777" w:rsidR="000F7DDD" w:rsidRDefault="000F7DDD">
                  <w:pPr>
                    <w:jc w:val="center"/>
                    <w:rPr>
                      <w:rFonts w:ascii="Times New Roman" w:hAnsi="Times New Roman"/>
                      <w:b/>
                      <w:bCs/>
                      <w:color w:val="000000"/>
                      <w:sz w:val="20"/>
                      <w:szCs w:val="20"/>
                      <w:lang w:eastAsia="lv-LV"/>
                    </w:rPr>
                  </w:pPr>
                  <w:r>
                    <w:rPr>
                      <w:rFonts w:ascii="Times New Roman" w:hAnsi="Times New Roman"/>
                      <w:b/>
                      <w:bCs/>
                      <w:color w:val="000000"/>
                      <w:sz w:val="20"/>
                      <w:szCs w:val="20"/>
                      <w:lang w:eastAsia="lv-LV"/>
                    </w:rPr>
                    <w:t>6</w:t>
                  </w:r>
                  <w:r w:rsidR="00A72278">
                    <w:rPr>
                      <w:rFonts w:ascii="Times New Roman" w:hAnsi="Times New Roman"/>
                      <w:b/>
                      <w:bCs/>
                      <w:color w:val="000000"/>
                      <w:sz w:val="20"/>
                      <w:szCs w:val="20"/>
                      <w:lang w:eastAsia="lv-LV"/>
                    </w:rPr>
                    <w:t>7</w:t>
                  </w:r>
                  <w:r w:rsidR="00B31CD8">
                    <w:rPr>
                      <w:rFonts w:ascii="Times New Roman" w:hAnsi="Times New Roman"/>
                      <w:b/>
                      <w:bCs/>
                      <w:color w:val="000000"/>
                      <w:sz w:val="20"/>
                      <w:szCs w:val="20"/>
                      <w:lang w:eastAsia="lv-LV"/>
                    </w:rPr>
                    <w:t> 044,56</w:t>
                  </w:r>
                </w:p>
              </w:tc>
              <w:tc>
                <w:tcPr>
                  <w:tcW w:w="30" w:type="dxa"/>
                  <w:vAlign w:val="center"/>
                  <w:hideMark/>
                </w:tcPr>
                <w:p w14:paraId="5BBD318F" w14:textId="77777777" w:rsidR="000F7DDD" w:rsidRDefault="000F7DDD">
                  <w:pPr>
                    <w:rPr>
                      <w:rFonts w:eastAsiaTheme="minorEastAsia"/>
                      <w:lang w:eastAsia="lv-LV"/>
                    </w:rPr>
                  </w:pPr>
                </w:p>
              </w:tc>
            </w:tr>
          </w:tbl>
          <w:p w14:paraId="627B0198" w14:textId="77777777" w:rsidR="000C01DB" w:rsidRDefault="000C01DB" w:rsidP="00481411">
            <w:pPr>
              <w:pStyle w:val="naisc"/>
              <w:spacing w:before="0" w:after="0"/>
              <w:ind w:firstLine="720"/>
              <w:jc w:val="both"/>
              <w:rPr>
                <w:color w:val="212121"/>
                <w:shd w:val="clear" w:color="auto" w:fill="FFFF00"/>
              </w:rPr>
            </w:pPr>
          </w:p>
          <w:p w14:paraId="511238DB" w14:textId="4579889E" w:rsidR="009A61F0" w:rsidRPr="006A5872" w:rsidRDefault="000C01DB" w:rsidP="00481411">
            <w:pPr>
              <w:pStyle w:val="naisc"/>
              <w:spacing w:before="0" w:after="0"/>
              <w:ind w:firstLine="720"/>
              <w:jc w:val="both"/>
            </w:pPr>
            <w:r w:rsidRPr="000154C5">
              <w:rPr>
                <w:color w:val="212121"/>
              </w:rPr>
              <w:t>Atbilstoši Kriminālprocesa likuma 367. pantam un Administratīvā procesa likuma 18. panta trešajai daļai, summas, kas izlietotas ekspertīzes izdarīšanai (eksperta atlīdzībai) sedz no valsts līdzekļiem Ministru kabineta noteiktajā apmērā, un kārtībā, savukārt Kriminālprocesa likuma 368. pantā noteiktajā kārtībā samaksātās summas ar tiesas nolēmumu piedzen no notiesātajiem, tādējādi paredzams finansiālās ietekmes samazinājums.</w:t>
            </w:r>
          </w:p>
        </w:tc>
      </w:tr>
      <w:tr w:rsidR="00090EED" w14:paraId="2F30FD6C"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25A9C6FF"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lastRenderedPageBreak/>
              <w:t>6.1. detalizēts ieņēmumu aprēķins</w:t>
            </w:r>
          </w:p>
        </w:tc>
        <w:tc>
          <w:tcPr>
            <w:tcW w:w="4143" w:type="pct"/>
            <w:gridSpan w:val="7"/>
            <w:vMerge/>
            <w:tcBorders>
              <w:top w:val="outset" w:sz="6" w:space="0" w:color="auto"/>
              <w:left w:val="outset" w:sz="6" w:space="0" w:color="auto"/>
              <w:bottom w:val="single" w:sz="4" w:space="0" w:color="auto"/>
              <w:right w:val="outset" w:sz="6" w:space="0" w:color="auto"/>
            </w:tcBorders>
            <w:vAlign w:val="center"/>
            <w:hideMark/>
          </w:tcPr>
          <w:p w14:paraId="7D43DAE2"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14:paraId="5E50F3EA"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0576F2AD"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6.2. detalizēts izdevumu aprēķins</w:t>
            </w:r>
          </w:p>
        </w:tc>
        <w:tc>
          <w:tcPr>
            <w:tcW w:w="4143" w:type="pct"/>
            <w:gridSpan w:val="7"/>
            <w:vMerge/>
            <w:tcBorders>
              <w:top w:val="outset" w:sz="6" w:space="0" w:color="auto"/>
              <w:left w:val="outset" w:sz="6" w:space="0" w:color="auto"/>
              <w:bottom w:val="single" w:sz="4" w:space="0" w:color="auto"/>
              <w:right w:val="outset" w:sz="6" w:space="0" w:color="auto"/>
            </w:tcBorders>
            <w:vAlign w:val="center"/>
            <w:hideMark/>
          </w:tcPr>
          <w:p w14:paraId="3F48938A" w14:textId="77777777" w:rsidR="003844DF" w:rsidRPr="00EB31B5" w:rsidRDefault="003844DF" w:rsidP="003844DF">
            <w:pPr>
              <w:spacing w:after="0" w:line="240" w:lineRule="auto"/>
              <w:rPr>
                <w:rFonts w:ascii="Times New Roman" w:eastAsia="Times New Roman" w:hAnsi="Times New Roman" w:cs="Times New Roman"/>
                <w:iCs/>
                <w:sz w:val="24"/>
                <w:szCs w:val="24"/>
                <w:lang w:eastAsia="lv-LV"/>
              </w:rPr>
            </w:pPr>
          </w:p>
        </w:tc>
      </w:tr>
      <w:tr w:rsidR="00090EED" w14:paraId="655C1BD8"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62AA4F9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7. Amata vietu skaita izmaiņas</w:t>
            </w:r>
          </w:p>
        </w:tc>
        <w:tc>
          <w:tcPr>
            <w:tcW w:w="4143" w:type="pct"/>
            <w:gridSpan w:val="7"/>
            <w:tcBorders>
              <w:top w:val="outset" w:sz="6" w:space="0" w:color="auto"/>
              <w:left w:val="outset" w:sz="6" w:space="0" w:color="auto"/>
              <w:bottom w:val="outset" w:sz="6" w:space="0" w:color="auto"/>
              <w:right w:val="outset" w:sz="6" w:space="0" w:color="auto"/>
            </w:tcBorders>
            <w:hideMark/>
          </w:tcPr>
          <w:p w14:paraId="3ABC502A"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hAnsi="Times New Roman" w:cs="Times New Roman"/>
                <w:sz w:val="24"/>
                <w:szCs w:val="24"/>
              </w:rPr>
              <w:t>Jaunu amata vietu izveide nav nepieciešama</w:t>
            </w:r>
          </w:p>
        </w:tc>
      </w:tr>
      <w:tr w:rsidR="00090EED" w14:paraId="729B38C1" w14:textId="77777777" w:rsidTr="000154C5">
        <w:trPr>
          <w:tblCellSpacing w:w="15" w:type="dxa"/>
          <w:jc w:val="center"/>
        </w:trPr>
        <w:tc>
          <w:tcPr>
            <w:tcW w:w="808" w:type="pct"/>
            <w:tcBorders>
              <w:top w:val="outset" w:sz="6" w:space="0" w:color="auto"/>
              <w:left w:val="outset" w:sz="6" w:space="0" w:color="auto"/>
              <w:bottom w:val="outset" w:sz="6" w:space="0" w:color="auto"/>
              <w:right w:val="outset" w:sz="6" w:space="0" w:color="auto"/>
            </w:tcBorders>
            <w:hideMark/>
          </w:tcPr>
          <w:p w14:paraId="19A51D57" w14:textId="77777777" w:rsidR="003844DF" w:rsidRPr="00EB31B5" w:rsidRDefault="003E2D3C" w:rsidP="003844DF">
            <w:pPr>
              <w:spacing w:after="0" w:line="240" w:lineRule="auto"/>
              <w:rPr>
                <w:rFonts w:ascii="Times New Roman" w:eastAsia="Times New Roman" w:hAnsi="Times New Roman" w:cs="Times New Roman"/>
                <w:iCs/>
                <w:sz w:val="24"/>
                <w:szCs w:val="24"/>
                <w:lang w:eastAsia="lv-LV"/>
              </w:rPr>
            </w:pPr>
            <w:r w:rsidRPr="00EB31B5">
              <w:rPr>
                <w:rFonts w:ascii="Times New Roman" w:eastAsia="Times New Roman" w:hAnsi="Times New Roman" w:cs="Times New Roman"/>
                <w:iCs/>
                <w:sz w:val="24"/>
                <w:szCs w:val="24"/>
                <w:lang w:eastAsia="lv-LV"/>
              </w:rPr>
              <w:t>8. Cita informācija</w:t>
            </w:r>
          </w:p>
        </w:tc>
        <w:tc>
          <w:tcPr>
            <w:tcW w:w="4143" w:type="pct"/>
            <w:gridSpan w:val="7"/>
            <w:tcBorders>
              <w:top w:val="outset" w:sz="6" w:space="0" w:color="auto"/>
              <w:left w:val="outset" w:sz="6" w:space="0" w:color="auto"/>
              <w:bottom w:val="outset" w:sz="6" w:space="0" w:color="auto"/>
              <w:right w:val="outset" w:sz="6" w:space="0" w:color="auto"/>
            </w:tcBorders>
            <w:hideMark/>
          </w:tcPr>
          <w:p w14:paraId="6E634D59" w14:textId="7169CF50" w:rsidR="00A921D9" w:rsidRPr="00A921D9" w:rsidRDefault="003E2D3C" w:rsidP="006E5737">
            <w:pPr>
              <w:pStyle w:val="naiskr"/>
              <w:spacing w:before="0" w:after="0"/>
              <w:ind w:firstLine="567"/>
              <w:jc w:val="both"/>
              <w:rPr>
                <w:bCs/>
              </w:rPr>
            </w:pPr>
            <w:r w:rsidRPr="00EB31B5">
              <w:rPr>
                <w:b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tc>
      </w:tr>
    </w:tbl>
    <w:p w14:paraId="47DD33D5"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1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3"/>
      </w:tblGrid>
      <w:tr w:rsidR="00665589" w14:paraId="66EDDD65" w14:textId="77777777" w:rsidTr="000154C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C1A45A1"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47709F" w14:paraId="6E28E6D9" w14:textId="77777777" w:rsidTr="000154C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E535677" w14:textId="77777777" w:rsidR="0047709F" w:rsidRPr="00CB6389"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highlight w:val="yellow"/>
                <w:lang w:eastAsia="lv-LV"/>
              </w:rPr>
            </w:pPr>
            <w:r w:rsidRPr="00CB6389">
              <w:rPr>
                <w:rFonts w:ascii="Times New Roman" w:hAnsi="Times New Roman" w:cs="Times New Roman"/>
                <w:sz w:val="24"/>
                <w:szCs w:val="24"/>
              </w:rPr>
              <w:t>Projekts šo jomu neskar</w:t>
            </w:r>
          </w:p>
        </w:tc>
      </w:tr>
    </w:tbl>
    <w:p w14:paraId="322D07F2"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1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3"/>
      </w:tblGrid>
      <w:tr w:rsidR="00665589" w14:paraId="224ACBFF" w14:textId="77777777" w:rsidTr="000154C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496A529"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47709F" w14:paraId="25B945A4" w14:textId="77777777" w:rsidTr="000154C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A80AEA9" w14:textId="77777777" w:rsidR="0047709F" w:rsidRPr="00FB0CA7" w:rsidRDefault="0047709F" w:rsidP="0047709F">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CB6389">
              <w:rPr>
                <w:rFonts w:ascii="Times New Roman" w:hAnsi="Times New Roman" w:cs="Times New Roman"/>
                <w:sz w:val="24"/>
                <w:szCs w:val="24"/>
              </w:rPr>
              <w:t>Projekts šo jomu neskar</w:t>
            </w:r>
          </w:p>
        </w:tc>
      </w:tr>
    </w:tbl>
    <w:p w14:paraId="4FB1598D"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1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8"/>
        <w:gridCol w:w="2933"/>
        <w:gridCol w:w="5582"/>
      </w:tblGrid>
      <w:tr w:rsidR="00665589" w14:paraId="6C074BAD" w14:textId="77777777" w:rsidTr="000154C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1C5602B"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t>VI. Sabiedrības līdzdalība un komunikācijas aktivitātes</w:t>
            </w:r>
          </w:p>
        </w:tc>
      </w:tr>
      <w:tr w:rsidR="001036D3" w14:paraId="1097E493" w14:textId="77777777" w:rsidTr="000154C5">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6EEF27ED"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610" w:type="pct"/>
            <w:tcBorders>
              <w:top w:val="outset" w:sz="6" w:space="0" w:color="auto"/>
              <w:left w:val="outset" w:sz="6" w:space="0" w:color="auto"/>
              <w:bottom w:val="outset" w:sz="6" w:space="0" w:color="auto"/>
              <w:right w:val="outset" w:sz="6" w:space="0" w:color="auto"/>
            </w:tcBorders>
            <w:hideMark/>
          </w:tcPr>
          <w:p w14:paraId="67DBA781"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38" w:type="pct"/>
            <w:tcBorders>
              <w:top w:val="outset" w:sz="6" w:space="0" w:color="auto"/>
              <w:left w:val="outset" w:sz="6" w:space="0" w:color="auto"/>
              <w:bottom w:val="outset" w:sz="6" w:space="0" w:color="auto"/>
              <w:right w:val="outset" w:sz="6" w:space="0" w:color="auto"/>
            </w:tcBorders>
          </w:tcPr>
          <w:p w14:paraId="70B5FC2B" w14:textId="556B79B7" w:rsidR="001036D3" w:rsidRPr="00191D5F" w:rsidRDefault="00350A62" w:rsidP="001036D3">
            <w:pPr>
              <w:jc w:val="both"/>
              <w:rPr>
                <w:rFonts w:ascii="Times New Roman" w:hAnsi="Times New Roman" w:cs="Times New Roman"/>
                <w:sz w:val="24"/>
                <w:szCs w:val="24"/>
              </w:rPr>
            </w:pPr>
            <w:r>
              <w:rPr>
                <w:rFonts w:ascii="Times New Roman" w:hAnsi="Times New Roman" w:cs="Times New Roman"/>
                <w:sz w:val="24"/>
                <w:szCs w:val="24"/>
              </w:rPr>
              <w:t>Noteikumu projekts nodots sabiedrības līdzdalībai, publicējot to Veselības ministrijas un Valsts kancelejas mājas lapās.</w:t>
            </w:r>
            <w:bookmarkStart w:id="2" w:name="_GoBack"/>
            <w:bookmarkEnd w:id="2"/>
          </w:p>
        </w:tc>
      </w:tr>
      <w:tr w:rsidR="001036D3" w14:paraId="0C478A04" w14:textId="77777777" w:rsidTr="000154C5">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2E28A50F"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610" w:type="pct"/>
            <w:tcBorders>
              <w:top w:val="outset" w:sz="6" w:space="0" w:color="auto"/>
              <w:left w:val="outset" w:sz="6" w:space="0" w:color="auto"/>
              <w:bottom w:val="outset" w:sz="6" w:space="0" w:color="auto"/>
              <w:right w:val="outset" w:sz="6" w:space="0" w:color="auto"/>
            </w:tcBorders>
            <w:hideMark/>
          </w:tcPr>
          <w:p w14:paraId="6850F921"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 projekta izstrādē</w:t>
            </w:r>
          </w:p>
        </w:tc>
        <w:tc>
          <w:tcPr>
            <w:tcW w:w="3038" w:type="pct"/>
            <w:tcBorders>
              <w:top w:val="outset" w:sz="6" w:space="0" w:color="auto"/>
              <w:left w:val="outset" w:sz="6" w:space="0" w:color="auto"/>
              <w:bottom w:val="outset" w:sz="6" w:space="0" w:color="auto"/>
              <w:right w:val="outset" w:sz="6" w:space="0" w:color="auto"/>
            </w:tcBorders>
            <w:hideMark/>
          </w:tcPr>
          <w:p w14:paraId="0572482D" w14:textId="4EFBB998" w:rsidR="001036D3" w:rsidRPr="006E5737" w:rsidRDefault="00DC15DB" w:rsidP="001036D3">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EA52D6">
              <w:rPr>
                <w:rFonts w:ascii="Times New Roman" w:hAnsi="Times New Roman" w:cs="Times New Roman"/>
                <w:sz w:val="24"/>
                <w:szCs w:val="24"/>
              </w:rPr>
              <w:t>Kapitālsabiedrības</w:t>
            </w:r>
            <w:r w:rsidR="001036D3" w:rsidRPr="00EA52D6">
              <w:rPr>
                <w:rFonts w:ascii="Times New Roman" w:hAnsi="Times New Roman" w:cs="Times New Roman"/>
                <w:sz w:val="24"/>
                <w:szCs w:val="24"/>
              </w:rPr>
              <w:t xml:space="preserve"> sniegto maksas pakalpojumu cenrāža projekt</w:t>
            </w:r>
            <w:r w:rsidR="00DC3B2F" w:rsidRPr="00EA52D6">
              <w:rPr>
                <w:rFonts w:ascii="Times New Roman" w:hAnsi="Times New Roman" w:cs="Times New Roman"/>
                <w:sz w:val="24"/>
                <w:szCs w:val="24"/>
              </w:rPr>
              <w:t xml:space="preserve">s </w:t>
            </w:r>
            <w:r w:rsidR="00350A62">
              <w:rPr>
                <w:rFonts w:ascii="Times New Roman" w:hAnsi="Times New Roman" w:cs="Times New Roman"/>
                <w:sz w:val="24"/>
                <w:szCs w:val="24"/>
              </w:rPr>
              <w:t xml:space="preserve">08.11.2019. </w:t>
            </w:r>
            <w:r w:rsidR="00DC3B2F" w:rsidRPr="00EA52D6">
              <w:rPr>
                <w:rFonts w:ascii="Times New Roman" w:hAnsi="Times New Roman" w:cs="Times New Roman"/>
                <w:sz w:val="24"/>
                <w:szCs w:val="24"/>
              </w:rPr>
              <w:t>tik</w:t>
            </w:r>
            <w:r w:rsidR="00FF7240">
              <w:rPr>
                <w:rFonts w:ascii="Times New Roman" w:hAnsi="Times New Roman" w:cs="Times New Roman"/>
                <w:sz w:val="24"/>
                <w:szCs w:val="24"/>
              </w:rPr>
              <w:t>a</w:t>
            </w:r>
            <w:r w:rsidR="00DC3B2F" w:rsidRPr="00EA52D6">
              <w:rPr>
                <w:rFonts w:ascii="Times New Roman" w:hAnsi="Times New Roman" w:cs="Times New Roman"/>
                <w:sz w:val="24"/>
                <w:szCs w:val="24"/>
              </w:rPr>
              <w:t xml:space="preserve"> ievietots VM mājas lapā</w:t>
            </w:r>
            <w:r w:rsidR="00350A62">
              <w:rPr>
                <w:rFonts w:ascii="Times New Roman" w:hAnsi="Times New Roman" w:cs="Times New Roman"/>
                <w:sz w:val="24"/>
                <w:szCs w:val="24"/>
              </w:rPr>
              <w:t xml:space="preserve"> sadaļā “Sabiedrības līdzdalība”, kā arī Valsts kancelejas mājas lapā sadaļā “Sabiedrības līdzdalība”</w:t>
            </w:r>
            <w:r w:rsidR="00DC3B2F" w:rsidRPr="00EA52D6">
              <w:rPr>
                <w:rFonts w:ascii="Times New Roman" w:hAnsi="Times New Roman" w:cs="Times New Roman"/>
                <w:sz w:val="24"/>
                <w:szCs w:val="24"/>
              </w:rPr>
              <w:t xml:space="preserve"> sabiedrības informēšanai un viedokļa uzklausīšanai</w:t>
            </w:r>
            <w:r w:rsidRPr="00EA52D6">
              <w:rPr>
                <w:rFonts w:ascii="Times New Roman" w:hAnsi="Times New Roman" w:cs="Times New Roman"/>
                <w:sz w:val="24"/>
                <w:szCs w:val="24"/>
              </w:rPr>
              <w:t>.</w:t>
            </w:r>
          </w:p>
        </w:tc>
      </w:tr>
      <w:tr w:rsidR="001036D3" w14:paraId="6AFB4619" w14:textId="77777777" w:rsidTr="000154C5">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2F86809D"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610" w:type="pct"/>
            <w:tcBorders>
              <w:top w:val="outset" w:sz="6" w:space="0" w:color="auto"/>
              <w:left w:val="outset" w:sz="6" w:space="0" w:color="auto"/>
              <w:bottom w:val="outset" w:sz="6" w:space="0" w:color="auto"/>
              <w:right w:val="outset" w:sz="6" w:space="0" w:color="auto"/>
            </w:tcBorders>
            <w:hideMark/>
          </w:tcPr>
          <w:p w14:paraId="5600D39C"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Sabiedrības līdzdalības rezultāti</w:t>
            </w:r>
          </w:p>
        </w:tc>
        <w:tc>
          <w:tcPr>
            <w:tcW w:w="3038" w:type="pct"/>
            <w:tcBorders>
              <w:top w:val="outset" w:sz="6" w:space="0" w:color="auto"/>
              <w:left w:val="outset" w:sz="6" w:space="0" w:color="auto"/>
              <w:bottom w:val="outset" w:sz="6" w:space="0" w:color="auto"/>
              <w:right w:val="outset" w:sz="6" w:space="0" w:color="auto"/>
            </w:tcBorders>
            <w:hideMark/>
          </w:tcPr>
          <w:p w14:paraId="78C2F9EF" w14:textId="5D09F6D7" w:rsidR="001036D3" w:rsidRPr="00A75680" w:rsidRDefault="00350A62" w:rsidP="001036D3">
            <w:pPr>
              <w:jc w:val="both"/>
              <w:rPr>
                <w:rFonts w:ascii="Times New Roman" w:hAnsi="Times New Roman" w:cs="Times New Roman"/>
                <w:sz w:val="24"/>
                <w:szCs w:val="24"/>
              </w:rPr>
            </w:pPr>
            <w:r>
              <w:rPr>
                <w:rFonts w:ascii="Times New Roman" w:hAnsi="Times New Roman" w:cs="Times New Roman"/>
                <w:sz w:val="24"/>
                <w:szCs w:val="24"/>
              </w:rPr>
              <w:t>Priekšlikumi un iebildumi nav saņemti</w:t>
            </w:r>
          </w:p>
        </w:tc>
      </w:tr>
      <w:tr w:rsidR="001036D3" w14:paraId="71EC8CAB" w14:textId="77777777" w:rsidTr="000154C5">
        <w:trPr>
          <w:trHeight w:val="351"/>
          <w:tblCellSpacing w:w="15" w:type="dxa"/>
        </w:trPr>
        <w:tc>
          <w:tcPr>
            <w:tcW w:w="285" w:type="pct"/>
            <w:tcBorders>
              <w:top w:val="outset" w:sz="6" w:space="0" w:color="auto"/>
              <w:left w:val="outset" w:sz="6" w:space="0" w:color="auto"/>
              <w:bottom w:val="outset" w:sz="6" w:space="0" w:color="auto"/>
              <w:right w:val="outset" w:sz="6" w:space="0" w:color="auto"/>
            </w:tcBorders>
            <w:hideMark/>
          </w:tcPr>
          <w:p w14:paraId="44BD2C16"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4.</w:t>
            </w:r>
          </w:p>
        </w:tc>
        <w:tc>
          <w:tcPr>
            <w:tcW w:w="1610" w:type="pct"/>
            <w:tcBorders>
              <w:top w:val="outset" w:sz="6" w:space="0" w:color="auto"/>
              <w:left w:val="outset" w:sz="6" w:space="0" w:color="auto"/>
              <w:bottom w:val="outset" w:sz="6" w:space="0" w:color="auto"/>
              <w:right w:val="outset" w:sz="6" w:space="0" w:color="auto"/>
            </w:tcBorders>
            <w:hideMark/>
          </w:tcPr>
          <w:p w14:paraId="28511D56" w14:textId="77777777" w:rsidR="001036D3" w:rsidRPr="00FB0CA7" w:rsidRDefault="001036D3" w:rsidP="001036D3">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3038" w:type="pct"/>
            <w:tcBorders>
              <w:top w:val="outset" w:sz="6" w:space="0" w:color="auto"/>
              <w:left w:val="outset" w:sz="6" w:space="0" w:color="auto"/>
              <w:bottom w:val="outset" w:sz="6" w:space="0" w:color="auto"/>
              <w:right w:val="outset" w:sz="6" w:space="0" w:color="auto"/>
            </w:tcBorders>
            <w:hideMark/>
          </w:tcPr>
          <w:p w14:paraId="4ADF41CF" w14:textId="77777777" w:rsidR="001036D3" w:rsidRPr="00A75680" w:rsidRDefault="001036D3" w:rsidP="001036D3">
            <w:pPr>
              <w:jc w:val="both"/>
              <w:rPr>
                <w:rFonts w:ascii="Times New Roman" w:hAnsi="Times New Roman" w:cs="Times New Roman"/>
                <w:sz w:val="24"/>
                <w:szCs w:val="24"/>
              </w:rPr>
            </w:pPr>
            <w:r w:rsidRPr="00A75680">
              <w:rPr>
                <w:rFonts w:ascii="Times New Roman" w:hAnsi="Times New Roman" w:cs="Times New Roman"/>
                <w:sz w:val="24"/>
                <w:szCs w:val="24"/>
              </w:rPr>
              <w:t>Nav</w:t>
            </w:r>
          </w:p>
        </w:tc>
      </w:tr>
    </w:tbl>
    <w:p w14:paraId="1ADD8099"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 xml:space="preserve">  </w:t>
      </w:r>
    </w:p>
    <w:tbl>
      <w:tblPr>
        <w:tblW w:w="5010"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954"/>
        <w:gridCol w:w="5556"/>
      </w:tblGrid>
      <w:tr w:rsidR="00665589" w14:paraId="611F04CF" w14:textId="77777777" w:rsidTr="000154C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E9B2674" w14:textId="77777777" w:rsidR="00655F2C" w:rsidRPr="00FB0CA7" w:rsidRDefault="003E2D3C" w:rsidP="00E5323B">
            <w:pPr>
              <w:spacing w:after="0" w:line="240" w:lineRule="auto"/>
              <w:rPr>
                <w:rFonts w:ascii="Times New Roman" w:eastAsia="Times New Roman" w:hAnsi="Times New Roman" w:cs="Times New Roman"/>
                <w:b/>
                <w:bCs/>
                <w:iCs/>
                <w:color w:val="414142"/>
                <w:sz w:val="24"/>
                <w:szCs w:val="24"/>
                <w:lang w:eastAsia="lv-LV"/>
              </w:rPr>
            </w:pPr>
            <w:r w:rsidRPr="00FB0CA7">
              <w:rPr>
                <w:rFonts w:ascii="Times New Roman" w:eastAsia="Times New Roman" w:hAnsi="Times New Roman" w:cs="Times New Roman"/>
                <w:b/>
                <w:bCs/>
                <w:iCs/>
                <w:color w:val="414142"/>
                <w:sz w:val="24"/>
                <w:szCs w:val="24"/>
                <w:lang w:eastAsia="lv-LV"/>
              </w:rPr>
              <w:lastRenderedPageBreak/>
              <w:t>VII. Tiesību akta projekta izpildes nodrošināšana un tās ietekme uz institūcijām</w:t>
            </w:r>
          </w:p>
        </w:tc>
      </w:tr>
      <w:tr w:rsidR="00665589" w14:paraId="63356527" w14:textId="77777777" w:rsidTr="000154C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7E085CC7"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21DC277F"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izpildē iesaistītās institūcijas</w:t>
            </w:r>
          </w:p>
        </w:tc>
        <w:tc>
          <w:tcPr>
            <w:tcW w:w="3025" w:type="pct"/>
            <w:tcBorders>
              <w:top w:val="outset" w:sz="6" w:space="0" w:color="auto"/>
              <w:left w:val="outset" w:sz="6" w:space="0" w:color="auto"/>
              <w:bottom w:val="outset" w:sz="6" w:space="0" w:color="auto"/>
              <w:right w:val="outset" w:sz="6" w:space="0" w:color="auto"/>
            </w:tcBorders>
            <w:hideMark/>
          </w:tcPr>
          <w:p w14:paraId="15E3E784" w14:textId="77777777" w:rsidR="00E5323B" w:rsidRPr="00FB0CA7" w:rsidRDefault="006E5737" w:rsidP="006E573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714FB">
              <w:rPr>
                <w:rFonts w:ascii="Times New Roman" w:hAnsi="Times New Roman"/>
                <w:sz w:val="24"/>
              </w:rPr>
              <w:t>Veselības ministrija, VSIA “Rīgas psihiatrijas un narkoloģijas centrs”</w:t>
            </w:r>
            <w:r>
              <w:rPr>
                <w:rFonts w:ascii="Times New Roman" w:hAnsi="Times New Roman"/>
                <w:sz w:val="24"/>
              </w:rPr>
              <w:t>.</w:t>
            </w:r>
          </w:p>
        </w:tc>
      </w:tr>
      <w:tr w:rsidR="00665589" w14:paraId="7F34E33A" w14:textId="77777777" w:rsidTr="000154C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2767DD6"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66C62719"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Projekta izpildes ietekme uz pārvaldes funkcijām un institucionālo struktūru.</w:t>
            </w:r>
            <w:r w:rsidRPr="00FB0CA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25" w:type="pct"/>
            <w:tcBorders>
              <w:top w:val="outset" w:sz="6" w:space="0" w:color="auto"/>
              <w:left w:val="outset" w:sz="6" w:space="0" w:color="auto"/>
              <w:bottom w:val="outset" w:sz="6" w:space="0" w:color="auto"/>
              <w:right w:val="outset" w:sz="6" w:space="0" w:color="auto"/>
            </w:tcBorders>
            <w:hideMark/>
          </w:tcPr>
          <w:p w14:paraId="5AD6D84D" w14:textId="77777777" w:rsidR="00E5323B" w:rsidRPr="00067850" w:rsidRDefault="003E2D3C" w:rsidP="00343BE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Jaunu institūciju izveide un esošo institūciju likvidācija nav nepieciešama.</w:t>
            </w:r>
            <w:r w:rsidR="00DC3B2F">
              <w:rPr>
                <w:rFonts w:ascii="Times New Roman" w:hAnsi="Times New Roman" w:cs="Times New Roman"/>
                <w:sz w:val="24"/>
                <w:szCs w:val="24"/>
              </w:rPr>
              <w:t xml:space="preserve"> N</w:t>
            </w:r>
            <w:r w:rsidRPr="00067850">
              <w:rPr>
                <w:rFonts w:ascii="Times New Roman" w:hAnsi="Times New Roman" w:cs="Times New Roman"/>
                <w:sz w:val="24"/>
                <w:szCs w:val="24"/>
              </w:rPr>
              <w:t>epieciešamās amata vietas tiks nodrošinātas esošo amatu vietu skaita ietvaros.</w:t>
            </w:r>
          </w:p>
        </w:tc>
      </w:tr>
      <w:tr w:rsidR="00665589" w14:paraId="1F6626EF" w14:textId="77777777" w:rsidTr="000154C5">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AFE1F6F" w14:textId="77777777" w:rsidR="00655F2C"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7208A66F" w14:textId="77777777" w:rsidR="00E5323B" w:rsidRPr="00FB0CA7" w:rsidRDefault="003E2D3C" w:rsidP="00E5323B">
            <w:pPr>
              <w:spacing w:after="0" w:line="240" w:lineRule="auto"/>
              <w:rPr>
                <w:rFonts w:ascii="Times New Roman" w:eastAsia="Times New Roman" w:hAnsi="Times New Roman" w:cs="Times New Roman"/>
                <w:iCs/>
                <w:color w:val="414142"/>
                <w:sz w:val="24"/>
                <w:szCs w:val="24"/>
                <w:lang w:eastAsia="lv-LV"/>
              </w:rPr>
            </w:pPr>
            <w:r w:rsidRPr="00FB0CA7">
              <w:rPr>
                <w:rFonts w:ascii="Times New Roman" w:eastAsia="Times New Roman" w:hAnsi="Times New Roman" w:cs="Times New Roman"/>
                <w:iCs/>
                <w:color w:val="414142"/>
                <w:sz w:val="24"/>
                <w:szCs w:val="24"/>
                <w:lang w:eastAsia="lv-LV"/>
              </w:rPr>
              <w:t>Cita informācija</w:t>
            </w:r>
          </w:p>
        </w:tc>
        <w:tc>
          <w:tcPr>
            <w:tcW w:w="3025" w:type="pct"/>
            <w:tcBorders>
              <w:top w:val="outset" w:sz="6" w:space="0" w:color="auto"/>
              <w:left w:val="outset" w:sz="6" w:space="0" w:color="auto"/>
              <w:bottom w:val="outset" w:sz="6" w:space="0" w:color="auto"/>
              <w:right w:val="outset" w:sz="6" w:space="0" w:color="auto"/>
            </w:tcBorders>
            <w:hideMark/>
          </w:tcPr>
          <w:p w14:paraId="50E5EA9B" w14:textId="77777777" w:rsidR="00E5323B" w:rsidRPr="00067850" w:rsidRDefault="003E2D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067850">
              <w:rPr>
                <w:rFonts w:ascii="Times New Roman" w:hAnsi="Times New Roman" w:cs="Times New Roman"/>
                <w:sz w:val="24"/>
                <w:szCs w:val="24"/>
              </w:rPr>
              <w:t>Nav</w:t>
            </w:r>
          </w:p>
        </w:tc>
      </w:tr>
    </w:tbl>
    <w:p w14:paraId="2CF06482" w14:textId="77777777" w:rsidR="00E5323B" w:rsidRPr="00FB0CA7" w:rsidRDefault="00E5323B" w:rsidP="00894C55">
      <w:pPr>
        <w:spacing w:after="0" w:line="240" w:lineRule="auto"/>
        <w:rPr>
          <w:rFonts w:ascii="Times New Roman" w:hAnsi="Times New Roman" w:cs="Times New Roman"/>
          <w:sz w:val="28"/>
          <w:szCs w:val="28"/>
        </w:rPr>
      </w:pPr>
    </w:p>
    <w:p w14:paraId="1D4CA639" w14:textId="77777777" w:rsidR="00976503" w:rsidRDefault="00976503" w:rsidP="00FA7B15">
      <w:pPr>
        <w:tabs>
          <w:tab w:val="left" w:pos="6237"/>
        </w:tabs>
        <w:spacing w:after="0" w:line="240" w:lineRule="auto"/>
        <w:rPr>
          <w:rFonts w:ascii="Times New Roman" w:hAnsi="Times New Roman" w:cs="Times New Roman"/>
          <w:sz w:val="28"/>
          <w:szCs w:val="28"/>
        </w:rPr>
      </w:pPr>
    </w:p>
    <w:p w14:paraId="209187C4" w14:textId="77777777" w:rsidR="00894C55" w:rsidRPr="00FB0CA7" w:rsidRDefault="003E2D3C" w:rsidP="00FA7B15">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Pr="00FB0CA7">
        <w:rPr>
          <w:rFonts w:ascii="Times New Roman" w:hAnsi="Times New Roman" w:cs="Times New Roman"/>
          <w:sz w:val="28"/>
          <w:szCs w:val="28"/>
        </w:rPr>
        <w:t xml:space="preserve"> ministr</w:t>
      </w:r>
      <w:r>
        <w:rPr>
          <w:rFonts w:ascii="Times New Roman" w:hAnsi="Times New Roman" w:cs="Times New Roman"/>
          <w:sz w:val="28"/>
          <w:szCs w:val="28"/>
        </w:rPr>
        <w:t>e</w:t>
      </w:r>
      <w:r w:rsidRPr="00FB0CA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C6844">
        <w:rPr>
          <w:rFonts w:ascii="Times New Roman" w:hAnsi="Times New Roman" w:cs="Times New Roman"/>
          <w:sz w:val="28"/>
          <w:szCs w:val="28"/>
        </w:rPr>
        <w:t>I</w:t>
      </w:r>
      <w:r w:rsidR="00DC3B2F">
        <w:rPr>
          <w:rFonts w:ascii="Times New Roman" w:hAnsi="Times New Roman" w:cs="Times New Roman"/>
          <w:sz w:val="28"/>
          <w:szCs w:val="28"/>
        </w:rPr>
        <w:t>.</w:t>
      </w:r>
      <w:r w:rsidR="002C6844">
        <w:rPr>
          <w:rFonts w:ascii="Times New Roman" w:hAnsi="Times New Roman" w:cs="Times New Roman"/>
          <w:sz w:val="28"/>
          <w:szCs w:val="28"/>
        </w:rPr>
        <w:t xml:space="preserve"> Viņķele</w:t>
      </w:r>
    </w:p>
    <w:p w14:paraId="0A122061" w14:textId="77777777" w:rsidR="00976503" w:rsidRDefault="00976503" w:rsidP="001410CF">
      <w:pPr>
        <w:tabs>
          <w:tab w:val="left" w:pos="6237"/>
        </w:tabs>
        <w:spacing w:after="0" w:line="240" w:lineRule="auto"/>
        <w:rPr>
          <w:rFonts w:ascii="Times New Roman" w:hAnsi="Times New Roman" w:cs="Times New Roman"/>
          <w:sz w:val="24"/>
          <w:szCs w:val="28"/>
        </w:rPr>
      </w:pPr>
    </w:p>
    <w:p w14:paraId="7470E939" w14:textId="77777777" w:rsidR="00A60AF3" w:rsidRDefault="00A60AF3" w:rsidP="001410CF">
      <w:pPr>
        <w:tabs>
          <w:tab w:val="left" w:pos="6237"/>
        </w:tabs>
        <w:spacing w:after="0" w:line="240" w:lineRule="auto"/>
        <w:rPr>
          <w:rFonts w:ascii="Times New Roman" w:hAnsi="Times New Roman" w:cs="Times New Roman"/>
          <w:sz w:val="24"/>
          <w:szCs w:val="28"/>
        </w:rPr>
      </w:pPr>
    </w:p>
    <w:p w14:paraId="2AB0348E" w14:textId="77777777" w:rsidR="00A60AF3" w:rsidRDefault="00A60AF3" w:rsidP="001410CF">
      <w:pPr>
        <w:tabs>
          <w:tab w:val="left" w:pos="6237"/>
        </w:tabs>
        <w:spacing w:after="0" w:line="240" w:lineRule="auto"/>
        <w:rPr>
          <w:rFonts w:ascii="Times New Roman" w:hAnsi="Times New Roman" w:cs="Times New Roman"/>
          <w:sz w:val="24"/>
          <w:szCs w:val="28"/>
        </w:rPr>
      </w:pPr>
    </w:p>
    <w:p w14:paraId="44DD0760" w14:textId="77777777" w:rsidR="00A60AF3" w:rsidRDefault="00A60AF3" w:rsidP="001410CF">
      <w:pPr>
        <w:tabs>
          <w:tab w:val="left" w:pos="6237"/>
        </w:tabs>
        <w:spacing w:after="0" w:line="240" w:lineRule="auto"/>
        <w:rPr>
          <w:rFonts w:ascii="Times New Roman" w:hAnsi="Times New Roman" w:cs="Times New Roman"/>
          <w:sz w:val="24"/>
          <w:szCs w:val="28"/>
        </w:rPr>
      </w:pPr>
    </w:p>
    <w:p w14:paraId="6E70B4E8" w14:textId="77777777" w:rsidR="00A60AF3" w:rsidRDefault="00A60AF3" w:rsidP="001410CF">
      <w:pPr>
        <w:tabs>
          <w:tab w:val="left" w:pos="6237"/>
        </w:tabs>
        <w:spacing w:after="0" w:line="240" w:lineRule="auto"/>
        <w:rPr>
          <w:rFonts w:ascii="Times New Roman" w:hAnsi="Times New Roman" w:cs="Times New Roman"/>
          <w:sz w:val="24"/>
          <w:szCs w:val="28"/>
        </w:rPr>
      </w:pPr>
    </w:p>
    <w:p w14:paraId="74D9099C" w14:textId="77777777" w:rsidR="001410CF" w:rsidRPr="00FB0CA7" w:rsidRDefault="003E2D3C" w:rsidP="001410C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Zandberga</w:t>
      </w:r>
      <w:r w:rsidRPr="00FB0CA7">
        <w:rPr>
          <w:rFonts w:ascii="Times New Roman" w:hAnsi="Times New Roman" w:cs="Times New Roman"/>
          <w:sz w:val="24"/>
          <w:szCs w:val="28"/>
        </w:rPr>
        <w:t xml:space="preserve"> 67</w:t>
      </w:r>
      <w:r>
        <w:rPr>
          <w:rFonts w:ascii="Times New Roman" w:hAnsi="Times New Roman" w:cs="Times New Roman"/>
          <w:sz w:val="24"/>
          <w:szCs w:val="28"/>
        </w:rPr>
        <w:t>876041</w:t>
      </w:r>
    </w:p>
    <w:p w14:paraId="4552A413" w14:textId="77777777" w:rsidR="00894C55" w:rsidRPr="001410CF" w:rsidRDefault="003E2D3C" w:rsidP="001410CF">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Lasma.Zandberga</w:t>
      </w:r>
      <w:r w:rsidRPr="00FB0CA7">
        <w:rPr>
          <w:rFonts w:ascii="Times New Roman" w:hAnsi="Times New Roman" w:cs="Times New Roman"/>
          <w:sz w:val="24"/>
          <w:szCs w:val="28"/>
        </w:rPr>
        <w:t>@</w:t>
      </w:r>
      <w:r>
        <w:rPr>
          <w:rFonts w:ascii="Times New Roman" w:hAnsi="Times New Roman" w:cs="Times New Roman"/>
          <w:sz w:val="24"/>
          <w:szCs w:val="28"/>
        </w:rPr>
        <w:t>vm</w:t>
      </w:r>
      <w:r w:rsidRPr="00FB0CA7">
        <w:rPr>
          <w:rFonts w:ascii="Times New Roman" w:hAnsi="Times New Roman" w:cs="Times New Roman"/>
          <w:sz w:val="24"/>
          <w:szCs w:val="28"/>
        </w:rPr>
        <w:t>.gov.lv</w:t>
      </w:r>
    </w:p>
    <w:sectPr w:rsidR="00894C55" w:rsidRPr="001410CF"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F289D" w14:textId="77777777" w:rsidR="00B31CD8" w:rsidRDefault="00B31CD8">
      <w:pPr>
        <w:spacing w:after="0" w:line="240" w:lineRule="auto"/>
      </w:pPr>
      <w:r>
        <w:separator/>
      </w:r>
    </w:p>
  </w:endnote>
  <w:endnote w:type="continuationSeparator" w:id="0">
    <w:p w14:paraId="7646D788" w14:textId="77777777" w:rsidR="00B31CD8" w:rsidRDefault="00B3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8E75" w14:textId="78E3B76C" w:rsidR="00B31CD8" w:rsidRPr="00894C55" w:rsidRDefault="00B31CD8">
    <w:pPr>
      <w:pStyle w:val="Footer"/>
      <w:rPr>
        <w:rFonts w:ascii="Times New Roman" w:hAnsi="Times New Roman" w:cs="Times New Roman"/>
        <w:sz w:val="20"/>
        <w:szCs w:val="20"/>
      </w:rPr>
    </w:pPr>
    <w:r>
      <w:rPr>
        <w:rFonts w:ascii="Times New Roman" w:hAnsi="Times New Roman" w:cs="Times New Roman"/>
        <w:sz w:val="20"/>
        <w:szCs w:val="20"/>
      </w:rPr>
      <w:t>VManot_</w:t>
    </w:r>
    <w:r w:rsidR="00297CA7">
      <w:rPr>
        <w:rFonts w:ascii="Times New Roman" w:hAnsi="Times New Roman" w:cs="Times New Roman"/>
        <w:sz w:val="20"/>
        <w:szCs w:val="20"/>
      </w:rPr>
      <w:t>0</w:t>
    </w:r>
    <w:r w:rsidR="00296BCE">
      <w:rPr>
        <w:rFonts w:ascii="Times New Roman" w:hAnsi="Times New Roman" w:cs="Times New Roman"/>
        <w:sz w:val="20"/>
        <w:szCs w:val="20"/>
      </w:rPr>
      <w:t>4</w:t>
    </w:r>
    <w:r w:rsidR="00297CA7">
      <w:rPr>
        <w:rFonts w:ascii="Times New Roman" w:hAnsi="Times New Roman" w:cs="Times New Roman"/>
        <w:sz w:val="20"/>
        <w:szCs w:val="20"/>
      </w:rPr>
      <w:t>1</w:t>
    </w:r>
    <w:r w:rsidR="00296BCE">
      <w:rPr>
        <w:rFonts w:ascii="Times New Roman" w:hAnsi="Times New Roman" w:cs="Times New Roman"/>
        <w:sz w:val="20"/>
        <w:szCs w:val="20"/>
      </w:rPr>
      <w:t>2</w:t>
    </w:r>
    <w:r>
      <w:rPr>
        <w:rFonts w:ascii="Times New Roman" w:hAnsi="Times New Roman" w:cs="Times New Roman"/>
        <w:sz w:val="20"/>
        <w:szCs w:val="20"/>
      </w:rPr>
      <w:t>19_TEmaks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E19A" w14:textId="234B7E7B" w:rsidR="00B31CD8" w:rsidRPr="009A2654" w:rsidRDefault="00B31CD8">
    <w:pPr>
      <w:pStyle w:val="Footer"/>
      <w:rPr>
        <w:rFonts w:ascii="Times New Roman" w:hAnsi="Times New Roman" w:cs="Times New Roman"/>
        <w:sz w:val="20"/>
        <w:szCs w:val="20"/>
      </w:rPr>
    </w:pPr>
    <w:r>
      <w:rPr>
        <w:rFonts w:ascii="Times New Roman" w:hAnsi="Times New Roman" w:cs="Times New Roman"/>
        <w:sz w:val="20"/>
        <w:szCs w:val="20"/>
      </w:rPr>
      <w:t>VManot_</w:t>
    </w:r>
    <w:r w:rsidR="00297CA7">
      <w:rPr>
        <w:rFonts w:ascii="Times New Roman" w:hAnsi="Times New Roman" w:cs="Times New Roman"/>
        <w:sz w:val="20"/>
        <w:szCs w:val="20"/>
      </w:rPr>
      <w:t>0</w:t>
    </w:r>
    <w:r w:rsidR="00296BCE">
      <w:rPr>
        <w:rFonts w:ascii="Times New Roman" w:hAnsi="Times New Roman" w:cs="Times New Roman"/>
        <w:sz w:val="20"/>
        <w:szCs w:val="20"/>
      </w:rPr>
      <w:t>4</w:t>
    </w:r>
    <w:r w:rsidR="00297CA7">
      <w:rPr>
        <w:rFonts w:ascii="Times New Roman" w:hAnsi="Times New Roman" w:cs="Times New Roman"/>
        <w:sz w:val="20"/>
        <w:szCs w:val="20"/>
      </w:rPr>
      <w:t>1</w:t>
    </w:r>
    <w:r w:rsidR="00296BCE">
      <w:rPr>
        <w:rFonts w:ascii="Times New Roman" w:hAnsi="Times New Roman" w:cs="Times New Roman"/>
        <w:sz w:val="20"/>
        <w:szCs w:val="20"/>
      </w:rPr>
      <w:t>2</w:t>
    </w:r>
    <w:r>
      <w:rPr>
        <w:rFonts w:ascii="Times New Roman" w:hAnsi="Times New Roman" w:cs="Times New Roman"/>
        <w:sz w:val="20"/>
        <w:szCs w:val="20"/>
      </w:rPr>
      <w:t>19_TEmaks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43814" w14:textId="77777777" w:rsidR="00B31CD8" w:rsidRDefault="00B31CD8">
      <w:pPr>
        <w:spacing w:after="0" w:line="240" w:lineRule="auto"/>
      </w:pPr>
      <w:r>
        <w:separator/>
      </w:r>
    </w:p>
  </w:footnote>
  <w:footnote w:type="continuationSeparator" w:id="0">
    <w:p w14:paraId="5308680A" w14:textId="77777777" w:rsidR="00B31CD8" w:rsidRDefault="00B31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3772469"/>
      <w:docPartObj>
        <w:docPartGallery w:val="Page Numbers (Top of Page)"/>
        <w:docPartUnique/>
      </w:docPartObj>
    </w:sdtPr>
    <w:sdtEndPr>
      <w:rPr>
        <w:rFonts w:ascii="Times New Roman" w:hAnsi="Times New Roman" w:cs="Times New Roman"/>
        <w:noProof/>
        <w:sz w:val="24"/>
        <w:szCs w:val="20"/>
      </w:rPr>
    </w:sdtEndPr>
    <w:sdtContent>
      <w:p w14:paraId="7DAE024C" w14:textId="7BC450C1" w:rsidR="00B31CD8" w:rsidRPr="00C25B49" w:rsidRDefault="004907F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B31CD8"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339C">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6EDA"/>
    <w:multiLevelType w:val="multilevel"/>
    <w:tmpl w:val="B702451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011BD"/>
    <w:multiLevelType w:val="multilevel"/>
    <w:tmpl w:val="9FF4E2A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82A2F7A"/>
    <w:multiLevelType w:val="hybridMultilevel"/>
    <w:tmpl w:val="547C69D4"/>
    <w:lvl w:ilvl="0" w:tplc="43265D8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EC23D57"/>
    <w:multiLevelType w:val="hybridMultilevel"/>
    <w:tmpl w:val="39C21CCE"/>
    <w:lvl w:ilvl="0" w:tplc="D3B8FBEA">
      <w:start w:val="1"/>
      <w:numFmt w:val="decimal"/>
      <w:lvlText w:val="%1."/>
      <w:lvlJc w:val="left"/>
      <w:pPr>
        <w:ind w:left="720" w:hanging="360"/>
      </w:pPr>
      <w:rPr>
        <w:rFonts w:hint="default"/>
      </w:rPr>
    </w:lvl>
    <w:lvl w:ilvl="1" w:tplc="01A6A68E" w:tentative="1">
      <w:start w:val="1"/>
      <w:numFmt w:val="lowerLetter"/>
      <w:lvlText w:val="%2."/>
      <w:lvlJc w:val="left"/>
      <w:pPr>
        <w:ind w:left="1440" w:hanging="360"/>
      </w:pPr>
    </w:lvl>
    <w:lvl w:ilvl="2" w:tplc="022C8B9A" w:tentative="1">
      <w:start w:val="1"/>
      <w:numFmt w:val="lowerRoman"/>
      <w:lvlText w:val="%3."/>
      <w:lvlJc w:val="right"/>
      <w:pPr>
        <w:ind w:left="2160" w:hanging="180"/>
      </w:pPr>
    </w:lvl>
    <w:lvl w:ilvl="3" w:tplc="0B30A410" w:tentative="1">
      <w:start w:val="1"/>
      <w:numFmt w:val="decimal"/>
      <w:lvlText w:val="%4."/>
      <w:lvlJc w:val="left"/>
      <w:pPr>
        <w:ind w:left="2880" w:hanging="360"/>
      </w:pPr>
    </w:lvl>
    <w:lvl w:ilvl="4" w:tplc="A2C6FA9E" w:tentative="1">
      <w:start w:val="1"/>
      <w:numFmt w:val="lowerLetter"/>
      <w:lvlText w:val="%5."/>
      <w:lvlJc w:val="left"/>
      <w:pPr>
        <w:ind w:left="3600" w:hanging="360"/>
      </w:pPr>
    </w:lvl>
    <w:lvl w:ilvl="5" w:tplc="15269D0E" w:tentative="1">
      <w:start w:val="1"/>
      <w:numFmt w:val="lowerRoman"/>
      <w:lvlText w:val="%6."/>
      <w:lvlJc w:val="right"/>
      <w:pPr>
        <w:ind w:left="4320" w:hanging="180"/>
      </w:pPr>
    </w:lvl>
    <w:lvl w:ilvl="6" w:tplc="B23E63C8" w:tentative="1">
      <w:start w:val="1"/>
      <w:numFmt w:val="decimal"/>
      <w:lvlText w:val="%7."/>
      <w:lvlJc w:val="left"/>
      <w:pPr>
        <w:ind w:left="5040" w:hanging="360"/>
      </w:pPr>
    </w:lvl>
    <w:lvl w:ilvl="7" w:tplc="6B1C8DEC" w:tentative="1">
      <w:start w:val="1"/>
      <w:numFmt w:val="lowerLetter"/>
      <w:lvlText w:val="%8."/>
      <w:lvlJc w:val="left"/>
      <w:pPr>
        <w:ind w:left="5760" w:hanging="360"/>
      </w:pPr>
    </w:lvl>
    <w:lvl w:ilvl="8" w:tplc="2BD26470" w:tentative="1">
      <w:start w:val="1"/>
      <w:numFmt w:val="lowerRoman"/>
      <w:lvlText w:val="%9."/>
      <w:lvlJc w:val="right"/>
      <w:pPr>
        <w:ind w:left="6480" w:hanging="180"/>
      </w:pPr>
    </w:lvl>
  </w:abstractNum>
  <w:abstractNum w:abstractNumId="4" w15:restartNumberingAfterBreak="0">
    <w:nsid w:val="2E856BBB"/>
    <w:multiLevelType w:val="hybridMultilevel"/>
    <w:tmpl w:val="677C7072"/>
    <w:lvl w:ilvl="0" w:tplc="41EEC95E">
      <w:start w:val="1"/>
      <w:numFmt w:val="decimal"/>
      <w:lvlText w:val="%1."/>
      <w:lvlJc w:val="left"/>
      <w:pPr>
        <w:ind w:left="720" w:hanging="360"/>
      </w:pPr>
      <w:rPr>
        <w:rFonts w:hint="default"/>
      </w:rPr>
    </w:lvl>
    <w:lvl w:ilvl="1" w:tplc="A46ADF32" w:tentative="1">
      <w:start w:val="1"/>
      <w:numFmt w:val="lowerLetter"/>
      <w:lvlText w:val="%2."/>
      <w:lvlJc w:val="left"/>
      <w:pPr>
        <w:ind w:left="1440" w:hanging="360"/>
      </w:pPr>
    </w:lvl>
    <w:lvl w:ilvl="2" w:tplc="0DEEDA46" w:tentative="1">
      <w:start w:val="1"/>
      <w:numFmt w:val="lowerRoman"/>
      <w:lvlText w:val="%3."/>
      <w:lvlJc w:val="right"/>
      <w:pPr>
        <w:ind w:left="2160" w:hanging="180"/>
      </w:pPr>
    </w:lvl>
    <w:lvl w:ilvl="3" w:tplc="4A8AE68E" w:tentative="1">
      <w:start w:val="1"/>
      <w:numFmt w:val="decimal"/>
      <w:lvlText w:val="%4."/>
      <w:lvlJc w:val="left"/>
      <w:pPr>
        <w:ind w:left="2880" w:hanging="360"/>
      </w:pPr>
    </w:lvl>
    <w:lvl w:ilvl="4" w:tplc="87CC3CF2" w:tentative="1">
      <w:start w:val="1"/>
      <w:numFmt w:val="lowerLetter"/>
      <w:lvlText w:val="%5."/>
      <w:lvlJc w:val="left"/>
      <w:pPr>
        <w:ind w:left="3600" w:hanging="360"/>
      </w:pPr>
    </w:lvl>
    <w:lvl w:ilvl="5" w:tplc="7B94759E" w:tentative="1">
      <w:start w:val="1"/>
      <w:numFmt w:val="lowerRoman"/>
      <w:lvlText w:val="%6."/>
      <w:lvlJc w:val="right"/>
      <w:pPr>
        <w:ind w:left="4320" w:hanging="180"/>
      </w:pPr>
    </w:lvl>
    <w:lvl w:ilvl="6" w:tplc="B84E2998" w:tentative="1">
      <w:start w:val="1"/>
      <w:numFmt w:val="decimal"/>
      <w:lvlText w:val="%7."/>
      <w:lvlJc w:val="left"/>
      <w:pPr>
        <w:ind w:left="5040" w:hanging="360"/>
      </w:pPr>
    </w:lvl>
    <w:lvl w:ilvl="7" w:tplc="FB4ADFA8" w:tentative="1">
      <w:start w:val="1"/>
      <w:numFmt w:val="lowerLetter"/>
      <w:lvlText w:val="%8."/>
      <w:lvlJc w:val="left"/>
      <w:pPr>
        <w:ind w:left="5760" w:hanging="360"/>
      </w:pPr>
    </w:lvl>
    <w:lvl w:ilvl="8" w:tplc="E9AAAD8A" w:tentative="1">
      <w:start w:val="1"/>
      <w:numFmt w:val="lowerRoman"/>
      <w:lvlText w:val="%9."/>
      <w:lvlJc w:val="right"/>
      <w:pPr>
        <w:ind w:left="6480" w:hanging="180"/>
      </w:pPr>
    </w:lvl>
  </w:abstractNum>
  <w:abstractNum w:abstractNumId="5" w15:restartNumberingAfterBreak="0">
    <w:nsid w:val="625F1ADC"/>
    <w:multiLevelType w:val="hybridMultilevel"/>
    <w:tmpl w:val="7F322C3E"/>
    <w:lvl w:ilvl="0" w:tplc="9C30439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66E"/>
    <w:rsid w:val="000053D2"/>
    <w:rsid w:val="000154C5"/>
    <w:rsid w:val="00021E38"/>
    <w:rsid w:val="000324BD"/>
    <w:rsid w:val="00036F2B"/>
    <w:rsid w:val="00043D08"/>
    <w:rsid w:val="00052AE2"/>
    <w:rsid w:val="00055FA6"/>
    <w:rsid w:val="00061337"/>
    <w:rsid w:val="000633F5"/>
    <w:rsid w:val="00067850"/>
    <w:rsid w:val="000714FB"/>
    <w:rsid w:val="00075A5A"/>
    <w:rsid w:val="000771D0"/>
    <w:rsid w:val="00090EED"/>
    <w:rsid w:val="0009287D"/>
    <w:rsid w:val="00093D33"/>
    <w:rsid w:val="000A1E3D"/>
    <w:rsid w:val="000A3064"/>
    <w:rsid w:val="000A67DE"/>
    <w:rsid w:val="000A7035"/>
    <w:rsid w:val="000A7D11"/>
    <w:rsid w:val="000C01DB"/>
    <w:rsid w:val="000C2997"/>
    <w:rsid w:val="000C3E08"/>
    <w:rsid w:val="000C5D00"/>
    <w:rsid w:val="000D169E"/>
    <w:rsid w:val="000E01E0"/>
    <w:rsid w:val="000E7F82"/>
    <w:rsid w:val="000F0034"/>
    <w:rsid w:val="000F2DDE"/>
    <w:rsid w:val="000F56B6"/>
    <w:rsid w:val="000F7DDD"/>
    <w:rsid w:val="001031A6"/>
    <w:rsid w:val="001036D3"/>
    <w:rsid w:val="0010594B"/>
    <w:rsid w:val="00116AAD"/>
    <w:rsid w:val="00116ACB"/>
    <w:rsid w:val="00122112"/>
    <w:rsid w:val="0012698A"/>
    <w:rsid w:val="001300ED"/>
    <w:rsid w:val="0013168B"/>
    <w:rsid w:val="001410CF"/>
    <w:rsid w:val="001437D9"/>
    <w:rsid w:val="00144F69"/>
    <w:rsid w:val="001541E4"/>
    <w:rsid w:val="00156B98"/>
    <w:rsid w:val="001615F2"/>
    <w:rsid w:val="00164112"/>
    <w:rsid w:val="001668CF"/>
    <w:rsid w:val="001710FB"/>
    <w:rsid w:val="001727E0"/>
    <w:rsid w:val="00174195"/>
    <w:rsid w:val="00174CC3"/>
    <w:rsid w:val="00177513"/>
    <w:rsid w:val="00182178"/>
    <w:rsid w:val="00191D5F"/>
    <w:rsid w:val="0019318D"/>
    <w:rsid w:val="00196031"/>
    <w:rsid w:val="001A130D"/>
    <w:rsid w:val="001A31B2"/>
    <w:rsid w:val="001A449E"/>
    <w:rsid w:val="001A7240"/>
    <w:rsid w:val="001B47AB"/>
    <w:rsid w:val="001C241D"/>
    <w:rsid w:val="001C5E5E"/>
    <w:rsid w:val="001D4919"/>
    <w:rsid w:val="001D55E5"/>
    <w:rsid w:val="001E402A"/>
    <w:rsid w:val="001E4488"/>
    <w:rsid w:val="001E6EFB"/>
    <w:rsid w:val="001E7D69"/>
    <w:rsid w:val="001F0334"/>
    <w:rsid w:val="001F2163"/>
    <w:rsid w:val="001F2A28"/>
    <w:rsid w:val="00206316"/>
    <w:rsid w:val="0021063C"/>
    <w:rsid w:val="00212E15"/>
    <w:rsid w:val="002216A9"/>
    <w:rsid w:val="002264F8"/>
    <w:rsid w:val="002314EA"/>
    <w:rsid w:val="00233008"/>
    <w:rsid w:val="00243426"/>
    <w:rsid w:val="00245849"/>
    <w:rsid w:val="00247AA8"/>
    <w:rsid w:val="002502CA"/>
    <w:rsid w:val="00250F96"/>
    <w:rsid w:val="002745E9"/>
    <w:rsid w:val="00275504"/>
    <w:rsid w:val="00283DA8"/>
    <w:rsid w:val="002846A7"/>
    <w:rsid w:val="00290DB3"/>
    <w:rsid w:val="0029269A"/>
    <w:rsid w:val="0029676E"/>
    <w:rsid w:val="00296BCE"/>
    <w:rsid w:val="00297CA7"/>
    <w:rsid w:val="002A001C"/>
    <w:rsid w:val="002A0E1F"/>
    <w:rsid w:val="002A6CFF"/>
    <w:rsid w:val="002B0A05"/>
    <w:rsid w:val="002B50D6"/>
    <w:rsid w:val="002B583C"/>
    <w:rsid w:val="002C3DC1"/>
    <w:rsid w:val="002C6844"/>
    <w:rsid w:val="002D194F"/>
    <w:rsid w:val="002D47C4"/>
    <w:rsid w:val="002D5799"/>
    <w:rsid w:val="002E090D"/>
    <w:rsid w:val="002E1C05"/>
    <w:rsid w:val="002E62E3"/>
    <w:rsid w:val="002F2072"/>
    <w:rsid w:val="002F6D6E"/>
    <w:rsid w:val="002F7877"/>
    <w:rsid w:val="003001F6"/>
    <w:rsid w:val="00310870"/>
    <w:rsid w:val="00316872"/>
    <w:rsid w:val="00326145"/>
    <w:rsid w:val="0033195D"/>
    <w:rsid w:val="00340F11"/>
    <w:rsid w:val="00342B86"/>
    <w:rsid w:val="00343BE1"/>
    <w:rsid w:val="00350A62"/>
    <w:rsid w:val="00352CF8"/>
    <w:rsid w:val="00362906"/>
    <w:rsid w:val="0037757F"/>
    <w:rsid w:val="00381D6F"/>
    <w:rsid w:val="00382B53"/>
    <w:rsid w:val="00383C51"/>
    <w:rsid w:val="003844DF"/>
    <w:rsid w:val="00384BB2"/>
    <w:rsid w:val="00385659"/>
    <w:rsid w:val="003960B6"/>
    <w:rsid w:val="00397B40"/>
    <w:rsid w:val="003A3439"/>
    <w:rsid w:val="003B0BF9"/>
    <w:rsid w:val="003B2162"/>
    <w:rsid w:val="003C2AE0"/>
    <w:rsid w:val="003C7851"/>
    <w:rsid w:val="003D228C"/>
    <w:rsid w:val="003E0791"/>
    <w:rsid w:val="003E2D3C"/>
    <w:rsid w:val="003F28AC"/>
    <w:rsid w:val="003F6231"/>
    <w:rsid w:val="00405DD7"/>
    <w:rsid w:val="0041587D"/>
    <w:rsid w:val="00417546"/>
    <w:rsid w:val="00425C63"/>
    <w:rsid w:val="00426ADA"/>
    <w:rsid w:val="004410B3"/>
    <w:rsid w:val="0044222F"/>
    <w:rsid w:val="004447CE"/>
    <w:rsid w:val="004454FE"/>
    <w:rsid w:val="00446219"/>
    <w:rsid w:val="00453328"/>
    <w:rsid w:val="00456E40"/>
    <w:rsid w:val="00463BF8"/>
    <w:rsid w:val="00471F27"/>
    <w:rsid w:val="0047709F"/>
    <w:rsid w:val="004773C4"/>
    <w:rsid w:val="00481411"/>
    <w:rsid w:val="00484A12"/>
    <w:rsid w:val="004877AE"/>
    <w:rsid w:val="004902C2"/>
    <w:rsid w:val="004907F8"/>
    <w:rsid w:val="004A11E2"/>
    <w:rsid w:val="004A141B"/>
    <w:rsid w:val="004A3DAC"/>
    <w:rsid w:val="004A5C19"/>
    <w:rsid w:val="004A77B3"/>
    <w:rsid w:val="004B2AC3"/>
    <w:rsid w:val="004B4525"/>
    <w:rsid w:val="004C209D"/>
    <w:rsid w:val="004C5EC2"/>
    <w:rsid w:val="004C7C3A"/>
    <w:rsid w:val="004C7C92"/>
    <w:rsid w:val="004D2C3F"/>
    <w:rsid w:val="004D3133"/>
    <w:rsid w:val="004D7D60"/>
    <w:rsid w:val="004E697F"/>
    <w:rsid w:val="00500774"/>
    <w:rsid w:val="0050178F"/>
    <w:rsid w:val="005124D8"/>
    <w:rsid w:val="0051359C"/>
    <w:rsid w:val="005156D9"/>
    <w:rsid w:val="00515FBF"/>
    <w:rsid w:val="0052143D"/>
    <w:rsid w:val="00523D03"/>
    <w:rsid w:val="00531B7B"/>
    <w:rsid w:val="00533F04"/>
    <w:rsid w:val="0056024B"/>
    <w:rsid w:val="005612B7"/>
    <w:rsid w:val="00563890"/>
    <w:rsid w:val="005661BC"/>
    <w:rsid w:val="00580992"/>
    <w:rsid w:val="0059339C"/>
    <w:rsid w:val="00593944"/>
    <w:rsid w:val="005A0791"/>
    <w:rsid w:val="005A1622"/>
    <w:rsid w:val="005B26EE"/>
    <w:rsid w:val="005B6B05"/>
    <w:rsid w:val="005B78E8"/>
    <w:rsid w:val="005C1CBB"/>
    <w:rsid w:val="005C3D88"/>
    <w:rsid w:val="005C7526"/>
    <w:rsid w:val="005D3FC3"/>
    <w:rsid w:val="005D41D1"/>
    <w:rsid w:val="005E727E"/>
    <w:rsid w:val="005F3353"/>
    <w:rsid w:val="005F4465"/>
    <w:rsid w:val="005F6E8A"/>
    <w:rsid w:val="00602207"/>
    <w:rsid w:val="00602585"/>
    <w:rsid w:val="006110C3"/>
    <w:rsid w:val="00630C03"/>
    <w:rsid w:val="00634E95"/>
    <w:rsid w:val="006414B4"/>
    <w:rsid w:val="006452EE"/>
    <w:rsid w:val="00654836"/>
    <w:rsid w:val="00655F2C"/>
    <w:rsid w:val="0066148F"/>
    <w:rsid w:val="00665589"/>
    <w:rsid w:val="00665D98"/>
    <w:rsid w:val="00671A1A"/>
    <w:rsid w:val="00680748"/>
    <w:rsid w:val="00690638"/>
    <w:rsid w:val="00694875"/>
    <w:rsid w:val="0069622A"/>
    <w:rsid w:val="006978B2"/>
    <w:rsid w:val="006A04D7"/>
    <w:rsid w:val="006A33FF"/>
    <w:rsid w:val="006A3D61"/>
    <w:rsid w:val="006A5872"/>
    <w:rsid w:val="006A5D83"/>
    <w:rsid w:val="006A6EF8"/>
    <w:rsid w:val="006B0721"/>
    <w:rsid w:val="006B4411"/>
    <w:rsid w:val="006D03A3"/>
    <w:rsid w:val="006D073B"/>
    <w:rsid w:val="006D1360"/>
    <w:rsid w:val="006D6139"/>
    <w:rsid w:val="006D6F18"/>
    <w:rsid w:val="006E1081"/>
    <w:rsid w:val="006E5737"/>
    <w:rsid w:val="006F2298"/>
    <w:rsid w:val="0070042F"/>
    <w:rsid w:val="0070431F"/>
    <w:rsid w:val="007043F5"/>
    <w:rsid w:val="00714476"/>
    <w:rsid w:val="00717670"/>
    <w:rsid w:val="00717FF5"/>
    <w:rsid w:val="007203EF"/>
    <w:rsid w:val="00720585"/>
    <w:rsid w:val="007209E5"/>
    <w:rsid w:val="00722D0A"/>
    <w:rsid w:val="00726D9F"/>
    <w:rsid w:val="00727AFA"/>
    <w:rsid w:val="00733359"/>
    <w:rsid w:val="00734B6B"/>
    <w:rsid w:val="00741B60"/>
    <w:rsid w:val="00742FCD"/>
    <w:rsid w:val="00756984"/>
    <w:rsid w:val="00761A09"/>
    <w:rsid w:val="00764E2D"/>
    <w:rsid w:val="00766D11"/>
    <w:rsid w:val="00773AF6"/>
    <w:rsid w:val="00775B70"/>
    <w:rsid w:val="00781280"/>
    <w:rsid w:val="007863C7"/>
    <w:rsid w:val="00790865"/>
    <w:rsid w:val="0079439D"/>
    <w:rsid w:val="00795F71"/>
    <w:rsid w:val="007A0850"/>
    <w:rsid w:val="007A0C4F"/>
    <w:rsid w:val="007A17F9"/>
    <w:rsid w:val="007A35B3"/>
    <w:rsid w:val="007A3C6E"/>
    <w:rsid w:val="007A3E99"/>
    <w:rsid w:val="007A49A3"/>
    <w:rsid w:val="007B3399"/>
    <w:rsid w:val="007B427F"/>
    <w:rsid w:val="007B64B2"/>
    <w:rsid w:val="007C50F9"/>
    <w:rsid w:val="007D09E4"/>
    <w:rsid w:val="007E5F7A"/>
    <w:rsid w:val="007E6F6E"/>
    <w:rsid w:val="007E73AB"/>
    <w:rsid w:val="007F1830"/>
    <w:rsid w:val="007F4448"/>
    <w:rsid w:val="007F4BBC"/>
    <w:rsid w:val="0081341B"/>
    <w:rsid w:val="00816C11"/>
    <w:rsid w:val="00817472"/>
    <w:rsid w:val="00817AB8"/>
    <w:rsid w:val="008350F3"/>
    <w:rsid w:val="008361D7"/>
    <w:rsid w:val="00842F15"/>
    <w:rsid w:val="008459DE"/>
    <w:rsid w:val="00847799"/>
    <w:rsid w:val="00850429"/>
    <w:rsid w:val="008535FE"/>
    <w:rsid w:val="008574C8"/>
    <w:rsid w:val="00861973"/>
    <w:rsid w:val="00865FA0"/>
    <w:rsid w:val="00871444"/>
    <w:rsid w:val="008738C8"/>
    <w:rsid w:val="00883BE5"/>
    <w:rsid w:val="00891C2E"/>
    <w:rsid w:val="0089306B"/>
    <w:rsid w:val="00894C55"/>
    <w:rsid w:val="008A12D8"/>
    <w:rsid w:val="008A4F11"/>
    <w:rsid w:val="008A69BD"/>
    <w:rsid w:val="008A7717"/>
    <w:rsid w:val="008C2E45"/>
    <w:rsid w:val="008C2FB1"/>
    <w:rsid w:val="008C6834"/>
    <w:rsid w:val="008D00A0"/>
    <w:rsid w:val="008D0510"/>
    <w:rsid w:val="008D7434"/>
    <w:rsid w:val="008D7AE7"/>
    <w:rsid w:val="008E0378"/>
    <w:rsid w:val="008E103A"/>
    <w:rsid w:val="008E38F1"/>
    <w:rsid w:val="0090161C"/>
    <w:rsid w:val="00901837"/>
    <w:rsid w:val="00902C96"/>
    <w:rsid w:val="00905937"/>
    <w:rsid w:val="00907E3B"/>
    <w:rsid w:val="00907EF3"/>
    <w:rsid w:val="00914FD6"/>
    <w:rsid w:val="0091656F"/>
    <w:rsid w:val="009203A4"/>
    <w:rsid w:val="00923C58"/>
    <w:rsid w:val="00924612"/>
    <w:rsid w:val="009255E7"/>
    <w:rsid w:val="009321DA"/>
    <w:rsid w:val="00942871"/>
    <w:rsid w:val="009442C0"/>
    <w:rsid w:val="00944BF4"/>
    <w:rsid w:val="009478AD"/>
    <w:rsid w:val="009519F2"/>
    <w:rsid w:val="009555E7"/>
    <w:rsid w:val="009602BF"/>
    <w:rsid w:val="0096118F"/>
    <w:rsid w:val="0096466B"/>
    <w:rsid w:val="00966CD7"/>
    <w:rsid w:val="00974670"/>
    <w:rsid w:val="00976503"/>
    <w:rsid w:val="0098028E"/>
    <w:rsid w:val="0098686B"/>
    <w:rsid w:val="00990A0D"/>
    <w:rsid w:val="00990EF5"/>
    <w:rsid w:val="00993941"/>
    <w:rsid w:val="00993A1C"/>
    <w:rsid w:val="00993E11"/>
    <w:rsid w:val="00994C50"/>
    <w:rsid w:val="009A06A5"/>
    <w:rsid w:val="009A2654"/>
    <w:rsid w:val="009A390A"/>
    <w:rsid w:val="009A61F0"/>
    <w:rsid w:val="009B3E7D"/>
    <w:rsid w:val="009B674B"/>
    <w:rsid w:val="009C0785"/>
    <w:rsid w:val="009C616D"/>
    <w:rsid w:val="009C67DC"/>
    <w:rsid w:val="009D2C80"/>
    <w:rsid w:val="009F05B6"/>
    <w:rsid w:val="009F0B27"/>
    <w:rsid w:val="009F118F"/>
    <w:rsid w:val="009F2564"/>
    <w:rsid w:val="009F26C9"/>
    <w:rsid w:val="009F5F32"/>
    <w:rsid w:val="009F6169"/>
    <w:rsid w:val="00A01CEC"/>
    <w:rsid w:val="00A01F49"/>
    <w:rsid w:val="00A02C36"/>
    <w:rsid w:val="00A0788A"/>
    <w:rsid w:val="00A10FC3"/>
    <w:rsid w:val="00A11EBB"/>
    <w:rsid w:val="00A12E4F"/>
    <w:rsid w:val="00A13979"/>
    <w:rsid w:val="00A14842"/>
    <w:rsid w:val="00A15CBA"/>
    <w:rsid w:val="00A203F0"/>
    <w:rsid w:val="00A2719D"/>
    <w:rsid w:val="00A3194D"/>
    <w:rsid w:val="00A31C9B"/>
    <w:rsid w:val="00A417D2"/>
    <w:rsid w:val="00A5182A"/>
    <w:rsid w:val="00A527DA"/>
    <w:rsid w:val="00A52C07"/>
    <w:rsid w:val="00A579BD"/>
    <w:rsid w:val="00A6073E"/>
    <w:rsid w:val="00A60AF3"/>
    <w:rsid w:val="00A60C2F"/>
    <w:rsid w:val="00A6289F"/>
    <w:rsid w:val="00A6424C"/>
    <w:rsid w:val="00A72278"/>
    <w:rsid w:val="00A75680"/>
    <w:rsid w:val="00A75EB5"/>
    <w:rsid w:val="00A7625A"/>
    <w:rsid w:val="00A76AF6"/>
    <w:rsid w:val="00A818EA"/>
    <w:rsid w:val="00A832DD"/>
    <w:rsid w:val="00A8399C"/>
    <w:rsid w:val="00A84364"/>
    <w:rsid w:val="00A906DA"/>
    <w:rsid w:val="00A921D9"/>
    <w:rsid w:val="00A93A64"/>
    <w:rsid w:val="00A93DBC"/>
    <w:rsid w:val="00AA230A"/>
    <w:rsid w:val="00AB0EF9"/>
    <w:rsid w:val="00AB2942"/>
    <w:rsid w:val="00AB36BB"/>
    <w:rsid w:val="00AB4330"/>
    <w:rsid w:val="00AB4680"/>
    <w:rsid w:val="00AC3C05"/>
    <w:rsid w:val="00AD3164"/>
    <w:rsid w:val="00AD592A"/>
    <w:rsid w:val="00AE2BA9"/>
    <w:rsid w:val="00AE5567"/>
    <w:rsid w:val="00AF1239"/>
    <w:rsid w:val="00AF156E"/>
    <w:rsid w:val="00AF6F1E"/>
    <w:rsid w:val="00B16480"/>
    <w:rsid w:val="00B201B5"/>
    <w:rsid w:val="00B2165C"/>
    <w:rsid w:val="00B2215C"/>
    <w:rsid w:val="00B310C9"/>
    <w:rsid w:val="00B31CD8"/>
    <w:rsid w:val="00B417E3"/>
    <w:rsid w:val="00B44EBA"/>
    <w:rsid w:val="00B72FDE"/>
    <w:rsid w:val="00B75C55"/>
    <w:rsid w:val="00B81438"/>
    <w:rsid w:val="00B85EA0"/>
    <w:rsid w:val="00B93BD8"/>
    <w:rsid w:val="00B954EA"/>
    <w:rsid w:val="00B95918"/>
    <w:rsid w:val="00B95F37"/>
    <w:rsid w:val="00BA20AA"/>
    <w:rsid w:val="00BB3104"/>
    <w:rsid w:val="00BB3FDB"/>
    <w:rsid w:val="00BB53BC"/>
    <w:rsid w:val="00BC1FCD"/>
    <w:rsid w:val="00BC76BA"/>
    <w:rsid w:val="00BD32C8"/>
    <w:rsid w:val="00BD3DA7"/>
    <w:rsid w:val="00BD4425"/>
    <w:rsid w:val="00BD64DB"/>
    <w:rsid w:val="00BE0017"/>
    <w:rsid w:val="00BE3DA7"/>
    <w:rsid w:val="00BE6966"/>
    <w:rsid w:val="00BF111F"/>
    <w:rsid w:val="00C062C6"/>
    <w:rsid w:val="00C07F45"/>
    <w:rsid w:val="00C22366"/>
    <w:rsid w:val="00C25B49"/>
    <w:rsid w:val="00C25B70"/>
    <w:rsid w:val="00C3001A"/>
    <w:rsid w:val="00C33E2A"/>
    <w:rsid w:val="00C35185"/>
    <w:rsid w:val="00C361D0"/>
    <w:rsid w:val="00C42373"/>
    <w:rsid w:val="00C56C36"/>
    <w:rsid w:val="00C6147F"/>
    <w:rsid w:val="00C6177A"/>
    <w:rsid w:val="00C631E7"/>
    <w:rsid w:val="00C66574"/>
    <w:rsid w:val="00C738EB"/>
    <w:rsid w:val="00C740AE"/>
    <w:rsid w:val="00C80667"/>
    <w:rsid w:val="00C86C7E"/>
    <w:rsid w:val="00C87329"/>
    <w:rsid w:val="00C9325A"/>
    <w:rsid w:val="00C94716"/>
    <w:rsid w:val="00C96A20"/>
    <w:rsid w:val="00CA072B"/>
    <w:rsid w:val="00CA2DD7"/>
    <w:rsid w:val="00CA6689"/>
    <w:rsid w:val="00CA6F29"/>
    <w:rsid w:val="00CA713A"/>
    <w:rsid w:val="00CB2F30"/>
    <w:rsid w:val="00CB5851"/>
    <w:rsid w:val="00CB6389"/>
    <w:rsid w:val="00CB6392"/>
    <w:rsid w:val="00CC0D2D"/>
    <w:rsid w:val="00CC6769"/>
    <w:rsid w:val="00CD10FD"/>
    <w:rsid w:val="00CD1C1E"/>
    <w:rsid w:val="00CE5657"/>
    <w:rsid w:val="00CE6B11"/>
    <w:rsid w:val="00CF2617"/>
    <w:rsid w:val="00CF39F0"/>
    <w:rsid w:val="00D01747"/>
    <w:rsid w:val="00D02B82"/>
    <w:rsid w:val="00D06A00"/>
    <w:rsid w:val="00D133F8"/>
    <w:rsid w:val="00D13F47"/>
    <w:rsid w:val="00D14A3E"/>
    <w:rsid w:val="00D164ED"/>
    <w:rsid w:val="00D2445E"/>
    <w:rsid w:val="00D4204D"/>
    <w:rsid w:val="00D44E92"/>
    <w:rsid w:val="00D45F6D"/>
    <w:rsid w:val="00D5256F"/>
    <w:rsid w:val="00D53DF9"/>
    <w:rsid w:val="00D718F8"/>
    <w:rsid w:val="00D745E8"/>
    <w:rsid w:val="00D76056"/>
    <w:rsid w:val="00D80526"/>
    <w:rsid w:val="00D83A51"/>
    <w:rsid w:val="00D864A1"/>
    <w:rsid w:val="00DA1C7F"/>
    <w:rsid w:val="00DA7B04"/>
    <w:rsid w:val="00DC15DB"/>
    <w:rsid w:val="00DC3B2F"/>
    <w:rsid w:val="00DC4DA6"/>
    <w:rsid w:val="00DD0A4A"/>
    <w:rsid w:val="00DD6146"/>
    <w:rsid w:val="00DE0252"/>
    <w:rsid w:val="00DE0271"/>
    <w:rsid w:val="00DE1180"/>
    <w:rsid w:val="00DE18AB"/>
    <w:rsid w:val="00DF6C2B"/>
    <w:rsid w:val="00DF79FF"/>
    <w:rsid w:val="00E04F0A"/>
    <w:rsid w:val="00E12353"/>
    <w:rsid w:val="00E16E04"/>
    <w:rsid w:val="00E32464"/>
    <w:rsid w:val="00E35341"/>
    <w:rsid w:val="00E3716B"/>
    <w:rsid w:val="00E4024A"/>
    <w:rsid w:val="00E42DF1"/>
    <w:rsid w:val="00E439BA"/>
    <w:rsid w:val="00E47355"/>
    <w:rsid w:val="00E47940"/>
    <w:rsid w:val="00E5323B"/>
    <w:rsid w:val="00E538BC"/>
    <w:rsid w:val="00E62897"/>
    <w:rsid w:val="00E633BB"/>
    <w:rsid w:val="00E70F4B"/>
    <w:rsid w:val="00E740A6"/>
    <w:rsid w:val="00E86C89"/>
    <w:rsid w:val="00E8749E"/>
    <w:rsid w:val="00E90C01"/>
    <w:rsid w:val="00E92052"/>
    <w:rsid w:val="00E9698C"/>
    <w:rsid w:val="00EA3497"/>
    <w:rsid w:val="00EA486E"/>
    <w:rsid w:val="00EA52D6"/>
    <w:rsid w:val="00EB31B5"/>
    <w:rsid w:val="00EB6D41"/>
    <w:rsid w:val="00EC4403"/>
    <w:rsid w:val="00ED115C"/>
    <w:rsid w:val="00ED2DBE"/>
    <w:rsid w:val="00ED3EEB"/>
    <w:rsid w:val="00ED64F6"/>
    <w:rsid w:val="00EE67FC"/>
    <w:rsid w:val="00EF77E7"/>
    <w:rsid w:val="00EF79EF"/>
    <w:rsid w:val="00F00B14"/>
    <w:rsid w:val="00F017BD"/>
    <w:rsid w:val="00F044A3"/>
    <w:rsid w:val="00F04B25"/>
    <w:rsid w:val="00F04DD6"/>
    <w:rsid w:val="00F05A58"/>
    <w:rsid w:val="00F22828"/>
    <w:rsid w:val="00F23351"/>
    <w:rsid w:val="00F30B5C"/>
    <w:rsid w:val="00F312A3"/>
    <w:rsid w:val="00F31B8D"/>
    <w:rsid w:val="00F4133C"/>
    <w:rsid w:val="00F45C57"/>
    <w:rsid w:val="00F47545"/>
    <w:rsid w:val="00F47F10"/>
    <w:rsid w:val="00F54D29"/>
    <w:rsid w:val="00F57B0C"/>
    <w:rsid w:val="00F65485"/>
    <w:rsid w:val="00F679E2"/>
    <w:rsid w:val="00F73DFE"/>
    <w:rsid w:val="00F76AFD"/>
    <w:rsid w:val="00F820D7"/>
    <w:rsid w:val="00F87132"/>
    <w:rsid w:val="00FA02C0"/>
    <w:rsid w:val="00FA0730"/>
    <w:rsid w:val="00FA1C59"/>
    <w:rsid w:val="00FA26EE"/>
    <w:rsid w:val="00FA2EB8"/>
    <w:rsid w:val="00FA74F3"/>
    <w:rsid w:val="00FA7B15"/>
    <w:rsid w:val="00FB0CA7"/>
    <w:rsid w:val="00FB0D24"/>
    <w:rsid w:val="00FB303E"/>
    <w:rsid w:val="00FC5995"/>
    <w:rsid w:val="00FD26C3"/>
    <w:rsid w:val="00FE0D27"/>
    <w:rsid w:val="00FE0EA1"/>
    <w:rsid w:val="00FF26D5"/>
    <w:rsid w:val="00FF448D"/>
    <w:rsid w:val="00FF571F"/>
    <w:rsid w:val="00FF5D4F"/>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FD1BC62"/>
  <w15:docId w15:val="{6C8D4404-997C-4234-8061-061A6FB2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06785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067850"/>
    <w:pPr>
      <w:spacing w:after="200" w:line="276" w:lineRule="auto"/>
      <w:ind w:left="720"/>
      <w:contextualSpacing/>
    </w:pPr>
    <w:rPr>
      <w:rFonts w:ascii="Calibri" w:eastAsia="Calibri" w:hAnsi="Calibri" w:cs="Times New Roman"/>
      <w:lang w:val="en-US"/>
    </w:rPr>
  </w:style>
  <w:style w:type="paragraph" w:customStyle="1" w:styleId="naisc">
    <w:name w:val="naisc"/>
    <w:basedOn w:val="Normal"/>
    <w:rsid w:val="005156D9"/>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06316"/>
    <w:rPr>
      <w:sz w:val="16"/>
      <w:szCs w:val="16"/>
    </w:rPr>
  </w:style>
  <w:style w:type="paragraph" w:styleId="CommentText">
    <w:name w:val="annotation text"/>
    <w:basedOn w:val="Normal"/>
    <w:link w:val="CommentTextChar"/>
    <w:uiPriority w:val="99"/>
    <w:semiHidden/>
    <w:unhideWhenUsed/>
    <w:rsid w:val="00206316"/>
    <w:pPr>
      <w:spacing w:line="240" w:lineRule="auto"/>
    </w:pPr>
    <w:rPr>
      <w:sz w:val="20"/>
      <w:szCs w:val="20"/>
    </w:rPr>
  </w:style>
  <w:style w:type="character" w:customStyle="1" w:styleId="CommentTextChar">
    <w:name w:val="Comment Text Char"/>
    <w:basedOn w:val="DefaultParagraphFont"/>
    <w:link w:val="CommentText"/>
    <w:uiPriority w:val="99"/>
    <w:semiHidden/>
    <w:rsid w:val="00206316"/>
    <w:rPr>
      <w:sz w:val="20"/>
      <w:szCs w:val="20"/>
    </w:rPr>
  </w:style>
  <w:style w:type="paragraph" w:styleId="CommentSubject">
    <w:name w:val="annotation subject"/>
    <w:basedOn w:val="CommentText"/>
    <w:next w:val="CommentText"/>
    <w:link w:val="CommentSubjectChar"/>
    <w:uiPriority w:val="99"/>
    <w:semiHidden/>
    <w:unhideWhenUsed/>
    <w:rsid w:val="00206316"/>
    <w:rPr>
      <w:b/>
      <w:bCs/>
    </w:rPr>
  </w:style>
  <w:style w:type="character" w:customStyle="1" w:styleId="CommentSubjectChar">
    <w:name w:val="Comment Subject Char"/>
    <w:basedOn w:val="CommentTextChar"/>
    <w:link w:val="CommentSubject"/>
    <w:uiPriority w:val="99"/>
    <w:semiHidden/>
    <w:rsid w:val="00206316"/>
    <w:rPr>
      <w:b/>
      <w:bCs/>
      <w:sz w:val="20"/>
      <w:szCs w:val="20"/>
    </w:rPr>
  </w:style>
  <w:style w:type="character" w:customStyle="1" w:styleId="UnresolvedMention1">
    <w:name w:val="Unresolved Mention1"/>
    <w:basedOn w:val="DefaultParagraphFont"/>
    <w:uiPriority w:val="99"/>
    <w:semiHidden/>
    <w:unhideWhenUsed/>
    <w:rsid w:val="00FA7B15"/>
    <w:rPr>
      <w:color w:val="808080"/>
      <w:shd w:val="clear" w:color="auto" w:fill="E6E6E6"/>
    </w:rPr>
  </w:style>
  <w:style w:type="table" w:styleId="TableGrid">
    <w:name w:val="Table Grid"/>
    <w:basedOn w:val="TableNormal"/>
    <w:uiPriority w:val="39"/>
    <w:rsid w:val="000A3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9F2564"/>
    <w:pPr>
      <w:spacing w:before="75" w:after="75" w:line="240" w:lineRule="auto"/>
    </w:pPr>
    <w:rPr>
      <w:rFonts w:ascii="Times New Roman" w:eastAsia="Calibri" w:hAnsi="Times New Roman" w:cs="Times New Roman"/>
      <w:sz w:val="24"/>
      <w:szCs w:val="24"/>
      <w:lang w:eastAsia="lv-LV"/>
    </w:rPr>
  </w:style>
  <w:style w:type="character" w:customStyle="1" w:styleId="qowt-font1-timesnewroman">
    <w:name w:val="qowt-font1-timesnewroman"/>
    <w:basedOn w:val="DefaultParagraphFont"/>
    <w:rsid w:val="00A5182A"/>
  </w:style>
  <w:style w:type="paragraph" w:customStyle="1" w:styleId="xmsolistparagraph">
    <w:name w:val="x_msolistparagraph"/>
    <w:basedOn w:val="Normal"/>
    <w:rsid w:val="00212E1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46677">
      <w:bodyDiv w:val="1"/>
      <w:marLeft w:val="0"/>
      <w:marRight w:val="0"/>
      <w:marTop w:val="0"/>
      <w:marBottom w:val="0"/>
      <w:divBdr>
        <w:top w:val="none" w:sz="0" w:space="0" w:color="auto"/>
        <w:left w:val="none" w:sz="0" w:space="0" w:color="auto"/>
        <w:bottom w:val="none" w:sz="0" w:space="0" w:color="auto"/>
        <w:right w:val="none" w:sz="0" w:space="0" w:color="auto"/>
      </w:divBdr>
      <w:divsChild>
        <w:div w:id="784227853">
          <w:marLeft w:val="0"/>
          <w:marRight w:val="0"/>
          <w:marTop w:val="0"/>
          <w:marBottom w:val="0"/>
          <w:divBdr>
            <w:top w:val="none" w:sz="0" w:space="0" w:color="auto"/>
            <w:left w:val="none" w:sz="0" w:space="0" w:color="auto"/>
            <w:bottom w:val="none" w:sz="0" w:space="0" w:color="auto"/>
            <w:right w:val="none" w:sz="0" w:space="0" w:color="auto"/>
          </w:divBdr>
        </w:div>
        <w:div w:id="923299431">
          <w:marLeft w:val="0"/>
          <w:marRight w:val="0"/>
          <w:marTop w:val="0"/>
          <w:marBottom w:val="0"/>
          <w:divBdr>
            <w:top w:val="none" w:sz="0" w:space="0" w:color="auto"/>
            <w:left w:val="none" w:sz="0" w:space="0" w:color="auto"/>
            <w:bottom w:val="none" w:sz="0" w:space="0" w:color="auto"/>
            <w:right w:val="none" w:sz="0" w:space="0" w:color="auto"/>
          </w:divBdr>
        </w:div>
      </w:divsChild>
    </w:div>
    <w:div w:id="531453666">
      <w:bodyDiv w:val="1"/>
      <w:marLeft w:val="0"/>
      <w:marRight w:val="0"/>
      <w:marTop w:val="0"/>
      <w:marBottom w:val="0"/>
      <w:divBdr>
        <w:top w:val="none" w:sz="0" w:space="0" w:color="auto"/>
        <w:left w:val="none" w:sz="0" w:space="0" w:color="auto"/>
        <w:bottom w:val="none" w:sz="0" w:space="0" w:color="auto"/>
        <w:right w:val="none" w:sz="0" w:space="0" w:color="auto"/>
      </w:divBdr>
      <w:divsChild>
        <w:div w:id="2056537289">
          <w:marLeft w:val="0"/>
          <w:marRight w:val="0"/>
          <w:marTop w:val="0"/>
          <w:marBottom w:val="0"/>
          <w:divBdr>
            <w:top w:val="none" w:sz="0" w:space="0" w:color="auto"/>
            <w:left w:val="none" w:sz="0" w:space="0" w:color="auto"/>
            <w:bottom w:val="none" w:sz="0" w:space="0" w:color="auto"/>
            <w:right w:val="none" w:sz="0" w:space="0" w:color="auto"/>
          </w:divBdr>
        </w:div>
        <w:div w:id="1602182362">
          <w:marLeft w:val="0"/>
          <w:marRight w:val="0"/>
          <w:marTop w:val="0"/>
          <w:marBottom w:val="0"/>
          <w:divBdr>
            <w:top w:val="none" w:sz="0" w:space="0" w:color="auto"/>
            <w:left w:val="none" w:sz="0" w:space="0" w:color="auto"/>
            <w:bottom w:val="none" w:sz="0" w:space="0" w:color="auto"/>
            <w:right w:val="none" w:sz="0" w:space="0" w:color="auto"/>
          </w:divBdr>
        </w:div>
        <w:div w:id="1223910033">
          <w:marLeft w:val="0"/>
          <w:marRight w:val="0"/>
          <w:marTop w:val="0"/>
          <w:marBottom w:val="0"/>
          <w:divBdr>
            <w:top w:val="none" w:sz="0" w:space="0" w:color="auto"/>
            <w:left w:val="none" w:sz="0" w:space="0" w:color="auto"/>
            <w:bottom w:val="none" w:sz="0" w:space="0" w:color="auto"/>
            <w:right w:val="none" w:sz="0" w:space="0" w:color="auto"/>
          </w:divBdr>
        </w:div>
        <w:div w:id="2024242353">
          <w:marLeft w:val="0"/>
          <w:marRight w:val="0"/>
          <w:marTop w:val="0"/>
          <w:marBottom w:val="0"/>
          <w:divBdr>
            <w:top w:val="none" w:sz="0" w:space="0" w:color="auto"/>
            <w:left w:val="none" w:sz="0" w:space="0" w:color="auto"/>
            <w:bottom w:val="none" w:sz="0" w:space="0" w:color="auto"/>
            <w:right w:val="none" w:sz="0" w:space="0" w:color="auto"/>
          </w:divBdr>
        </w:div>
        <w:div w:id="1372454946">
          <w:marLeft w:val="0"/>
          <w:marRight w:val="0"/>
          <w:marTop w:val="0"/>
          <w:marBottom w:val="0"/>
          <w:divBdr>
            <w:top w:val="none" w:sz="0" w:space="0" w:color="auto"/>
            <w:left w:val="none" w:sz="0" w:space="0" w:color="auto"/>
            <w:bottom w:val="none" w:sz="0" w:space="0" w:color="auto"/>
            <w:right w:val="none" w:sz="0" w:space="0" w:color="auto"/>
          </w:divBdr>
        </w:div>
        <w:div w:id="533543052">
          <w:marLeft w:val="0"/>
          <w:marRight w:val="0"/>
          <w:marTop w:val="0"/>
          <w:marBottom w:val="0"/>
          <w:divBdr>
            <w:top w:val="none" w:sz="0" w:space="0" w:color="auto"/>
            <w:left w:val="none" w:sz="0" w:space="0" w:color="auto"/>
            <w:bottom w:val="none" w:sz="0" w:space="0" w:color="auto"/>
            <w:right w:val="none" w:sz="0" w:space="0" w:color="auto"/>
          </w:divBdr>
        </w:div>
        <w:div w:id="2005888225">
          <w:marLeft w:val="0"/>
          <w:marRight w:val="0"/>
          <w:marTop w:val="0"/>
          <w:marBottom w:val="0"/>
          <w:divBdr>
            <w:top w:val="none" w:sz="0" w:space="0" w:color="auto"/>
            <w:left w:val="none" w:sz="0" w:space="0" w:color="auto"/>
            <w:bottom w:val="none" w:sz="0" w:space="0" w:color="auto"/>
            <w:right w:val="none" w:sz="0" w:space="0" w:color="auto"/>
          </w:divBdr>
        </w:div>
      </w:divsChild>
    </w:div>
    <w:div w:id="1036128052">
      <w:bodyDiv w:val="1"/>
      <w:marLeft w:val="0"/>
      <w:marRight w:val="0"/>
      <w:marTop w:val="0"/>
      <w:marBottom w:val="0"/>
      <w:divBdr>
        <w:top w:val="none" w:sz="0" w:space="0" w:color="auto"/>
        <w:left w:val="none" w:sz="0" w:space="0" w:color="auto"/>
        <w:bottom w:val="none" w:sz="0" w:space="0" w:color="auto"/>
        <w:right w:val="none" w:sz="0" w:space="0" w:color="auto"/>
      </w:divBdr>
      <w:divsChild>
        <w:div w:id="982930695">
          <w:marLeft w:val="0"/>
          <w:marRight w:val="0"/>
          <w:marTop w:val="0"/>
          <w:marBottom w:val="0"/>
          <w:divBdr>
            <w:top w:val="none" w:sz="0" w:space="0" w:color="auto"/>
            <w:left w:val="none" w:sz="0" w:space="0" w:color="auto"/>
            <w:bottom w:val="none" w:sz="0" w:space="0" w:color="auto"/>
            <w:right w:val="none" w:sz="0" w:space="0" w:color="auto"/>
          </w:divBdr>
        </w:div>
        <w:div w:id="216742420">
          <w:marLeft w:val="0"/>
          <w:marRight w:val="0"/>
          <w:marTop w:val="0"/>
          <w:marBottom w:val="0"/>
          <w:divBdr>
            <w:top w:val="none" w:sz="0" w:space="0" w:color="auto"/>
            <w:left w:val="none" w:sz="0" w:space="0" w:color="auto"/>
            <w:bottom w:val="none" w:sz="0" w:space="0" w:color="auto"/>
            <w:right w:val="none" w:sz="0" w:space="0" w:color="auto"/>
          </w:divBdr>
        </w:div>
        <w:div w:id="686635804">
          <w:marLeft w:val="0"/>
          <w:marRight w:val="0"/>
          <w:marTop w:val="0"/>
          <w:marBottom w:val="0"/>
          <w:divBdr>
            <w:top w:val="none" w:sz="0" w:space="0" w:color="auto"/>
            <w:left w:val="none" w:sz="0" w:space="0" w:color="auto"/>
            <w:bottom w:val="none" w:sz="0" w:space="0" w:color="auto"/>
            <w:right w:val="none" w:sz="0" w:space="0" w:color="auto"/>
          </w:divBdr>
        </w:div>
        <w:div w:id="1093168493">
          <w:marLeft w:val="0"/>
          <w:marRight w:val="0"/>
          <w:marTop w:val="0"/>
          <w:marBottom w:val="0"/>
          <w:divBdr>
            <w:top w:val="none" w:sz="0" w:space="0" w:color="auto"/>
            <w:left w:val="none" w:sz="0" w:space="0" w:color="auto"/>
            <w:bottom w:val="none" w:sz="0" w:space="0" w:color="auto"/>
            <w:right w:val="none" w:sz="0" w:space="0" w:color="auto"/>
          </w:divBdr>
        </w:div>
        <w:div w:id="299118444">
          <w:marLeft w:val="0"/>
          <w:marRight w:val="0"/>
          <w:marTop w:val="0"/>
          <w:marBottom w:val="0"/>
          <w:divBdr>
            <w:top w:val="none" w:sz="0" w:space="0" w:color="auto"/>
            <w:left w:val="none" w:sz="0" w:space="0" w:color="auto"/>
            <w:bottom w:val="none" w:sz="0" w:space="0" w:color="auto"/>
            <w:right w:val="none" w:sz="0" w:space="0" w:color="auto"/>
          </w:divBdr>
        </w:div>
        <w:div w:id="1296838505">
          <w:marLeft w:val="0"/>
          <w:marRight w:val="0"/>
          <w:marTop w:val="0"/>
          <w:marBottom w:val="0"/>
          <w:divBdr>
            <w:top w:val="none" w:sz="0" w:space="0" w:color="auto"/>
            <w:left w:val="none" w:sz="0" w:space="0" w:color="auto"/>
            <w:bottom w:val="none" w:sz="0" w:space="0" w:color="auto"/>
            <w:right w:val="none" w:sz="0" w:space="0" w:color="auto"/>
          </w:divBdr>
        </w:div>
        <w:div w:id="1445999868">
          <w:marLeft w:val="0"/>
          <w:marRight w:val="0"/>
          <w:marTop w:val="0"/>
          <w:marBottom w:val="0"/>
          <w:divBdr>
            <w:top w:val="none" w:sz="0" w:space="0" w:color="auto"/>
            <w:left w:val="none" w:sz="0" w:space="0" w:color="auto"/>
            <w:bottom w:val="none" w:sz="0" w:space="0" w:color="auto"/>
            <w:right w:val="none" w:sz="0" w:space="0" w:color="auto"/>
          </w:divBdr>
        </w:div>
      </w:divsChild>
    </w:div>
    <w:div w:id="1207835087">
      <w:bodyDiv w:val="1"/>
      <w:marLeft w:val="0"/>
      <w:marRight w:val="0"/>
      <w:marTop w:val="0"/>
      <w:marBottom w:val="0"/>
      <w:divBdr>
        <w:top w:val="none" w:sz="0" w:space="0" w:color="auto"/>
        <w:left w:val="none" w:sz="0" w:space="0" w:color="auto"/>
        <w:bottom w:val="none" w:sz="0" w:space="0" w:color="auto"/>
        <w:right w:val="none" w:sz="0" w:space="0" w:color="auto"/>
      </w:divBdr>
      <w:divsChild>
        <w:div w:id="655956890">
          <w:marLeft w:val="0"/>
          <w:marRight w:val="0"/>
          <w:marTop w:val="0"/>
          <w:marBottom w:val="0"/>
          <w:divBdr>
            <w:top w:val="none" w:sz="0" w:space="0" w:color="auto"/>
            <w:left w:val="none" w:sz="0" w:space="0" w:color="auto"/>
            <w:bottom w:val="none" w:sz="0" w:space="0" w:color="auto"/>
            <w:right w:val="none" w:sz="0" w:space="0" w:color="auto"/>
          </w:divBdr>
        </w:div>
        <w:div w:id="1973710951">
          <w:marLeft w:val="0"/>
          <w:marRight w:val="0"/>
          <w:marTop w:val="0"/>
          <w:marBottom w:val="0"/>
          <w:divBdr>
            <w:top w:val="none" w:sz="0" w:space="0" w:color="auto"/>
            <w:left w:val="none" w:sz="0" w:space="0" w:color="auto"/>
            <w:bottom w:val="none" w:sz="0" w:space="0" w:color="auto"/>
            <w:right w:val="none" w:sz="0" w:space="0" w:color="auto"/>
          </w:divBdr>
        </w:div>
      </w:divsChild>
    </w:div>
    <w:div w:id="1402411544">
      <w:bodyDiv w:val="1"/>
      <w:marLeft w:val="0"/>
      <w:marRight w:val="0"/>
      <w:marTop w:val="0"/>
      <w:marBottom w:val="0"/>
      <w:divBdr>
        <w:top w:val="none" w:sz="0" w:space="0" w:color="auto"/>
        <w:left w:val="none" w:sz="0" w:space="0" w:color="auto"/>
        <w:bottom w:val="none" w:sz="0" w:space="0" w:color="auto"/>
        <w:right w:val="none" w:sz="0" w:space="0" w:color="auto"/>
      </w:divBdr>
    </w:div>
    <w:div w:id="1526019026">
      <w:bodyDiv w:val="1"/>
      <w:marLeft w:val="0"/>
      <w:marRight w:val="0"/>
      <w:marTop w:val="0"/>
      <w:marBottom w:val="0"/>
      <w:divBdr>
        <w:top w:val="none" w:sz="0" w:space="0" w:color="auto"/>
        <w:left w:val="none" w:sz="0" w:space="0" w:color="auto"/>
        <w:bottom w:val="none" w:sz="0" w:space="0" w:color="auto"/>
        <w:right w:val="none" w:sz="0" w:space="0" w:color="auto"/>
      </w:divBdr>
    </w:div>
    <w:div w:id="2045861551">
      <w:bodyDiv w:val="1"/>
      <w:marLeft w:val="0"/>
      <w:marRight w:val="0"/>
      <w:marTop w:val="0"/>
      <w:marBottom w:val="0"/>
      <w:divBdr>
        <w:top w:val="none" w:sz="0" w:space="0" w:color="auto"/>
        <w:left w:val="none" w:sz="0" w:space="0" w:color="auto"/>
        <w:bottom w:val="none" w:sz="0" w:space="0" w:color="auto"/>
        <w:right w:val="none" w:sz="0" w:space="0" w:color="auto"/>
      </w:divBdr>
      <w:divsChild>
        <w:div w:id="160780880">
          <w:marLeft w:val="0"/>
          <w:marRight w:val="0"/>
          <w:marTop w:val="0"/>
          <w:marBottom w:val="0"/>
          <w:divBdr>
            <w:top w:val="none" w:sz="0" w:space="0" w:color="auto"/>
            <w:left w:val="none" w:sz="0" w:space="0" w:color="auto"/>
            <w:bottom w:val="none" w:sz="0" w:space="0" w:color="auto"/>
            <w:right w:val="none" w:sz="0" w:space="0" w:color="auto"/>
          </w:divBdr>
        </w:div>
        <w:div w:id="1669478238">
          <w:marLeft w:val="0"/>
          <w:marRight w:val="0"/>
          <w:marTop w:val="0"/>
          <w:marBottom w:val="0"/>
          <w:divBdr>
            <w:top w:val="none" w:sz="0" w:space="0" w:color="auto"/>
            <w:left w:val="none" w:sz="0" w:space="0" w:color="auto"/>
            <w:bottom w:val="none" w:sz="0" w:space="0" w:color="auto"/>
            <w:right w:val="none" w:sz="0" w:space="0" w:color="auto"/>
          </w:divBdr>
        </w:div>
        <w:div w:id="444809035">
          <w:marLeft w:val="1080"/>
          <w:marRight w:val="0"/>
          <w:marTop w:val="0"/>
          <w:marBottom w:val="0"/>
          <w:divBdr>
            <w:top w:val="none" w:sz="0" w:space="0" w:color="auto"/>
            <w:left w:val="none" w:sz="0" w:space="0" w:color="auto"/>
            <w:bottom w:val="none" w:sz="0" w:space="0" w:color="auto"/>
            <w:right w:val="none" w:sz="0" w:space="0" w:color="auto"/>
          </w:divBdr>
        </w:div>
        <w:div w:id="943614945">
          <w:marLeft w:val="1080"/>
          <w:marRight w:val="0"/>
          <w:marTop w:val="0"/>
          <w:marBottom w:val="0"/>
          <w:divBdr>
            <w:top w:val="none" w:sz="0" w:space="0" w:color="auto"/>
            <w:left w:val="none" w:sz="0" w:space="0" w:color="auto"/>
            <w:bottom w:val="none" w:sz="0" w:space="0" w:color="auto"/>
            <w:right w:val="none" w:sz="0" w:space="0" w:color="auto"/>
          </w:divBdr>
        </w:div>
        <w:div w:id="1323006833">
          <w:marLeft w:val="0"/>
          <w:marRight w:val="0"/>
          <w:marTop w:val="0"/>
          <w:marBottom w:val="0"/>
          <w:divBdr>
            <w:top w:val="none" w:sz="0" w:space="0" w:color="auto"/>
            <w:left w:val="none" w:sz="0" w:space="0" w:color="auto"/>
            <w:bottom w:val="none" w:sz="0" w:space="0" w:color="auto"/>
            <w:right w:val="none" w:sz="0" w:space="0" w:color="auto"/>
          </w:divBdr>
        </w:div>
        <w:div w:id="1070687555">
          <w:marLeft w:val="0"/>
          <w:marRight w:val="0"/>
          <w:marTop w:val="0"/>
          <w:marBottom w:val="0"/>
          <w:divBdr>
            <w:top w:val="none" w:sz="0" w:space="0" w:color="auto"/>
            <w:left w:val="none" w:sz="0" w:space="0" w:color="auto"/>
            <w:bottom w:val="none" w:sz="0" w:space="0" w:color="auto"/>
            <w:right w:val="none" w:sz="0" w:space="0" w:color="auto"/>
          </w:divBdr>
        </w:div>
        <w:div w:id="1477839048">
          <w:marLeft w:val="0"/>
          <w:marRight w:val="0"/>
          <w:marTop w:val="0"/>
          <w:marBottom w:val="0"/>
          <w:divBdr>
            <w:top w:val="none" w:sz="0" w:space="0" w:color="auto"/>
            <w:left w:val="none" w:sz="0" w:space="0" w:color="auto"/>
            <w:bottom w:val="none" w:sz="0" w:space="0" w:color="auto"/>
            <w:right w:val="none" w:sz="0" w:space="0" w:color="auto"/>
          </w:divBdr>
        </w:div>
        <w:div w:id="1932615596">
          <w:marLeft w:val="0"/>
          <w:marRight w:val="0"/>
          <w:marTop w:val="0"/>
          <w:marBottom w:val="0"/>
          <w:divBdr>
            <w:top w:val="none" w:sz="0" w:space="0" w:color="auto"/>
            <w:left w:val="none" w:sz="0" w:space="0" w:color="auto"/>
            <w:bottom w:val="none" w:sz="0" w:space="0" w:color="auto"/>
            <w:right w:val="none" w:sz="0" w:space="0" w:color="auto"/>
          </w:divBdr>
        </w:div>
        <w:div w:id="1980113398">
          <w:marLeft w:val="0"/>
          <w:marRight w:val="0"/>
          <w:marTop w:val="0"/>
          <w:marBottom w:val="0"/>
          <w:divBdr>
            <w:top w:val="none" w:sz="0" w:space="0" w:color="auto"/>
            <w:left w:val="none" w:sz="0" w:space="0" w:color="auto"/>
            <w:bottom w:val="none" w:sz="0" w:space="0" w:color="auto"/>
            <w:right w:val="none" w:sz="0" w:space="0" w:color="auto"/>
          </w:divBdr>
        </w:div>
        <w:div w:id="1860200850">
          <w:marLeft w:val="0"/>
          <w:marRight w:val="0"/>
          <w:marTop w:val="0"/>
          <w:marBottom w:val="0"/>
          <w:divBdr>
            <w:top w:val="none" w:sz="0" w:space="0" w:color="auto"/>
            <w:left w:val="none" w:sz="0" w:space="0" w:color="auto"/>
            <w:bottom w:val="none" w:sz="0" w:space="0" w:color="auto"/>
            <w:right w:val="none" w:sz="0" w:space="0" w:color="auto"/>
          </w:divBdr>
        </w:div>
        <w:div w:id="847405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606-noteikumi-par-tiesu-ekspertizu-iestazu-sarakstu-un-tiesu-ekspertu-specialitasu-klasifikat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8057-likums-par-budzetu-un-finansu-vadib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DE8A-ED23-4D08-8437-7047946B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8539</Words>
  <Characters>4868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2018. gada 21. novembra noteikumos Nr.712 „Neatliekamās medicīniskās palīdzības dienesta maksas pakalpojumu cenrādis”” projekta sākotnējās ietekmes novērtējuma ziņojums (anotācija)</vt:lpstr>
    </vt:vector>
  </TitlesOfParts>
  <Company>Neatliekamās medicīniskās palīdzības dienests, Veselības ministrija</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2018. gada 21. novembra noteikumos Nr.712 „Neatliekamās medicīniskās palīdzības dienesta maksas pakalpojumu cenrādis”” projekta sākotnējās ietekmes novērtējuma ziņojums (anotācija)</dc:title>
  <dc:subject>Anotācija</dc:subject>
  <dc:creator>Lāsma Zandberga, Dzintra Saliniece</dc:creator>
  <dc:description>67876041, Lasma.Zandberga@vm.gov.lv_x000d_
67337037, Dzintra.Saliniece@nmpd.gov.lv</dc:description>
  <cp:lastModifiedBy>Anita Jurševica</cp:lastModifiedBy>
  <cp:revision>3</cp:revision>
  <cp:lastPrinted>2019-09-04T06:50:00Z</cp:lastPrinted>
  <dcterms:created xsi:type="dcterms:W3CDTF">2019-12-04T08:15:00Z</dcterms:created>
  <dcterms:modified xsi:type="dcterms:W3CDTF">2019-12-04T13:55:00Z</dcterms:modified>
</cp:coreProperties>
</file>