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96A" w:rsidRPr="00456D05" w:rsidRDefault="006572D7" w:rsidP="00D062A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456D05">
        <w:rPr>
          <w:rFonts w:ascii="Times New Roman" w:eastAsia="Times New Roman" w:hAnsi="Times New Roman" w:cs="Times New Roman"/>
          <w:b/>
          <w:bCs/>
          <w:sz w:val="24"/>
          <w:szCs w:val="24"/>
          <w:lang w:eastAsia="lv-LV"/>
        </w:rPr>
        <w:t xml:space="preserve">Ministru kabineta noteikumu </w:t>
      </w:r>
    </w:p>
    <w:p w:rsidR="00894C55" w:rsidRPr="00456D05" w:rsidRDefault="006572D7" w:rsidP="00D062A9">
      <w:pPr>
        <w:shd w:val="clear" w:color="auto" w:fill="FFFFFF"/>
        <w:spacing w:after="0" w:line="240" w:lineRule="auto"/>
        <w:jc w:val="center"/>
        <w:rPr>
          <w:rFonts w:ascii="Times New Roman" w:eastAsia="Times New Roman" w:hAnsi="Times New Roman" w:cs="Times New Roman"/>
          <w:b/>
          <w:bCs/>
          <w:sz w:val="24"/>
          <w:szCs w:val="24"/>
          <w:lang w:eastAsia="lv-LV"/>
        </w:rPr>
      </w:pPr>
      <w:r w:rsidRPr="00456D05">
        <w:rPr>
          <w:rFonts w:ascii="Times New Roman" w:eastAsia="Times New Roman" w:hAnsi="Times New Roman" w:cs="Times New Roman"/>
          <w:b/>
          <w:bCs/>
          <w:sz w:val="24"/>
          <w:szCs w:val="24"/>
          <w:lang w:eastAsia="lv-LV"/>
        </w:rPr>
        <w:t>„</w:t>
      </w:r>
      <w:r w:rsidR="00526C51" w:rsidRPr="00456D05">
        <w:rPr>
          <w:rFonts w:ascii="Times New Roman" w:eastAsia="Times New Roman" w:hAnsi="Times New Roman" w:cs="Times New Roman"/>
          <w:b/>
          <w:bCs/>
          <w:sz w:val="24"/>
          <w:szCs w:val="24"/>
          <w:lang w:eastAsia="lv-LV"/>
        </w:rPr>
        <w:t>Grozījum</w:t>
      </w:r>
      <w:r w:rsidR="00CA2FC1" w:rsidRPr="00456D05">
        <w:rPr>
          <w:rFonts w:ascii="Times New Roman" w:eastAsia="Times New Roman" w:hAnsi="Times New Roman" w:cs="Times New Roman"/>
          <w:b/>
          <w:bCs/>
          <w:sz w:val="24"/>
          <w:szCs w:val="24"/>
          <w:lang w:eastAsia="lv-LV"/>
        </w:rPr>
        <w:t>i</w:t>
      </w:r>
      <w:r w:rsidR="00526C51" w:rsidRPr="00456D05">
        <w:rPr>
          <w:rFonts w:ascii="Times New Roman" w:eastAsia="Times New Roman" w:hAnsi="Times New Roman" w:cs="Times New Roman"/>
          <w:b/>
          <w:bCs/>
          <w:sz w:val="24"/>
          <w:szCs w:val="24"/>
          <w:lang w:eastAsia="lv-LV"/>
        </w:rPr>
        <w:t xml:space="preserve"> Ministru kabineta 2011.</w:t>
      </w:r>
      <w:r w:rsidR="001832BC" w:rsidRPr="00456D05">
        <w:rPr>
          <w:rFonts w:ascii="Times New Roman" w:eastAsia="Times New Roman" w:hAnsi="Times New Roman" w:cs="Times New Roman"/>
          <w:b/>
          <w:bCs/>
          <w:sz w:val="24"/>
          <w:szCs w:val="24"/>
          <w:lang w:eastAsia="lv-LV"/>
        </w:rPr>
        <w:t> </w:t>
      </w:r>
      <w:r w:rsidR="00526C51" w:rsidRPr="00456D05">
        <w:rPr>
          <w:rFonts w:ascii="Times New Roman" w:eastAsia="Times New Roman" w:hAnsi="Times New Roman" w:cs="Times New Roman"/>
          <w:b/>
          <w:bCs/>
          <w:sz w:val="24"/>
          <w:szCs w:val="24"/>
          <w:lang w:eastAsia="lv-LV"/>
        </w:rPr>
        <w:t>gada 30.</w:t>
      </w:r>
      <w:r w:rsidR="001832BC" w:rsidRPr="00456D05">
        <w:rPr>
          <w:rFonts w:ascii="Times New Roman" w:eastAsia="Times New Roman" w:hAnsi="Times New Roman" w:cs="Times New Roman"/>
          <w:b/>
          <w:bCs/>
          <w:sz w:val="24"/>
          <w:szCs w:val="24"/>
          <w:lang w:eastAsia="lv-LV"/>
        </w:rPr>
        <w:t> </w:t>
      </w:r>
      <w:r w:rsidR="00526C51" w:rsidRPr="00456D05">
        <w:rPr>
          <w:rFonts w:ascii="Times New Roman" w:eastAsia="Times New Roman" w:hAnsi="Times New Roman" w:cs="Times New Roman"/>
          <w:b/>
          <w:bCs/>
          <w:sz w:val="24"/>
          <w:szCs w:val="24"/>
          <w:lang w:eastAsia="lv-LV"/>
        </w:rPr>
        <w:t>augusta noteikumos Nr.</w:t>
      </w:r>
      <w:r w:rsidR="001832BC" w:rsidRPr="00456D05">
        <w:rPr>
          <w:rFonts w:ascii="Times New Roman" w:eastAsia="Times New Roman" w:hAnsi="Times New Roman" w:cs="Times New Roman"/>
          <w:b/>
          <w:bCs/>
          <w:sz w:val="24"/>
          <w:szCs w:val="24"/>
          <w:lang w:eastAsia="lv-LV"/>
        </w:rPr>
        <w:t> </w:t>
      </w:r>
      <w:r w:rsidR="000E14BC" w:rsidRPr="00456D05">
        <w:rPr>
          <w:rFonts w:ascii="Times New Roman" w:eastAsia="Times New Roman" w:hAnsi="Times New Roman" w:cs="Times New Roman"/>
          <w:b/>
          <w:bCs/>
          <w:sz w:val="24"/>
          <w:szCs w:val="24"/>
          <w:lang w:eastAsia="lv-LV"/>
        </w:rPr>
        <w:t>685 “</w:t>
      </w:r>
      <w:r w:rsidR="00526C51" w:rsidRPr="00456D05">
        <w:rPr>
          <w:rFonts w:ascii="Times New Roman" w:eastAsia="Times New Roman" w:hAnsi="Times New Roman" w:cs="Times New Roman"/>
          <w:b/>
          <w:bCs/>
          <w:sz w:val="24"/>
          <w:szCs w:val="24"/>
          <w:lang w:eastAsia="lv-LV"/>
        </w:rPr>
        <w:t xml:space="preserve">Rezidentu </w:t>
      </w:r>
      <w:r w:rsidR="000C311E">
        <w:rPr>
          <w:rFonts w:ascii="Times New Roman" w:eastAsia="Times New Roman" w:hAnsi="Times New Roman" w:cs="Times New Roman"/>
          <w:b/>
          <w:bCs/>
          <w:sz w:val="24"/>
          <w:szCs w:val="24"/>
          <w:lang w:eastAsia="lv-LV"/>
        </w:rPr>
        <w:t xml:space="preserve">uzņemšanas, </w:t>
      </w:r>
      <w:r w:rsidR="00526C51" w:rsidRPr="00456D05">
        <w:rPr>
          <w:rFonts w:ascii="Times New Roman" w:eastAsia="Times New Roman" w:hAnsi="Times New Roman" w:cs="Times New Roman"/>
          <w:b/>
          <w:bCs/>
          <w:sz w:val="24"/>
          <w:szCs w:val="24"/>
          <w:lang w:eastAsia="lv-LV"/>
        </w:rPr>
        <w:t>sadales un rezi</w:t>
      </w:r>
      <w:r w:rsidR="00262696">
        <w:rPr>
          <w:rFonts w:ascii="Times New Roman" w:eastAsia="Times New Roman" w:hAnsi="Times New Roman" w:cs="Times New Roman"/>
          <w:b/>
          <w:bCs/>
          <w:sz w:val="24"/>
          <w:szCs w:val="24"/>
          <w:lang w:eastAsia="lv-LV"/>
        </w:rPr>
        <w:t>dentūras finansēšanas kārtība</w:t>
      </w:r>
      <w:r w:rsidR="000E14BC" w:rsidRPr="00456D05">
        <w:rPr>
          <w:rFonts w:ascii="Times New Roman" w:eastAsia="Times New Roman" w:hAnsi="Times New Roman" w:cs="Times New Roman"/>
          <w:b/>
          <w:bCs/>
          <w:sz w:val="24"/>
          <w:szCs w:val="24"/>
          <w:lang w:eastAsia="lv-LV"/>
        </w:rPr>
        <w:t>”</w:t>
      </w:r>
      <w:r w:rsidR="00C918F0" w:rsidRPr="00456D05">
        <w:rPr>
          <w:rFonts w:ascii="Times New Roman" w:eastAsia="Times New Roman" w:hAnsi="Times New Roman" w:cs="Times New Roman"/>
          <w:b/>
          <w:bCs/>
          <w:sz w:val="24"/>
          <w:szCs w:val="24"/>
          <w:lang w:eastAsia="lv-LV"/>
        </w:rPr>
        <w:t>”</w:t>
      </w:r>
      <w:r w:rsidR="000A0240" w:rsidRPr="00456D05">
        <w:rPr>
          <w:rFonts w:ascii="Times New Roman" w:eastAsia="Times New Roman" w:hAnsi="Times New Roman" w:cs="Times New Roman"/>
          <w:b/>
          <w:bCs/>
          <w:sz w:val="24"/>
          <w:szCs w:val="24"/>
          <w:lang w:eastAsia="lv-LV"/>
        </w:rPr>
        <w:t xml:space="preserve"> </w:t>
      </w:r>
      <w:r w:rsidR="004530AD" w:rsidRPr="00456D05">
        <w:rPr>
          <w:rFonts w:ascii="Times New Roman" w:eastAsia="Times New Roman" w:hAnsi="Times New Roman" w:cs="Times New Roman"/>
          <w:b/>
          <w:bCs/>
          <w:sz w:val="24"/>
          <w:szCs w:val="24"/>
          <w:lang w:eastAsia="lv-LV"/>
        </w:rPr>
        <w:t xml:space="preserve">projekta </w:t>
      </w:r>
      <w:r w:rsidRPr="00456D05">
        <w:rPr>
          <w:rFonts w:ascii="Times New Roman" w:eastAsia="Times New Roman" w:hAnsi="Times New Roman" w:cs="Times New Roman"/>
          <w:b/>
          <w:bCs/>
          <w:sz w:val="24"/>
          <w:szCs w:val="24"/>
          <w:lang w:eastAsia="lv-LV"/>
        </w:rPr>
        <w:t>sākotnējās ietekmes novērtējuma ziņojums (anotācija)</w:t>
      </w:r>
    </w:p>
    <w:p w:rsidR="005F0CC1" w:rsidRDefault="005F0CC1" w:rsidP="00D062A9">
      <w:pPr>
        <w:shd w:val="clear" w:color="auto" w:fill="FFFFFF"/>
        <w:spacing w:after="0" w:line="240" w:lineRule="auto"/>
        <w:jc w:val="center"/>
        <w:rPr>
          <w:rFonts w:ascii="Times New Roman" w:eastAsia="Times New Roman" w:hAnsi="Times New Roman" w:cs="Times New Roman"/>
          <w:bCs/>
          <w:sz w:val="24"/>
          <w:szCs w:val="24"/>
          <w:lang w:eastAsia="lv-LV"/>
        </w:rPr>
      </w:pPr>
    </w:p>
    <w:p w:rsidR="005F0CC1" w:rsidRDefault="005F0CC1" w:rsidP="00D062A9">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5795"/>
      </w:tblGrid>
      <w:tr w:rsidR="005F0CC1" w:rsidRPr="00C918F0" w:rsidTr="00FC7224">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5F0CC1" w:rsidRPr="00C918F0" w:rsidRDefault="005F0CC1" w:rsidP="00FC722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Tiesību akta projekta anotācijas kopsavilkums</w:t>
            </w:r>
          </w:p>
        </w:tc>
      </w:tr>
      <w:tr w:rsidR="005F0CC1" w:rsidRPr="00C918F0" w:rsidTr="005F0CC1">
        <w:trPr>
          <w:trHeight w:val="324"/>
        </w:trPr>
        <w:tc>
          <w:tcPr>
            <w:tcW w:w="1800" w:type="pct"/>
            <w:tcBorders>
              <w:top w:val="outset" w:sz="6" w:space="0" w:color="414142"/>
              <w:left w:val="outset" w:sz="6" w:space="0" w:color="414142"/>
              <w:bottom w:val="outset" w:sz="6" w:space="0" w:color="414142"/>
              <w:right w:val="outset" w:sz="6" w:space="0" w:color="414142"/>
            </w:tcBorders>
            <w:hideMark/>
          </w:tcPr>
          <w:p w:rsidR="005F0CC1" w:rsidRPr="00C918F0" w:rsidRDefault="00456D05" w:rsidP="00456D05">
            <w:pPr>
              <w:spacing w:before="100" w:beforeAutospacing="1" w:after="100" w:afterAutospacing="1" w:line="293" w:lineRule="atLeast"/>
              <w:rPr>
                <w:rFonts w:ascii="Times New Roman" w:eastAsia="Times New Roman" w:hAnsi="Times New Roman" w:cs="Times New Roman"/>
                <w:sz w:val="24"/>
                <w:szCs w:val="24"/>
                <w:lang w:eastAsia="lv-LV"/>
              </w:rPr>
            </w:pPr>
            <w:r w:rsidRPr="00456D05">
              <w:rPr>
                <w:rFonts w:ascii="Times New Roman" w:eastAsia="Times New Roman" w:hAnsi="Times New Roman" w:cs="Times New Roman"/>
                <w:iCs/>
                <w:sz w:val="24"/>
                <w:szCs w:val="24"/>
                <w:lang w:eastAsia="lv-LV"/>
              </w:rPr>
              <w:t>Mērķis, risinājums un projekta spēkā stāšanās laiks (500 zīmes bez atstarpēm)</w:t>
            </w:r>
          </w:p>
        </w:tc>
        <w:tc>
          <w:tcPr>
            <w:tcW w:w="3200" w:type="pct"/>
            <w:tcBorders>
              <w:top w:val="outset" w:sz="6" w:space="0" w:color="414142"/>
              <w:left w:val="outset" w:sz="6" w:space="0" w:color="414142"/>
              <w:bottom w:val="outset" w:sz="6" w:space="0" w:color="414142"/>
              <w:right w:val="outset" w:sz="6" w:space="0" w:color="414142"/>
            </w:tcBorders>
          </w:tcPr>
          <w:p w:rsidR="005F0CC1" w:rsidRPr="00456D05" w:rsidRDefault="00456D05" w:rsidP="00FC7224">
            <w:pPr>
              <w:spacing w:after="0" w:line="240" w:lineRule="auto"/>
              <w:ind w:left="107" w:right="109"/>
              <w:jc w:val="both"/>
              <w:rPr>
                <w:rFonts w:ascii="Times New Roman" w:eastAsia="Times New Roman" w:hAnsi="Times New Roman" w:cs="Times New Roman"/>
                <w:sz w:val="24"/>
                <w:szCs w:val="24"/>
                <w:lang w:eastAsia="lv-LV"/>
              </w:rPr>
            </w:pPr>
            <w:r w:rsidRPr="00456D05">
              <w:rPr>
                <w:rFonts w:ascii="Times New Roman" w:hAnsi="Times New Roman" w:cs="Times New Roman"/>
                <w:lang w:eastAsia="lv-LV"/>
              </w:rPr>
              <w:t>Projekts šo jomu neskar.</w:t>
            </w:r>
          </w:p>
        </w:tc>
      </w:tr>
    </w:tbl>
    <w:p w:rsidR="00894C55" w:rsidRPr="00894C55" w:rsidRDefault="00894C55" w:rsidP="00441452">
      <w:pPr>
        <w:shd w:val="clear" w:color="auto" w:fill="FFFFFF"/>
        <w:spacing w:before="45" w:after="0" w:line="248" w:lineRule="atLeast"/>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B7E22" w:rsidTr="00AE2B32">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C918F0" w:rsidRDefault="006572D7"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bookmarkStart w:id="0" w:name="_Hlk534185752"/>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8B7E22" w:rsidTr="00AE2B32">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RDefault="006572D7"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RDefault="006572D7"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rsidR="004530AD" w:rsidRDefault="004530AD" w:rsidP="00386ACB">
            <w:pPr>
              <w:shd w:val="clear" w:color="auto" w:fill="FFFFFF"/>
              <w:spacing w:after="0" w:line="240" w:lineRule="auto"/>
              <w:ind w:left="118" w:right="115"/>
              <w:jc w:val="both"/>
              <w:rPr>
                <w:rFonts w:ascii="Times New Roman" w:eastAsia="Times New Roman" w:hAnsi="Times New Roman" w:cs="Times New Roman"/>
                <w:sz w:val="24"/>
                <w:szCs w:val="24"/>
                <w:lang w:eastAsia="lv-LV"/>
              </w:rPr>
            </w:pPr>
            <w:r w:rsidRPr="00AA77D1">
              <w:rPr>
                <w:rFonts w:ascii="Times New Roman" w:hAnsi="Times New Roman" w:cs="Times New Roman"/>
                <w:color w:val="000000"/>
                <w:shd w:val="clear" w:color="auto" w:fill="FFFFFF"/>
              </w:rPr>
              <w:t>Ministru kabineta noteikumu „Grozījumi Ministru kabineta 2011. gada 30. augusta noteikumos Nr. 685 “Rezidentu uzņemšanas, sadales un rezidentūras finansēšanas kārtība”” projekt</w:t>
            </w:r>
            <w:r>
              <w:rPr>
                <w:rFonts w:ascii="Times New Roman" w:hAnsi="Times New Roman" w:cs="Times New Roman"/>
                <w:color w:val="000000"/>
                <w:shd w:val="clear" w:color="auto" w:fill="FFFFFF"/>
              </w:rPr>
              <w:t>s</w:t>
            </w:r>
            <w:r w:rsidRPr="00AA77D1">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(turpmāk - </w:t>
            </w:r>
            <w:r w:rsidRPr="00AA77D1">
              <w:rPr>
                <w:rFonts w:ascii="Times New Roman" w:hAnsi="Times New Roman" w:cs="Times New Roman"/>
                <w:color w:val="000000"/>
                <w:shd w:val="clear" w:color="auto" w:fill="FFFFFF"/>
              </w:rPr>
              <w:t>Noteikumu</w:t>
            </w:r>
            <w:r w:rsidRPr="00773B4E">
              <w:rPr>
                <w:rFonts w:ascii="Times New Roman" w:eastAsia="Times New Roman" w:hAnsi="Times New Roman" w:cs="Times New Roman"/>
                <w:sz w:val="24"/>
                <w:szCs w:val="24"/>
                <w:lang w:eastAsia="lv-LV"/>
              </w:rPr>
              <w:t xml:space="preserve"> projekts</w:t>
            </w:r>
            <w:r>
              <w:rPr>
                <w:rFonts w:ascii="Times New Roman" w:eastAsia="Times New Roman" w:hAnsi="Times New Roman" w:cs="Times New Roman"/>
                <w:sz w:val="24"/>
                <w:szCs w:val="24"/>
                <w:lang w:eastAsia="lv-LV"/>
              </w:rPr>
              <w:t>)</w:t>
            </w:r>
            <w:r w:rsidRPr="006A52A1">
              <w:rPr>
                <w:rFonts w:ascii="Times New Roman" w:hAnsi="Times New Roman" w:cs="Times New Roman"/>
                <w:sz w:val="24"/>
              </w:rPr>
              <w:t>, pamatojoties uz:</w:t>
            </w:r>
          </w:p>
          <w:p w:rsidR="004530AD" w:rsidRDefault="004530AD" w:rsidP="00386ACB">
            <w:pPr>
              <w:shd w:val="clear" w:color="auto" w:fill="FFFFFF"/>
              <w:spacing w:after="0" w:line="240" w:lineRule="auto"/>
              <w:ind w:left="118" w:right="115"/>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lv-LV"/>
              </w:rPr>
              <w:t>- M</w:t>
            </w:r>
            <w:r w:rsidRPr="00773B4E">
              <w:rPr>
                <w:rFonts w:ascii="Times New Roman" w:eastAsia="Times New Roman" w:hAnsi="Times New Roman" w:cs="Times New Roman"/>
                <w:sz w:val="24"/>
                <w:szCs w:val="24"/>
                <w:lang w:eastAsia="lv-LV"/>
              </w:rPr>
              <w:t xml:space="preserve">inistru kabineta </w:t>
            </w:r>
            <w:r>
              <w:rPr>
                <w:rFonts w:ascii="Times New Roman" w:hAnsi="Times New Roman" w:cs="Times New Roman"/>
                <w:color w:val="000000"/>
                <w:shd w:val="clear" w:color="auto" w:fill="FFFFFF"/>
              </w:rPr>
              <w:t>2019.gada</w:t>
            </w:r>
            <w:r w:rsidRPr="00DB2ACC">
              <w:rPr>
                <w:rFonts w:ascii="Times New Roman" w:hAnsi="Times New Roman" w:cs="Times New Roman"/>
                <w:color w:val="000000"/>
                <w:shd w:val="clear" w:color="auto" w:fill="FFFFFF"/>
              </w:rPr>
              <w:t xml:space="preserve"> 6.novembr</w:t>
            </w:r>
            <w:r>
              <w:rPr>
                <w:rFonts w:ascii="Times New Roman" w:hAnsi="Times New Roman" w:cs="Times New Roman"/>
                <w:color w:val="000000"/>
                <w:shd w:val="clear" w:color="auto" w:fill="FFFFFF"/>
              </w:rPr>
              <w:t>a ārkārtas sēdē</w:t>
            </w:r>
            <w:r w:rsidRPr="00DB2ACC">
              <w:rPr>
                <w:rFonts w:ascii="Times New Roman" w:hAnsi="Times New Roman" w:cs="Times New Roman"/>
                <w:color w:val="000000"/>
                <w:shd w:val="clear" w:color="auto" w:fill="FFFFFF"/>
              </w:rPr>
              <w:t xml:space="preserve"> izskatīt</w:t>
            </w:r>
            <w:r>
              <w:rPr>
                <w:rFonts w:ascii="Times New Roman" w:hAnsi="Times New Roman" w:cs="Times New Roman"/>
                <w:color w:val="000000"/>
                <w:shd w:val="clear" w:color="auto" w:fill="FFFFFF"/>
              </w:rPr>
              <w:t>ajiem</w:t>
            </w:r>
            <w:r w:rsidRPr="00DB2ACC">
              <w:rPr>
                <w:rFonts w:ascii="Times New Roman" w:hAnsi="Times New Roman" w:cs="Times New Roman"/>
                <w:color w:val="000000"/>
                <w:shd w:val="clear" w:color="auto" w:fill="FFFFFF"/>
              </w:rPr>
              <w:t xml:space="preserve"> priekšlikumi</w:t>
            </w:r>
            <w:r>
              <w:rPr>
                <w:rFonts w:ascii="Times New Roman" w:hAnsi="Times New Roman" w:cs="Times New Roman"/>
                <w:color w:val="000000"/>
                <w:shd w:val="clear" w:color="auto" w:fill="FFFFFF"/>
              </w:rPr>
              <w:t>em</w:t>
            </w:r>
            <w:r w:rsidRPr="00DB2ACC">
              <w:rPr>
                <w:rFonts w:ascii="Times New Roman" w:hAnsi="Times New Roman" w:cs="Times New Roman"/>
                <w:color w:val="000000"/>
                <w:shd w:val="clear" w:color="auto" w:fill="FFFFFF"/>
              </w:rPr>
              <w:t xml:space="preserve"> likumprojekta </w:t>
            </w:r>
            <w:r>
              <w:rPr>
                <w:rFonts w:ascii="Times New Roman" w:hAnsi="Times New Roman" w:cs="Times New Roman"/>
                <w:color w:val="000000"/>
                <w:shd w:val="clear" w:color="auto" w:fill="FFFFFF"/>
              </w:rPr>
              <w:t>“</w:t>
            </w:r>
            <w:r w:rsidRPr="00DB2ACC">
              <w:rPr>
                <w:rFonts w:ascii="Times New Roman" w:hAnsi="Times New Roman" w:cs="Times New Roman"/>
                <w:color w:val="000000"/>
                <w:shd w:val="clear" w:color="auto" w:fill="FFFFFF"/>
              </w:rPr>
              <w:t>Par valsts budžetu 2020.gadam</w:t>
            </w:r>
            <w:r>
              <w:rPr>
                <w:rFonts w:ascii="Times New Roman" w:hAnsi="Times New Roman" w:cs="Times New Roman"/>
                <w:color w:val="000000"/>
                <w:shd w:val="clear" w:color="auto" w:fill="FFFFFF"/>
              </w:rPr>
              <w:t>”</w:t>
            </w:r>
            <w:r w:rsidRPr="00DB2ACC">
              <w:rPr>
                <w:rFonts w:ascii="Times New Roman" w:hAnsi="Times New Roman" w:cs="Times New Roman"/>
                <w:color w:val="000000"/>
                <w:shd w:val="clear" w:color="auto" w:fill="FFFFFF"/>
              </w:rPr>
              <w:t xml:space="preserve"> un likumprojekta </w:t>
            </w:r>
            <w:r>
              <w:rPr>
                <w:rFonts w:ascii="Times New Roman" w:hAnsi="Times New Roman" w:cs="Times New Roman"/>
                <w:color w:val="000000"/>
                <w:shd w:val="clear" w:color="auto" w:fill="FFFFFF"/>
              </w:rPr>
              <w:t>“</w:t>
            </w:r>
            <w:r w:rsidRPr="00DB2ACC">
              <w:rPr>
                <w:rFonts w:ascii="Times New Roman" w:hAnsi="Times New Roman" w:cs="Times New Roman"/>
                <w:color w:val="000000"/>
                <w:shd w:val="clear" w:color="auto" w:fill="FFFFFF"/>
              </w:rPr>
              <w:t>Par vidēja termiņa budžeta ietvaru 2020., 2021. un 2022.gadam</w:t>
            </w:r>
            <w:r>
              <w:rPr>
                <w:rFonts w:ascii="Times New Roman" w:hAnsi="Times New Roman" w:cs="Times New Roman"/>
                <w:color w:val="000000"/>
                <w:shd w:val="clear" w:color="auto" w:fill="FFFFFF"/>
              </w:rPr>
              <w:t>”</w:t>
            </w:r>
            <w:r w:rsidRPr="00DB2ACC">
              <w:rPr>
                <w:rFonts w:ascii="Times New Roman" w:hAnsi="Times New Roman" w:cs="Times New Roman"/>
                <w:color w:val="000000"/>
                <w:shd w:val="clear" w:color="auto" w:fill="FFFFFF"/>
              </w:rPr>
              <w:t xml:space="preserve"> izskatīšanai Saeimā otrajā lasījumā, kur Veselības ministrijai tika piešķirts finansējums,</w:t>
            </w:r>
            <w:r>
              <w:rPr>
                <w:rFonts w:ascii="Times New Roman" w:hAnsi="Times New Roman" w:cs="Times New Roman"/>
                <w:color w:val="000000"/>
                <w:shd w:val="clear" w:color="auto" w:fill="FFFFFF"/>
              </w:rPr>
              <w:t xml:space="preserve"> kuri paredz piešķirt papildus finansējumu,</w:t>
            </w:r>
            <w:r w:rsidRPr="00DB2ACC">
              <w:rPr>
                <w:rFonts w:ascii="Times New Roman" w:hAnsi="Times New Roman" w:cs="Times New Roman"/>
                <w:color w:val="000000"/>
                <w:shd w:val="clear" w:color="auto" w:fill="FFFFFF"/>
              </w:rPr>
              <w:t xml:space="preserve"> lai nodrošinātu darba samaksas pieaugumu ārstniecības personām 2020.gadā</w:t>
            </w:r>
            <w:r>
              <w:rPr>
                <w:rFonts w:ascii="Times New Roman" w:hAnsi="Times New Roman" w:cs="Times New Roman"/>
                <w:color w:val="000000"/>
                <w:shd w:val="clear" w:color="auto" w:fill="FFFFFF"/>
              </w:rPr>
              <w:t xml:space="preserve"> </w:t>
            </w:r>
            <w:r w:rsidRPr="00E77C6C">
              <w:rPr>
                <w:rFonts w:ascii="Times New Roman" w:hAnsi="Times New Roman" w:cs="Times New Roman"/>
                <w:color w:val="000000"/>
                <w:sz w:val="24"/>
                <w:szCs w:val="24"/>
                <w:shd w:val="clear" w:color="auto" w:fill="FFFFFF"/>
              </w:rPr>
              <w:t>(</w:t>
            </w:r>
            <w:r w:rsidRPr="00E77C6C">
              <w:rPr>
                <w:rFonts w:ascii="Times New Roman" w:eastAsia="Times New Roman" w:hAnsi="Times New Roman"/>
                <w:bCs/>
                <w:noProof/>
                <w:sz w:val="24"/>
                <w:szCs w:val="24"/>
                <w:lang w:eastAsia="lv-LV"/>
              </w:rPr>
              <w:t>Ministru kabineta 2019.gada 6.novembra ārkārtas sēdes prot. Nr.52, 23.</w:t>
            </w:r>
            <w:r w:rsidRPr="00E77C6C">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7.punkts</w:t>
            </w:r>
            <w:r w:rsidRPr="00E77C6C">
              <w:rPr>
                <w:rFonts w:ascii="Times New Roman" w:eastAsia="Times New Roman" w:hAnsi="Times New Roman"/>
                <w:bCs/>
                <w:noProof/>
                <w:sz w:val="24"/>
                <w:szCs w:val="24"/>
                <w:lang w:eastAsia="lv-LV"/>
              </w:rPr>
              <w:t>)</w:t>
            </w:r>
            <w:r>
              <w:rPr>
                <w:rFonts w:ascii="Times New Roman" w:hAnsi="Times New Roman" w:cs="Times New Roman"/>
                <w:color w:val="000000"/>
                <w:sz w:val="24"/>
                <w:szCs w:val="24"/>
                <w:shd w:val="clear" w:color="auto" w:fill="FFFFFF"/>
              </w:rPr>
              <w:t>;</w:t>
            </w:r>
          </w:p>
          <w:p w:rsidR="00CD036F" w:rsidRPr="00202CF6" w:rsidRDefault="00CD036F" w:rsidP="00202CF6">
            <w:pPr>
              <w:pStyle w:val="ListParagraph"/>
              <w:numPr>
                <w:ilvl w:val="0"/>
                <w:numId w:val="34"/>
              </w:numPr>
              <w:tabs>
                <w:tab w:val="left" w:pos="402"/>
              </w:tabs>
              <w:spacing w:after="0" w:line="240" w:lineRule="auto"/>
              <w:ind w:left="118" w:right="109" w:firstLine="0"/>
              <w:jc w:val="both"/>
              <w:rPr>
                <w:rFonts w:ascii="Times New Roman" w:eastAsia="Calibri" w:hAnsi="Times New Roman" w:cs="Times New Roman"/>
                <w:bCs/>
                <w:color w:val="FF0000"/>
                <w:sz w:val="24"/>
                <w:szCs w:val="24"/>
              </w:rPr>
            </w:pPr>
            <w:r w:rsidRPr="00202CF6">
              <w:rPr>
                <w:rFonts w:ascii="Times New Roman" w:hAnsi="Times New Roman" w:cs="Times New Roman"/>
                <w:sz w:val="24"/>
              </w:rPr>
              <w:t>Ministru kabineta 2019.gada 12.novembr</w:t>
            </w:r>
            <w:r w:rsidR="005326E3">
              <w:rPr>
                <w:rFonts w:ascii="Times New Roman" w:hAnsi="Times New Roman" w:cs="Times New Roman"/>
                <w:sz w:val="24"/>
              </w:rPr>
              <w:t>a</w:t>
            </w:r>
            <w:r w:rsidRPr="00202CF6">
              <w:rPr>
                <w:rFonts w:ascii="Times New Roman" w:hAnsi="Times New Roman" w:cs="Times New Roman"/>
                <w:sz w:val="24"/>
              </w:rPr>
              <w:t xml:space="preserve"> sēdē tika izskatīts un atbalstīts informatīvais ziņojums “Informatīvais ziņojums “Par ārstniecības iestādēs nodarbināto darba samaksas izmaiņām 2020.gadā” (turpmāk – informatīvais ziņojums), ar kuru Ministru kabinets tika informēts par Veselības ministrijas plānoto ārstniecības personu darba samaksas pieauguma nodrošināšanai no 2020.gada.</w:t>
            </w:r>
          </w:p>
        </w:tc>
      </w:tr>
      <w:bookmarkEnd w:id="0"/>
      <w:tr w:rsidR="008B7E22" w:rsidTr="00AE2B3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RDefault="006572D7"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RDefault="006572D7"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0860ED" w:rsidRDefault="006572D7" w:rsidP="0049752E">
            <w:pPr>
              <w:spacing w:after="0" w:line="240" w:lineRule="auto"/>
              <w:ind w:left="107" w:right="115"/>
              <w:jc w:val="both"/>
              <w:rPr>
                <w:rFonts w:ascii="Times New Roman" w:eastAsia="Times New Roman" w:hAnsi="Times New Roman" w:cs="Times New Roman"/>
                <w:sz w:val="24"/>
                <w:szCs w:val="24"/>
                <w:lang w:eastAsia="lv-LV"/>
              </w:rPr>
            </w:pPr>
            <w:r w:rsidRPr="00A661CA">
              <w:rPr>
                <w:rFonts w:ascii="Times New Roman" w:eastAsia="Times New Roman" w:hAnsi="Times New Roman" w:cs="Times New Roman"/>
                <w:sz w:val="24"/>
                <w:szCs w:val="24"/>
                <w:lang w:eastAsia="lv-LV"/>
              </w:rPr>
              <w:t>Ministru kabineta 2011.</w:t>
            </w:r>
            <w:r w:rsidR="001832BC" w:rsidRPr="00A661CA">
              <w:rPr>
                <w:rFonts w:ascii="Times New Roman" w:eastAsia="Times New Roman" w:hAnsi="Times New Roman" w:cs="Times New Roman"/>
                <w:sz w:val="24"/>
                <w:szCs w:val="24"/>
                <w:lang w:eastAsia="lv-LV"/>
              </w:rPr>
              <w:t> </w:t>
            </w:r>
            <w:r w:rsidRPr="00A661CA">
              <w:rPr>
                <w:rFonts w:ascii="Times New Roman" w:eastAsia="Times New Roman" w:hAnsi="Times New Roman" w:cs="Times New Roman"/>
                <w:sz w:val="24"/>
                <w:szCs w:val="24"/>
                <w:lang w:eastAsia="lv-LV"/>
              </w:rPr>
              <w:t>gada 30.</w:t>
            </w:r>
            <w:r w:rsidR="001832BC" w:rsidRPr="00A661CA">
              <w:rPr>
                <w:rFonts w:ascii="Times New Roman" w:eastAsia="Times New Roman" w:hAnsi="Times New Roman" w:cs="Times New Roman"/>
                <w:sz w:val="24"/>
                <w:szCs w:val="24"/>
                <w:lang w:eastAsia="lv-LV"/>
              </w:rPr>
              <w:t> </w:t>
            </w:r>
            <w:r w:rsidRPr="00A661CA">
              <w:rPr>
                <w:rFonts w:ascii="Times New Roman" w:eastAsia="Times New Roman" w:hAnsi="Times New Roman" w:cs="Times New Roman"/>
                <w:sz w:val="24"/>
                <w:szCs w:val="24"/>
                <w:lang w:eastAsia="lv-LV"/>
              </w:rPr>
              <w:t>augusta noteikum</w:t>
            </w:r>
            <w:r w:rsidR="00B70453" w:rsidRPr="00A661CA">
              <w:rPr>
                <w:rFonts w:ascii="Times New Roman" w:eastAsia="Times New Roman" w:hAnsi="Times New Roman" w:cs="Times New Roman"/>
                <w:sz w:val="24"/>
                <w:szCs w:val="24"/>
                <w:lang w:eastAsia="lv-LV"/>
              </w:rPr>
              <w:t>i</w:t>
            </w:r>
            <w:r w:rsidRPr="00A661CA">
              <w:rPr>
                <w:rFonts w:ascii="Times New Roman" w:eastAsia="Times New Roman" w:hAnsi="Times New Roman" w:cs="Times New Roman"/>
                <w:sz w:val="24"/>
                <w:szCs w:val="24"/>
                <w:lang w:eastAsia="lv-LV"/>
              </w:rPr>
              <w:t xml:space="preserve"> Nr.685 “Rezidentu </w:t>
            </w:r>
            <w:r w:rsidR="0062174C" w:rsidRPr="00A661CA">
              <w:rPr>
                <w:rFonts w:ascii="Times New Roman" w:eastAsia="Times New Roman" w:hAnsi="Times New Roman" w:cs="Times New Roman"/>
                <w:sz w:val="24"/>
                <w:szCs w:val="24"/>
                <w:lang w:eastAsia="lv-LV"/>
              </w:rPr>
              <w:t xml:space="preserve">uzņemšanas, </w:t>
            </w:r>
            <w:r w:rsidRPr="00A661CA">
              <w:rPr>
                <w:rFonts w:ascii="Times New Roman" w:eastAsia="Times New Roman" w:hAnsi="Times New Roman" w:cs="Times New Roman"/>
                <w:sz w:val="24"/>
                <w:szCs w:val="24"/>
                <w:lang w:eastAsia="lv-LV"/>
              </w:rPr>
              <w:t>sadales un rezidentūras finansēšanas</w:t>
            </w:r>
            <w:r w:rsidR="008931F9" w:rsidRPr="00A661CA">
              <w:rPr>
                <w:rFonts w:ascii="Times New Roman" w:eastAsia="Times New Roman" w:hAnsi="Times New Roman" w:cs="Times New Roman"/>
                <w:sz w:val="24"/>
                <w:szCs w:val="24"/>
                <w:lang w:eastAsia="lv-LV"/>
              </w:rPr>
              <w:t xml:space="preserve"> kārtība</w:t>
            </w:r>
            <w:r w:rsidRPr="00A661CA">
              <w:rPr>
                <w:rFonts w:ascii="Times New Roman" w:eastAsia="Times New Roman" w:hAnsi="Times New Roman" w:cs="Times New Roman"/>
                <w:sz w:val="24"/>
                <w:szCs w:val="24"/>
                <w:lang w:eastAsia="lv-LV"/>
              </w:rPr>
              <w:t xml:space="preserve">” (turpmāk – </w:t>
            </w:r>
            <w:r w:rsidR="001832BC" w:rsidRPr="00A661CA">
              <w:rPr>
                <w:rFonts w:ascii="Times New Roman" w:eastAsia="Times New Roman" w:hAnsi="Times New Roman" w:cs="Times New Roman"/>
                <w:sz w:val="24"/>
                <w:szCs w:val="24"/>
                <w:lang w:eastAsia="lv-LV"/>
              </w:rPr>
              <w:t>N</w:t>
            </w:r>
            <w:r w:rsidRPr="00A661CA">
              <w:rPr>
                <w:rFonts w:ascii="Times New Roman" w:eastAsia="Times New Roman" w:hAnsi="Times New Roman" w:cs="Times New Roman"/>
                <w:sz w:val="24"/>
                <w:szCs w:val="24"/>
                <w:lang w:eastAsia="lv-LV"/>
              </w:rPr>
              <w:t>oteikumi Nr.685)</w:t>
            </w:r>
            <w:r w:rsidR="00B70453" w:rsidRPr="00A661CA">
              <w:rPr>
                <w:rFonts w:ascii="Times New Roman" w:eastAsia="Times New Roman" w:hAnsi="Times New Roman" w:cs="Times New Roman"/>
                <w:sz w:val="24"/>
                <w:szCs w:val="24"/>
                <w:lang w:eastAsia="lv-LV"/>
              </w:rPr>
              <w:t xml:space="preserve"> nosaka</w:t>
            </w:r>
            <w:r w:rsidR="008931F9" w:rsidRPr="00A661CA">
              <w:rPr>
                <w:rFonts w:ascii="Times New Roman" w:eastAsia="Times New Roman" w:hAnsi="Times New Roman" w:cs="Times New Roman"/>
                <w:sz w:val="24"/>
                <w:szCs w:val="24"/>
                <w:lang w:eastAsia="lv-LV"/>
              </w:rPr>
              <w:t xml:space="preserve"> rezidentu uzņemšanas, sadales un rezidentūras finansēšanas kārtību.</w:t>
            </w:r>
          </w:p>
          <w:p w:rsidR="00132444" w:rsidRPr="003037B0" w:rsidRDefault="000860ED" w:rsidP="0049752E">
            <w:pPr>
              <w:ind w:left="107" w:right="109"/>
              <w:jc w:val="both"/>
              <w:rPr>
                <w:rFonts w:ascii="Times New Roman" w:eastAsia="Times New Roman" w:hAnsi="Times New Roman" w:cs="Times New Roman"/>
                <w:sz w:val="24"/>
                <w:szCs w:val="24"/>
                <w:lang w:eastAsia="lv-LV"/>
              </w:rPr>
            </w:pPr>
            <w:r w:rsidRPr="000860ED">
              <w:rPr>
                <w:rFonts w:ascii="Times New Roman" w:eastAsia="Times New Roman" w:hAnsi="Times New Roman" w:cs="Times New Roman"/>
                <w:sz w:val="24"/>
                <w:szCs w:val="24"/>
                <w:lang w:eastAsia="lv-LV"/>
              </w:rPr>
              <w:t>2017.gadā apstiprinātais konceptuālais ziņojums “Par veselības aprūpes sistēmas reformu” paredz plānveida finansējuma pieaugumu veselības aprūpes nozarei, tai skaitā arī atalgojuma pieaugumu turpmāko gadu garumā, tas ir 20% pieaugumu līdz 2021.gadam un 2021.gadā par mērķi ārstiem nosakot divkāršu tautsaimniecībā nodarbināto vidējo darba samaksu. Līdz ar to finansējuma palielinājumam nozarē jābūt sistemātiskam, konsekventam un ilglaicīgam.</w:t>
            </w:r>
            <w:r w:rsidR="003037B0">
              <w:rPr>
                <w:rFonts w:ascii="Times New Roman" w:eastAsia="Times New Roman" w:hAnsi="Times New Roman" w:cs="Times New Roman"/>
                <w:sz w:val="24"/>
                <w:szCs w:val="24"/>
                <w:lang w:eastAsia="lv-LV"/>
              </w:rPr>
              <w:t xml:space="preserve"> </w:t>
            </w:r>
            <w:r w:rsidR="00132444">
              <w:rPr>
                <w:rFonts w:ascii="Times New Roman" w:eastAsia="Times New Roman" w:hAnsi="Times New Roman" w:cs="Times New Roman"/>
                <w:sz w:val="24"/>
                <w:szCs w:val="24"/>
                <w:lang w:eastAsia="lv-LV"/>
              </w:rPr>
              <w:t xml:space="preserve">Saskaņā ar informatīvo ziņojumu, </w:t>
            </w:r>
            <w:r w:rsidR="00132444" w:rsidRPr="00132444">
              <w:rPr>
                <w:rFonts w:ascii="Times New Roman" w:eastAsia="Verdana" w:hAnsi="Times New Roman" w:cs="Times New Roman"/>
                <w:kern w:val="24"/>
                <w:sz w:val="24"/>
                <w:szCs w:val="24"/>
                <w:lang w:eastAsia="lv-LV"/>
              </w:rPr>
              <w:t xml:space="preserve">plānotā darba samaksas pieauguma ārstniecības personām no 2020.gada pamatprincipi ir: </w:t>
            </w:r>
          </w:p>
          <w:p w:rsidR="00132444" w:rsidRPr="00132444" w:rsidRDefault="00132444" w:rsidP="00985B6F">
            <w:pPr>
              <w:numPr>
                <w:ilvl w:val="0"/>
                <w:numId w:val="32"/>
              </w:numPr>
              <w:spacing w:after="0" w:line="240" w:lineRule="auto"/>
              <w:ind w:left="391" w:right="108" w:hanging="284"/>
              <w:contextualSpacing/>
              <w:jc w:val="both"/>
              <w:rPr>
                <w:rFonts w:ascii="Times New Roman" w:eastAsia="Verdana" w:hAnsi="Times New Roman" w:cs="Times New Roman"/>
                <w:kern w:val="24"/>
                <w:sz w:val="24"/>
                <w:szCs w:val="24"/>
                <w:lang w:eastAsia="lv-LV"/>
              </w:rPr>
            </w:pPr>
            <w:r w:rsidRPr="00132444">
              <w:rPr>
                <w:rFonts w:ascii="Times New Roman" w:eastAsia="Times New Roman" w:hAnsi="Times New Roman" w:cs="Times New Roman"/>
                <w:bCs/>
                <w:noProof/>
                <w:sz w:val="24"/>
                <w:szCs w:val="24"/>
                <w:lang w:eastAsia="lv-LV"/>
              </w:rPr>
              <w:t>Nodrošināt darba</w:t>
            </w:r>
            <w:r w:rsidRPr="00132444">
              <w:rPr>
                <w:rFonts w:ascii="Times New Roman" w:eastAsia="Verdana" w:hAnsi="Times New Roman" w:cs="Times New Roman"/>
                <w:kern w:val="24"/>
                <w:sz w:val="24"/>
                <w:szCs w:val="24"/>
                <w:lang w:eastAsia="lv-LV"/>
              </w:rPr>
              <w:t xml:space="preserve"> samaksas pieaugumu rezidentiem 20% apmērā.</w:t>
            </w:r>
          </w:p>
          <w:p w:rsidR="00132444" w:rsidRPr="00132444" w:rsidRDefault="00132444" w:rsidP="00985B6F">
            <w:pPr>
              <w:numPr>
                <w:ilvl w:val="0"/>
                <w:numId w:val="32"/>
              </w:numPr>
              <w:spacing w:after="0" w:line="240" w:lineRule="auto"/>
              <w:ind w:left="391" w:right="108" w:hanging="284"/>
              <w:contextualSpacing/>
              <w:jc w:val="both"/>
              <w:rPr>
                <w:rFonts w:ascii="Times New Roman" w:eastAsia="Times New Roman" w:hAnsi="Times New Roman" w:cs="Times New Roman"/>
                <w:bCs/>
                <w:noProof/>
                <w:sz w:val="24"/>
                <w:szCs w:val="24"/>
                <w:lang w:eastAsia="lv-LV"/>
              </w:rPr>
            </w:pPr>
            <w:r w:rsidRPr="00132444">
              <w:rPr>
                <w:rFonts w:ascii="Times New Roman" w:eastAsia="Times New Roman" w:hAnsi="Times New Roman" w:cs="Times New Roman"/>
                <w:bCs/>
                <w:noProof/>
                <w:sz w:val="24"/>
                <w:szCs w:val="24"/>
                <w:lang w:eastAsia="lv-LV"/>
              </w:rPr>
              <w:lastRenderedPageBreak/>
              <w:t>Lai nodrošinātu, ka piešķirtais finansējums maksimāli efektīvi tiek novirzīts paredzētajam mērķim – zemākās darba samaksas palielināšanai ārstniecības personām, kas ir iesaistītas valsts apmaksāto veselības aprūpes pakalpojumu sniegšanā, Nacionālais veselības dienests, slēdzot līgumus par valsts apmaksāto pakalpojumu sniegšanu paredzēs līgumā nosacījumu finansējumu novirzīt darba samaksas palielināšanai, kas nepārsniedz trīs vidējās tautsaimniecībā nodarbināto mēnešalgas.</w:t>
            </w:r>
          </w:p>
          <w:p w:rsidR="00132444" w:rsidRPr="00132444" w:rsidRDefault="00132444" w:rsidP="00985B6F">
            <w:pPr>
              <w:numPr>
                <w:ilvl w:val="0"/>
                <w:numId w:val="32"/>
              </w:numPr>
              <w:spacing w:after="0" w:line="240" w:lineRule="auto"/>
              <w:ind w:left="391" w:right="108" w:hanging="284"/>
              <w:contextualSpacing/>
              <w:jc w:val="both"/>
              <w:rPr>
                <w:rFonts w:ascii="Times New Roman" w:eastAsia="Times New Roman" w:hAnsi="Times New Roman" w:cs="Times New Roman"/>
                <w:bCs/>
                <w:noProof/>
                <w:sz w:val="24"/>
                <w:szCs w:val="24"/>
                <w:lang w:eastAsia="lv-LV"/>
              </w:rPr>
            </w:pPr>
            <w:r w:rsidRPr="00132444">
              <w:rPr>
                <w:rFonts w:ascii="Times New Roman" w:eastAsia="Times New Roman" w:hAnsi="Times New Roman" w:cs="Times New Roman"/>
                <w:bCs/>
                <w:noProof/>
                <w:sz w:val="24"/>
                <w:szCs w:val="24"/>
                <w:lang w:eastAsia="lv-LV"/>
              </w:rPr>
              <w:t xml:space="preserve">Nodrošināt </w:t>
            </w:r>
            <w:r w:rsidRPr="00132444">
              <w:rPr>
                <w:rFonts w:ascii="Times New Roman" w:eastAsia="Verdana" w:hAnsi="Times New Roman" w:cs="Times New Roman"/>
                <w:kern w:val="24"/>
                <w:sz w:val="24"/>
                <w:szCs w:val="24"/>
                <w:lang w:eastAsia="lv-LV"/>
              </w:rPr>
              <w:t>darba samaksas pieaugumu pārējām ārstniecības personām (izņemot rezidentus) 10% apmērā.</w:t>
            </w:r>
          </w:p>
          <w:p w:rsidR="00132444" w:rsidRDefault="00132444" w:rsidP="00985B6F">
            <w:pPr>
              <w:numPr>
                <w:ilvl w:val="0"/>
                <w:numId w:val="32"/>
              </w:numPr>
              <w:spacing w:after="0" w:line="240" w:lineRule="auto"/>
              <w:ind w:left="391" w:right="108" w:hanging="284"/>
              <w:contextualSpacing/>
              <w:jc w:val="both"/>
              <w:rPr>
                <w:rFonts w:ascii="Times New Roman" w:eastAsia="Times New Roman" w:hAnsi="Times New Roman" w:cs="Times New Roman"/>
                <w:bCs/>
                <w:noProof/>
                <w:sz w:val="24"/>
                <w:szCs w:val="24"/>
                <w:lang w:eastAsia="lv-LV"/>
              </w:rPr>
            </w:pPr>
            <w:r w:rsidRPr="00132444">
              <w:rPr>
                <w:rFonts w:ascii="Times New Roman" w:eastAsia="Times New Roman" w:hAnsi="Times New Roman" w:cs="Times New Roman"/>
                <w:bCs/>
                <w:noProof/>
                <w:sz w:val="24"/>
                <w:szCs w:val="24"/>
                <w:lang w:eastAsia="lv-LV"/>
              </w:rPr>
              <w:t>Turpin</w:t>
            </w:r>
            <w:r w:rsidR="00680BCA">
              <w:rPr>
                <w:rFonts w:ascii="Times New Roman" w:eastAsia="Times New Roman" w:hAnsi="Times New Roman" w:cs="Times New Roman"/>
                <w:bCs/>
                <w:noProof/>
                <w:sz w:val="24"/>
                <w:szCs w:val="24"/>
                <w:lang w:eastAsia="lv-LV"/>
              </w:rPr>
              <w:t>āt</w:t>
            </w:r>
            <w:r w:rsidRPr="00132444">
              <w:rPr>
                <w:rFonts w:ascii="Times New Roman" w:eastAsia="Times New Roman" w:hAnsi="Times New Roman" w:cs="Times New Roman"/>
                <w:bCs/>
                <w:noProof/>
                <w:sz w:val="24"/>
                <w:szCs w:val="24"/>
                <w:lang w:eastAsia="lv-LV"/>
              </w:rPr>
              <w:t xml:space="preserve"> nodrošināt darba samaksas pieaugumu ārstniecības personām stacionārā veselības aprūpē lielākā apmērā, lai stacionārām ārstniecības iestādēm nodrošinātu finansējumu papildus izdevumus obligāto piemaksu segšanai darbam diennakts režīmā.</w:t>
            </w:r>
          </w:p>
          <w:p w:rsidR="001A2BE5" w:rsidRPr="00132444" w:rsidRDefault="001A2BE5" w:rsidP="001A2BE5">
            <w:pPr>
              <w:spacing w:after="0" w:line="240" w:lineRule="auto"/>
              <w:ind w:left="391" w:right="108"/>
              <w:contextualSpacing/>
              <w:jc w:val="both"/>
              <w:rPr>
                <w:rFonts w:ascii="Times New Roman" w:eastAsia="Times New Roman" w:hAnsi="Times New Roman" w:cs="Times New Roman"/>
                <w:bCs/>
                <w:noProof/>
                <w:sz w:val="24"/>
                <w:szCs w:val="24"/>
                <w:lang w:eastAsia="lv-LV"/>
              </w:rPr>
            </w:pPr>
          </w:p>
          <w:p w:rsidR="006E11AA" w:rsidRPr="00D93F75" w:rsidRDefault="000F54F6" w:rsidP="00D93F75">
            <w:pPr>
              <w:spacing w:after="0" w:line="240" w:lineRule="auto"/>
              <w:ind w:left="107" w:right="115"/>
              <w:jc w:val="both"/>
              <w:rPr>
                <w:rFonts w:ascii="Times New Roman" w:eastAsia="Times New Roman" w:hAnsi="Times New Roman" w:cs="Times New Roman"/>
                <w:sz w:val="24"/>
                <w:szCs w:val="24"/>
                <w:lang w:eastAsia="lv-LV"/>
              </w:rPr>
            </w:pPr>
            <w:r w:rsidRPr="000F54F6">
              <w:rPr>
                <w:rFonts w:ascii="Times New Roman" w:eastAsia="Times New Roman" w:hAnsi="Times New Roman"/>
                <w:bCs/>
                <w:noProof/>
                <w:sz w:val="24"/>
                <w:szCs w:val="24"/>
                <w:lang w:eastAsia="lv-LV"/>
              </w:rPr>
              <w:t>Ņemot vērā,</w:t>
            </w:r>
            <w:r w:rsidR="0017045A">
              <w:rPr>
                <w:rFonts w:ascii="Times New Roman" w:eastAsia="Times New Roman" w:hAnsi="Times New Roman"/>
                <w:bCs/>
                <w:noProof/>
                <w:sz w:val="24"/>
                <w:szCs w:val="24"/>
                <w:lang w:eastAsia="lv-LV"/>
              </w:rPr>
              <w:t xml:space="preserve"> to</w:t>
            </w:r>
            <w:r w:rsidRPr="000F54F6">
              <w:rPr>
                <w:rFonts w:ascii="Times New Roman" w:eastAsia="Times New Roman" w:hAnsi="Times New Roman"/>
                <w:bCs/>
                <w:noProof/>
                <w:sz w:val="24"/>
                <w:szCs w:val="24"/>
                <w:lang w:eastAsia="lv-LV"/>
              </w:rPr>
              <w:t xml:space="preserve"> ka ārstu vecuma struktūra ir novecojoša, 2018.gadā vecumā virs 55 gadiem bija 46,5% ārstu, kamēr vecuma grupā līdz 35 gadiem tikai 20,4%, kas liecina par to, ka paaudžu nomaiņa ārsta profesijā un līdzsvarota profesijas attīstība ilgtermiņā ir apdraudēta. Kā arī pēc Latvijas Jauno Ārstu asociācijas sniegtās informācijas par medicīnas studentu (absolventu 2018./2019. mācību gads)  aptaujas rezultātiem, 25% no aptaujātajiem respondentiem plāno savu turpmāko profesionālo darbību veidot ārpus Latvijas</w:t>
            </w:r>
            <w:r w:rsidR="007557A6">
              <w:rPr>
                <w:rFonts w:ascii="Times New Roman" w:eastAsia="Times New Roman" w:hAnsi="Times New Roman"/>
                <w:bCs/>
                <w:noProof/>
                <w:sz w:val="24"/>
                <w:szCs w:val="24"/>
                <w:lang w:eastAsia="lv-LV"/>
              </w:rPr>
              <w:t xml:space="preserve">. </w:t>
            </w:r>
            <w:r w:rsidR="007557A6">
              <w:rPr>
                <w:rFonts w:ascii="Times New Roman" w:eastAsia="Times New Roman" w:hAnsi="Times New Roman"/>
                <w:bCs/>
                <w:noProof/>
                <w:sz w:val="24"/>
                <w:szCs w:val="24"/>
                <w:lang w:eastAsia="lv-LV"/>
              </w:rPr>
              <w:t xml:space="preserve">Atbilstoši </w:t>
            </w:r>
            <w:r w:rsidR="007557A6" w:rsidRPr="007D5B0B">
              <w:rPr>
                <w:rFonts w:ascii="Times New Roman" w:hAnsi="Times New Roman" w:cs="Times New Roman"/>
                <w:bCs/>
                <w:noProof/>
                <w:sz w:val="24"/>
                <w:szCs w:val="24"/>
              </w:rPr>
              <w:t>Ministru kabineta noteikumu “Grozījums Ministru kabineta 2018.gada 18.decembra noteikumos</w:t>
            </w:r>
            <w:r w:rsidR="007557A6">
              <w:rPr>
                <w:rFonts w:ascii="Times New Roman" w:eastAsia="Times New Roman" w:hAnsi="Times New Roman"/>
                <w:bCs/>
                <w:noProof/>
                <w:sz w:val="24"/>
                <w:szCs w:val="24"/>
                <w:lang w:eastAsia="lv-LV"/>
              </w:rPr>
              <w:t xml:space="preserve"> Nr.851 “</w:t>
            </w:r>
            <w:r w:rsidR="007557A6" w:rsidRPr="00B6241C">
              <w:rPr>
                <w:rFonts w:ascii="Times New Roman" w:eastAsia="Times New Roman" w:hAnsi="Times New Roman" w:cs="Times New Roman"/>
                <w:sz w:val="24"/>
                <w:szCs w:val="24"/>
                <w:shd w:val="clear" w:color="auto" w:fill="FFFFFF"/>
                <w:lang w:eastAsia="lv-LV"/>
              </w:rPr>
              <w:t>Noteikumi par zemāko mēnešalgu un speciālo piemaksu veselības aprūpes jomā nodarbinātajiem</w:t>
            </w:r>
            <w:r w:rsidR="007557A6">
              <w:rPr>
                <w:rFonts w:ascii="Times New Roman" w:eastAsia="Times New Roman" w:hAnsi="Times New Roman"/>
                <w:bCs/>
                <w:noProof/>
                <w:sz w:val="24"/>
                <w:szCs w:val="24"/>
                <w:lang w:eastAsia="lv-LV"/>
              </w:rPr>
              <w:t>” projektā plānotajam jaunajiem ārstiem minimālo mēnešalgu plānots palielināt par 10 %, savukārt ņemot vērā to, ka rezidenti vēl mācās un strādā sertificēta ārsta uzraudzībā, kā arī viņiem nav iespēja saņemt papildus samaksu par papildus veikto darbu pie zemākās mēnešalgas tiek pievienota mainīgā daļa vēl 10% apmērā.</w:t>
            </w:r>
            <w:r w:rsidR="007557A6">
              <w:rPr>
                <w:rFonts w:ascii="Times New Roman" w:eastAsia="Times New Roman" w:hAnsi="Times New Roman"/>
                <w:bCs/>
                <w:noProof/>
                <w:sz w:val="24"/>
                <w:szCs w:val="24"/>
                <w:lang w:eastAsia="lv-LV"/>
              </w:rPr>
              <w:t xml:space="preserve"> </w:t>
            </w:r>
            <w:bookmarkStart w:id="1" w:name="_GoBack"/>
            <w:bookmarkEnd w:id="1"/>
            <w:r w:rsidR="007557A6">
              <w:rPr>
                <w:rFonts w:ascii="Times New Roman" w:eastAsia="Times New Roman" w:hAnsi="Times New Roman"/>
                <w:bCs/>
                <w:noProof/>
                <w:sz w:val="24"/>
                <w:szCs w:val="24"/>
                <w:lang w:eastAsia="lv-LV"/>
              </w:rPr>
              <w:t>P</w:t>
            </w:r>
            <w:r w:rsidRPr="000F54F6">
              <w:rPr>
                <w:rFonts w:ascii="Times New Roman" w:eastAsia="Times New Roman" w:hAnsi="Times New Roman"/>
                <w:bCs/>
                <w:noProof/>
                <w:sz w:val="24"/>
                <w:szCs w:val="24"/>
                <w:lang w:eastAsia="lv-LV"/>
              </w:rPr>
              <w:t>amatojoties uz iepriekš minēto</w:t>
            </w:r>
            <w:r w:rsidR="00360451">
              <w:rPr>
                <w:rFonts w:ascii="Times New Roman" w:eastAsia="Times New Roman" w:hAnsi="Times New Roman"/>
                <w:bCs/>
                <w:noProof/>
                <w:sz w:val="24"/>
                <w:szCs w:val="24"/>
                <w:lang w:eastAsia="lv-LV"/>
              </w:rPr>
              <w:t xml:space="preserve"> un</w:t>
            </w:r>
            <w:r w:rsidR="00360451" w:rsidRPr="00360451">
              <w:rPr>
                <w:rFonts w:ascii="Times New Roman" w:eastAsia="Times New Roman" w:hAnsi="Times New Roman" w:cs="Times New Roman"/>
                <w:bCs/>
                <w:noProof/>
                <w:sz w:val="24"/>
                <w:szCs w:val="24"/>
                <w:lang w:eastAsia="lv-LV"/>
              </w:rPr>
              <w:t xml:space="preserve"> </w:t>
            </w:r>
            <w:r w:rsidR="00360451" w:rsidRPr="00360451">
              <w:rPr>
                <w:rFonts w:ascii="Times New Roman" w:hAnsi="Times New Roman" w:cs="Times New Roman"/>
                <w:bCs/>
                <w:noProof/>
                <w:sz w:val="24"/>
                <w:szCs w:val="24"/>
              </w:rPr>
              <w:t>Ministru kabineta 2019.gada 6.novembra ārkārtas sēdē Nr.52  23.paragrāfa 7.punktā  atbalstītajiem Veselības minsitrijas likumprojekta „Par valsts budžetu 2020.gadam” un likumprojekta „Par vidēja termiņa budžeta ietvaru 2020., 2021. un 2022.gadam” priekšlikumiem uz otro lasījumu</w:t>
            </w:r>
            <w:r w:rsidR="00360451" w:rsidRPr="00360451">
              <w:rPr>
                <w:rFonts w:ascii="Times New Roman" w:eastAsia="Times New Roman" w:hAnsi="Times New Roman" w:cs="Times New Roman"/>
                <w:bCs/>
                <w:noProof/>
                <w:sz w:val="24"/>
                <w:szCs w:val="24"/>
                <w:lang w:eastAsia="lv-LV"/>
              </w:rPr>
              <w:t xml:space="preserve"> </w:t>
            </w:r>
            <w:r w:rsidR="006E11AA" w:rsidRPr="00360451">
              <w:rPr>
                <w:rFonts w:ascii="Times New Roman" w:eastAsia="Times New Roman" w:hAnsi="Times New Roman" w:cs="Times New Roman"/>
                <w:sz w:val="24"/>
                <w:szCs w:val="24"/>
                <w:lang w:eastAsia="lv-LV"/>
              </w:rPr>
              <w:t>Veselības</w:t>
            </w:r>
            <w:r w:rsidR="006E11AA">
              <w:rPr>
                <w:rFonts w:ascii="Times New Roman" w:eastAsia="Times New Roman" w:hAnsi="Times New Roman" w:cs="Times New Roman"/>
                <w:sz w:val="24"/>
                <w:szCs w:val="24"/>
                <w:lang w:eastAsia="lv-LV"/>
              </w:rPr>
              <w:t xml:space="preserve"> ministrija ir izstrādājusi </w:t>
            </w:r>
            <w:r w:rsidR="006E11AA">
              <w:rPr>
                <w:rFonts w:ascii="Times New Roman" w:eastAsia="Times New Roman" w:hAnsi="Times New Roman" w:cs="Times New Roman"/>
                <w:bCs/>
                <w:sz w:val="24"/>
                <w:szCs w:val="24"/>
                <w:lang w:eastAsia="lv-LV"/>
              </w:rPr>
              <w:t>Noteikumu projekt</w:t>
            </w:r>
            <w:r w:rsidR="004530AD">
              <w:rPr>
                <w:rFonts w:ascii="Times New Roman" w:eastAsia="Times New Roman" w:hAnsi="Times New Roman" w:cs="Times New Roman"/>
                <w:bCs/>
                <w:sz w:val="24"/>
                <w:szCs w:val="24"/>
                <w:lang w:eastAsia="lv-LV"/>
              </w:rPr>
              <w:t>u</w:t>
            </w:r>
            <w:r w:rsidR="00DD1400">
              <w:rPr>
                <w:rFonts w:ascii="Times New Roman" w:eastAsia="Times New Roman" w:hAnsi="Times New Roman" w:cs="Times New Roman"/>
                <w:bCs/>
                <w:sz w:val="24"/>
                <w:szCs w:val="24"/>
                <w:lang w:eastAsia="lv-LV"/>
              </w:rPr>
              <w:t xml:space="preserve">, kurā tiek paredzēts, ka </w:t>
            </w:r>
            <w:r w:rsidR="00360451">
              <w:rPr>
                <w:rFonts w:ascii="Times New Roman" w:eastAsia="Times New Roman" w:hAnsi="Times New Roman" w:cs="Times New Roman"/>
                <w:bCs/>
                <w:sz w:val="24"/>
                <w:szCs w:val="24"/>
                <w:lang w:eastAsia="lv-LV"/>
              </w:rPr>
              <w:t xml:space="preserve"> </w:t>
            </w:r>
            <w:r w:rsidR="00DD1400">
              <w:rPr>
                <w:rFonts w:ascii="Times New Roman" w:eastAsia="Times New Roman" w:hAnsi="Times New Roman" w:cs="Times New Roman"/>
                <w:bCs/>
                <w:sz w:val="24"/>
                <w:szCs w:val="24"/>
                <w:lang w:eastAsia="lv-LV"/>
              </w:rPr>
              <w:t>r</w:t>
            </w:r>
            <w:r w:rsidR="00360451" w:rsidRPr="00360451">
              <w:rPr>
                <w:rFonts w:ascii="Times New Roman" w:eastAsia="Times New Roman" w:hAnsi="Times New Roman" w:cs="Times New Roman"/>
                <w:bCs/>
                <w:sz w:val="24"/>
                <w:szCs w:val="24"/>
                <w:u w:val="single"/>
                <w:lang w:eastAsia="lv-LV"/>
              </w:rPr>
              <w:t>ezidentu darba samaksas pieaugums tiek plānots 20% apmērā</w:t>
            </w:r>
            <w:r w:rsidR="0079116B">
              <w:rPr>
                <w:rFonts w:ascii="Times New Roman" w:eastAsia="Times New Roman" w:hAnsi="Times New Roman" w:cs="Times New Roman"/>
                <w:bCs/>
                <w:sz w:val="24"/>
                <w:szCs w:val="24"/>
                <w:u w:val="single"/>
                <w:lang w:eastAsia="lv-LV"/>
              </w:rPr>
              <w:t xml:space="preserve"> un </w:t>
            </w:r>
            <w:r w:rsidR="0079116B" w:rsidRPr="00AA77D1">
              <w:rPr>
                <w:rFonts w:ascii="Times New Roman" w:eastAsia="Times New Roman" w:hAnsi="Times New Roman" w:cs="Times New Roman"/>
                <w:bCs/>
                <w:sz w:val="24"/>
                <w:szCs w:val="24"/>
                <w:u w:val="single"/>
                <w:lang w:eastAsia="lv-LV"/>
              </w:rPr>
              <w:t xml:space="preserve">mēnešalgas koeficients 1.1 no trešā rezidentūras gada </w:t>
            </w:r>
            <w:proofErr w:type="spellStart"/>
            <w:r w:rsidR="0079116B" w:rsidRPr="00AA77D1">
              <w:rPr>
                <w:rFonts w:ascii="Times New Roman" w:eastAsia="Times New Roman" w:hAnsi="Times New Roman" w:cs="Times New Roman"/>
                <w:bCs/>
                <w:sz w:val="24"/>
                <w:szCs w:val="24"/>
                <w:u w:val="single"/>
                <w:lang w:eastAsia="lv-LV"/>
              </w:rPr>
              <w:t>pamatspecialitātē</w:t>
            </w:r>
            <w:proofErr w:type="spellEnd"/>
            <w:r w:rsidR="0079116B" w:rsidRPr="00AA77D1">
              <w:rPr>
                <w:rFonts w:ascii="Times New Roman" w:eastAsia="Times New Roman" w:hAnsi="Times New Roman" w:cs="Times New Roman"/>
                <w:bCs/>
                <w:sz w:val="24"/>
                <w:szCs w:val="24"/>
                <w:u w:val="single"/>
                <w:lang w:eastAsia="lv-LV"/>
              </w:rPr>
              <w:t xml:space="preserve">  un </w:t>
            </w:r>
            <w:r w:rsidR="00A922F0">
              <w:rPr>
                <w:rFonts w:ascii="Times New Roman" w:eastAsia="Times New Roman" w:hAnsi="Times New Roman" w:cs="Times New Roman"/>
                <w:bCs/>
                <w:sz w:val="24"/>
                <w:szCs w:val="24"/>
                <w:u w:val="single"/>
                <w:lang w:eastAsia="lv-LV"/>
              </w:rPr>
              <w:t xml:space="preserve">no </w:t>
            </w:r>
            <w:r w:rsidR="0079116B" w:rsidRPr="00AA77D1">
              <w:rPr>
                <w:rFonts w:ascii="Times New Roman" w:eastAsia="Times New Roman" w:hAnsi="Times New Roman" w:cs="Times New Roman"/>
                <w:bCs/>
                <w:sz w:val="24"/>
                <w:szCs w:val="24"/>
                <w:u w:val="single"/>
                <w:lang w:eastAsia="lv-LV"/>
              </w:rPr>
              <w:t xml:space="preserve">pirmā gada </w:t>
            </w:r>
            <w:proofErr w:type="spellStart"/>
            <w:r w:rsidR="0079116B" w:rsidRPr="00AA77D1">
              <w:rPr>
                <w:rFonts w:ascii="Times New Roman" w:eastAsia="Times New Roman" w:hAnsi="Times New Roman" w:cs="Times New Roman"/>
                <w:bCs/>
                <w:sz w:val="24"/>
                <w:szCs w:val="24"/>
                <w:u w:val="single"/>
                <w:lang w:eastAsia="lv-LV"/>
              </w:rPr>
              <w:t>papildspecialitātēs</w:t>
            </w:r>
            <w:proofErr w:type="spellEnd"/>
            <w:r w:rsidR="00360451" w:rsidRPr="00360451">
              <w:rPr>
                <w:rFonts w:ascii="Times New Roman" w:eastAsia="Times New Roman" w:hAnsi="Times New Roman" w:cs="Times New Roman"/>
                <w:bCs/>
                <w:sz w:val="24"/>
                <w:szCs w:val="24"/>
                <w:u w:val="single"/>
                <w:lang w:eastAsia="lv-LV"/>
              </w:rPr>
              <w:t xml:space="preserve">, paredzot finansējumu </w:t>
            </w:r>
            <w:r w:rsidR="00360451" w:rsidRPr="00360451">
              <w:rPr>
                <w:rFonts w:ascii="Times New Roman" w:eastAsia="Verdana" w:hAnsi="Times New Roman"/>
                <w:b/>
                <w:kern w:val="24"/>
                <w:sz w:val="24"/>
                <w:szCs w:val="24"/>
                <w:u w:val="single"/>
                <w:lang w:eastAsia="lv-LV"/>
              </w:rPr>
              <w:t xml:space="preserve">4 034 768 </w:t>
            </w:r>
            <w:proofErr w:type="spellStart"/>
            <w:r w:rsidR="0079116B" w:rsidRPr="0079116B">
              <w:rPr>
                <w:rFonts w:ascii="Times New Roman" w:eastAsia="Verdana" w:hAnsi="Times New Roman"/>
                <w:b/>
                <w:i/>
                <w:kern w:val="24"/>
                <w:sz w:val="24"/>
                <w:szCs w:val="24"/>
                <w:u w:val="single"/>
                <w:lang w:eastAsia="lv-LV"/>
              </w:rPr>
              <w:t>euro</w:t>
            </w:r>
            <w:proofErr w:type="spellEnd"/>
            <w:r w:rsidR="00360451" w:rsidRPr="00360451">
              <w:rPr>
                <w:rFonts w:ascii="Times New Roman" w:eastAsia="Verdana" w:hAnsi="Times New Roman"/>
                <w:b/>
                <w:kern w:val="24"/>
                <w:sz w:val="24"/>
                <w:szCs w:val="24"/>
                <w:u w:val="single"/>
                <w:lang w:eastAsia="lv-LV"/>
              </w:rPr>
              <w:t xml:space="preserve"> apmērā</w:t>
            </w:r>
            <w:r w:rsidR="00DD0A51" w:rsidRPr="00DD0A51">
              <w:rPr>
                <w:rFonts w:ascii="Times New Roman" w:eastAsia="Verdana" w:hAnsi="Times New Roman"/>
                <w:kern w:val="24"/>
                <w:sz w:val="24"/>
                <w:szCs w:val="24"/>
                <w:u w:val="single"/>
                <w:lang w:eastAsia="lv-LV"/>
              </w:rPr>
              <w:t>, tai skaitā</w:t>
            </w:r>
            <w:r w:rsidR="00360451" w:rsidRPr="000F54F6">
              <w:rPr>
                <w:rFonts w:ascii="Times New Roman" w:eastAsia="Verdana" w:hAnsi="Times New Roman"/>
                <w:kern w:val="24"/>
                <w:sz w:val="24"/>
                <w:szCs w:val="24"/>
                <w:lang w:eastAsia="lv-LV"/>
              </w:rPr>
              <w:t>:</w:t>
            </w:r>
          </w:p>
          <w:p w:rsidR="0079116B" w:rsidRDefault="0079116B" w:rsidP="0079116B">
            <w:pPr>
              <w:pStyle w:val="ListParagraph"/>
              <w:numPr>
                <w:ilvl w:val="0"/>
                <w:numId w:val="29"/>
              </w:numPr>
              <w:tabs>
                <w:tab w:val="left" w:pos="402"/>
              </w:tabs>
              <w:spacing w:after="0" w:line="240" w:lineRule="auto"/>
              <w:ind w:left="402" w:right="109" w:hanging="142"/>
              <w:jc w:val="both"/>
              <w:rPr>
                <w:rFonts w:ascii="Times New Roman" w:eastAsia="Times New Roman" w:hAnsi="Times New Roman" w:cs="Times New Roman"/>
                <w:sz w:val="24"/>
                <w:szCs w:val="24"/>
                <w:shd w:val="clear" w:color="auto" w:fill="FFFFFF"/>
                <w:lang w:eastAsia="lv-LV"/>
              </w:rPr>
            </w:pPr>
            <w:r w:rsidRPr="0001132D">
              <w:rPr>
                <w:rFonts w:ascii="Times New Roman" w:eastAsia="Verdana" w:hAnsi="Times New Roman" w:cs="Times New Roman"/>
                <w:kern w:val="24"/>
                <w:sz w:val="24"/>
                <w:szCs w:val="24"/>
                <w:u w:val="single"/>
              </w:rPr>
              <w:t xml:space="preserve">darba samaksas pieauguma nodrošināšanai </w:t>
            </w:r>
            <w:r w:rsidRPr="0001132D">
              <w:rPr>
                <w:rFonts w:ascii="Times New Roman" w:hAnsi="Times New Roman" w:cs="Times New Roman"/>
                <w:sz w:val="24"/>
                <w:szCs w:val="24"/>
                <w:u w:val="single"/>
              </w:rPr>
              <w:t>20% 2</w:t>
            </w:r>
            <w:r>
              <w:rPr>
                <w:rFonts w:ascii="Times New Roman" w:hAnsi="Times New Roman" w:cs="Times New Roman"/>
                <w:sz w:val="24"/>
                <w:szCs w:val="24"/>
                <w:u w:val="single"/>
              </w:rPr>
              <w:t> </w:t>
            </w:r>
            <w:r w:rsidRPr="0001132D">
              <w:rPr>
                <w:rFonts w:ascii="Times New Roman" w:hAnsi="Times New Roman" w:cs="Times New Roman"/>
                <w:sz w:val="24"/>
                <w:szCs w:val="24"/>
                <w:u w:val="single"/>
              </w:rPr>
              <w:t>933</w:t>
            </w:r>
            <w:r>
              <w:rPr>
                <w:rFonts w:ascii="Times New Roman" w:hAnsi="Times New Roman" w:cs="Times New Roman"/>
                <w:sz w:val="24"/>
                <w:szCs w:val="24"/>
                <w:u w:val="single"/>
              </w:rPr>
              <w:t> </w:t>
            </w:r>
            <w:r w:rsidRPr="0001132D">
              <w:rPr>
                <w:rFonts w:ascii="Times New Roman" w:hAnsi="Times New Roman" w:cs="Times New Roman"/>
                <w:sz w:val="24"/>
                <w:szCs w:val="24"/>
                <w:u w:val="single"/>
              </w:rPr>
              <w:t xml:space="preserve">760 </w:t>
            </w:r>
            <w:proofErr w:type="spellStart"/>
            <w:r w:rsidRPr="0079116B">
              <w:rPr>
                <w:rFonts w:ascii="Times New Roman" w:hAnsi="Times New Roman" w:cs="Times New Roman"/>
                <w:i/>
                <w:sz w:val="24"/>
                <w:szCs w:val="24"/>
                <w:u w:val="single"/>
              </w:rPr>
              <w:t>euro</w:t>
            </w:r>
            <w:proofErr w:type="spellEnd"/>
            <w:r w:rsidRPr="0001132D">
              <w:rPr>
                <w:rFonts w:ascii="Times New Roman" w:hAnsi="Times New Roman" w:cs="Times New Roman"/>
                <w:sz w:val="24"/>
                <w:szCs w:val="24"/>
              </w:rPr>
              <w:t>, tai skaitā finansējums 1 671 236</w:t>
            </w:r>
            <w:r w:rsidRPr="0001132D">
              <w:rPr>
                <w:rFonts w:ascii="Times New Roman" w:hAnsi="Times New Roman" w:cs="Times New Roman"/>
                <w:i/>
                <w:sz w:val="24"/>
                <w:szCs w:val="24"/>
              </w:rPr>
              <w:t xml:space="preserve"> </w:t>
            </w:r>
            <w:proofErr w:type="spellStart"/>
            <w:r w:rsidRPr="0079116B">
              <w:rPr>
                <w:rFonts w:ascii="Times New Roman" w:hAnsi="Times New Roman" w:cs="Times New Roman"/>
                <w:i/>
                <w:sz w:val="24"/>
                <w:szCs w:val="24"/>
              </w:rPr>
              <w:t>euro</w:t>
            </w:r>
            <w:proofErr w:type="spellEnd"/>
            <w:r w:rsidRPr="0001132D">
              <w:rPr>
                <w:rFonts w:ascii="Times New Roman" w:hAnsi="Times New Roman" w:cs="Times New Roman"/>
                <w:sz w:val="24"/>
                <w:szCs w:val="24"/>
              </w:rPr>
              <w:t xml:space="preserve"> apmērā ir paredzēts </w:t>
            </w:r>
            <w:r w:rsidRPr="0001132D">
              <w:rPr>
                <w:rFonts w:ascii="Times New Roman" w:hAnsi="Times New Roman" w:cs="Times New Roman"/>
                <w:bCs/>
                <w:noProof/>
                <w:sz w:val="24"/>
                <w:szCs w:val="24"/>
              </w:rPr>
              <w:t xml:space="preserve">atbilstoši Ministru kabineta </w:t>
            </w:r>
            <w:r w:rsidRPr="0001132D">
              <w:rPr>
                <w:rFonts w:ascii="Times New Roman" w:hAnsi="Times New Roman" w:cs="Times New Roman"/>
                <w:bCs/>
                <w:noProof/>
                <w:sz w:val="24"/>
                <w:szCs w:val="24"/>
              </w:rPr>
              <w:lastRenderedPageBreak/>
              <w:t xml:space="preserve">2019.gada 6.novembra ārkārtas sēdē Nr.52  23.paragrāfa 7.punktā  atbalstītajiem Veselības minsitrijas likumprojekta „Par valsts budžetu 2020.gadam” un likumprojekta „Par vidēja termiņa budžeta ietvaru 2020., 2021. un 2022.gadam” priekšlikumiem uz otro lasījumu un finansējumu 1 262 524 </w:t>
            </w:r>
            <w:r w:rsidRPr="0079116B">
              <w:rPr>
                <w:rFonts w:ascii="Times New Roman" w:hAnsi="Times New Roman" w:cs="Times New Roman"/>
                <w:bCs/>
                <w:i/>
                <w:noProof/>
                <w:sz w:val="24"/>
                <w:szCs w:val="24"/>
              </w:rPr>
              <w:t>euro</w:t>
            </w:r>
            <w:r w:rsidRPr="0001132D">
              <w:rPr>
                <w:rFonts w:ascii="Times New Roman" w:hAnsi="Times New Roman" w:cs="Times New Roman"/>
                <w:bCs/>
                <w:i/>
                <w:noProof/>
                <w:sz w:val="24"/>
                <w:szCs w:val="24"/>
              </w:rPr>
              <w:t xml:space="preserve"> </w:t>
            </w:r>
            <w:r w:rsidRPr="0001132D">
              <w:rPr>
                <w:rFonts w:ascii="Times New Roman" w:hAnsi="Times New Roman" w:cs="Times New Roman"/>
                <w:bCs/>
                <w:noProof/>
                <w:sz w:val="24"/>
                <w:szCs w:val="24"/>
              </w:rPr>
              <w:t>plānots novirzīt no sekundārās ambulatorās veselības aprūpes finansējuma.</w:t>
            </w:r>
            <w:r w:rsidRPr="0001132D">
              <w:rPr>
                <w:rFonts w:ascii="Times New Roman" w:eastAsia="Times New Roman" w:hAnsi="Times New Roman" w:cs="Times New Roman"/>
                <w:sz w:val="24"/>
                <w:szCs w:val="24"/>
                <w:shd w:val="clear" w:color="auto" w:fill="FFFFFF"/>
                <w:lang w:eastAsia="lv-LV"/>
              </w:rPr>
              <w:t xml:space="preserve"> </w:t>
            </w:r>
            <w:r w:rsidRPr="00A62BF7">
              <w:rPr>
                <w:rFonts w:ascii="Times New Roman" w:eastAsia="Times New Roman" w:hAnsi="Times New Roman" w:cs="Times New Roman"/>
                <w:sz w:val="24"/>
                <w:szCs w:val="24"/>
                <w:shd w:val="clear" w:color="auto" w:fill="FFFFFF"/>
                <w:lang w:eastAsia="lv-LV"/>
              </w:rPr>
              <w:t xml:space="preserve">2019.gadā  rezidenta </w:t>
            </w:r>
            <w:r>
              <w:rPr>
                <w:rFonts w:ascii="Times New Roman" w:eastAsia="Times New Roman" w:hAnsi="Times New Roman" w:cs="Times New Roman"/>
                <w:sz w:val="24"/>
                <w:szCs w:val="24"/>
                <w:shd w:val="clear" w:color="auto" w:fill="FFFFFF"/>
                <w:lang w:eastAsia="lv-LV"/>
              </w:rPr>
              <w:t>mēnešalga</w:t>
            </w:r>
            <w:r w:rsidRPr="00A62BF7">
              <w:rPr>
                <w:rFonts w:ascii="Times New Roman" w:eastAsia="Times New Roman" w:hAnsi="Times New Roman" w:cs="Times New Roman"/>
                <w:sz w:val="24"/>
                <w:szCs w:val="24"/>
                <w:shd w:val="clear" w:color="auto" w:fill="FFFFFF"/>
                <w:lang w:eastAsia="lv-LV"/>
              </w:rPr>
              <w:t xml:space="preserve"> </w:t>
            </w:r>
            <w:r w:rsidRPr="00A62BF7">
              <w:rPr>
                <w:rFonts w:ascii="Times New Roman" w:hAnsi="Times New Roman" w:cs="Times New Roman"/>
                <w:sz w:val="24"/>
                <w:szCs w:val="24"/>
                <w:shd w:val="clear" w:color="auto" w:fill="FFFFFF"/>
              </w:rPr>
              <w:t xml:space="preserve">reģionālajā daudzprofilu slimnīcā vai ģimenes (vispārējās prakses) ārsta praksē ārpus Rīgas - </w:t>
            </w:r>
            <w:r w:rsidRPr="00A62BF7">
              <w:rPr>
                <w:rFonts w:ascii="Times New Roman" w:eastAsia="Times New Roman" w:hAnsi="Times New Roman" w:cs="Times New Roman"/>
                <w:sz w:val="24"/>
                <w:szCs w:val="24"/>
                <w:shd w:val="clear" w:color="auto" w:fill="FFFFFF"/>
                <w:lang w:eastAsia="lv-LV"/>
              </w:rPr>
              <w:t xml:space="preserve"> 1</w:t>
            </w:r>
            <w:r>
              <w:rPr>
                <w:rFonts w:ascii="Times New Roman" w:eastAsia="Times New Roman" w:hAnsi="Times New Roman" w:cs="Times New Roman"/>
                <w:sz w:val="24"/>
                <w:szCs w:val="24"/>
                <w:shd w:val="clear" w:color="auto" w:fill="FFFFFF"/>
                <w:lang w:eastAsia="lv-LV"/>
              </w:rPr>
              <w:t> </w:t>
            </w:r>
            <w:r w:rsidRPr="00A62BF7">
              <w:rPr>
                <w:rFonts w:ascii="Times New Roman" w:eastAsia="Times New Roman" w:hAnsi="Times New Roman" w:cs="Times New Roman"/>
                <w:sz w:val="24"/>
                <w:szCs w:val="24"/>
                <w:shd w:val="clear" w:color="auto" w:fill="FFFFFF"/>
                <w:lang w:eastAsia="lv-LV"/>
              </w:rPr>
              <w:t>235</w:t>
            </w:r>
            <w:r>
              <w:rPr>
                <w:rFonts w:ascii="Times New Roman" w:eastAsia="Times New Roman" w:hAnsi="Times New Roman" w:cs="Times New Roman"/>
                <w:sz w:val="24"/>
                <w:szCs w:val="24"/>
                <w:shd w:val="clear" w:color="auto" w:fill="FFFFFF"/>
                <w:lang w:eastAsia="lv-LV"/>
              </w:rPr>
              <w:t xml:space="preserve"> </w:t>
            </w:r>
            <w:proofErr w:type="spellStart"/>
            <w:r w:rsidRPr="0079116B">
              <w:rPr>
                <w:rFonts w:ascii="Times New Roman" w:eastAsia="Times New Roman" w:hAnsi="Times New Roman" w:cs="Times New Roman"/>
                <w:i/>
                <w:sz w:val="24"/>
                <w:szCs w:val="24"/>
                <w:shd w:val="clear" w:color="auto" w:fill="FFFFFF"/>
                <w:lang w:eastAsia="lv-LV"/>
              </w:rPr>
              <w:t>euro</w:t>
            </w:r>
            <w:proofErr w:type="spellEnd"/>
            <w:r w:rsidRPr="00A62BF7">
              <w:rPr>
                <w:rFonts w:ascii="Times New Roman" w:eastAsia="Times New Roman" w:hAnsi="Times New Roman" w:cs="Times New Roman"/>
                <w:sz w:val="24"/>
                <w:szCs w:val="24"/>
                <w:shd w:val="clear" w:color="auto" w:fill="FFFFFF"/>
                <w:lang w:eastAsia="lv-LV"/>
              </w:rPr>
              <w:t xml:space="preserve"> un pārējās ārstniecības iestādēs (tai skaitā Veselības ministrijas padotības iestādes) – 950,00 </w:t>
            </w:r>
            <w:proofErr w:type="spellStart"/>
            <w:r w:rsidRPr="0079116B">
              <w:rPr>
                <w:rFonts w:ascii="Times New Roman" w:eastAsia="Times New Roman" w:hAnsi="Times New Roman" w:cs="Times New Roman"/>
                <w:i/>
                <w:sz w:val="24"/>
                <w:szCs w:val="24"/>
                <w:shd w:val="clear" w:color="auto" w:fill="FFFFFF"/>
                <w:lang w:eastAsia="lv-LV"/>
              </w:rPr>
              <w:t>euro</w:t>
            </w:r>
            <w:proofErr w:type="spellEnd"/>
            <w:r w:rsidRPr="00A62BF7">
              <w:rPr>
                <w:rFonts w:ascii="Times New Roman" w:eastAsia="Times New Roman" w:hAnsi="Times New Roman" w:cs="Times New Roman"/>
                <w:sz w:val="24"/>
                <w:szCs w:val="24"/>
                <w:shd w:val="clear" w:color="auto" w:fill="FFFFFF"/>
                <w:lang w:eastAsia="lv-LV"/>
              </w:rPr>
              <w:t xml:space="preserve">. Sākot ar 2020.gada 1.janvāri  rezidenta </w:t>
            </w:r>
            <w:r>
              <w:rPr>
                <w:rFonts w:ascii="Times New Roman" w:eastAsia="Times New Roman" w:hAnsi="Times New Roman" w:cs="Times New Roman"/>
                <w:sz w:val="24"/>
                <w:szCs w:val="24"/>
                <w:shd w:val="clear" w:color="auto" w:fill="FFFFFF"/>
                <w:lang w:eastAsia="lv-LV"/>
              </w:rPr>
              <w:t>mēnešalga</w:t>
            </w:r>
            <w:r w:rsidRPr="00A62BF7">
              <w:rPr>
                <w:rFonts w:ascii="Times New Roman" w:eastAsia="Times New Roman" w:hAnsi="Times New Roman" w:cs="Times New Roman"/>
                <w:sz w:val="24"/>
                <w:szCs w:val="24"/>
                <w:shd w:val="clear" w:color="auto" w:fill="FFFFFF"/>
                <w:lang w:eastAsia="lv-LV"/>
              </w:rPr>
              <w:t xml:space="preserve"> </w:t>
            </w:r>
            <w:r w:rsidRPr="00A62BF7">
              <w:rPr>
                <w:rFonts w:ascii="Times New Roman" w:hAnsi="Times New Roman" w:cs="Times New Roman"/>
                <w:sz w:val="24"/>
                <w:szCs w:val="24"/>
                <w:shd w:val="clear" w:color="auto" w:fill="FFFFFF"/>
              </w:rPr>
              <w:t xml:space="preserve">reģionālajā daudzprofilu slimnīcā vai ģimenes (vispārējās prakses) ārsta praksē ārpus Rīgas - </w:t>
            </w:r>
            <w:r w:rsidRPr="00A62BF7">
              <w:rPr>
                <w:rFonts w:ascii="Times New Roman" w:eastAsia="Times New Roman" w:hAnsi="Times New Roman" w:cs="Times New Roman"/>
                <w:sz w:val="24"/>
                <w:szCs w:val="24"/>
                <w:shd w:val="clear" w:color="auto" w:fill="FFFFFF"/>
                <w:lang w:eastAsia="lv-LV"/>
              </w:rPr>
              <w:t xml:space="preserve"> 1 482,00 </w:t>
            </w:r>
            <w:proofErr w:type="spellStart"/>
            <w:r w:rsidRPr="0079116B">
              <w:rPr>
                <w:rFonts w:ascii="Times New Roman" w:eastAsia="Times New Roman" w:hAnsi="Times New Roman" w:cs="Times New Roman"/>
                <w:i/>
                <w:sz w:val="24"/>
                <w:szCs w:val="24"/>
                <w:shd w:val="clear" w:color="auto" w:fill="FFFFFF"/>
                <w:lang w:eastAsia="lv-LV"/>
              </w:rPr>
              <w:t>euro</w:t>
            </w:r>
            <w:proofErr w:type="spellEnd"/>
            <w:r w:rsidRPr="00A62BF7">
              <w:rPr>
                <w:rFonts w:ascii="Times New Roman" w:eastAsia="Times New Roman" w:hAnsi="Times New Roman" w:cs="Times New Roman"/>
                <w:sz w:val="24"/>
                <w:szCs w:val="24"/>
                <w:shd w:val="clear" w:color="auto" w:fill="FFFFFF"/>
                <w:lang w:eastAsia="lv-LV"/>
              </w:rPr>
              <w:t xml:space="preserve"> un pārējās ārstniecības iestādēs (tai skaitā Veselības ministrijas padotības iestādes) – 1 140 </w:t>
            </w:r>
            <w:proofErr w:type="spellStart"/>
            <w:r w:rsidRPr="0079116B">
              <w:rPr>
                <w:rFonts w:ascii="Times New Roman" w:eastAsia="Times New Roman" w:hAnsi="Times New Roman" w:cs="Times New Roman"/>
                <w:i/>
                <w:sz w:val="24"/>
                <w:szCs w:val="24"/>
                <w:shd w:val="clear" w:color="auto" w:fill="FFFFFF"/>
                <w:lang w:eastAsia="lv-LV"/>
              </w:rPr>
              <w:t>euro</w:t>
            </w:r>
            <w:proofErr w:type="spellEnd"/>
            <w:r w:rsidRPr="00A62BF7">
              <w:rPr>
                <w:rFonts w:ascii="Times New Roman" w:eastAsia="Times New Roman" w:hAnsi="Times New Roman" w:cs="Times New Roman"/>
                <w:sz w:val="24"/>
                <w:szCs w:val="24"/>
                <w:shd w:val="clear" w:color="auto" w:fill="FFFFFF"/>
                <w:lang w:eastAsia="lv-LV"/>
              </w:rPr>
              <w:t>.</w:t>
            </w:r>
          </w:p>
          <w:p w:rsidR="0079116B" w:rsidRPr="009C3AF9" w:rsidRDefault="0079116B" w:rsidP="0079116B">
            <w:pPr>
              <w:pStyle w:val="ListParagraph"/>
              <w:numPr>
                <w:ilvl w:val="0"/>
                <w:numId w:val="29"/>
              </w:numPr>
              <w:tabs>
                <w:tab w:val="left" w:pos="402"/>
              </w:tabs>
              <w:spacing w:after="0" w:line="240" w:lineRule="auto"/>
              <w:ind w:left="402" w:right="109" w:firstLine="0"/>
              <w:jc w:val="both"/>
              <w:rPr>
                <w:rFonts w:ascii="Times New Roman" w:eastAsia="Times New Roman" w:hAnsi="Times New Roman" w:cs="Times New Roman"/>
                <w:sz w:val="24"/>
                <w:szCs w:val="24"/>
                <w:shd w:val="clear" w:color="auto" w:fill="FFFFFF"/>
                <w:lang w:eastAsia="lv-LV"/>
              </w:rPr>
            </w:pPr>
            <w:r w:rsidRPr="00A62BF7">
              <w:rPr>
                <w:rFonts w:ascii="Times New Roman" w:hAnsi="Times New Roman" w:cs="Times New Roman"/>
                <w:sz w:val="24"/>
                <w:szCs w:val="24"/>
                <w:u w:val="single"/>
              </w:rPr>
              <w:t xml:space="preserve">mēnešalgas koeficientu 1.1 nodrošināšanai no trešā rezidentūras gada </w:t>
            </w:r>
            <w:proofErr w:type="spellStart"/>
            <w:r w:rsidRPr="00A62BF7">
              <w:rPr>
                <w:rFonts w:ascii="Times New Roman" w:hAnsi="Times New Roman" w:cs="Times New Roman"/>
                <w:sz w:val="24"/>
                <w:szCs w:val="24"/>
                <w:u w:val="single"/>
              </w:rPr>
              <w:t>pamatspecialitātē</w:t>
            </w:r>
            <w:proofErr w:type="spellEnd"/>
            <w:r w:rsidRPr="00A62BF7">
              <w:rPr>
                <w:rFonts w:ascii="Times New Roman" w:hAnsi="Times New Roman" w:cs="Times New Roman"/>
                <w:sz w:val="24"/>
                <w:szCs w:val="24"/>
                <w:u w:val="single"/>
              </w:rPr>
              <w:t xml:space="preserve">  un </w:t>
            </w:r>
            <w:r w:rsidR="00A922F0">
              <w:rPr>
                <w:rFonts w:ascii="Times New Roman" w:hAnsi="Times New Roman" w:cs="Times New Roman"/>
                <w:sz w:val="24"/>
                <w:szCs w:val="24"/>
                <w:u w:val="single"/>
              </w:rPr>
              <w:t xml:space="preserve">no </w:t>
            </w:r>
            <w:r w:rsidRPr="00A62BF7">
              <w:rPr>
                <w:rFonts w:ascii="Times New Roman" w:hAnsi="Times New Roman" w:cs="Times New Roman"/>
                <w:sz w:val="24"/>
                <w:szCs w:val="24"/>
                <w:u w:val="single"/>
              </w:rPr>
              <w:t xml:space="preserve">pirmā gada </w:t>
            </w:r>
            <w:proofErr w:type="spellStart"/>
            <w:r w:rsidRPr="00A62BF7">
              <w:rPr>
                <w:rFonts w:ascii="Times New Roman" w:hAnsi="Times New Roman" w:cs="Times New Roman"/>
                <w:sz w:val="24"/>
                <w:szCs w:val="24"/>
                <w:u w:val="single"/>
              </w:rPr>
              <w:t>papildspecialitātēs</w:t>
            </w:r>
            <w:proofErr w:type="spellEnd"/>
            <w:r w:rsidRPr="00A62BF7">
              <w:rPr>
                <w:rFonts w:ascii="Times New Roman" w:hAnsi="Times New Roman" w:cs="Times New Roman"/>
                <w:sz w:val="24"/>
                <w:szCs w:val="24"/>
                <w:u w:val="single"/>
              </w:rPr>
              <w:t xml:space="preserve"> 1 101 008 </w:t>
            </w:r>
            <w:proofErr w:type="spellStart"/>
            <w:r w:rsidRPr="0079116B">
              <w:rPr>
                <w:rFonts w:ascii="Times New Roman" w:hAnsi="Times New Roman" w:cs="Times New Roman"/>
                <w:i/>
                <w:sz w:val="24"/>
                <w:szCs w:val="24"/>
                <w:u w:val="single"/>
              </w:rPr>
              <w:t>euro</w:t>
            </w:r>
            <w:proofErr w:type="spellEnd"/>
            <w:r w:rsidRPr="00A62BF7">
              <w:rPr>
                <w:rFonts w:ascii="Times New Roman" w:hAnsi="Times New Roman" w:cs="Times New Roman"/>
                <w:sz w:val="24"/>
                <w:szCs w:val="24"/>
              </w:rPr>
              <w:t>, tai skaitā finansējums 1 029 949</w:t>
            </w:r>
            <w:r w:rsidRPr="00A62BF7">
              <w:rPr>
                <w:rFonts w:ascii="Times New Roman" w:hAnsi="Times New Roman" w:cs="Times New Roman"/>
                <w:i/>
                <w:sz w:val="24"/>
                <w:szCs w:val="24"/>
              </w:rPr>
              <w:t xml:space="preserve"> </w:t>
            </w:r>
            <w:proofErr w:type="spellStart"/>
            <w:r w:rsidRPr="0079116B">
              <w:rPr>
                <w:rFonts w:ascii="Times New Roman" w:hAnsi="Times New Roman" w:cs="Times New Roman"/>
                <w:i/>
                <w:sz w:val="24"/>
                <w:szCs w:val="24"/>
              </w:rPr>
              <w:t>euro</w:t>
            </w:r>
            <w:proofErr w:type="spellEnd"/>
            <w:r w:rsidRPr="00A62BF7">
              <w:rPr>
                <w:rFonts w:ascii="Times New Roman" w:hAnsi="Times New Roman" w:cs="Times New Roman"/>
                <w:sz w:val="24"/>
                <w:szCs w:val="24"/>
              </w:rPr>
              <w:t xml:space="preserve"> apmērā ir paredzēts </w:t>
            </w:r>
            <w:r w:rsidRPr="00A62BF7">
              <w:rPr>
                <w:rFonts w:ascii="Times New Roman" w:hAnsi="Times New Roman" w:cs="Times New Roman"/>
                <w:bCs/>
                <w:noProof/>
                <w:sz w:val="24"/>
                <w:szCs w:val="24"/>
              </w:rPr>
              <w:t xml:space="preserve">atbilstoši Ministru kabineta 2019.gada 6.novembra ārkārtas sēdē Nr.52  23.paragrāfa 7.punktā  atbalstītajiem Veselības minsitrijas likumprojekta „Par valsts budžetu 2020.gadam” un likumprojekta „Par vidēja termiņa budžeta ietvaru 2020., 2021. un 2022.gadam” priekšlikumiem uz otro lasījumu un finansējumu 71 059 </w:t>
            </w:r>
            <w:r w:rsidRPr="0079116B">
              <w:rPr>
                <w:rFonts w:ascii="Times New Roman" w:hAnsi="Times New Roman" w:cs="Times New Roman"/>
                <w:bCs/>
                <w:i/>
                <w:noProof/>
                <w:sz w:val="24"/>
                <w:szCs w:val="24"/>
              </w:rPr>
              <w:t>euro</w:t>
            </w:r>
            <w:r w:rsidRPr="00A62BF7">
              <w:rPr>
                <w:rFonts w:ascii="Times New Roman" w:hAnsi="Times New Roman" w:cs="Times New Roman"/>
                <w:bCs/>
                <w:i/>
                <w:noProof/>
                <w:sz w:val="24"/>
                <w:szCs w:val="24"/>
              </w:rPr>
              <w:t xml:space="preserve"> </w:t>
            </w:r>
            <w:r w:rsidRPr="00A62BF7">
              <w:rPr>
                <w:rFonts w:ascii="Times New Roman" w:hAnsi="Times New Roman" w:cs="Times New Roman"/>
                <w:bCs/>
                <w:noProof/>
                <w:sz w:val="24"/>
                <w:szCs w:val="24"/>
              </w:rPr>
              <w:t>plānots novirzīt no sekundārās ambulatorās veselības aprūpes finansējuma</w:t>
            </w:r>
            <w:r w:rsidRPr="009C3AF9">
              <w:rPr>
                <w:rFonts w:ascii="Times New Roman" w:hAnsi="Times New Roman" w:cs="Times New Roman"/>
                <w:bCs/>
                <w:noProof/>
                <w:sz w:val="24"/>
                <w:szCs w:val="24"/>
              </w:rPr>
              <w:t>.</w:t>
            </w:r>
            <w:r w:rsidRPr="009C3AF9">
              <w:rPr>
                <w:rFonts w:ascii="Times New Roman" w:hAnsi="Times New Roman" w:cs="Times New Roman"/>
                <w:bCs/>
                <w:noProof/>
              </w:rPr>
              <w:t xml:space="preserve"> </w:t>
            </w:r>
            <w:r w:rsidRPr="009C3AF9">
              <w:rPr>
                <w:rFonts w:ascii="Times New Roman" w:eastAsia="Times New Roman" w:hAnsi="Times New Roman" w:cs="Times New Roman"/>
                <w:sz w:val="24"/>
                <w:szCs w:val="24"/>
                <w:shd w:val="clear" w:color="auto" w:fill="FFFFFF"/>
                <w:lang w:eastAsia="lv-LV"/>
              </w:rPr>
              <w:t>Līdz ar to,  sākot ar 20</w:t>
            </w:r>
            <w:r w:rsidR="004E27EC">
              <w:rPr>
                <w:rFonts w:ascii="Times New Roman" w:eastAsia="Times New Roman" w:hAnsi="Times New Roman" w:cs="Times New Roman"/>
                <w:sz w:val="24"/>
                <w:szCs w:val="24"/>
                <w:shd w:val="clear" w:color="auto" w:fill="FFFFFF"/>
                <w:lang w:eastAsia="lv-LV"/>
              </w:rPr>
              <w:t>20</w:t>
            </w:r>
            <w:r w:rsidRPr="009C3AF9">
              <w:rPr>
                <w:rFonts w:ascii="Times New Roman" w:eastAsia="Times New Roman" w:hAnsi="Times New Roman" w:cs="Times New Roman"/>
                <w:sz w:val="24"/>
                <w:szCs w:val="24"/>
                <w:shd w:val="clear" w:color="auto" w:fill="FFFFFF"/>
                <w:lang w:eastAsia="lv-LV"/>
              </w:rPr>
              <w:t>.gada 1.janvāri rezidenta amatalga ar koeficientu 1.1</w:t>
            </w:r>
            <w:r w:rsidR="00A922F0">
              <w:rPr>
                <w:rFonts w:ascii="Times New Roman" w:eastAsia="Times New Roman" w:hAnsi="Times New Roman" w:cs="Times New Roman"/>
                <w:sz w:val="24"/>
                <w:szCs w:val="24"/>
                <w:shd w:val="clear" w:color="auto" w:fill="FFFFFF"/>
                <w:lang w:eastAsia="lv-LV"/>
              </w:rPr>
              <w:t xml:space="preserve"> no</w:t>
            </w:r>
            <w:r w:rsidRPr="009C3AF9">
              <w:rPr>
                <w:rFonts w:ascii="Times New Roman" w:eastAsia="Times New Roman" w:hAnsi="Times New Roman" w:cs="Times New Roman"/>
                <w:sz w:val="24"/>
                <w:szCs w:val="24"/>
                <w:shd w:val="clear" w:color="auto" w:fill="FFFFFF"/>
                <w:lang w:eastAsia="lv-LV"/>
              </w:rPr>
              <w:t xml:space="preserve"> trešā rezidentūras gada </w:t>
            </w:r>
            <w:proofErr w:type="spellStart"/>
            <w:r w:rsidRPr="009C3AF9">
              <w:rPr>
                <w:rFonts w:ascii="Times New Roman" w:eastAsia="Times New Roman" w:hAnsi="Times New Roman" w:cs="Times New Roman"/>
                <w:sz w:val="24"/>
                <w:szCs w:val="24"/>
                <w:shd w:val="clear" w:color="auto" w:fill="FFFFFF"/>
                <w:lang w:eastAsia="lv-LV"/>
              </w:rPr>
              <w:t>pamatspecialitātē</w:t>
            </w:r>
            <w:proofErr w:type="spellEnd"/>
            <w:r w:rsidRPr="009C3AF9">
              <w:rPr>
                <w:rFonts w:ascii="Times New Roman" w:eastAsia="Times New Roman" w:hAnsi="Times New Roman" w:cs="Times New Roman"/>
                <w:sz w:val="24"/>
                <w:szCs w:val="24"/>
                <w:shd w:val="clear" w:color="auto" w:fill="FFFFFF"/>
                <w:lang w:eastAsia="lv-LV"/>
              </w:rPr>
              <w:t xml:space="preserve"> un </w:t>
            </w:r>
            <w:r w:rsidR="00A922F0">
              <w:rPr>
                <w:rFonts w:ascii="Times New Roman" w:eastAsia="Times New Roman" w:hAnsi="Times New Roman" w:cs="Times New Roman"/>
                <w:sz w:val="24"/>
                <w:szCs w:val="24"/>
                <w:shd w:val="clear" w:color="auto" w:fill="FFFFFF"/>
                <w:lang w:eastAsia="lv-LV"/>
              </w:rPr>
              <w:t xml:space="preserve">no </w:t>
            </w:r>
            <w:r w:rsidRPr="009C3AF9">
              <w:rPr>
                <w:rFonts w:ascii="Times New Roman" w:eastAsia="Times New Roman" w:hAnsi="Times New Roman" w:cs="Times New Roman"/>
                <w:sz w:val="24"/>
                <w:szCs w:val="24"/>
                <w:shd w:val="clear" w:color="auto" w:fill="FFFFFF"/>
                <w:lang w:eastAsia="lv-LV"/>
              </w:rPr>
              <w:t xml:space="preserve">pirmā gada </w:t>
            </w:r>
            <w:proofErr w:type="spellStart"/>
            <w:r w:rsidRPr="009C3AF9">
              <w:rPr>
                <w:rFonts w:ascii="Times New Roman" w:eastAsia="Times New Roman" w:hAnsi="Times New Roman" w:cs="Times New Roman"/>
                <w:sz w:val="24"/>
                <w:szCs w:val="24"/>
                <w:shd w:val="clear" w:color="auto" w:fill="FFFFFF"/>
                <w:lang w:eastAsia="lv-LV"/>
              </w:rPr>
              <w:t>papildspecialitātēs</w:t>
            </w:r>
            <w:proofErr w:type="spellEnd"/>
            <w:r w:rsidRPr="009C3AF9">
              <w:rPr>
                <w:rFonts w:ascii="Times New Roman" w:eastAsia="Times New Roman" w:hAnsi="Times New Roman" w:cs="Times New Roman"/>
                <w:sz w:val="24"/>
                <w:szCs w:val="24"/>
                <w:shd w:val="clear" w:color="auto" w:fill="FFFFFF"/>
                <w:lang w:eastAsia="lv-LV"/>
              </w:rPr>
              <w:t xml:space="preserve"> reģionālajā daudzprofilu slimnīcā vai ģimenes  (vispārējās prakses) ārsta praksē ārpus Rīgas – 1 630,20 </w:t>
            </w:r>
            <w:proofErr w:type="spellStart"/>
            <w:r w:rsidRPr="0079116B">
              <w:rPr>
                <w:rFonts w:ascii="Times New Roman" w:eastAsia="Times New Roman" w:hAnsi="Times New Roman" w:cs="Times New Roman"/>
                <w:i/>
                <w:sz w:val="24"/>
                <w:szCs w:val="24"/>
                <w:shd w:val="clear" w:color="auto" w:fill="FFFFFF"/>
                <w:lang w:eastAsia="lv-LV"/>
              </w:rPr>
              <w:t>euro</w:t>
            </w:r>
            <w:proofErr w:type="spellEnd"/>
            <w:r w:rsidRPr="009C3AF9">
              <w:rPr>
                <w:rFonts w:ascii="Times New Roman" w:eastAsia="Times New Roman" w:hAnsi="Times New Roman" w:cs="Times New Roman"/>
                <w:sz w:val="24"/>
                <w:szCs w:val="24"/>
                <w:shd w:val="clear" w:color="auto" w:fill="FFFFFF"/>
                <w:lang w:eastAsia="lv-LV"/>
              </w:rPr>
              <w:t xml:space="preserve"> un pārējās ārstniecības iestādēs (tai skaitā Veselības ministrijas padotības iestādes) – 1 254 </w:t>
            </w:r>
            <w:proofErr w:type="spellStart"/>
            <w:r w:rsidRPr="0079116B">
              <w:rPr>
                <w:rFonts w:ascii="Times New Roman" w:eastAsia="Times New Roman" w:hAnsi="Times New Roman" w:cs="Times New Roman"/>
                <w:i/>
                <w:sz w:val="24"/>
                <w:szCs w:val="24"/>
                <w:shd w:val="clear" w:color="auto" w:fill="FFFFFF"/>
                <w:lang w:eastAsia="lv-LV"/>
              </w:rPr>
              <w:t>euro</w:t>
            </w:r>
            <w:proofErr w:type="spellEnd"/>
            <w:r w:rsidRPr="009C3AF9">
              <w:rPr>
                <w:rFonts w:ascii="Times New Roman" w:eastAsia="Times New Roman" w:hAnsi="Times New Roman" w:cs="Times New Roman"/>
                <w:sz w:val="24"/>
                <w:szCs w:val="24"/>
                <w:shd w:val="clear" w:color="auto" w:fill="FFFFFF"/>
                <w:lang w:eastAsia="lv-LV"/>
              </w:rPr>
              <w:t>.</w:t>
            </w:r>
            <w:r>
              <w:rPr>
                <w:rFonts w:ascii="Times New Roman" w:eastAsia="Times New Roman" w:hAnsi="Times New Roman" w:cs="Times New Roman"/>
                <w:sz w:val="24"/>
                <w:szCs w:val="24"/>
                <w:shd w:val="clear" w:color="auto" w:fill="FFFFFF"/>
                <w:lang w:eastAsia="lv-LV"/>
              </w:rPr>
              <w:t xml:space="preserve"> </w:t>
            </w:r>
            <w:r w:rsidRPr="009C3AF9">
              <w:rPr>
                <w:rFonts w:ascii="Times New Roman" w:eastAsia="Times New Roman" w:hAnsi="Times New Roman" w:cs="Times New Roman"/>
                <w:sz w:val="24"/>
                <w:szCs w:val="24"/>
                <w:shd w:val="clear" w:color="auto" w:fill="FFFFFF"/>
                <w:lang w:eastAsia="lv-LV"/>
              </w:rPr>
              <w:t>Iepriekš minētā norma Noteikumos Nr.685 tiks iekļauta atbilstoši 2019.gada 17.jūnija Veselības ministrijas darba grupas “Par veselības aprūpes nozarē strādājošo personu konkurētspējīgas darba samaksas palielināšanas izvērtēšanu” sanāksmes nolemtajam (prot.Nr.4).</w:t>
            </w:r>
          </w:p>
          <w:p w:rsidR="00AE4D2E" w:rsidRPr="006C5420" w:rsidRDefault="002C1EC2" w:rsidP="006C5420">
            <w:pPr>
              <w:pStyle w:val="xmsonormal"/>
              <w:shd w:val="clear" w:color="auto" w:fill="FFFFFF"/>
              <w:spacing w:before="0" w:beforeAutospacing="0" w:after="0" w:afterAutospacing="0"/>
              <w:ind w:left="107" w:right="109"/>
              <w:jc w:val="both"/>
              <w:rPr>
                <w:color w:val="212121"/>
              </w:rPr>
            </w:pPr>
            <w:r>
              <w:rPr>
                <w:color w:val="000000"/>
              </w:rPr>
              <w:t xml:space="preserve">Atbilstoši Veselības ministrijas 2019.gada 15.maija vertikālā audita Nr.2/ 2019 ziņojuma </w:t>
            </w:r>
            <w:r w:rsidR="009610E8">
              <w:rPr>
                <w:color w:val="000000"/>
              </w:rPr>
              <w:t>“</w:t>
            </w:r>
            <w:r>
              <w:rPr>
                <w:color w:val="000000"/>
              </w:rPr>
              <w:t>Rezidentūras finansēšana un piešķirto budžeta līdzekļu izlietojuma uzraudzība</w:t>
            </w:r>
            <w:r w:rsidR="009610E8">
              <w:rPr>
                <w:color w:val="000000"/>
              </w:rPr>
              <w:t>”</w:t>
            </w:r>
            <w:r>
              <w:rPr>
                <w:color w:val="000000"/>
              </w:rPr>
              <w:t xml:space="preserve"> secinājumam - noteikumu projekts paredz augstskolām, budžeta iestādēm un ārstniecības iestādēm sniegt datus par saņemto budžeta līdzekļu apmēru un to atlikumiem sadalījumā pa izdevumu pozīcijām, lai nodrošinātu piešķirto budžeta līdzekļu izsekojamību. Ņemot vērā iepriekš minēto, tiks precizēts Noteikumu Nr.685 1.,</w:t>
            </w:r>
            <w:r w:rsidR="00300E23">
              <w:rPr>
                <w:color w:val="000000"/>
              </w:rPr>
              <w:t xml:space="preserve"> </w:t>
            </w:r>
            <w:r>
              <w:rPr>
                <w:color w:val="000000"/>
              </w:rPr>
              <w:t>2., un 3.pielikums.</w:t>
            </w:r>
          </w:p>
        </w:tc>
      </w:tr>
      <w:tr w:rsidR="008B7E22" w:rsidTr="00AE2B32">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18F0" w:rsidRDefault="006572D7"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918F0" w:rsidRDefault="006572D7"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D00E50">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918F0" w:rsidRDefault="00B50F00" w:rsidP="000C48C6">
            <w:pPr>
              <w:spacing w:after="0" w:line="240" w:lineRule="auto"/>
              <w:ind w:left="107" w:right="109"/>
              <w:jc w:val="both"/>
              <w:rPr>
                <w:rFonts w:ascii="Times New Roman" w:eastAsia="Times New Roman" w:hAnsi="Times New Roman" w:cs="Times New Roman"/>
                <w:sz w:val="24"/>
                <w:szCs w:val="24"/>
                <w:lang w:eastAsia="lv-LV"/>
              </w:rPr>
            </w:pPr>
            <w:r w:rsidRPr="00B50F00">
              <w:rPr>
                <w:rFonts w:ascii="Times New Roman" w:eastAsia="Times New Roman" w:hAnsi="Times New Roman" w:cs="Times New Roman"/>
                <w:sz w:val="24"/>
                <w:szCs w:val="24"/>
                <w:lang w:eastAsia="lv-LV"/>
              </w:rPr>
              <w:t>Veselības ministrija</w:t>
            </w:r>
            <w:r w:rsidR="006572D7" w:rsidRPr="00B50F00">
              <w:rPr>
                <w:rFonts w:ascii="Times New Roman" w:eastAsia="Times New Roman" w:hAnsi="Times New Roman" w:cs="Times New Roman"/>
                <w:sz w:val="24"/>
                <w:szCs w:val="24"/>
                <w:lang w:eastAsia="lv-LV"/>
              </w:rPr>
              <w:t>, Rīgas Stradiņa unive</w:t>
            </w:r>
            <w:r w:rsidRPr="00B50F00">
              <w:rPr>
                <w:rFonts w:ascii="Times New Roman" w:eastAsia="Times New Roman" w:hAnsi="Times New Roman" w:cs="Times New Roman"/>
                <w:sz w:val="24"/>
                <w:szCs w:val="24"/>
                <w:lang w:eastAsia="lv-LV"/>
              </w:rPr>
              <w:t>rsitāte, Latvijas Universitāte.</w:t>
            </w:r>
          </w:p>
        </w:tc>
      </w:tr>
      <w:tr w:rsidR="008B7E22" w:rsidTr="00AE2B32">
        <w:tc>
          <w:tcPr>
            <w:tcW w:w="250" w:type="pct"/>
            <w:tcBorders>
              <w:top w:val="outset" w:sz="6" w:space="0" w:color="414142"/>
              <w:left w:val="outset" w:sz="6" w:space="0" w:color="414142"/>
              <w:bottom w:val="outset" w:sz="6" w:space="0" w:color="414142"/>
              <w:right w:val="outset" w:sz="6" w:space="0" w:color="414142"/>
            </w:tcBorders>
            <w:hideMark/>
          </w:tcPr>
          <w:p w:rsidR="00045286" w:rsidRPr="00C918F0" w:rsidRDefault="006572D7"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045286" w:rsidRPr="00C918F0" w:rsidRDefault="006572D7"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045286" w:rsidRDefault="006572D7"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857E6" w:rsidRPr="00894C55" w:rsidRDefault="009857E6"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B7E22"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RDefault="006572D7"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B7E22" w:rsidTr="00526C51">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00058C" w:rsidRPr="002F1B03" w:rsidRDefault="00294FD0" w:rsidP="0029498B">
            <w:pPr>
              <w:spacing w:after="0" w:line="240" w:lineRule="auto"/>
              <w:ind w:left="107" w:right="1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Rīgas Stradiņa universitāte, Latvijas Unive</w:t>
            </w:r>
            <w:r w:rsidR="007642FB">
              <w:rPr>
                <w:rFonts w:ascii="Times New Roman" w:eastAsia="Times New Roman" w:hAnsi="Times New Roman" w:cs="Times New Roman"/>
                <w:sz w:val="24"/>
                <w:szCs w:val="24"/>
                <w:lang w:eastAsia="lv-LV"/>
              </w:rPr>
              <w:t>rsitāte, rezidenti</w:t>
            </w:r>
            <w:r w:rsidR="00F3256E">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ārstniecības iestādes, kurās rezidenti apgūst specialitātes programmu.</w:t>
            </w:r>
            <w:r w:rsidR="007642FB">
              <w:rPr>
                <w:rFonts w:ascii="Times New Roman" w:eastAsia="Times New Roman" w:hAnsi="Times New Roman" w:cs="Times New Roman"/>
                <w:sz w:val="24"/>
                <w:szCs w:val="24"/>
                <w:lang w:eastAsia="lv-LV"/>
              </w:rPr>
              <w:t xml:space="preserve"> Ietekme uz </w:t>
            </w:r>
            <w:r w:rsidR="009A0E97">
              <w:rPr>
                <w:rFonts w:ascii="Times New Roman" w:eastAsia="Times New Roman" w:hAnsi="Times New Roman" w:cs="Times New Roman"/>
                <w:sz w:val="24"/>
                <w:szCs w:val="24"/>
                <w:lang w:eastAsia="lv-LV"/>
              </w:rPr>
              <w:t>859</w:t>
            </w:r>
            <w:r w:rsidR="007642FB">
              <w:rPr>
                <w:rFonts w:ascii="Times New Roman" w:eastAsia="Times New Roman" w:hAnsi="Times New Roman" w:cs="Times New Roman"/>
                <w:sz w:val="24"/>
                <w:szCs w:val="24"/>
                <w:lang w:eastAsia="lv-LV"/>
              </w:rPr>
              <w:t xml:space="preserve"> rezidentiem gadā.</w:t>
            </w:r>
          </w:p>
        </w:tc>
      </w:tr>
      <w:tr w:rsidR="008B7E22" w:rsidTr="00526C51">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9C763C" w:rsidRPr="009C763C" w:rsidRDefault="009C763C" w:rsidP="00C968E0">
            <w:pPr>
              <w:spacing w:after="0" w:line="240" w:lineRule="auto"/>
              <w:ind w:left="107" w:right="109"/>
              <w:jc w:val="both"/>
              <w:rPr>
                <w:rFonts w:ascii="Times New Roman" w:eastAsia="Times New Roman" w:hAnsi="Times New Roman" w:cs="Times New Roman"/>
                <w:sz w:val="24"/>
                <w:szCs w:val="24"/>
                <w:lang w:eastAsia="lv-LV"/>
              </w:rPr>
            </w:pPr>
            <w:r w:rsidRPr="009C763C">
              <w:rPr>
                <w:rFonts w:ascii="Times New Roman" w:eastAsia="Times New Roman" w:hAnsi="Times New Roman" w:cs="Times New Roman"/>
                <w:sz w:val="24"/>
                <w:szCs w:val="24"/>
                <w:lang w:eastAsia="lv-LV"/>
              </w:rPr>
              <w:t>Tiesiskajam regulējumam nav ietekmes uz tautsaimniecību un administratīvo slogu.</w:t>
            </w:r>
          </w:p>
          <w:p w:rsidR="00625C92" w:rsidRPr="003429ED" w:rsidRDefault="00625C92" w:rsidP="007743AC">
            <w:pPr>
              <w:spacing w:after="0" w:line="240" w:lineRule="auto"/>
              <w:jc w:val="both"/>
              <w:rPr>
                <w:rFonts w:ascii="Times New Roman" w:eastAsia="Times New Roman" w:hAnsi="Times New Roman" w:cs="Times New Roman"/>
                <w:sz w:val="24"/>
                <w:szCs w:val="24"/>
                <w:lang w:eastAsia="lv-LV"/>
              </w:rPr>
            </w:pPr>
          </w:p>
        </w:tc>
      </w:tr>
      <w:tr w:rsidR="008B7E22"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A6553" w:rsidRPr="003429ED" w:rsidRDefault="00B40AEB"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E347E">
              <w:rPr>
                <w:rFonts w:ascii="Times New Roman" w:eastAsia="Times New Roman" w:hAnsi="Times New Roman" w:cs="Times New Roman"/>
                <w:sz w:val="24"/>
                <w:szCs w:val="24"/>
                <w:lang w:eastAsia="lv-LV"/>
              </w:rPr>
              <w:t>Projekts šo jomu neskar.</w:t>
            </w:r>
          </w:p>
        </w:tc>
      </w:tr>
      <w:tr w:rsidR="003E347E" w:rsidTr="00A27BB5">
        <w:trPr>
          <w:trHeight w:val="276"/>
        </w:trPr>
        <w:tc>
          <w:tcPr>
            <w:tcW w:w="250" w:type="pct"/>
            <w:tcBorders>
              <w:top w:val="outset" w:sz="6" w:space="0" w:color="414142"/>
              <w:left w:val="outset" w:sz="6" w:space="0" w:color="414142"/>
              <w:bottom w:val="outset" w:sz="6" w:space="0" w:color="414142"/>
              <w:right w:val="outset" w:sz="6" w:space="0" w:color="414142"/>
            </w:tcBorders>
          </w:tcPr>
          <w:p w:rsidR="003E347E" w:rsidRPr="003E347E" w:rsidRDefault="003E347E" w:rsidP="00894C55">
            <w:pPr>
              <w:spacing w:after="0" w:line="240" w:lineRule="auto"/>
              <w:rPr>
                <w:rFonts w:ascii="Times New Roman" w:eastAsia="Times New Roman" w:hAnsi="Times New Roman" w:cs="Times New Roman"/>
                <w:sz w:val="24"/>
                <w:szCs w:val="24"/>
                <w:lang w:eastAsia="lv-LV"/>
              </w:rPr>
            </w:pPr>
            <w:r w:rsidRPr="003E347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3E347E" w:rsidRPr="003E347E" w:rsidRDefault="003E347E" w:rsidP="00894C55">
            <w:pPr>
              <w:spacing w:after="0" w:line="240" w:lineRule="auto"/>
              <w:rPr>
                <w:rFonts w:ascii="Times New Roman" w:eastAsia="Times New Roman" w:hAnsi="Times New Roman" w:cs="Times New Roman"/>
                <w:sz w:val="24"/>
                <w:szCs w:val="24"/>
                <w:lang w:eastAsia="lv-LV"/>
              </w:rPr>
            </w:pPr>
            <w:r w:rsidRPr="003E347E">
              <w:rPr>
                <w:rFonts w:ascii="Times New Roman" w:eastAsia="Times New Roman" w:hAnsi="Times New Roman" w:cs="Times New Roman"/>
                <w:iCs/>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3E347E" w:rsidRPr="003E347E" w:rsidRDefault="00A74223"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E347E" w:rsidRPr="003E347E">
              <w:rPr>
                <w:rFonts w:ascii="Times New Roman" w:eastAsia="Times New Roman" w:hAnsi="Times New Roman" w:cs="Times New Roman"/>
                <w:sz w:val="24"/>
                <w:szCs w:val="24"/>
                <w:lang w:eastAsia="lv-LV"/>
              </w:rPr>
              <w:t>Projekts šo jomu neskar.</w:t>
            </w:r>
          </w:p>
        </w:tc>
      </w:tr>
      <w:tr w:rsidR="008B7E22"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3E347E" w:rsidRDefault="003E347E" w:rsidP="00894C55">
            <w:pPr>
              <w:spacing w:after="0" w:line="240" w:lineRule="auto"/>
              <w:rPr>
                <w:rFonts w:ascii="Times New Roman" w:eastAsia="Times New Roman" w:hAnsi="Times New Roman" w:cs="Times New Roman"/>
                <w:sz w:val="24"/>
                <w:szCs w:val="24"/>
                <w:lang w:eastAsia="lv-LV"/>
              </w:rPr>
            </w:pPr>
            <w:r w:rsidRPr="003E347E">
              <w:rPr>
                <w:rFonts w:ascii="Times New Roman" w:eastAsia="Times New Roman" w:hAnsi="Times New Roman" w:cs="Times New Roman"/>
                <w:sz w:val="24"/>
                <w:szCs w:val="24"/>
                <w:lang w:eastAsia="lv-LV"/>
              </w:rPr>
              <w:t>5</w:t>
            </w:r>
            <w:r w:rsidR="006572D7" w:rsidRPr="003E347E">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3E347E" w:rsidRDefault="006572D7" w:rsidP="00894C55">
            <w:pPr>
              <w:spacing w:after="0" w:line="240" w:lineRule="auto"/>
              <w:rPr>
                <w:rFonts w:ascii="Times New Roman" w:eastAsia="Times New Roman" w:hAnsi="Times New Roman" w:cs="Times New Roman"/>
                <w:sz w:val="24"/>
                <w:szCs w:val="24"/>
                <w:lang w:eastAsia="lv-LV"/>
              </w:rPr>
            </w:pPr>
            <w:r w:rsidRPr="003E347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476879" w:rsidRPr="003E347E" w:rsidRDefault="006572D7" w:rsidP="00476879">
            <w:pPr>
              <w:spacing w:after="0" w:line="240" w:lineRule="auto"/>
              <w:rPr>
                <w:rFonts w:ascii="Times New Roman" w:eastAsia="Times New Roman" w:hAnsi="Times New Roman" w:cs="Times New Roman"/>
                <w:sz w:val="24"/>
                <w:szCs w:val="24"/>
                <w:lang w:eastAsia="lv-LV"/>
              </w:rPr>
            </w:pPr>
            <w:r w:rsidRPr="003E347E">
              <w:rPr>
                <w:rFonts w:ascii="Times New Roman" w:eastAsia="Times New Roman" w:hAnsi="Times New Roman" w:cs="Times New Roman"/>
                <w:sz w:val="24"/>
                <w:szCs w:val="24"/>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rsidR="009D0AEA" w:rsidRDefault="009D0AEA" w:rsidP="00755BAD">
      <w:pPr>
        <w:shd w:val="clear" w:color="auto" w:fill="FFFFFF"/>
        <w:spacing w:after="0" w:line="240" w:lineRule="auto"/>
        <w:rPr>
          <w:rFonts w:ascii="Times New Roman" w:eastAsia="Times New Roman" w:hAnsi="Times New Roman" w:cs="Times New Roman"/>
          <w:color w:val="414142"/>
          <w:sz w:val="24"/>
          <w:szCs w:val="24"/>
          <w:lang w:eastAsia="lv-LV"/>
        </w:rPr>
      </w:pPr>
    </w:p>
    <w:tbl>
      <w:tblPr>
        <w:tblStyle w:val="TableGrid"/>
        <w:tblW w:w="10209" w:type="dxa"/>
        <w:tblInd w:w="-714" w:type="dxa"/>
        <w:tblLayout w:type="fixed"/>
        <w:tblLook w:val="04A0" w:firstRow="1" w:lastRow="0" w:firstColumn="1" w:lastColumn="0" w:noHBand="0" w:noVBand="1"/>
      </w:tblPr>
      <w:tblGrid>
        <w:gridCol w:w="1985"/>
        <w:gridCol w:w="1276"/>
        <w:gridCol w:w="1134"/>
        <w:gridCol w:w="1134"/>
        <w:gridCol w:w="1134"/>
        <w:gridCol w:w="1133"/>
        <w:gridCol w:w="1100"/>
        <w:gridCol w:w="1313"/>
      </w:tblGrid>
      <w:tr w:rsidR="00A5325C" w:rsidRPr="009A75D6" w:rsidTr="00576C3E">
        <w:trPr>
          <w:trHeight w:val="360"/>
        </w:trPr>
        <w:tc>
          <w:tcPr>
            <w:tcW w:w="10209" w:type="dxa"/>
            <w:gridSpan w:val="8"/>
            <w:hideMark/>
          </w:tcPr>
          <w:p w:rsidR="00A5325C" w:rsidRPr="00A5325C" w:rsidRDefault="00A5325C" w:rsidP="00FC7224">
            <w:pPr>
              <w:pStyle w:val="tvhtml"/>
              <w:spacing w:line="293" w:lineRule="atLeast"/>
              <w:jc w:val="center"/>
              <w:rPr>
                <w:b/>
                <w:bCs/>
              </w:rPr>
            </w:pPr>
            <w:r w:rsidRPr="00A5325C">
              <w:rPr>
                <w:b/>
                <w:bCs/>
              </w:rPr>
              <w:t>III. Tiesību akta projekta ietekme uz valsts budžetu un pašvaldību budžetiem</w:t>
            </w:r>
          </w:p>
        </w:tc>
      </w:tr>
      <w:tr w:rsidR="00A5325C" w:rsidRPr="009A75D6" w:rsidTr="00576C3E">
        <w:tc>
          <w:tcPr>
            <w:tcW w:w="1985" w:type="dxa"/>
            <w:vMerge w:val="restart"/>
            <w:vAlign w:val="center"/>
            <w:hideMark/>
          </w:tcPr>
          <w:p w:rsidR="00A5325C" w:rsidRPr="009C54EC" w:rsidRDefault="00A5325C" w:rsidP="00FC7224">
            <w:pPr>
              <w:pStyle w:val="tvhtml"/>
              <w:spacing w:line="293" w:lineRule="atLeast"/>
              <w:jc w:val="center"/>
              <w:rPr>
                <w:b/>
                <w:bCs/>
                <w:sz w:val="22"/>
                <w:szCs w:val="22"/>
              </w:rPr>
            </w:pPr>
            <w:r w:rsidRPr="009C54EC">
              <w:rPr>
                <w:b/>
                <w:bCs/>
                <w:sz w:val="22"/>
                <w:szCs w:val="22"/>
              </w:rPr>
              <w:t>Rādītāji</w:t>
            </w:r>
          </w:p>
        </w:tc>
        <w:tc>
          <w:tcPr>
            <w:tcW w:w="2410" w:type="dxa"/>
            <w:gridSpan w:val="2"/>
            <w:vMerge w:val="restart"/>
            <w:vAlign w:val="center"/>
            <w:hideMark/>
          </w:tcPr>
          <w:p w:rsidR="00A5325C" w:rsidRPr="009C54EC" w:rsidRDefault="00544EB5" w:rsidP="00FC7224">
            <w:pPr>
              <w:pStyle w:val="tvhtml"/>
              <w:spacing w:line="293" w:lineRule="atLeast"/>
              <w:jc w:val="center"/>
              <w:rPr>
                <w:b/>
                <w:bCs/>
                <w:sz w:val="22"/>
                <w:szCs w:val="22"/>
              </w:rPr>
            </w:pPr>
            <w:r>
              <w:rPr>
                <w:b/>
                <w:bCs/>
                <w:sz w:val="22"/>
                <w:szCs w:val="22"/>
              </w:rPr>
              <w:t>2019</w:t>
            </w:r>
            <w:r w:rsidR="00A5325C" w:rsidRPr="009C54EC">
              <w:rPr>
                <w:b/>
                <w:bCs/>
                <w:sz w:val="22"/>
                <w:szCs w:val="22"/>
              </w:rPr>
              <w:t>. gads</w:t>
            </w:r>
          </w:p>
        </w:tc>
        <w:tc>
          <w:tcPr>
            <w:tcW w:w="5814" w:type="dxa"/>
            <w:gridSpan w:val="5"/>
            <w:hideMark/>
          </w:tcPr>
          <w:p w:rsidR="00A5325C" w:rsidRPr="009C54EC" w:rsidRDefault="00A5325C" w:rsidP="00FC7224">
            <w:pPr>
              <w:pStyle w:val="tvhtml"/>
              <w:spacing w:line="293" w:lineRule="atLeast"/>
              <w:jc w:val="center"/>
              <w:rPr>
                <w:sz w:val="22"/>
                <w:szCs w:val="22"/>
              </w:rPr>
            </w:pPr>
            <w:r w:rsidRPr="009C54EC">
              <w:rPr>
                <w:sz w:val="22"/>
                <w:szCs w:val="22"/>
              </w:rPr>
              <w:t>Turpmākie trīs gadi (</w:t>
            </w:r>
            <w:proofErr w:type="spellStart"/>
            <w:r w:rsidR="0079116B" w:rsidRPr="0079116B">
              <w:rPr>
                <w:i/>
                <w:iCs/>
                <w:sz w:val="22"/>
                <w:szCs w:val="22"/>
              </w:rPr>
              <w:t>euro</w:t>
            </w:r>
            <w:proofErr w:type="spellEnd"/>
            <w:r w:rsidRPr="009C54EC">
              <w:rPr>
                <w:sz w:val="22"/>
                <w:szCs w:val="22"/>
              </w:rPr>
              <w:t>)</w:t>
            </w:r>
          </w:p>
        </w:tc>
      </w:tr>
      <w:tr w:rsidR="00A5325C" w:rsidRPr="009A75D6" w:rsidTr="007D5B0B">
        <w:tc>
          <w:tcPr>
            <w:tcW w:w="1985" w:type="dxa"/>
            <w:vMerge/>
            <w:hideMark/>
          </w:tcPr>
          <w:p w:rsidR="00A5325C" w:rsidRPr="009C54EC" w:rsidRDefault="00A5325C" w:rsidP="00FC7224">
            <w:pPr>
              <w:rPr>
                <w:b/>
                <w:bCs/>
              </w:rPr>
            </w:pPr>
          </w:p>
        </w:tc>
        <w:tc>
          <w:tcPr>
            <w:tcW w:w="2410" w:type="dxa"/>
            <w:gridSpan w:val="2"/>
            <w:vMerge/>
            <w:hideMark/>
          </w:tcPr>
          <w:p w:rsidR="00A5325C" w:rsidRPr="009C54EC" w:rsidRDefault="00A5325C" w:rsidP="00FC7224">
            <w:pPr>
              <w:rPr>
                <w:rFonts w:ascii="Times New Roman" w:hAnsi="Times New Roman" w:cs="Times New Roman"/>
                <w:b/>
                <w:bCs/>
              </w:rPr>
            </w:pPr>
          </w:p>
        </w:tc>
        <w:tc>
          <w:tcPr>
            <w:tcW w:w="2268" w:type="dxa"/>
            <w:gridSpan w:val="2"/>
            <w:hideMark/>
          </w:tcPr>
          <w:p w:rsidR="00A5325C" w:rsidRPr="009C54EC" w:rsidRDefault="00544EB5" w:rsidP="00FC7224">
            <w:pPr>
              <w:pStyle w:val="tvhtml"/>
              <w:spacing w:line="293" w:lineRule="atLeast"/>
              <w:jc w:val="center"/>
              <w:rPr>
                <w:b/>
                <w:bCs/>
                <w:sz w:val="22"/>
                <w:szCs w:val="22"/>
              </w:rPr>
            </w:pPr>
            <w:r>
              <w:rPr>
                <w:b/>
                <w:bCs/>
                <w:sz w:val="22"/>
                <w:szCs w:val="22"/>
              </w:rPr>
              <w:t>2020</w:t>
            </w:r>
            <w:r w:rsidR="00A5325C" w:rsidRPr="009C54EC">
              <w:rPr>
                <w:b/>
                <w:bCs/>
                <w:sz w:val="22"/>
                <w:szCs w:val="22"/>
              </w:rPr>
              <w:t>.gads</w:t>
            </w:r>
          </w:p>
        </w:tc>
        <w:tc>
          <w:tcPr>
            <w:tcW w:w="2233" w:type="dxa"/>
            <w:gridSpan w:val="2"/>
            <w:hideMark/>
          </w:tcPr>
          <w:p w:rsidR="00A5325C" w:rsidRPr="009C54EC" w:rsidRDefault="00544EB5" w:rsidP="00FC7224">
            <w:pPr>
              <w:pStyle w:val="tvhtml"/>
              <w:spacing w:line="293" w:lineRule="atLeast"/>
              <w:jc w:val="center"/>
              <w:rPr>
                <w:b/>
                <w:bCs/>
                <w:sz w:val="22"/>
                <w:szCs w:val="22"/>
              </w:rPr>
            </w:pPr>
            <w:r>
              <w:rPr>
                <w:b/>
                <w:bCs/>
                <w:sz w:val="22"/>
                <w:szCs w:val="22"/>
              </w:rPr>
              <w:t>2021</w:t>
            </w:r>
            <w:r w:rsidR="00A5325C" w:rsidRPr="009C54EC">
              <w:rPr>
                <w:b/>
                <w:bCs/>
                <w:sz w:val="22"/>
                <w:szCs w:val="22"/>
              </w:rPr>
              <w:t>.gads</w:t>
            </w:r>
          </w:p>
        </w:tc>
        <w:tc>
          <w:tcPr>
            <w:tcW w:w="1313" w:type="dxa"/>
            <w:hideMark/>
          </w:tcPr>
          <w:p w:rsidR="00A5325C" w:rsidRPr="009C54EC" w:rsidRDefault="00544EB5" w:rsidP="00FC7224">
            <w:pPr>
              <w:pStyle w:val="tvhtml"/>
              <w:spacing w:line="293" w:lineRule="atLeast"/>
              <w:jc w:val="center"/>
              <w:rPr>
                <w:b/>
                <w:bCs/>
                <w:sz w:val="22"/>
                <w:szCs w:val="22"/>
              </w:rPr>
            </w:pPr>
            <w:r>
              <w:rPr>
                <w:b/>
                <w:bCs/>
                <w:sz w:val="22"/>
                <w:szCs w:val="22"/>
              </w:rPr>
              <w:t>2022</w:t>
            </w:r>
            <w:r w:rsidR="00A5325C" w:rsidRPr="009C54EC">
              <w:rPr>
                <w:b/>
                <w:bCs/>
                <w:sz w:val="22"/>
                <w:szCs w:val="22"/>
              </w:rPr>
              <w:t>.gads</w:t>
            </w:r>
          </w:p>
        </w:tc>
      </w:tr>
      <w:tr w:rsidR="00A5325C" w:rsidRPr="009A75D6" w:rsidTr="007F7105">
        <w:tc>
          <w:tcPr>
            <w:tcW w:w="1985" w:type="dxa"/>
            <w:vMerge/>
            <w:hideMark/>
          </w:tcPr>
          <w:p w:rsidR="00A5325C" w:rsidRPr="009C54EC" w:rsidRDefault="00A5325C" w:rsidP="00FC7224">
            <w:pPr>
              <w:rPr>
                <w:b/>
                <w:bCs/>
              </w:rPr>
            </w:pPr>
          </w:p>
        </w:tc>
        <w:tc>
          <w:tcPr>
            <w:tcW w:w="1276" w:type="dxa"/>
            <w:hideMark/>
          </w:tcPr>
          <w:p w:rsidR="00A5325C" w:rsidRPr="009C54EC" w:rsidRDefault="00A5325C" w:rsidP="00FC7224">
            <w:pPr>
              <w:pStyle w:val="tvhtml"/>
              <w:spacing w:line="293" w:lineRule="atLeast"/>
              <w:jc w:val="center"/>
              <w:rPr>
                <w:sz w:val="22"/>
                <w:szCs w:val="22"/>
              </w:rPr>
            </w:pPr>
            <w:r w:rsidRPr="009C54EC">
              <w:rPr>
                <w:sz w:val="22"/>
                <w:szCs w:val="22"/>
              </w:rPr>
              <w:t>saskaņā ar valsts budžetu kārtējam gadam</w:t>
            </w:r>
          </w:p>
        </w:tc>
        <w:tc>
          <w:tcPr>
            <w:tcW w:w="1134" w:type="dxa"/>
            <w:hideMark/>
          </w:tcPr>
          <w:p w:rsidR="00A5325C" w:rsidRPr="009C54EC" w:rsidRDefault="00A5325C" w:rsidP="00FC7224">
            <w:pPr>
              <w:pStyle w:val="tvhtml"/>
              <w:spacing w:line="293" w:lineRule="atLeast"/>
              <w:jc w:val="center"/>
              <w:rPr>
                <w:sz w:val="22"/>
                <w:szCs w:val="22"/>
              </w:rPr>
            </w:pPr>
            <w:r w:rsidRPr="009C54EC">
              <w:rPr>
                <w:sz w:val="22"/>
                <w:szCs w:val="22"/>
              </w:rPr>
              <w:t>izmaiņas kārtējā gadā, salīdzinot ar valsts budžetu kārtējam gadam</w:t>
            </w:r>
          </w:p>
        </w:tc>
        <w:tc>
          <w:tcPr>
            <w:tcW w:w="1134" w:type="dxa"/>
            <w:hideMark/>
          </w:tcPr>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saskaņā ar</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vidēja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termiņa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budžeta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ietvaru</w:t>
            </w:r>
          </w:p>
        </w:tc>
        <w:tc>
          <w:tcPr>
            <w:tcW w:w="1134" w:type="dxa"/>
          </w:tcPr>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izmaiņas,</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salīdzinot ar</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vidēja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termiņa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budžeta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ietvaru 20</w:t>
            </w:r>
            <w:r w:rsidR="00680BCA">
              <w:rPr>
                <w:sz w:val="22"/>
                <w:szCs w:val="22"/>
              </w:rPr>
              <w:t>20</w:t>
            </w:r>
            <w:r w:rsidRPr="009C54EC">
              <w:rPr>
                <w:sz w:val="22"/>
                <w:szCs w:val="22"/>
              </w:rPr>
              <w:t>.</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gadam</w:t>
            </w:r>
          </w:p>
        </w:tc>
        <w:tc>
          <w:tcPr>
            <w:tcW w:w="1133" w:type="dxa"/>
            <w:hideMark/>
          </w:tcPr>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saskaņā ar</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vidēja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termiņa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budžeta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ietvaru</w:t>
            </w:r>
          </w:p>
        </w:tc>
        <w:tc>
          <w:tcPr>
            <w:tcW w:w="1100" w:type="dxa"/>
          </w:tcPr>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izmaiņas,</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salīdzinot ar</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vidēja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termiņa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budžeta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ietvaru 202</w:t>
            </w:r>
            <w:r w:rsidR="00680BCA">
              <w:rPr>
                <w:sz w:val="22"/>
                <w:szCs w:val="22"/>
              </w:rPr>
              <w:t>1</w:t>
            </w:r>
            <w:r w:rsidRPr="009C54EC">
              <w:rPr>
                <w:sz w:val="22"/>
                <w:szCs w:val="22"/>
              </w:rPr>
              <w:t>.</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gadam</w:t>
            </w:r>
          </w:p>
        </w:tc>
        <w:tc>
          <w:tcPr>
            <w:tcW w:w="1313" w:type="dxa"/>
            <w:hideMark/>
          </w:tcPr>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izmaiņas,</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salīdzinot ar</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vidēja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termiņa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budžeta</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ietvaru 2021.</w:t>
            </w:r>
          </w:p>
          <w:p w:rsidR="00A5325C" w:rsidRPr="009C54EC" w:rsidRDefault="00A5325C" w:rsidP="00FC7224">
            <w:pPr>
              <w:pStyle w:val="tvhtml"/>
              <w:spacing w:before="0" w:beforeAutospacing="0" w:after="0" w:afterAutospacing="0" w:line="293" w:lineRule="atLeast"/>
              <w:jc w:val="center"/>
              <w:rPr>
                <w:sz w:val="22"/>
                <w:szCs w:val="22"/>
              </w:rPr>
            </w:pPr>
            <w:r w:rsidRPr="009C54EC">
              <w:rPr>
                <w:sz w:val="22"/>
                <w:szCs w:val="22"/>
              </w:rPr>
              <w:t>gadam</w:t>
            </w:r>
          </w:p>
        </w:tc>
      </w:tr>
      <w:tr w:rsidR="00A5325C" w:rsidRPr="009A75D6" w:rsidTr="004233AB">
        <w:tc>
          <w:tcPr>
            <w:tcW w:w="1985" w:type="dxa"/>
          </w:tcPr>
          <w:p w:rsidR="00A5325C" w:rsidRPr="00271879" w:rsidRDefault="00A5325C" w:rsidP="00FC7224">
            <w:pPr>
              <w:jc w:val="center"/>
              <w:rPr>
                <w:rFonts w:ascii="Times New Roman" w:hAnsi="Times New Roman" w:cs="Times New Roman"/>
                <w:bCs/>
              </w:rPr>
            </w:pPr>
            <w:r w:rsidRPr="00271879">
              <w:rPr>
                <w:rFonts w:ascii="Times New Roman" w:hAnsi="Times New Roman" w:cs="Times New Roman"/>
                <w:bCs/>
              </w:rPr>
              <w:t>1</w:t>
            </w:r>
          </w:p>
        </w:tc>
        <w:tc>
          <w:tcPr>
            <w:tcW w:w="1276" w:type="dxa"/>
          </w:tcPr>
          <w:p w:rsidR="00A5325C" w:rsidRPr="00A5325C" w:rsidRDefault="00A5325C" w:rsidP="00FC7224">
            <w:pPr>
              <w:pStyle w:val="tvhtml"/>
              <w:spacing w:line="293" w:lineRule="atLeast"/>
              <w:jc w:val="center"/>
            </w:pPr>
            <w:r w:rsidRPr="00A5325C">
              <w:t>2</w:t>
            </w:r>
          </w:p>
        </w:tc>
        <w:tc>
          <w:tcPr>
            <w:tcW w:w="1134" w:type="dxa"/>
          </w:tcPr>
          <w:p w:rsidR="00A5325C" w:rsidRPr="00A5325C" w:rsidRDefault="00A5325C" w:rsidP="00FC7224">
            <w:pPr>
              <w:pStyle w:val="tvhtml"/>
              <w:spacing w:line="293" w:lineRule="atLeast"/>
              <w:jc w:val="center"/>
            </w:pPr>
            <w:r w:rsidRPr="00A5325C">
              <w:t>3</w:t>
            </w:r>
          </w:p>
        </w:tc>
        <w:tc>
          <w:tcPr>
            <w:tcW w:w="1134" w:type="dxa"/>
          </w:tcPr>
          <w:p w:rsidR="00A5325C" w:rsidRPr="00A5325C" w:rsidRDefault="00A5325C" w:rsidP="00FC7224">
            <w:pPr>
              <w:pStyle w:val="tvhtml"/>
              <w:spacing w:before="0" w:beforeAutospacing="0" w:after="0" w:afterAutospacing="0" w:line="293" w:lineRule="atLeast"/>
              <w:jc w:val="center"/>
            </w:pPr>
            <w:r w:rsidRPr="00A5325C">
              <w:t>4</w:t>
            </w:r>
          </w:p>
        </w:tc>
        <w:tc>
          <w:tcPr>
            <w:tcW w:w="1134" w:type="dxa"/>
          </w:tcPr>
          <w:p w:rsidR="00A5325C" w:rsidRPr="00A5325C" w:rsidRDefault="00A5325C" w:rsidP="00FC7224">
            <w:pPr>
              <w:pStyle w:val="tvhtml"/>
              <w:spacing w:before="0" w:beforeAutospacing="0" w:after="0" w:afterAutospacing="0" w:line="293" w:lineRule="atLeast"/>
              <w:jc w:val="center"/>
            </w:pPr>
            <w:r w:rsidRPr="00A5325C">
              <w:t>5</w:t>
            </w:r>
          </w:p>
        </w:tc>
        <w:tc>
          <w:tcPr>
            <w:tcW w:w="1133" w:type="dxa"/>
          </w:tcPr>
          <w:p w:rsidR="00A5325C" w:rsidRPr="00A5325C" w:rsidRDefault="00A5325C" w:rsidP="00FC7224">
            <w:pPr>
              <w:pStyle w:val="tvhtml"/>
              <w:spacing w:before="0" w:beforeAutospacing="0" w:after="0" w:afterAutospacing="0" w:line="293" w:lineRule="atLeast"/>
              <w:jc w:val="center"/>
            </w:pPr>
            <w:r w:rsidRPr="00A5325C">
              <w:t>6</w:t>
            </w:r>
          </w:p>
        </w:tc>
        <w:tc>
          <w:tcPr>
            <w:tcW w:w="1100" w:type="dxa"/>
          </w:tcPr>
          <w:p w:rsidR="00A5325C" w:rsidRPr="00A5325C" w:rsidRDefault="00A5325C" w:rsidP="00FC7224">
            <w:pPr>
              <w:pStyle w:val="tvhtml"/>
              <w:spacing w:before="0" w:beforeAutospacing="0" w:after="0" w:afterAutospacing="0" w:line="293" w:lineRule="atLeast"/>
              <w:jc w:val="center"/>
            </w:pPr>
            <w:r w:rsidRPr="00A5325C">
              <w:t>7</w:t>
            </w:r>
          </w:p>
        </w:tc>
        <w:tc>
          <w:tcPr>
            <w:tcW w:w="1313" w:type="dxa"/>
          </w:tcPr>
          <w:p w:rsidR="00A5325C" w:rsidRPr="00A5325C" w:rsidRDefault="00A5325C" w:rsidP="00FC7224">
            <w:pPr>
              <w:pStyle w:val="tvhtml"/>
              <w:spacing w:before="0" w:beforeAutospacing="0" w:after="0" w:afterAutospacing="0" w:line="293" w:lineRule="atLeast"/>
              <w:jc w:val="center"/>
            </w:pPr>
            <w:r w:rsidRPr="00A5325C">
              <w:t>8</w:t>
            </w:r>
          </w:p>
        </w:tc>
      </w:tr>
      <w:tr w:rsidR="00EB2C23" w:rsidRPr="009A75D6" w:rsidTr="004233AB">
        <w:tc>
          <w:tcPr>
            <w:tcW w:w="1985" w:type="dxa"/>
          </w:tcPr>
          <w:p w:rsidR="00EB2C23" w:rsidRPr="00A5325C" w:rsidRDefault="00EB2C23" w:rsidP="00EB2C23">
            <w:pPr>
              <w:rPr>
                <w:rFonts w:ascii="Times New Roman" w:hAnsi="Times New Roman" w:cs="Times New Roman"/>
                <w:b/>
              </w:rPr>
            </w:pPr>
            <w:bookmarkStart w:id="2" w:name="_Hlk527979063"/>
            <w:r w:rsidRPr="00A5325C">
              <w:rPr>
                <w:rFonts w:ascii="Times New Roman" w:hAnsi="Times New Roman" w:cs="Times New Roman"/>
                <w:b/>
              </w:rPr>
              <w:t>1. Budžeta ieņēmumi</w:t>
            </w:r>
          </w:p>
        </w:tc>
        <w:tc>
          <w:tcPr>
            <w:tcW w:w="1276" w:type="dxa"/>
          </w:tcPr>
          <w:p w:rsidR="00EB2C23" w:rsidRPr="00E83DF7" w:rsidRDefault="00C87EF3" w:rsidP="00574785">
            <w:pPr>
              <w:pStyle w:val="tvhtml"/>
              <w:spacing w:line="293" w:lineRule="atLeast"/>
              <w:jc w:val="center"/>
              <w:rPr>
                <w:b/>
                <w:sz w:val="18"/>
                <w:szCs w:val="18"/>
              </w:rPr>
            </w:pPr>
            <w:r>
              <w:rPr>
                <w:b/>
                <w:sz w:val="18"/>
                <w:szCs w:val="18"/>
              </w:rPr>
              <w:t>17 626 022</w:t>
            </w:r>
          </w:p>
        </w:tc>
        <w:tc>
          <w:tcPr>
            <w:tcW w:w="1134" w:type="dxa"/>
          </w:tcPr>
          <w:p w:rsidR="00EB2C23" w:rsidRPr="00E83DF7" w:rsidRDefault="00FF3EF5" w:rsidP="00574785">
            <w:pPr>
              <w:pStyle w:val="tvhtml"/>
              <w:spacing w:line="293" w:lineRule="atLeast"/>
              <w:jc w:val="center"/>
              <w:rPr>
                <w:b/>
                <w:sz w:val="18"/>
                <w:szCs w:val="18"/>
              </w:rPr>
            </w:pPr>
            <w:r>
              <w:rPr>
                <w:b/>
                <w:sz w:val="18"/>
                <w:szCs w:val="18"/>
              </w:rPr>
              <w:t>0</w:t>
            </w:r>
          </w:p>
        </w:tc>
        <w:tc>
          <w:tcPr>
            <w:tcW w:w="1134" w:type="dxa"/>
          </w:tcPr>
          <w:p w:rsidR="00EB2C23" w:rsidRPr="00E83DF7" w:rsidRDefault="00A27A68" w:rsidP="00574785">
            <w:pPr>
              <w:pStyle w:val="tvhtml"/>
              <w:spacing w:before="0" w:beforeAutospacing="0" w:after="0" w:afterAutospacing="0" w:line="293" w:lineRule="atLeast"/>
              <w:jc w:val="center"/>
              <w:rPr>
                <w:b/>
                <w:sz w:val="18"/>
                <w:szCs w:val="18"/>
              </w:rPr>
            </w:pPr>
            <w:r>
              <w:rPr>
                <w:b/>
                <w:sz w:val="18"/>
                <w:szCs w:val="18"/>
              </w:rPr>
              <w:t>20 354 665</w:t>
            </w:r>
          </w:p>
        </w:tc>
        <w:tc>
          <w:tcPr>
            <w:tcW w:w="1134" w:type="dxa"/>
          </w:tcPr>
          <w:p w:rsidR="00EB2C23" w:rsidRPr="00E83DF7" w:rsidRDefault="00FF3EF5" w:rsidP="00574785">
            <w:pPr>
              <w:pStyle w:val="tvhtml"/>
              <w:spacing w:before="0" w:beforeAutospacing="0" w:after="0" w:afterAutospacing="0" w:line="293" w:lineRule="atLeast"/>
              <w:jc w:val="center"/>
              <w:rPr>
                <w:b/>
                <w:sz w:val="18"/>
                <w:szCs w:val="18"/>
              </w:rPr>
            </w:pPr>
            <w:r>
              <w:rPr>
                <w:b/>
                <w:sz w:val="18"/>
                <w:szCs w:val="18"/>
              </w:rPr>
              <w:t>0</w:t>
            </w:r>
          </w:p>
        </w:tc>
        <w:tc>
          <w:tcPr>
            <w:tcW w:w="1133" w:type="dxa"/>
          </w:tcPr>
          <w:p w:rsidR="00EB2C23" w:rsidRPr="00E83DF7" w:rsidRDefault="00A27A68" w:rsidP="00574785">
            <w:pPr>
              <w:pStyle w:val="tvhtml"/>
              <w:spacing w:before="0" w:beforeAutospacing="0" w:after="0" w:afterAutospacing="0" w:line="293" w:lineRule="atLeast"/>
              <w:jc w:val="center"/>
              <w:rPr>
                <w:b/>
                <w:sz w:val="18"/>
                <w:szCs w:val="18"/>
              </w:rPr>
            </w:pPr>
            <w:r>
              <w:rPr>
                <w:b/>
                <w:sz w:val="18"/>
                <w:szCs w:val="18"/>
              </w:rPr>
              <w:t>21 832 077</w:t>
            </w:r>
          </w:p>
        </w:tc>
        <w:tc>
          <w:tcPr>
            <w:tcW w:w="1100" w:type="dxa"/>
          </w:tcPr>
          <w:p w:rsidR="00EB2C23" w:rsidRPr="00E83DF7" w:rsidRDefault="00FF3EF5" w:rsidP="00574785">
            <w:pPr>
              <w:pStyle w:val="tvhtml"/>
              <w:spacing w:before="0" w:beforeAutospacing="0" w:after="0" w:afterAutospacing="0" w:line="293" w:lineRule="atLeast"/>
              <w:jc w:val="center"/>
              <w:rPr>
                <w:b/>
                <w:sz w:val="18"/>
                <w:szCs w:val="18"/>
              </w:rPr>
            </w:pPr>
            <w:r>
              <w:rPr>
                <w:b/>
                <w:sz w:val="18"/>
                <w:szCs w:val="18"/>
              </w:rPr>
              <w:t>0</w:t>
            </w:r>
          </w:p>
        </w:tc>
        <w:tc>
          <w:tcPr>
            <w:tcW w:w="1313" w:type="dxa"/>
          </w:tcPr>
          <w:p w:rsidR="00EB2C23" w:rsidRPr="00DE0535" w:rsidRDefault="00FF3EF5" w:rsidP="00574785">
            <w:pPr>
              <w:pStyle w:val="tvhtml"/>
              <w:spacing w:before="0" w:beforeAutospacing="0" w:after="0" w:afterAutospacing="0" w:line="293" w:lineRule="atLeast"/>
              <w:jc w:val="center"/>
              <w:rPr>
                <w:b/>
                <w:sz w:val="18"/>
                <w:szCs w:val="18"/>
              </w:rPr>
            </w:pPr>
            <w:r w:rsidRPr="00DE0535">
              <w:rPr>
                <w:b/>
                <w:sz w:val="18"/>
                <w:szCs w:val="18"/>
              </w:rPr>
              <w:t>0</w:t>
            </w:r>
          </w:p>
        </w:tc>
      </w:tr>
      <w:tr w:rsidR="00EB2C23" w:rsidRPr="009A75D6" w:rsidTr="004233AB">
        <w:tc>
          <w:tcPr>
            <w:tcW w:w="1985" w:type="dxa"/>
          </w:tcPr>
          <w:p w:rsidR="00EB2C23" w:rsidRPr="00A5325C" w:rsidRDefault="00EB2C23" w:rsidP="00EB2C23">
            <w:pPr>
              <w:rPr>
                <w:rFonts w:ascii="Times New Roman" w:hAnsi="Times New Roman" w:cs="Times New Roman"/>
              </w:rPr>
            </w:pPr>
            <w:r w:rsidRPr="00A5325C">
              <w:rPr>
                <w:rFonts w:ascii="Times New Roman" w:hAnsi="Times New Roman" w:cs="Times New Roman"/>
              </w:rPr>
              <w:t>1.1. valsts pamatbudžets, tai skaitā ieņēmumi no maksas pakalpojumiem un citi pašu ieņēmumi</w:t>
            </w:r>
          </w:p>
        </w:tc>
        <w:tc>
          <w:tcPr>
            <w:tcW w:w="1276" w:type="dxa"/>
          </w:tcPr>
          <w:p w:rsidR="00EB2C23" w:rsidRPr="00E83DF7" w:rsidRDefault="00FF3EF5" w:rsidP="00574785">
            <w:pPr>
              <w:pStyle w:val="tvhtml"/>
              <w:spacing w:line="293" w:lineRule="atLeast"/>
              <w:jc w:val="center"/>
              <w:rPr>
                <w:sz w:val="18"/>
                <w:szCs w:val="18"/>
              </w:rPr>
            </w:pPr>
            <w:r>
              <w:rPr>
                <w:sz w:val="18"/>
                <w:szCs w:val="18"/>
              </w:rPr>
              <w:t>0</w:t>
            </w:r>
          </w:p>
        </w:tc>
        <w:tc>
          <w:tcPr>
            <w:tcW w:w="1134" w:type="dxa"/>
          </w:tcPr>
          <w:p w:rsidR="00EB2C23" w:rsidRPr="00E83DF7" w:rsidRDefault="00FF3EF5" w:rsidP="00574785">
            <w:pPr>
              <w:pStyle w:val="tvhtml"/>
              <w:spacing w:line="293" w:lineRule="atLeast"/>
              <w:jc w:val="center"/>
              <w:rPr>
                <w:sz w:val="18"/>
                <w:szCs w:val="18"/>
              </w:rPr>
            </w:pPr>
            <w:r>
              <w:rPr>
                <w:sz w:val="18"/>
                <w:szCs w:val="18"/>
              </w:rPr>
              <w:t>0</w:t>
            </w:r>
          </w:p>
        </w:tc>
        <w:tc>
          <w:tcPr>
            <w:tcW w:w="1134" w:type="dxa"/>
          </w:tcPr>
          <w:p w:rsidR="00EB2C23"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134" w:type="dxa"/>
          </w:tcPr>
          <w:p w:rsidR="00EB2C23"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133" w:type="dxa"/>
          </w:tcPr>
          <w:p w:rsidR="00EB2C23"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100" w:type="dxa"/>
          </w:tcPr>
          <w:p w:rsidR="00EB2C23"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313" w:type="dxa"/>
          </w:tcPr>
          <w:p w:rsidR="00EB2C23"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r>
      <w:bookmarkEnd w:id="2"/>
      <w:tr w:rsidR="00FF3EF5" w:rsidRPr="009A75D6" w:rsidTr="004233AB">
        <w:tc>
          <w:tcPr>
            <w:tcW w:w="1985" w:type="dxa"/>
          </w:tcPr>
          <w:p w:rsidR="00FF3EF5" w:rsidRPr="00A5325C" w:rsidRDefault="00FF3EF5" w:rsidP="00FF3EF5">
            <w:pPr>
              <w:rPr>
                <w:rFonts w:ascii="Times New Roman" w:hAnsi="Times New Roman" w:cs="Times New Roman"/>
              </w:rPr>
            </w:pPr>
            <w:r>
              <w:rPr>
                <w:rFonts w:ascii="Times New Roman" w:hAnsi="Times New Roman" w:cs="Times New Roman"/>
              </w:rPr>
              <w:t>02</w:t>
            </w:r>
            <w:r w:rsidRPr="00A5325C">
              <w:rPr>
                <w:rFonts w:ascii="Times New Roman" w:hAnsi="Times New Roman" w:cs="Times New Roman"/>
              </w:rPr>
              <w:t>.04.00</w:t>
            </w:r>
          </w:p>
        </w:tc>
        <w:tc>
          <w:tcPr>
            <w:tcW w:w="1276" w:type="dxa"/>
          </w:tcPr>
          <w:p w:rsidR="00FF3EF5" w:rsidRPr="00E83DF7" w:rsidRDefault="00FF3EF5" w:rsidP="00574785">
            <w:pPr>
              <w:pStyle w:val="tvhtml"/>
              <w:spacing w:line="293" w:lineRule="atLeast"/>
              <w:jc w:val="center"/>
              <w:rPr>
                <w:sz w:val="18"/>
                <w:szCs w:val="18"/>
              </w:rPr>
            </w:pPr>
            <w:r>
              <w:rPr>
                <w:sz w:val="18"/>
                <w:szCs w:val="18"/>
              </w:rPr>
              <w:t>17 626 022</w:t>
            </w:r>
          </w:p>
        </w:tc>
        <w:tc>
          <w:tcPr>
            <w:tcW w:w="1134" w:type="dxa"/>
          </w:tcPr>
          <w:p w:rsidR="00FF3EF5" w:rsidRPr="00E83DF7" w:rsidRDefault="00FF3EF5" w:rsidP="00574785">
            <w:pPr>
              <w:pStyle w:val="tvhtml"/>
              <w:spacing w:line="293" w:lineRule="atLeast"/>
              <w:jc w:val="center"/>
              <w:rPr>
                <w:sz w:val="18"/>
                <w:szCs w:val="18"/>
              </w:rPr>
            </w:pPr>
            <w:r>
              <w:rPr>
                <w:sz w:val="18"/>
                <w:szCs w:val="18"/>
              </w:rPr>
              <w:t>0</w:t>
            </w:r>
          </w:p>
        </w:tc>
        <w:tc>
          <w:tcPr>
            <w:tcW w:w="1134" w:type="dxa"/>
          </w:tcPr>
          <w:p w:rsidR="00FF3EF5" w:rsidRPr="00E83DF7" w:rsidRDefault="00A27A68" w:rsidP="00574785">
            <w:pPr>
              <w:pStyle w:val="tvhtml"/>
              <w:spacing w:before="0" w:beforeAutospacing="0" w:after="0" w:afterAutospacing="0" w:line="293" w:lineRule="atLeast"/>
              <w:jc w:val="center"/>
              <w:rPr>
                <w:sz w:val="18"/>
                <w:szCs w:val="18"/>
              </w:rPr>
            </w:pPr>
            <w:r>
              <w:rPr>
                <w:sz w:val="18"/>
                <w:szCs w:val="18"/>
              </w:rPr>
              <w:t>20 354 665</w:t>
            </w:r>
          </w:p>
        </w:tc>
        <w:tc>
          <w:tcPr>
            <w:tcW w:w="1134" w:type="dxa"/>
          </w:tcPr>
          <w:p w:rsidR="00FF3EF5"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133" w:type="dxa"/>
          </w:tcPr>
          <w:p w:rsidR="00FF3EF5" w:rsidRPr="00E83DF7" w:rsidRDefault="00A27A68" w:rsidP="00574785">
            <w:pPr>
              <w:pStyle w:val="tvhtml"/>
              <w:spacing w:before="0" w:beforeAutospacing="0" w:after="0" w:afterAutospacing="0" w:line="293" w:lineRule="atLeast"/>
              <w:jc w:val="center"/>
              <w:rPr>
                <w:sz w:val="18"/>
                <w:szCs w:val="18"/>
              </w:rPr>
            </w:pPr>
            <w:r>
              <w:rPr>
                <w:sz w:val="18"/>
                <w:szCs w:val="18"/>
              </w:rPr>
              <w:t>21 832 077</w:t>
            </w:r>
          </w:p>
        </w:tc>
        <w:tc>
          <w:tcPr>
            <w:tcW w:w="1100" w:type="dxa"/>
          </w:tcPr>
          <w:p w:rsidR="00FF3EF5"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313" w:type="dxa"/>
          </w:tcPr>
          <w:p w:rsidR="00FF3EF5"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r>
      <w:tr w:rsidR="00FF3EF5" w:rsidRPr="009A75D6" w:rsidTr="004233AB">
        <w:tc>
          <w:tcPr>
            <w:tcW w:w="1985" w:type="dxa"/>
          </w:tcPr>
          <w:p w:rsidR="00FF3EF5" w:rsidRPr="00A5325C" w:rsidRDefault="00FF3EF5" w:rsidP="00FF3EF5">
            <w:pPr>
              <w:rPr>
                <w:rFonts w:ascii="Times New Roman" w:hAnsi="Times New Roman" w:cs="Times New Roman"/>
              </w:rPr>
            </w:pPr>
            <w:r w:rsidRPr="00A5325C">
              <w:rPr>
                <w:rFonts w:ascii="Times New Roman" w:hAnsi="Times New Roman" w:cs="Times New Roman"/>
              </w:rPr>
              <w:t>1.2. valsts speciālais budžets</w:t>
            </w:r>
          </w:p>
        </w:tc>
        <w:tc>
          <w:tcPr>
            <w:tcW w:w="1276" w:type="dxa"/>
          </w:tcPr>
          <w:p w:rsidR="00FF3EF5" w:rsidRPr="00E83DF7" w:rsidRDefault="00574785" w:rsidP="00574785">
            <w:pPr>
              <w:pStyle w:val="tvhtml"/>
              <w:spacing w:line="293" w:lineRule="atLeast"/>
              <w:jc w:val="center"/>
              <w:rPr>
                <w:sz w:val="18"/>
                <w:szCs w:val="18"/>
              </w:rPr>
            </w:pPr>
            <w:r>
              <w:rPr>
                <w:sz w:val="18"/>
                <w:szCs w:val="18"/>
              </w:rPr>
              <w:t>0</w:t>
            </w:r>
          </w:p>
        </w:tc>
        <w:tc>
          <w:tcPr>
            <w:tcW w:w="1134" w:type="dxa"/>
          </w:tcPr>
          <w:p w:rsidR="00FF3EF5" w:rsidRPr="00E83DF7" w:rsidRDefault="00FF3EF5" w:rsidP="00574785">
            <w:pPr>
              <w:pStyle w:val="tvhtml"/>
              <w:spacing w:line="293" w:lineRule="atLeast"/>
              <w:jc w:val="center"/>
              <w:rPr>
                <w:sz w:val="18"/>
                <w:szCs w:val="18"/>
              </w:rPr>
            </w:pPr>
            <w:r w:rsidRPr="001F378E">
              <w:rPr>
                <w:sz w:val="18"/>
                <w:szCs w:val="18"/>
              </w:rPr>
              <w:t>0</w:t>
            </w:r>
          </w:p>
        </w:tc>
        <w:tc>
          <w:tcPr>
            <w:tcW w:w="1134" w:type="dxa"/>
          </w:tcPr>
          <w:p w:rsidR="00FF3EF5"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134" w:type="dxa"/>
          </w:tcPr>
          <w:p w:rsidR="00FF3EF5"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133" w:type="dxa"/>
          </w:tcPr>
          <w:p w:rsidR="00FF3EF5"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100" w:type="dxa"/>
          </w:tcPr>
          <w:p w:rsidR="00FF3EF5"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313" w:type="dxa"/>
          </w:tcPr>
          <w:p w:rsidR="00FF3EF5"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r>
      <w:tr w:rsidR="00FF3EF5" w:rsidRPr="009A75D6" w:rsidTr="004233AB">
        <w:tc>
          <w:tcPr>
            <w:tcW w:w="1985" w:type="dxa"/>
          </w:tcPr>
          <w:p w:rsidR="00FF3EF5" w:rsidRPr="00A5325C" w:rsidRDefault="00FF3EF5" w:rsidP="00FF3EF5">
            <w:pPr>
              <w:rPr>
                <w:rFonts w:ascii="Times New Roman" w:hAnsi="Times New Roman" w:cs="Times New Roman"/>
              </w:rPr>
            </w:pPr>
            <w:r w:rsidRPr="00A5325C">
              <w:rPr>
                <w:rFonts w:ascii="Times New Roman" w:hAnsi="Times New Roman" w:cs="Times New Roman"/>
              </w:rPr>
              <w:t>1.3. pašvaldību budžets</w:t>
            </w:r>
          </w:p>
        </w:tc>
        <w:tc>
          <w:tcPr>
            <w:tcW w:w="1276" w:type="dxa"/>
          </w:tcPr>
          <w:p w:rsidR="00FF3EF5" w:rsidRPr="00E83DF7" w:rsidRDefault="00574785" w:rsidP="00574785">
            <w:pPr>
              <w:pStyle w:val="tvhtml"/>
              <w:spacing w:line="293" w:lineRule="atLeast"/>
              <w:jc w:val="center"/>
              <w:rPr>
                <w:sz w:val="18"/>
                <w:szCs w:val="18"/>
              </w:rPr>
            </w:pPr>
            <w:r>
              <w:rPr>
                <w:sz w:val="18"/>
                <w:szCs w:val="18"/>
              </w:rPr>
              <w:t>0</w:t>
            </w:r>
          </w:p>
        </w:tc>
        <w:tc>
          <w:tcPr>
            <w:tcW w:w="1134" w:type="dxa"/>
          </w:tcPr>
          <w:p w:rsidR="00FF3EF5" w:rsidRPr="00E83DF7" w:rsidRDefault="00FF3EF5" w:rsidP="00574785">
            <w:pPr>
              <w:pStyle w:val="tvhtml"/>
              <w:spacing w:line="293" w:lineRule="atLeast"/>
              <w:jc w:val="center"/>
              <w:rPr>
                <w:sz w:val="18"/>
                <w:szCs w:val="18"/>
              </w:rPr>
            </w:pPr>
            <w:r w:rsidRPr="001F378E">
              <w:rPr>
                <w:sz w:val="18"/>
                <w:szCs w:val="18"/>
              </w:rPr>
              <w:t>0</w:t>
            </w:r>
          </w:p>
        </w:tc>
        <w:tc>
          <w:tcPr>
            <w:tcW w:w="1134" w:type="dxa"/>
          </w:tcPr>
          <w:p w:rsidR="00FF3EF5"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134" w:type="dxa"/>
          </w:tcPr>
          <w:p w:rsidR="00FF3EF5"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133" w:type="dxa"/>
          </w:tcPr>
          <w:p w:rsidR="00FF3EF5"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100" w:type="dxa"/>
          </w:tcPr>
          <w:p w:rsidR="00FF3EF5" w:rsidRPr="00E83DF7" w:rsidRDefault="00FF3EF5" w:rsidP="00574785">
            <w:pPr>
              <w:pStyle w:val="tvhtml"/>
              <w:spacing w:before="0" w:beforeAutospacing="0" w:after="0" w:afterAutospacing="0" w:line="293" w:lineRule="atLeast"/>
              <w:jc w:val="center"/>
              <w:rPr>
                <w:sz w:val="18"/>
                <w:szCs w:val="18"/>
              </w:rPr>
            </w:pPr>
            <w:r>
              <w:rPr>
                <w:sz w:val="18"/>
                <w:szCs w:val="18"/>
              </w:rPr>
              <w:t>0</w:t>
            </w:r>
          </w:p>
        </w:tc>
        <w:tc>
          <w:tcPr>
            <w:tcW w:w="1313" w:type="dxa"/>
          </w:tcPr>
          <w:p w:rsidR="00FF3EF5"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r>
      <w:tr w:rsidR="00FF3EF5" w:rsidRPr="009A75D6" w:rsidTr="00DE0535">
        <w:tc>
          <w:tcPr>
            <w:tcW w:w="1985" w:type="dxa"/>
          </w:tcPr>
          <w:p w:rsidR="00FF3EF5" w:rsidRPr="00A5325C" w:rsidRDefault="00FF3EF5" w:rsidP="00FF3EF5">
            <w:pPr>
              <w:rPr>
                <w:rFonts w:ascii="Times New Roman" w:hAnsi="Times New Roman" w:cs="Times New Roman"/>
                <w:b/>
              </w:rPr>
            </w:pPr>
            <w:r w:rsidRPr="00A5325C">
              <w:rPr>
                <w:rFonts w:ascii="Times New Roman" w:hAnsi="Times New Roman" w:cs="Times New Roman"/>
                <w:b/>
              </w:rPr>
              <w:t>2. Budžeta izdevumi</w:t>
            </w:r>
          </w:p>
        </w:tc>
        <w:tc>
          <w:tcPr>
            <w:tcW w:w="1276" w:type="dxa"/>
          </w:tcPr>
          <w:p w:rsidR="00FF3EF5" w:rsidRPr="00E83DF7" w:rsidRDefault="00FF3EF5" w:rsidP="00574785">
            <w:pPr>
              <w:pStyle w:val="tvhtml"/>
              <w:spacing w:line="293" w:lineRule="atLeast"/>
              <w:jc w:val="center"/>
              <w:rPr>
                <w:b/>
                <w:sz w:val="18"/>
                <w:szCs w:val="18"/>
              </w:rPr>
            </w:pPr>
            <w:r>
              <w:rPr>
                <w:b/>
                <w:sz w:val="18"/>
                <w:szCs w:val="18"/>
              </w:rPr>
              <w:t>17 626 022</w:t>
            </w:r>
          </w:p>
        </w:tc>
        <w:tc>
          <w:tcPr>
            <w:tcW w:w="1134" w:type="dxa"/>
            <w:shd w:val="clear" w:color="auto" w:fill="auto"/>
          </w:tcPr>
          <w:p w:rsidR="00FF3EF5" w:rsidRPr="00E83DF7" w:rsidRDefault="00FF3EF5" w:rsidP="00574785">
            <w:pPr>
              <w:pStyle w:val="tvhtml"/>
              <w:spacing w:line="293" w:lineRule="atLeast"/>
              <w:jc w:val="center"/>
              <w:rPr>
                <w:b/>
                <w:sz w:val="18"/>
                <w:szCs w:val="18"/>
              </w:rPr>
            </w:pPr>
            <w:r w:rsidRPr="001F378E">
              <w:rPr>
                <w:sz w:val="18"/>
                <w:szCs w:val="18"/>
              </w:rPr>
              <w:t>0</w:t>
            </w:r>
          </w:p>
        </w:tc>
        <w:tc>
          <w:tcPr>
            <w:tcW w:w="1134" w:type="dxa"/>
          </w:tcPr>
          <w:p w:rsidR="00FF3EF5" w:rsidRPr="00E83DF7" w:rsidRDefault="00A27A68" w:rsidP="00574785">
            <w:pPr>
              <w:pStyle w:val="tvhtml"/>
              <w:spacing w:before="0" w:beforeAutospacing="0" w:after="0" w:afterAutospacing="0" w:line="293" w:lineRule="atLeast"/>
              <w:jc w:val="center"/>
              <w:rPr>
                <w:b/>
                <w:sz w:val="18"/>
                <w:szCs w:val="18"/>
              </w:rPr>
            </w:pPr>
            <w:r>
              <w:rPr>
                <w:b/>
                <w:sz w:val="18"/>
                <w:szCs w:val="18"/>
              </w:rPr>
              <w:t>20 354 665</w:t>
            </w:r>
          </w:p>
        </w:tc>
        <w:tc>
          <w:tcPr>
            <w:tcW w:w="1134" w:type="dxa"/>
            <w:shd w:val="clear" w:color="auto" w:fill="auto"/>
          </w:tcPr>
          <w:p w:rsidR="00FF3EF5" w:rsidRPr="00E83DF7" w:rsidRDefault="00FF3EF5" w:rsidP="00574785">
            <w:pPr>
              <w:pStyle w:val="tvhtml"/>
              <w:spacing w:before="0" w:beforeAutospacing="0" w:after="0" w:afterAutospacing="0" w:line="293" w:lineRule="atLeast"/>
              <w:jc w:val="center"/>
              <w:rPr>
                <w:b/>
                <w:sz w:val="18"/>
                <w:szCs w:val="18"/>
              </w:rPr>
            </w:pPr>
            <w:r>
              <w:rPr>
                <w:b/>
                <w:sz w:val="18"/>
                <w:szCs w:val="18"/>
              </w:rPr>
              <w:t>2 363 532</w:t>
            </w:r>
          </w:p>
        </w:tc>
        <w:tc>
          <w:tcPr>
            <w:tcW w:w="1133" w:type="dxa"/>
          </w:tcPr>
          <w:p w:rsidR="00FF3EF5" w:rsidRPr="00A27A68" w:rsidRDefault="00A27A68" w:rsidP="00574785">
            <w:pPr>
              <w:pStyle w:val="tvhtml"/>
              <w:spacing w:before="0" w:beforeAutospacing="0" w:after="0" w:afterAutospacing="0" w:line="293" w:lineRule="atLeast"/>
              <w:jc w:val="center"/>
              <w:rPr>
                <w:b/>
                <w:sz w:val="18"/>
                <w:szCs w:val="18"/>
              </w:rPr>
            </w:pPr>
            <w:r w:rsidRPr="00A27A68">
              <w:rPr>
                <w:b/>
                <w:sz w:val="18"/>
                <w:szCs w:val="18"/>
              </w:rPr>
              <w:t>21 832 077</w:t>
            </w:r>
          </w:p>
        </w:tc>
        <w:tc>
          <w:tcPr>
            <w:tcW w:w="1100" w:type="dxa"/>
          </w:tcPr>
          <w:p w:rsidR="00FF3EF5" w:rsidRPr="007846CF" w:rsidRDefault="009E1009" w:rsidP="00574785">
            <w:pPr>
              <w:pStyle w:val="tvhtml"/>
              <w:spacing w:before="0" w:beforeAutospacing="0" w:after="0" w:afterAutospacing="0" w:line="293" w:lineRule="atLeast"/>
              <w:jc w:val="center"/>
              <w:rPr>
                <w:b/>
                <w:sz w:val="18"/>
                <w:szCs w:val="18"/>
                <w:highlight w:val="red"/>
              </w:rPr>
            </w:pPr>
            <w:r>
              <w:rPr>
                <w:sz w:val="18"/>
                <w:szCs w:val="18"/>
              </w:rPr>
              <w:t>2 363 532</w:t>
            </w:r>
          </w:p>
        </w:tc>
        <w:tc>
          <w:tcPr>
            <w:tcW w:w="1313" w:type="dxa"/>
          </w:tcPr>
          <w:p w:rsidR="00FF3EF5" w:rsidRPr="00DE0535" w:rsidRDefault="009E1009" w:rsidP="00574785">
            <w:pPr>
              <w:pStyle w:val="tvhtml"/>
              <w:spacing w:before="0" w:beforeAutospacing="0" w:after="0" w:afterAutospacing="0" w:line="293" w:lineRule="atLeast"/>
              <w:jc w:val="center"/>
              <w:rPr>
                <w:b/>
                <w:sz w:val="18"/>
                <w:szCs w:val="18"/>
              </w:rPr>
            </w:pPr>
            <w:r>
              <w:rPr>
                <w:sz w:val="18"/>
                <w:szCs w:val="18"/>
              </w:rPr>
              <w:t>2 363 532</w:t>
            </w:r>
          </w:p>
        </w:tc>
      </w:tr>
      <w:tr w:rsidR="00FF3EF5" w:rsidRPr="009A75D6" w:rsidTr="00DE0535">
        <w:tc>
          <w:tcPr>
            <w:tcW w:w="1985" w:type="dxa"/>
          </w:tcPr>
          <w:p w:rsidR="00FF3EF5" w:rsidRPr="00A5325C" w:rsidRDefault="00FF3EF5" w:rsidP="00FF3EF5">
            <w:pPr>
              <w:rPr>
                <w:rFonts w:ascii="Times New Roman" w:hAnsi="Times New Roman" w:cs="Times New Roman"/>
              </w:rPr>
            </w:pPr>
            <w:r w:rsidRPr="00A5325C">
              <w:rPr>
                <w:rFonts w:ascii="Times New Roman" w:hAnsi="Times New Roman" w:cs="Times New Roman"/>
              </w:rPr>
              <w:lastRenderedPageBreak/>
              <w:t>2.1. valsts pamatbudžets</w:t>
            </w:r>
          </w:p>
        </w:tc>
        <w:tc>
          <w:tcPr>
            <w:tcW w:w="1276" w:type="dxa"/>
          </w:tcPr>
          <w:p w:rsidR="00FF3EF5" w:rsidRPr="00E83DF7" w:rsidRDefault="00574785" w:rsidP="00574785">
            <w:pPr>
              <w:pStyle w:val="tvhtml"/>
              <w:spacing w:line="293" w:lineRule="atLeast"/>
              <w:jc w:val="center"/>
              <w:rPr>
                <w:sz w:val="18"/>
                <w:szCs w:val="18"/>
              </w:rPr>
            </w:pPr>
            <w:r>
              <w:rPr>
                <w:sz w:val="18"/>
                <w:szCs w:val="18"/>
              </w:rPr>
              <w:t>0</w:t>
            </w:r>
          </w:p>
        </w:tc>
        <w:tc>
          <w:tcPr>
            <w:tcW w:w="1134" w:type="dxa"/>
            <w:shd w:val="clear" w:color="auto" w:fill="auto"/>
          </w:tcPr>
          <w:p w:rsidR="00FF3EF5" w:rsidRPr="00E83DF7" w:rsidRDefault="00FF3EF5" w:rsidP="00574785">
            <w:pPr>
              <w:pStyle w:val="tvhtml"/>
              <w:spacing w:line="293" w:lineRule="atLeast"/>
              <w:jc w:val="center"/>
              <w:rPr>
                <w:sz w:val="18"/>
                <w:szCs w:val="18"/>
              </w:rPr>
            </w:pPr>
            <w:r w:rsidRPr="001F378E">
              <w:rPr>
                <w:sz w:val="18"/>
                <w:szCs w:val="18"/>
              </w:rPr>
              <w:t>0</w:t>
            </w:r>
          </w:p>
        </w:tc>
        <w:tc>
          <w:tcPr>
            <w:tcW w:w="1134" w:type="dxa"/>
          </w:tcPr>
          <w:p w:rsidR="00FF3EF5" w:rsidRPr="00A27A68" w:rsidRDefault="00A27A68" w:rsidP="00574785">
            <w:pPr>
              <w:pStyle w:val="tvhtml"/>
              <w:spacing w:before="0" w:beforeAutospacing="0" w:after="0" w:afterAutospacing="0" w:line="293" w:lineRule="atLeast"/>
              <w:jc w:val="center"/>
              <w:rPr>
                <w:sz w:val="18"/>
                <w:szCs w:val="18"/>
              </w:rPr>
            </w:pPr>
            <w:r w:rsidRPr="00A27A68">
              <w:rPr>
                <w:sz w:val="18"/>
                <w:szCs w:val="18"/>
              </w:rPr>
              <w:t>0</w:t>
            </w:r>
          </w:p>
        </w:tc>
        <w:tc>
          <w:tcPr>
            <w:tcW w:w="1134" w:type="dxa"/>
            <w:shd w:val="clear" w:color="auto" w:fill="auto"/>
          </w:tcPr>
          <w:p w:rsidR="00FF3EF5" w:rsidRPr="00A27A68" w:rsidRDefault="00A27A68" w:rsidP="00574785">
            <w:pPr>
              <w:pStyle w:val="tvhtml"/>
              <w:spacing w:before="0" w:beforeAutospacing="0" w:after="0" w:afterAutospacing="0" w:line="293" w:lineRule="atLeast"/>
              <w:jc w:val="center"/>
              <w:rPr>
                <w:sz w:val="18"/>
                <w:szCs w:val="18"/>
              </w:rPr>
            </w:pPr>
            <w:r w:rsidRPr="00A27A68">
              <w:rPr>
                <w:sz w:val="18"/>
                <w:szCs w:val="18"/>
              </w:rPr>
              <w:t>0</w:t>
            </w:r>
          </w:p>
        </w:tc>
        <w:tc>
          <w:tcPr>
            <w:tcW w:w="1133" w:type="dxa"/>
          </w:tcPr>
          <w:p w:rsidR="00FF3EF5" w:rsidRPr="00E83DF7" w:rsidRDefault="00FF3EF5" w:rsidP="00574785">
            <w:pPr>
              <w:pStyle w:val="tvhtml"/>
              <w:spacing w:before="0" w:beforeAutospacing="0" w:after="0" w:afterAutospacing="0" w:line="293" w:lineRule="atLeast"/>
              <w:jc w:val="center"/>
              <w:rPr>
                <w:sz w:val="18"/>
                <w:szCs w:val="18"/>
                <w:highlight w:val="yellow"/>
              </w:rPr>
            </w:pPr>
            <w:r>
              <w:rPr>
                <w:sz w:val="18"/>
                <w:szCs w:val="18"/>
              </w:rPr>
              <w:t>0</w:t>
            </w:r>
          </w:p>
        </w:tc>
        <w:tc>
          <w:tcPr>
            <w:tcW w:w="1100" w:type="dxa"/>
          </w:tcPr>
          <w:p w:rsidR="00FF3EF5" w:rsidRPr="007846CF" w:rsidRDefault="00FF3EF5" w:rsidP="00574785">
            <w:pPr>
              <w:pStyle w:val="tvhtml"/>
              <w:spacing w:before="0" w:beforeAutospacing="0" w:after="0" w:afterAutospacing="0" w:line="293" w:lineRule="atLeast"/>
              <w:jc w:val="center"/>
              <w:rPr>
                <w:sz w:val="18"/>
                <w:szCs w:val="18"/>
                <w:highlight w:val="red"/>
              </w:rPr>
            </w:pPr>
            <w:r>
              <w:rPr>
                <w:sz w:val="18"/>
                <w:szCs w:val="18"/>
              </w:rPr>
              <w:t>0</w:t>
            </w:r>
          </w:p>
        </w:tc>
        <w:tc>
          <w:tcPr>
            <w:tcW w:w="1313" w:type="dxa"/>
          </w:tcPr>
          <w:p w:rsidR="00FF3EF5"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r>
      <w:tr w:rsidR="00FF3EF5" w:rsidRPr="009A75D6" w:rsidTr="00DE0535">
        <w:tc>
          <w:tcPr>
            <w:tcW w:w="1985" w:type="dxa"/>
          </w:tcPr>
          <w:p w:rsidR="00FF3EF5" w:rsidRPr="00A5325C" w:rsidRDefault="00FF3EF5" w:rsidP="00FF3EF5">
            <w:pPr>
              <w:rPr>
                <w:rFonts w:ascii="Times New Roman" w:hAnsi="Times New Roman" w:cs="Times New Roman"/>
              </w:rPr>
            </w:pPr>
            <w:r>
              <w:rPr>
                <w:rFonts w:ascii="Times New Roman" w:hAnsi="Times New Roman" w:cs="Times New Roman"/>
              </w:rPr>
              <w:t>02.04.00</w:t>
            </w:r>
          </w:p>
        </w:tc>
        <w:tc>
          <w:tcPr>
            <w:tcW w:w="1276" w:type="dxa"/>
          </w:tcPr>
          <w:p w:rsidR="00FF3EF5" w:rsidRPr="00E83DF7" w:rsidRDefault="00FF3EF5" w:rsidP="00574785">
            <w:pPr>
              <w:pStyle w:val="tvhtml"/>
              <w:spacing w:line="293" w:lineRule="atLeast"/>
              <w:jc w:val="center"/>
              <w:rPr>
                <w:sz w:val="18"/>
                <w:szCs w:val="18"/>
              </w:rPr>
            </w:pPr>
            <w:r>
              <w:rPr>
                <w:sz w:val="18"/>
                <w:szCs w:val="18"/>
              </w:rPr>
              <w:t>17 626 022</w:t>
            </w:r>
          </w:p>
        </w:tc>
        <w:tc>
          <w:tcPr>
            <w:tcW w:w="1134" w:type="dxa"/>
            <w:shd w:val="clear" w:color="auto" w:fill="auto"/>
          </w:tcPr>
          <w:p w:rsidR="00FF3EF5" w:rsidRPr="00E83DF7" w:rsidRDefault="00FF3EF5" w:rsidP="00574785">
            <w:pPr>
              <w:pStyle w:val="tvhtml"/>
              <w:spacing w:line="293" w:lineRule="atLeast"/>
              <w:jc w:val="center"/>
              <w:rPr>
                <w:sz w:val="18"/>
                <w:szCs w:val="18"/>
              </w:rPr>
            </w:pPr>
            <w:r w:rsidRPr="001F378E">
              <w:rPr>
                <w:sz w:val="18"/>
                <w:szCs w:val="18"/>
              </w:rPr>
              <w:t>0</w:t>
            </w:r>
          </w:p>
        </w:tc>
        <w:tc>
          <w:tcPr>
            <w:tcW w:w="1134" w:type="dxa"/>
          </w:tcPr>
          <w:p w:rsidR="00FF3EF5" w:rsidRPr="00E83DF7" w:rsidRDefault="00A27A68" w:rsidP="00574785">
            <w:pPr>
              <w:pStyle w:val="tvhtml"/>
              <w:spacing w:before="0" w:beforeAutospacing="0" w:after="0" w:afterAutospacing="0" w:line="293" w:lineRule="atLeast"/>
              <w:jc w:val="center"/>
              <w:rPr>
                <w:sz w:val="18"/>
                <w:szCs w:val="18"/>
                <w:highlight w:val="yellow"/>
              </w:rPr>
            </w:pPr>
            <w:r>
              <w:rPr>
                <w:sz w:val="18"/>
                <w:szCs w:val="18"/>
              </w:rPr>
              <w:t>20 354 665</w:t>
            </w:r>
          </w:p>
        </w:tc>
        <w:tc>
          <w:tcPr>
            <w:tcW w:w="1134" w:type="dxa"/>
            <w:shd w:val="clear" w:color="auto" w:fill="auto"/>
          </w:tcPr>
          <w:p w:rsidR="00FF3EF5" w:rsidRPr="00E83DF7" w:rsidRDefault="00FF3EF5" w:rsidP="00574785">
            <w:pPr>
              <w:pStyle w:val="tvhtml"/>
              <w:spacing w:before="0" w:beforeAutospacing="0" w:after="0" w:afterAutospacing="0" w:line="293" w:lineRule="atLeast"/>
              <w:jc w:val="center"/>
              <w:rPr>
                <w:sz w:val="18"/>
                <w:szCs w:val="18"/>
              </w:rPr>
            </w:pPr>
            <w:r>
              <w:rPr>
                <w:sz w:val="18"/>
                <w:szCs w:val="18"/>
              </w:rPr>
              <w:t>2 363 532</w:t>
            </w:r>
          </w:p>
        </w:tc>
        <w:tc>
          <w:tcPr>
            <w:tcW w:w="1133" w:type="dxa"/>
          </w:tcPr>
          <w:p w:rsidR="00FF3EF5" w:rsidRPr="00E83DF7" w:rsidRDefault="00A27A68" w:rsidP="00574785">
            <w:pPr>
              <w:pStyle w:val="tvhtml"/>
              <w:spacing w:before="0" w:beforeAutospacing="0" w:after="0" w:afterAutospacing="0" w:line="293" w:lineRule="atLeast"/>
              <w:jc w:val="center"/>
              <w:rPr>
                <w:sz w:val="18"/>
                <w:szCs w:val="18"/>
              </w:rPr>
            </w:pPr>
            <w:r>
              <w:rPr>
                <w:sz w:val="18"/>
                <w:szCs w:val="18"/>
              </w:rPr>
              <w:t>21 832 077</w:t>
            </w:r>
          </w:p>
        </w:tc>
        <w:tc>
          <w:tcPr>
            <w:tcW w:w="1100" w:type="dxa"/>
          </w:tcPr>
          <w:p w:rsidR="00FF3EF5" w:rsidRPr="007846CF" w:rsidRDefault="009E1009" w:rsidP="00574785">
            <w:pPr>
              <w:pStyle w:val="tvhtml"/>
              <w:spacing w:before="0" w:beforeAutospacing="0" w:after="0" w:afterAutospacing="0" w:line="293" w:lineRule="atLeast"/>
              <w:jc w:val="center"/>
              <w:rPr>
                <w:sz w:val="18"/>
                <w:szCs w:val="18"/>
                <w:highlight w:val="red"/>
              </w:rPr>
            </w:pPr>
            <w:r>
              <w:rPr>
                <w:sz w:val="18"/>
                <w:szCs w:val="18"/>
              </w:rPr>
              <w:t>2 363 532</w:t>
            </w:r>
          </w:p>
        </w:tc>
        <w:tc>
          <w:tcPr>
            <w:tcW w:w="1313" w:type="dxa"/>
          </w:tcPr>
          <w:p w:rsidR="00FF3EF5" w:rsidRPr="00DE0535" w:rsidRDefault="009E1009" w:rsidP="00574785">
            <w:pPr>
              <w:pStyle w:val="tvhtml"/>
              <w:spacing w:before="0" w:beforeAutospacing="0" w:after="0" w:afterAutospacing="0" w:line="293" w:lineRule="atLeast"/>
              <w:jc w:val="center"/>
              <w:rPr>
                <w:sz w:val="18"/>
                <w:szCs w:val="18"/>
              </w:rPr>
            </w:pPr>
            <w:r>
              <w:rPr>
                <w:sz w:val="18"/>
                <w:szCs w:val="18"/>
              </w:rPr>
              <w:t>2 363 532</w:t>
            </w:r>
          </w:p>
        </w:tc>
      </w:tr>
      <w:tr w:rsidR="00FF3EF5" w:rsidRPr="009A75D6" w:rsidTr="004233AB">
        <w:tc>
          <w:tcPr>
            <w:tcW w:w="1985" w:type="dxa"/>
          </w:tcPr>
          <w:p w:rsidR="00FF3EF5" w:rsidRPr="00A5325C" w:rsidRDefault="00FF3EF5" w:rsidP="00FF3EF5">
            <w:pPr>
              <w:rPr>
                <w:rFonts w:ascii="Times New Roman" w:hAnsi="Times New Roman" w:cs="Times New Roman"/>
              </w:rPr>
            </w:pPr>
            <w:r w:rsidRPr="00A5325C">
              <w:rPr>
                <w:rFonts w:ascii="Times New Roman" w:hAnsi="Times New Roman" w:cs="Times New Roman"/>
              </w:rPr>
              <w:t>2.2. valsts speciālais budžets</w:t>
            </w:r>
          </w:p>
        </w:tc>
        <w:tc>
          <w:tcPr>
            <w:tcW w:w="1276" w:type="dxa"/>
          </w:tcPr>
          <w:p w:rsidR="00FF3EF5" w:rsidRPr="00E83DF7" w:rsidRDefault="00FF3EF5" w:rsidP="00574785">
            <w:pPr>
              <w:pStyle w:val="tvhtml"/>
              <w:spacing w:line="293" w:lineRule="atLeast"/>
              <w:jc w:val="center"/>
              <w:rPr>
                <w:sz w:val="18"/>
                <w:szCs w:val="18"/>
              </w:rPr>
            </w:pPr>
            <w:r w:rsidRPr="00FF3EF5">
              <w:rPr>
                <w:sz w:val="18"/>
                <w:szCs w:val="18"/>
              </w:rPr>
              <w:t>0</w:t>
            </w:r>
          </w:p>
        </w:tc>
        <w:tc>
          <w:tcPr>
            <w:tcW w:w="1134" w:type="dxa"/>
          </w:tcPr>
          <w:p w:rsidR="00FF3EF5" w:rsidRPr="00E83DF7" w:rsidRDefault="00FF3EF5" w:rsidP="00574785">
            <w:pPr>
              <w:pStyle w:val="tvhtml"/>
              <w:spacing w:line="293" w:lineRule="atLeast"/>
              <w:jc w:val="center"/>
              <w:rPr>
                <w:sz w:val="18"/>
                <w:szCs w:val="18"/>
              </w:rPr>
            </w:pPr>
            <w:r w:rsidRPr="00A258CF">
              <w:rPr>
                <w:sz w:val="18"/>
                <w:szCs w:val="18"/>
              </w:rPr>
              <w:t>0</w:t>
            </w:r>
          </w:p>
        </w:tc>
        <w:tc>
          <w:tcPr>
            <w:tcW w:w="1134" w:type="dxa"/>
          </w:tcPr>
          <w:p w:rsidR="00FF3EF5" w:rsidRPr="00E83DF7" w:rsidRDefault="00FF3EF5" w:rsidP="00574785">
            <w:pPr>
              <w:pStyle w:val="tvhtml"/>
              <w:spacing w:before="0" w:beforeAutospacing="0" w:after="0" w:afterAutospacing="0" w:line="293" w:lineRule="atLeast"/>
              <w:jc w:val="center"/>
              <w:rPr>
                <w:sz w:val="18"/>
                <w:szCs w:val="18"/>
                <w:highlight w:val="yellow"/>
              </w:rPr>
            </w:pPr>
            <w:r w:rsidRPr="00A258CF">
              <w:rPr>
                <w:sz w:val="18"/>
                <w:szCs w:val="18"/>
              </w:rPr>
              <w:t>0</w:t>
            </w:r>
          </w:p>
        </w:tc>
        <w:tc>
          <w:tcPr>
            <w:tcW w:w="1134" w:type="dxa"/>
          </w:tcPr>
          <w:p w:rsidR="00FF3EF5"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c>
          <w:tcPr>
            <w:tcW w:w="1133" w:type="dxa"/>
          </w:tcPr>
          <w:p w:rsidR="00FF3EF5" w:rsidRPr="00DE0535" w:rsidRDefault="00FF3EF5" w:rsidP="00574785">
            <w:pPr>
              <w:pStyle w:val="tvhtml"/>
              <w:spacing w:before="0" w:beforeAutospacing="0" w:after="0" w:afterAutospacing="0" w:line="293" w:lineRule="atLeast"/>
              <w:jc w:val="center"/>
              <w:rPr>
                <w:sz w:val="18"/>
                <w:szCs w:val="18"/>
              </w:rPr>
            </w:pPr>
            <w:r w:rsidRPr="00FF3EF5">
              <w:rPr>
                <w:sz w:val="18"/>
                <w:szCs w:val="18"/>
              </w:rPr>
              <w:t>0</w:t>
            </w:r>
          </w:p>
        </w:tc>
        <w:tc>
          <w:tcPr>
            <w:tcW w:w="1100" w:type="dxa"/>
          </w:tcPr>
          <w:p w:rsidR="00FF3EF5" w:rsidRPr="007846CF" w:rsidRDefault="00FF3EF5" w:rsidP="00574785">
            <w:pPr>
              <w:pStyle w:val="tvhtml"/>
              <w:spacing w:before="0" w:beforeAutospacing="0" w:after="0" w:afterAutospacing="0" w:line="293" w:lineRule="atLeast"/>
              <w:jc w:val="center"/>
              <w:rPr>
                <w:sz w:val="18"/>
                <w:szCs w:val="18"/>
                <w:highlight w:val="red"/>
              </w:rPr>
            </w:pPr>
            <w:r w:rsidRPr="00A258CF">
              <w:rPr>
                <w:sz w:val="18"/>
                <w:szCs w:val="18"/>
              </w:rPr>
              <w:t>0</w:t>
            </w:r>
          </w:p>
        </w:tc>
        <w:tc>
          <w:tcPr>
            <w:tcW w:w="1313" w:type="dxa"/>
          </w:tcPr>
          <w:p w:rsidR="00FF3EF5" w:rsidRPr="007846CF" w:rsidRDefault="00FF3EF5" w:rsidP="00574785">
            <w:pPr>
              <w:pStyle w:val="tvhtml"/>
              <w:spacing w:before="0" w:beforeAutospacing="0" w:after="0" w:afterAutospacing="0" w:line="293" w:lineRule="atLeast"/>
              <w:jc w:val="center"/>
              <w:rPr>
                <w:sz w:val="18"/>
                <w:szCs w:val="18"/>
                <w:highlight w:val="red"/>
              </w:rPr>
            </w:pPr>
            <w:r w:rsidRPr="00A258CF">
              <w:rPr>
                <w:sz w:val="18"/>
                <w:szCs w:val="18"/>
              </w:rPr>
              <w:t>0</w:t>
            </w:r>
          </w:p>
        </w:tc>
      </w:tr>
      <w:tr w:rsidR="00FF3EF5" w:rsidRPr="009A75D6" w:rsidTr="004233AB">
        <w:tc>
          <w:tcPr>
            <w:tcW w:w="1985" w:type="dxa"/>
          </w:tcPr>
          <w:p w:rsidR="00FF3EF5" w:rsidRPr="00A5325C" w:rsidRDefault="00FF3EF5" w:rsidP="00FF3EF5">
            <w:pPr>
              <w:rPr>
                <w:rFonts w:ascii="Times New Roman" w:hAnsi="Times New Roman" w:cs="Times New Roman"/>
              </w:rPr>
            </w:pPr>
            <w:r w:rsidRPr="00A5325C">
              <w:rPr>
                <w:rFonts w:ascii="Times New Roman" w:hAnsi="Times New Roman" w:cs="Times New Roman"/>
              </w:rPr>
              <w:t>2.3. pašvaldību budžets</w:t>
            </w:r>
          </w:p>
        </w:tc>
        <w:tc>
          <w:tcPr>
            <w:tcW w:w="1276" w:type="dxa"/>
          </w:tcPr>
          <w:p w:rsidR="00FF3EF5" w:rsidRPr="00E83DF7" w:rsidRDefault="00FF3EF5" w:rsidP="00574785">
            <w:pPr>
              <w:pStyle w:val="tvhtml"/>
              <w:spacing w:line="293" w:lineRule="atLeast"/>
              <w:jc w:val="center"/>
              <w:rPr>
                <w:sz w:val="18"/>
                <w:szCs w:val="18"/>
              </w:rPr>
            </w:pPr>
            <w:r w:rsidRPr="00FF3EF5">
              <w:rPr>
                <w:sz w:val="18"/>
                <w:szCs w:val="18"/>
              </w:rPr>
              <w:t>0</w:t>
            </w:r>
          </w:p>
        </w:tc>
        <w:tc>
          <w:tcPr>
            <w:tcW w:w="1134" w:type="dxa"/>
          </w:tcPr>
          <w:p w:rsidR="00FF3EF5" w:rsidRPr="00E83DF7" w:rsidRDefault="00FF3EF5" w:rsidP="00574785">
            <w:pPr>
              <w:pStyle w:val="tvhtml"/>
              <w:spacing w:line="293" w:lineRule="atLeast"/>
              <w:jc w:val="center"/>
              <w:rPr>
                <w:sz w:val="18"/>
                <w:szCs w:val="18"/>
              </w:rPr>
            </w:pPr>
            <w:r w:rsidRPr="00A258CF">
              <w:rPr>
                <w:sz w:val="18"/>
                <w:szCs w:val="18"/>
              </w:rPr>
              <w:t>0</w:t>
            </w:r>
          </w:p>
        </w:tc>
        <w:tc>
          <w:tcPr>
            <w:tcW w:w="1134" w:type="dxa"/>
          </w:tcPr>
          <w:p w:rsidR="00FF3EF5" w:rsidRPr="00E83DF7" w:rsidRDefault="00FF3EF5" w:rsidP="00574785">
            <w:pPr>
              <w:pStyle w:val="tvhtml"/>
              <w:spacing w:before="0" w:beforeAutospacing="0" w:after="0" w:afterAutospacing="0" w:line="293" w:lineRule="atLeast"/>
              <w:jc w:val="center"/>
              <w:rPr>
                <w:sz w:val="18"/>
                <w:szCs w:val="18"/>
                <w:highlight w:val="yellow"/>
              </w:rPr>
            </w:pPr>
            <w:r w:rsidRPr="00A258CF">
              <w:rPr>
                <w:sz w:val="18"/>
                <w:szCs w:val="18"/>
              </w:rPr>
              <w:t>0</w:t>
            </w:r>
          </w:p>
        </w:tc>
        <w:tc>
          <w:tcPr>
            <w:tcW w:w="1134" w:type="dxa"/>
          </w:tcPr>
          <w:p w:rsidR="00FF3EF5"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c>
          <w:tcPr>
            <w:tcW w:w="1133" w:type="dxa"/>
          </w:tcPr>
          <w:p w:rsidR="00FF3EF5" w:rsidRPr="00DE0535" w:rsidRDefault="00FF3EF5" w:rsidP="00574785">
            <w:pPr>
              <w:pStyle w:val="tvhtml"/>
              <w:spacing w:before="0" w:beforeAutospacing="0" w:after="0" w:afterAutospacing="0" w:line="293" w:lineRule="atLeast"/>
              <w:jc w:val="center"/>
              <w:rPr>
                <w:sz w:val="18"/>
                <w:szCs w:val="18"/>
              </w:rPr>
            </w:pPr>
            <w:r w:rsidRPr="00FF3EF5">
              <w:rPr>
                <w:sz w:val="18"/>
                <w:szCs w:val="18"/>
              </w:rPr>
              <w:t>0</w:t>
            </w:r>
          </w:p>
        </w:tc>
        <w:tc>
          <w:tcPr>
            <w:tcW w:w="1100" w:type="dxa"/>
          </w:tcPr>
          <w:p w:rsidR="00FF3EF5" w:rsidRPr="007846CF" w:rsidRDefault="00FF3EF5" w:rsidP="00574785">
            <w:pPr>
              <w:pStyle w:val="tvhtml"/>
              <w:spacing w:before="0" w:beforeAutospacing="0" w:after="0" w:afterAutospacing="0" w:line="293" w:lineRule="atLeast"/>
              <w:jc w:val="center"/>
              <w:rPr>
                <w:sz w:val="18"/>
                <w:szCs w:val="18"/>
                <w:highlight w:val="red"/>
              </w:rPr>
            </w:pPr>
            <w:r w:rsidRPr="00A258CF">
              <w:rPr>
                <w:sz w:val="18"/>
                <w:szCs w:val="18"/>
              </w:rPr>
              <w:t>0</w:t>
            </w:r>
          </w:p>
        </w:tc>
        <w:tc>
          <w:tcPr>
            <w:tcW w:w="1313" w:type="dxa"/>
          </w:tcPr>
          <w:p w:rsidR="00FF3EF5" w:rsidRPr="007846CF" w:rsidRDefault="00FF3EF5" w:rsidP="00574785">
            <w:pPr>
              <w:pStyle w:val="tvhtml"/>
              <w:spacing w:before="0" w:beforeAutospacing="0" w:after="0" w:afterAutospacing="0" w:line="293" w:lineRule="atLeast"/>
              <w:jc w:val="center"/>
              <w:rPr>
                <w:sz w:val="18"/>
                <w:szCs w:val="18"/>
                <w:highlight w:val="red"/>
              </w:rPr>
            </w:pPr>
            <w:r w:rsidRPr="00A258CF">
              <w:rPr>
                <w:sz w:val="18"/>
                <w:szCs w:val="18"/>
              </w:rPr>
              <w:t>0</w:t>
            </w:r>
          </w:p>
        </w:tc>
      </w:tr>
      <w:tr w:rsidR="00FF3EF5" w:rsidRPr="009A75D6" w:rsidTr="004233AB">
        <w:tc>
          <w:tcPr>
            <w:tcW w:w="1985" w:type="dxa"/>
          </w:tcPr>
          <w:p w:rsidR="00FF3EF5" w:rsidRPr="00A5325C" w:rsidRDefault="00FF3EF5" w:rsidP="00FF3EF5">
            <w:pPr>
              <w:rPr>
                <w:rFonts w:ascii="Times New Roman" w:hAnsi="Times New Roman" w:cs="Times New Roman"/>
              </w:rPr>
            </w:pPr>
            <w:r w:rsidRPr="00A5325C">
              <w:rPr>
                <w:rFonts w:ascii="Times New Roman" w:hAnsi="Times New Roman" w:cs="Times New Roman"/>
              </w:rPr>
              <w:t>3. Finansiālā ietekme</w:t>
            </w:r>
          </w:p>
        </w:tc>
        <w:tc>
          <w:tcPr>
            <w:tcW w:w="1276" w:type="dxa"/>
          </w:tcPr>
          <w:p w:rsidR="00FF3EF5" w:rsidRPr="00E83DF7" w:rsidRDefault="00FF3EF5" w:rsidP="00574785">
            <w:pPr>
              <w:pStyle w:val="tvhtml"/>
              <w:spacing w:line="293" w:lineRule="atLeast"/>
              <w:jc w:val="center"/>
              <w:rPr>
                <w:sz w:val="18"/>
                <w:szCs w:val="18"/>
              </w:rPr>
            </w:pPr>
            <w:r w:rsidRPr="00FF3EF5">
              <w:rPr>
                <w:sz w:val="18"/>
                <w:szCs w:val="18"/>
              </w:rPr>
              <w:t>0</w:t>
            </w:r>
          </w:p>
        </w:tc>
        <w:tc>
          <w:tcPr>
            <w:tcW w:w="1134" w:type="dxa"/>
          </w:tcPr>
          <w:p w:rsidR="00FF3EF5" w:rsidRPr="00E83DF7" w:rsidRDefault="00FF3EF5" w:rsidP="00574785">
            <w:pPr>
              <w:pStyle w:val="tvhtml"/>
              <w:spacing w:line="293" w:lineRule="atLeast"/>
              <w:jc w:val="center"/>
              <w:rPr>
                <w:sz w:val="18"/>
                <w:szCs w:val="18"/>
              </w:rPr>
            </w:pPr>
            <w:r w:rsidRPr="00A258CF">
              <w:rPr>
                <w:sz w:val="18"/>
                <w:szCs w:val="18"/>
              </w:rPr>
              <w:t>0</w:t>
            </w:r>
          </w:p>
        </w:tc>
        <w:tc>
          <w:tcPr>
            <w:tcW w:w="1134" w:type="dxa"/>
          </w:tcPr>
          <w:p w:rsidR="00FF3EF5" w:rsidRPr="00E83DF7" w:rsidRDefault="00FF3EF5" w:rsidP="00574785">
            <w:pPr>
              <w:pStyle w:val="tvhtml"/>
              <w:spacing w:before="0" w:beforeAutospacing="0" w:after="0" w:afterAutospacing="0" w:line="293" w:lineRule="atLeast"/>
              <w:jc w:val="center"/>
              <w:rPr>
                <w:sz w:val="18"/>
                <w:szCs w:val="18"/>
                <w:highlight w:val="yellow"/>
              </w:rPr>
            </w:pPr>
            <w:r w:rsidRPr="00A258CF">
              <w:rPr>
                <w:sz w:val="18"/>
                <w:szCs w:val="18"/>
              </w:rPr>
              <w:t>0</w:t>
            </w:r>
          </w:p>
        </w:tc>
        <w:tc>
          <w:tcPr>
            <w:tcW w:w="1134" w:type="dxa"/>
          </w:tcPr>
          <w:p w:rsidR="00FF3EF5" w:rsidRPr="00E83DF7" w:rsidRDefault="00FF3EF5" w:rsidP="00574785">
            <w:pPr>
              <w:pStyle w:val="tvhtml"/>
              <w:spacing w:before="0" w:beforeAutospacing="0" w:after="0" w:afterAutospacing="0" w:line="293" w:lineRule="atLeast"/>
              <w:jc w:val="center"/>
              <w:rPr>
                <w:sz w:val="18"/>
                <w:szCs w:val="18"/>
              </w:rPr>
            </w:pPr>
            <w:r w:rsidRPr="00E83DF7">
              <w:rPr>
                <w:sz w:val="18"/>
                <w:szCs w:val="18"/>
              </w:rPr>
              <w:t>-</w:t>
            </w:r>
            <w:r>
              <w:rPr>
                <w:sz w:val="18"/>
                <w:szCs w:val="18"/>
              </w:rPr>
              <w:t>2 363 532</w:t>
            </w:r>
          </w:p>
        </w:tc>
        <w:tc>
          <w:tcPr>
            <w:tcW w:w="1133" w:type="dxa"/>
          </w:tcPr>
          <w:p w:rsidR="00FF3EF5" w:rsidRPr="00E83DF7" w:rsidRDefault="00FF3EF5" w:rsidP="00574785">
            <w:pPr>
              <w:pStyle w:val="tvhtml"/>
              <w:spacing w:before="0" w:beforeAutospacing="0" w:after="0" w:afterAutospacing="0" w:line="293" w:lineRule="atLeast"/>
              <w:jc w:val="center"/>
              <w:rPr>
                <w:sz w:val="18"/>
                <w:szCs w:val="18"/>
              </w:rPr>
            </w:pPr>
            <w:r w:rsidRPr="00FF3EF5">
              <w:rPr>
                <w:sz w:val="18"/>
                <w:szCs w:val="18"/>
              </w:rPr>
              <w:t>0</w:t>
            </w:r>
          </w:p>
        </w:tc>
        <w:tc>
          <w:tcPr>
            <w:tcW w:w="1100" w:type="dxa"/>
          </w:tcPr>
          <w:p w:rsidR="00FF3EF5" w:rsidRPr="007846CF" w:rsidRDefault="00FE5C65" w:rsidP="00574785">
            <w:pPr>
              <w:pStyle w:val="tvhtml"/>
              <w:spacing w:before="0" w:beforeAutospacing="0" w:after="0" w:afterAutospacing="0" w:line="293" w:lineRule="atLeast"/>
              <w:jc w:val="center"/>
              <w:rPr>
                <w:sz w:val="18"/>
                <w:szCs w:val="18"/>
                <w:highlight w:val="red"/>
              </w:rPr>
            </w:pPr>
            <w:r w:rsidRPr="00E83DF7">
              <w:rPr>
                <w:sz w:val="18"/>
                <w:szCs w:val="18"/>
              </w:rPr>
              <w:t>-</w:t>
            </w:r>
            <w:r>
              <w:rPr>
                <w:sz w:val="18"/>
                <w:szCs w:val="18"/>
              </w:rPr>
              <w:t>2 363 532</w:t>
            </w:r>
          </w:p>
        </w:tc>
        <w:tc>
          <w:tcPr>
            <w:tcW w:w="1313" w:type="dxa"/>
          </w:tcPr>
          <w:p w:rsidR="00FF3EF5" w:rsidRPr="007846CF" w:rsidRDefault="00FE5C65" w:rsidP="00574785">
            <w:pPr>
              <w:pStyle w:val="tvhtml"/>
              <w:spacing w:before="0" w:beforeAutospacing="0" w:after="0" w:afterAutospacing="0" w:line="293" w:lineRule="atLeast"/>
              <w:jc w:val="center"/>
              <w:rPr>
                <w:sz w:val="18"/>
                <w:szCs w:val="18"/>
                <w:highlight w:val="red"/>
              </w:rPr>
            </w:pPr>
            <w:r w:rsidRPr="00E83DF7">
              <w:rPr>
                <w:sz w:val="18"/>
                <w:szCs w:val="18"/>
              </w:rPr>
              <w:t>-</w:t>
            </w:r>
            <w:r>
              <w:rPr>
                <w:sz w:val="18"/>
                <w:szCs w:val="18"/>
              </w:rPr>
              <w:t>2 363 532</w:t>
            </w:r>
          </w:p>
        </w:tc>
      </w:tr>
      <w:tr w:rsidR="00FF3EF5" w:rsidRPr="009A75D6" w:rsidTr="004233AB">
        <w:tc>
          <w:tcPr>
            <w:tcW w:w="1985" w:type="dxa"/>
          </w:tcPr>
          <w:p w:rsidR="00FF3EF5" w:rsidRPr="00A5325C" w:rsidRDefault="00FF3EF5" w:rsidP="00FF3EF5">
            <w:pPr>
              <w:rPr>
                <w:rFonts w:ascii="Times New Roman" w:hAnsi="Times New Roman" w:cs="Times New Roman"/>
              </w:rPr>
            </w:pPr>
            <w:r w:rsidRPr="00A5325C">
              <w:rPr>
                <w:rFonts w:ascii="Times New Roman" w:hAnsi="Times New Roman" w:cs="Times New Roman"/>
              </w:rPr>
              <w:t>3.1. valsts pamatbudžets</w:t>
            </w:r>
          </w:p>
        </w:tc>
        <w:tc>
          <w:tcPr>
            <w:tcW w:w="1276" w:type="dxa"/>
          </w:tcPr>
          <w:p w:rsidR="00FF3EF5" w:rsidRPr="00E83DF7" w:rsidRDefault="00FF3EF5" w:rsidP="00574785">
            <w:pPr>
              <w:pStyle w:val="tvhtml"/>
              <w:spacing w:line="293" w:lineRule="atLeast"/>
              <w:jc w:val="center"/>
              <w:rPr>
                <w:sz w:val="18"/>
                <w:szCs w:val="18"/>
              </w:rPr>
            </w:pPr>
            <w:r w:rsidRPr="00FF3EF5">
              <w:rPr>
                <w:sz w:val="18"/>
                <w:szCs w:val="18"/>
              </w:rPr>
              <w:t>0</w:t>
            </w:r>
          </w:p>
        </w:tc>
        <w:tc>
          <w:tcPr>
            <w:tcW w:w="1134" w:type="dxa"/>
          </w:tcPr>
          <w:p w:rsidR="00FF3EF5" w:rsidRPr="00E83DF7" w:rsidRDefault="00FF3EF5" w:rsidP="00574785">
            <w:pPr>
              <w:pStyle w:val="tvhtml"/>
              <w:spacing w:line="293" w:lineRule="atLeast"/>
              <w:jc w:val="center"/>
              <w:rPr>
                <w:sz w:val="18"/>
                <w:szCs w:val="18"/>
              </w:rPr>
            </w:pPr>
            <w:r w:rsidRPr="00A258CF">
              <w:rPr>
                <w:sz w:val="18"/>
                <w:szCs w:val="18"/>
              </w:rPr>
              <w:t>0</w:t>
            </w:r>
          </w:p>
        </w:tc>
        <w:tc>
          <w:tcPr>
            <w:tcW w:w="1134" w:type="dxa"/>
          </w:tcPr>
          <w:p w:rsidR="00FF3EF5" w:rsidRPr="00E83DF7" w:rsidRDefault="00FF3EF5" w:rsidP="00574785">
            <w:pPr>
              <w:pStyle w:val="tvhtml"/>
              <w:spacing w:before="0" w:beforeAutospacing="0" w:after="0" w:afterAutospacing="0" w:line="293" w:lineRule="atLeast"/>
              <w:jc w:val="center"/>
              <w:rPr>
                <w:sz w:val="18"/>
                <w:szCs w:val="18"/>
                <w:highlight w:val="yellow"/>
              </w:rPr>
            </w:pPr>
            <w:r w:rsidRPr="00A258CF">
              <w:rPr>
                <w:sz w:val="18"/>
                <w:szCs w:val="18"/>
              </w:rPr>
              <w:t>0</w:t>
            </w:r>
          </w:p>
        </w:tc>
        <w:tc>
          <w:tcPr>
            <w:tcW w:w="1134" w:type="dxa"/>
          </w:tcPr>
          <w:p w:rsidR="00FF3EF5" w:rsidRPr="00E83DF7" w:rsidRDefault="00FF3EF5" w:rsidP="00574785">
            <w:pPr>
              <w:pStyle w:val="tvhtml"/>
              <w:spacing w:before="0" w:beforeAutospacing="0" w:after="0" w:afterAutospacing="0" w:line="293" w:lineRule="atLeast"/>
              <w:jc w:val="center"/>
              <w:rPr>
                <w:sz w:val="18"/>
                <w:szCs w:val="18"/>
              </w:rPr>
            </w:pPr>
            <w:r w:rsidRPr="00E83DF7">
              <w:rPr>
                <w:sz w:val="18"/>
                <w:szCs w:val="18"/>
              </w:rPr>
              <w:t>-</w:t>
            </w:r>
            <w:r>
              <w:rPr>
                <w:sz w:val="18"/>
                <w:szCs w:val="18"/>
              </w:rPr>
              <w:t>2 363 532</w:t>
            </w:r>
          </w:p>
        </w:tc>
        <w:tc>
          <w:tcPr>
            <w:tcW w:w="1133" w:type="dxa"/>
          </w:tcPr>
          <w:p w:rsidR="00FF3EF5" w:rsidRPr="00E83DF7" w:rsidRDefault="00FF3EF5" w:rsidP="00574785">
            <w:pPr>
              <w:pStyle w:val="tvhtml"/>
              <w:spacing w:before="0" w:beforeAutospacing="0" w:after="0" w:afterAutospacing="0" w:line="293" w:lineRule="atLeast"/>
              <w:jc w:val="center"/>
              <w:rPr>
                <w:sz w:val="18"/>
                <w:szCs w:val="18"/>
              </w:rPr>
            </w:pPr>
            <w:r w:rsidRPr="00FF3EF5">
              <w:rPr>
                <w:sz w:val="18"/>
                <w:szCs w:val="18"/>
              </w:rPr>
              <w:t>0</w:t>
            </w:r>
          </w:p>
        </w:tc>
        <w:tc>
          <w:tcPr>
            <w:tcW w:w="1100" w:type="dxa"/>
          </w:tcPr>
          <w:p w:rsidR="00FF3EF5" w:rsidRPr="007846CF" w:rsidRDefault="005627F3" w:rsidP="00574785">
            <w:pPr>
              <w:pStyle w:val="tvhtml"/>
              <w:spacing w:before="0" w:beforeAutospacing="0" w:after="0" w:afterAutospacing="0" w:line="293" w:lineRule="atLeast"/>
              <w:jc w:val="center"/>
              <w:rPr>
                <w:sz w:val="18"/>
                <w:szCs w:val="18"/>
                <w:highlight w:val="red"/>
              </w:rPr>
            </w:pPr>
            <w:r w:rsidRPr="00E83DF7">
              <w:rPr>
                <w:sz w:val="18"/>
                <w:szCs w:val="18"/>
              </w:rPr>
              <w:t>-</w:t>
            </w:r>
            <w:r>
              <w:rPr>
                <w:sz w:val="18"/>
                <w:szCs w:val="18"/>
              </w:rPr>
              <w:t>2 363 532</w:t>
            </w:r>
          </w:p>
        </w:tc>
        <w:tc>
          <w:tcPr>
            <w:tcW w:w="1313" w:type="dxa"/>
          </w:tcPr>
          <w:p w:rsidR="00FF3EF5" w:rsidRPr="007846CF" w:rsidRDefault="005627F3" w:rsidP="00574785">
            <w:pPr>
              <w:pStyle w:val="tvhtml"/>
              <w:spacing w:before="0" w:beforeAutospacing="0" w:after="0" w:afterAutospacing="0" w:line="293" w:lineRule="atLeast"/>
              <w:jc w:val="center"/>
              <w:rPr>
                <w:sz w:val="18"/>
                <w:szCs w:val="18"/>
                <w:highlight w:val="red"/>
              </w:rPr>
            </w:pPr>
            <w:r w:rsidRPr="00E83DF7">
              <w:rPr>
                <w:sz w:val="18"/>
                <w:szCs w:val="18"/>
              </w:rPr>
              <w:t>-</w:t>
            </w:r>
            <w:r>
              <w:rPr>
                <w:sz w:val="18"/>
                <w:szCs w:val="18"/>
              </w:rPr>
              <w:t>2 363 532</w:t>
            </w:r>
          </w:p>
        </w:tc>
      </w:tr>
      <w:tr w:rsidR="00FF3EF5" w:rsidRPr="009A75D6" w:rsidTr="004233AB">
        <w:tc>
          <w:tcPr>
            <w:tcW w:w="1985" w:type="dxa"/>
          </w:tcPr>
          <w:p w:rsidR="00FF3EF5" w:rsidRPr="00A5325C" w:rsidRDefault="00FF3EF5" w:rsidP="00FF3EF5">
            <w:pPr>
              <w:rPr>
                <w:rFonts w:ascii="Times New Roman" w:hAnsi="Times New Roman" w:cs="Times New Roman"/>
              </w:rPr>
            </w:pPr>
            <w:r w:rsidRPr="00A5325C">
              <w:rPr>
                <w:rFonts w:ascii="Times New Roman" w:hAnsi="Times New Roman" w:cs="Times New Roman"/>
              </w:rPr>
              <w:t>3.2. speciālais budžets</w:t>
            </w:r>
          </w:p>
        </w:tc>
        <w:tc>
          <w:tcPr>
            <w:tcW w:w="1276" w:type="dxa"/>
          </w:tcPr>
          <w:p w:rsidR="00FF3EF5" w:rsidRPr="00E83DF7" w:rsidRDefault="00FF3EF5" w:rsidP="00574785">
            <w:pPr>
              <w:pStyle w:val="tvhtml"/>
              <w:spacing w:line="293" w:lineRule="atLeast"/>
              <w:jc w:val="center"/>
              <w:rPr>
                <w:sz w:val="18"/>
                <w:szCs w:val="18"/>
              </w:rPr>
            </w:pPr>
            <w:r w:rsidRPr="00FF3EF5">
              <w:rPr>
                <w:sz w:val="18"/>
                <w:szCs w:val="18"/>
              </w:rPr>
              <w:t>0</w:t>
            </w:r>
          </w:p>
        </w:tc>
        <w:tc>
          <w:tcPr>
            <w:tcW w:w="1134" w:type="dxa"/>
          </w:tcPr>
          <w:p w:rsidR="00FF3EF5" w:rsidRPr="00E83DF7" w:rsidRDefault="00FF3EF5" w:rsidP="00574785">
            <w:pPr>
              <w:pStyle w:val="tvhtml"/>
              <w:spacing w:line="293" w:lineRule="atLeast"/>
              <w:jc w:val="center"/>
              <w:rPr>
                <w:sz w:val="18"/>
                <w:szCs w:val="18"/>
              </w:rPr>
            </w:pPr>
            <w:r w:rsidRPr="00A258CF">
              <w:rPr>
                <w:sz w:val="18"/>
                <w:szCs w:val="18"/>
              </w:rPr>
              <w:t>0</w:t>
            </w:r>
          </w:p>
        </w:tc>
        <w:tc>
          <w:tcPr>
            <w:tcW w:w="1134" w:type="dxa"/>
          </w:tcPr>
          <w:p w:rsidR="00FF3EF5" w:rsidRPr="00E83DF7" w:rsidRDefault="00FF3EF5" w:rsidP="00574785">
            <w:pPr>
              <w:pStyle w:val="tvhtml"/>
              <w:spacing w:before="0" w:beforeAutospacing="0" w:after="0" w:afterAutospacing="0" w:line="293" w:lineRule="atLeast"/>
              <w:jc w:val="center"/>
              <w:rPr>
                <w:sz w:val="18"/>
                <w:szCs w:val="18"/>
                <w:highlight w:val="yellow"/>
              </w:rPr>
            </w:pPr>
            <w:r w:rsidRPr="00A258CF">
              <w:rPr>
                <w:sz w:val="18"/>
                <w:szCs w:val="18"/>
              </w:rPr>
              <w:t>0</w:t>
            </w:r>
          </w:p>
        </w:tc>
        <w:tc>
          <w:tcPr>
            <w:tcW w:w="1134" w:type="dxa"/>
          </w:tcPr>
          <w:p w:rsidR="00FF3EF5" w:rsidRPr="00E83DF7" w:rsidRDefault="00FF3EF5" w:rsidP="00574785">
            <w:pPr>
              <w:pStyle w:val="tvhtml"/>
              <w:spacing w:before="0" w:beforeAutospacing="0" w:after="0" w:afterAutospacing="0" w:line="293" w:lineRule="atLeast"/>
              <w:jc w:val="center"/>
              <w:rPr>
                <w:sz w:val="18"/>
                <w:szCs w:val="18"/>
              </w:rPr>
            </w:pPr>
            <w:r w:rsidRPr="00FF3EF5">
              <w:rPr>
                <w:sz w:val="18"/>
                <w:szCs w:val="18"/>
              </w:rPr>
              <w:t>0</w:t>
            </w:r>
          </w:p>
        </w:tc>
        <w:tc>
          <w:tcPr>
            <w:tcW w:w="1133" w:type="dxa"/>
          </w:tcPr>
          <w:p w:rsidR="00FF3EF5" w:rsidRPr="00E83DF7" w:rsidRDefault="00FF3EF5" w:rsidP="00574785">
            <w:pPr>
              <w:pStyle w:val="tvhtml"/>
              <w:spacing w:before="0" w:beforeAutospacing="0" w:after="0" w:afterAutospacing="0" w:line="293" w:lineRule="atLeast"/>
              <w:jc w:val="center"/>
              <w:rPr>
                <w:sz w:val="18"/>
                <w:szCs w:val="18"/>
              </w:rPr>
            </w:pPr>
            <w:r w:rsidRPr="00A258CF">
              <w:rPr>
                <w:sz w:val="18"/>
                <w:szCs w:val="18"/>
              </w:rPr>
              <w:t>0</w:t>
            </w:r>
          </w:p>
        </w:tc>
        <w:tc>
          <w:tcPr>
            <w:tcW w:w="1100" w:type="dxa"/>
          </w:tcPr>
          <w:p w:rsidR="00FF3EF5" w:rsidRPr="007846CF" w:rsidRDefault="00FF3EF5" w:rsidP="00574785">
            <w:pPr>
              <w:pStyle w:val="tvhtml"/>
              <w:spacing w:before="0" w:beforeAutospacing="0" w:after="0" w:afterAutospacing="0" w:line="293" w:lineRule="atLeast"/>
              <w:jc w:val="center"/>
              <w:rPr>
                <w:sz w:val="18"/>
                <w:szCs w:val="18"/>
                <w:highlight w:val="red"/>
              </w:rPr>
            </w:pPr>
            <w:r w:rsidRPr="00A258CF">
              <w:rPr>
                <w:sz w:val="18"/>
                <w:szCs w:val="18"/>
              </w:rPr>
              <w:t>0</w:t>
            </w:r>
          </w:p>
        </w:tc>
        <w:tc>
          <w:tcPr>
            <w:tcW w:w="1313" w:type="dxa"/>
          </w:tcPr>
          <w:p w:rsidR="00FF3EF5" w:rsidRPr="007846CF" w:rsidRDefault="00FF3EF5" w:rsidP="00574785">
            <w:pPr>
              <w:pStyle w:val="tvhtml"/>
              <w:spacing w:before="0" w:beforeAutospacing="0" w:after="0" w:afterAutospacing="0" w:line="293" w:lineRule="atLeast"/>
              <w:jc w:val="center"/>
              <w:rPr>
                <w:sz w:val="18"/>
                <w:szCs w:val="18"/>
                <w:highlight w:val="red"/>
              </w:rPr>
            </w:pPr>
            <w:r w:rsidRPr="00A258CF">
              <w:rPr>
                <w:sz w:val="18"/>
                <w:szCs w:val="18"/>
              </w:rPr>
              <w:t>0</w:t>
            </w:r>
          </w:p>
        </w:tc>
      </w:tr>
      <w:tr w:rsidR="000817C9" w:rsidRPr="009A75D6" w:rsidTr="004233AB">
        <w:tc>
          <w:tcPr>
            <w:tcW w:w="1985" w:type="dxa"/>
          </w:tcPr>
          <w:p w:rsidR="000817C9" w:rsidRPr="00A5325C" w:rsidRDefault="000817C9" w:rsidP="000817C9">
            <w:pPr>
              <w:rPr>
                <w:rFonts w:ascii="Times New Roman" w:hAnsi="Times New Roman" w:cs="Times New Roman"/>
              </w:rPr>
            </w:pPr>
            <w:r w:rsidRPr="00A5325C">
              <w:rPr>
                <w:rFonts w:ascii="Times New Roman" w:hAnsi="Times New Roman" w:cs="Times New Roman"/>
              </w:rPr>
              <w:t>3.3. pašvaldību budžets</w:t>
            </w:r>
          </w:p>
        </w:tc>
        <w:tc>
          <w:tcPr>
            <w:tcW w:w="1276" w:type="dxa"/>
          </w:tcPr>
          <w:p w:rsidR="000817C9" w:rsidRPr="00FF3EF5" w:rsidRDefault="00FF3EF5" w:rsidP="00574785">
            <w:pPr>
              <w:pStyle w:val="tvhtml"/>
              <w:spacing w:line="293" w:lineRule="atLeast"/>
              <w:jc w:val="center"/>
              <w:rPr>
                <w:sz w:val="18"/>
                <w:szCs w:val="18"/>
              </w:rPr>
            </w:pPr>
            <w:r w:rsidRPr="00FF3EF5">
              <w:rPr>
                <w:sz w:val="18"/>
                <w:szCs w:val="18"/>
              </w:rPr>
              <w:t>0</w:t>
            </w:r>
          </w:p>
        </w:tc>
        <w:tc>
          <w:tcPr>
            <w:tcW w:w="1134" w:type="dxa"/>
          </w:tcPr>
          <w:p w:rsidR="000817C9" w:rsidRPr="00FF3EF5" w:rsidRDefault="00FF3EF5" w:rsidP="00574785">
            <w:pPr>
              <w:pStyle w:val="tvhtml"/>
              <w:spacing w:line="293" w:lineRule="atLeast"/>
              <w:jc w:val="center"/>
              <w:rPr>
                <w:sz w:val="18"/>
                <w:szCs w:val="18"/>
              </w:rPr>
            </w:pPr>
            <w:r w:rsidRPr="00FF3EF5">
              <w:rPr>
                <w:sz w:val="18"/>
                <w:szCs w:val="18"/>
              </w:rPr>
              <w:t>0</w:t>
            </w:r>
          </w:p>
        </w:tc>
        <w:tc>
          <w:tcPr>
            <w:tcW w:w="1134" w:type="dxa"/>
          </w:tcPr>
          <w:p w:rsidR="000817C9"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c>
          <w:tcPr>
            <w:tcW w:w="1134" w:type="dxa"/>
          </w:tcPr>
          <w:p w:rsidR="000817C9" w:rsidRPr="00FF3EF5" w:rsidRDefault="00FF3EF5" w:rsidP="00574785">
            <w:pPr>
              <w:pStyle w:val="tvhtml"/>
              <w:spacing w:before="0" w:beforeAutospacing="0" w:after="0" w:afterAutospacing="0" w:line="293" w:lineRule="atLeast"/>
              <w:jc w:val="center"/>
              <w:rPr>
                <w:sz w:val="18"/>
                <w:szCs w:val="18"/>
              </w:rPr>
            </w:pPr>
            <w:r w:rsidRPr="00FF3EF5">
              <w:rPr>
                <w:sz w:val="18"/>
                <w:szCs w:val="18"/>
              </w:rPr>
              <w:t>0</w:t>
            </w:r>
          </w:p>
        </w:tc>
        <w:tc>
          <w:tcPr>
            <w:tcW w:w="1133" w:type="dxa"/>
          </w:tcPr>
          <w:p w:rsidR="000817C9" w:rsidRPr="00FF3EF5" w:rsidRDefault="00FF3EF5" w:rsidP="00574785">
            <w:pPr>
              <w:pStyle w:val="tvhtml"/>
              <w:spacing w:before="0" w:beforeAutospacing="0" w:after="0" w:afterAutospacing="0" w:line="293" w:lineRule="atLeast"/>
              <w:jc w:val="center"/>
              <w:rPr>
                <w:sz w:val="18"/>
                <w:szCs w:val="18"/>
              </w:rPr>
            </w:pPr>
            <w:r w:rsidRPr="00FF3EF5">
              <w:rPr>
                <w:sz w:val="18"/>
                <w:szCs w:val="18"/>
              </w:rPr>
              <w:t>0</w:t>
            </w:r>
          </w:p>
        </w:tc>
        <w:tc>
          <w:tcPr>
            <w:tcW w:w="1100" w:type="dxa"/>
          </w:tcPr>
          <w:p w:rsidR="000817C9"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c>
          <w:tcPr>
            <w:tcW w:w="1313" w:type="dxa"/>
          </w:tcPr>
          <w:p w:rsidR="000817C9"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r>
      <w:tr w:rsidR="000817C9" w:rsidRPr="009A75D6" w:rsidTr="004233AB">
        <w:tc>
          <w:tcPr>
            <w:tcW w:w="1985" w:type="dxa"/>
          </w:tcPr>
          <w:p w:rsidR="000817C9" w:rsidRPr="00A5325C" w:rsidRDefault="000817C9" w:rsidP="000817C9">
            <w:pPr>
              <w:rPr>
                <w:rFonts w:ascii="Times New Roman" w:hAnsi="Times New Roman" w:cs="Times New Roman"/>
              </w:rPr>
            </w:pPr>
            <w:r w:rsidRPr="00A5325C">
              <w:rPr>
                <w:rFonts w:ascii="Times New Roman" w:hAnsi="Times New Roman" w:cs="Times New Roman"/>
              </w:rPr>
              <w:t>4. Finanšu līdzekļi papildu izdevumu finansēšanai (kompensējošu izdevumu samazinājumu norāda ar "+" zīmi)</w:t>
            </w:r>
          </w:p>
        </w:tc>
        <w:tc>
          <w:tcPr>
            <w:tcW w:w="1276" w:type="dxa"/>
          </w:tcPr>
          <w:p w:rsidR="000817C9" w:rsidRPr="00FF3EF5" w:rsidRDefault="00FF3EF5" w:rsidP="00574785">
            <w:pPr>
              <w:pStyle w:val="tvhtml"/>
              <w:spacing w:line="293" w:lineRule="atLeast"/>
              <w:jc w:val="center"/>
              <w:rPr>
                <w:sz w:val="18"/>
                <w:szCs w:val="18"/>
              </w:rPr>
            </w:pPr>
            <w:r w:rsidRPr="00FF3EF5">
              <w:rPr>
                <w:sz w:val="18"/>
                <w:szCs w:val="18"/>
              </w:rPr>
              <w:t>X</w:t>
            </w:r>
          </w:p>
        </w:tc>
        <w:tc>
          <w:tcPr>
            <w:tcW w:w="1134" w:type="dxa"/>
          </w:tcPr>
          <w:p w:rsidR="000817C9" w:rsidRPr="00FF3EF5" w:rsidRDefault="00FF3EF5" w:rsidP="00574785">
            <w:pPr>
              <w:pStyle w:val="tvhtml"/>
              <w:spacing w:line="293" w:lineRule="atLeast"/>
              <w:jc w:val="center"/>
              <w:rPr>
                <w:sz w:val="18"/>
                <w:szCs w:val="18"/>
              </w:rPr>
            </w:pPr>
            <w:r w:rsidRPr="00FF3EF5">
              <w:rPr>
                <w:sz w:val="18"/>
                <w:szCs w:val="18"/>
              </w:rPr>
              <w:t>0</w:t>
            </w:r>
          </w:p>
        </w:tc>
        <w:tc>
          <w:tcPr>
            <w:tcW w:w="1134" w:type="dxa"/>
          </w:tcPr>
          <w:p w:rsidR="000817C9"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c>
          <w:tcPr>
            <w:tcW w:w="1134" w:type="dxa"/>
          </w:tcPr>
          <w:p w:rsidR="000817C9" w:rsidRPr="00FF3EF5" w:rsidRDefault="00FC7224" w:rsidP="00574785">
            <w:pPr>
              <w:pStyle w:val="tvhtml"/>
              <w:spacing w:before="0" w:beforeAutospacing="0" w:after="0" w:afterAutospacing="0" w:line="293" w:lineRule="atLeast"/>
              <w:jc w:val="center"/>
              <w:rPr>
                <w:sz w:val="18"/>
                <w:szCs w:val="18"/>
              </w:rPr>
            </w:pPr>
            <w:r>
              <w:rPr>
                <w:sz w:val="18"/>
                <w:szCs w:val="18"/>
              </w:rPr>
              <w:t>1 333 583</w:t>
            </w:r>
          </w:p>
        </w:tc>
        <w:tc>
          <w:tcPr>
            <w:tcW w:w="1133" w:type="dxa"/>
          </w:tcPr>
          <w:p w:rsidR="000817C9" w:rsidRPr="00FF3EF5" w:rsidRDefault="00FF3EF5" w:rsidP="00574785">
            <w:pPr>
              <w:pStyle w:val="tvhtml"/>
              <w:spacing w:before="0" w:beforeAutospacing="0" w:after="0" w:afterAutospacing="0" w:line="293" w:lineRule="atLeast"/>
              <w:jc w:val="center"/>
              <w:rPr>
                <w:sz w:val="18"/>
                <w:szCs w:val="18"/>
              </w:rPr>
            </w:pPr>
            <w:r w:rsidRPr="00FF3EF5">
              <w:rPr>
                <w:sz w:val="18"/>
                <w:szCs w:val="18"/>
              </w:rPr>
              <w:t>0</w:t>
            </w:r>
          </w:p>
        </w:tc>
        <w:tc>
          <w:tcPr>
            <w:tcW w:w="1100" w:type="dxa"/>
          </w:tcPr>
          <w:p w:rsidR="000817C9" w:rsidRPr="00DE0535" w:rsidRDefault="00783A8F" w:rsidP="00574785">
            <w:pPr>
              <w:pStyle w:val="tvhtml"/>
              <w:spacing w:before="0" w:beforeAutospacing="0" w:after="0" w:afterAutospacing="0" w:line="293" w:lineRule="atLeast"/>
              <w:jc w:val="center"/>
              <w:rPr>
                <w:sz w:val="18"/>
                <w:szCs w:val="18"/>
              </w:rPr>
            </w:pPr>
            <w:r>
              <w:rPr>
                <w:sz w:val="18"/>
                <w:szCs w:val="18"/>
              </w:rPr>
              <w:t>0</w:t>
            </w:r>
          </w:p>
        </w:tc>
        <w:tc>
          <w:tcPr>
            <w:tcW w:w="1313" w:type="dxa"/>
          </w:tcPr>
          <w:p w:rsidR="000817C9" w:rsidRPr="00DE0535" w:rsidRDefault="00783A8F" w:rsidP="00574785">
            <w:pPr>
              <w:pStyle w:val="tvhtml"/>
              <w:spacing w:before="0" w:beforeAutospacing="0" w:after="0" w:afterAutospacing="0" w:line="293" w:lineRule="atLeast"/>
              <w:jc w:val="center"/>
              <w:rPr>
                <w:sz w:val="18"/>
                <w:szCs w:val="18"/>
              </w:rPr>
            </w:pPr>
            <w:r>
              <w:rPr>
                <w:sz w:val="18"/>
                <w:szCs w:val="18"/>
              </w:rPr>
              <w:t>0</w:t>
            </w:r>
          </w:p>
        </w:tc>
      </w:tr>
      <w:tr w:rsidR="00FC7224" w:rsidRPr="009A75D6" w:rsidTr="004233AB">
        <w:tc>
          <w:tcPr>
            <w:tcW w:w="1985" w:type="dxa"/>
          </w:tcPr>
          <w:p w:rsidR="00FC7224" w:rsidRPr="00A5325C" w:rsidRDefault="00FC7224" w:rsidP="00FC7224">
            <w:pPr>
              <w:rPr>
                <w:rFonts w:ascii="Times New Roman" w:hAnsi="Times New Roman" w:cs="Times New Roman"/>
              </w:rPr>
            </w:pPr>
            <w:r w:rsidRPr="00A5325C">
              <w:rPr>
                <w:rFonts w:ascii="Times New Roman" w:hAnsi="Times New Roman" w:cs="Times New Roman"/>
              </w:rPr>
              <w:t>5. Precizēta finansiālā ietekme</w:t>
            </w:r>
          </w:p>
        </w:tc>
        <w:tc>
          <w:tcPr>
            <w:tcW w:w="1276" w:type="dxa"/>
            <w:vMerge w:val="restart"/>
          </w:tcPr>
          <w:p w:rsidR="00FC7224" w:rsidRPr="00E83DF7" w:rsidRDefault="00FC7224" w:rsidP="00FC7224">
            <w:pPr>
              <w:pStyle w:val="tvhtml"/>
              <w:spacing w:line="293" w:lineRule="atLeast"/>
              <w:jc w:val="center"/>
              <w:rPr>
                <w:sz w:val="18"/>
                <w:szCs w:val="18"/>
              </w:rPr>
            </w:pPr>
            <w:r>
              <w:rPr>
                <w:sz w:val="18"/>
                <w:szCs w:val="18"/>
              </w:rPr>
              <w:t>X</w:t>
            </w:r>
          </w:p>
        </w:tc>
        <w:tc>
          <w:tcPr>
            <w:tcW w:w="1134" w:type="dxa"/>
          </w:tcPr>
          <w:p w:rsidR="00FC7224" w:rsidRPr="00E83DF7" w:rsidRDefault="00FC7224" w:rsidP="00FC7224">
            <w:pPr>
              <w:pStyle w:val="tvhtml"/>
              <w:spacing w:line="293" w:lineRule="atLeast"/>
              <w:jc w:val="center"/>
              <w:rPr>
                <w:sz w:val="18"/>
                <w:szCs w:val="18"/>
              </w:rPr>
            </w:pPr>
            <w:r>
              <w:rPr>
                <w:sz w:val="18"/>
                <w:szCs w:val="18"/>
              </w:rPr>
              <w:t>0</w:t>
            </w:r>
          </w:p>
        </w:tc>
        <w:tc>
          <w:tcPr>
            <w:tcW w:w="1134" w:type="dxa"/>
            <w:vMerge w:val="restart"/>
          </w:tcPr>
          <w:p w:rsidR="00FC7224" w:rsidRPr="00DE0535" w:rsidRDefault="00FC7224" w:rsidP="00FC7224">
            <w:pPr>
              <w:pStyle w:val="tvhtml"/>
              <w:spacing w:before="0" w:beforeAutospacing="0" w:after="0" w:afterAutospacing="0" w:line="293" w:lineRule="atLeast"/>
              <w:jc w:val="center"/>
              <w:rPr>
                <w:sz w:val="18"/>
                <w:szCs w:val="18"/>
              </w:rPr>
            </w:pPr>
            <w:r w:rsidRPr="00DE0535">
              <w:rPr>
                <w:sz w:val="18"/>
                <w:szCs w:val="18"/>
              </w:rPr>
              <w:t>0</w:t>
            </w:r>
          </w:p>
        </w:tc>
        <w:tc>
          <w:tcPr>
            <w:tcW w:w="1134" w:type="dxa"/>
          </w:tcPr>
          <w:p w:rsidR="00FC7224" w:rsidRPr="00FF3EF5" w:rsidRDefault="00FC7224" w:rsidP="00FC7224">
            <w:pPr>
              <w:pStyle w:val="tvhtml"/>
              <w:spacing w:before="0" w:beforeAutospacing="0" w:after="0" w:afterAutospacing="0" w:line="293" w:lineRule="atLeast"/>
              <w:jc w:val="center"/>
              <w:rPr>
                <w:sz w:val="18"/>
                <w:szCs w:val="18"/>
              </w:rPr>
            </w:pPr>
            <w:r w:rsidRPr="00E83DF7">
              <w:rPr>
                <w:sz w:val="18"/>
                <w:szCs w:val="18"/>
              </w:rPr>
              <w:t>-</w:t>
            </w:r>
            <w:r>
              <w:rPr>
                <w:sz w:val="18"/>
                <w:szCs w:val="18"/>
              </w:rPr>
              <w:t>1 029 949</w:t>
            </w:r>
          </w:p>
        </w:tc>
        <w:tc>
          <w:tcPr>
            <w:tcW w:w="1133" w:type="dxa"/>
            <w:vMerge w:val="restart"/>
          </w:tcPr>
          <w:p w:rsidR="00FC7224" w:rsidRPr="00FF3EF5" w:rsidRDefault="00FC7224" w:rsidP="00FC7224">
            <w:pPr>
              <w:pStyle w:val="tvhtml"/>
              <w:spacing w:before="0" w:beforeAutospacing="0" w:after="0" w:afterAutospacing="0" w:line="293" w:lineRule="atLeast"/>
              <w:jc w:val="center"/>
              <w:rPr>
                <w:sz w:val="18"/>
                <w:szCs w:val="18"/>
              </w:rPr>
            </w:pPr>
            <w:r w:rsidRPr="00FF3EF5">
              <w:rPr>
                <w:sz w:val="18"/>
                <w:szCs w:val="18"/>
              </w:rPr>
              <w:t>0</w:t>
            </w:r>
          </w:p>
        </w:tc>
        <w:tc>
          <w:tcPr>
            <w:tcW w:w="1100" w:type="dxa"/>
          </w:tcPr>
          <w:p w:rsidR="00FC7224" w:rsidRPr="00DE0535" w:rsidRDefault="00783A8F" w:rsidP="00FC7224">
            <w:pPr>
              <w:pStyle w:val="tvhtml"/>
              <w:spacing w:before="0" w:beforeAutospacing="0" w:after="0" w:afterAutospacing="0" w:line="293" w:lineRule="atLeast"/>
              <w:jc w:val="center"/>
              <w:rPr>
                <w:sz w:val="18"/>
                <w:szCs w:val="18"/>
              </w:rPr>
            </w:pPr>
            <w:r w:rsidRPr="00E83DF7">
              <w:rPr>
                <w:sz w:val="18"/>
                <w:szCs w:val="18"/>
              </w:rPr>
              <w:t>-</w:t>
            </w:r>
            <w:r>
              <w:rPr>
                <w:sz w:val="18"/>
                <w:szCs w:val="18"/>
              </w:rPr>
              <w:t>2 363 532</w:t>
            </w:r>
          </w:p>
        </w:tc>
        <w:tc>
          <w:tcPr>
            <w:tcW w:w="1313" w:type="dxa"/>
          </w:tcPr>
          <w:p w:rsidR="00FC7224" w:rsidRPr="00DE0535" w:rsidRDefault="00783A8F" w:rsidP="00FC7224">
            <w:pPr>
              <w:pStyle w:val="tvhtml"/>
              <w:spacing w:before="0" w:beforeAutospacing="0" w:after="0" w:afterAutospacing="0" w:line="293" w:lineRule="atLeast"/>
              <w:jc w:val="center"/>
              <w:rPr>
                <w:sz w:val="18"/>
                <w:szCs w:val="18"/>
              </w:rPr>
            </w:pPr>
            <w:r w:rsidRPr="00E83DF7">
              <w:rPr>
                <w:sz w:val="18"/>
                <w:szCs w:val="18"/>
              </w:rPr>
              <w:t>-</w:t>
            </w:r>
            <w:r>
              <w:rPr>
                <w:sz w:val="18"/>
                <w:szCs w:val="18"/>
              </w:rPr>
              <w:t>2 363 532</w:t>
            </w:r>
          </w:p>
        </w:tc>
      </w:tr>
      <w:tr w:rsidR="00FC7224" w:rsidRPr="009A75D6" w:rsidTr="004233AB">
        <w:trPr>
          <w:trHeight w:val="526"/>
        </w:trPr>
        <w:tc>
          <w:tcPr>
            <w:tcW w:w="1985" w:type="dxa"/>
          </w:tcPr>
          <w:p w:rsidR="00FC7224" w:rsidRPr="00A5325C" w:rsidRDefault="00FC7224" w:rsidP="00FC7224">
            <w:pPr>
              <w:rPr>
                <w:rFonts w:ascii="Times New Roman" w:hAnsi="Times New Roman" w:cs="Times New Roman"/>
              </w:rPr>
            </w:pPr>
            <w:r w:rsidRPr="00A5325C">
              <w:rPr>
                <w:rFonts w:ascii="Times New Roman" w:hAnsi="Times New Roman" w:cs="Times New Roman"/>
              </w:rPr>
              <w:t>5.1. valsts pamatbudžets</w:t>
            </w:r>
          </w:p>
        </w:tc>
        <w:tc>
          <w:tcPr>
            <w:tcW w:w="1276" w:type="dxa"/>
            <w:vMerge/>
          </w:tcPr>
          <w:p w:rsidR="00FC7224" w:rsidRPr="00E83DF7" w:rsidRDefault="00FC7224" w:rsidP="00FC7224">
            <w:pPr>
              <w:pStyle w:val="tvhtml"/>
              <w:spacing w:line="293" w:lineRule="atLeast"/>
              <w:jc w:val="center"/>
              <w:rPr>
                <w:sz w:val="18"/>
                <w:szCs w:val="18"/>
              </w:rPr>
            </w:pPr>
          </w:p>
        </w:tc>
        <w:tc>
          <w:tcPr>
            <w:tcW w:w="1134" w:type="dxa"/>
          </w:tcPr>
          <w:p w:rsidR="00FC7224" w:rsidRPr="00E83DF7" w:rsidRDefault="00FC7224" w:rsidP="00FC7224">
            <w:pPr>
              <w:pStyle w:val="tvhtml"/>
              <w:spacing w:line="293" w:lineRule="atLeast"/>
              <w:jc w:val="center"/>
              <w:rPr>
                <w:sz w:val="18"/>
                <w:szCs w:val="18"/>
              </w:rPr>
            </w:pPr>
            <w:r>
              <w:rPr>
                <w:sz w:val="18"/>
                <w:szCs w:val="18"/>
              </w:rPr>
              <w:t>0</w:t>
            </w:r>
          </w:p>
        </w:tc>
        <w:tc>
          <w:tcPr>
            <w:tcW w:w="1134" w:type="dxa"/>
            <w:vMerge/>
          </w:tcPr>
          <w:p w:rsidR="00FC7224" w:rsidRPr="00DE0535" w:rsidRDefault="00FC7224" w:rsidP="00FC7224">
            <w:pPr>
              <w:pStyle w:val="tvhtml"/>
              <w:spacing w:before="0" w:beforeAutospacing="0" w:after="0" w:afterAutospacing="0" w:line="293" w:lineRule="atLeast"/>
              <w:jc w:val="center"/>
              <w:rPr>
                <w:sz w:val="18"/>
                <w:szCs w:val="18"/>
              </w:rPr>
            </w:pPr>
          </w:p>
        </w:tc>
        <w:tc>
          <w:tcPr>
            <w:tcW w:w="1134" w:type="dxa"/>
          </w:tcPr>
          <w:p w:rsidR="00FC7224" w:rsidRPr="00FF3EF5" w:rsidRDefault="00FC7224" w:rsidP="00FC7224">
            <w:pPr>
              <w:pStyle w:val="tvhtml"/>
              <w:spacing w:before="0" w:beforeAutospacing="0" w:after="0" w:afterAutospacing="0" w:line="293" w:lineRule="atLeast"/>
              <w:jc w:val="center"/>
              <w:rPr>
                <w:sz w:val="18"/>
                <w:szCs w:val="18"/>
              </w:rPr>
            </w:pPr>
            <w:r w:rsidRPr="00E83DF7">
              <w:rPr>
                <w:sz w:val="18"/>
                <w:szCs w:val="18"/>
              </w:rPr>
              <w:t>-</w:t>
            </w:r>
            <w:r>
              <w:rPr>
                <w:sz w:val="18"/>
                <w:szCs w:val="18"/>
              </w:rPr>
              <w:t>1 029 949</w:t>
            </w:r>
          </w:p>
        </w:tc>
        <w:tc>
          <w:tcPr>
            <w:tcW w:w="1133" w:type="dxa"/>
            <w:vMerge/>
          </w:tcPr>
          <w:p w:rsidR="00FC7224" w:rsidRPr="00FF3EF5" w:rsidRDefault="00FC7224" w:rsidP="00FC7224">
            <w:pPr>
              <w:pStyle w:val="tvhtml"/>
              <w:spacing w:before="0" w:beforeAutospacing="0" w:after="0" w:afterAutospacing="0" w:line="293" w:lineRule="atLeast"/>
              <w:jc w:val="center"/>
              <w:rPr>
                <w:sz w:val="18"/>
                <w:szCs w:val="18"/>
              </w:rPr>
            </w:pPr>
          </w:p>
        </w:tc>
        <w:tc>
          <w:tcPr>
            <w:tcW w:w="1100" w:type="dxa"/>
          </w:tcPr>
          <w:p w:rsidR="00FC7224" w:rsidRPr="00DE0535" w:rsidRDefault="00783A8F" w:rsidP="00FC7224">
            <w:pPr>
              <w:pStyle w:val="tvhtml"/>
              <w:spacing w:before="0" w:beforeAutospacing="0" w:after="0" w:afterAutospacing="0" w:line="293" w:lineRule="atLeast"/>
              <w:jc w:val="center"/>
              <w:rPr>
                <w:sz w:val="18"/>
                <w:szCs w:val="18"/>
              </w:rPr>
            </w:pPr>
            <w:r w:rsidRPr="00E83DF7">
              <w:rPr>
                <w:sz w:val="18"/>
                <w:szCs w:val="18"/>
              </w:rPr>
              <w:t>-</w:t>
            </w:r>
            <w:r>
              <w:rPr>
                <w:sz w:val="18"/>
                <w:szCs w:val="18"/>
              </w:rPr>
              <w:t>2 363 532</w:t>
            </w:r>
          </w:p>
        </w:tc>
        <w:tc>
          <w:tcPr>
            <w:tcW w:w="1313" w:type="dxa"/>
          </w:tcPr>
          <w:p w:rsidR="00FC7224" w:rsidRPr="00DE0535" w:rsidRDefault="00783A8F" w:rsidP="00FC7224">
            <w:pPr>
              <w:pStyle w:val="tvhtml"/>
              <w:spacing w:before="0" w:beforeAutospacing="0" w:after="0" w:afterAutospacing="0" w:line="293" w:lineRule="atLeast"/>
              <w:jc w:val="center"/>
              <w:rPr>
                <w:sz w:val="18"/>
                <w:szCs w:val="18"/>
              </w:rPr>
            </w:pPr>
            <w:r w:rsidRPr="00E83DF7">
              <w:rPr>
                <w:sz w:val="18"/>
                <w:szCs w:val="18"/>
              </w:rPr>
              <w:t>-</w:t>
            </w:r>
            <w:r>
              <w:rPr>
                <w:sz w:val="18"/>
                <w:szCs w:val="18"/>
              </w:rPr>
              <w:t>2 363 532</w:t>
            </w:r>
          </w:p>
        </w:tc>
      </w:tr>
      <w:tr w:rsidR="00EF4F7D" w:rsidRPr="009A75D6" w:rsidTr="004233AB">
        <w:tc>
          <w:tcPr>
            <w:tcW w:w="1985" w:type="dxa"/>
          </w:tcPr>
          <w:p w:rsidR="00EF4F7D" w:rsidRPr="00A5325C" w:rsidRDefault="00EF4F7D" w:rsidP="00EF4F7D">
            <w:pPr>
              <w:rPr>
                <w:rFonts w:ascii="Times New Roman" w:hAnsi="Times New Roman" w:cs="Times New Roman"/>
              </w:rPr>
            </w:pPr>
            <w:r w:rsidRPr="00A5325C">
              <w:rPr>
                <w:rFonts w:ascii="Times New Roman" w:hAnsi="Times New Roman" w:cs="Times New Roman"/>
              </w:rPr>
              <w:t>5.2. speciālais budžets</w:t>
            </w:r>
          </w:p>
        </w:tc>
        <w:tc>
          <w:tcPr>
            <w:tcW w:w="1276" w:type="dxa"/>
            <w:vMerge/>
          </w:tcPr>
          <w:p w:rsidR="00EF4F7D" w:rsidRPr="00E83DF7" w:rsidRDefault="00EF4F7D" w:rsidP="00574785">
            <w:pPr>
              <w:pStyle w:val="tvhtml"/>
              <w:spacing w:line="293" w:lineRule="atLeast"/>
              <w:jc w:val="center"/>
              <w:rPr>
                <w:sz w:val="18"/>
                <w:szCs w:val="18"/>
              </w:rPr>
            </w:pPr>
          </w:p>
        </w:tc>
        <w:tc>
          <w:tcPr>
            <w:tcW w:w="1134" w:type="dxa"/>
          </w:tcPr>
          <w:p w:rsidR="00EF4F7D" w:rsidRPr="00E83DF7" w:rsidRDefault="00FF3EF5" w:rsidP="00574785">
            <w:pPr>
              <w:pStyle w:val="tvhtml"/>
              <w:spacing w:line="293" w:lineRule="atLeast"/>
              <w:jc w:val="center"/>
              <w:rPr>
                <w:sz w:val="18"/>
                <w:szCs w:val="18"/>
              </w:rPr>
            </w:pPr>
            <w:r>
              <w:rPr>
                <w:sz w:val="18"/>
                <w:szCs w:val="18"/>
              </w:rPr>
              <w:t>0</w:t>
            </w:r>
          </w:p>
        </w:tc>
        <w:tc>
          <w:tcPr>
            <w:tcW w:w="1134" w:type="dxa"/>
            <w:vMerge/>
          </w:tcPr>
          <w:p w:rsidR="00EF4F7D" w:rsidRPr="00DE0535" w:rsidRDefault="00EF4F7D" w:rsidP="00574785">
            <w:pPr>
              <w:pStyle w:val="tvhtml"/>
              <w:spacing w:before="0" w:beforeAutospacing="0" w:after="0" w:afterAutospacing="0" w:line="293" w:lineRule="atLeast"/>
              <w:jc w:val="center"/>
              <w:rPr>
                <w:sz w:val="18"/>
                <w:szCs w:val="18"/>
              </w:rPr>
            </w:pPr>
          </w:p>
        </w:tc>
        <w:tc>
          <w:tcPr>
            <w:tcW w:w="1134" w:type="dxa"/>
          </w:tcPr>
          <w:p w:rsidR="00EF4F7D"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c>
          <w:tcPr>
            <w:tcW w:w="1133" w:type="dxa"/>
            <w:vMerge/>
          </w:tcPr>
          <w:p w:rsidR="00EF4F7D" w:rsidRPr="00DE0535" w:rsidRDefault="00EF4F7D" w:rsidP="00574785">
            <w:pPr>
              <w:pStyle w:val="tvhtml"/>
              <w:spacing w:before="0" w:beforeAutospacing="0" w:after="0" w:afterAutospacing="0" w:line="293" w:lineRule="atLeast"/>
              <w:jc w:val="center"/>
              <w:rPr>
                <w:sz w:val="18"/>
                <w:szCs w:val="18"/>
              </w:rPr>
            </w:pPr>
          </w:p>
        </w:tc>
        <w:tc>
          <w:tcPr>
            <w:tcW w:w="1100" w:type="dxa"/>
          </w:tcPr>
          <w:p w:rsidR="00EF4F7D"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c>
          <w:tcPr>
            <w:tcW w:w="1313" w:type="dxa"/>
          </w:tcPr>
          <w:p w:rsidR="00EF4F7D"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r>
      <w:tr w:rsidR="00EF4F7D" w:rsidRPr="009A75D6" w:rsidTr="004233AB">
        <w:trPr>
          <w:trHeight w:val="789"/>
        </w:trPr>
        <w:tc>
          <w:tcPr>
            <w:tcW w:w="1985" w:type="dxa"/>
          </w:tcPr>
          <w:p w:rsidR="00EF4F7D" w:rsidRPr="00A5325C" w:rsidRDefault="00EF4F7D" w:rsidP="00EF4F7D">
            <w:pPr>
              <w:rPr>
                <w:rFonts w:ascii="Times New Roman" w:hAnsi="Times New Roman" w:cs="Times New Roman"/>
              </w:rPr>
            </w:pPr>
            <w:r w:rsidRPr="00A5325C">
              <w:rPr>
                <w:rFonts w:ascii="Times New Roman" w:hAnsi="Times New Roman" w:cs="Times New Roman"/>
              </w:rPr>
              <w:t>5.3. pašvaldību budžets</w:t>
            </w:r>
          </w:p>
        </w:tc>
        <w:tc>
          <w:tcPr>
            <w:tcW w:w="1276" w:type="dxa"/>
            <w:vMerge/>
          </w:tcPr>
          <w:p w:rsidR="00EF4F7D" w:rsidRPr="00E83DF7" w:rsidRDefault="00EF4F7D" w:rsidP="00574785">
            <w:pPr>
              <w:pStyle w:val="tvhtml"/>
              <w:spacing w:line="293" w:lineRule="atLeast"/>
              <w:jc w:val="center"/>
              <w:rPr>
                <w:sz w:val="18"/>
                <w:szCs w:val="18"/>
              </w:rPr>
            </w:pPr>
          </w:p>
        </w:tc>
        <w:tc>
          <w:tcPr>
            <w:tcW w:w="1134" w:type="dxa"/>
          </w:tcPr>
          <w:p w:rsidR="00EF4F7D" w:rsidRPr="00E83DF7" w:rsidRDefault="00FF3EF5" w:rsidP="00574785">
            <w:pPr>
              <w:pStyle w:val="tvhtml"/>
              <w:spacing w:line="293" w:lineRule="atLeast"/>
              <w:jc w:val="center"/>
              <w:rPr>
                <w:sz w:val="18"/>
                <w:szCs w:val="18"/>
              </w:rPr>
            </w:pPr>
            <w:r>
              <w:rPr>
                <w:sz w:val="18"/>
                <w:szCs w:val="18"/>
              </w:rPr>
              <w:t>0</w:t>
            </w:r>
          </w:p>
        </w:tc>
        <w:tc>
          <w:tcPr>
            <w:tcW w:w="1134" w:type="dxa"/>
            <w:vMerge/>
          </w:tcPr>
          <w:p w:rsidR="00EF4F7D" w:rsidRPr="00DE0535" w:rsidRDefault="00EF4F7D" w:rsidP="00574785">
            <w:pPr>
              <w:pStyle w:val="tvhtml"/>
              <w:spacing w:before="0" w:beforeAutospacing="0" w:after="0" w:afterAutospacing="0" w:line="293" w:lineRule="atLeast"/>
              <w:jc w:val="center"/>
              <w:rPr>
                <w:sz w:val="18"/>
                <w:szCs w:val="18"/>
              </w:rPr>
            </w:pPr>
          </w:p>
        </w:tc>
        <w:tc>
          <w:tcPr>
            <w:tcW w:w="1134" w:type="dxa"/>
          </w:tcPr>
          <w:p w:rsidR="00EF4F7D"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c>
          <w:tcPr>
            <w:tcW w:w="1133" w:type="dxa"/>
            <w:vMerge/>
          </w:tcPr>
          <w:p w:rsidR="00EF4F7D" w:rsidRPr="00DE0535" w:rsidRDefault="00EF4F7D" w:rsidP="00574785">
            <w:pPr>
              <w:pStyle w:val="tvhtml"/>
              <w:spacing w:before="0" w:beforeAutospacing="0" w:after="0" w:afterAutospacing="0" w:line="293" w:lineRule="atLeast"/>
              <w:jc w:val="center"/>
              <w:rPr>
                <w:sz w:val="18"/>
                <w:szCs w:val="18"/>
              </w:rPr>
            </w:pPr>
          </w:p>
        </w:tc>
        <w:tc>
          <w:tcPr>
            <w:tcW w:w="1100" w:type="dxa"/>
          </w:tcPr>
          <w:p w:rsidR="00EF4F7D"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c>
          <w:tcPr>
            <w:tcW w:w="1313" w:type="dxa"/>
          </w:tcPr>
          <w:p w:rsidR="00EF4F7D" w:rsidRPr="00DE0535" w:rsidRDefault="00FF3EF5" w:rsidP="00574785">
            <w:pPr>
              <w:pStyle w:val="tvhtml"/>
              <w:spacing w:before="0" w:beforeAutospacing="0" w:after="0" w:afterAutospacing="0" w:line="293" w:lineRule="atLeast"/>
              <w:jc w:val="center"/>
              <w:rPr>
                <w:sz w:val="18"/>
                <w:szCs w:val="18"/>
              </w:rPr>
            </w:pPr>
            <w:r w:rsidRPr="00DE0535">
              <w:rPr>
                <w:sz w:val="18"/>
                <w:szCs w:val="18"/>
              </w:rPr>
              <w:t>0</w:t>
            </w:r>
          </w:p>
        </w:tc>
      </w:tr>
      <w:tr w:rsidR="00EF4F7D" w:rsidRPr="009A75D6" w:rsidTr="00576C3E">
        <w:tc>
          <w:tcPr>
            <w:tcW w:w="1985" w:type="dxa"/>
          </w:tcPr>
          <w:p w:rsidR="00EF4F7D" w:rsidRPr="00A5325C" w:rsidRDefault="00EF4F7D" w:rsidP="00EF4F7D">
            <w:pPr>
              <w:rPr>
                <w:rFonts w:ascii="Times New Roman" w:hAnsi="Times New Roman" w:cs="Times New Roman"/>
              </w:rPr>
            </w:pPr>
            <w:r w:rsidRPr="00A5325C">
              <w:rPr>
                <w:rFonts w:ascii="Times New Roman" w:hAnsi="Times New Roman" w:cs="Times New Roman"/>
              </w:rPr>
              <w:t>6. Detalizēts ieņēmumu un izdevumu aprēķins (ja nepieciešams, detalizētu ieņēmumu un izdevumu aprēķinu var pievienot anotācijas pielikumā)</w:t>
            </w:r>
          </w:p>
        </w:tc>
        <w:tc>
          <w:tcPr>
            <w:tcW w:w="8224" w:type="dxa"/>
            <w:gridSpan w:val="7"/>
            <w:vMerge w:val="restart"/>
          </w:tcPr>
          <w:p w:rsidR="00093123" w:rsidRPr="00BA43E7" w:rsidRDefault="00191BD0" w:rsidP="00795E31">
            <w:pPr>
              <w:shd w:val="clear" w:color="auto" w:fill="FFFFFF"/>
              <w:spacing w:before="100" w:beforeAutospacing="1" w:after="100" w:afterAutospacing="1"/>
              <w:jc w:val="both"/>
              <w:rPr>
                <w:rFonts w:ascii="Times New Roman" w:hAnsi="Times New Roman" w:cs="Times New Roman"/>
                <w:bCs/>
                <w:color w:val="212121"/>
                <w:sz w:val="24"/>
                <w:szCs w:val="24"/>
                <w:shd w:val="clear" w:color="auto" w:fill="FFFFFF"/>
              </w:rPr>
            </w:pPr>
            <w:r w:rsidRPr="00BA43E7">
              <w:rPr>
                <w:rFonts w:ascii="Times New Roman" w:eastAsia="Times New Roman" w:hAnsi="Times New Roman" w:cs="Times New Roman"/>
                <w:sz w:val="24"/>
                <w:szCs w:val="24"/>
                <w:shd w:val="clear" w:color="auto" w:fill="FFFFFF"/>
                <w:lang w:eastAsia="lv-LV"/>
              </w:rPr>
              <w:t xml:space="preserve">2020.gadam finansējums </w:t>
            </w:r>
            <w:r w:rsidR="008031F2" w:rsidRPr="00BA43E7">
              <w:rPr>
                <w:rFonts w:ascii="Times New Roman" w:eastAsia="Times New Roman" w:hAnsi="Times New Roman" w:cs="Times New Roman"/>
                <w:sz w:val="24"/>
                <w:szCs w:val="24"/>
                <w:shd w:val="clear" w:color="auto" w:fill="FFFFFF"/>
                <w:lang w:eastAsia="lv-LV"/>
              </w:rPr>
              <w:t>2 363 532</w:t>
            </w:r>
            <w:r w:rsidRPr="00BA43E7">
              <w:rPr>
                <w:rFonts w:ascii="Times New Roman" w:eastAsia="Times New Roman" w:hAnsi="Times New Roman" w:cs="Times New Roman"/>
                <w:sz w:val="24"/>
                <w:szCs w:val="24"/>
                <w:shd w:val="clear" w:color="auto" w:fill="FFFFFF"/>
                <w:lang w:eastAsia="lv-LV"/>
              </w:rPr>
              <w:t xml:space="preserve"> </w:t>
            </w:r>
            <w:proofErr w:type="spellStart"/>
            <w:r w:rsidRPr="00BA43E7">
              <w:rPr>
                <w:rFonts w:ascii="Times New Roman" w:eastAsia="Times New Roman" w:hAnsi="Times New Roman" w:cs="Times New Roman"/>
                <w:i/>
                <w:sz w:val="24"/>
                <w:szCs w:val="24"/>
                <w:shd w:val="clear" w:color="auto" w:fill="FFFFFF"/>
                <w:lang w:eastAsia="lv-LV"/>
              </w:rPr>
              <w:t>euro</w:t>
            </w:r>
            <w:proofErr w:type="spellEnd"/>
            <w:r w:rsidRPr="00BA43E7">
              <w:rPr>
                <w:rFonts w:ascii="Times New Roman" w:eastAsia="Times New Roman" w:hAnsi="Times New Roman" w:cs="Times New Roman"/>
                <w:sz w:val="24"/>
                <w:szCs w:val="24"/>
                <w:shd w:val="clear" w:color="auto" w:fill="FFFFFF"/>
                <w:lang w:eastAsia="lv-LV"/>
              </w:rPr>
              <w:t xml:space="preserve"> apmērā paredzēts l</w:t>
            </w:r>
            <w:r w:rsidRPr="00BA43E7">
              <w:rPr>
                <w:rFonts w:ascii="Times New Roman" w:hAnsi="Times New Roman" w:cs="Times New Roman"/>
                <w:bCs/>
                <w:color w:val="212121"/>
                <w:sz w:val="24"/>
                <w:szCs w:val="24"/>
                <w:shd w:val="clear" w:color="auto" w:fill="FFFFFF"/>
              </w:rPr>
              <w:t xml:space="preserve">ikumā “Par valsts budžetu 2020.gadam” un  likumā “Par vidēja termiņa budžeta ietvaru 2020., 2021. un 2022. gadam” (izsludināts 28.11.2019). No 2021.gada un turpmāk ik gadu nepieciešams papildu finansējums </w:t>
            </w:r>
            <w:r w:rsidR="008031F2" w:rsidRPr="00BA43E7">
              <w:rPr>
                <w:rFonts w:ascii="Times New Roman" w:hAnsi="Times New Roman" w:cs="Times New Roman"/>
                <w:bCs/>
                <w:color w:val="212121"/>
                <w:sz w:val="24"/>
                <w:szCs w:val="24"/>
                <w:shd w:val="clear" w:color="auto" w:fill="FFFFFF"/>
              </w:rPr>
              <w:t>2 363 532</w:t>
            </w:r>
            <w:r w:rsidRPr="00BA43E7">
              <w:rPr>
                <w:rFonts w:ascii="Times New Roman" w:hAnsi="Times New Roman" w:cs="Times New Roman"/>
                <w:bCs/>
                <w:color w:val="212121"/>
                <w:sz w:val="24"/>
                <w:szCs w:val="24"/>
                <w:shd w:val="clear" w:color="auto" w:fill="FFFFFF"/>
              </w:rPr>
              <w:t xml:space="preserve"> </w:t>
            </w:r>
            <w:proofErr w:type="spellStart"/>
            <w:r w:rsidRPr="00BA43E7">
              <w:rPr>
                <w:rFonts w:ascii="Times New Roman" w:hAnsi="Times New Roman" w:cs="Times New Roman"/>
                <w:bCs/>
                <w:i/>
                <w:color w:val="212121"/>
                <w:sz w:val="24"/>
                <w:szCs w:val="24"/>
                <w:shd w:val="clear" w:color="auto" w:fill="FFFFFF"/>
              </w:rPr>
              <w:t>euro</w:t>
            </w:r>
            <w:proofErr w:type="spellEnd"/>
            <w:r w:rsidRPr="00BA43E7">
              <w:rPr>
                <w:rFonts w:ascii="Times New Roman" w:hAnsi="Times New Roman" w:cs="Times New Roman"/>
                <w:bCs/>
                <w:color w:val="212121"/>
                <w:sz w:val="24"/>
                <w:szCs w:val="24"/>
                <w:shd w:val="clear" w:color="auto" w:fill="FFFFFF"/>
              </w:rPr>
              <w:t xml:space="preserve"> apmērā. Jautājumu par papildu nepieciešamo finansējumu </w:t>
            </w:r>
            <w:r w:rsidR="008031F2" w:rsidRPr="00BA43E7">
              <w:rPr>
                <w:rFonts w:ascii="Times New Roman" w:hAnsi="Times New Roman" w:cs="Times New Roman"/>
                <w:bCs/>
                <w:color w:val="212121"/>
                <w:sz w:val="24"/>
                <w:szCs w:val="24"/>
                <w:shd w:val="clear" w:color="auto" w:fill="FFFFFF"/>
              </w:rPr>
              <w:t>2 363 532</w:t>
            </w:r>
            <w:r w:rsidRPr="00BA43E7">
              <w:rPr>
                <w:rFonts w:ascii="Times New Roman" w:hAnsi="Times New Roman" w:cs="Times New Roman"/>
                <w:bCs/>
                <w:color w:val="212121"/>
                <w:sz w:val="24"/>
                <w:szCs w:val="24"/>
                <w:shd w:val="clear" w:color="auto" w:fill="FFFFFF"/>
              </w:rPr>
              <w:t xml:space="preserve"> </w:t>
            </w:r>
            <w:proofErr w:type="spellStart"/>
            <w:r w:rsidRPr="00BA43E7">
              <w:rPr>
                <w:rFonts w:ascii="Times New Roman" w:hAnsi="Times New Roman" w:cs="Times New Roman"/>
                <w:bCs/>
                <w:i/>
                <w:color w:val="212121"/>
                <w:sz w:val="24"/>
                <w:szCs w:val="24"/>
                <w:shd w:val="clear" w:color="auto" w:fill="FFFFFF"/>
              </w:rPr>
              <w:t>euro</w:t>
            </w:r>
            <w:proofErr w:type="spellEnd"/>
            <w:r w:rsidRPr="00BA43E7">
              <w:rPr>
                <w:rFonts w:ascii="Times New Roman" w:hAnsi="Times New Roman" w:cs="Times New Roman"/>
                <w:bCs/>
                <w:color w:val="212121"/>
                <w:sz w:val="24"/>
                <w:szCs w:val="24"/>
                <w:shd w:val="clear" w:color="auto" w:fill="FFFFFF"/>
              </w:rPr>
              <w:t xml:space="preserve"> apmērā no 2021.gada un turpmāk ik gadu </w:t>
            </w:r>
            <w:r w:rsidR="002E721A" w:rsidRPr="00BA43E7">
              <w:rPr>
                <w:rFonts w:ascii="Times New Roman" w:hAnsi="Times New Roman" w:cs="Times New Roman"/>
                <w:bCs/>
                <w:color w:val="212121"/>
                <w:sz w:val="24"/>
                <w:szCs w:val="24"/>
                <w:shd w:val="clear" w:color="auto" w:fill="FFFFFF"/>
              </w:rPr>
              <w:t>rezidentu darba samaksas pieauguma nodrošināšanai</w:t>
            </w:r>
            <w:r w:rsidR="007D5B0B" w:rsidRPr="00BA43E7">
              <w:rPr>
                <w:rFonts w:ascii="Times New Roman" w:hAnsi="Times New Roman" w:cs="Times New Roman"/>
                <w:bCs/>
                <w:color w:val="212121"/>
                <w:sz w:val="24"/>
                <w:szCs w:val="24"/>
                <w:shd w:val="clear" w:color="auto" w:fill="FFFFFF"/>
              </w:rPr>
              <w:t xml:space="preserve"> </w:t>
            </w:r>
            <w:r w:rsidRPr="00BA43E7">
              <w:rPr>
                <w:rFonts w:ascii="Times New Roman" w:hAnsi="Times New Roman" w:cs="Times New Roman"/>
                <w:bCs/>
                <w:color w:val="212121"/>
                <w:sz w:val="24"/>
                <w:szCs w:val="24"/>
                <w:shd w:val="clear" w:color="auto" w:fill="FFFFFF"/>
              </w:rPr>
              <w:t>2020.gada līmenī Veselības ministrija virzīs kā starpnozaru prioritāro pasākumu izskatīšanai Ministru kabinetā likumprojekta “Par vidējā termiņa budžeta ietvaru 2021., 2022. un 2023.gadam” un likumprojekta “Par valsts budžetu 2021. gadam” sagatavošanas procesā.</w:t>
            </w:r>
          </w:p>
          <w:p w:rsidR="00720045" w:rsidRDefault="00863B2D" w:rsidP="004F469B">
            <w:pPr>
              <w:jc w:val="both"/>
              <w:rPr>
                <w:rFonts w:ascii="Times New Roman" w:hAnsi="Times New Roman" w:cs="Times New Roman"/>
                <w:sz w:val="24"/>
                <w:szCs w:val="24"/>
              </w:rPr>
            </w:pPr>
            <w:r w:rsidRPr="00720045">
              <w:rPr>
                <w:rFonts w:ascii="Times New Roman" w:hAnsi="Times New Roman" w:cs="Times New Roman"/>
                <w:b/>
                <w:sz w:val="24"/>
                <w:szCs w:val="24"/>
              </w:rPr>
              <w:t xml:space="preserve">Atbilstoši </w:t>
            </w:r>
            <w:r w:rsidR="00A77A2C" w:rsidRPr="00720045">
              <w:rPr>
                <w:rFonts w:ascii="Times New Roman" w:hAnsi="Times New Roman" w:cs="Times New Roman"/>
                <w:b/>
                <w:sz w:val="24"/>
                <w:szCs w:val="24"/>
              </w:rPr>
              <w:t xml:space="preserve">2019.gads atbilstoši likumam “Par valsts budžetu 2019.gadam” un ņemot vērā </w:t>
            </w:r>
            <w:r w:rsidRPr="00720045">
              <w:rPr>
                <w:rFonts w:ascii="Times New Roman" w:hAnsi="Times New Roman" w:cs="Times New Roman"/>
                <w:b/>
                <w:sz w:val="24"/>
                <w:szCs w:val="24"/>
              </w:rPr>
              <w:t>Finanšu ministrijas rīkojum</w:t>
            </w:r>
            <w:r w:rsidR="00A77A2C" w:rsidRPr="00720045">
              <w:rPr>
                <w:rFonts w:ascii="Times New Roman" w:hAnsi="Times New Roman" w:cs="Times New Roman"/>
                <w:b/>
                <w:sz w:val="24"/>
                <w:szCs w:val="24"/>
              </w:rPr>
              <w:t>us</w:t>
            </w:r>
            <w:r w:rsidR="00720045">
              <w:rPr>
                <w:rFonts w:ascii="Times New Roman" w:hAnsi="Times New Roman" w:cs="Times New Roman"/>
                <w:sz w:val="24"/>
                <w:szCs w:val="24"/>
              </w:rPr>
              <w:t>:</w:t>
            </w:r>
          </w:p>
          <w:p w:rsidR="00863B2D" w:rsidRPr="00863B2D" w:rsidRDefault="00863B2D" w:rsidP="004F469B">
            <w:pPr>
              <w:jc w:val="both"/>
              <w:rPr>
                <w:rFonts w:ascii="Times New Roman" w:hAnsi="Times New Roman" w:cs="Times New Roman"/>
                <w:sz w:val="24"/>
                <w:szCs w:val="24"/>
              </w:rPr>
            </w:pPr>
            <w:r w:rsidRPr="00863B2D">
              <w:rPr>
                <w:rFonts w:ascii="Times New Roman" w:hAnsi="Times New Roman" w:cs="Times New Roman"/>
                <w:sz w:val="24"/>
                <w:szCs w:val="24"/>
              </w:rPr>
              <w:t>Veselības ministrijas budžeta programmas 02.00.00 “Medicīnas izglītība” apakšprogrammā 02.04.00 „Rezidentu apmācība”:</w:t>
            </w:r>
          </w:p>
          <w:p w:rsidR="00863B2D" w:rsidRPr="00863B2D" w:rsidRDefault="00863B2D" w:rsidP="00863B2D">
            <w:pPr>
              <w:ind w:right="142"/>
              <w:jc w:val="both"/>
              <w:rPr>
                <w:rFonts w:ascii="Times New Roman" w:hAnsi="Times New Roman" w:cs="Times New Roman"/>
                <w:sz w:val="24"/>
                <w:szCs w:val="24"/>
              </w:rPr>
            </w:pPr>
            <w:r w:rsidRPr="00863B2D">
              <w:rPr>
                <w:rFonts w:ascii="Times New Roman" w:hAnsi="Times New Roman" w:cs="Times New Roman"/>
                <w:sz w:val="24"/>
                <w:szCs w:val="24"/>
              </w:rPr>
              <w:t xml:space="preserve">Resursi izdevumu segšanai 17 626 022 </w:t>
            </w:r>
            <w:proofErr w:type="spellStart"/>
            <w:r w:rsidR="0079116B" w:rsidRPr="0079116B">
              <w:rPr>
                <w:rFonts w:ascii="Times New Roman" w:hAnsi="Times New Roman" w:cs="Times New Roman"/>
                <w:i/>
                <w:sz w:val="24"/>
                <w:szCs w:val="24"/>
              </w:rPr>
              <w:t>euro</w:t>
            </w:r>
            <w:proofErr w:type="spellEnd"/>
          </w:p>
          <w:p w:rsidR="00863B2D" w:rsidRPr="00863B2D" w:rsidRDefault="00732FBC" w:rsidP="00863B2D">
            <w:pPr>
              <w:ind w:right="142" w:firstLine="259"/>
              <w:jc w:val="both"/>
              <w:rPr>
                <w:rFonts w:ascii="Times New Roman" w:hAnsi="Times New Roman" w:cs="Times New Roman"/>
                <w:sz w:val="24"/>
                <w:szCs w:val="24"/>
              </w:rPr>
            </w:pPr>
            <w:r>
              <w:rPr>
                <w:rFonts w:ascii="Times New Roman" w:hAnsi="Times New Roman" w:cs="Times New Roman"/>
                <w:sz w:val="24"/>
                <w:szCs w:val="24"/>
              </w:rPr>
              <w:t>D</w:t>
            </w:r>
            <w:r w:rsidR="00863B2D" w:rsidRPr="00863B2D">
              <w:rPr>
                <w:rFonts w:ascii="Times New Roman" w:hAnsi="Times New Roman" w:cs="Times New Roman"/>
                <w:sz w:val="24"/>
                <w:szCs w:val="24"/>
              </w:rPr>
              <w:t xml:space="preserve">otācija no vispārējiem ieņēmumiem 17 626 022 </w:t>
            </w:r>
            <w:proofErr w:type="spellStart"/>
            <w:r w:rsidR="0079116B" w:rsidRPr="0079116B">
              <w:rPr>
                <w:rFonts w:ascii="Times New Roman" w:hAnsi="Times New Roman" w:cs="Times New Roman"/>
                <w:i/>
                <w:sz w:val="24"/>
                <w:szCs w:val="24"/>
              </w:rPr>
              <w:t>euro</w:t>
            </w:r>
            <w:proofErr w:type="spellEnd"/>
            <w:r w:rsidR="00863B2D" w:rsidRPr="00863B2D">
              <w:rPr>
                <w:rFonts w:ascii="Times New Roman" w:hAnsi="Times New Roman" w:cs="Times New Roman"/>
                <w:sz w:val="24"/>
                <w:szCs w:val="24"/>
              </w:rPr>
              <w:t xml:space="preserve">; </w:t>
            </w:r>
          </w:p>
          <w:p w:rsidR="00863B2D" w:rsidRDefault="00863B2D" w:rsidP="00863B2D">
            <w:pPr>
              <w:ind w:right="142"/>
              <w:jc w:val="both"/>
              <w:rPr>
                <w:rFonts w:ascii="Times New Roman" w:hAnsi="Times New Roman" w:cs="Times New Roman"/>
                <w:sz w:val="24"/>
                <w:szCs w:val="24"/>
              </w:rPr>
            </w:pPr>
            <w:r w:rsidRPr="00863B2D">
              <w:rPr>
                <w:rFonts w:ascii="Times New Roman" w:hAnsi="Times New Roman" w:cs="Times New Roman"/>
                <w:sz w:val="24"/>
                <w:szCs w:val="24"/>
              </w:rPr>
              <w:t xml:space="preserve">Izdevumi 17 626 022 </w:t>
            </w:r>
            <w:proofErr w:type="spellStart"/>
            <w:r w:rsidR="0079116B" w:rsidRPr="0079116B">
              <w:rPr>
                <w:rFonts w:ascii="Times New Roman" w:hAnsi="Times New Roman" w:cs="Times New Roman"/>
                <w:i/>
                <w:sz w:val="24"/>
                <w:szCs w:val="24"/>
              </w:rPr>
              <w:t>euro</w:t>
            </w:r>
            <w:proofErr w:type="spellEnd"/>
            <w:r w:rsidRPr="00863B2D">
              <w:rPr>
                <w:rFonts w:ascii="Times New Roman" w:hAnsi="Times New Roman" w:cs="Times New Roman"/>
                <w:sz w:val="24"/>
                <w:szCs w:val="24"/>
              </w:rPr>
              <w:t>,</w:t>
            </w:r>
          </w:p>
          <w:p w:rsidR="00732FBC" w:rsidRDefault="00732FBC" w:rsidP="00863B2D">
            <w:pPr>
              <w:ind w:right="142"/>
              <w:jc w:val="both"/>
              <w:rPr>
                <w:rFonts w:ascii="Times New Roman" w:hAnsi="Times New Roman" w:cs="Times New Roman"/>
                <w:sz w:val="24"/>
                <w:szCs w:val="24"/>
              </w:rPr>
            </w:pPr>
            <w:r>
              <w:rPr>
                <w:rFonts w:ascii="Times New Roman" w:hAnsi="Times New Roman" w:cs="Times New Roman"/>
                <w:sz w:val="24"/>
                <w:szCs w:val="24"/>
              </w:rPr>
              <w:t xml:space="preserve">    Kārtējie izdevumi 195 462 </w:t>
            </w:r>
            <w:proofErr w:type="spellStart"/>
            <w:r w:rsidR="0079116B" w:rsidRPr="0079116B">
              <w:rPr>
                <w:rFonts w:ascii="Times New Roman" w:hAnsi="Times New Roman" w:cs="Times New Roman"/>
                <w:i/>
                <w:sz w:val="24"/>
                <w:szCs w:val="24"/>
              </w:rPr>
              <w:t>euro</w:t>
            </w:r>
            <w:proofErr w:type="spellEnd"/>
            <w:r>
              <w:rPr>
                <w:rFonts w:ascii="Times New Roman" w:hAnsi="Times New Roman" w:cs="Times New Roman"/>
                <w:sz w:val="24"/>
                <w:szCs w:val="24"/>
              </w:rPr>
              <w:t>,</w:t>
            </w:r>
          </w:p>
          <w:p w:rsidR="00732FBC" w:rsidRPr="00863B2D" w:rsidRDefault="00732FBC" w:rsidP="00863B2D">
            <w:pPr>
              <w:ind w:right="142"/>
              <w:jc w:val="both"/>
              <w:rPr>
                <w:rFonts w:ascii="Times New Roman" w:hAnsi="Times New Roman" w:cs="Times New Roman"/>
                <w:sz w:val="24"/>
                <w:szCs w:val="24"/>
              </w:rPr>
            </w:pPr>
            <w:r>
              <w:rPr>
                <w:rFonts w:ascii="Times New Roman" w:hAnsi="Times New Roman" w:cs="Times New Roman"/>
                <w:sz w:val="24"/>
                <w:szCs w:val="24"/>
              </w:rPr>
              <w:t xml:space="preserve">    Uzturēšanas izdevumu </w:t>
            </w:r>
            <w:proofErr w:type="spellStart"/>
            <w:r>
              <w:rPr>
                <w:rFonts w:ascii="Times New Roman" w:hAnsi="Times New Roman" w:cs="Times New Roman"/>
                <w:sz w:val="24"/>
                <w:szCs w:val="24"/>
              </w:rPr>
              <w:t>transferti</w:t>
            </w:r>
            <w:proofErr w:type="spellEnd"/>
            <w:r>
              <w:rPr>
                <w:rFonts w:ascii="Times New Roman" w:hAnsi="Times New Roman" w:cs="Times New Roman"/>
                <w:sz w:val="24"/>
                <w:szCs w:val="24"/>
              </w:rPr>
              <w:t xml:space="preserve"> 17 430 560 </w:t>
            </w:r>
            <w:proofErr w:type="spellStart"/>
            <w:r w:rsidR="0079116B" w:rsidRPr="0079116B">
              <w:rPr>
                <w:rFonts w:ascii="Times New Roman" w:hAnsi="Times New Roman" w:cs="Times New Roman"/>
                <w:i/>
                <w:sz w:val="24"/>
                <w:szCs w:val="24"/>
              </w:rPr>
              <w:t>euro</w:t>
            </w:r>
            <w:proofErr w:type="spellEnd"/>
          </w:p>
          <w:p w:rsidR="00423A75" w:rsidRDefault="00423A75" w:rsidP="00863B2D">
            <w:pPr>
              <w:ind w:left="249" w:right="142" w:firstLine="11"/>
              <w:jc w:val="both"/>
              <w:rPr>
                <w:rFonts w:ascii="Times New Roman" w:hAnsi="Times New Roman" w:cs="Times New Roman"/>
                <w:i/>
                <w:sz w:val="24"/>
                <w:szCs w:val="24"/>
              </w:rPr>
            </w:pPr>
          </w:p>
          <w:p w:rsidR="006B1E60" w:rsidRPr="006B1E60" w:rsidRDefault="006B1E60" w:rsidP="006B1E60">
            <w:pPr>
              <w:jc w:val="both"/>
              <w:rPr>
                <w:rFonts w:ascii="Times New Roman" w:eastAsia="Times New Roman" w:hAnsi="Times New Roman" w:cs="Times New Roman"/>
                <w:b/>
                <w:noProof/>
                <w:sz w:val="24"/>
                <w:szCs w:val="24"/>
                <w:lang w:eastAsia="lv-LV"/>
              </w:rPr>
            </w:pPr>
            <w:r w:rsidRPr="006B1E60">
              <w:rPr>
                <w:rFonts w:ascii="Times New Roman" w:eastAsia="Times New Roman" w:hAnsi="Times New Roman" w:cs="Times New Roman"/>
                <w:b/>
                <w:noProof/>
                <w:sz w:val="24"/>
                <w:szCs w:val="24"/>
                <w:lang w:eastAsia="lv-LV"/>
              </w:rPr>
              <w:t xml:space="preserve">2020.gads atbilstoši likumprojektam „Par valsts budžetu 2020.gadam” (pieņemts Saeimā 2.lasījumā 2019.gada 14.novembrī): </w:t>
            </w:r>
          </w:p>
          <w:p w:rsidR="006B1E60" w:rsidRPr="006B1E60" w:rsidRDefault="006B1E60" w:rsidP="006B1E60">
            <w:pPr>
              <w:ind w:firstLine="298"/>
              <w:jc w:val="both"/>
              <w:rPr>
                <w:rFonts w:ascii="Times New Roman" w:eastAsia="Times New Roman" w:hAnsi="Times New Roman" w:cs="Times New Roman"/>
                <w:noProof/>
                <w:sz w:val="24"/>
                <w:szCs w:val="24"/>
                <w:u w:val="single"/>
                <w:lang w:eastAsia="lv-LV"/>
              </w:rPr>
            </w:pPr>
          </w:p>
          <w:p w:rsidR="006B1E60" w:rsidRPr="006B1E60" w:rsidRDefault="006B1E60" w:rsidP="006B1E60">
            <w:pPr>
              <w:widowControl w:val="0"/>
              <w:jc w:val="both"/>
              <w:rPr>
                <w:rFonts w:ascii="Times New Roman" w:eastAsia="Times New Roman" w:hAnsi="Times New Roman" w:cs="Times New Roman"/>
                <w:noProof/>
                <w:sz w:val="24"/>
                <w:szCs w:val="24"/>
                <w:lang w:eastAsia="lv-LV"/>
              </w:rPr>
            </w:pPr>
            <w:r w:rsidRPr="006B1E60">
              <w:rPr>
                <w:rFonts w:ascii="Times New Roman" w:eastAsia="Times New Roman" w:hAnsi="Times New Roman" w:cs="Times New Roman"/>
                <w:noProof/>
                <w:sz w:val="24"/>
                <w:szCs w:val="24"/>
                <w:lang w:eastAsia="lv-LV"/>
              </w:rPr>
              <w:t>Veselības ministrijas budžeta programmas 02.00.00 “Medicīnas izglītība”:</w:t>
            </w:r>
          </w:p>
          <w:p w:rsidR="006B1E60" w:rsidRPr="006B1E60" w:rsidRDefault="006B1E60" w:rsidP="006B1E60">
            <w:pPr>
              <w:widowControl w:val="0"/>
              <w:ind w:firstLine="209"/>
              <w:jc w:val="both"/>
              <w:rPr>
                <w:rFonts w:ascii="Times New Roman" w:eastAsia="Times New Roman" w:hAnsi="Times New Roman" w:cs="Times New Roman"/>
                <w:sz w:val="24"/>
                <w:szCs w:val="24"/>
                <w:shd w:val="clear" w:color="auto" w:fill="FFFFFF"/>
                <w:lang w:eastAsia="lv-LV" w:bidi="lv-LV"/>
              </w:rPr>
            </w:pPr>
            <w:r w:rsidRPr="006B1E60">
              <w:rPr>
                <w:rFonts w:ascii="Times New Roman" w:eastAsia="Times New Roman" w:hAnsi="Times New Roman" w:cs="Times New Roman"/>
                <w:sz w:val="24"/>
                <w:szCs w:val="24"/>
                <w:shd w:val="clear" w:color="auto" w:fill="FFFFFF"/>
                <w:lang w:eastAsia="lv-LV" w:bidi="lv-LV"/>
              </w:rPr>
              <w:lastRenderedPageBreak/>
              <w:t>apakšprogrammā 02.04.00 „</w:t>
            </w:r>
            <w:r w:rsidRPr="006B1E60">
              <w:rPr>
                <w:rFonts w:ascii="Times New Roman" w:eastAsia="Times New Roman" w:hAnsi="Times New Roman" w:cs="Times New Roman"/>
                <w:sz w:val="24"/>
                <w:szCs w:val="24"/>
                <w:lang w:eastAsia="lv-LV"/>
              </w:rPr>
              <w:t xml:space="preserve"> </w:t>
            </w:r>
            <w:r w:rsidRPr="006B1E60">
              <w:rPr>
                <w:rFonts w:ascii="Times New Roman" w:eastAsia="Times New Roman" w:hAnsi="Times New Roman" w:cs="Times New Roman"/>
                <w:sz w:val="24"/>
                <w:szCs w:val="24"/>
                <w:shd w:val="clear" w:color="auto" w:fill="FFFFFF"/>
                <w:lang w:eastAsia="lv-LV" w:bidi="lv-LV"/>
              </w:rPr>
              <w:t>Rezidentu apmācība”:</w:t>
            </w:r>
          </w:p>
          <w:p w:rsidR="006B1E60" w:rsidRPr="006B1E60" w:rsidRDefault="006B1E60" w:rsidP="006B1E60">
            <w:pPr>
              <w:rPr>
                <w:rFonts w:ascii="Times New Roman" w:eastAsia="Times New Roman" w:hAnsi="Times New Roman" w:cs="Times New Roman"/>
                <w:noProof/>
                <w:sz w:val="24"/>
                <w:szCs w:val="24"/>
                <w:lang w:eastAsia="lv-LV"/>
              </w:rPr>
            </w:pPr>
            <w:r w:rsidRPr="006B1E60">
              <w:rPr>
                <w:rFonts w:ascii="Times New Roman" w:eastAsia="Times New Roman" w:hAnsi="Times New Roman" w:cs="Times New Roman"/>
                <w:noProof/>
                <w:sz w:val="24"/>
                <w:szCs w:val="24"/>
                <w:lang w:eastAsia="lv-LV"/>
              </w:rPr>
              <w:t xml:space="preserve">Resursi izdevumu segšanai </w:t>
            </w:r>
            <w:r w:rsidRPr="006B1E60">
              <w:rPr>
                <w:rFonts w:ascii="Times New Roman" w:eastAsia="Times New Roman" w:hAnsi="Times New Roman" w:cs="Times New Roman"/>
                <w:bCs/>
                <w:sz w:val="24"/>
                <w:szCs w:val="24"/>
                <w:lang w:eastAsia="lv-LV"/>
              </w:rPr>
              <w:t>20 354 665</w:t>
            </w:r>
            <w:r w:rsidRPr="006B1E60">
              <w:rPr>
                <w:rFonts w:ascii="Times New Roman" w:eastAsia="Times New Roman" w:hAnsi="Times New Roman" w:cs="Times New Roman"/>
                <w:i/>
                <w:noProof/>
                <w:sz w:val="24"/>
                <w:szCs w:val="24"/>
                <w:lang w:eastAsia="lv-LV"/>
              </w:rPr>
              <w:t xml:space="preserve"> euro</w:t>
            </w:r>
          </w:p>
          <w:p w:rsidR="006B1E60" w:rsidRPr="006B1E60" w:rsidRDefault="006B1E60" w:rsidP="006B1E60">
            <w:pPr>
              <w:ind w:firstLine="259"/>
              <w:rPr>
                <w:rFonts w:ascii="Times New Roman" w:eastAsia="Times New Roman" w:hAnsi="Times New Roman" w:cs="Times New Roman"/>
                <w:noProof/>
                <w:sz w:val="24"/>
                <w:szCs w:val="24"/>
                <w:lang w:eastAsia="lv-LV"/>
              </w:rPr>
            </w:pPr>
            <w:r w:rsidRPr="006B1E60">
              <w:rPr>
                <w:rFonts w:ascii="Times New Roman" w:eastAsia="Times New Roman" w:hAnsi="Times New Roman" w:cs="Times New Roman"/>
                <w:noProof/>
                <w:sz w:val="24"/>
                <w:szCs w:val="24"/>
                <w:lang w:eastAsia="lv-LV"/>
              </w:rPr>
              <w:t xml:space="preserve">Dotācija no vispārējiem ieņēmumiem </w:t>
            </w:r>
            <w:r w:rsidRPr="006B1E60">
              <w:rPr>
                <w:rFonts w:ascii="Times New Roman" w:eastAsia="Times New Roman" w:hAnsi="Times New Roman" w:cs="Times New Roman"/>
                <w:sz w:val="24"/>
                <w:szCs w:val="24"/>
                <w:lang w:eastAsia="lv-LV"/>
              </w:rPr>
              <w:t>20 354 665</w:t>
            </w:r>
            <w:r w:rsidRPr="006B1E60">
              <w:rPr>
                <w:rFonts w:ascii="Times New Roman" w:eastAsia="Times New Roman" w:hAnsi="Times New Roman" w:cs="Times New Roman"/>
                <w:i/>
                <w:noProof/>
                <w:sz w:val="24"/>
                <w:szCs w:val="24"/>
                <w:lang w:eastAsia="lv-LV"/>
              </w:rPr>
              <w:t xml:space="preserve"> euro</w:t>
            </w:r>
            <w:r w:rsidRPr="006B1E60">
              <w:rPr>
                <w:rFonts w:ascii="Times New Roman" w:eastAsia="Times New Roman" w:hAnsi="Times New Roman" w:cs="Times New Roman"/>
                <w:noProof/>
                <w:sz w:val="24"/>
                <w:szCs w:val="24"/>
                <w:lang w:eastAsia="lv-LV"/>
              </w:rPr>
              <w:t xml:space="preserve"> </w:t>
            </w:r>
          </w:p>
          <w:p w:rsidR="006B1E60" w:rsidRPr="006B1E60" w:rsidRDefault="006B1E60" w:rsidP="006B1E60">
            <w:pPr>
              <w:rPr>
                <w:rFonts w:ascii="Times New Roman" w:eastAsia="Times New Roman" w:hAnsi="Times New Roman" w:cs="Times New Roman"/>
                <w:noProof/>
                <w:sz w:val="24"/>
                <w:szCs w:val="24"/>
                <w:lang w:eastAsia="lv-LV"/>
              </w:rPr>
            </w:pPr>
            <w:r w:rsidRPr="006B1E60">
              <w:rPr>
                <w:rFonts w:ascii="Times New Roman" w:eastAsia="Times New Roman" w:hAnsi="Times New Roman" w:cs="Times New Roman"/>
                <w:noProof/>
                <w:sz w:val="24"/>
                <w:szCs w:val="24"/>
                <w:lang w:eastAsia="lv-LV"/>
              </w:rPr>
              <w:t xml:space="preserve">Izdevumi </w:t>
            </w:r>
            <w:r w:rsidRPr="006B1E60">
              <w:rPr>
                <w:rFonts w:ascii="Times New Roman" w:eastAsia="Times New Roman" w:hAnsi="Times New Roman" w:cs="Times New Roman"/>
                <w:bCs/>
                <w:sz w:val="24"/>
                <w:szCs w:val="24"/>
                <w:lang w:eastAsia="lv-LV"/>
              </w:rPr>
              <w:t>20 354 665</w:t>
            </w:r>
            <w:r w:rsidRPr="006B1E60">
              <w:rPr>
                <w:rFonts w:ascii="Times New Roman" w:eastAsia="Times New Roman" w:hAnsi="Times New Roman" w:cs="Times New Roman"/>
                <w:i/>
                <w:noProof/>
                <w:sz w:val="24"/>
                <w:szCs w:val="24"/>
                <w:lang w:eastAsia="lv-LV"/>
              </w:rPr>
              <w:t xml:space="preserve"> euro</w:t>
            </w:r>
            <w:r w:rsidRPr="006B1E60">
              <w:rPr>
                <w:rFonts w:ascii="Times New Roman" w:eastAsia="Times New Roman" w:hAnsi="Times New Roman" w:cs="Times New Roman"/>
                <w:noProof/>
                <w:sz w:val="24"/>
                <w:szCs w:val="24"/>
                <w:lang w:eastAsia="lv-LV"/>
              </w:rPr>
              <w:t>, tai skaitā:</w:t>
            </w:r>
          </w:p>
          <w:p w:rsidR="006B1E60" w:rsidRPr="006B1E60" w:rsidRDefault="006B1E60" w:rsidP="006B1E60">
            <w:pPr>
              <w:ind w:firstLine="363"/>
              <w:rPr>
                <w:rFonts w:ascii="Times New Roman" w:eastAsia="Times New Roman" w:hAnsi="Times New Roman" w:cs="Times New Roman"/>
                <w:i/>
                <w:noProof/>
                <w:sz w:val="24"/>
                <w:szCs w:val="24"/>
                <w:lang w:eastAsia="lv-LV"/>
              </w:rPr>
            </w:pPr>
            <w:r w:rsidRPr="006B1E60">
              <w:rPr>
                <w:rFonts w:ascii="Times New Roman" w:eastAsia="Times New Roman" w:hAnsi="Times New Roman" w:cs="Times New Roman"/>
                <w:noProof/>
                <w:sz w:val="24"/>
                <w:szCs w:val="24"/>
                <w:lang w:eastAsia="lv-LV"/>
              </w:rPr>
              <w:t xml:space="preserve">Atlīdzība </w:t>
            </w:r>
            <w:r w:rsidRPr="006B1E60">
              <w:rPr>
                <w:rFonts w:ascii="Times New Roman" w:eastAsia="Times New Roman" w:hAnsi="Times New Roman" w:cs="Times New Roman"/>
                <w:sz w:val="24"/>
                <w:szCs w:val="24"/>
                <w:lang w:eastAsia="lv-LV"/>
              </w:rPr>
              <w:t>178 311</w:t>
            </w:r>
            <w:r w:rsidRPr="006B1E60">
              <w:rPr>
                <w:rFonts w:ascii="Times New Roman" w:eastAsia="Times New Roman" w:hAnsi="Times New Roman" w:cs="Times New Roman"/>
                <w:i/>
                <w:noProof/>
                <w:sz w:val="24"/>
                <w:szCs w:val="24"/>
                <w:lang w:eastAsia="lv-LV"/>
              </w:rPr>
              <w:t xml:space="preserve"> euro</w:t>
            </w:r>
          </w:p>
          <w:p w:rsidR="006B1E60" w:rsidRPr="006B1E60" w:rsidRDefault="006B1E60" w:rsidP="006B1E60">
            <w:pPr>
              <w:ind w:firstLine="363"/>
              <w:rPr>
                <w:rFonts w:ascii="Times New Roman" w:eastAsia="Times New Roman" w:hAnsi="Times New Roman" w:cs="Times New Roman"/>
                <w:noProof/>
                <w:sz w:val="24"/>
                <w:szCs w:val="24"/>
                <w:lang w:eastAsia="lv-LV"/>
              </w:rPr>
            </w:pPr>
            <w:r w:rsidRPr="006B1E60">
              <w:rPr>
                <w:rFonts w:ascii="Times New Roman" w:eastAsia="Times New Roman" w:hAnsi="Times New Roman" w:cs="Times New Roman"/>
                <w:noProof/>
                <w:sz w:val="24"/>
                <w:szCs w:val="24"/>
                <w:lang w:eastAsia="lv-LV"/>
              </w:rPr>
              <w:t xml:space="preserve">Preces un pakalpojumi </w:t>
            </w:r>
            <w:r w:rsidRPr="006B1E60">
              <w:rPr>
                <w:rFonts w:ascii="Times New Roman" w:eastAsia="Times New Roman" w:hAnsi="Times New Roman" w:cs="Times New Roman"/>
                <w:sz w:val="24"/>
                <w:szCs w:val="24"/>
                <w:lang w:eastAsia="lv-LV"/>
              </w:rPr>
              <w:t>17 151</w:t>
            </w:r>
            <w:r w:rsidRPr="006B1E60">
              <w:rPr>
                <w:rFonts w:ascii="Times New Roman" w:eastAsia="Times New Roman" w:hAnsi="Times New Roman" w:cs="Times New Roman"/>
                <w:i/>
                <w:noProof/>
                <w:sz w:val="24"/>
                <w:szCs w:val="24"/>
                <w:lang w:eastAsia="lv-LV"/>
              </w:rPr>
              <w:t xml:space="preserve"> euro</w:t>
            </w:r>
          </w:p>
          <w:p w:rsidR="006B1E60" w:rsidRPr="006B1E60" w:rsidRDefault="006B1E60" w:rsidP="006B1E60">
            <w:pPr>
              <w:ind w:left="411"/>
              <w:rPr>
                <w:rFonts w:ascii="Times New Roman" w:eastAsia="Times New Roman" w:hAnsi="Times New Roman" w:cs="Times New Roman"/>
                <w:i/>
                <w:noProof/>
                <w:sz w:val="24"/>
                <w:szCs w:val="24"/>
                <w:lang w:eastAsia="lv-LV"/>
              </w:rPr>
            </w:pPr>
            <w:r w:rsidRPr="006B1E60">
              <w:rPr>
                <w:rFonts w:ascii="Times New Roman" w:eastAsia="Times New Roman" w:hAnsi="Times New Roman" w:cs="Times New Roman"/>
                <w:noProof/>
                <w:sz w:val="24"/>
                <w:szCs w:val="24"/>
                <w:lang w:eastAsia="lv-LV"/>
              </w:rPr>
              <w:t xml:space="preserve">Valsts budžeta transferti valsts budžeta daļēji finansētām atvasinātām publiskām personām un budžeta nefinansētām iestādēm noteiktam mērķim </w:t>
            </w:r>
            <w:r w:rsidRPr="006B1E60">
              <w:rPr>
                <w:rFonts w:ascii="Times New Roman" w:eastAsia="Times New Roman" w:hAnsi="Times New Roman" w:cs="Times New Roman"/>
                <w:bCs/>
                <w:sz w:val="24"/>
                <w:szCs w:val="24"/>
                <w:lang w:eastAsia="lv-LV"/>
              </w:rPr>
              <w:t>20 159 203</w:t>
            </w:r>
            <w:r w:rsidRPr="006B1E60">
              <w:rPr>
                <w:rFonts w:ascii="Times New Roman" w:eastAsia="Times New Roman" w:hAnsi="Times New Roman" w:cs="Times New Roman"/>
                <w:i/>
                <w:noProof/>
                <w:sz w:val="24"/>
                <w:szCs w:val="24"/>
                <w:lang w:eastAsia="lv-LV"/>
              </w:rPr>
              <w:t xml:space="preserve"> euro</w:t>
            </w:r>
          </w:p>
          <w:p w:rsidR="00792B00" w:rsidRDefault="00792B00" w:rsidP="00423A75">
            <w:pPr>
              <w:rPr>
                <w:rFonts w:ascii="Times New Roman" w:hAnsi="Times New Roman" w:cs="Times New Roman"/>
                <w:i/>
                <w:noProof/>
                <w:sz w:val="24"/>
                <w:szCs w:val="24"/>
              </w:rPr>
            </w:pPr>
          </w:p>
          <w:p w:rsidR="00792B00" w:rsidRPr="00BA60E1" w:rsidRDefault="00792B00" w:rsidP="00792B00">
            <w:pPr>
              <w:tabs>
                <w:tab w:val="left" w:pos="512"/>
              </w:tabs>
              <w:ind w:right="136"/>
              <w:jc w:val="both"/>
              <w:rPr>
                <w:rFonts w:ascii="Times New Roman" w:eastAsiaTheme="minorEastAsia" w:hAnsi="Times New Roman" w:cs="Times New Roman"/>
                <w:b/>
                <w:sz w:val="24"/>
                <w:szCs w:val="24"/>
                <w:highlight w:val="yellow"/>
              </w:rPr>
            </w:pPr>
            <w:r w:rsidRPr="00BA60E1">
              <w:rPr>
                <w:rFonts w:ascii="Times New Roman" w:hAnsi="Times New Roman" w:cs="Times New Roman"/>
                <w:b/>
                <w:color w:val="000000"/>
                <w:sz w:val="24"/>
                <w:szCs w:val="24"/>
                <w:shd w:val="clear" w:color="auto" w:fill="FFFFFF"/>
              </w:rPr>
              <w:t xml:space="preserve">2021.gadam maksimāli pieļaujamais valsts pamatbudžeta izdevumu apjoms Veselības ministrijas (NVD) budžeta programmas </w:t>
            </w:r>
            <w:r w:rsidRPr="00BA60E1">
              <w:rPr>
                <w:rFonts w:ascii="Times New Roman" w:hAnsi="Times New Roman" w:cs="Times New Roman"/>
                <w:b/>
                <w:noProof/>
                <w:sz w:val="24"/>
                <w:szCs w:val="24"/>
              </w:rPr>
              <w:t>02.00.00 “Medicīnas izglītība”:</w:t>
            </w:r>
          </w:p>
          <w:p w:rsidR="00792B00" w:rsidRPr="00423A75" w:rsidRDefault="00792B00" w:rsidP="00792B00">
            <w:pPr>
              <w:widowControl w:val="0"/>
              <w:jc w:val="both"/>
              <w:rPr>
                <w:rFonts w:ascii="Times New Roman" w:hAnsi="Times New Roman" w:cs="Times New Roman"/>
                <w:noProof/>
                <w:sz w:val="24"/>
                <w:szCs w:val="24"/>
              </w:rPr>
            </w:pPr>
            <w:r w:rsidRPr="00423A75">
              <w:rPr>
                <w:rFonts w:ascii="Times New Roman" w:hAnsi="Times New Roman" w:cs="Times New Roman"/>
                <w:noProof/>
                <w:sz w:val="24"/>
                <w:szCs w:val="24"/>
              </w:rPr>
              <w:t xml:space="preserve">apakšprogrammā </w:t>
            </w:r>
            <w:r>
              <w:rPr>
                <w:rFonts w:ascii="Times New Roman" w:hAnsi="Times New Roman" w:cs="Times New Roman"/>
                <w:noProof/>
                <w:sz w:val="24"/>
                <w:szCs w:val="24"/>
              </w:rPr>
              <w:t>02.04.00</w:t>
            </w:r>
            <w:r w:rsidRPr="00423A75">
              <w:rPr>
                <w:rFonts w:ascii="Times New Roman" w:hAnsi="Times New Roman" w:cs="Times New Roman"/>
                <w:noProof/>
                <w:sz w:val="24"/>
                <w:szCs w:val="24"/>
              </w:rPr>
              <w:t xml:space="preserve"> “</w:t>
            </w:r>
            <w:r>
              <w:rPr>
                <w:rFonts w:ascii="Times New Roman" w:hAnsi="Times New Roman" w:cs="Times New Roman"/>
                <w:noProof/>
                <w:sz w:val="24"/>
                <w:szCs w:val="24"/>
              </w:rPr>
              <w:t>Rezidentu apmācība</w:t>
            </w:r>
            <w:r w:rsidRPr="00423A75">
              <w:rPr>
                <w:rFonts w:ascii="Times New Roman" w:hAnsi="Times New Roman" w:cs="Times New Roman"/>
                <w:noProof/>
                <w:sz w:val="24"/>
                <w:szCs w:val="24"/>
              </w:rPr>
              <w:t>”:</w:t>
            </w:r>
          </w:p>
          <w:p w:rsidR="00792B00" w:rsidRPr="00423A75" w:rsidRDefault="00792B00" w:rsidP="00792B00">
            <w:pPr>
              <w:ind w:right="135"/>
              <w:jc w:val="both"/>
              <w:rPr>
                <w:rFonts w:ascii="Times New Roman" w:eastAsiaTheme="minorEastAsia" w:hAnsi="Times New Roman" w:cs="Times New Roman"/>
                <w:sz w:val="24"/>
                <w:szCs w:val="24"/>
              </w:rPr>
            </w:pPr>
            <w:r w:rsidRPr="00423A75">
              <w:rPr>
                <w:rFonts w:ascii="Times New Roman" w:eastAsiaTheme="minorEastAsia" w:hAnsi="Times New Roman" w:cs="Times New Roman"/>
                <w:sz w:val="24"/>
                <w:szCs w:val="24"/>
              </w:rPr>
              <w:t xml:space="preserve">Resursi izdevumu segšanai </w:t>
            </w:r>
            <w:r>
              <w:rPr>
                <w:rFonts w:ascii="Times New Roman" w:eastAsiaTheme="minorEastAsia" w:hAnsi="Times New Roman" w:cs="Times New Roman"/>
                <w:sz w:val="24"/>
                <w:szCs w:val="24"/>
              </w:rPr>
              <w:t>21 832 077</w:t>
            </w:r>
            <w:r w:rsidRPr="00423A75">
              <w:rPr>
                <w:rFonts w:ascii="Times New Roman" w:eastAsiaTheme="minorEastAsia" w:hAnsi="Times New Roman" w:cs="Times New Roman"/>
                <w:sz w:val="24"/>
                <w:szCs w:val="24"/>
              </w:rPr>
              <w:t xml:space="preserve"> </w:t>
            </w:r>
            <w:proofErr w:type="spellStart"/>
            <w:r w:rsidR="0079116B" w:rsidRPr="0079116B">
              <w:rPr>
                <w:rFonts w:ascii="Times New Roman" w:eastAsiaTheme="minorEastAsia" w:hAnsi="Times New Roman" w:cs="Times New Roman"/>
                <w:i/>
                <w:sz w:val="24"/>
                <w:szCs w:val="24"/>
              </w:rPr>
              <w:t>euro</w:t>
            </w:r>
            <w:proofErr w:type="spellEnd"/>
            <w:r w:rsidRPr="00423A75">
              <w:rPr>
                <w:rFonts w:ascii="Times New Roman" w:eastAsiaTheme="minorEastAsia" w:hAnsi="Times New Roman" w:cs="Times New Roman"/>
                <w:sz w:val="24"/>
                <w:szCs w:val="24"/>
              </w:rPr>
              <w:t xml:space="preserve"> </w:t>
            </w:r>
          </w:p>
          <w:p w:rsidR="00792B00" w:rsidRPr="00423A75" w:rsidRDefault="00792B00" w:rsidP="00792B00">
            <w:pPr>
              <w:ind w:right="135"/>
              <w:jc w:val="both"/>
              <w:rPr>
                <w:rFonts w:ascii="Times New Roman" w:eastAsiaTheme="minorEastAsia" w:hAnsi="Times New Roman" w:cs="Times New Roman"/>
                <w:sz w:val="24"/>
                <w:szCs w:val="24"/>
              </w:rPr>
            </w:pPr>
            <w:r w:rsidRPr="00423A75">
              <w:rPr>
                <w:rFonts w:ascii="Times New Roman" w:eastAsiaTheme="minorEastAsia" w:hAnsi="Times New Roman" w:cs="Times New Roman"/>
                <w:sz w:val="24"/>
                <w:szCs w:val="24"/>
              </w:rPr>
              <w:t xml:space="preserve">  Dotācija no vispārējiem ieņēmumiem </w:t>
            </w:r>
            <w:r>
              <w:rPr>
                <w:rFonts w:ascii="Times New Roman" w:eastAsiaTheme="minorEastAsia" w:hAnsi="Times New Roman" w:cs="Times New Roman"/>
                <w:sz w:val="24"/>
                <w:szCs w:val="24"/>
              </w:rPr>
              <w:t>21 832 077</w:t>
            </w:r>
            <w:r w:rsidRPr="00423A75">
              <w:rPr>
                <w:rFonts w:ascii="Times New Roman" w:eastAsiaTheme="minorEastAsia" w:hAnsi="Times New Roman" w:cs="Times New Roman"/>
                <w:sz w:val="24"/>
                <w:szCs w:val="24"/>
              </w:rPr>
              <w:t xml:space="preserve"> </w:t>
            </w:r>
            <w:proofErr w:type="spellStart"/>
            <w:r w:rsidR="0079116B" w:rsidRPr="0079116B">
              <w:rPr>
                <w:rFonts w:ascii="Times New Roman" w:eastAsiaTheme="minorEastAsia" w:hAnsi="Times New Roman" w:cs="Times New Roman"/>
                <w:i/>
                <w:sz w:val="24"/>
                <w:szCs w:val="24"/>
              </w:rPr>
              <w:t>euro</w:t>
            </w:r>
            <w:proofErr w:type="spellEnd"/>
          </w:p>
          <w:p w:rsidR="00792B00" w:rsidRPr="00423A75" w:rsidRDefault="00792B00" w:rsidP="00792B00">
            <w:pPr>
              <w:ind w:right="135"/>
              <w:jc w:val="both"/>
              <w:rPr>
                <w:rFonts w:ascii="Times New Roman" w:eastAsiaTheme="minorEastAsia" w:hAnsi="Times New Roman" w:cs="Times New Roman"/>
                <w:sz w:val="24"/>
                <w:szCs w:val="24"/>
              </w:rPr>
            </w:pPr>
            <w:r w:rsidRPr="00423A75">
              <w:rPr>
                <w:rFonts w:ascii="Times New Roman" w:eastAsiaTheme="minorEastAsia" w:hAnsi="Times New Roman" w:cs="Times New Roman"/>
                <w:sz w:val="24"/>
                <w:szCs w:val="24"/>
              </w:rPr>
              <w:t xml:space="preserve">Izdevumi </w:t>
            </w:r>
            <w:r>
              <w:rPr>
                <w:rFonts w:ascii="Times New Roman" w:eastAsiaTheme="minorEastAsia" w:hAnsi="Times New Roman" w:cs="Times New Roman"/>
                <w:sz w:val="24"/>
                <w:szCs w:val="24"/>
              </w:rPr>
              <w:t>21 832 077</w:t>
            </w:r>
            <w:r w:rsidRPr="00423A75">
              <w:rPr>
                <w:rFonts w:ascii="Times New Roman" w:eastAsiaTheme="minorEastAsia" w:hAnsi="Times New Roman" w:cs="Times New Roman"/>
                <w:sz w:val="24"/>
                <w:szCs w:val="24"/>
              </w:rPr>
              <w:t xml:space="preserve"> </w:t>
            </w:r>
            <w:proofErr w:type="spellStart"/>
            <w:r w:rsidR="0079116B" w:rsidRPr="0079116B">
              <w:rPr>
                <w:rFonts w:ascii="Times New Roman" w:eastAsiaTheme="minorEastAsia" w:hAnsi="Times New Roman" w:cs="Times New Roman"/>
                <w:i/>
                <w:sz w:val="24"/>
                <w:szCs w:val="24"/>
              </w:rPr>
              <w:t>euro</w:t>
            </w:r>
            <w:proofErr w:type="spellEnd"/>
            <w:r w:rsidRPr="00423A75">
              <w:rPr>
                <w:rFonts w:ascii="Times New Roman" w:eastAsiaTheme="minorEastAsia" w:hAnsi="Times New Roman" w:cs="Times New Roman"/>
                <w:i/>
                <w:sz w:val="24"/>
                <w:szCs w:val="24"/>
              </w:rPr>
              <w:t xml:space="preserve"> </w:t>
            </w:r>
          </w:p>
          <w:p w:rsidR="00792B00" w:rsidRPr="00423A75" w:rsidRDefault="00792B00" w:rsidP="00792B00">
            <w:pPr>
              <w:rPr>
                <w:rFonts w:ascii="Times New Roman" w:hAnsi="Times New Roman" w:cs="Times New Roman"/>
                <w:i/>
                <w:noProof/>
                <w:sz w:val="24"/>
                <w:szCs w:val="24"/>
              </w:rPr>
            </w:pPr>
            <w:r w:rsidRPr="00423A75">
              <w:rPr>
                <w:rFonts w:ascii="Times New Roman" w:hAnsi="Times New Roman" w:cs="Times New Roman"/>
                <w:noProof/>
                <w:sz w:val="24"/>
                <w:szCs w:val="24"/>
              </w:rPr>
              <w:t xml:space="preserve">  </w:t>
            </w:r>
            <w:r>
              <w:rPr>
                <w:rFonts w:ascii="Times New Roman" w:hAnsi="Times New Roman" w:cs="Times New Roman"/>
                <w:noProof/>
                <w:sz w:val="24"/>
                <w:szCs w:val="24"/>
              </w:rPr>
              <w:t>Kārtējie izdevumi</w:t>
            </w:r>
            <w:r w:rsidRPr="00423A75">
              <w:rPr>
                <w:rFonts w:ascii="Times New Roman" w:hAnsi="Times New Roman" w:cs="Times New Roman"/>
                <w:noProof/>
                <w:sz w:val="24"/>
                <w:szCs w:val="24"/>
              </w:rPr>
              <w:t xml:space="preserve"> </w:t>
            </w:r>
            <w:r>
              <w:rPr>
                <w:rFonts w:ascii="Times New Roman" w:hAnsi="Times New Roman" w:cs="Times New Roman"/>
                <w:noProof/>
                <w:sz w:val="24"/>
                <w:szCs w:val="24"/>
              </w:rPr>
              <w:t>195 462</w:t>
            </w:r>
            <w:r w:rsidRPr="00423A75">
              <w:rPr>
                <w:rFonts w:ascii="Times New Roman" w:hAnsi="Times New Roman" w:cs="Times New Roman"/>
                <w:sz w:val="24"/>
                <w:szCs w:val="24"/>
                <w:shd w:val="clear" w:color="auto" w:fill="FFFFFF"/>
                <w:lang w:bidi="lv-LV"/>
              </w:rPr>
              <w:t xml:space="preserve"> </w:t>
            </w:r>
            <w:r w:rsidR="0079116B" w:rsidRPr="0079116B">
              <w:rPr>
                <w:rFonts w:ascii="Times New Roman" w:hAnsi="Times New Roman" w:cs="Times New Roman"/>
                <w:i/>
                <w:noProof/>
                <w:sz w:val="24"/>
                <w:szCs w:val="24"/>
              </w:rPr>
              <w:t>euro</w:t>
            </w:r>
          </w:p>
          <w:p w:rsidR="00792B00" w:rsidRPr="00042D84" w:rsidRDefault="00792B00" w:rsidP="00792B00">
            <w:pPr>
              <w:rPr>
                <w:rFonts w:ascii="Times New Roman" w:hAnsi="Times New Roman" w:cs="Times New Roman"/>
                <w:i/>
                <w:noProof/>
                <w:sz w:val="24"/>
                <w:szCs w:val="24"/>
                <w:lang w:val="en-US"/>
              </w:rPr>
            </w:pPr>
            <w:r w:rsidRPr="00423A75">
              <w:rPr>
                <w:rFonts w:ascii="Times New Roman" w:hAnsi="Times New Roman" w:cs="Times New Roman"/>
                <w:noProof/>
                <w:sz w:val="24"/>
                <w:szCs w:val="24"/>
              </w:rPr>
              <w:t xml:space="preserve">  Transferti viena budžeta veida ietvaros un uzturēšanas izdevumu transferti starp budžeta veidiem </w:t>
            </w:r>
            <w:r>
              <w:rPr>
                <w:rFonts w:ascii="Times New Roman" w:hAnsi="Times New Roman" w:cs="Times New Roman"/>
                <w:noProof/>
                <w:sz w:val="24"/>
                <w:szCs w:val="24"/>
              </w:rPr>
              <w:t>21 636 615</w:t>
            </w:r>
            <w:r w:rsidRPr="00423A75">
              <w:rPr>
                <w:rFonts w:ascii="Times New Roman" w:hAnsi="Times New Roman" w:cs="Times New Roman"/>
                <w:noProof/>
                <w:sz w:val="24"/>
                <w:szCs w:val="24"/>
              </w:rPr>
              <w:t xml:space="preserve"> </w:t>
            </w:r>
            <w:r w:rsidR="0079116B" w:rsidRPr="0079116B">
              <w:rPr>
                <w:rFonts w:ascii="Times New Roman" w:hAnsi="Times New Roman" w:cs="Times New Roman"/>
                <w:i/>
                <w:noProof/>
                <w:sz w:val="24"/>
                <w:szCs w:val="24"/>
              </w:rPr>
              <w:t>euro</w:t>
            </w:r>
            <w:r w:rsidRPr="00423A75">
              <w:rPr>
                <w:rFonts w:ascii="Times New Roman" w:hAnsi="Times New Roman" w:cs="Times New Roman"/>
                <w:i/>
                <w:noProof/>
                <w:sz w:val="24"/>
                <w:szCs w:val="24"/>
              </w:rPr>
              <w:t xml:space="preserve">  </w:t>
            </w:r>
          </w:p>
          <w:p w:rsidR="00863B2D" w:rsidRDefault="00863B2D" w:rsidP="0048605C">
            <w:pPr>
              <w:jc w:val="both"/>
              <w:rPr>
                <w:rFonts w:ascii="Times New Roman" w:hAnsi="Times New Roman" w:cs="Times New Roman"/>
                <w:sz w:val="24"/>
                <w:szCs w:val="24"/>
              </w:rPr>
            </w:pPr>
          </w:p>
          <w:p w:rsidR="00623A42" w:rsidRPr="00FA09D4" w:rsidRDefault="00FA256B" w:rsidP="00FA09D4">
            <w:pPr>
              <w:jc w:val="both"/>
              <w:rPr>
                <w:rFonts w:ascii="Times New Roman" w:hAnsi="Times New Roman" w:cs="Times New Roman"/>
                <w:b/>
                <w:i/>
                <w:sz w:val="24"/>
                <w:szCs w:val="24"/>
              </w:rPr>
            </w:pPr>
            <w:r w:rsidRPr="00FA256B">
              <w:rPr>
                <w:rFonts w:ascii="Times New Roman" w:hAnsi="Times New Roman" w:cs="Times New Roman"/>
                <w:b/>
                <w:i/>
                <w:sz w:val="24"/>
                <w:szCs w:val="24"/>
              </w:rPr>
              <w:t xml:space="preserve">Ietekme 2020.gadam </w:t>
            </w:r>
          </w:p>
          <w:p w:rsidR="00623A42" w:rsidRPr="00623A42" w:rsidRDefault="00623A42" w:rsidP="00623A42">
            <w:pPr>
              <w:autoSpaceDE w:val="0"/>
              <w:autoSpaceDN w:val="0"/>
              <w:adjustRightInd w:val="0"/>
              <w:ind w:left="260" w:right="115"/>
              <w:jc w:val="both"/>
              <w:rPr>
                <w:rFonts w:ascii="Times New Roman" w:eastAsia="Times New Roman" w:hAnsi="Times New Roman"/>
                <w:bCs/>
                <w:noProof/>
                <w:sz w:val="24"/>
                <w:szCs w:val="24"/>
                <w:lang w:eastAsia="lv-LV"/>
              </w:rPr>
            </w:pPr>
            <w:r w:rsidRPr="00360451">
              <w:rPr>
                <w:rFonts w:ascii="Times New Roman" w:eastAsia="Times New Roman" w:hAnsi="Times New Roman" w:cs="Times New Roman"/>
                <w:bCs/>
                <w:sz w:val="24"/>
                <w:szCs w:val="24"/>
                <w:u w:val="single"/>
                <w:lang w:eastAsia="lv-LV"/>
              </w:rPr>
              <w:t xml:space="preserve">Rezidentu darba samaksas pieaugums tiek plānots 20% apmērā, paredzot finansējumu </w:t>
            </w:r>
            <w:r w:rsidRPr="00360451">
              <w:rPr>
                <w:rFonts w:ascii="Times New Roman" w:eastAsia="Verdana" w:hAnsi="Times New Roman"/>
                <w:b/>
                <w:kern w:val="24"/>
                <w:sz w:val="24"/>
                <w:szCs w:val="24"/>
                <w:u w:val="single"/>
                <w:lang w:eastAsia="lv-LV"/>
              </w:rPr>
              <w:t xml:space="preserve">4 034 768 </w:t>
            </w:r>
            <w:proofErr w:type="spellStart"/>
            <w:r w:rsidR="0079116B" w:rsidRPr="0079116B">
              <w:rPr>
                <w:rFonts w:ascii="Times New Roman" w:eastAsia="Verdana" w:hAnsi="Times New Roman"/>
                <w:b/>
                <w:i/>
                <w:kern w:val="24"/>
                <w:sz w:val="24"/>
                <w:szCs w:val="24"/>
                <w:u w:val="single"/>
                <w:lang w:eastAsia="lv-LV"/>
              </w:rPr>
              <w:t>euro</w:t>
            </w:r>
            <w:proofErr w:type="spellEnd"/>
            <w:r w:rsidRPr="00360451">
              <w:rPr>
                <w:rFonts w:ascii="Times New Roman" w:eastAsia="Verdana" w:hAnsi="Times New Roman"/>
                <w:b/>
                <w:kern w:val="24"/>
                <w:sz w:val="24"/>
                <w:szCs w:val="24"/>
                <w:u w:val="single"/>
                <w:lang w:eastAsia="lv-LV"/>
              </w:rPr>
              <w:t xml:space="preserve"> apmērā</w:t>
            </w:r>
            <w:r w:rsidR="004F0B39" w:rsidRPr="004F0B39">
              <w:rPr>
                <w:rFonts w:ascii="Times New Roman" w:eastAsia="Verdana" w:hAnsi="Times New Roman"/>
                <w:kern w:val="24"/>
                <w:sz w:val="24"/>
                <w:szCs w:val="24"/>
                <w:u w:val="single"/>
                <w:lang w:eastAsia="lv-LV"/>
              </w:rPr>
              <w:t>,</w:t>
            </w:r>
            <w:r w:rsidR="004F0B39" w:rsidRPr="004F0B39">
              <w:rPr>
                <w:rFonts w:ascii="Times New Roman" w:eastAsia="Verdana" w:hAnsi="Times New Roman"/>
                <w:b/>
                <w:kern w:val="24"/>
                <w:sz w:val="24"/>
                <w:szCs w:val="24"/>
                <w:lang w:eastAsia="lv-LV"/>
              </w:rPr>
              <w:t xml:space="preserve"> </w:t>
            </w:r>
            <w:r w:rsidR="0006306D" w:rsidRPr="0006306D">
              <w:rPr>
                <w:rFonts w:ascii="Times New Roman" w:eastAsia="Verdana" w:hAnsi="Times New Roman"/>
                <w:kern w:val="24"/>
                <w:sz w:val="24"/>
                <w:szCs w:val="24"/>
                <w:lang w:eastAsia="lv-LV"/>
              </w:rPr>
              <w:t>tai skaitā</w:t>
            </w:r>
            <w:r w:rsidRPr="000F54F6">
              <w:rPr>
                <w:rFonts w:ascii="Times New Roman" w:eastAsia="Verdana" w:hAnsi="Times New Roman"/>
                <w:kern w:val="24"/>
                <w:sz w:val="24"/>
                <w:szCs w:val="24"/>
                <w:lang w:eastAsia="lv-LV"/>
              </w:rPr>
              <w:t>:</w:t>
            </w:r>
          </w:p>
          <w:p w:rsidR="002413DE" w:rsidRPr="007D5B0B" w:rsidRDefault="0006306D" w:rsidP="00055186">
            <w:pPr>
              <w:pStyle w:val="ListParagraph"/>
              <w:numPr>
                <w:ilvl w:val="0"/>
                <w:numId w:val="29"/>
              </w:numPr>
              <w:tabs>
                <w:tab w:val="left" w:pos="402"/>
              </w:tabs>
              <w:ind w:left="402" w:right="109" w:hanging="142"/>
              <w:jc w:val="both"/>
              <w:rPr>
                <w:rFonts w:ascii="Times New Roman" w:hAnsi="Times New Roman" w:cs="Times New Roman"/>
                <w:bCs/>
                <w:noProof/>
                <w:sz w:val="24"/>
                <w:szCs w:val="24"/>
              </w:rPr>
            </w:pPr>
            <w:r w:rsidRPr="0006306D">
              <w:rPr>
                <w:rFonts w:ascii="Times New Roman" w:eastAsia="Verdana" w:hAnsi="Times New Roman" w:cs="Times New Roman"/>
                <w:kern w:val="24"/>
                <w:sz w:val="24"/>
                <w:szCs w:val="24"/>
              </w:rPr>
              <w:t xml:space="preserve">darba samaksas pieauguma nodrošināšanai </w:t>
            </w:r>
            <w:r w:rsidRPr="0006306D">
              <w:rPr>
                <w:rFonts w:ascii="Times New Roman" w:hAnsi="Times New Roman" w:cs="Times New Roman"/>
                <w:sz w:val="24"/>
                <w:szCs w:val="24"/>
              </w:rPr>
              <w:t xml:space="preserve">20% </w:t>
            </w:r>
            <w:r w:rsidRPr="0006306D">
              <w:rPr>
                <w:rFonts w:ascii="Times New Roman" w:hAnsi="Times New Roman" w:cs="Times New Roman"/>
                <w:b/>
                <w:sz w:val="24"/>
                <w:szCs w:val="24"/>
              </w:rPr>
              <w:t xml:space="preserve">2 933 760 </w:t>
            </w:r>
            <w:proofErr w:type="spellStart"/>
            <w:r w:rsidR="0079116B" w:rsidRPr="0079116B">
              <w:rPr>
                <w:rFonts w:ascii="Times New Roman" w:hAnsi="Times New Roman" w:cs="Times New Roman"/>
                <w:b/>
                <w:i/>
                <w:sz w:val="24"/>
                <w:szCs w:val="24"/>
              </w:rPr>
              <w:t>euro</w:t>
            </w:r>
            <w:proofErr w:type="spellEnd"/>
            <w:r w:rsidRPr="0006306D">
              <w:rPr>
                <w:rFonts w:ascii="Times New Roman" w:hAnsi="Times New Roman" w:cs="Times New Roman"/>
                <w:sz w:val="24"/>
                <w:szCs w:val="24"/>
              </w:rPr>
              <w:t>, tai skaitā finansējums 1 671 236</w:t>
            </w:r>
            <w:r w:rsidRPr="0006306D">
              <w:rPr>
                <w:rFonts w:ascii="Times New Roman" w:hAnsi="Times New Roman" w:cs="Times New Roman"/>
                <w:i/>
                <w:sz w:val="24"/>
                <w:szCs w:val="24"/>
              </w:rPr>
              <w:t xml:space="preserve"> </w:t>
            </w:r>
            <w:proofErr w:type="spellStart"/>
            <w:r w:rsidR="0079116B" w:rsidRPr="0079116B">
              <w:rPr>
                <w:rFonts w:ascii="Times New Roman" w:hAnsi="Times New Roman" w:cs="Times New Roman"/>
                <w:i/>
                <w:sz w:val="24"/>
                <w:szCs w:val="24"/>
              </w:rPr>
              <w:t>euro</w:t>
            </w:r>
            <w:proofErr w:type="spellEnd"/>
            <w:r w:rsidRPr="0006306D">
              <w:rPr>
                <w:rFonts w:ascii="Times New Roman" w:hAnsi="Times New Roman" w:cs="Times New Roman"/>
                <w:sz w:val="24"/>
                <w:szCs w:val="24"/>
              </w:rPr>
              <w:t xml:space="preserve"> apmērā ir paredzēts </w:t>
            </w:r>
            <w:r w:rsidRPr="0006306D">
              <w:rPr>
                <w:rFonts w:ascii="Times New Roman" w:hAnsi="Times New Roman" w:cs="Times New Roman"/>
                <w:bCs/>
                <w:noProof/>
                <w:sz w:val="24"/>
                <w:szCs w:val="24"/>
              </w:rPr>
              <w:t xml:space="preserve">atbilstoši Ministru kabineta 2019.gada 6.novembra ārkārtas sēdē Nr.52  23.paragrāfa 7.punktā  atbalstītajiem Veselības minsitrijas likumprojekta „Par valsts budžetu 2020.gadam” un likumprojekta „Par vidēja termiņa budžeta ietvaru 2020., 2021. un 2022.gadam” priekšlikumiem uz otro lasījumu un finansējumu 1 262 524 </w:t>
            </w:r>
            <w:r w:rsidR="0079116B" w:rsidRPr="0079116B">
              <w:rPr>
                <w:rFonts w:ascii="Times New Roman" w:hAnsi="Times New Roman" w:cs="Times New Roman"/>
                <w:bCs/>
                <w:i/>
                <w:noProof/>
                <w:sz w:val="24"/>
                <w:szCs w:val="24"/>
              </w:rPr>
              <w:t>euro</w:t>
            </w:r>
            <w:r w:rsidRPr="0006306D">
              <w:rPr>
                <w:rFonts w:ascii="Times New Roman" w:hAnsi="Times New Roman" w:cs="Times New Roman"/>
                <w:bCs/>
                <w:i/>
                <w:noProof/>
                <w:sz w:val="24"/>
                <w:szCs w:val="24"/>
              </w:rPr>
              <w:t xml:space="preserve"> </w:t>
            </w:r>
            <w:r w:rsidRPr="0006306D">
              <w:rPr>
                <w:rFonts w:ascii="Times New Roman" w:hAnsi="Times New Roman" w:cs="Times New Roman"/>
                <w:bCs/>
                <w:noProof/>
                <w:sz w:val="24"/>
                <w:szCs w:val="24"/>
              </w:rPr>
              <w:t>plānots novirzīt no sekundārās ambulatorās veselības aprūpes finansējuma</w:t>
            </w:r>
            <w:r>
              <w:rPr>
                <w:rFonts w:ascii="Times New Roman" w:hAnsi="Times New Roman" w:cs="Times New Roman"/>
                <w:bCs/>
                <w:noProof/>
                <w:sz w:val="24"/>
                <w:szCs w:val="24"/>
              </w:rPr>
              <w:t>.</w:t>
            </w:r>
            <w:r w:rsidR="00055186">
              <w:rPr>
                <w:rFonts w:ascii="Times New Roman" w:hAnsi="Times New Roman" w:cs="Times New Roman"/>
                <w:bCs/>
                <w:noProof/>
                <w:sz w:val="24"/>
                <w:szCs w:val="24"/>
              </w:rPr>
              <w:t xml:space="preserve"> </w:t>
            </w:r>
            <w:r w:rsidR="00D34028">
              <w:rPr>
                <w:rFonts w:ascii="Times New Roman" w:hAnsi="Times New Roman" w:cs="Times New Roman"/>
                <w:bCs/>
                <w:noProof/>
                <w:sz w:val="24"/>
                <w:szCs w:val="24"/>
              </w:rPr>
              <w:t xml:space="preserve">Finansiālā ietekme 1 671 236 </w:t>
            </w:r>
            <w:r w:rsidR="00D34028" w:rsidRPr="007D5B0B">
              <w:rPr>
                <w:rFonts w:ascii="Times New Roman" w:hAnsi="Times New Roman" w:cs="Times New Roman"/>
                <w:bCs/>
                <w:i/>
                <w:noProof/>
                <w:sz w:val="24"/>
                <w:szCs w:val="24"/>
              </w:rPr>
              <w:t>euro</w:t>
            </w:r>
            <w:r w:rsidR="00D34028" w:rsidRPr="00D34028">
              <w:rPr>
                <w:rFonts w:ascii="Times New Roman" w:hAnsi="Times New Roman" w:cs="Times New Roman"/>
                <w:bCs/>
                <w:noProof/>
                <w:sz w:val="24"/>
                <w:szCs w:val="24"/>
              </w:rPr>
              <w:t xml:space="preserve"> </w:t>
            </w:r>
            <w:r w:rsidR="00D34028">
              <w:rPr>
                <w:rFonts w:ascii="Times New Roman" w:hAnsi="Times New Roman" w:cs="Times New Roman"/>
                <w:bCs/>
                <w:noProof/>
                <w:sz w:val="24"/>
                <w:szCs w:val="24"/>
              </w:rPr>
              <w:t xml:space="preserve">apmērā </w:t>
            </w:r>
            <w:r w:rsidR="00D34028" w:rsidRPr="007D5B0B">
              <w:rPr>
                <w:rFonts w:ascii="Times New Roman" w:hAnsi="Times New Roman" w:cs="Times New Roman"/>
                <w:bCs/>
                <w:noProof/>
                <w:sz w:val="24"/>
                <w:szCs w:val="24"/>
              </w:rPr>
              <w:t xml:space="preserve">zemākās mēnešalgas palielinājumam 10% apmērā </w:t>
            </w:r>
            <w:r w:rsidR="00D34028">
              <w:rPr>
                <w:rFonts w:ascii="Times New Roman" w:hAnsi="Times New Roman" w:cs="Times New Roman"/>
                <w:bCs/>
                <w:noProof/>
                <w:sz w:val="24"/>
                <w:szCs w:val="24"/>
              </w:rPr>
              <w:t xml:space="preserve">norādīta  </w:t>
            </w:r>
            <w:r w:rsidR="00D34028" w:rsidRPr="007D5B0B">
              <w:rPr>
                <w:rFonts w:ascii="Times New Roman" w:hAnsi="Times New Roman" w:cs="Times New Roman"/>
                <w:bCs/>
                <w:noProof/>
                <w:sz w:val="24"/>
                <w:szCs w:val="24"/>
              </w:rPr>
              <w:t>Ministru kabineta noteikumu “Grozījums Ministru kabineta 2018.gada 18.decembra noteikumos Nr.851 “Noteikumi par zemāko mēnešalgu un speciālo piemaksu veselības aprūpes jomā nodarbinātajiem”” anotācijā.</w:t>
            </w:r>
          </w:p>
          <w:p w:rsidR="0006306D" w:rsidRPr="00055186" w:rsidRDefault="00055186" w:rsidP="002413DE">
            <w:pPr>
              <w:pStyle w:val="ListParagraph"/>
              <w:tabs>
                <w:tab w:val="left" w:pos="402"/>
              </w:tabs>
              <w:ind w:left="402" w:right="109"/>
              <w:jc w:val="both"/>
              <w:rPr>
                <w:rFonts w:ascii="Times New Roman" w:eastAsia="Times New Roman" w:hAnsi="Times New Roman" w:cs="Times New Roman"/>
                <w:sz w:val="24"/>
                <w:szCs w:val="24"/>
                <w:shd w:val="clear" w:color="auto" w:fill="FFFFFF"/>
                <w:lang w:eastAsia="lv-LV"/>
              </w:rPr>
            </w:pPr>
            <w:r w:rsidRPr="00A62BF7">
              <w:rPr>
                <w:rFonts w:ascii="Times New Roman" w:eastAsia="Times New Roman" w:hAnsi="Times New Roman" w:cs="Times New Roman"/>
                <w:sz w:val="24"/>
                <w:szCs w:val="24"/>
                <w:shd w:val="clear" w:color="auto" w:fill="FFFFFF"/>
                <w:lang w:eastAsia="lv-LV"/>
              </w:rPr>
              <w:t xml:space="preserve">2019.gadā  rezidenta </w:t>
            </w:r>
            <w:r>
              <w:rPr>
                <w:rFonts w:ascii="Times New Roman" w:eastAsia="Times New Roman" w:hAnsi="Times New Roman" w:cs="Times New Roman"/>
                <w:sz w:val="24"/>
                <w:szCs w:val="24"/>
                <w:shd w:val="clear" w:color="auto" w:fill="FFFFFF"/>
                <w:lang w:eastAsia="lv-LV"/>
              </w:rPr>
              <w:t>mēnešalga</w:t>
            </w:r>
            <w:r w:rsidRPr="00A62BF7">
              <w:rPr>
                <w:rFonts w:ascii="Times New Roman" w:eastAsia="Times New Roman" w:hAnsi="Times New Roman" w:cs="Times New Roman"/>
                <w:sz w:val="24"/>
                <w:szCs w:val="24"/>
                <w:shd w:val="clear" w:color="auto" w:fill="FFFFFF"/>
                <w:lang w:eastAsia="lv-LV"/>
              </w:rPr>
              <w:t xml:space="preserve"> </w:t>
            </w:r>
            <w:r w:rsidRPr="00A62BF7">
              <w:rPr>
                <w:rFonts w:ascii="Times New Roman" w:hAnsi="Times New Roman" w:cs="Times New Roman"/>
                <w:sz w:val="24"/>
                <w:szCs w:val="24"/>
                <w:shd w:val="clear" w:color="auto" w:fill="FFFFFF"/>
              </w:rPr>
              <w:t xml:space="preserve">reģionālajā daudzprofilu slimnīcā vai ģimenes (vispārējās prakses) ārsta praksē ārpus Rīgas - </w:t>
            </w:r>
            <w:r w:rsidRPr="00A62BF7">
              <w:rPr>
                <w:rFonts w:ascii="Times New Roman" w:eastAsia="Times New Roman" w:hAnsi="Times New Roman" w:cs="Times New Roman"/>
                <w:sz w:val="24"/>
                <w:szCs w:val="24"/>
                <w:shd w:val="clear" w:color="auto" w:fill="FFFFFF"/>
                <w:lang w:eastAsia="lv-LV"/>
              </w:rPr>
              <w:t xml:space="preserve"> 1 235,00 </w:t>
            </w:r>
            <w:proofErr w:type="spellStart"/>
            <w:r w:rsidR="0079116B" w:rsidRPr="0079116B">
              <w:rPr>
                <w:rFonts w:ascii="Times New Roman" w:eastAsia="Times New Roman" w:hAnsi="Times New Roman" w:cs="Times New Roman"/>
                <w:i/>
                <w:sz w:val="24"/>
                <w:szCs w:val="24"/>
                <w:shd w:val="clear" w:color="auto" w:fill="FFFFFF"/>
                <w:lang w:eastAsia="lv-LV"/>
              </w:rPr>
              <w:t>euro</w:t>
            </w:r>
            <w:proofErr w:type="spellEnd"/>
            <w:r w:rsidRPr="00A62BF7">
              <w:rPr>
                <w:rFonts w:ascii="Times New Roman" w:eastAsia="Times New Roman" w:hAnsi="Times New Roman" w:cs="Times New Roman"/>
                <w:sz w:val="24"/>
                <w:szCs w:val="24"/>
                <w:shd w:val="clear" w:color="auto" w:fill="FFFFFF"/>
                <w:lang w:eastAsia="lv-LV"/>
              </w:rPr>
              <w:t xml:space="preserve"> un pārējās ārstniecības iestādēs (tai skaitā Veselības ministrijas padotības iestādes) – 950,00 </w:t>
            </w:r>
            <w:proofErr w:type="spellStart"/>
            <w:r w:rsidR="0079116B" w:rsidRPr="0079116B">
              <w:rPr>
                <w:rFonts w:ascii="Times New Roman" w:eastAsia="Times New Roman" w:hAnsi="Times New Roman" w:cs="Times New Roman"/>
                <w:i/>
                <w:sz w:val="24"/>
                <w:szCs w:val="24"/>
                <w:shd w:val="clear" w:color="auto" w:fill="FFFFFF"/>
                <w:lang w:eastAsia="lv-LV"/>
              </w:rPr>
              <w:t>euro</w:t>
            </w:r>
            <w:proofErr w:type="spellEnd"/>
            <w:r w:rsidRPr="00A62BF7">
              <w:rPr>
                <w:rFonts w:ascii="Times New Roman" w:eastAsia="Times New Roman" w:hAnsi="Times New Roman" w:cs="Times New Roman"/>
                <w:sz w:val="24"/>
                <w:szCs w:val="24"/>
                <w:shd w:val="clear" w:color="auto" w:fill="FFFFFF"/>
                <w:lang w:eastAsia="lv-LV"/>
              </w:rPr>
              <w:t xml:space="preserve">. Sākot ar 2020.gada 1.janvāri  rezidenta </w:t>
            </w:r>
            <w:r>
              <w:rPr>
                <w:rFonts w:ascii="Times New Roman" w:eastAsia="Times New Roman" w:hAnsi="Times New Roman" w:cs="Times New Roman"/>
                <w:sz w:val="24"/>
                <w:szCs w:val="24"/>
                <w:shd w:val="clear" w:color="auto" w:fill="FFFFFF"/>
                <w:lang w:eastAsia="lv-LV"/>
              </w:rPr>
              <w:t>mēnešalga</w:t>
            </w:r>
            <w:r w:rsidRPr="00A62BF7">
              <w:rPr>
                <w:rFonts w:ascii="Times New Roman" w:eastAsia="Times New Roman" w:hAnsi="Times New Roman" w:cs="Times New Roman"/>
                <w:sz w:val="24"/>
                <w:szCs w:val="24"/>
                <w:shd w:val="clear" w:color="auto" w:fill="FFFFFF"/>
                <w:lang w:eastAsia="lv-LV"/>
              </w:rPr>
              <w:t xml:space="preserve"> </w:t>
            </w:r>
            <w:r w:rsidRPr="00A62BF7">
              <w:rPr>
                <w:rFonts w:ascii="Times New Roman" w:hAnsi="Times New Roman" w:cs="Times New Roman"/>
                <w:sz w:val="24"/>
                <w:szCs w:val="24"/>
                <w:shd w:val="clear" w:color="auto" w:fill="FFFFFF"/>
              </w:rPr>
              <w:t xml:space="preserve">reģionālajā daudzprofilu slimnīcā vai ģimenes (vispārējās prakses) ārsta praksē ārpus Rīgas - </w:t>
            </w:r>
            <w:r w:rsidRPr="00A62BF7">
              <w:rPr>
                <w:rFonts w:ascii="Times New Roman" w:eastAsia="Times New Roman" w:hAnsi="Times New Roman" w:cs="Times New Roman"/>
                <w:sz w:val="24"/>
                <w:szCs w:val="24"/>
                <w:shd w:val="clear" w:color="auto" w:fill="FFFFFF"/>
                <w:lang w:eastAsia="lv-LV"/>
              </w:rPr>
              <w:t xml:space="preserve"> 1 482,00 </w:t>
            </w:r>
            <w:proofErr w:type="spellStart"/>
            <w:r w:rsidR="0079116B" w:rsidRPr="0079116B">
              <w:rPr>
                <w:rFonts w:ascii="Times New Roman" w:eastAsia="Times New Roman" w:hAnsi="Times New Roman" w:cs="Times New Roman"/>
                <w:i/>
                <w:sz w:val="24"/>
                <w:szCs w:val="24"/>
                <w:shd w:val="clear" w:color="auto" w:fill="FFFFFF"/>
                <w:lang w:eastAsia="lv-LV"/>
              </w:rPr>
              <w:t>euro</w:t>
            </w:r>
            <w:proofErr w:type="spellEnd"/>
            <w:r w:rsidRPr="00A62BF7">
              <w:rPr>
                <w:rFonts w:ascii="Times New Roman" w:eastAsia="Times New Roman" w:hAnsi="Times New Roman" w:cs="Times New Roman"/>
                <w:sz w:val="24"/>
                <w:szCs w:val="24"/>
                <w:shd w:val="clear" w:color="auto" w:fill="FFFFFF"/>
                <w:lang w:eastAsia="lv-LV"/>
              </w:rPr>
              <w:t xml:space="preserve"> un pārējās ārstniecības iestādēs (tai skaitā Veselības ministrijas padotības iestādes) – 1 140 </w:t>
            </w:r>
            <w:proofErr w:type="spellStart"/>
            <w:r w:rsidR="0079116B" w:rsidRPr="0079116B">
              <w:rPr>
                <w:rFonts w:ascii="Times New Roman" w:eastAsia="Times New Roman" w:hAnsi="Times New Roman" w:cs="Times New Roman"/>
                <w:i/>
                <w:sz w:val="24"/>
                <w:szCs w:val="24"/>
                <w:shd w:val="clear" w:color="auto" w:fill="FFFFFF"/>
                <w:lang w:eastAsia="lv-LV"/>
              </w:rPr>
              <w:t>euro</w:t>
            </w:r>
            <w:proofErr w:type="spellEnd"/>
            <w:r w:rsidR="006B54CE">
              <w:rPr>
                <w:rFonts w:ascii="Times New Roman" w:eastAsia="Times New Roman" w:hAnsi="Times New Roman" w:cs="Times New Roman"/>
                <w:sz w:val="24"/>
                <w:szCs w:val="24"/>
                <w:shd w:val="clear" w:color="auto" w:fill="FFFFFF"/>
                <w:lang w:eastAsia="lv-LV"/>
              </w:rPr>
              <w:t>, skat., tabulu Nr.1</w:t>
            </w:r>
            <w:r w:rsidRPr="00A62BF7">
              <w:rPr>
                <w:rFonts w:ascii="Times New Roman" w:eastAsia="Times New Roman" w:hAnsi="Times New Roman" w:cs="Times New Roman"/>
                <w:sz w:val="24"/>
                <w:szCs w:val="24"/>
                <w:shd w:val="clear" w:color="auto" w:fill="FFFFFF"/>
                <w:lang w:eastAsia="lv-LV"/>
              </w:rPr>
              <w:t>.</w:t>
            </w:r>
          </w:p>
          <w:p w:rsidR="00452FC5" w:rsidRDefault="00EB13A2" w:rsidP="00EB13A2">
            <w:pPr>
              <w:tabs>
                <w:tab w:val="left" w:pos="976"/>
              </w:tabs>
              <w:ind w:right="109"/>
              <w:jc w:val="both"/>
              <w:rPr>
                <w:rFonts w:ascii="Times New Roman" w:eastAsia="Times New Roman" w:hAnsi="Times New Roman" w:cs="Times New Roman"/>
                <w:sz w:val="24"/>
                <w:szCs w:val="24"/>
                <w:shd w:val="clear" w:color="auto" w:fill="FFFFFF"/>
                <w:lang w:eastAsia="lv-LV"/>
              </w:rPr>
            </w:pPr>
            <w:r w:rsidRPr="00EB13A2">
              <w:rPr>
                <w:rFonts w:ascii="Times New Roman" w:eastAsia="Times New Roman" w:hAnsi="Times New Roman" w:cs="Times New Roman"/>
                <w:i/>
                <w:sz w:val="24"/>
                <w:szCs w:val="24"/>
                <w:shd w:val="clear" w:color="auto" w:fill="FFFFFF"/>
                <w:lang w:eastAsia="lv-LV"/>
              </w:rPr>
              <w:t>Aprēķins:</w:t>
            </w:r>
            <w:r>
              <w:rPr>
                <w:rFonts w:ascii="Times New Roman" w:eastAsia="Times New Roman" w:hAnsi="Times New Roman" w:cs="Times New Roman"/>
                <w:sz w:val="24"/>
                <w:szCs w:val="24"/>
                <w:shd w:val="clear" w:color="auto" w:fill="FFFFFF"/>
                <w:lang w:eastAsia="lv-LV"/>
              </w:rPr>
              <w:t xml:space="preserve"> </w:t>
            </w:r>
            <w:r w:rsidR="00CE28A9" w:rsidRPr="00EB13A2">
              <w:rPr>
                <w:rFonts w:ascii="Times New Roman" w:hAnsi="Times New Roman" w:cs="Times New Roman"/>
                <w:sz w:val="24"/>
                <w:szCs w:val="24"/>
              </w:rPr>
              <w:t xml:space="preserve">2 933 760 </w:t>
            </w:r>
            <w:proofErr w:type="spellStart"/>
            <w:r w:rsidR="0079116B" w:rsidRPr="0079116B">
              <w:rPr>
                <w:rFonts w:ascii="Times New Roman" w:hAnsi="Times New Roman" w:cs="Times New Roman"/>
                <w:i/>
                <w:sz w:val="24"/>
                <w:szCs w:val="24"/>
              </w:rPr>
              <w:t>euro</w:t>
            </w:r>
            <w:proofErr w:type="spellEnd"/>
            <w:r w:rsidR="00CE28A9" w:rsidRPr="00EB13A2">
              <w:rPr>
                <w:rFonts w:ascii="Times New Roman" w:hAnsi="Times New Roman" w:cs="Times New Roman"/>
                <w:sz w:val="24"/>
                <w:szCs w:val="24"/>
              </w:rPr>
              <w:t xml:space="preserve"> (</w:t>
            </w:r>
            <w:r w:rsidR="00D95646" w:rsidRPr="00EB13A2">
              <w:rPr>
                <w:rFonts w:ascii="Times New Roman" w:hAnsi="Times New Roman" w:cs="Times New Roman"/>
                <w:sz w:val="24"/>
                <w:szCs w:val="24"/>
              </w:rPr>
              <w:t>284</w:t>
            </w:r>
            <w:r w:rsidR="00452FC5" w:rsidRPr="00EB13A2">
              <w:rPr>
                <w:rFonts w:ascii="Times New Roman" w:hAnsi="Times New Roman" w:cs="Times New Roman"/>
                <w:sz w:val="24"/>
                <w:szCs w:val="24"/>
              </w:rPr>
              <w:t xml:space="preserve">,61 </w:t>
            </w:r>
            <w:proofErr w:type="spellStart"/>
            <w:r w:rsidR="0079116B" w:rsidRPr="0079116B">
              <w:rPr>
                <w:rFonts w:ascii="Times New Roman" w:hAnsi="Times New Roman" w:cs="Times New Roman"/>
                <w:i/>
                <w:sz w:val="24"/>
                <w:szCs w:val="24"/>
              </w:rPr>
              <w:t>euro</w:t>
            </w:r>
            <w:proofErr w:type="spellEnd"/>
            <w:r w:rsidR="00452FC5" w:rsidRPr="00EB13A2">
              <w:rPr>
                <w:rFonts w:ascii="Times New Roman" w:hAnsi="Times New Roman" w:cs="Times New Roman"/>
                <w:sz w:val="24"/>
                <w:szCs w:val="24"/>
              </w:rPr>
              <w:t xml:space="preserve"> </w:t>
            </w:r>
            <w:r w:rsidR="00452FC5" w:rsidRPr="00EB13A2">
              <w:rPr>
                <w:rFonts w:ascii="Times New Roman" w:eastAsia="Times New Roman" w:hAnsi="Times New Roman" w:cs="Times New Roman"/>
                <w:sz w:val="24"/>
                <w:szCs w:val="24"/>
                <w:shd w:val="clear" w:color="auto" w:fill="FFFFFF"/>
                <w:lang w:eastAsia="lv-LV"/>
              </w:rPr>
              <w:t>(ietekme uz vienu rezidentu mēnesī (pret 2019.gadu) x 859 (plānotais vidējais rezidentu skaits) x 12 mēneši), lai nodrošinātu darba samaksas pieaugumu rezidentiem 2020.gadā 20% apmērā</w:t>
            </w:r>
            <w:r>
              <w:rPr>
                <w:rFonts w:ascii="Times New Roman" w:eastAsia="Times New Roman" w:hAnsi="Times New Roman" w:cs="Times New Roman"/>
                <w:sz w:val="24"/>
                <w:szCs w:val="24"/>
                <w:shd w:val="clear" w:color="auto" w:fill="FFFFFF"/>
                <w:lang w:eastAsia="lv-LV"/>
              </w:rPr>
              <w:t>.</w:t>
            </w:r>
          </w:p>
          <w:p w:rsidR="00EB13A2" w:rsidRPr="002413DE" w:rsidRDefault="0035737A" w:rsidP="00EB13A2">
            <w:pPr>
              <w:pStyle w:val="ListParagraph"/>
              <w:numPr>
                <w:ilvl w:val="0"/>
                <w:numId w:val="31"/>
              </w:numPr>
              <w:tabs>
                <w:tab w:val="left" w:pos="976"/>
              </w:tabs>
              <w:ind w:left="456" w:right="109" w:hanging="283"/>
              <w:jc w:val="both"/>
              <w:rPr>
                <w:rFonts w:ascii="Times New Roman" w:eastAsia="Times New Roman" w:hAnsi="Times New Roman" w:cs="Times New Roman"/>
                <w:sz w:val="24"/>
                <w:szCs w:val="24"/>
                <w:shd w:val="clear" w:color="auto" w:fill="FFFFFF"/>
                <w:lang w:eastAsia="lv-LV"/>
              </w:rPr>
            </w:pPr>
            <w:r w:rsidRPr="0035737A">
              <w:rPr>
                <w:rFonts w:ascii="Times New Roman" w:hAnsi="Times New Roman" w:cs="Times New Roman"/>
                <w:sz w:val="24"/>
                <w:szCs w:val="24"/>
              </w:rPr>
              <w:t xml:space="preserve">mēnešalgas koeficientu 1.1 nodrošināšanai no trešā rezidentūras gada </w:t>
            </w:r>
            <w:proofErr w:type="spellStart"/>
            <w:r w:rsidRPr="0035737A">
              <w:rPr>
                <w:rFonts w:ascii="Times New Roman" w:hAnsi="Times New Roman" w:cs="Times New Roman"/>
                <w:sz w:val="24"/>
                <w:szCs w:val="24"/>
              </w:rPr>
              <w:t>pamatspecialitātē</w:t>
            </w:r>
            <w:proofErr w:type="spellEnd"/>
            <w:r w:rsidRPr="0035737A">
              <w:rPr>
                <w:rFonts w:ascii="Times New Roman" w:hAnsi="Times New Roman" w:cs="Times New Roman"/>
                <w:sz w:val="24"/>
                <w:szCs w:val="24"/>
              </w:rPr>
              <w:t xml:space="preserve">  un </w:t>
            </w:r>
            <w:r w:rsidR="00A922F0">
              <w:rPr>
                <w:rFonts w:ascii="Times New Roman" w:hAnsi="Times New Roman" w:cs="Times New Roman"/>
                <w:sz w:val="24"/>
                <w:szCs w:val="24"/>
              </w:rPr>
              <w:t xml:space="preserve">no </w:t>
            </w:r>
            <w:r w:rsidRPr="0035737A">
              <w:rPr>
                <w:rFonts w:ascii="Times New Roman" w:hAnsi="Times New Roman" w:cs="Times New Roman"/>
                <w:sz w:val="24"/>
                <w:szCs w:val="24"/>
              </w:rPr>
              <w:t xml:space="preserve">pirmā gada </w:t>
            </w:r>
            <w:proofErr w:type="spellStart"/>
            <w:r w:rsidRPr="0035737A">
              <w:rPr>
                <w:rFonts w:ascii="Times New Roman" w:hAnsi="Times New Roman" w:cs="Times New Roman"/>
                <w:sz w:val="24"/>
                <w:szCs w:val="24"/>
              </w:rPr>
              <w:t>papildspecialitātēs</w:t>
            </w:r>
            <w:proofErr w:type="spellEnd"/>
            <w:r w:rsidRPr="0035737A">
              <w:rPr>
                <w:rFonts w:ascii="Times New Roman" w:hAnsi="Times New Roman" w:cs="Times New Roman"/>
                <w:sz w:val="24"/>
                <w:szCs w:val="24"/>
              </w:rPr>
              <w:t xml:space="preserve"> </w:t>
            </w:r>
            <w:r w:rsidRPr="007D5B0B">
              <w:rPr>
                <w:rFonts w:ascii="Times New Roman" w:hAnsi="Times New Roman" w:cs="Times New Roman"/>
                <w:b/>
                <w:sz w:val="24"/>
                <w:szCs w:val="24"/>
              </w:rPr>
              <w:t xml:space="preserve">1 101 008 </w:t>
            </w:r>
            <w:proofErr w:type="spellStart"/>
            <w:r w:rsidR="0079116B" w:rsidRPr="007D5B0B">
              <w:rPr>
                <w:rFonts w:ascii="Times New Roman" w:hAnsi="Times New Roman" w:cs="Times New Roman"/>
                <w:b/>
                <w:i/>
                <w:sz w:val="24"/>
                <w:szCs w:val="24"/>
              </w:rPr>
              <w:t>euro</w:t>
            </w:r>
            <w:proofErr w:type="spellEnd"/>
            <w:r w:rsidRPr="0035737A">
              <w:rPr>
                <w:rFonts w:ascii="Times New Roman" w:hAnsi="Times New Roman" w:cs="Times New Roman"/>
                <w:sz w:val="24"/>
                <w:szCs w:val="24"/>
              </w:rPr>
              <w:t>, tai skaitā finansējums 1 029 949</w:t>
            </w:r>
            <w:r w:rsidRPr="0035737A">
              <w:rPr>
                <w:rFonts w:ascii="Times New Roman" w:hAnsi="Times New Roman" w:cs="Times New Roman"/>
                <w:i/>
                <w:sz w:val="24"/>
                <w:szCs w:val="24"/>
              </w:rPr>
              <w:t xml:space="preserve"> </w:t>
            </w:r>
            <w:proofErr w:type="spellStart"/>
            <w:r w:rsidR="0079116B" w:rsidRPr="0079116B">
              <w:rPr>
                <w:rFonts w:ascii="Times New Roman" w:hAnsi="Times New Roman" w:cs="Times New Roman"/>
                <w:i/>
                <w:sz w:val="24"/>
                <w:szCs w:val="24"/>
              </w:rPr>
              <w:t>euro</w:t>
            </w:r>
            <w:proofErr w:type="spellEnd"/>
            <w:r w:rsidRPr="0035737A">
              <w:rPr>
                <w:rFonts w:ascii="Times New Roman" w:hAnsi="Times New Roman" w:cs="Times New Roman"/>
                <w:sz w:val="24"/>
                <w:szCs w:val="24"/>
              </w:rPr>
              <w:t xml:space="preserve"> apmērā ir paredzēts </w:t>
            </w:r>
            <w:r w:rsidRPr="0035737A">
              <w:rPr>
                <w:rFonts w:ascii="Times New Roman" w:hAnsi="Times New Roman" w:cs="Times New Roman"/>
                <w:bCs/>
                <w:noProof/>
                <w:sz w:val="24"/>
                <w:szCs w:val="24"/>
              </w:rPr>
              <w:t xml:space="preserve">atbilstoši Ministru kabineta 2019.gada 6.novembra ārkārtas sēdē Nr.52  23.paragrāfa 7.punktā  atbalstītajiem Veselības minsitrijas likumprojekta „Par valsts budžetu 2020.gadam” un likumprojekta „Par vidēja termiņa budžeta ietvaru 2020., 2021. un 2022.gadam” priekšlikumiem uz otro lasījumu un finansējumu </w:t>
            </w:r>
            <w:r w:rsidRPr="0035737A">
              <w:rPr>
                <w:rFonts w:ascii="Times New Roman" w:hAnsi="Times New Roman" w:cs="Times New Roman"/>
                <w:bCs/>
                <w:noProof/>
                <w:sz w:val="24"/>
                <w:szCs w:val="24"/>
              </w:rPr>
              <w:lastRenderedPageBreak/>
              <w:t xml:space="preserve">71 059 </w:t>
            </w:r>
            <w:r w:rsidR="0079116B" w:rsidRPr="0079116B">
              <w:rPr>
                <w:rFonts w:ascii="Times New Roman" w:hAnsi="Times New Roman" w:cs="Times New Roman"/>
                <w:bCs/>
                <w:i/>
                <w:noProof/>
                <w:sz w:val="24"/>
                <w:szCs w:val="24"/>
              </w:rPr>
              <w:t>euro</w:t>
            </w:r>
            <w:r w:rsidRPr="0035737A">
              <w:rPr>
                <w:rFonts w:ascii="Times New Roman" w:hAnsi="Times New Roman" w:cs="Times New Roman"/>
                <w:bCs/>
                <w:i/>
                <w:noProof/>
                <w:sz w:val="24"/>
                <w:szCs w:val="24"/>
              </w:rPr>
              <w:t xml:space="preserve"> </w:t>
            </w:r>
            <w:r w:rsidRPr="0035737A">
              <w:rPr>
                <w:rFonts w:ascii="Times New Roman" w:hAnsi="Times New Roman" w:cs="Times New Roman"/>
                <w:bCs/>
                <w:noProof/>
                <w:sz w:val="24"/>
                <w:szCs w:val="24"/>
              </w:rPr>
              <w:t>plānots novirzīt no sekundārās ambulatorās veselības aprūpes finansējuma</w:t>
            </w:r>
            <w:r w:rsidR="007600D9">
              <w:rPr>
                <w:rFonts w:ascii="Times New Roman" w:hAnsi="Times New Roman" w:cs="Times New Roman"/>
                <w:bCs/>
                <w:noProof/>
                <w:sz w:val="24"/>
                <w:szCs w:val="24"/>
              </w:rPr>
              <w:t>.</w:t>
            </w:r>
          </w:p>
          <w:p w:rsidR="002413DE" w:rsidRPr="0035737A" w:rsidRDefault="002413DE" w:rsidP="002413DE">
            <w:pPr>
              <w:pStyle w:val="ListParagraph"/>
              <w:tabs>
                <w:tab w:val="left" w:pos="976"/>
              </w:tabs>
              <w:ind w:left="456" w:right="109"/>
              <w:jc w:val="both"/>
              <w:rPr>
                <w:rFonts w:ascii="Times New Roman" w:eastAsia="Times New Roman" w:hAnsi="Times New Roman" w:cs="Times New Roman"/>
                <w:sz w:val="24"/>
                <w:szCs w:val="24"/>
                <w:shd w:val="clear" w:color="auto" w:fill="FFFFFF"/>
                <w:lang w:eastAsia="lv-LV"/>
              </w:rPr>
            </w:pPr>
            <w:r w:rsidRPr="009C3AF9">
              <w:rPr>
                <w:rFonts w:ascii="Times New Roman" w:eastAsia="Times New Roman" w:hAnsi="Times New Roman" w:cs="Times New Roman"/>
                <w:sz w:val="24"/>
                <w:szCs w:val="24"/>
                <w:shd w:val="clear" w:color="auto" w:fill="FFFFFF"/>
                <w:lang w:eastAsia="lv-LV"/>
              </w:rPr>
              <w:t>Līdz ar to,  sākot ar 20</w:t>
            </w:r>
            <w:r w:rsidR="007240C4">
              <w:rPr>
                <w:rFonts w:ascii="Times New Roman" w:eastAsia="Times New Roman" w:hAnsi="Times New Roman" w:cs="Times New Roman"/>
                <w:sz w:val="24"/>
                <w:szCs w:val="24"/>
                <w:shd w:val="clear" w:color="auto" w:fill="FFFFFF"/>
                <w:lang w:eastAsia="lv-LV"/>
              </w:rPr>
              <w:t>20</w:t>
            </w:r>
            <w:r w:rsidRPr="009C3AF9">
              <w:rPr>
                <w:rFonts w:ascii="Times New Roman" w:eastAsia="Times New Roman" w:hAnsi="Times New Roman" w:cs="Times New Roman"/>
                <w:sz w:val="24"/>
                <w:szCs w:val="24"/>
                <w:shd w:val="clear" w:color="auto" w:fill="FFFFFF"/>
                <w:lang w:eastAsia="lv-LV"/>
              </w:rPr>
              <w:t xml:space="preserve">.gada 1.janvāri rezidenta amatalga ar koeficientu 1.1 </w:t>
            </w:r>
            <w:r w:rsidR="00A922F0">
              <w:rPr>
                <w:rFonts w:ascii="Times New Roman" w:eastAsia="Times New Roman" w:hAnsi="Times New Roman" w:cs="Times New Roman"/>
                <w:sz w:val="24"/>
                <w:szCs w:val="24"/>
                <w:shd w:val="clear" w:color="auto" w:fill="FFFFFF"/>
                <w:lang w:eastAsia="lv-LV"/>
              </w:rPr>
              <w:t xml:space="preserve">no </w:t>
            </w:r>
            <w:r w:rsidRPr="009C3AF9">
              <w:rPr>
                <w:rFonts w:ascii="Times New Roman" w:eastAsia="Times New Roman" w:hAnsi="Times New Roman" w:cs="Times New Roman"/>
                <w:sz w:val="24"/>
                <w:szCs w:val="24"/>
                <w:shd w:val="clear" w:color="auto" w:fill="FFFFFF"/>
                <w:lang w:eastAsia="lv-LV"/>
              </w:rPr>
              <w:t xml:space="preserve">trešā rezidentūras gada </w:t>
            </w:r>
            <w:proofErr w:type="spellStart"/>
            <w:r w:rsidRPr="009C3AF9">
              <w:rPr>
                <w:rFonts w:ascii="Times New Roman" w:eastAsia="Times New Roman" w:hAnsi="Times New Roman" w:cs="Times New Roman"/>
                <w:sz w:val="24"/>
                <w:szCs w:val="24"/>
                <w:shd w:val="clear" w:color="auto" w:fill="FFFFFF"/>
                <w:lang w:eastAsia="lv-LV"/>
              </w:rPr>
              <w:t>pamatspecialitātē</w:t>
            </w:r>
            <w:proofErr w:type="spellEnd"/>
            <w:r w:rsidRPr="009C3AF9">
              <w:rPr>
                <w:rFonts w:ascii="Times New Roman" w:eastAsia="Times New Roman" w:hAnsi="Times New Roman" w:cs="Times New Roman"/>
                <w:sz w:val="24"/>
                <w:szCs w:val="24"/>
                <w:shd w:val="clear" w:color="auto" w:fill="FFFFFF"/>
                <w:lang w:eastAsia="lv-LV"/>
              </w:rPr>
              <w:t xml:space="preserve"> un </w:t>
            </w:r>
            <w:r w:rsidR="00A922F0">
              <w:rPr>
                <w:rFonts w:ascii="Times New Roman" w:eastAsia="Times New Roman" w:hAnsi="Times New Roman" w:cs="Times New Roman"/>
                <w:sz w:val="24"/>
                <w:szCs w:val="24"/>
                <w:shd w:val="clear" w:color="auto" w:fill="FFFFFF"/>
                <w:lang w:eastAsia="lv-LV"/>
              </w:rPr>
              <w:t xml:space="preserve">no </w:t>
            </w:r>
            <w:r w:rsidRPr="009C3AF9">
              <w:rPr>
                <w:rFonts w:ascii="Times New Roman" w:eastAsia="Times New Roman" w:hAnsi="Times New Roman" w:cs="Times New Roman"/>
                <w:sz w:val="24"/>
                <w:szCs w:val="24"/>
                <w:shd w:val="clear" w:color="auto" w:fill="FFFFFF"/>
                <w:lang w:eastAsia="lv-LV"/>
              </w:rPr>
              <w:t xml:space="preserve">pirmā gada </w:t>
            </w:r>
            <w:proofErr w:type="spellStart"/>
            <w:r w:rsidRPr="009C3AF9">
              <w:rPr>
                <w:rFonts w:ascii="Times New Roman" w:eastAsia="Times New Roman" w:hAnsi="Times New Roman" w:cs="Times New Roman"/>
                <w:sz w:val="24"/>
                <w:szCs w:val="24"/>
                <w:shd w:val="clear" w:color="auto" w:fill="FFFFFF"/>
                <w:lang w:eastAsia="lv-LV"/>
              </w:rPr>
              <w:t>papildspecialitātēs</w:t>
            </w:r>
            <w:proofErr w:type="spellEnd"/>
            <w:r w:rsidRPr="009C3AF9">
              <w:rPr>
                <w:rFonts w:ascii="Times New Roman" w:eastAsia="Times New Roman" w:hAnsi="Times New Roman" w:cs="Times New Roman"/>
                <w:sz w:val="24"/>
                <w:szCs w:val="24"/>
                <w:shd w:val="clear" w:color="auto" w:fill="FFFFFF"/>
                <w:lang w:eastAsia="lv-LV"/>
              </w:rPr>
              <w:t xml:space="preserve"> reģionālajā daudzprofilu slimnīcā vai ģimenes  (vispārējās prakses) ārsta praksē ārpus Rīgas – 1 630,20 </w:t>
            </w:r>
            <w:proofErr w:type="spellStart"/>
            <w:r w:rsidR="0079116B" w:rsidRPr="0079116B">
              <w:rPr>
                <w:rFonts w:ascii="Times New Roman" w:eastAsia="Times New Roman" w:hAnsi="Times New Roman" w:cs="Times New Roman"/>
                <w:i/>
                <w:sz w:val="24"/>
                <w:szCs w:val="24"/>
                <w:shd w:val="clear" w:color="auto" w:fill="FFFFFF"/>
                <w:lang w:eastAsia="lv-LV"/>
              </w:rPr>
              <w:t>euro</w:t>
            </w:r>
            <w:proofErr w:type="spellEnd"/>
            <w:r w:rsidRPr="009C3AF9">
              <w:rPr>
                <w:rFonts w:ascii="Times New Roman" w:eastAsia="Times New Roman" w:hAnsi="Times New Roman" w:cs="Times New Roman"/>
                <w:sz w:val="24"/>
                <w:szCs w:val="24"/>
                <w:shd w:val="clear" w:color="auto" w:fill="FFFFFF"/>
                <w:lang w:eastAsia="lv-LV"/>
              </w:rPr>
              <w:t xml:space="preserve"> un pārējās ārstniecības iestādēs (tai skaitā Veselības ministrijas padotības iestādes) – 1 254 </w:t>
            </w:r>
            <w:proofErr w:type="spellStart"/>
            <w:r w:rsidR="0079116B" w:rsidRPr="0079116B">
              <w:rPr>
                <w:rFonts w:ascii="Times New Roman" w:eastAsia="Times New Roman" w:hAnsi="Times New Roman" w:cs="Times New Roman"/>
                <w:i/>
                <w:sz w:val="24"/>
                <w:szCs w:val="24"/>
                <w:shd w:val="clear" w:color="auto" w:fill="FFFFFF"/>
                <w:lang w:eastAsia="lv-LV"/>
              </w:rPr>
              <w:t>euro</w:t>
            </w:r>
            <w:proofErr w:type="spellEnd"/>
            <w:r w:rsidR="006B54CE">
              <w:rPr>
                <w:rFonts w:ascii="Times New Roman" w:eastAsia="Times New Roman" w:hAnsi="Times New Roman" w:cs="Times New Roman"/>
                <w:sz w:val="24"/>
                <w:szCs w:val="24"/>
                <w:shd w:val="clear" w:color="auto" w:fill="FFFFFF"/>
                <w:lang w:eastAsia="lv-LV"/>
              </w:rPr>
              <w:t>, skat., tabulu Nr.1</w:t>
            </w:r>
            <w:r w:rsidRPr="009C3AF9">
              <w:rPr>
                <w:rFonts w:ascii="Times New Roman" w:eastAsia="Times New Roman" w:hAnsi="Times New Roman" w:cs="Times New Roman"/>
                <w:sz w:val="24"/>
                <w:szCs w:val="24"/>
                <w:shd w:val="clear" w:color="auto" w:fill="FFFFFF"/>
                <w:lang w:eastAsia="lv-LV"/>
              </w:rPr>
              <w:t>.</w:t>
            </w:r>
          </w:p>
          <w:p w:rsidR="00EF4F7D" w:rsidRDefault="007600D9" w:rsidP="00EB13A2">
            <w:pPr>
              <w:tabs>
                <w:tab w:val="left" w:pos="976"/>
              </w:tabs>
              <w:ind w:right="109"/>
              <w:jc w:val="both"/>
              <w:rPr>
                <w:rFonts w:ascii="Times New Roman" w:eastAsia="Times New Roman" w:hAnsi="Times New Roman" w:cs="Times New Roman"/>
                <w:sz w:val="24"/>
                <w:szCs w:val="24"/>
                <w:lang w:eastAsia="lv-LV"/>
              </w:rPr>
            </w:pPr>
            <w:r w:rsidRPr="007600D9">
              <w:rPr>
                <w:rFonts w:ascii="Times New Roman" w:eastAsia="Times New Roman" w:hAnsi="Times New Roman" w:cs="Times New Roman"/>
                <w:i/>
                <w:sz w:val="24"/>
                <w:szCs w:val="24"/>
                <w:shd w:val="clear" w:color="auto" w:fill="FFFFFF"/>
                <w:lang w:eastAsia="lv-LV"/>
              </w:rPr>
              <w:t>Aprēķins</w:t>
            </w:r>
            <w:r>
              <w:rPr>
                <w:rFonts w:ascii="Times New Roman" w:eastAsia="Times New Roman" w:hAnsi="Times New Roman" w:cs="Times New Roman"/>
                <w:sz w:val="24"/>
                <w:szCs w:val="24"/>
                <w:shd w:val="clear" w:color="auto" w:fill="FFFFFF"/>
                <w:lang w:eastAsia="lv-LV"/>
              </w:rPr>
              <w:t xml:space="preserve">: </w:t>
            </w:r>
            <w:r w:rsidR="0071669A" w:rsidRPr="00EB13A2">
              <w:rPr>
                <w:rFonts w:ascii="Times New Roman" w:eastAsia="Times New Roman" w:hAnsi="Times New Roman" w:cs="Times New Roman"/>
                <w:sz w:val="24"/>
                <w:szCs w:val="24"/>
                <w:shd w:val="clear" w:color="auto" w:fill="FFFFFF"/>
                <w:lang w:eastAsia="lv-LV"/>
              </w:rPr>
              <w:t xml:space="preserve">1 </w:t>
            </w:r>
            <w:r w:rsidR="001A2A8B" w:rsidRPr="00EB13A2">
              <w:rPr>
                <w:rFonts w:ascii="Times New Roman" w:eastAsia="Times New Roman" w:hAnsi="Times New Roman" w:cs="Times New Roman"/>
                <w:sz w:val="24"/>
                <w:szCs w:val="24"/>
                <w:shd w:val="clear" w:color="auto" w:fill="FFFFFF"/>
                <w:lang w:eastAsia="lv-LV"/>
              </w:rPr>
              <w:t xml:space="preserve">101 008 </w:t>
            </w:r>
            <w:proofErr w:type="spellStart"/>
            <w:r w:rsidR="0079116B" w:rsidRPr="0079116B">
              <w:rPr>
                <w:rFonts w:ascii="Times New Roman" w:eastAsia="Times New Roman" w:hAnsi="Times New Roman" w:cs="Times New Roman"/>
                <w:i/>
                <w:sz w:val="24"/>
                <w:szCs w:val="24"/>
                <w:shd w:val="clear" w:color="auto" w:fill="FFFFFF"/>
                <w:lang w:eastAsia="lv-LV"/>
              </w:rPr>
              <w:t>euro</w:t>
            </w:r>
            <w:proofErr w:type="spellEnd"/>
            <w:r w:rsidR="001A2A8B" w:rsidRPr="00EB13A2">
              <w:rPr>
                <w:rFonts w:ascii="Times New Roman" w:eastAsia="Times New Roman" w:hAnsi="Times New Roman" w:cs="Times New Roman"/>
                <w:sz w:val="24"/>
                <w:szCs w:val="24"/>
                <w:shd w:val="clear" w:color="auto" w:fill="FFFFFF"/>
                <w:lang w:eastAsia="lv-LV"/>
              </w:rPr>
              <w:t xml:space="preserve"> (</w:t>
            </w:r>
            <w:r w:rsidR="0071669A" w:rsidRPr="00EB13A2">
              <w:rPr>
                <w:rFonts w:ascii="Times New Roman" w:eastAsia="Times New Roman" w:hAnsi="Times New Roman" w:cs="Times New Roman"/>
                <w:sz w:val="24"/>
                <w:szCs w:val="24"/>
                <w:lang w:eastAsia="lv-LV"/>
              </w:rPr>
              <w:t xml:space="preserve">189,96 </w:t>
            </w:r>
            <w:proofErr w:type="spellStart"/>
            <w:r w:rsidR="0079116B" w:rsidRPr="0079116B">
              <w:rPr>
                <w:rFonts w:ascii="Times New Roman" w:eastAsia="Times New Roman" w:hAnsi="Times New Roman" w:cs="Times New Roman"/>
                <w:i/>
                <w:sz w:val="24"/>
                <w:szCs w:val="24"/>
                <w:lang w:eastAsia="lv-LV"/>
              </w:rPr>
              <w:t>euro</w:t>
            </w:r>
            <w:proofErr w:type="spellEnd"/>
            <w:r w:rsidR="0071669A" w:rsidRPr="00EB13A2">
              <w:rPr>
                <w:rFonts w:ascii="Times New Roman" w:eastAsia="Times New Roman" w:hAnsi="Times New Roman" w:cs="Times New Roman"/>
                <w:sz w:val="24"/>
                <w:szCs w:val="24"/>
                <w:shd w:val="clear" w:color="auto" w:fill="FFFFFF"/>
                <w:lang w:eastAsia="lv-LV"/>
              </w:rPr>
              <w:t xml:space="preserve"> (ietekme uz vienu rezidentu mēnesī (pret 2019.gadu) x 483 (plānot</w:t>
            </w:r>
            <w:r w:rsidR="004C2A60" w:rsidRPr="00EB13A2">
              <w:rPr>
                <w:rFonts w:ascii="Times New Roman" w:eastAsia="Times New Roman" w:hAnsi="Times New Roman" w:cs="Times New Roman"/>
                <w:sz w:val="24"/>
                <w:szCs w:val="24"/>
                <w:shd w:val="clear" w:color="auto" w:fill="FFFFFF"/>
                <w:lang w:eastAsia="lv-LV"/>
              </w:rPr>
              <w:t>a</w:t>
            </w:r>
            <w:r w:rsidR="0071669A" w:rsidRPr="00EB13A2">
              <w:rPr>
                <w:rFonts w:ascii="Times New Roman" w:eastAsia="Times New Roman" w:hAnsi="Times New Roman" w:cs="Times New Roman"/>
                <w:sz w:val="24"/>
                <w:szCs w:val="24"/>
                <w:shd w:val="clear" w:color="auto" w:fill="FFFFFF"/>
                <w:lang w:eastAsia="lv-LV"/>
              </w:rPr>
              <w:t xml:space="preserve">is rezidentu skaits) x 12 mēneši), lai noteiktu  amatalgas koeficientu 1,1 no trešā rezidentūras gada </w:t>
            </w:r>
            <w:proofErr w:type="spellStart"/>
            <w:r w:rsidR="0071669A" w:rsidRPr="00EB13A2">
              <w:rPr>
                <w:rFonts w:ascii="Times New Roman" w:eastAsia="Times New Roman" w:hAnsi="Times New Roman" w:cs="Times New Roman"/>
                <w:sz w:val="24"/>
                <w:szCs w:val="24"/>
                <w:shd w:val="clear" w:color="auto" w:fill="FFFFFF"/>
                <w:lang w:eastAsia="lv-LV"/>
              </w:rPr>
              <w:t>pamatspecialitātē</w:t>
            </w:r>
            <w:proofErr w:type="spellEnd"/>
            <w:r w:rsidR="0071669A" w:rsidRPr="00EB13A2">
              <w:rPr>
                <w:rFonts w:ascii="Times New Roman" w:eastAsia="Times New Roman" w:hAnsi="Times New Roman" w:cs="Times New Roman"/>
                <w:sz w:val="24"/>
                <w:szCs w:val="24"/>
                <w:shd w:val="clear" w:color="auto" w:fill="FFFFFF"/>
                <w:lang w:eastAsia="lv-LV"/>
              </w:rPr>
              <w:t xml:space="preserve"> un </w:t>
            </w:r>
            <w:r w:rsidR="00A922F0">
              <w:rPr>
                <w:rFonts w:ascii="Times New Roman" w:eastAsia="Times New Roman" w:hAnsi="Times New Roman" w:cs="Times New Roman"/>
                <w:sz w:val="24"/>
                <w:szCs w:val="24"/>
                <w:shd w:val="clear" w:color="auto" w:fill="FFFFFF"/>
                <w:lang w:eastAsia="lv-LV"/>
              </w:rPr>
              <w:t xml:space="preserve">no </w:t>
            </w:r>
            <w:r w:rsidR="0071669A" w:rsidRPr="00EB13A2">
              <w:rPr>
                <w:rFonts w:ascii="Times New Roman" w:eastAsia="Times New Roman" w:hAnsi="Times New Roman" w:cs="Times New Roman"/>
                <w:sz w:val="24"/>
                <w:szCs w:val="24"/>
                <w:shd w:val="clear" w:color="auto" w:fill="FFFFFF"/>
                <w:lang w:eastAsia="lv-LV"/>
              </w:rPr>
              <w:t xml:space="preserve">pirmā rezidentūras gada </w:t>
            </w:r>
            <w:proofErr w:type="spellStart"/>
            <w:r w:rsidR="0071669A" w:rsidRPr="00EB13A2">
              <w:rPr>
                <w:rFonts w:ascii="Times New Roman" w:eastAsia="Times New Roman" w:hAnsi="Times New Roman" w:cs="Times New Roman"/>
                <w:sz w:val="24"/>
                <w:szCs w:val="24"/>
                <w:shd w:val="clear" w:color="auto" w:fill="FFFFFF"/>
                <w:lang w:eastAsia="lv-LV"/>
              </w:rPr>
              <w:t>papildspecialitātē</w:t>
            </w:r>
            <w:proofErr w:type="spellEnd"/>
            <w:r w:rsidR="0071669A" w:rsidRPr="00EB13A2">
              <w:rPr>
                <w:rFonts w:ascii="Times New Roman" w:eastAsia="Times New Roman" w:hAnsi="Times New Roman" w:cs="Times New Roman"/>
                <w:sz w:val="24"/>
                <w:szCs w:val="24"/>
                <w:shd w:val="clear" w:color="auto" w:fill="FFFFFF"/>
                <w:lang w:eastAsia="lv-LV"/>
              </w:rPr>
              <w:t xml:space="preserve">. </w:t>
            </w:r>
            <w:r w:rsidR="00AD198D" w:rsidRPr="00EB13A2">
              <w:rPr>
                <w:rFonts w:ascii="Times New Roman" w:eastAsia="Times New Roman" w:hAnsi="Times New Roman" w:cs="Times New Roman"/>
                <w:sz w:val="24"/>
                <w:szCs w:val="24"/>
                <w:lang w:eastAsia="lv-LV"/>
              </w:rPr>
              <w:t xml:space="preserve"> </w:t>
            </w:r>
          </w:p>
          <w:p w:rsidR="00FB6922" w:rsidRPr="006B54CE" w:rsidRDefault="006B54CE" w:rsidP="006B54CE">
            <w:pPr>
              <w:tabs>
                <w:tab w:val="left" w:pos="976"/>
              </w:tabs>
              <w:ind w:right="109"/>
              <w:jc w:val="right"/>
              <w:rPr>
                <w:rFonts w:ascii="Times New Roman" w:eastAsia="Times New Roman" w:hAnsi="Times New Roman" w:cs="Times New Roman"/>
                <w:i/>
                <w:sz w:val="24"/>
                <w:szCs w:val="24"/>
                <w:lang w:eastAsia="lv-LV"/>
              </w:rPr>
            </w:pPr>
            <w:r w:rsidRPr="006B54CE">
              <w:rPr>
                <w:rFonts w:ascii="Times New Roman" w:eastAsia="Times New Roman" w:hAnsi="Times New Roman" w:cs="Times New Roman"/>
                <w:i/>
                <w:sz w:val="24"/>
                <w:szCs w:val="24"/>
                <w:lang w:eastAsia="lv-LV"/>
              </w:rPr>
              <w:t>Tabula Nr.1</w:t>
            </w:r>
          </w:p>
          <w:tbl>
            <w:tblPr>
              <w:tblStyle w:val="TableGrid"/>
              <w:tblW w:w="8154" w:type="dxa"/>
              <w:jc w:val="center"/>
              <w:tblLayout w:type="fixed"/>
              <w:tblLook w:val="04A0" w:firstRow="1" w:lastRow="0" w:firstColumn="1" w:lastColumn="0" w:noHBand="0" w:noVBand="1"/>
            </w:tblPr>
            <w:tblGrid>
              <w:gridCol w:w="3964"/>
              <w:gridCol w:w="1134"/>
              <w:gridCol w:w="1275"/>
              <w:gridCol w:w="1781"/>
            </w:tblGrid>
            <w:tr w:rsidR="006B54CE" w:rsidRPr="00003D1C" w:rsidTr="006B54CE">
              <w:trPr>
                <w:jc w:val="center"/>
              </w:trPr>
              <w:tc>
                <w:tcPr>
                  <w:tcW w:w="3964" w:type="dxa"/>
                </w:tcPr>
                <w:p w:rsidR="006B54CE" w:rsidRPr="00003D1C" w:rsidRDefault="006B54CE" w:rsidP="006B54CE">
                  <w:pPr>
                    <w:pStyle w:val="naislab"/>
                    <w:spacing w:before="0" w:after="0"/>
                    <w:jc w:val="center"/>
                    <w:rPr>
                      <w:sz w:val="20"/>
                      <w:szCs w:val="20"/>
                    </w:rPr>
                  </w:pPr>
                </w:p>
              </w:tc>
              <w:tc>
                <w:tcPr>
                  <w:tcW w:w="1134" w:type="dxa"/>
                </w:tcPr>
                <w:p w:rsidR="006B54CE" w:rsidRPr="00003D1C" w:rsidRDefault="006B54CE" w:rsidP="006B54CE">
                  <w:pPr>
                    <w:pStyle w:val="naislab"/>
                    <w:spacing w:before="0" w:after="0"/>
                    <w:jc w:val="center"/>
                    <w:rPr>
                      <w:sz w:val="20"/>
                      <w:szCs w:val="20"/>
                    </w:rPr>
                  </w:pPr>
                  <w:r w:rsidRPr="00003D1C">
                    <w:rPr>
                      <w:sz w:val="20"/>
                      <w:szCs w:val="20"/>
                    </w:rPr>
                    <w:t>2019.gadā (</w:t>
                  </w:r>
                  <w:proofErr w:type="spellStart"/>
                  <w:r w:rsidR="0079116B" w:rsidRPr="0079116B">
                    <w:rPr>
                      <w:i/>
                      <w:sz w:val="20"/>
                      <w:szCs w:val="20"/>
                    </w:rPr>
                    <w:t>euro</w:t>
                  </w:r>
                  <w:proofErr w:type="spellEnd"/>
                  <w:r w:rsidRPr="00003D1C">
                    <w:rPr>
                      <w:sz w:val="20"/>
                      <w:szCs w:val="20"/>
                    </w:rPr>
                    <w:t>)</w:t>
                  </w:r>
                </w:p>
              </w:tc>
              <w:tc>
                <w:tcPr>
                  <w:tcW w:w="1275" w:type="dxa"/>
                </w:tcPr>
                <w:p w:rsidR="006B54CE" w:rsidRPr="00003D1C" w:rsidRDefault="006B54CE" w:rsidP="006B54CE">
                  <w:pPr>
                    <w:pStyle w:val="naislab"/>
                    <w:spacing w:before="0" w:after="0"/>
                    <w:jc w:val="center"/>
                    <w:rPr>
                      <w:sz w:val="20"/>
                      <w:szCs w:val="20"/>
                    </w:rPr>
                  </w:pPr>
                  <w:r w:rsidRPr="00003D1C">
                    <w:rPr>
                      <w:sz w:val="20"/>
                      <w:szCs w:val="20"/>
                    </w:rPr>
                    <w:t>2020.gadā (</w:t>
                  </w:r>
                  <w:proofErr w:type="spellStart"/>
                  <w:r w:rsidR="0079116B" w:rsidRPr="0079116B">
                    <w:rPr>
                      <w:i/>
                      <w:sz w:val="20"/>
                      <w:szCs w:val="20"/>
                    </w:rPr>
                    <w:t>euro</w:t>
                  </w:r>
                  <w:proofErr w:type="spellEnd"/>
                  <w:r w:rsidRPr="00003D1C">
                    <w:rPr>
                      <w:sz w:val="20"/>
                      <w:szCs w:val="20"/>
                    </w:rPr>
                    <w:t>)</w:t>
                  </w:r>
                </w:p>
              </w:tc>
              <w:tc>
                <w:tcPr>
                  <w:tcW w:w="1781" w:type="dxa"/>
                </w:tcPr>
                <w:p w:rsidR="006B54CE" w:rsidRPr="00003D1C" w:rsidRDefault="006B54CE" w:rsidP="006B54CE">
                  <w:pPr>
                    <w:pStyle w:val="naislab"/>
                    <w:spacing w:before="0" w:after="0"/>
                    <w:jc w:val="center"/>
                    <w:rPr>
                      <w:sz w:val="20"/>
                      <w:szCs w:val="20"/>
                    </w:rPr>
                  </w:pPr>
                  <w:r w:rsidRPr="00003D1C">
                    <w:rPr>
                      <w:sz w:val="20"/>
                      <w:szCs w:val="20"/>
                    </w:rPr>
                    <w:t xml:space="preserve">Starpība (2020.gada pieaugums pret 2019.gadu) </w:t>
                  </w:r>
                </w:p>
              </w:tc>
            </w:tr>
            <w:tr w:rsidR="006B54CE" w:rsidRPr="00003D1C" w:rsidTr="006B54CE">
              <w:trPr>
                <w:jc w:val="center"/>
              </w:trPr>
              <w:tc>
                <w:tcPr>
                  <w:tcW w:w="3964" w:type="dxa"/>
                </w:tcPr>
                <w:p w:rsidR="006B54CE" w:rsidRPr="00003D1C" w:rsidRDefault="006B54CE" w:rsidP="006B54CE">
                  <w:pPr>
                    <w:pStyle w:val="naislab"/>
                    <w:spacing w:before="0" w:after="0"/>
                    <w:jc w:val="left"/>
                    <w:rPr>
                      <w:sz w:val="20"/>
                      <w:szCs w:val="20"/>
                    </w:rPr>
                  </w:pPr>
                  <w:r w:rsidRPr="00003D1C">
                    <w:rPr>
                      <w:sz w:val="20"/>
                      <w:szCs w:val="20"/>
                    </w:rPr>
                    <w:t>Rezidentu mēnešalga reģionālajā daudzprofilu slimnīcā vai ģimenes (vispārējās prakses) ārsta praksē ārpus Rīgas</w:t>
                  </w:r>
                </w:p>
              </w:tc>
              <w:tc>
                <w:tcPr>
                  <w:tcW w:w="1134" w:type="dxa"/>
                </w:tcPr>
                <w:p w:rsidR="006B54CE" w:rsidRPr="00003D1C" w:rsidRDefault="006B54CE" w:rsidP="006B54CE">
                  <w:pPr>
                    <w:pStyle w:val="naislab"/>
                    <w:spacing w:before="0" w:after="0"/>
                    <w:jc w:val="center"/>
                    <w:rPr>
                      <w:sz w:val="20"/>
                      <w:szCs w:val="20"/>
                    </w:rPr>
                  </w:pPr>
                  <w:r w:rsidRPr="00003D1C">
                    <w:rPr>
                      <w:sz w:val="20"/>
                      <w:szCs w:val="20"/>
                    </w:rPr>
                    <w:t>1 235</w:t>
                  </w:r>
                </w:p>
              </w:tc>
              <w:tc>
                <w:tcPr>
                  <w:tcW w:w="1275" w:type="dxa"/>
                </w:tcPr>
                <w:p w:rsidR="006B54CE" w:rsidRPr="00003D1C" w:rsidRDefault="006B54CE" w:rsidP="006B54CE">
                  <w:pPr>
                    <w:pStyle w:val="naislab"/>
                    <w:spacing w:before="0" w:after="0"/>
                    <w:jc w:val="center"/>
                    <w:rPr>
                      <w:sz w:val="20"/>
                      <w:szCs w:val="20"/>
                    </w:rPr>
                  </w:pPr>
                  <w:r w:rsidRPr="00003D1C">
                    <w:rPr>
                      <w:sz w:val="20"/>
                      <w:szCs w:val="20"/>
                    </w:rPr>
                    <w:t>1 482</w:t>
                  </w:r>
                </w:p>
              </w:tc>
              <w:tc>
                <w:tcPr>
                  <w:tcW w:w="1781" w:type="dxa"/>
                </w:tcPr>
                <w:p w:rsidR="006B54CE" w:rsidRPr="00003D1C" w:rsidRDefault="006B54CE" w:rsidP="006B54CE">
                  <w:pPr>
                    <w:pStyle w:val="naislab"/>
                    <w:spacing w:before="0" w:after="0"/>
                    <w:jc w:val="center"/>
                    <w:rPr>
                      <w:sz w:val="20"/>
                      <w:szCs w:val="20"/>
                    </w:rPr>
                  </w:pPr>
                  <w:r w:rsidRPr="00003D1C">
                    <w:rPr>
                      <w:sz w:val="20"/>
                      <w:szCs w:val="20"/>
                    </w:rPr>
                    <w:t xml:space="preserve">+247 </w:t>
                  </w:r>
                  <w:proofErr w:type="spellStart"/>
                  <w:r w:rsidR="0079116B" w:rsidRPr="0079116B">
                    <w:rPr>
                      <w:i/>
                      <w:sz w:val="20"/>
                      <w:szCs w:val="20"/>
                    </w:rPr>
                    <w:t>euro</w:t>
                  </w:r>
                  <w:proofErr w:type="spellEnd"/>
                  <w:r w:rsidRPr="00003D1C">
                    <w:rPr>
                      <w:sz w:val="20"/>
                      <w:szCs w:val="20"/>
                    </w:rPr>
                    <w:t xml:space="preserve"> (20%)</w:t>
                  </w:r>
                </w:p>
              </w:tc>
            </w:tr>
            <w:tr w:rsidR="006B54CE" w:rsidRPr="00003D1C" w:rsidTr="006B54CE">
              <w:trPr>
                <w:jc w:val="center"/>
              </w:trPr>
              <w:tc>
                <w:tcPr>
                  <w:tcW w:w="3964" w:type="dxa"/>
                </w:tcPr>
                <w:p w:rsidR="006B54CE" w:rsidRPr="00003D1C" w:rsidRDefault="006B54CE" w:rsidP="006B54CE">
                  <w:pPr>
                    <w:pStyle w:val="naislab"/>
                    <w:spacing w:after="0"/>
                    <w:jc w:val="left"/>
                    <w:rPr>
                      <w:sz w:val="20"/>
                      <w:szCs w:val="20"/>
                    </w:rPr>
                  </w:pPr>
                  <w:r w:rsidRPr="00003D1C">
                    <w:rPr>
                      <w:sz w:val="20"/>
                      <w:szCs w:val="20"/>
                    </w:rPr>
                    <w:t xml:space="preserve">Rezidentu mēnešalga pārējās ārstniecības iestādēs </w:t>
                  </w:r>
                </w:p>
                <w:p w:rsidR="006B54CE" w:rsidRPr="00003D1C" w:rsidRDefault="006B54CE" w:rsidP="006B54CE">
                  <w:pPr>
                    <w:pStyle w:val="naislab"/>
                    <w:spacing w:before="0" w:after="0"/>
                    <w:jc w:val="left"/>
                    <w:rPr>
                      <w:sz w:val="20"/>
                      <w:szCs w:val="20"/>
                    </w:rPr>
                  </w:pPr>
                  <w:r w:rsidRPr="00003D1C">
                    <w:rPr>
                      <w:sz w:val="20"/>
                      <w:szCs w:val="20"/>
                    </w:rPr>
                    <w:t xml:space="preserve">(tai skaitā Veselības ministrijas padotības iestādes) </w:t>
                  </w:r>
                </w:p>
              </w:tc>
              <w:tc>
                <w:tcPr>
                  <w:tcW w:w="1134" w:type="dxa"/>
                </w:tcPr>
                <w:p w:rsidR="006B54CE" w:rsidRPr="00003D1C" w:rsidRDefault="006B54CE" w:rsidP="006B54CE">
                  <w:pPr>
                    <w:pStyle w:val="naislab"/>
                    <w:spacing w:before="0" w:after="0"/>
                    <w:jc w:val="center"/>
                    <w:rPr>
                      <w:sz w:val="20"/>
                      <w:szCs w:val="20"/>
                    </w:rPr>
                  </w:pPr>
                  <w:r w:rsidRPr="00003D1C">
                    <w:rPr>
                      <w:sz w:val="20"/>
                      <w:szCs w:val="20"/>
                    </w:rPr>
                    <w:t>950</w:t>
                  </w:r>
                </w:p>
              </w:tc>
              <w:tc>
                <w:tcPr>
                  <w:tcW w:w="1275" w:type="dxa"/>
                </w:tcPr>
                <w:p w:rsidR="006B54CE" w:rsidRPr="00003D1C" w:rsidRDefault="006B54CE" w:rsidP="006B54CE">
                  <w:pPr>
                    <w:pStyle w:val="naislab"/>
                    <w:spacing w:before="0" w:after="0"/>
                    <w:jc w:val="center"/>
                    <w:rPr>
                      <w:sz w:val="20"/>
                      <w:szCs w:val="20"/>
                    </w:rPr>
                  </w:pPr>
                  <w:r w:rsidRPr="00003D1C">
                    <w:rPr>
                      <w:sz w:val="20"/>
                      <w:szCs w:val="20"/>
                    </w:rPr>
                    <w:t>1 140</w:t>
                  </w:r>
                </w:p>
              </w:tc>
              <w:tc>
                <w:tcPr>
                  <w:tcW w:w="1781" w:type="dxa"/>
                  <w:shd w:val="clear" w:color="auto" w:fill="FFFFFF" w:themeFill="background1"/>
                </w:tcPr>
                <w:p w:rsidR="006B54CE" w:rsidRPr="00003D1C" w:rsidRDefault="006B54CE" w:rsidP="006B54CE">
                  <w:pPr>
                    <w:pStyle w:val="naislab"/>
                    <w:spacing w:before="0" w:after="0"/>
                    <w:jc w:val="center"/>
                    <w:rPr>
                      <w:sz w:val="20"/>
                      <w:szCs w:val="20"/>
                    </w:rPr>
                  </w:pPr>
                  <w:r w:rsidRPr="00003D1C">
                    <w:rPr>
                      <w:sz w:val="20"/>
                      <w:szCs w:val="20"/>
                    </w:rPr>
                    <w:t xml:space="preserve">+190 </w:t>
                  </w:r>
                  <w:proofErr w:type="spellStart"/>
                  <w:r w:rsidR="0079116B" w:rsidRPr="0079116B">
                    <w:rPr>
                      <w:i/>
                      <w:sz w:val="20"/>
                      <w:szCs w:val="20"/>
                    </w:rPr>
                    <w:t>euro</w:t>
                  </w:r>
                  <w:proofErr w:type="spellEnd"/>
                  <w:r w:rsidRPr="00003D1C">
                    <w:rPr>
                      <w:sz w:val="20"/>
                      <w:szCs w:val="20"/>
                    </w:rPr>
                    <w:t xml:space="preserve"> (20%)</w:t>
                  </w:r>
                </w:p>
              </w:tc>
            </w:tr>
            <w:tr w:rsidR="006B54CE" w:rsidRPr="00003D1C" w:rsidTr="006B54CE">
              <w:trPr>
                <w:jc w:val="center"/>
              </w:trPr>
              <w:tc>
                <w:tcPr>
                  <w:tcW w:w="3964" w:type="dxa"/>
                </w:tcPr>
                <w:p w:rsidR="006B54CE" w:rsidRPr="00003D1C" w:rsidRDefault="006B54CE" w:rsidP="006B54CE">
                  <w:pPr>
                    <w:pStyle w:val="naislab"/>
                    <w:spacing w:before="0" w:after="0"/>
                    <w:jc w:val="left"/>
                    <w:rPr>
                      <w:sz w:val="20"/>
                      <w:szCs w:val="20"/>
                    </w:rPr>
                  </w:pPr>
                  <w:r w:rsidRPr="00003D1C">
                    <w:rPr>
                      <w:sz w:val="20"/>
                      <w:szCs w:val="20"/>
                    </w:rPr>
                    <w:t xml:space="preserve">Rezidentu mēnešalga ar koeficientu 1.1 </w:t>
                  </w:r>
                  <w:r w:rsidR="00A922F0">
                    <w:rPr>
                      <w:sz w:val="20"/>
                      <w:szCs w:val="20"/>
                    </w:rPr>
                    <w:t xml:space="preserve">no </w:t>
                  </w:r>
                  <w:r w:rsidRPr="00003D1C">
                    <w:rPr>
                      <w:sz w:val="20"/>
                      <w:szCs w:val="20"/>
                    </w:rPr>
                    <w:t xml:space="preserve">trešā rezidentūras gada </w:t>
                  </w:r>
                  <w:proofErr w:type="spellStart"/>
                  <w:r w:rsidRPr="00003D1C">
                    <w:rPr>
                      <w:sz w:val="20"/>
                      <w:szCs w:val="20"/>
                    </w:rPr>
                    <w:t>pamatspecialitātē</w:t>
                  </w:r>
                  <w:proofErr w:type="spellEnd"/>
                  <w:r w:rsidRPr="00003D1C">
                    <w:rPr>
                      <w:sz w:val="20"/>
                      <w:szCs w:val="20"/>
                    </w:rPr>
                    <w:t xml:space="preserve">  un </w:t>
                  </w:r>
                  <w:r w:rsidR="00A922F0">
                    <w:rPr>
                      <w:sz w:val="20"/>
                      <w:szCs w:val="20"/>
                    </w:rPr>
                    <w:t xml:space="preserve">no </w:t>
                  </w:r>
                  <w:r w:rsidRPr="00003D1C">
                    <w:rPr>
                      <w:sz w:val="20"/>
                      <w:szCs w:val="20"/>
                    </w:rPr>
                    <w:t xml:space="preserve">pirmā gada </w:t>
                  </w:r>
                  <w:proofErr w:type="spellStart"/>
                  <w:r w:rsidRPr="00003D1C">
                    <w:rPr>
                      <w:sz w:val="20"/>
                      <w:szCs w:val="20"/>
                    </w:rPr>
                    <w:t>papildspecialitātēs</w:t>
                  </w:r>
                  <w:proofErr w:type="spellEnd"/>
                  <w:r w:rsidRPr="00003D1C">
                    <w:rPr>
                      <w:sz w:val="20"/>
                      <w:szCs w:val="20"/>
                    </w:rPr>
                    <w:t xml:space="preserve"> reģionālajā daudzprofilu slimnīcā vai ģimenes (vispārējās prakses) ārsta praksē ārpus Rīgas </w:t>
                  </w:r>
                </w:p>
              </w:tc>
              <w:tc>
                <w:tcPr>
                  <w:tcW w:w="1134" w:type="dxa"/>
                </w:tcPr>
                <w:p w:rsidR="006B54CE" w:rsidRPr="00003D1C" w:rsidRDefault="006B54CE" w:rsidP="006B54CE">
                  <w:pPr>
                    <w:pStyle w:val="naislab"/>
                    <w:spacing w:before="0" w:after="0"/>
                    <w:jc w:val="center"/>
                    <w:rPr>
                      <w:sz w:val="20"/>
                      <w:szCs w:val="20"/>
                    </w:rPr>
                  </w:pPr>
                  <w:r w:rsidRPr="00003D1C">
                    <w:rPr>
                      <w:sz w:val="20"/>
                      <w:szCs w:val="20"/>
                    </w:rPr>
                    <w:t>-</w:t>
                  </w:r>
                </w:p>
              </w:tc>
              <w:tc>
                <w:tcPr>
                  <w:tcW w:w="1275" w:type="dxa"/>
                </w:tcPr>
                <w:p w:rsidR="006B54CE" w:rsidRPr="00003D1C" w:rsidRDefault="006B54CE" w:rsidP="006B54CE">
                  <w:pPr>
                    <w:pStyle w:val="naislab"/>
                    <w:spacing w:before="0" w:after="0"/>
                    <w:jc w:val="center"/>
                    <w:rPr>
                      <w:sz w:val="20"/>
                      <w:szCs w:val="20"/>
                    </w:rPr>
                  </w:pPr>
                  <w:r w:rsidRPr="00003D1C">
                    <w:rPr>
                      <w:sz w:val="20"/>
                      <w:szCs w:val="20"/>
                    </w:rPr>
                    <w:t>1 630,20</w:t>
                  </w:r>
                </w:p>
              </w:tc>
              <w:tc>
                <w:tcPr>
                  <w:tcW w:w="1781" w:type="dxa"/>
                  <w:shd w:val="clear" w:color="auto" w:fill="FFFFFF" w:themeFill="background1"/>
                </w:tcPr>
                <w:p w:rsidR="006B54CE" w:rsidRPr="00003D1C" w:rsidRDefault="006B54CE" w:rsidP="006B54CE">
                  <w:pPr>
                    <w:pStyle w:val="naislab"/>
                    <w:spacing w:before="0" w:after="0"/>
                    <w:jc w:val="center"/>
                    <w:rPr>
                      <w:sz w:val="20"/>
                      <w:szCs w:val="20"/>
                    </w:rPr>
                  </w:pPr>
                  <w:r w:rsidRPr="00003D1C">
                    <w:rPr>
                      <w:sz w:val="20"/>
                      <w:szCs w:val="20"/>
                    </w:rPr>
                    <w:t xml:space="preserve">+395,20 </w:t>
                  </w:r>
                  <w:proofErr w:type="spellStart"/>
                  <w:r w:rsidR="0079116B" w:rsidRPr="0079116B">
                    <w:rPr>
                      <w:i/>
                      <w:sz w:val="20"/>
                      <w:szCs w:val="20"/>
                    </w:rPr>
                    <w:t>euro</w:t>
                  </w:r>
                  <w:proofErr w:type="spellEnd"/>
                  <w:r w:rsidRPr="00003D1C">
                    <w:rPr>
                      <w:sz w:val="20"/>
                      <w:szCs w:val="20"/>
                    </w:rPr>
                    <w:t xml:space="preserve"> (32%)</w:t>
                  </w:r>
                </w:p>
              </w:tc>
            </w:tr>
            <w:tr w:rsidR="006B54CE" w:rsidRPr="00003D1C" w:rsidTr="006B54CE">
              <w:trPr>
                <w:jc w:val="center"/>
              </w:trPr>
              <w:tc>
                <w:tcPr>
                  <w:tcW w:w="3964" w:type="dxa"/>
                </w:tcPr>
                <w:p w:rsidR="006B54CE" w:rsidRPr="00003D1C" w:rsidRDefault="006B54CE" w:rsidP="006B54CE">
                  <w:pPr>
                    <w:pStyle w:val="naislab"/>
                    <w:spacing w:after="0"/>
                    <w:jc w:val="left"/>
                    <w:rPr>
                      <w:sz w:val="20"/>
                      <w:szCs w:val="20"/>
                    </w:rPr>
                  </w:pPr>
                  <w:r w:rsidRPr="00003D1C">
                    <w:rPr>
                      <w:sz w:val="20"/>
                      <w:szCs w:val="20"/>
                    </w:rPr>
                    <w:t>Rezidentu mēnešalga ar koeficientu 1.1</w:t>
                  </w:r>
                  <w:r w:rsidR="00A922F0">
                    <w:rPr>
                      <w:sz w:val="20"/>
                      <w:szCs w:val="20"/>
                    </w:rPr>
                    <w:t xml:space="preserve"> no</w:t>
                  </w:r>
                  <w:r w:rsidRPr="00003D1C">
                    <w:rPr>
                      <w:sz w:val="20"/>
                      <w:szCs w:val="20"/>
                    </w:rPr>
                    <w:t xml:space="preserve"> trešā rezidentūras gada </w:t>
                  </w:r>
                  <w:proofErr w:type="spellStart"/>
                  <w:r w:rsidRPr="00003D1C">
                    <w:rPr>
                      <w:sz w:val="20"/>
                      <w:szCs w:val="20"/>
                    </w:rPr>
                    <w:t>pamatspecialitātē</w:t>
                  </w:r>
                  <w:proofErr w:type="spellEnd"/>
                  <w:r w:rsidRPr="00003D1C">
                    <w:rPr>
                      <w:sz w:val="20"/>
                      <w:szCs w:val="20"/>
                    </w:rPr>
                    <w:t xml:space="preserve">  un </w:t>
                  </w:r>
                  <w:r w:rsidR="00A922F0">
                    <w:rPr>
                      <w:sz w:val="20"/>
                      <w:szCs w:val="20"/>
                    </w:rPr>
                    <w:t xml:space="preserve">no </w:t>
                  </w:r>
                  <w:r w:rsidRPr="00003D1C">
                    <w:rPr>
                      <w:sz w:val="20"/>
                      <w:szCs w:val="20"/>
                    </w:rPr>
                    <w:t xml:space="preserve">pirmā gada </w:t>
                  </w:r>
                  <w:proofErr w:type="spellStart"/>
                  <w:r w:rsidRPr="00003D1C">
                    <w:rPr>
                      <w:sz w:val="20"/>
                      <w:szCs w:val="20"/>
                    </w:rPr>
                    <w:t>papildspecialitātēs</w:t>
                  </w:r>
                  <w:proofErr w:type="spellEnd"/>
                  <w:r w:rsidRPr="00003D1C">
                    <w:rPr>
                      <w:sz w:val="20"/>
                      <w:szCs w:val="20"/>
                    </w:rPr>
                    <w:t xml:space="preserve"> pārējās ārstniecības iestādēs </w:t>
                  </w:r>
                </w:p>
                <w:p w:rsidR="006B54CE" w:rsidRPr="00003D1C" w:rsidRDefault="006B54CE" w:rsidP="006B54CE">
                  <w:pPr>
                    <w:pStyle w:val="naislab"/>
                    <w:spacing w:before="0" w:after="0"/>
                    <w:jc w:val="left"/>
                    <w:rPr>
                      <w:sz w:val="20"/>
                      <w:szCs w:val="20"/>
                    </w:rPr>
                  </w:pPr>
                  <w:r w:rsidRPr="00003D1C">
                    <w:rPr>
                      <w:sz w:val="20"/>
                      <w:szCs w:val="20"/>
                    </w:rPr>
                    <w:t>(tai skaitā Veselības ministrijas padotības iestādes)</w:t>
                  </w:r>
                </w:p>
              </w:tc>
              <w:tc>
                <w:tcPr>
                  <w:tcW w:w="1134" w:type="dxa"/>
                </w:tcPr>
                <w:p w:rsidR="006B54CE" w:rsidRPr="00003D1C" w:rsidRDefault="006B54CE" w:rsidP="006B54CE">
                  <w:pPr>
                    <w:pStyle w:val="naislab"/>
                    <w:spacing w:before="0" w:after="0"/>
                    <w:jc w:val="center"/>
                    <w:rPr>
                      <w:sz w:val="20"/>
                      <w:szCs w:val="20"/>
                    </w:rPr>
                  </w:pPr>
                  <w:r w:rsidRPr="00003D1C">
                    <w:rPr>
                      <w:sz w:val="20"/>
                      <w:szCs w:val="20"/>
                    </w:rPr>
                    <w:t>-</w:t>
                  </w:r>
                </w:p>
              </w:tc>
              <w:tc>
                <w:tcPr>
                  <w:tcW w:w="1275" w:type="dxa"/>
                </w:tcPr>
                <w:p w:rsidR="006B54CE" w:rsidRPr="00003D1C" w:rsidRDefault="006B54CE" w:rsidP="006B54CE">
                  <w:pPr>
                    <w:pStyle w:val="naislab"/>
                    <w:spacing w:before="0" w:after="0"/>
                    <w:jc w:val="center"/>
                    <w:rPr>
                      <w:sz w:val="20"/>
                      <w:szCs w:val="20"/>
                    </w:rPr>
                  </w:pPr>
                  <w:r w:rsidRPr="00003D1C">
                    <w:rPr>
                      <w:sz w:val="20"/>
                      <w:szCs w:val="20"/>
                    </w:rPr>
                    <w:t>1 254</w:t>
                  </w:r>
                </w:p>
              </w:tc>
              <w:tc>
                <w:tcPr>
                  <w:tcW w:w="1781" w:type="dxa"/>
                  <w:shd w:val="clear" w:color="auto" w:fill="FFFFFF" w:themeFill="background1"/>
                </w:tcPr>
                <w:p w:rsidR="006B54CE" w:rsidRPr="00003D1C" w:rsidRDefault="006B54CE" w:rsidP="006B54CE">
                  <w:pPr>
                    <w:pStyle w:val="naislab"/>
                    <w:spacing w:before="0" w:after="0"/>
                    <w:jc w:val="center"/>
                    <w:rPr>
                      <w:sz w:val="20"/>
                      <w:szCs w:val="20"/>
                    </w:rPr>
                  </w:pPr>
                  <w:r w:rsidRPr="00003D1C">
                    <w:rPr>
                      <w:sz w:val="20"/>
                      <w:szCs w:val="20"/>
                    </w:rPr>
                    <w:t xml:space="preserve">+304 </w:t>
                  </w:r>
                  <w:proofErr w:type="spellStart"/>
                  <w:r w:rsidR="0079116B" w:rsidRPr="0079116B">
                    <w:rPr>
                      <w:i/>
                      <w:sz w:val="20"/>
                      <w:szCs w:val="20"/>
                    </w:rPr>
                    <w:t>euro</w:t>
                  </w:r>
                  <w:proofErr w:type="spellEnd"/>
                  <w:r w:rsidRPr="00003D1C">
                    <w:rPr>
                      <w:sz w:val="20"/>
                      <w:szCs w:val="20"/>
                    </w:rPr>
                    <w:t xml:space="preserve"> (32%)</w:t>
                  </w:r>
                </w:p>
              </w:tc>
            </w:tr>
          </w:tbl>
          <w:p w:rsidR="005425BB" w:rsidRDefault="005425BB" w:rsidP="00EB13A2">
            <w:pPr>
              <w:tabs>
                <w:tab w:val="left" w:pos="976"/>
              </w:tabs>
              <w:ind w:right="109"/>
              <w:jc w:val="both"/>
              <w:rPr>
                <w:rFonts w:ascii="Times New Roman" w:eastAsia="Times New Roman" w:hAnsi="Times New Roman" w:cs="Times New Roman"/>
                <w:sz w:val="24"/>
                <w:szCs w:val="24"/>
                <w:shd w:val="clear" w:color="auto" w:fill="FFFFFF"/>
                <w:lang w:eastAsia="lv-LV"/>
              </w:rPr>
            </w:pPr>
          </w:p>
          <w:p w:rsidR="005425BB" w:rsidRDefault="00FE5C65" w:rsidP="005425BB">
            <w:pPr>
              <w:tabs>
                <w:tab w:val="left" w:pos="976"/>
              </w:tabs>
              <w:ind w:right="109" w:firstLine="174"/>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Kopā rezidentu darba samaksas pieaugumam no 2020.gada ik gadu nepieciešami 4 034 768 </w:t>
            </w:r>
            <w:proofErr w:type="spellStart"/>
            <w:r w:rsidRPr="00B6241C">
              <w:rPr>
                <w:rFonts w:ascii="Times New Roman" w:eastAsia="Times New Roman" w:hAnsi="Times New Roman" w:cs="Times New Roman"/>
                <w:i/>
                <w:sz w:val="24"/>
                <w:szCs w:val="24"/>
                <w:shd w:val="clear" w:color="auto" w:fill="FFFFFF"/>
                <w:lang w:eastAsia="lv-LV"/>
              </w:rPr>
              <w:t>euro</w:t>
            </w:r>
            <w:proofErr w:type="spellEnd"/>
            <w:r>
              <w:rPr>
                <w:rFonts w:ascii="Times New Roman" w:eastAsia="Times New Roman" w:hAnsi="Times New Roman" w:cs="Times New Roman"/>
                <w:sz w:val="24"/>
                <w:szCs w:val="24"/>
                <w:shd w:val="clear" w:color="auto" w:fill="FFFFFF"/>
                <w:lang w:eastAsia="lv-LV"/>
              </w:rPr>
              <w:t>, tai skaitā</w:t>
            </w:r>
            <w:r w:rsidR="005425BB">
              <w:rPr>
                <w:rFonts w:ascii="Times New Roman" w:eastAsia="Times New Roman" w:hAnsi="Times New Roman" w:cs="Times New Roman"/>
                <w:sz w:val="24"/>
                <w:szCs w:val="24"/>
                <w:shd w:val="clear" w:color="auto" w:fill="FFFFFF"/>
                <w:lang w:eastAsia="lv-LV"/>
              </w:rPr>
              <w:t>:</w:t>
            </w:r>
          </w:p>
          <w:p w:rsidR="00FB6922" w:rsidRDefault="005425BB" w:rsidP="00EB13A2">
            <w:pPr>
              <w:tabs>
                <w:tab w:val="left" w:pos="976"/>
              </w:tabs>
              <w:ind w:right="109"/>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w:t>
            </w:r>
            <w:r w:rsidR="00FE5C65">
              <w:rPr>
                <w:rFonts w:ascii="Times New Roman" w:eastAsia="Times New Roman" w:hAnsi="Times New Roman" w:cs="Times New Roman"/>
                <w:sz w:val="24"/>
                <w:szCs w:val="24"/>
                <w:shd w:val="clear" w:color="auto" w:fill="FFFFFF"/>
                <w:lang w:eastAsia="lv-LV"/>
              </w:rPr>
              <w:t xml:space="preserve"> 2 701 185 </w:t>
            </w:r>
            <w:proofErr w:type="spellStart"/>
            <w:r w:rsidR="00FE5C65" w:rsidRPr="00B6241C">
              <w:rPr>
                <w:rFonts w:ascii="Times New Roman" w:eastAsia="Times New Roman" w:hAnsi="Times New Roman" w:cs="Times New Roman"/>
                <w:i/>
                <w:sz w:val="24"/>
                <w:szCs w:val="24"/>
                <w:shd w:val="clear" w:color="auto" w:fill="FFFFFF"/>
                <w:lang w:eastAsia="lv-LV"/>
              </w:rPr>
              <w:t>euro</w:t>
            </w:r>
            <w:proofErr w:type="spellEnd"/>
            <w:r>
              <w:rPr>
                <w:rFonts w:ascii="Times New Roman" w:eastAsia="Times New Roman" w:hAnsi="Times New Roman" w:cs="Times New Roman"/>
                <w:i/>
                <w:sz w:val="24"/>
                <w:szCs w:val="24"/>
                <w:shd w:val="clear" w:color="auto" w:fill="FFFFFF"/>
                <w:lang w:eastAsia="lv-LV"/>
              </w:rPr>
              <w:t xml:space="preserve"> – </w:t>
            </w:r>
            <w:r w:rsidR="00FC7224">
              <w:rPr>
                <w:rFonts w:ascii="Times New Roman" w:eastAsia="Times New Roman" w:hAnsi="Times New Roman" w:cs="Times New Roman"/>
                <w:sz w:val="24"/>
                <w:szCs w:val="24"/>
                <w:shd w:val="clear" w:color="auto" w:fill="FFFFFF"/>
                <w:lang w:eastAsia="lv-LV"/>
              </w:rPr>
              <w:t xml:space="preserve">iekļauts 2020.gadam </w:t>
            </w:r>
            <w:r w:rsidRPr="00B6241C">
              <w:rPr>
                <w:rFonts w:ascii="Times New Roman" w:eastAsia="Times New Roman" w:hAnsi="Times New Roman" w:cs="Times New Roman"/>
                <w:sz w:val="24"/>
                <w:szCs w:val="24"/>
                <w:shd w:val="clear" w:color="auto" w:fill="FFFFFF"/>
                <w:lang w:eastAsia="lv-LV"/>
              </w:rPr>
              <w:t>Saeimas</w:t>
            </w:r>
            <w:r>
              <w:rPr>
                <w:rFonts w:ascii="Times New Roman" w:eastAsia="Times New Roman" w:hAnsi="Times New Roman" w:cs="Times New Roman"/>
                <w:sz w:val="24"/>
                <w:szCs w:val="24"/>
                <w:shd w:val="clear" w:color="auto" w:fill="FFFFFF"/>
                <w:lang w:eastAsia="lv-LV"/>
              </w:rPr>
              <w:t xml:space="preserve"> 2.lasījumā š.g.14.novembrī</w:t>
            </w:r>
            <w:r w:rsidR="00FC7224">
              <w:rPr>
                <w:rFonts w:ascii="Times New Roman" w:eastAsia="Times New Roman" w:hAnsi="Times New Roman" w:cs="Times New Roman"/>
                <w:sz w:val="24"/>
                <w:szCs w:val="24"/>
                <w:shd w:val="clear" w:color="auto" w:fill="FFFFFF"/>
                <w:lang w:eastAsia="lv-LV"/>
              </w:rPr>
              <w:t xml:space="preserve"> pieņemtajā likumā</w:t>
            </w:r>
            <w:r w:rsidR="00FC7224" w:rsidRPr="00BA43E7">
              <w:rPr>
                <w:rFonts w:ascii="Times New Roman" w:hAnsi="Times New Roman" w:cs="Times New Roman"/>
                <w:bCs/>
                <w:color w:val="212121"/>
                <w:sz w:val="24"/>
                <w:szCs w:val="24"/>
                <w:shd w:val="clear" w:color="auto" w:fill="FFFFFF"/>
              </w:rPr>
              <w:t xml:space="preserve"> “Par valsts budžetu 2020.gadam” un  likumā “Par vidēja termiņa budžeta ietvaru 2020., 2021. un 2022. gadam”</w:t>
            </w:r>
            <w:r>
              <w:rPr>
                <w:rFonts w:ascii="Times New Roman" w:eastAsia="Times New Roman" w:hAnsi="Times New Roman" w:cs="Times New Roman"/>
                <w:sz w:val="24"/>
                <w:szCs w:val="24"/>
                <w:shd w:val="clear" w:color="auto" w:fill="FFFFFF"/>
                <w:lang w:eastAsia="lv-LV"/>
              </w:rPr>
              <w:t>;</w:t>
            </w:r>
          </w:p>
          <w:p w:rsidR="005425BB" w:rsidRDefault="005425BB" w:rsidP="00EB13A2">
            <w:pPr>
              <w:tabs>
                <w:tab w:val="left" w:pos="976"/>
              </w:tabs>
              <w:ind w:right="109"/>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-)1 333 583 </w:t>
            </w:r>
            <w:proofErr w:type="spellStart"/>
            <w:r w:rsidRPr="00393222">
              <w:rPr>
                <w:rFonts w:ascii="Times New Roman" w:eastAsia="Times New Roman" w:hAnsi="Times New Roman" w:cs="Times New Roman"/>
                <w:i/>
                <w:sz w:val="24"/>
                <w:szCs w:val="24"/>
                <w:shd w:val="clear" w:color="auto" w:fill="FFFFFF"/>
                <w:lang w:eastAsia="lv-LV"/>
              </w:rPr>
              <w:t>euro</w:t>
            </w:r>
            <w:proofErr w:type="spellEnd"/>
            <w:r w:rsidRPr="00B6241C">
              <w:rPr>
                <w:rFonts w:ascii="Times New Roman" w:eastAsia="Times New Roman" w:hAnsi="Times New Roman" w:cs="Times New Roman"/>
                <w:sz w:val="24"/>
                <w:szCs w:val="24"/>
                <w:shd w:val="clear" w:color="auto" w:fill="FFFFFF"/>
                <w:lang w:eastAsia="lv-LV"/>
              </w:rPr>
              <w:t xml:space="preserve"> – </w:t>
            </w:r>
            <w:r w:rsidRPr="005425BB">
              <w:rPr>
                <w:rFonts w:ascii="Times New Roman" w:eastAsia="Times New Roman" w:hAnsi="Times New Roman" w:cs="Times New Roman"/>
                <w:sz w:val="24"/>
                <w:szCs w:val="24"/>
                <w:shd w:val="clear" w:color="auto" w:fill="FFFFFF"/>
                <w:lang w:eastAsia="lv-LV"/>
              </w:rPr>
              <w:t xml:space="preserve">Veselības </w:t>
            </w:r>
            <w:r w:rsidRPr="00404B33">
              <w:rPr>
                <w:rFonts w:ascii="Times New Roman" w:eastAsia="Times New Roman" w:hAnsi="Times New Roman" w:cs="Times New Roman"/>
                <w:sz w:val="24"/>
                <w:szCs w:val="24"/>
                <w:shd w:val="clear" w:color="auto" w:fill="FFFFFF"/>
                <w:lang w:eastAsia="lv-LV"/>
              </w:rPr>
              <w:t>ministrija 2020.gadā budžeta izpildes procesā iesniegs priekšlikumus apropriācijas pārdalei</w:t>
            </w:r>
            <w:r>
              <w:rPr>
                <w:rFonts w:ascii="Times New Roman" w:eastAsia="Times New Roman" w:hAnsi="Times New Roman" w:cs="Times New Roman"/>
                <w:sz w:val="24"/>
                <w:szCs w:val="24"/>
                <w:shd w:val="clear" w:color="auto" w:fill="FFFFFF"/>
                <w:lang w:eastAsia="lv-LV"/>
              </w:rPr>
              <w:t xml:space="preserve"> </w:t>
            </w:r>
            <w:r w:rsidRPr="00404B33">
              <w:rPr>
                <w:rFonts w:ascii="Times New Roman" w:eastAsia="Times New Roman" w:hAnsi="Times New Roman" w:cs="Times New Roman"/>
                <w:sz w:val="24"/>
                <w:szCs w:val="24"/>
                <w:shd w:val="clear" w:color="auto" w:fill="FFFFFF"/>
                <w:lang w:eastAsia="lv-LV"/>
              </w:rPr>
              <w:t>no Veselības ministrijas budžeta apakšprogrammas 33.16.00 “Pārējo ambulatoro veselības aprūpes pakalpojumu nodrošināšana” uz budžeta apakšprogrammu 02.04.00 “Rezidentu apmācība”</w:t>
            </w:r>
            <w:r>
              <w:rPr>
                <w:rFonts w:ascii="Times New Roman" w:eastAsia="Times New Roman" w:hAnsi="Times New Roman" w:cs="Times New Roman"/>
                <w:sz w:val="24"/>
                <w:szCs w:val="24"/>
                <w:shd w:val="clear" w:color="auto" w:fill="FFFFFF"/>
                <w:lang w:eastAsia="lv-LV"/>
              </w:rPr>
              <w:t>.</w:t>
            </w:r>
          </w:p>
          <w:p w:rsidR="005425BB" w:rsidRDefault="005425BB" w:rsidP="00EB13A2">
            <w:pPr>
              <w:tabs>
                <w:tab w:val="left" w:pos="976"/>
              </w:tabs>
              <w:ind w:right="109"/>
              <w:jc w:val="both"/>
              <w:rPr>
                <w:rFonts w:ascii="Times New Roman" w:eastAsia="Times New Roman" w:hAnsi="Times New Roman" w:cs="Times New Roman"/>
                <w:sz w:val="24"/>
                <w:szCs w:val="24"/>
                <w:shd w:val="clear" w:color="auto" w:fill="FFFFFF"/>
                <w:lang w:eastAsia="lv-LV"/>
              </w:rPr>
            </w:pPr>
            <w:r>
              <w:rPr>
                <w:rFonts w:ascii="Times New Roman" w:eastAsia="Times New Roman" w:hAnsi="Times New Roman" w:cs="Times New Roman"/>
                <w:sz w:val="24"/>
                <w:szCs w:val="24"/>
                <w:shd w:val="clear" w:color="auto" w:fill="FFFFFF"/>
                <w:lang w:eastAsia="lv-LV"/>
              </w:rPr>
              <w:t xml:space="preserve">No kopējā plānotā finansējuma  4 034 768 </w:t>
            </w:r>
            <w:proofErr w:type="spellStart"/>
            <w:r w:rsidRPr="00B6241C">
              <w:rPr>
                <w:rFonts w:ascii="Times New Roman" w:eastAsia="Times New Roman" w:hAnsi="Times New Roman" w:cs="Times New Roman"/>
                <w:i/>
                <w:sz w:val="24"/>
                <w:szCs w:val="24"/>
                <w:shd w:val="clear" w:color="auto" w:fill="FFFFFF"/>
                <w:lang w:eastAsia="lv-LV"/>
              </w:rPr>
              <w:t>euro</w:t>
            </w:r>
            <w:proofErr w:type="spellEnd"/>
            <w:r>
              <w:rPr>
                <w:rFonts w:ascii="Times New Roman" w:eastAsia="Times New Roman" w:hAnsi="Times New Roman" w:cs="Times New Roman"/>
                <w:sz w:val="24"/>
                <w:szCs w:val="24"/>
                <w:shd w:val="clear" w:color="auto" w:fill="FFFFFF"/>
                <w:lang w:eastAsia="lv-LV"/>
              </w:rPr>
              <w:t xml:space="preserve"> apmērā rezidentu darba samaksas pieaugumam, finansējums 1 671 236 </w:t>
            </w:r>
            <w:proofErr w:type="spellStart"/>
            <w:r w:rsidRPr="00393222">
              <w:rPr>
                <w:rFonts w:ascii="Times New Roman" w:eastAsia="Times New Roman" w:hAnsi="Times New Roman" w:cs="Times New Roman"/>
                <w:i/>
                <w:sz w:val="24"/>
                <w:szCs w:val="24"/>
                <w:shd w:val="clear" w:color="auto" w:fill="FFFFFF"/>
                <w:lang w:eastAsia="lv-LV"/>
              </w:rPr>
              <w:t>euro</w:t>
            </w:r>
            <w:proofErr w:type="spellEnd"/>
            <w:r>
              <w:rPr>
                <w:rFonts w:ascii="Times New Roman" w:eastAsia="Times New Roman" w:hAnsi="Times New Roman" w:cs="Times New Roman"/>
                <w:sz w:val="24"/>
                <w:szCs w:val="24"/>
                <w:shd w:val="clear" w:color="auto" w:fill="FFFFFF"/>
                <w:lang w:eastAsia="lv-LV"/>
              </w:rPr>
              <w:t xml:space="preserve"> apmērā tiks iekļauts </w:t>
            </w:r>
            <w:r w:rsidRPr="00B6241C">
              <w:rPr>
                <w:rFonts w:ascii="Times New Roman" w:eastAsia="Times New Roman" w:hAnsi="Times New Roman" w:cs="Times New Roman"/>
                <w:sz w:val="24"/>
                <w:szCs w:val="24"/>
                <w:shd w:val="clear" w:color="auto" w:fill="FFFFFF"/>
                <w:lang w:eastAsia="lv-LV"/>
              </w:rPr>
              <w:t>Ministru kabineta noteikumu “Grozījums Ministru kabineta 2018.gada 18.decembra noteikumos Nr.851 “Noteikumi par zemāko mēnešalgu un speciālo piemaksu veselības aprūpes jomā nodarbinātajiem”” projekta</w:t>
            </w:r>
            <w:r>
              <w:rPr>
                <w:rFonts w:ascii="Times New Roman" w:eastAsia="Times New Roman" w:hAnsi="Times New Roman" w:cs="Times New Roman"/>
                <w:sz w:val="24"/>
                <w:szCs w:val="24"/>
                <w:shd w:val="clear" w:color="auto" w:fill="FFFFFF"/>
                <w:lang w:eastAsia="lv-LV"/>
              </w:rPr>
              <w:t xml:space="preserve"> anotācijā, savukārt finansējums  2 363 532 </w:t>
            </w:r>
            <w:proofErr w:type="spellStart"/>
            <w:r w:rsidRPr="00393222">
              <w:rPr>
                <w:rFonts w:ascii="Times New Roman" w:eastAsia="Times New Roman" w:hAnsi="Times New Roman" w:cs="Times New Roman"/>
                <w:i/>
                <w:sz w:val="24"/>
                <w:szCs w:val="24"/>
                <w:shd w:val="clear" w:color="auto" w:fill="FFFFFF"/>
                <w:lang w:eastAsia="lv-LV"/>
              </w:rPr>
              <w:t>euro</w:t>
            </w:r>
            <w:proofErr w:type="spellEnd"/>
            <w:r>
              <w:rPr>
                <w:rFonts w:ascii="Times New Roman" w:eastAsia="Times New Roman" w:hAnsi="Times New Roman" w:cs="Times New Roman"/>
                <w:sz w:val="24"/>
                <w:szCs w:val="24"/>
                <w:shd w:val="clear" w:color="auto" w:fill="FFFFFF"/>
                <w:lang w:eastAsia="lv-LV"/>
              </w:rPr>
              <w:t xml:space="preserve"> apmērā </w:t>
            </w:r>
            <w:r w:rsidR="00F17C15">
              <w:rPr>
                <w:rFonts w:ascii="Times New Roman" w:eastAsia="Times New Roman" w:hAnsi="Times New Roman" w:cs="Times New Roman"/>
                <w:sz w:val="24"/>
                <w:szCs w:val="24"/>
                <w:shd w:val="clear" w:color="auto" w:fill="FFFFFF"/>
                <w:lang w:eastAsia="lv-LV"/>
              </w:rPr>
              <w:t>iekļauts šajā</w:t>
            </w:r>
            <w:r>
              <w:rPr>
                <w:rFonts w:ascii="Times New Roman" w:eastAsia="Times New Roman" w:hAnsi="Times New Roman" w:cs="Times New Roman"/>
                <w:sz w:val="24"/>
                <w:szCs w:val="24"/>
                <w:shd w:val="clear" w:color="auto" w:fill="FFFFFF"/>
                <w:lang w:eastAsia="lv-LV"/>
              </w:rPr>
              <w:t xml:space="preserve"> anotācijā.</w:t>
            </w:r>
            <w:r w:rsidR="00324389">
              <w:rPr>
                <w:rFonts w:ascii="Times New Roman" w:eastAsia="Times New Roman" w:hAnsi="Times New Roman" w:cs="Times New Roman"/>
                <w:sz w:val="24"/>
                <w:szCs w:val="24"/>
                <w:shd w:val="clear" w:color="auto" w:fill="FFFFFF"/>
                <w:lang w:eastAsia="lv-LV"/>
              </w:rPr>
              <w:t xml:space="preserve"> Līdz ar to finansiālā ietekme 2020.gadam šim noteikumu </w:t>
            </w:r>
            <w:r w:rsidR="00B17A1E">
              <w:rPr>
                <w:rFonts w:ascii="Times New Roman" w:eastAsia="Times New Roman" w:hAnsi="Times New Roman" w:cs="Times New Roman"/>
                <w:sz w:val="24"/>
                <w:szCs w:val="24"/>
                <w:shd w:val="clear" w:color="auto" w:fill="FFFFFF"/>
                <w:lang w:eastAsia="lv-LV"/>
              </w:rPr>
              <w:t>projektam</w:t>
            </w:r>
            <w:r w:rsidR="00324389">
              <w:rPr>
                <w:rFonts w:ascii="Times New Roman" w:eastAsia="Times New Roman" w:hAnsi="Times New Roman" w:cs="Times New Roman"/>
                <w:sz w:val="24"/>
                <w:szCs w:val="24"/>
                <w:shd w:val="clear" w:color="auto" w:fill="FFFFFF"/>
                <w:lang w:eastAsia="lv-LV"/>
              </w:rPr>
              <w:t xml:space="preserve"> ir 1 029 949 </w:t>
            </w:r>
            <w:proofErr w:type="spellStart"/>
            <w:r w:rsidR="00324389" w:rsidRPr="00B6241C">
              <w:rPr>
                <w:rFonts w:ascii="Times New Roman" w:eastAsia="Times New Roman" w:hAnsi="Times New Roman" w:cs="Times New Roman"/>
                <w:i/>
                <w:sz w:val="24"/>
                <w:szCs w:val="24"/>
                <w:shd w:val="clear" w:color="auto" w:fill="FFFFFF"/>
                <w:lang w:eastAsia="lv-LV"/>
              </w:rPr>
              <w:t>euro</w:t>
            </w:r>
            <w:proofErr w:type="spellEnd"/>
            <w:r w:rsidR="00324389">
              <w:rPr>
                <w:rFonts w:ascii="Times New Roman" w:eastAsia="Times New Roman" w:hAnsi="Times New Roman" w:cs="Times New Roman"/>
                <w:sz w:val="24"/>
                <w:szCs w:val="24"/>
                <w:shd w:val="clear" w:color="auto" w:fill="FFFFFF"/>
                <w:lang w:eastAsia="lv-LV"/>
              </w:rPr>
              <w:t xml:space="preserve"> (2 363 532</w:t>
            </w:r>
            <w:r w:rsidR="00324389" w:rsidRPr="00366506">
              <w:rPr>
                <w:rFonts w:ascii="Times New Roman" w:eastAsia="Times New Roman" w:hAnsi="Times New Roman" w:cs="Times New Roman"/>
                <w:i/>
                <w:sz w:val="24"/>
                <w:szCs w:val="24"/>
                <w:shd w:val="clear" w:color="auto" w:fill="FFFFFF"/>
                <w:lang w:eastAsia="lv-LV"/>
              </w:rPr>
              <w:t xml:space="preserve"> </w:t>
            </w:r>
            <w:proofErr w:type="spellStart"/>
            <w:r w:rsidR="00324389" w:rsidRPr="00366506">
              <w:rPr>
                <w:rFonts w:ascii="Times New Roman" w:eastAsia="Times New Roman" w:hAnsi="Times New Roman" w:cs="Times New Roman"/>
                <w:i/>
                <w:sz w:val="24"/>
                <w:szCs w:val="24"/>
                <w:shd w:val="clear" w:color="auto" w:fill="FFFFFF"/>
                <w:lang w:eastAsia="lv-LV"/>
              </w:rPr>
              <w:t>euro</w:t>
            </w:r>
            <w:proofErr w:type="spellEnd"/>
            <w:r w:rsidR="00324389">
              <w:rPr>
                <w:rFonts w:ascii="Times New Roman" w:eastAsia="Times New Roman" w:hAnsi="Times New Roman" w:cs="Times New Roman"/>
                <w:sz w:val="24"/>
                <w:szCs w:val="24"/>
                <w:shd w:val="clear" w:color="auto" w:fill="FFFFFF"/>
                <w:lang w:eastAsia="lv-LV"/>
              </w:rPr>
              <w:t xml:space="preserve"> -1 333 583</w:t>
            </w:r>
            <w:r w:rsidR="00324389" w:rsidRPr="00366506">
              <w:rPr>
                <w:rFonts w:ascii="Times New Roman" w:eastAsia="Times New Roman" w:hAnsi="Times New Roman" w:cs="Times New Roman"/>
                <w:i/>
                <w:sz w:val="24"/>
                <w:szCs w:val="24"/>
                <w:shd w:val="clear" w:color="auto" w:fill="FFFFFF"/>
                <w:lang w:eastAsia="lv-LV"/>
              </w:rPr>
              <w:t xml:space="preserve"> </w:t>
            </w:r>
            <w:proofErr w:type="spellStart"/>
            <w:r w:rsidR="00324389" w:rsidRPr="00366506">
              <w:rPr>
                <w:rFonts w:ascii="Times New Roman" w:eastAsia="Times New Roman" w:hAnsi="Times New Roman" w:cs="Times New Roman"/>
                <w:i/>
                <w:sz w:val="24"/>
                <w:szCs w:val="24"/>
                <w:shd w:val="clear" w:color="auto" w:fill="FFFFFF"/>
                <w:lang w:eastAsia="lv-LV"/>
              </w:rPr>
              <w:t>euro</w:t>
            </w:r>
            <w:proofErr w:type="spellEnd"/>
            <w:r w:rsidR="00324389">
              <w:rPr>
                <w:rFonts w:ascii="Times New Roman" w:eastAsia="Times New Roman" w:hAnsi="Times New Roman" w:cs="Times New Roman"/>
                <w:sz w:val="24"/>
                <w:szCs w:val="24"/>
                <w:shd w:val="clear" w:color="auto" w:fill="FFFFFF"/>
                <w:lang w:eastAsia="lv-LV"/>
              </w:rPr>
              <w:t>).</w:t>
            </w:r>
          </w:p>
          <w:p w:rsidR="00FE5C65" w:rsidRPr="00EB13A2" w:rsidRDefault="00FE5C65" w:rsidP="00EB13A2">
            <w:pPr>
              <w:tabs>
                <w:tab w:val="left" w:pos="976"/>
              </w:tabs>
              <w:ind w:right="109"/>
              <w:jc w:val="both"/>
              <w:rPr>
                <w:rFonts w:ascii="Times New Roman" w:eastAsia="Times New Roman" w:hAnsi="Times New Roman" w:cs="Times New Roman"/>
                <w:sz w:val="24"/>
                <w:szCs w:val="24"/>
                <w:shd w:val="clear" w:color="auto" w:fill="FFFFFF"/>
                <w:lang w:eastAsia="lv-LV"/>
              </w:rPr>
            </w:pPr>
          </w:p>
        </w:tc>
      </w:tr>
      <w:tr w:rsidR="00EF4F7D" w:rsidRPr="009A75D6" w:rsidTr="00576C3E">
        <w:tc>
          <w:tcPr>
            <w:tcW w:w="1985" w:type="dxa"/>
          </w:tcPr>
          <w:p w:rsidR="00EF4F7D" w:rsidRPr="00A5325C" w:rsidRDefault="00EF4F7D" w:rsidP="00EF4F7D">
            <w:pPr>
              <w:rPr>
                <w:rFonts w:ascii="Times New Roman" w:hAnsi="Times New Roman" w:cs="Times New Roman"/>
              </w:rPr>
            </w:pPr>
            <w:r w:rsidRPr="00A5325C">
              <w:rPr>
                <w:rFonts w:ascii="Times New Roman" w:hAnsi="Times New Roman" w:cs="Times New Roman"/>
              </w:rPr>
              <w:t>6.1. detalizēts ieņēmumu aprēķins</w:t>
            </w:r>
          </w:p>
        </w:tc>
        <w:tc>
          <w:tcPr>
            <w:tcW w:w="8224" w:type="dxa"/>
            <w:gridSpan w:val="7"/>
            <w:vMerge/>
          </w:tcPr>
          <w:p w:rsidR="00EF4F7D" w:rsidRPr="00784065" w:rsidRDefault="00EF4F7D" w:rsidP="00EF4F7D">
            <w:pPr>
              <w:pStyle w:val="tvhtml"/>
              <w:spacing w:before="0" w:beforeAutospacing="0" w:after="0" w:afterAutospacing="0" w:line="293" w:lineRule="atLeast"/>
              <w:jc w:val="center"/>
              <w:rPr>
                <w:highlight w:val="yellow"/>
              </w:rPr>
            </w:pPr>
          </w:p>
        </w:tc>
      </w:tr>
      <w:tr w:rsidR="00EF4F7D" w:rsidRPr="009A75D6" w:rsidTr="00576C3E">
        <w:tc>
          <w:tcPr>
            <w:tcW w:w="1985" w:type="dxa"/>
          </w:tcPr>
          <w:p w:rsidR="00EF4F7D" w:rsidRPr="00A5325C" w:rsidRDefault="00EF4F7D" w:rsidP="00EF4F7D">
            <w:pPr>
              <w:rPr>
                <w:rFonts w:ascii="Times New Roman" w:hAnsi="Times New Roman" w:cs="Times New Roman"/>
              </w:rPr>
            </w:pPr>
            <w:r w:rsidRPr="00A5325C">
              <w:rPr>
                <w:rFonts w:ascii="Times New Roman" w:hAnsi="Times New Roman" w:cs="Times New Roman"/>
              </w:rPr>
              <w:t>6.2. detalizēts izdevumu aprēķins</w:t>
            </w:r>
          </w:p>
        </w:tc>
        <w:tc>
          <w:tcPr>
            <w:tcW w:w="8224" w:type="dxa"/>
            <w:gridSpan w:val="7"/>
            <w:vMerge/>
          </w:tcPr>
          <w:p w:rsidR="00EF4F7D" w:rsidRPr="00784065" w:rsidRDefault="00EF4F7D" w:rsidP="00EF4F7D">
            <w:pPr>
              <w:pStyle w:val="tvhtml"/>
              <w:spacing w:before="0" w:beforeAutospacing="0" w:after="0" w:afterAutospacing="0" w:line="293" w:lineRule="atLeast"/>
              <w:jc w:val="center"/>
              <w:rPr>
                <w:highlight w:val="yellow"/>
              </w:rPr>
            </w:pPr>
          </w:p>
        </w:tc>
      </w:tr>
      <w:tr w:rsidR="00EF4F7D" w:rsidRPr="009A75D6" w:rsidTr="00576C3E">
        <w:tc>
          <w:tcPr>
            <w:tcW w:w="1985" w:type="dxa"/>
          </w:tcPr>
          <w:p w:rsidR="00EF4F7D" w:rsidRPr="00A5325C" w:rsidRDefault="00EF4F7D" w:rsidP="00EF4F7D">
            <w:pPr>
              <w:rPr>
                <w:rFonts w:ascii="Times New Roman" w:hAnsi="Times New Roman" w:cs="Times New Roman"/>
              </w:rPr>
            </w:pPr>
            <w:r w:rsidRPr="00A5325C">
              <w:rPr>
                <w:rFonts w:ascii="Times New Roman" w:hAnsi="Times New Roman" w:cs="Times New Roman"/>
              </w:rPr>
              <w:lastRenderedPageBreak/>
              <w:t>7. Amata vietu skaita</w:t>
            </w:r>
          </w:p>
          <w:p w:rsidR="00EF4F7D" w:rsidRPr="00A5325C" w:rsidRDefault="00EF4F7D" w:rsidP="00EF4F7D">
            <w:pPr>
              <w:rPr>
                <w:rFonts w:ascii="Times New Roman" w:hAnsi="Times New Roman" w:cs="Times New Roman"/>
              </w:rPr>
            </w:pPr>
            <w:r w:rsidRPr="00A5325C">
              <w:rPr>
                <w:rFonts w:ascii="Times New Roman" w:hAnsi="Times New Roman" w:cs="Times New Roman"/>
              </w:rPr>
              <w:t>izmaiņas</w:t>
            </w:r>
          </w:p>
        </w:tc>
        <w:tc>
          <w:tcPr>
            <w:tcW w:w="8224" w:type="dxa"/>
            <w:gridSpan w:val="7"/>
          </w:tcPr>
          <w:p w:rsidR="00EF4F7D" w:rsidRPr="00DA3082" w:rsidRDefault="00EF4F7D" w:rsidP="00EF4F7D">
            <w:pPr>
              <w:pStyle w:val="tvhtml"/>
              <w:spacing w:before="0" w:beforeAutospacing="0" w:after="0" w:afterAutospacing="0" w:line="293" w:lineRule="atLeast"/>
              <w:jc w:val="both"/>
            </w:pPr>
            <w:r>
              <w:t>Nav</w:t>
            </w:r>
          </w:p>
        </w:tc>
      </w:tr>
      <w:tr w:rsidR="00EF4F7D" w:rsidRPr="009A75D6" w:rsidTr="00576C3E">
        <w:trPr>
          <w:trHeight w:val="555"/>
        </w:trPr>
        <w:tc>
          <w:tcPr>
            <w:tcW w:w="1985" w:type="dxa"/>
            <w:hideMark/>
          </w:tcPr>
          <w:p w:rsidR="00EF4F7D" w:rsidRPr="00A5325C" w:rsidRDefault="00EF4F7D" w:rsidP="00EF4F7D">
            <w:pPr>
              <w:rPr>
                <w:rFonts w:ascii="Times New Roman" w:hAnsi="Times New Roman" w:cs="Times New Roman"/>
              </w:rPr>
            </w:pPr>
            <w:r w:rsidRPr="00A5325C">
              <w:rPr>
                <w:rFonts w:ascii="Times New Roman" w:hAnsi="Times New Roman" w:cs="Times New Roman"/>
              </w:rPr>
              <w:lastRenderedPageBreak/>
              <w:t>8. Cita informācija</w:t>
            </w:r>
          </w:p>
        </w:tc>
        <w:tc>
          <w:tcPr>
            <w:tcW w:w="8224" w:type="dxa"/>
            <w:gridSpan w:val="7"/>
            <w:hideMark/>
          </w:tcPr>
          <w:p w:rsidR="00A06D88" w:rsidRPr="00404B33" w:rsidRDefault="00A06D88" w:rsidP="00A06D88">
            <w:pPr>
              <w:ind w:right="4"/>
              <w:jc w:val="both"/>
              <w:rPr>
                <w:rFonts w:ascii="Times New Roman" w:eastAsia="Times New Roman" w:hAnsi="Times New Roman" w:cs="Times New Roman"/>
                <w:sz w:val="24"/>
                <w:szCs w:val="24"/>
                <w:lang w:eastAsia="lv-LV"/>
              </w:rPr>
            </w:pPr>
            <w:r w:rsidRPr="00404B33">
              <w:rPr>
                <w:rFonts w:ascii="Times New Roman" w:eastAsia="Times New Roman" w:hAnsi="Times New Roman" w:cs="Times New Roman"/>
                <w:sz w:val="24"/>
                <w:szCs w:val="24"/>
                <w:lang w:eastAsia="lv-LV"/>
              </w:rPr>
              <w:t xml:space="preserve">Jautājumu par papildus nepieciešamo finansējumu no 2021.gada un turpmāk ik gadu </w:t>
            </w:r>
            <w:r w:rsidR="0073109F">
              <w:rPr>
                <w:rFonts w:ascii="Times New Roman" w:eastAsia="Times New Roman" w:hAnsi="Times New Roman" w:cs="Times New Roman"/>
                <w:sz w:val="24"/>
                <w:szCs w:val="24"/>
                <w:shd w:val="clear" w:color="auto" w:fill="FFFFFF"/>
                <w:lang w:eastAsia="lv-LV"/>
              </w:rPr>
              <w:t xml:space="preserve">2 363 532 </w:t>
            </w:r>
            <w:proofErr w:type="spellStart"/>
            <w:r w:rsidRPr="00404B33">
              <w:rPr>
                <w:rFonts w:ascii="Times New Roman" w:eastAsia="Times New Roman" w:hAnsi="Times New Roman" w:cs="Times New Roman"/>
                <w:i/>
                <w:sz w:val="24"/>
                <w:szCs w:val="24"/>
                <w:lang w:eastAsia="lv-LV"/>
              </w:rPr>
              <w:t>euro</w:t>
            </w:r>
            <w:proofErr w:type="spellEnd"/>
            <w:r w:rsidRPr="00404B33">
              <w:rPr>
                <w:rFonts w:ascii="Times New Roman" w:eastAsia="Times New Roman" w:hAnsi="Times New Roman" w:cs="Times New Roman"/>
                <w:sz w:val="24"/>
                <w:szCs w:val="24"/>
                <w:lang w:eastAsia="lv-LV"/>
              </w:rPr>
              <w:t xml:space="preserve"> apmērā </w:t>
            </w:r>
            <w:r>
              <w:rPr>
                <w:rFonts w:ascii="Times New Roman" w:eastAsia="Times New Roman" w:hAnsi="Times New Roman" w:cs="Times New Roman"/>
                <w:sz w:val="24"/>
                <w:szCs w:val="24"/>
                <w:lang w:eastAsia="lv-LV"/>
              </w:rPr>
              <w:t>rezidentu</w:t>
            </w:r>
            <w:r w:rsidRPr="00404B33">
              <w:rPr>
                <w:rFonts w:ascii="Times New Roman" w:eastAsia="Times New Roman" w:hAnsi="Times New Roman" w:cs="Times New Roman"/>
                <w:sz w:val="24"/>
                <w:szCs w:val="24"/>
                <w:lang w:eastAsia="lv-LV"/>
              </w:rPr>
              <w:t xml:space="preserve"> darba samaksas pieauguma nodrošināšanai 2020.gada līmenī Veselības ministrija</w:t>
            </w:r>
            <w:r>
              <w:rPr>
                <w:rFonts w:ascii="Times New Roman" w:eastAsia="Times New Roman" w:hAnsi="Times New Roman" w:cs="Times New Roman"/>
                <w:sz w:val="24"/>
                <w:szCs w:val="24"/>
                <w:lang w:eastAsia="lv-LV"/>
              </w:rPr>
              <w:t xml:space="preserve"> iekļaus starpnozaru prioritārajā pasākumā “</w:t>
            </w:r>
            <w:r w:rsidRPr="0073754F">
              <w:rPr>
                <w:rFonts w:ascii="Times New Roman" w:eastAsia="Times New Roman" w:hAnsi="Times New Roman" w:cs="Times New Roman"/>
                <w:sz w:val="24"/>
                <w:szCs w:val="24"/>
                <w:lang w:eastAsia="lv-LV"/>
              </w:rPr>
              <w:t>Ārstniecības personu darba samaksas pieauguma nodrošināšana</w:t>
            </w:r>
            <w:r>
              <w:rPr>
                <w:rFonts w:ascii="Times New Roman" w:eastAsia="Times New Roman" w:hAnsi="Times New Roman" w:cs="Times New Roman"/>
                <w:sz w:val="24"/>
                <w:szCs w:val="24"/>
                <w:lang w:eastAsia="lv-LV"/>
              </w:rPr>
              <w:t xml:space="preserve">”, kuru </w:t>
            </w:r>
            <w:r w:rsidRPr="00404B33">
              <w:rPr>
                <w:rFonts w:ascii="Times New Roman" w:eastAsia="Times New Roman" w:hAnsi="Times New Roman" w:cs="Times New Roman"/>
                <w:sz w:val="24"/>
                <w:szCs w:val="24"/>
                <w:lang w:eastAsia="lv-LV"/>
              </w:rPr>
              <w:t>virzīs izskatīšanai Ministru kabinetā likumprojekta “Par vidējā termiņa budžeta ietvaru 2021., 2022. un 2023.gadam” un likumprojekta “Par valsts budžetu 2021. gadam” sagatavošanas procesā.</w:t>
            </w:r>
          </w:p>
          <w:p w:rsidR="00EF4F7D" w:rsidRPr="007B1772" w:rsidRDefault="00A06D88" w:rsidP="0073109F">
            <w:pPr>
              <w:ind w:right="35"/>
              <w:jc w:val="both"/>
              <w:rPr>
                <w:rFonts w:ascii="Times New Roman" w:hAnsi="Times New Roman" w:cs="Times New Roman"/>
                <w:color w:val="2A2A2A"/>
                <w:sz w:val="24"/>
                <w:szCs w:val="24"/>
                <w:shd w:val="clear" w:color="auto" w:fill="FFFFFF"/>
              </w:rPr>
            </w:pPr>
            <w:bookmarkStart w:id="3" w:name="_Hlk24098782"/>
            <w:r w:rsidRPr="00404B33">
              <w:rPr>
                <w:rFonts w:ascii="Times New Roman" w:eastAsia="Times New Roman" w:hAnsi="Times New Roman" w:cs="Times New Roman"/>
                <w:sz w:val="24"/>
                <w:szCs w:val="24"/>
                <w:shd w:val="clear" w:color="auto" w:fill="FFFFFF"/>
                <w:lang w:eastAsia="lv-LV"/>
              </w:rPr>
              <w:t>Veselības ministrija 2020.gadā budžeta izpildes procesā iesniegs priekšlikumus apropriācijas pārdalei 1 333 583</w:t>
            </w:r>
            <w:r w:rsidRPr="00404B33">
              <w:rPr>
                <w:rFonts w:ascii="Times New Roman" w:eastAsia="Times New Roman" w:hAnsi="Times New Roman" w:cs="Times New Roman"/>
                <w:i/>
                <w:sz w:val="24"/>
                <w:szCs w:val="24"/>
                <w:shd w:val="clear" w:color="auto" w:fill="FFFFFF"/>
                <w:lang w:eastAsia="lv-LV"/>
              </w:rPr>
              <w:t xml:space="preserve"> </w:t>
            </w:r>
            <w:proofErr w:type="spellStart"/>
            <w:r w:rsidRPr="00404B33">
              <w:rPr>
                <w:rFonts w:ascii="Times New Roman" w:eastAsia="Times New Roman" w:hAnsi="Times New Roman" w:cs="Times New Roman"/>
                <w:i/>
                <w:sz w:val="24"/>
                <w:szCs w:val="24"/>
                <w:shd w:val="clear" w:color="auto" w:fill="FFFFFF"/>
                <w:lang w:eastAsia="lv-LV"/>
              </w:rPr>
              <w:t>euro</w:t>
            </w:r>
            <w:proofErr w:type="spellEnd"/>
            <w:r w:rsidRPr="00404B33">
              <w:rPr>
                <w:rFonts w:ascii="Times New Roman" w:eastAsia="Times New Roman" w:hAnsi="Times New Roman" w:cs="Times New Roman"/>
                <w:sz w:val="24"/>
                <w:szCs w:val="24"/>
                <w:shd w:val="clear" w:color="auto" w:fill="FFFFFF"/>
                <w:lang w:eastAsia="lv-LV"/>
              </w:rPr>
              <w:t xml:space="preserve"> apmērā no Veselības ministrijas budžeta apakšprogrammas 33.16.00 “Pārējo ambulatoro veselības aprūpes pakalpojumu nodrošināšana” uz budžeta apakšprogrammu 02.04.00 “Rezidentu apmācība”, lai</w:t>
            </w:r>
            <w:r w:rsidRPr="00404B33">
              <w:rPr>
                <w:rFonts w:ascii="Times New Roman" w:eastAsia="Times New Roman" w:hAnsi="Times New Roman" w:cs="Times New Roman"/>
                <w:bCs/>
                <w:noProof/>
                <w:sz w:val="24"/>
                <w:szCs w:val="24"/>
                <w:lang w:eastAsia="lv-LV"/>
              </w:rPr>
              <w:t xml:space="preserve"> nodrošinātu finansējumu pilnā apjomā rezidentu darba samaksas pieaugumam 20% apmērā.</w:t>
            </w:r>
            <w:r w:rsidRPr="00404B33">
              <w:rPr>
                <w:rFonts w:ascii="Times New Roman" w:eastAsia="Times New Roman" w:hAnsi="Times New Roman" w:cs="Times New Roman"/>
                <w:sz w:val="24"/>
                <w:szCs w:val="24"/>
                <w:shd w:val="clear" w:color="auto" w:fill="FFFFFF"/>
                <w:lang w:eastAsia="lv-LV"/>
              </w:rPr>
              <w:t>.</w:t>
            </w:r>
            <w:bookmarkEnd w:id="3"/>
          </w:p>
        </w:tc>
      </w:tr>
    </w:tbl>
    <w:p w:rsidR="00A5325C" w:rsidRDefault="00A5325C" w:rsidP="00152DE2">
      <w:pPr>
        <w:shd w:val="clear" w:color="auto" w:fill="FFFFFF"/>
        <w:spacing w:after="0" w:line="240" w:lineRule="auto"/>
        <w:rPr>
          <w:rFonts w:ascii="Times New Roman" w:eastAsia="Times New Roman" w:hAnsi="Times New Roman" w:cs="Times New Roman"/>
          <w:color w:val="414142"/>
          <w:sz w:val="24"/>
          <w:szCs w:val="24"/>
          <w:lang w:eastAsia="lv-LV"/>
        </w:rPr>
      </w:pPr>
    </w:p>
    <w:p w:rsidR="00344B1F" w:rsidRDefault="00344B1F" w:rsidP="00344B1F">
      <w:pPr>
        <w:spacing w:after="0" w:line="240" w:lineRule="auto"/>
        <w:rPr>
          <w:rFonts w:ascii="Times New Roman" w:hAnsi="Times New Roman" w:cs="Times New Roman"/>
          <w:iCs/>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701"/>
        <w:gridCol w:w="7086"/>
      </w:tblGrid>
      <w:tr w:rsidR="00175CE3" w:rsidTr="00FC7224">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75CE3" w:rsidRPr="003429ED" w:rsidRDefault="00175CE3" w:rsidP="00175CE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bookmarkStart w:id="4" w:name="_Hlk534193596"/>
            <w:r w:rsidRPr="00D65789">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75CE3" w:rsidTr="00FC7224">
        <w:trPr>
          <w:trHeight w:val="432"/>
          <w:jc w:val="center"/>
        </w:trPr>
        <w:tc>
          <w:tcPr>
            <w:tcW w:w="227" w:type="pct"/>
            <w:tcBorders>
              <w:top w:val="outset" w:sz="6" w:space="0" w:color="414142"/>
              <w:left w:val="outset" w:sz="6" w:space="0" w:color="414142"/>
              <w:bottom w:val="outset" w:sz="6" w:space="0" w:color="414142"/>
              <w:right w:val="outset" w:sz="6" w:space="0" w:color="414142"/>
            </w:tcBorders>
            <w:hideMark/>
          </w:tcPr>
          <w:p w:rsidR="00175CE3" w:rsidRPr="003429ED" w:rsidRDefault="00175CE3" w:rsidP="00175CE3">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924" w:type="pct"/>
            <w:tcBorders>
              <w:top w:val="outset" w:sz="6" w:space="0" w:color="414142"/>
              <w:left w:val="outset" w:sz="6" w:space="0" w:color="414142"/>
              <w:bottom w:val="outset" w:sz="6" w:space="0" w:color="414142"/>
              <w:right w:val="outset" w:sz="6" w:space="0" w:color="414142"/>
            </w:tcBorders>
            <w:hideMark/>
          </w:tcPr>
          <w:p w:rsidR="00175CE3" w:rsidRPr="003429ED" w:rsidRDefault="00175CE3" w:rsidP="00175CE3">
            <w:pPr>
              <w:spacing w:after="0" w:line="240" w:lineRule="auto"/>
              <w:rPr>
                <w:rFonts w:ascii="Times New Roman" w:eastAsia="Times New Roman" w:hAnsi="Times New Roman" w:cs="Times New Roman"/>
                <w:sz w:val="24"/>
                <w:szCs w:val="24"/>
                <w:lang w:eastAsia="lv-LV"/>
              </w:rPr>
            </w:pPr>
            <w:r w:rsidRPr="00003988">
              <w:rPr>
                <w:rFonts w:ascii="Times New Roman" w:eastAsia="Times New Roman" w:hAnsi="Times New Roman" w:cs="Times New Roman"/>
                <w:iCs/>
                <w:sz w:val="24"/>
                <w:szCs w:val="24"/>
                <w:lang w:eastAsia="lv-LV"/>
              </w:rPr>
              <w:t>Saistītie tiesību aktu projekti</w:t>
            </w:r>
          </w:p>
        </w:tc>
        <w:tc>
          <w:tcPr>
            <w:tcW w:w="3849" w:type="pct"/>
            <w:tcBorders>
              <w:top w:val="outset" w:sz="6" w:space="0" w:color="414142"/>
              <w:left w:val="outset" w:sz="6" w:space="0" w:color="414142"/>
              <w:bottom w:val="outset" w:sz="6" w:space="0" w:color="414142"/>
              <w:right w:val="outset" w:sz="6" w:space="0" w:color="414142"/>
            </w:tcBorders>
          </w:tcPr>
          <w:p w:rsidR="00175CE3" w:rsidRPr="006622EB" w:rsidRDefault="0079116B" w:rsidP="006622EB">
            <w:pPr>
              <w:spacing w:after="0" w:line="240" w:lineRule="auto"/>
              <w:ind w:left="118" w:right="123"/>
              <w:jc w:val="both"/>
              <w:rPr>
                <w:rFonts w:ascii="Times New Roman" w:eastAsia="Verdana" w:hAnsi="Times New Roman" w:cs="Times New Roman"/>
                <w:kern w:val="24"/>
                <w:sz w:val="24"/>
                <w:szCs w:val="24"/>
              </w:rPr>
            </w:pPr>
            <w:r>
              <w:rPr>
                <w:rFonts w:ascii="Times New Roman" w:hAnsi="Times New Roman" w:cs="Times New Roman"/>
                <w:sz w:val="24"/>
                <w:szCs w:val="24"/>
              </w:rPr>
              <w:t>V</w:t>
            </w:r>
            <w:r w:rsidR="00E47C6E" w:rsidRPr="00E47C6E">
              <w:rPr>
                <w:rFonts w:ascii="Times New Roman" w:hAnsi="Times New Roman" w:cs="Times New Roman"/>
                <w:sz w:val="24"/>
                <w:szCs w:val="24"/>
              </w:rPr>
              <w:t>ienlaicīgi tiek izstrādāti grozījumi Ministru kabineta 2018.gada 28.augusta noteikumos Nr.555 “Veselības aprūpes pakalpojumu organizēšanas un samaksas kārtība”, nosakot izmaiņas veselības aprūpes pakalpojumu tarifos</w:t>
            </w:r>
            <w:r w:rsidR="00E47C6E" w:rsidRPr="00E47C6E">
              <w:rPr>
                <w:rFonts w:ascii="Times New Roman" w:hAnsi="Times New Roman" w:cs="Times New Roman"/>
                <w:sz w:val="24"/>
                <w:szCs w:val="24"/>
                <w:shd w:val="clear" w:color="auto" w:fill="FFFFFF"/>
              </w:rPr>
              <w:t>, lai realizētu noteikumos paredzēto ārstniecības personu mēnešalgas palielinājumu un turpinātu sekmēt reformu ietvaros pakalpojumu pieejamības un kvalitātes uzlabošanos,</w:t>
            </w:r>
            <w:r w:rsidR="00E47C6E" w:rsidRPr="00E47C6E">
              <w:rPr>
                <w:rFonts w:ascii="Times New Roman" w:hAnsi="Times New Roman" w:cs="Times New Roman"/>
                <w:sz w:val="24"/>
                <w:szCs w:val="24"/>
              </w:rPr>
              <w:t xml:space="preserve"> palielinot noteikto vidējo darba samaksu mēnesī par 10%, </w:t>
            </w:r>
            <w:r w:rsidR="00E47C6E" w:rsidRPr="00E47C6E">
              <w:rPr>
                <w:rFonts w:ascii="Times New Roman" w:hAnsi="Times New Roman" w:cs="Times New Roman"/>
                <w:sz w:val="24"/>
                <w:szCs w:val="24"/>
                <w:shd w:val="clear" w:color="auto" w:fill="FFFFFF"/>
              </w:rPr>
              <w:t xml:space="preserve"> un</w:t>
            </w:r>
            <w:r w:rsidR="00E47C6E" w:rsidRPr="00E47C6E">
              <w:rPr>
                <w:rFonts w:ascii="Times New Roman" w:eastAsia="Verdana" w:hAnsi="Times New Roman" w:cs="Times New Roman"/>
                <w:kern w:val="24"/>
                <w:sz w:val="24"/>
                <w:szCs w:val="24"/>
              </w:rPr>
              <w:t xml:space="preserve"> grozījumi Ministru kabineta 201</w:t>
            </w:r>
            <w:r w:rsidR="00451015">
              <w:rPr>
                <w:rFonts w:ascii="Times New Roman" w:eastAsia="Verdana" w:hAnsi="Times New Roman" w:cs="Times New Roman"/>
                <w:kern w:val="24"/>
                <w:sz w:val="24"/>
                <w:szCs w:val="24"/>
              </w:rPr>
              <w:t>8</w:t>
            </w:r>
            <w:r w:rsidR="00E47C6E" w:rsidRPr="00E47C6E">
              <w:rPr>
                <w:rFonts w:ascii="Times New Roman" w:eastAsia="Verdana" w:hAnsi="Times New Roman" w:cs="Times New Roman"/>
                <w:kern w:val="24"/>
                <w:sz w:val="24"/>
                <w:szCs w:val="24"/>
              </w:rPr>
              <w:t xml:space="preserve">.gada </w:t>
            </w:r>
            <w:r w:rsidR="00451015">
              <w:rPr>
                <w:rFonts w:ascii="Times New Roman" w:eastAsia="Verdana" w:hAnsi="Times New Roman" w:cs="Times New Roman"/>
                <w:kern w:val="24"/>
                <w:sz w:val="24"/>
                <w:szCs w:val="24"/>
              </w:rPr>
              <w:t>18</w:t>
            </w:r>
            <w:r w:rsidR="00E47C6E" w:rsidRPr="00E47C6E">
              <w:rPr>
                <w:rFonts w:ascii="Times New Roman" w:eastAsia="Verdana" w:hAnsi="Times New Roman" w:cs="Times New Roman"/>
                <w:kern w:val="24"/>
                <w:sz w:val="24"/>
                <w:szCs w:val="24"/>
              </w:rPr>
              <w:t>.</w:t>
            </w:r>
            <w:r w:rsidR="00451015">
              <w:rPr>
                <w:rFonts w:ascii="Times New Roman" w:eastAsia="Verdana" w:hAnsi="Times New Roman" w:cs="Times New Roman"/>
                <w:kern w:val="24"/>
                <w:sz w:val="24"/>
                <w:szCs w:val="24"/>
              </w:rPr>
              <w:t>decembra</w:t>
            </w:r>
            <w:r w:rsidR="00E47C6E" w:rsidRPr="00E47C6E">
              <w:rPr>
                <w:rFonts w:ascii="Times New Roman" w:eastAsia="Verdana" w:hAnsi="Times New Roman" w:cs="Times New Roman"/>
                <w:kern w:val="24"/>
                <w:sz w:val="24"/>
                <w:szCs w:val="24"/>
              </w:rPr>
              <w:t xml:space="preserve"> noteikumos Nr.</w:t>
            </w:r>
            <w:r w:rsidR="00451015">
              <w:rPr>
                <w:rFonts w:ascii="Times New Roman" w:eastAsia="Verdana" w:hAnsi="Times New Roman" w:cs="Times New Roman"/>
                <w:kern w:val="24"/>
                <w:sz w:val="24"/>
                <w:szCs w:val="24"/>
              </w:rPr>
              <w:t>851</w:t>
            </w:r>
            <w:r w:rsidR="00E47C6E" w:rsidRPr="00E47C6E">
              <w:rPr>
                <w:rFonts w:ascii="Times New Roman" w:eastAsia="Verdana" w:hAnsi="Times New Roman" w:cs="Times New Roman"/>
                <w:kern w:val="24"/>
                <w:sz w:val="24"/>
                <w:szCs w:val="24"/>
              </w:rPr>
              <w:t xml:space="preserve"> “</w:t>
            </w:r>
            <w:r w:rsidR="006622EB">
              <w:rPr>
                <w:rFonts w:ascii="Times New Roman" w:eastAsia="Verdana" w:hAnsi="Times New Roman" w:cs="Times New Roman"/>
                <w:kern w:val="24"/>
                <w:sz w:val="24"/>
                <w:szCs w:val="24"/>
              </w:rPr>
              <w:t>Noteikumi par zemāko mēnešalgu un speciālo piemaksu veselības  aprūpes jomā nodarbinātajiem</w:t>
            </w:r>
            <w:r w:rsidR="00E47C6E" w:rsidRPr="00E47C6E">
              <w:rPr>
                <w:rFonts w:ascii="Times New Roman" w:eastAsia="Verdana" w:hAnsi="Times New Roman" w:cs="Times New Roman"/>
                <w:kern w:val="24"/>
                <w:sz w:val="24"/>
                <w:szCs w:val="24"/>
              </w:rPr>
              <w:t>”, lai</w:t>
            </w:r>
            <w:r w:rsidR="006622EB">
              <w:rPr>
                <w:rFonts w:ascii="Times New Roman" w:eastAsia="Verdana" w:hAnsi="Times New Roman" w:cs="Times New Roman"/>
                <w:kern w:val="24"/>
                <w:sz w:val="24"/>
                <w:szCs w:val="24"/>
              </w:rPr>
              <w:t xml:space="preserve"> realizētu ārstniecības personu minimālās mēnešalgas izmaiņas.</w:t>
            </w:r>
          </w:p>
        </w:tc>
      </w:tr>
      <w:tr w:rsidR="00175CE3" w:rsidTr="00FC7224">
        <w:trPr>
          <w:trHeight w:val="264"/>
          <w:jc w:val="center"/>
        </w:trPr>
        <w:tc>
          <w:tcPr>
            <w:tcW w:w="227" w:type="pct"/>
            <w:tcBorders>
              <w:top w:val="outset" w:sz="6" w:space="0" w:color="414142"/>
              <w:left w:val="outset" w:sz="6" w:space="0" w:color="414142"/>
              <w:bottom w:val="outset" w:sz="6" w:space="0" w:color="414142"/>
              <w:right w:val="outset" w:sz="6" w:space="0" w:color="414142"/>
            </w:tcBorders>
            <w:hideMark/>
          </w:tcPr>
          <w:p w:rsidR="00175CE3" w:rsidRPr="003429ED" w:rsidRDefault="00175CE3" w:rsidP="00175CE3">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924" w:type="pct"/>
            <w:tcBorders>
              <w:top w:val="outset" w:sz="6" w:space="0" w:color="414142"/>
              <w:left w:val="outset" w:sz="6" w:space="0" w:color="414142"/>
              <w:bottom w:val="outset" w:sz="6" w:space="0" w:color="414142"/>
              <w:right w:val="outset" w:sz="6" w:space="0" w:color="414142"/>
            </w:tcBorders>
            <w:hideMark/>
          </w:tcPr>
          <w:p w:rsidR="00175CE3" w:rsidRPr="003429ED" w:rsidRDefault="00175CE3" w:rsidP="00175C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institūcija</w:t>
            </w:r>
          </w:p>
        </w:tc>
        <w:tc>
          <w:tcPr>
            <w:tcW w:w="3849" w:type="pct"/>
            <w:tcBorders>
              <w:top w:val="outset" w:sz="6" w:space="0" w:color="414142"/>
              <w:left w:val="outset" w:sz="6" w:space="0" w:color="414142"/>
              <w:bottom w:val="outset" w:sz="6" w:space="0" w:color="414142"/>
              <w:right w:val="outset" w:sz="6" w:space="0" w:color="414142"/>
            </w:tcBorders>
          </w:tcPr>
          <w:p w:rsidR="00175CE3" w:rsidRPr="002B1945" w:rsidRDefault="00175CE3" w:rsidP="00175CE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Veselības ministrija</w:t>
            </w:r>
          </w:p>
        </w:tc>
      </w:tr>
      <w:tr w:rsidR="00175CE3" w:rsidTr="00FC7224">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rsidR="00175CE3" w:rsidRPr="003429ED" w:rsidRDefault="00175CE3" w:rsidP="00175C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3429ED">
              <w:rPr>
                <w:rFonts w:ascii="Times New Roman" w:eastAsia="Times New Roman" w:hAnsi="Times New Roman" w:cs="Times New Roman"/>
                <w:sz w:val="24"/>
                <w:szCs w:val="24"/>
                <w:lang w:eastAsia="lv-LV"/>
              </w:rPr>
              <w:t>.</w:t>
            </w:r>
          </w:p>
        </w:tc>
        <w:tc>
          <w:tcPr>
            <w:tcW w:w="924" w:type="pct"/>
            <w:tcBorders>
              <w:top w:val="outset" w:sz="6" w:space="0" w:color="414142"/>
              <w:left w:val="outset" w:sz="6" w:space="0" w:color="414142"/>
              <w:bottom w:val="outset" w:sz="6" w:space="0" w:color="414142"/>
              <w:right w:val="outset" w:sz="6" w:space="0" w:color="414142"/>
            </w:tcBorders>
            <w:hideMark/>
          </w:tcPr>
          <w:p w:rsidR="00175CE3" w:rsidRPr="003429ED" w:rsidRDefault="00175CE3" w:rsidP="00175CE3">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849" w:type="pct"/>
            <w:tcBorders>
              <w:top w:val="outset" w:sz="6" w:space="0" w:color="414142"/>
              <w:left w:val="outset" w:sz="6" w:space="0" w:color="414142"/>
              <w:bottom w:val="outset" w:sz="6" w:space="0" w:color="414142"/>
              <w:right w:val="outset" w:sz="6" w:space="0" w:color="414142"/>
            </w:tcBorders>
            <w:hideMark/>
          </w:tcPr>
          <w:p w:rsidR="00175CE3" w:rsidRPr="002B1945" w:rsidRDefault="00175CE3" w:rsidP="00175CE3">
            <w:pPr>
              <w:spacing w:after="0" w:line="240" w:lineRule="auto"/>
              <w:rPr>
                <w:rFonts w:ascii="Times New Roman" w:eastAsia="Times New Roman" w:hAnsi="Times New Roman" w:cs="Times New Roman"/>
                <w:sz w:val="24"/>
                <w:szCs w:val="24"/>
                <w:lang w:eastAsia="lv-LV"/>
              </w:rPr>
            </w:pPr>
            <w:r w:rsidRPr="002B1945">
              <w:rPr>
                <w:rFonts w:ascii="Times New Roman" w:eastAsia="Times New Roman" w:hAnsi="Times New Roman" w:cs="Times New Roman"/>
                <w:sz w:val="24"/>
                <w:szCs w:val="24"/>
                <w:lang w:eastAsia="lv-LV"/>
              </w:rPr>
              <w:t xml:space="preserve"> Nav</w:t>
            </w:r>
          </w:p>
        </w:tc>
      </w:tr>
      <w:bookmarkEnd w:id="4"/>
    </w:tbl>
    <w:p w:rsidR="00175CE3" w:rsidRDefault="00175CE3" w:rsidP="00344B1F">
      <w:pPr>
        <w:spacing w:after="0" w:line="240" w:lineRule="auto"/>
        <w:rPr>
          <w:rFonts w:ascii="Times New Roman" w:hAnsi="Times New Roman" w:cs="Times New Roman"/>
          <w:iCs/>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701"/>
        <w:gridCol w:w="7086"/>
      </w:tblGrid>
      <w:tr w:rsidR="00096160" w:rsidTr="00FC7224">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96160" w:rsidRPr="003429ED" w:rsidRDefault="00096160" w:rsidP="00FC722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iCs/>
                <w:color w:val="414142"/>
                <w:sz w:val="24"/>
                <w:szCs w:val="24"/>
                <w:lang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096160" w:rsidTr="00FC7224">
        <w:trPr>
          <w:trHeight w:val="432"/>
          <w:jc w:val="center"/>
        </w:trPr>
        <w:tc>
          <w:tcPr>
            <w:tcW w:w="227" w:type="pct"/>
            <w:tcBorders>
              <w:top w:val="outset" w:sz="6" w:space="0" w:color="414142"/>
              <w:left w:val="outset" w:sz="6" w:space="0" w:color="414142"/>
              <w:bottom w:val="outset" w:sz="6" w:space="0" w:color="414142"/>
              <w:right w:val="outset" w:sz="6" w:space="0" w:color="414142"/>
            </w:tcBorders>
            <w:hideMark/>
          </w:tcPr>
          <w:p w:rsidR="00096160" w:rsidRPr="003429ED" w:rsidRDefault="00096160" w:rsidP="00FC7224">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924" w:type="pct"/>
            <w:tcBorders>
              <w:top w:val="outset" w:sz="6" w:space="0" w:color="414142"/>
              <w:left w:val="outset" w:sz="6" w:space="0" w:color="414142"/>
              <w:bottom w:val="outset" w:sz="6" w:space="0" w:color="414142"/>
              <w:right w:val="outset" w:sz="6" w:space="0" w:color="414142"/>
            </w:tcBorders>
            <w:hideMark/>
          </w:tcPr>
          <w:p w:rsidR="00096160" w:rsidRPr="008333AC" w:rsidRDefault="00096160" w:rsidP="00FC7224">
            <w:pPr>
              <w:spacing w:after="0" w:line="240" w:lineRule="auto"/>
              <w:rPr>
                <w:rFonts w:ascii="Times New Roman" w:eastAsia="Times New Roman" w:hAnsi="Times New Roman" w:cs="Times New Roman"/>
                <w:sz w:val="24"/>
                <w:szCs w:val="24"/>
                <w:lang w:eastAsia="lv-LV"/>
              </w:rPr>
            </w:pPr>
            <w:proofErr w:type="spellStart"/>
            <w:r w:rsidRPr="008333AC">
              <w:rPr>
                <w:rFonts w:ascii="Times New Roman" w:eastAsia="Times New Roman" w:hAnsi="Times New Roman" w:cs="Times New Roman"/>
                <w:iCs/>
                <w:sz w:val="24"/>
                <w:szCs w:val="24"/>
                <w:lang w:val="en-US" w:eastAsia="lv-LV"/>
              </w:rPr>
              <w:t>Saistības</w:t>
            </w:r>
            <w:proofErr w:type="spellEnd"/>
            <w:r w:rsidRPr="008333AC">
              <w:rPr>
                <w:rFonts w:ascii="Times New Roman" w:eastAsia="Times New Roman" w:hAnsi="Times New Roman" w:cs="Times New Roman"/>
                <w:iCs/>
                <w:sz w:val="24"/>
                <w:szCs w:val="24"/>
                <w:lang w:val="en-US" w:eastAsia="lv-LV"/>
              </w:rPr>
              <w:t xml:space="preserve"> </w:t>
            </w:r>
            <w:proofErr w:type="spellStart"/>
            <w:r w:rsidRPr="008333AC">
              <w:rPr>
                <w:rFonts w:ascii="Times New Roman" w:eastAsia="Times New Roman" w:hAnsi="Times New Roman" w:cs="Times New Roman"/>
                <w:iCs/>
                <w:sz w:val="24"/>
                <w:szCs w:val="24"/>
                <w:lang w:val="en-US" w:eastAsia="lv-LV"/>
              </w:rPr>
              <w:t>pret</w:t>
            </w:r>
            <w:proofErr w:type="spellEnd"/>
            <w:r w:rsidRPr="008333AC">
              <w:rPr>
                <w:rFonts w:ascii="Times New Roman" w:eastAsia="Times New Roman" w:hAnsi="Times New Roman" w:cs="Times New Roman"/>
                <w:iCs/>
                <w:sz w:val="24"/>
                <w:szCs w:val="24"/>
                <w:lang w:val="en-US" w:eastAsia="lv-LV"/>
              </w:rPr>
              <w:t xml:space="preserve"> </w:t>
            </w:r>
            <w:proofErr w:type="spellStart"/>
            <w:r w:rsidRPr="008333AC">
              <w:rPr>
                <w:rFonts w:ascii="Times New Roman" w:eastAsia="Times New Roman" w:hAnsi="Times New Roman" w:cs="Times New Roman"/>
                <w:iCs/>
                <w:sz w:val="24"/>
                <w:szCs w:val="24"/>
                <w:lang w:val="en-US" w:eastAsia="lv-LV"/>
              </w:rPr>
              <w:t>Eiropas</w:t>
            </w:r>
            <w:proofErr w:type="spellEnd"/>
            <w:r w:rsidRPr="008333AC">
              <w:rPr>
                <w:rFonts w:ascii="Times New Roman" w:eastAsia="Times New Roman" w:hAnsi="Times New Roman" w:cs="Times New Roman"/>
                <w:iCs/>
                <w:sz w:val="24"/>
                <w:szCs w:val="24"/>
                <w:lang w:val="en-US" w:eastAsia="lv-LV"/>
              </w:rPr>
              <w:t xml:space="preserve"> </w:t>
            </w:r>
            <w:proofErr w:type="spellStart"/>
            <w:r w:rsidRPr="008333AC">
              <w:rPr>
                <w:rFonts w:ascii="Times New Roman" w:eastAsia="Times New Roman" w:hAnsi="Times New Roman" w:cs="Times New Roman"/>
                <w:iCs/>
                <w:sz w:val="24"/>
                <w:szCs w:val="24"/>
                <w:lang w:val="en-US" w:eastAsia="lv-LV"/>
              </w:rPr>
              <w:t>Savienību</w:t>
            </w:r>
            <w:proofErr w:type="spellEnd"/>
          </w:p>
        </w:tc>
        <w:tc>
          <w:tcPr>
            <w:tcW w:w="3849" w:type="pct"/>
            <w:tcBorders>
              <w:top w:val="outset" w:sz="6" w:space="0" w:color="414142"/>
              <w:left w:val="outset" w:sz="6" w:space="0" w:color="414142"/>
              <w:bottom w:val="outset" w:sz="6" w:space="0" w:color="414142"/>
              <w:right w:val="outset" w:sz="6" w:space="0" w:color="414142"/>
            </w:tcBorders>
          </w:tcPr>
          <w:p w:rsidR="00096160" w:rsidRPr="002B1945" w:rsidRDefault="00096160" w:rsidP="00FC7224">
            <w:pPr>
              <w:spacing w:after="0" w:line="240" w:lineRule="auto"/>
              <w:ind w:left="118" w:right="123" w:hanging="141"/>
              <w:jc w:val="both"/>
              <w:rPr>
                <w:rFonts w:ascii="Times New Roman" w:eastAsia="Times New Roman" w:hAnsi="Times New Roman" w:cs="Times New Roman"/>
                <w:sz w:val="24"/>
                <w:szCs w:val="24"/>
                <w:lang w:eastAsia="lv-LV"/>
              </w:rPr>
            </w:pPr>
            <w:r w:rsidRPr="002B19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Nav</w:t>
            </w:r>
          </w:p>
        </w:tc>
      </w:tr>
      <w:tr w:rsidR="00096160" w:rsidTr="00FC7224">
        <w:trPr>
          <w:trHeight w:val="264"/>
          <w:jc w:val="center"/>
        </w:trPr>
        <w:tc>
          <w:tcPr>
            <w:tcW w:w="227" w:type="pct"/>
            <w:tcBorders>
              <w:top w:val="outset" w:sz="6" w:space="0" w:color="414142"/>
              <w:left w:val="outset" w:sz="6" w:space="0" w:color="414142"/>
              <w:bottom w:val="outset" w:sz="6" w:space="0" w:color="414142"/>
              <w:right w:val="outset" w:sz="6" w:space="0" w:color="414142"/>
            </w:tcBorders>
            <w:hideMark/>
          </w:tcPr>
          <w:p w:rsidR="00096160" w:rsidRPr="003429ED" w:rsidRDefault="00096160" w:rsidP="00FC7224">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924" w:type="pct"/>
            <w:tcBorders>
              <w:top w:val="outset" w:sz="6" w:space="0" w:color="414142"/>
              <w:left w:val="outset" w:sz="6" w:space="0" w:color="414142"/>
              <w:bottom w:val="outset" w:sz="6" w:space="0" w:color="414142"/>
              <w:right w:val="outset" w:sz="6" w:space="0" w:color="414142"/>
            </w:tcBorders>
            <w:hideMark/>
          </w:tcPr>
          <w:p w:rsidR="00096160" w:rsidRPr="008333AC" w:rsidRDefault="00096160" w:rsidP="00FC7224">
            <w:pPr>
              <w:spacing w:after="0" w:line="240" w:lineRule="auto"/>
              <w:rPr>
                <w:rFonts w:ascii="Times New Roman" w:eastAsia="Times New Roman" w:hAnsi="Times New Roman" w:cs="Times New Roman"/>
                <w:sz w:val="24"/>
                <w:szCs w:val="24"/>
                <w:lang w:eastAsia="lv-LV"/>
              </w:rPr>
            </w:pPr>
            <w:proofErr w:type="spellStart"/>
            <w:r w:rsidRPr="008333AC">
              <w:rPr>
                <w:rFonts w:ascii="Times New Roman" w:eastAsia="Times New Roman" w:hAnsi="Times New Roman" w:cs="Times New Roman"/>
                <w:iCs/>
                <w:sz w:val="24"/>
                <w:szCs w:val="24"/>
                <w:lang w:val="en-US" w:eastAsia="lv-LV"/>
              </w:rPr>
              <w:t>Citas</w:t>
            </w:r>
            <w:proofErr w:type="spellEnd"/>
            <w:r w:rsidRPr="008333AC">
              <w:rPr>
                <w:rFonts w:ascii="Times New Roman" w:eastAsia="Times New Roman" w:hAnsi="Times New Roman" w:cs="Times New Roman"/>
                <w:iCs/>
                <w:sz w:val="24"/>
                <w:szCs w:val="24"/>
                <w:lang w:val="en-US" w:eastAsia="lv-LV"/>
              </w:rPr>
              <w:t xml:space="preserve"> </w:t>
            </w:r>
            <w:proofErr w:type="spellStart"/>
            <w:r w:rsidRPr="008333AC">
              <w:rPr>
                <w:rFonts w:ascii="Times New Roman" w:eastAsia="Times New Roman" w:hAnsi="Times New Roman" w:cs="Times New Roman"/>
                <w:iCs/>
                <w:sz w:val="24"/>
                <w:szCs w:val="24"/>
                <w:lang w:val="en-US" w:eastAsia="lv-LV"/>
              </w:rPr>
              <w:t>starptautiskās</w:t>
            </w:r>
            <w:proofErr w:type="spellEnd"/>
            <w:r w:rsidRPr="008333AC">
              <w:rPr>
                <w:rFonts w:ascii="Times New Roman" w:eastAsia="Times New Roman" w:hAnsi="Times New Roman" w:cs="Times New Roman"/>
                <w:iCs/>
                <w:sz w:val="24"/>
                <w:szCs w:val="24"/>
                <w:lang w:val="en-US" w:eastAsia="lv-LV"/>
              </w:rPr>
              <w:t xml:space="preserve"> </w:t>
            </w:r>
            <w:proofErr w:type="spellStart"/>
            <w:r w:rsidRPr="008333AC">
              <w:rPr>
                <w:rFonts w:ascii="Times New Roman" w:eastAsia="Times New Roman" w:hAnsi="Times New Roman" w:cs="Times New Roman"/>
                <w:iCs/>
                <w:sz w:val="24"/>
                <w:szCs w:val="24"/>
                <w:lang w:val="en-US" w:eastAsia="lv-LV"/>
              </w:rPr>
              <w:t>saistības</w:t>
            </w:r>
            <w:proofErr w:type="spellEnd"/>
          </w:p>
        </w:tc>
        <w:tc>
          <w:tcPr>
            <w:tcW w:w="3849" w:type="pct"/>
            <w:tcBorders>
              <w:top w:val="outset" w:sz="6" w:space="0" w:color="414142"/>
              <w:left w:val="outset" w:sz="6" w:space="0" w:color="414142"/>
              <w:bottom w:val="outset" w:sz="6" w:space="0" w:color="414142"/>
              <w:right w:val="outset" w:sz="6" w:space="0" w:color="414142"/>
            </w:tcBorders>
          </w:tcPr>
          <w:p w:rsidR="00096160" w:rsidRPr="002B1945" w:rsidRDefault="00096160" w:rsidP="00FC7224">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Nav</w:t>
            </w:r>
          </w:p>
        </w:tc>
      </w:tr>
      <w:tr w:rsidR="00096160" w:rsidTr="00FC7224">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rsidR="00096160" w:rsidRPr="003429ED" w:rsidRDefault="00096160" w:rsidP="00FC722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3429ED">
              <w:rPr>
                <w:rFonts w:ascii="Times New Roman" w:eastAsia="Times New Roman" w:hAnsi="Times New Roman" w:cs="Times New Roman"/>
                <w:sz w:val="24"/>
                <w:szCs w:val="24"/>
                <w:lang w:eastAsia="lv-LV"/>
              </w:rPr>
              <w:t>.</w:t>
            </w:r>
          </w:p>
        </w:tc>
        <w:tc>
          <w:tcPr>
            <w:tcW w:w="924" w:type="pct"/>
            <w:tcBorders>
              <w:top w:val="outset" w:sz="6" w:space="0" w:color="414142"/>
              <w:left w:val="outset" w:sz="6" w:space="0" w:color="414142"/>
              <w:bottom w:val="outset" w:sz="6" w:space="0" w:color="414142"/>
              <w:right w:val="outset" w:sz="6" w:space="0" w:color="414142"/>
            </w:tcBorders>
            <w:hideMark/>
          </w:tcPr>
          <w:p w:rsidR="00096160" w:rsidRPr="003429ED" w:rsidRDefault="00096160" w:rsidP="00FC7224">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849" w:type="pct"/>
            <w:tcBorders>
              <w:top w:val="outset" w:sz="6" w:space="0" w:color="414142"/>
              <w:left w:val="outset" w:sz="6" w:space="0" w:color="414142"/>
              <w:bottom w:val="outset" w:sz="6" w:space="0" w:color="414142"/>
              <w:right w:val="outset" w:sz="6" w:space="0" w:color="414142"/>
            </w:tcBorders>
            <w:hideMark/>
          </w:tcPr>
          <w:p w:rsidR="00096160" w:rsidRPr="002B1945" w:rsidRDefault="00096160" w:rsidP="00FC7224">
            <w:pPr>
              <w:spacing w:after="0" w:line="240" w:lineRule="auto"/>
              <w:rPr>
                <w:rFonts w:ascii="Times New Roman" w:eastAsia="Times New Roman" w:hAnsi="Times New Roman" w:cs="Times New Roman"/>
                <w:sz w:val="24"/>
                <w:szCs w:val="24"/>
                <w:lang w:eastAsia="lv-LV"/>
              </w:rPr>
            </w:pPr>
            <w:r w:rsidRPr="002B1945">
              <w:rPr>
                <w:rFonts w:ascii="Times New Roman" w:eastAsia="Times New Roman" w:hAnsi="Times New Roman" w:cs="Times New Roman"/>
                <w:sz w:val="24"/>
                <w:szCs w:val="24"/>
                <w:lang w:eastAsia="lv-LV"/>
              </w:rPr>
              <w:t xml:space="preserve"> Nav</w:t>
            </w:r>
          </w:p>
        </w:tc>
      </w:tr>
    </w:tbl>
    <w:p w:rsidR="00096160" w:rsidRDefault="00096160" w:rsidP="00344B1F">
      <w:pPr>
        <w:spacing w:after="0" w:line="240" w:lineRule="auto"/>
        <w:rPr>
          <w:rFonts w:ascii="Times New Roman" w:hAnsi="Times New Roman" w:cs="Times New Roman"/>
          <w:iCs/>
          <w:sz w:val="24"/>
          <w:szCs w:val="24"/>
          <w:lang w:eastAsia="lv-LV"/>
        </w:rPr>
      </w:pPr>
    </w:p>
    <w:p w:rsidR="000A7605" w:rsidRDefault="000A760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83"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701"/>
        <w:gridCol w:w="7086"/>
      </w:tblGrid>
      <w:tr w:rsidR="008B7E22" w:rsidTr="00AC021A">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3429ED" w:rsidRDefault="006572D7"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bookmarkStart w:id="5" w:name="_Hlk534186258"/>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8B7E22" w:rsidTr="00B10448">
        <w:trPr>
          <w:trHeight w:val="1903"/>
          <w:jc w:val="center"/>
        </w:trPr>
        <w:tc>
          <w:tcPr>
            <w:tcW w:w="227" w:type="pct"/>
            <w:tcBorders>
              <w:top w:val="outset" w:sz="6" w:space="0" w:color="414142"/>
              <w:left w:val="outset" w:sz="6" w:space="0" w:color="414142"/>
              <w:bottom w:val="outset" w:sz="6" w:space="0" w:color="414142"/>
              <w:right w:val="outset" w:sz="6" w:space="0" w:color="414142"/>
            </w:tcBorders>
            <w:hideMark/>
          </w:tcPr>
          <w:p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924" w:type="pct"/>
            <w:tcBorders>
              <w:top w:val="outset" w:sz="6" w:space="0" w:color="414142"/>
              <w:left w:val="outset" w:sz="6" w:space="0" w:color="414142"/>
              <w:bottom w:val="outset" w:sz="6" w:space="0" w:color="414142"/>
              <w:right w:val="outset" w:sz="6" w:space="0" w:color="414142"/>
            </w:tcBorders>
            <w:hideMark/>
          </w:tcPr>
          <w:p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849" w:type="pct"/>
            <w:tcBorders>
              <w:top w:val="outset" w:sz="6" w:space="0" w:color="414142"/>
              <w:left w:val="outset" w:sz="6" w:space="0" w:color="414142"/>
              <w:bottom w:val="outset" w:sz="6" w:space="0" w:color="414142"/>
              <w:right w:val="outset" w:sz="6" w:space="0" w:color="414142"/>
            </w:tcBorders>
          </w:tcPr>
          <w:p w:rsidR="001D2A8C" w:rsidRPr="001D2A8C" w:rsidRDefault="001D2A8C" w:rsidP="001D2A8C">
            <w:pPr>
              <w:spacing w:after="0" w:line="240" w:lineRule="auto"/>
              <w:jc w:val="both"/>
              <w:rPr>
                <w:rFonts w:ascii="Times New Roman" w:eastAsia="Times New Roman" w:hAnsi="Times New Roman" w:cs="Times New Roman"/>
                <w:sz w:val="24"/>
                <w:szCs w:val="24"/>
                <w:lang w:eastAsia="lv-LV"/>
              </w:rPr>
            </w:pPr>
            <w:r w:rsidRPr="001D2A8C">
              <w:rPr>
                <w:rFonts w:ascii="Times New Roman" w:eastAsia="Times New Roman" w:hAnsi="Times New Roman" w:cs="Times New Roman"/>
                <w:sz w:val="24"/>
                <w:szCs w:val="24"/>
                <w:lang w:eastAsia="lv-LV"/>
              </w:rPr>
              <w:t>Veselības ministrijā tika izveidota darba grupa, lai turpinātu uzsākto ārstniecības personu darba samaksas palielināšanas izvērtēšanu un pilnveidotu veselības nozares darba samaksas sistēmu, kā arī sniegtu un sagatavotu priekšlikumus konkurētspējīgas darba samaksas palielināšanai.</w:t>
            </w:r>
          </w:p>
          <w:p w:rsidR="00B6136E" w:rsidRPr="002B1945" w:rsidRDefault="001D2A8C" w:rsidP="001D2A8C">
            <w:pPr>
              <w:pStyle w:val="BodyText3"/>
              <w:spacing w:after="0"/>
              <w:jc w:val="both"/>
              <w:rPr>
                <w:rFonts w:ascii="Times New Roman" w:eastAsia="Times New Roman" w:hAnsi="Times New Roman" w:cs="Times New Roman"/>
                <w:sz w:val="24"/>
                <w:szCs w:val="24"/>
                <w:lang w:eastAsia="lv-LV"/>
              </w:rPr>
            </w:pPr>
            <w:r w:rsidRPr="001D2A8C">
              <w:rPr>
                <w:rFonts w:ascii="Times New Roman" w:eastAsia="Times New Roman" w:hAnsi="Times New Roman" w:cs="Times New Roman"/>
                <w:sz w:val="24"/>
                <w:szCs w:val="24"/>
                <w:lang w:eastAsia="lv-LV"/>
              </w:rPr>
              <w:t xml:space="preserve">Darba grupas sastāvā bija locekļi no Latvijas Veselības un sociālās aprūpes darbinieku arodbiedrības, Latvijas slimnīcu biedrības, Latvijas </w:t>
            </w:r>
            <w:r w:rsidRPr="001D2A8C">
              <w:rPr>
                <w:rFonts w:ascii="Times New Roman" w:eastAsia="Times New Roman" w:hAnsi="Times New Roman" w:cs="Times New Roman"/>
                <w:sz w:val="24"/>
                <w:szCs w:val="24"/>
                <w:lang w:eastAsia="lv-LV"/>
              </w:rPr>
              <w:lastRenderedPageBreak/>
              <w:t>Māsu asociācijas, Latvijas Jauno Ārstu asociācijas, Latvijas Ārstu biedrības,  Latvijas Darba devēju konfederācijas padomes, kā arī pārstāvji no slimnīcām.</w:t>
            </w:r>
          </w:p>
        </w:tc>
      </w:tr>
      <w:tr w:rsidR="008B7E22" w:rsidTr="009D0AEA">
        <w:trPr>
          <w:trHeight w:val="264"/>
          <w:jc w:val="center"/>
        </w:trPr>
        <w:tc>
          <w:tcPr>
            <w:tcW w:w="227" w:type="pct"/>
            <w:tcBorders>
              <w:top w:val="outset" w:sz="6" w:space="0" w:color="414142"/>
              <w:left w:val="outset" w:sz="6" w:space="0" w:color="414142"/>
              <w:bottom w:val="outset" w:sz="6" w:space="0" w:color="414142"/>
              <w:right w:val="outset" w:sz="6" w:space="0" w:color="414142"/>
            </w:tcBorders>
            <w:hideMark/>
          </w:tcPr>
          <w:p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lastRenderedPageBreak/>
              <w:t>2.</w:t>
            </w:r>
          </w:p>
        </w:tc>
        <w:tc>
          <w:tcPr>
            <w:tcW w:w="924" w:type="pct"/>
            <w:tcBorders>
              <w:top w:val="outset" w:sz="6" w:space="0" w:color="414142"/>
              <w:left w:val="outset" w:sz="6" w:space="0" w:color="414142"/>
              <w:bottom w:val="outset" w:sz="6" w:space="0" w:color="414142"/>
              <w:right w:val="outset" w:sz="6" w:space="0" w:color="414142"/>
            </w:tcBorders>
            <w:hideMark/>
          </w:tcPr>
          <w:p w:rsidR="00894C55" w:rsidRPr="003429ED" w:rsidRDefault="006572D7"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849" w:type="pct"/>
            <w:tcBorders>
              <w:top w:val="outset" w:sz="6" w:space="0" w:color="414142"/>
              <w:left w:val="outset" w:sz="6" w:space="0" w:color="414142"/>
              <w:bottom w:val="outset" w:sz="6" w:space="0" w:color="414142"/>
              <w:right w:val="outset" w:sz="6" w:space="0" w:color="414142"/>
            </w:tcBorders>
          </w:tcPr>
          <w:p w:rsidR="00FF53FD" w:rsidRPr="009876FD" w:rsidRDefault="003265F8" w:rsidP="003265F8">
            <w:pPr>
              <w:pStyle w:val="BodyText3"/>
              <w:jc w:val="both"/>
              <w:rPr>
                <w:rFonts w:ascii="Times New Roman" w:hAnsi="Times New Roman" w:cs="Times New Roman"/>
                <w:sz w:val="24"/>
                <w:szCs w:val="24"/>
              </w:rPr>
            </w:pPr>
            <w:r w:rsidRPr="009876FD">
              <w:rPr>
                <w:rFonts w:ascii="Times New Roman" w:hAnsi="Times New Roman" w:cs="Times New Roman"/>
                <w:sz w:val="24"/>
                <w:szCs w:val="24"/>
              </w:rPr>
              <w:t xml:space="preserve">Darba grupas pārstāvji, </w:t>
            </w:r>
            <w:r w:rsidRPr="009876FD">
              <w:rPr>
                <w:rFonts w:ascii="Times New Roman" w:eastAsia="Verdana" w:hAnsi="Times New Roman" w:cs="Times New Roman"/>
                <w:kern w:val="24"/>
                <w:sz w:val="24"/>
                <w:szCs w:val="24"/>
              </w:rPr>
              <w:t>Veselības nozares stratēģiskās padomes dalībnieki.</w:t>
            </w:r>
          </w:p>
        </w:tc>
      </w:tr>
      <w:tr w:rsidR="008B7E22" w:rsidTr="00AC021A">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rsidR="00655340" w:rsidRPr="003429ED" w:rsidRDefault="006572D7"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924" w:type="pct"/>
            <w:tcBorders>
              <w:top w:val="outset" w:sz="6" w:space="0" w:color="414142"/>
              <w:left w:val="outset" w:sz="6" w:space="0" w:color="414142"/>
              <w:bottom w:val="outset" w:sz="6" w:space="0" w:color="414142"/>
              <w:right w:val="outset" w:sz="6" w:space="0" w:color="414142"/>
            </w:tcBorders>
            <w:hideMark/>
          </w:tcPr>
          <w:p w:rsidR="00655340" w:rsidRPr="003429ED" w:rsidRDefault="006572D7"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849" w:type="pct"/>
            <w:tcBorders>
              <w:top w:val="outset" w:sz="6" w:space="0" w:color="414142"/>
              <w:left w:val="outset" w:sz="6" w:space="0" w:color="414142"/>
              <w:bottom w:val="outset" w:sz="6" w:space="0" w:color="414142"/>
              <w:right w:val="outset" w:sz="6" w:space="0" w:color="414142"/>
            </w:tcBorders>
          </w:tcPr>
          <w:p w:rsidR="00673C47" w:rsidRDefault="003265F8" w:rsidP="009876FD">
            <w:pPr>
              <w:pStyle w:val="BodyText3"/>
              <w:spacing w:after="0" w:line="240" w:lineRule="auto"/>
              <w:jc w:val="both"/>
              <w:rPr>
                <w:rFonts w:ascii="Times New Roman" w:hAnsi="Times New Roman" w:cs="Times New Roman"/>
                <w:sz w:val="24"/>
                <w:szCs w:val="24"/>
              </w:rPr>
            </w:pPr>
            <w:r w:rsidRPr="003265F8">
              <w:rPr>
                <w:rFonts w:ascii="Times New Roman" w:hAnsi="Times New Roman" w:cs="Times New Roman"/>
                <w:sz w:val="24"/>
                <w:szCs w:val="24"/>
              </w:rPr>
              <w:t>Darba grupas pārstāvji uzsvēra darba samaksas pieauguma nepieciešamību ārstniecības iestādēs strādājošiem</w:t>
            </w:r>
            <w:r w:rsidR="00673C47">
              <w:rPr>
                <w:rFonts w:ascii="Times New Roman" w:hAnsi="Times New Roman" w:cs="Times New Roman"/>
                <w:sz w:val="24"/>
                <w:szCs w:val="24"/>
              </w:rPr>
              <w:t xml:space="preserve">. </w:t>
            </w:r>
          </w:p>
          <w:p w:rsidR="00F8319C" w:rsidRPr="003265F8" w:rsidRDefault="00673C47" w:rsidP="009876FD">
            <w:pPr>
              <w:pStyle w:val="BodyText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9C3AF9">
              <w:rPr>
                <w:rFonts w:ascii="Times New Roman" w:eastAsia="Times New Roman" w:hAnsi="Times New Roman" w:cs="Times New Roman"/>
                <w:sz w:val="24"/>
                <w:szCs w:val="24"/>
                <w:shd w:val="clear" w:color="auto" w:fill="FFFFFF"/>
                <w:lang w:eastAsia="lv-LV"/>
              </w:rPr>
              <w:t>2019.gada 17.jūnija Veselības ministrijas darba grupas “Par veselības aprūpes nozarē strādājošo personu konkurētspējīgas darba samaksas palielināšanas izvērtēšanu” sanāksme</w:t>
            </w:r>
            <w:r>
              <w:rPr>
                <w:rFonts w:ascii="Times New Roman" w:eastAsia="Times New Roman" w:hAnsi="Times New Roman" w:cs="Times New Roman"/>
                <w:sz w:val="24"/>
                <w:szCs w:val="24"/>
                <w:shd w:val="clear" w:color="auto" w:fill="FFFFFF"/>
                <w:lang w:eastAsia="lv-LV"/>
              </w:rPr>
              <w:t xml:space="preserve">i, tika nolemts </w:t>
            </w:r>
            <w:r>
              <w:rPr>
                <w:rFonts w:ascii="Times New Roman" w:hAnsi="Times New Roman" w:cs="Times New Roman"/>
                <w:sz w:val="24"/>
                <w:szCs w:val="24"/>
              </w:rPr>
              <w:t xml:space="preserve">Veselības ministrijai sagatavot priekšlikumus izmaiņām Ministru kabineta noteikumos Nr.685 “Rezidentu uzņemšanas, sadales un rezidentūras finansēšanas kārtība”, iestrādājot normu, ka </w:t>
            </w:r>
            <w:r w:rsidR="00A922F0">
              <w:rPr>
                <w:rFonts w:ascii="Times New Roman" w:hAnsi="Times New Roman" w:cs="Times New Roman"/>
                <w:sz w:val="24"/>
                <w:szCs w:val="24"/>
              </w:rPr>
              <w:t xml:space="preserve">no </w:t>
            </w:r>
            <w:r>
              <w:rPr>
                <w:rFonts w:ascii="Times New Roman" w:hAnsi="Times New Roman" w:cs="Times New Roman"/>
                <w:sz w:val="24"/>
                <w:szCs w:val="24"/>
              </w:rPr>
              <w:t xml:space="preserve">trešā rezidentūras gada </w:t>
            </w:r>
            <w:proofErr w:type="spellStart"/>
            <w:r>
              <w:rPr>
                <w:rFonts w:ascii="Times New Roman" w:hAnsi="Times New Roman" w:cs="Times New Roman"/>
                <w:sz w:val="24"/>
                <w:szCs w:val="24"/>
              </w:rPr>
              <w:t>pamatspecialitātē</w:t>
            </w:r>
            <w:proofErr w:type="spellEnd"/>
            <w:r>
              <w:rPr>
                <w:rFonts w:ascii="Times New Roman" w:hAnsi="Times New Roman" w:cs="Times New Roman"/>
                <w:sz w:val="24"/>
                <w:szCs w:val="24"/>
              </w:rPr>
              <w:t xml:space="preserve"> un no pirmā rezidentūras gada </w:t>
            </w:r>
            <w:proofErr w:type="spellStart"/>
            <w:r>
              <w:rPr>
                <w:rFonts w:ascii="Times New Roman" w:hAnsi="Times New Roman" w:cs="Times New Roman"/>
                <w:sz w:val="24"/>
                <w:szCs w:val="24"/>
              </w:rPr>
              <w:t>papildspecialitātēs</w:t>
            </w:r>
            <w:proofErr w:type="spellEnd"/>
            <w:r>
              <w:rPr>
                <w:rFonts w:ascii="Times New Roman" w:hAnsi="Times New Roman" w:cs="Times New Roman"/>
                <w:sz w:val="24"/>
                <w:szCs w:val="24"/>
              </w:rPr>
              <w:t xml:space="preserve"> rezidentu algām tiek noteikts koeficients 1,1.</w:t>
            </w:r>
          </w:p>
        </w:tc>
      </w:tr>
      <w:tr w:rsidR="008B7E22" w:rsidTr="00AC021A">
        <w:trPr>
          <w:trHeight w:val="372"/>
          <w:jc w:val="center"/>
        </w:trPr>
        <w:tc>
          <w:tcPr>
            <w:tcW w:w="227" w:type="pct"/>
            <w:tcBorders>
              <w:top w:val="outset" w:sz="6" w:space="0" w:color="414142"/>
              <w:left w:val="outset" w:sz="6" w:space="0" w:color="414142"/>
              <w:bottom w:val="outset" w:sz="6" w:space="0" w:color="414142"/>
              <w:right w:val="outset" w:sz="6" w:space="0" w:color="414142"/>
            </w:tcBorders>
            <w:hideMark/>
          </w:tcPr>
          <w:p w:rsidR="00655340" w:rsidRPr="003429ED" w:rsidRDefault="006572D7"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924" w:type="pct"/>
            <w:tcBorders>
              <w:top w:val="outset" w:sz="6" w:space="0" w:color="414142"/>
              <w:left w:val="outset" w:sz="6" w:space="0" w:color="414142"/>
              <w:bottom w:val="outset" w:sz="6" w:space="0" w:color="414142"/>
              <w:right w:val="outset" w:sz="6" w:space="0" w:color="414142"/>
            </w:tcBorders>
            <w:hideMark/>
          </w:tcPr>
          <w:p w:rsidR="00655340" w:rsidRPr="003429ED" w:rsidRDefault="006572D7"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849" w:type="pct"/>
            <w:tcBorders>
              <w:top w:val="outset" w:sz="6" w:space="0" w:color="414142"/>
              <w:left w:val="outset" w:sz="6" w:space="0" w:color="414142"/>
              <w:bottom w:val="outset" w:sz="6" w:space="0" w:color="414142"/>
              <w:right w:val="outset" w:sz="6" w:space="0" w:color="414142"/>
            </w:tcBorders>
            <w:hideMark/>
          </w:tcPr>
          <w:p w:rsidR="00655340" w:rsidRPr="002B1945" w:rsidRDefault="002B1945" w:rsidP="00655340">
            <w:pPr>
              <w:spacing w:after="0" w:line="240" w:lineRule="auto"/>
              <w:rPr>
                <w:rFonts w:ascii="Times New Roman" w:eastAsia="Times New Roman" w:hAnsi="Times New Roman" w:cs="Times New Roman"/>
                <w:sz w:val="24"/>
                <w:szCs w:val="24"/>
                <w:lang w:eastAsia="lv-LV"/>
              </w:rPr>
            </w:pPr>
            <w:r w:rsidRPr="002B1945">
              <w:rPr>
                <w:rFonts w:ascii="Times New Roman" w:eastAsia="Times New Roman" w:hAnsi="Times New Roman" w:cs="Times New Roman"/>
                <w:sz w:val="24"/>
                <w:szCs w:val="24"/>
                <w:lang w:eastAsia="lv-LV"/>
              </w:rPr>
              <w:t xml:space="preserve"> </w:t>
            </w:r>
            <w:r w:rsidR="006572D7" w:rsidRPr="002B1945">
              <w:rPr>
                <w:rFonts w:ascii="Times New Roman" w:eastAsia="Times New Roman" w:hAnsi="Times New Roman" w:cs="Times New Roman"/>
                <w:sz w:val="24"/>
                <w:szCs w:val="24"/>
                <w:lang w:eastAsia="lv-LV"/>
              </w:rPr>
              <w:t>Nav</w:t>
            </w:r>
          </w:p>
        </w:tc>
      </w:tr>
    </w:tbl>
    <w:p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bookmarkEnd w:id="5"/>
    <w:p w:rsidR="009857E6" w:rsidRDefault="009857E6"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0"/>
        <w:gridCol w:w="5802"/>
      </w:tblGrid>
      <w:tr w:rsidR="008B7E22"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6E52FA" w:rsidRDefault="006572D7"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E52FA">
              <w:rPr>
                <w:rFonts w:ascii="Times New Roman" w:eastAsia="Times New Roman" w:hAnsi="Times New Roman" w:cs="Times New Roman"/>
                <w:b/>
                <w:bCs/>
                <w:sz w:val="24"/>
                <w:szCs w:val="24"/>
                <w:lang w:eastAsia="lv-LV"/>
              </w:rPr>
              <w:t>VII.</w:t>
            </w:r>
            <w:r w:rsidR="00816C11" w:rsidRPr="006E52FA">
              <w:rPr>
                <w:rFonts w:ascii="Times New Roman" w:eastAsia="Times New Roman" w:hAnsi="Times New Roman" w:cs="Times New Roman"/>
                <w:b/>
                <w:bCs/>
                <w:sz w:val="24"/>
                <w:szCs w:val="24"/>
                <w:lang w:eastAsia="lv-LV"/>
              </w:rPr>
              <w:t> </w:t>
            </w:r>
            <w:r w:rsidRPr="006E52FA">
              <w:rPr>
                <w:rFonts w:ascii="Times New Roman" w:eastAsia="Times New Roman" w:hAnsi="Times New Roman" w:cs="Times New Roman"/>
                <w:b/>
                <w:bCs/>
                <w:sz w:val="24"/>
                <w:szCs w:val="24"/>
                <w:lang w:eastAsia="lv-LV"/>
              </w:rPr>
              <w:t>Tiesību akta projekta izpildes nodrošināšana un tās ietekme uz institūcijām</w:t>
            </w:r>
          </w:p>
        </w:tc>
      </w:tr>
      <w:tr w:rsidR="008B7E22" w:rsidTr="002F1B24">
        <w:trPr>
          <w:trHeight w:val="771"/>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RDefault="006572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1.</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E52FA" w:rsidRDefault="006572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rsidR="0000058C" w:rsidRPr="002E2203" w:rsidRDefault="00FF53FD" w:rsidP="00C42BCA">
            <w:pPr>
              <w:spacing w:after="0" w:line="240" w:lineRule="auto"/>
              <w:ind w:left="125" w:right="109"/>
              <w:jc w:val="both"/>
              <w:rPr>
                <w:rFonts w:ascii="Times New Roman" w:eastAsia="Times New Roman" w:hAnsi="Times New Roman" w:cs="Times New Roman"/>
                <w:sz w:val="24"/>
                <w:szCs w:val="24"/>
                <w:lang w:eastAsia="lv-LV"/>
              </w:rPr>
            </w:pPr>
            <w:r w:rsidRPr="00FF53FD">
              <w:rPr>
                <w:rFonts w:ascii="Times New Roman" w:eastAsia="Times New Roman" w:hAnsi="Times New Roman" w:cs="Times New Roman"/>
                <w:sz w:val="24"/>
                <w:szCs w:val="24"/>
                <w:lang w:eastAsia="lv-LV"/>
              </w:rPr>
              <w:t xml:space="preserve">Noteikumu projekta ietverto prasību izpildē tiks iesaistīta </w:t>
            </w:r>
            <w:r w:rsidR="002E2203">
              <w:rPr>
                <w:rFonts w:ascii="Times New Roman" w:eastAsia="Times New Roman" w:hAnsi="Times New Roman" w:cs="Times New Roman"/>
                <w:sz w:val="24"/>
                <w:szCs w:val="24"/>
                <w:lang w:eastAsia="lv-LV"/>
              </w:rPr>
              <w:t>Veselības ministrija, Rīgas Stradiņa unive</w:t>
            </w:r>
            <w:r w:rsidR="00B6136E">
              <w:rPr>
                <w:rFonts w:ascii="Times New Roman" w:eastAsia="Times New Roman" w:hAnsi="Times New Roman" w:cs="Times New Roman"/>
                <w:sz w:val="24"/>
                <w:szCs w:val="24"/>
                <w:lang w:eastAsia="lv-LV"/>
              </w:rPr>
              <w:t>rsitāte, Latvijas Universitāte.</w:t>
            </w:r>
          </w:p>
        </w:tc>
      </w:tr>
      <w:tr w:rsidR="008B7E22" w:rsidTr="00D97FCF">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RDefault="006572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2.</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E52FA" w:rsidRDefault="006572D7" w:rsidP="00810241">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Projekta izpildes ietekme uz pārvaldes funkcijām un institucionālo struktūru.</w:t>
            </w:r>
            <w:r w:rsidR="00810241">
              <w:rPr>
                <w:rFonts w:ascii="Times New Roman" w:eastAsia="Times New Roman" w:hAnsi="Times New Roman" w:cs="Times New Roman"/>
                <w:sz w:val="24"/>
                <w:szCs w:val="24"/>
                <w:lang w:eastAsia="lv-LV"/>
              </w:rPr>
              <w:t xml:space="preserve"> </w:t>
            </w:r>
            <w:r w:rsidRPr="005B00C1">
              <w:rPr>
                <w:rFonts w:ascii="Times New Roman" w:eastAsia="Times New Roman" w:hAnsi="Times New Roman" w:cs="Times New Roman"/>
                <w:sz w:val="24"/>
                <w:szCs w:val="24"/>
                <w:lang w:eastAsia="lv-LV"/>
              </w:rPr>
              <w:t>Jaunu institūciju izveide</w:t>
            </w:r>
            <w:r w:rsidRPr="006E52FA">
              <w:rPr>
                <w:rFonts w:ascii="Times New Roman" w:eastAsia="Times New Roman" w:hAnsi="Times New Roman" w:cs="Times New Roman"/>
                <w:sz w:val="24"/>
                <w:szCs w:val="24"/>
                <w:lang w:eastAsia="lv-LV"/>
              </w:rPr>
              <w:t>, esošu institūciju likvidācija 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rsidR="007D300F" w:rsidRPr="006E52FA" w:rsidRDefault="00B40AEB" w:rsidP="004449C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F1B24">
              <w:rPr>
                <w:rFonts w:ascii="Times New Roman" w:eastAsia="Times New Roman" w:hAnsi="Times New Roman" w:cs="Times New Roman"/>
                <w:sz w:val="24"/>
                <w:szCs w:val="24"/>
                <w:lang w:eastAsia="lv-LV"/>
              </w:rPr>
              <w:t>Projekts šo jomu neskar.</w:t>
            </w:r>
          </w:p>
        </w:tc>
      </w:tr>
      <w:tr w:rsidR="008B7E22" w:rsidTr="00D97FCF">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6E52FA" w:rsidRDefault="006572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3.</w:t>
            </w:r>
          </w:p>
        </w:tc>
        <w:tc>
          <w:tcPr>
            <w:tcW w:w="1546" w:type="pct"/>
            <w:tcBorders>
              <w:top w:val="outset" w:sz="6" w:space="0" w:color="414142"/>
              <w:left w:val="outset" w:sz="6" w:space="0" w:color="414142"/>
              <w:bottom w:val="outset" w:sz="6" w:space="0" w:color="414142"/>
              <w:right w:val="outset" w:sz="6" w:space="0" w:color="414142"/>
            </w:tcBorders>
            <w:hideMark/>
          </w:tcPr>
          <w:p w:rsidR="00894C55" w:rsidRPr="006E52FA" w:rsidRDefault="006572D7" w:rsidP="00894C55">
            <w:pPr>
              <w:spacing w:after="0" w:line="240" w:lineRule="auto"/>
              <w:rPr>
                <w:rFonts w:ascii="Times New Roman" w:eastAsia="Times New Roman" w:hAnsi="Times New Roman" w:cs="Times New Roman"/>
                <w:sz w:val="24"/>
                <w:szCs w:val="24"/>
                <w:lang w:eastAsia="lv-LV"/>
              </w:rPr>
            </w:pPr>
            <w:r w:rsidRPr="006E52FA">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rsidR="00894C55" w:rsidRPr="006E52FA" w:rsidRDefault="006572D7" w:rsidP="00F57B0C">
            <w:pPr>
              <w:spacing w:before="100" w:beforeAutospacing="1" w:after="100" w:afterAutospacing="1" w:line="293"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810241" w:rsidRDefault="00810241" w:rsidP="00FF53FD">
      <w:pPr>
        <w:pStyle w:val="BodyTextIndent"/>
        <w:tabs>
          <w:tab w:val="left" w:pos="7088"/>
          <w:tab w:val="right" w:pos="8931"/>
        </w:tabs>
        <w:ind w:left="0" w:firstLine="0"/>
        <w:rPr>
          <w:szCs w:val="28"/>
        </w:rPr>
      </w:pPr>
    </w:p>
    <w:p w:rsidR="002F1B24" w:rsidRPr="00DC755F" w:rsidRDefault="00FF53FD" w:rsidP="00DC755F">
      <w:pPr>
        <w:pStyle w:val="BodyTextIndent"/>
        <w:tabs>
          <w:tab w:val="left" w:pos="7088"/>
          <w:tab w:val="right" w:pos="8931"/>
        </w:tabs>
        <w:ind w:left="0" w:firstLine="0"/>
        <w:rPr>
          <w:szCs w:val="28"/>
        </w:rPr>
      </w:pPr>
      <w:r w:rsidRPr="006E6505">
        <w:rPr>
          <w:szCs w:val="28"/>
        </w:rPr>
        <w:t>Veselības ministre</w:t>
      </w:r>
      <w:r w:rsidR="00A43D38">
        <w:rPr>
          <w:szCs w:val="28"/>
        </w:rPr>
        <w:t xml:space="preserve">                                                                     I</w:t>
      </w:r>
      <w:r w:rsidR="007F6BC4">
        <w:rPr>
          <w:szCs w:val="28"/>
        </w:rPr>
        <w:t>.</w:t>
      </w:r>
      <w:r w:rsidR="00A43D38">
        <w:rPr>
          <w:szCs w:val="28"/>
        </w:rPr>
        <w:t xml:space="preserve"> Viņķele</w:t>
      </w:r>
    </w:p>
    <w:p w:rsidR="00DC755F" w:rsidRDefault="00DC755F" w:rsidP="002F1B24">
      <w:pPr>
        <w:spacing w:after="0" w:line="240" w:lineRule="auto"/>
        <w:ind w:right="-765"/>
        <w:rPr>
          <w:rFonts w:ascii="Times New Roman" w:eastAsia="Times New Roman" w:hAnsi="Times New Roman" w:cs="Times New Roman"/>
          <w:lang w:eastAsia="lv-LV"/>
        </w:rPr>
      </w:pPr>
    </w:p>
    <w:p w:rsidR="00A43D38" w:rsidRDefault="00A43D38" w:rsidP="002F1B24">
      <w:pPr>
        <w:spacing w:after="0" w:line="240" w:lineRule="auto"/>
        <w:ind w:right="-765"/>
        <w:rPr>
          <w:rFonts w:ascii="Times New Roman" w:eastAsia="Times New Roman" w:hAnsi="Times New Roman" w:cs="Times New Roman"/>
          <w:lang w:eastAsia="lv-LV"/>
        </w:rPr>
      </w:pPr>
    </w:p>
    <w:p w:rsidR="00A43D38" w:rsidRDefault="00A43D38" w:rsidP="002F1B24">
      <w:pPr>
        <w:spacing w:after="0" w:line="240" w:lineRule="auto"/>
        <w:ind w:right="-765"/>
        <w:rPr>
          <w:rFonts w:ascii="Times New Roman" w:eastAsia="Times New Roman" w:hAnsi="Times New Roman" w:cs="Times New Roman"/>
          <w:lang w:eastAsia="lv-LV"/>
        </w:rPr>
      </w:pPr>
    </w:p>
    <w:p w:rsidR="002F1B24" w:rsidRPr="002F1B24" w:rsidRDefault="002F1B24" w:rsidP="002F1B24">
      <w:pPr>
        <w:spacing w:after="0" w:line="240" w:lineRule="auto"/>
        <w:ind w:right="-765"/>
        <w:rPr>
          <w:rFonts w:ascii="Times New Roman" w:eastAsia="Times New Roman" w:hAnsi="Times New Roman" w:cs="Times New Roman"/>
          <w:lang w:eastAsia="lv-LV"/>
        </w:rPr>
      </w:pPr>
      <w:r>
        <w:rPr>
          <w:rFonts w:ascii="Times New Roman" w:eastAsia="Times New Roman" w:hAnsi="Times New Roman" w:cs="Times New Roman"/>
          <w:lang w:eastAsia="lv-LV"/>
        </w:rPr>
        <w:t>Lazdiņa 67876169</w:t>
      </w:r>
    </w:p>
    <w:p w:rsidR="00F50D7D" w:rsidRDefault="007557A6" w:rsidP="00DC755F">
      <w:pPr>
        <w:spacing w:after="0" w:line="240" w:lineRule="auto"/>
        <w:ind w:right="-765"/>
        <w:rPr>
          <w:rFonts w:ascii="Times New Roman" w:eastAsia="Calibri" w:hAnsi="Times New Roman" w:cs="Times New Roman"/>
        </w:rPr>
      </w:pPr>
      <w:hyperlink r:id="rId8" w:history="1">
        <w:r w:rsidR="00CE5F59" w:rsidRPr="002C1C7E">
          <w:rPr>
            <w:rStyle w:val="Hyperlink"/>
            <w:rFonts w:ascii="Times New Roman" w:eastAsia="Times New Roman" w:hAnsi="Times New Roman" w:cs="Times New Roman"/>
            <w:lang w:eastAsia="lv-LV"/>
          </w:rPr>
          <w:t>Ivita.Lazdiņa@vm.gov.lv</w:t>
        </w:r>
      </w:hyperlink>
    </w:p>
    <w:sectPr w:rsidR="00F50D7D" w:rsidSect="007E72CD">
      <w:headerReference w:type="default" r:id="rId9"/>
      <w:footerReference w:type="default" r:id="rId10"/>
      <w:footerReference w:type="first" r:id="rId11"/>
      <w:pgSz w:w="11906" w:h="16838"/>
      <w:pgMar w:top="993" w:right="1134" w:bottom="709"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263" w:rsidRDefault="003D3263">
      <w:pPr>
        <w:spacing w:after="0" w:line="240" w:lineRule="auto"/>
      </w:pPr>
      <w:r>
        <w:separator/>
      </w:r>
    </w:p>
  </w:endnote>
  <w:endnote w:type="continuationSeparator" w:id="0">
    <w:p w:rsidR="003D3263" w:rsidRDefault="003D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 New Roman Bold">
    <w:panose1 w:val="02020803070505020304"/>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24" w:rsidRPr="00894C55" w:rsidRDefault="00FC7224">
    <w:pPr>
      <w:pStyle w:val="Footer"/>
      <w:rPr>
        <w:rFonts w:ascii="Times New Roman" w:hAnsi="Times New Roman" w:cs="Times New Roman"/>
        <w:sz w:val="20"/>
        <w:szCs w:val="20"/>
      </w:rPr>
    </w:pPr>
    <w:r>
      <w:rPr>
        <w:rFonts w:ascii="Times New Roman" w:hAnsi="Times New Roman" w:cs="Times New Roman"/>
        <w:sz w:val="20"/>
        <w:szCs w:val="20"/>
      </w:rPr>
      <w:t>VManot_</w:t>
    </w:r>
    <w:r w:rsidR="004D5AB4">
      <w:rPr>
        <w:rFonts w:ascii="Times New Roman" w:hAnsi="Times New Roman" w:cs="Times New Roman"/>
        <w:sz w:val="20"/>
        <w:szCs w:val="20"/>
      </w:rPr>
      <w:t>05</w:t>
    </w:r>
    <w:r w:rsidR="00B6241C">
      <w:rPr>
        <w:rFonts w:ascii="Times New Roman" w:hAnsi="Times New Roman" w:cs="Times New Roman"/>
        <w:sz w:val="20"/>
        <w:szCs w:val="20"/>
      </w:rPr>
      <w:t>12</w:t>
    </w:r>
    <w:r>
      <w:rPr>
        <w:rFonts w:ascii="Times New Roman" w:hAnsi="Times New Roman" w:cs="Times New Roman"/>
        <w:sz w:val="20"/>
        <w:szCs w:val="20"/>
      </w:rPr>
      <w:t>19_groz_685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224" w:rsidRPr="009A2654" w:rsidRDefault="00FC7224">
    <w:pPr>
      <w:pStyle w:val="Footer"/>
      <w:rPr>
        <w:rFonts w:ascii="Times New Roman" w:hAnsi="Times New Roman" w:cs="Times New Roman"/>
        <w:sz w:val="20"/>
        <w:szCs w:val="20"/>
      </w:rPr>
    </w:pPr>
    <w:r>
      <w:rPr>
        <w:rFonts w:ascii="Times New Roman" w:hAnsi="Times New Roman" w:cs="Times New Roman"/>
        <w:sz w:val="20"/>
        <w:szCs w:val="20"/>
      </w:rPr>
      <w:t>VManot_</w:t>
    </w:r>
    <w:r w:rsidR="004D5AB4">
      <w:rPr>
        <w:rFonts w:ascii="Times New Roman" w:hAnsi="Times New Roman" w:cs="Times New Roman"/>
        <w:sz w:val="20"/>
        <w:szCs w:val="20"/>
      </w:rPr>
      <w:t>05</w:t>
    </w:r>
    <w:r w:rsidR="00B6241C">
      <w:rPr>
        <w:rFonts w:ascii="Times New Roman" w:hAnsi="Times New Roman" w:cs="Times New Roman"/>
        <w:sz w:val="20"/>
        <w:szCs w:val="20"/>
      </w:rPr>
      <w:t>12</w:t>
    </w:r>
    <w:r>
      <w:rPr>
        <w:rFonts w:ascii="Times New Roman" w:hAnsi="Times New Roman" w:cs="Times New Roman"/>
        <w:sz w:val="20"/>
        <w:szCs w:val="20"/>
      </w:rPr>
      <w:t>19_groz_685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263" w:rsidRDefault="003D3263" w:rsidP="00894C55">
      <w:pPr>
        <w:spacing w:after="0" w:line="240" w:lineRule="auto"/>
      </w:pPr>
      <w:r>
        <w:separator/>
      </w:r>
    </w:p>
  </w:footnote>
  <w:footnote w:type="continuationSeparator" w:id="0">
    <w:p w:rsidR="003D3263" w:rsidRDefault="003D326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329413"/>
      <w:docPartObj>
        <w:docPartGallery w:val="Page Numbers (Top of Page)"/>
        <w:docPartUnique/>
      </w:docPartObj>
    </w:sdtPr>
    <w:sdtEndPr>
      <w:rPr>
        <w:rFonts w:ascii="Times New Roman" w:hAnsi="Times New Roman" w:cs="Times New Roman"/>
        <w:noProof/>
        <w:sz w:val="24"/>
        <w:szCs w:val="20"/>
      </w:rPr>
    </w:sdtEndPr>
    <w:sdtContent>
      <w:p w:rsidR="00FC7224" w:rsidRPr="00C25B49" w:rsidRDefault="00FC722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71BAA">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96B"/>
    <w:multiLevelType w:val="hybridMultilevel"/>
    <w:tmpl w:val="C9427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FF3F1C"/>
    <w:multiLevelType w:val="hybridMultilevel"/>
    <w:tmpl w:val="43DA5B1E"/>
    <w:lvl w:ilvl="0" w:tplc="7EA02B94">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D10456E"/>
    <w:multiLevelType w:val="hybridMultilevel"/>
    <w:tmpl w:val="F8E05CBA"/>
    <w:lvl w:ilvl="0" w:tplc="5666E95A">
      <w:start w:val="1"/>
      <w:numFmt w:val="decimal"/>
      <w:lvlText w:val="%1)"/>
      <w:lvlJc w:val="left"/>
      <w:pPr>
        <w:ind w:left="720" w:hanging="360"/>
      </w:pPr>
      <w:rPr>
        <w:rFonts w:hint="default"/>
        <w:color w:val="auto"/>
      </w:rPr>
    </w:lvl>
    <w:lvl w:ilvl="1" w:tplc="BB76408C">
      <w:start w:val="1"/>
      <w:numFmt w:val="lowerLetter"/>
      <w:lvlText w:val="%2."/>
      <w:lvlJc w:val="left"/>
      <w:pPr>
        <w:ind w:left="1440" w:hanging="360"/>
      </w:pPr>
    </w:lvl>
    <w:lvl w:ilvl="2" w:tplc="85F451DE" w:tentative="1">
      <w:start w:val="1"/>
      <w:numFmt w:val="lowerRoman"/>
      <w:lvlText w:val="%3."/>
      <w:lvlJc w:val="right"/>
      <w:pPr>
        <w:ind w:left="2160" w:hanging="180"/>
      </w:pPr>
    </w:lvl>
    <w:lvl w:ilvl="3" w:tplc="1BFCDE54" w:tentative="1">
      <w:start w:val="1"/>
      <w:numFmt w:val="decimal"/>
      <w:lvlText w:val="%4."/>
      <w:lvlJc w:val="left"/>
      <w:pPr>
        <w:ind w:left="2880" w:hanging="360"/>
      </w:pPr>
    </w:lvl>
    <w:lvl w:ilvl="4" w:tplc="BEFA1370" w:tentative="1">
      <w:start w:val="1"/>
      <w:numFmt w:val="lowerLetter"/>
      <w:lvlText w:val="%5."/>
      <w:lvlJc w:val="left"/>
      <w:pPr>
        <w:ind w:left="3600" w:hanging="360"/>
      </w:pPr>
    </w:lvl>
    <w:lvl w:ilvl="5" w:tplc="F4483176" w:tentative="1">
      <w:start w:val="1"/>
      <w:numFmt w:val="lowerRoman"/>
      <w:lvlText w:val="%6."/>
      <w:lvlJc w:val="right"/>
      <w:pPr>
        <w:ind w:left="4320" w:hanging="180"/>
      </w:pPr>
    </w:lvl>
    <w:lvl w:ilvl="6" w:tplc="F2683DFE" w:tentative="1">
      <w:start w:val="1"/>
      <w:numFmt w:val="decimal"/>
      <w:lvlText w:val="%7."/>
      <w:lvlJc w:val="left"/>
      <w:pPr>
        <w:ind w:left="5040" w:hanging="360"/>
      </w:pPr>
    </w:lvl>
    <w:lvl w:ilvl="7" w:tplc="85BE5BBE" w:tentative="1">
      <w:start w:val="1"/>
      <w:numFmt w:val="lowerLetter"/>
      <w:lvlText w:val="%8."/>
      <w:lvlJc w:val="left"/>
      <w:pPr>
        <w:ind w:left="5760" w:hanging="360"/>
      </w:pPr>
    </w:lvl>
    <w:lvl w:ilvl="8" w:tplc="E692F80E" w:tentative="1">
      <w:start w:val="1"/>
      <w:numFmt w:val="lowerRoman"/>
      <w:lvlText w:val="%9."/>
      <w:lvlJc w:val="right"/>
      <w:pPr>
        <w:ind w:left="6480" w:hanging="180"/>
      </w:pPr>
    </w:lvl>
  </w:abstractNum>
  <w:abstractNum w:abstractNumId="3" w15:restartNumberingAfterBreak="0">
    <w:nsid w:val="10E14CC8"/>
    <w:multiLevelType w:val="hybridMultilevel"/>
    <w:tmpl w:val="EF1CB92E"/>
    <w:lvl w:ilvl="0" w:tplc="9248366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1">
    <w:nsid w:val="112E3970"/>
    <w:multiLevelType w:val="hybridMultilevel"/>
    <w:tmpl w:val="30382EEC"/>
    <w:lvl w:ilvl="0" w:tplc="471A06F0">
      <w:start w:val="1"/>
      <w:numFmt w:val="decimal"/>
      <w:lvlText w:val="%1)"/>
      <w:lvlJc w:val="left"/>
      <w:pPr>
        <w:ind w:left="720" w:hanging="360"/>
      </w:pPr>
      <w:rPr>
        <w:rFonts w:hint="default"/>
      </w:rPr>
    </w:lvl>
    <w:lvl w:ilvl="1" w:tplc="A454937C" w:tentative="1">
      <w:start w:val="1"/>
      <w:numFmt w:val="lowerLetter"/>
      <w:lvlText w:val="%2."/>
      <w:lvlJc w:val="left"/>
      <w:pPr>
        <w:ind w:left="1440" w:hanging="360"/>
      </w:pPr>
    </w:lvl>
    <w:lvl w:ilvl="2" w:tplc="8E444B3E" w:tentative="1">
      <w:start w:val="1"/>
      <w:numFmt w:val="lowerRoman"/>
      <w:lvlText w:val="%3."/>
      <w:lvlJc w:val="right"/>
      <w:pPr>
        <w:ind w:left="2160" w:hanging="180"/>
      </w:pPr>
    </w:lvl>
    <w:lvl w:ilvl="3" w:tplc="E6F0406C" w:tentative="1">
      <w:start w:val="1"/>
      <w:numFmt w:val="decimal"/>
      <w:lvlText w:val="%4."/>
      <w:lvlJc w:val="left"/>
      <w:pPr>
        <w:ind w:left="2880" w:hanging="360"/>
      </w:pPr>
    </w:lvl>
    <w:lvl w:ilvl="4" w:tplc="F4B0CB2A" w:tentative="1">
      <w:start w:val="1"/>
      <w:numFmt w:val="lowerLetter"/>
      <w:lvlText w:val="%5."/>
      <w:lvlJc w:val="left"/>
      <w:pPr>
        <w:ind w:left="3600" w:hanging="360"/>
      </w:pPr>
    </w:lvl>
    <w:lvl w:ilvl="5" w:tplc="BFFCD1DA" w:tentative="1">
      <w:start w:val="1"/>
      <w:numFmt w:val="lowerRoman"/>
      <w:lvlText w:val="%6."/>
      <w:lvlJc w:val="right"/>
      <w:pPr>
        <w:ind w:left="4320" w:hanging="180"/>
      </w:pPr>
    </w:lvl>
    <w:lvl w:ilvl="6" w:tplc="23F85E74" w:tentative="1">
      <w:start w:val="1"/>
      <w:numFmt w:val="decimal"/>
      <w:lvlText w:val="%7."/>
      <w:lvlJc w:val="left"/>
      <w:pPr>
        <w:ind w:left="5040" w:hanging="360"/>
      </w:pPr>
    </w:lvl>
    <w:lvl w:ilvl="7" w:tplc="E43A2134" w:tentative="1">
      <w:start w:val="1"/>
      <w:numFmt w:val="lowerLetter"/>
      <w:lvlText w:val="%8."/>
      <w:lvlJc w:val="left"/>
      <w:pPr>
        <w:ind w:left="5760" w:hanging="360"/>
      </w:pPr>
    </w:lvl>
    <w:lvl w:ilvl="8" w:tplc="4CE2D3DC" w:tentative="1">
      <w:start w:val="1"/>
      <w:numFmt w:val="lowerRoman"/>
      <w:lvlText w:val="%9."/>
      <w:lvlJc w:val="right"/>
      <w:pPr>
        <w:ind w:left="6480" w:hanging="180"/>
      </w:pPr>
    </w:lvl>
  </w:abstractNum>
  <w:abstractNum w:abstractNumId="5" w15:restartNumberingAfterBreak="0">
    <w:nsid w:val="134A3146"/>
    <w:multiLevelType w:val="hybridMultilevel"/>
    <w:tmpl w:val="B35A0E84"/>
    <w:lvl w:ilvl="0" w:tplc="04260001">
      <w:start w:val="18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14CC0BF1"/>
    <w:multiLevelType w:val="hybridMultilevel"/>
    <w:tmpl w:val="F8E05CBA"/>
    <w:lvl w:ilvl="0" w:tplc="34B42668">
      <w:start w:val="1"/>
      <w:numFmt w:val="decimal"/>
      <w:lvlText w:val="%1)"/>
      <w:lvlJc w:val="left"/>
      <w:pPr>
        <w:ind w:left="720" w:hanging="360"/>
      </w:pPr>
      <w:rPr>
        <w:rFonts w:hint="default"/>
        <w:color w:val="auto"/>
      </w:rPr>
    </w:lvl>
    <w:lvl w:ilvl="1" w:tplc="EB8857A8" w:tentative="1">
      <w:start w:val="1"/>
      <w:numFmt w:val="lowerLetter"/>
      <w:lvlText w:val="%2."/>
      <w:lvlJc w:val="left"/>
      <w:pPr>
        <w:ind w:left="1440" w:hanging="360"/>
      </w:pPr>
    </w:lvl>
    <w:lvl w:ilvl="2" w:tplc="61E4C3AA" w:tentative="1">
      <w:start w:val="1"/>
      <w:numFmt w:val="lowerRoman"/>
      <w:lvlText w:val="%3."/>
      <w:lvlJc w:val="right"/>
      <w:pPr>
        <w:ind w:left="2160" w:hanging="180"/>
      </w:pPr>
    </w:lvl>
    <w:lvl w:ilvl="3" w:tplc="FC36298C" w:tentative="1">
      <w:start w:val="1"/>
      <w:numFmt w:val="decimal"/>
      <w:lvlText w:val="%4."/>
      <w:lvlJc w:val="left"/>
      <w:pPr>
        <w:ind w:left="2880" w:hanging="360"/>
      </w:pPr>
    </w:lvl>
    <w:lvl w:ilvl="4" w:tplc="33FCD470" w:tentative="1">
      <w:start w:val="1"/>
      <w:numFmt w:val="lowerLetter"/>
      <w:lvlText w:val="%5."/>
      <w:lvlJc w:val="left"/>
      <w:pPr>
        <w:ind w:left="3600" w:hanging="360"/>
      </w:pPr>
    </w:lvl>
    <w:lvl w:ilvl="5" w:tplc="60FC3ED8" w:tentative="1">
      <w:start w:val="1"/>
      <w:numFmt w:val="lowerRoman"/>
      <w:lvlText w:val="%6."/>
      <w:lvlJc w:val="right"/>
      <w:pPr>
        <w:ind w:left="4320" w:hanging="180"/>
      </w:pPr>
    </w:lvl>
    <w:lvl w:ilvl="6" w:tplc="2E96777C" w:tentative="1">
      <w:start w:val="1"/>
      <w:numFmt w:val="decimal"/>
      <w:lvlText w:val="%7."/>
      <w:lvlJc w:val="left"/>
      <w:pPr>
        <w:ind w:left="5040" w:hanging="360"/>
      </w:pPr>
    </w:lvl>
    <w:lvl w:ilvl="7" w:tplc="64BA90AC" w:tentative="1">
      <w:start w:val="1"/>
      <w:numFmt w:val="lowerLetter"/>
      <w:lvlText w:val="%8."/>
      <w:lvlJc w:val="left"/>
      <w:pPr>
        <w:ind w:left="5760" w:hanging="360"/>
      </w:pPr>
    </w:lvl>
    <w:lvl w:ilvl="8" w:tplc="798EB0A4" w:tentative="1">
      <w:start w:val="1"/>
      <w:numFmt w:val="lowerRoman"/>
      <w:lvlText w:val="%9."/>
      <w:lvlJc w:val="right"/>
      <w:pPr>
        <w:ind w:left="6480" w:hanging="180"/>
      </w:pPr>
    </w:lvl>
  </w:abstractNum>
  <w:abstractNum w:abstractNumId="7" w15:restartNumberingAfterBreak="0">
    <w:nsid w:val="15FB7E03"/>
    <w:multiLevelType w:val="hybridMultilevel"/>
    <w:tmpl w:val="BE96FA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FB5E75"/>
    <w:multiLevelType w:val="hybridMultilevel"/>
    <w:tmpl w:val="CE5E6A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1BEF5810"/>
    <w:multiLevelType w:val="hybridMultilevel"/>
    <w:tmpl w:val="30382EEC"/>
    <w:lvl w:ilvl="0" w:tplc="68A63644">
      <w:start w:val="1"/>
      <w:numFmt w:val="decimal"/>
      <w:lvlText w:val="%1)"/>
      <w:lvlJc w:val="left"/>
      <w:pPr>
        <w:ind w:left="720" w:hanging="360"/>
      </w:pPr>
      <w:rPr>
        <w:rFonts w:hint="default"/>
      </w:rPr>
    </w:lvl>
    <w:lvl w:ilvl="1" w:tplc="3F54CC9C" w:tentative="1">
      <w:start w:val="1"/>
      <w:numFmt w:val="lowerLetter"/>
      <w:lvlText w:val="%2."/>
      <w:lvlJc w:val="left"/>
      <w:pPr>
        <w:ind w:left="1440" w:hanging="360"/>
      </w:pPr>
    </w:lvl>
    <w:lvl w:ilvl="2" w:tplc="14F2ECDE" w:tentative="1">
      <w:start w:val="1"/>
      <w:numFmt w:val="lowerRoman"/>
      <w:lvlText w:val="%3."/>
      <w:lvlJc w:val="right"/>
      <w:pPr>
        <w:ind w:left="2160" w:hanging="180"/>
      </w:pPr>
    </w:lvl>
    <w:lvl w:ilvl="3" w:tplc="92F07A0A" w:tentative="1">
      <w:start w:val="1"/>
      <w:numFmt w:val="decimal"/>
      <w:lvlText w:val="%4."/>
      <w:lvlJc w:val="left"/>
      <w:pPr>
        <w:ind w:left="2880" w:hanging="360"/>
      </w:pPr>
    </w:lvl>
    <w:lvl w:ilvl="4" w:tplc="370E6870" w:tentative="1">
      <w:start w:val="1"/>
      <w:numFmt w:val="lowerLetter"/>
      <w:lvlText w:val="%5."/>
      <w:lvlJc w:val="left"/>
      <w:pPr>
        <w:ind w:left="3600" w:hanging="360"/>
      </w:pPr>
    </w:lvl>
    <w:lvl w:ilvl="5" w:tplc="0FF4596E" w:tentative="1">
      <w:start w:val="1"/>
      <w:numFmt w:val="lowerRoman"/>
      <w:lvlText w:val="%6."/>
      <w:lvlJc w:val="right"/>
      <w:pPr>
        <w:ind w:left="4320" w:hanging="180"/>
      </w:pPr>
    </w:lvl>
    <w:lvl w:ilvl="6" w:tplc="59D46C0A" w:tentative="1">
      <w:start w:val="1"/>
      <w:numFmt w:val="decimal"/>
      <w:lvlText w:val="%7."/>
      <w:lvlJc w:val="left"/>
      <w:pPr>
        <w:ind w:left="5040" w:hanging="360"/>
      </w:pPr>
    </w:lvl>
    <w:lvl w:ilvl="7" w:tplc="24C63022" w:tentative="1">
      <w:start w:val="1"/>
      <w:numFmt w:val="lowerLetter"/>
      <w:lvlText w:val="%8."/>
      <w:lvlJc w:val="left"/>
      <w:pPr>
        <w:ind w:left="5760" w:hanging="360"/>
      </w:pPr>
    </w:lvl>
    <w:lvl w:ilvl="8" w:tplc="0B6ED00E" w:tentative="1">
      <w:start w:val="1"/>
      <w:numFmt w:val="lowerRoman"/>
      <w:lvlText w:val="%9."/>
      <w:lvlJc w:val="right"/>
      <w:pPr>
        <w:ind w:left="6480" w:hanging="180"/>
      </w:pPr>
    </w:lvl>
  </w:abstractNum>
  <w:abstractNum w:abstractNumId="10" w15:restartNumberingAfterBreak="0">
    <w:nsid w:val="1D003610"/>
    <w:multiLevelType w:val="hybridMultilevel"/>
    <w:tmpl w:val="BB043AE6"/>
    <w:lvl w:ilvl="0" w:tplc="D0F6E536">
      <w:start w:val="1"/>
      <w:numFmt w:val="decimal"/>
      <w:lvlText w:val="%1."/>
      <w:lvlJc w:val="left"/>
      <w:pPr>
        <w:ind w:left="1778" w:hanging="360"/>
      </w:pPr>
      <w:rPr>
        <w:rFonts w:hint="default"/>
        <w:u w:val="none"/>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1" w15:restartNumberingAfterBreak="0">
    <w:nsid w:val="1F426738"/>
    <w:multiLevelType w:val="hybridMultilevel"/>
    <w:tmpl w:val="520ADD3C"/>
    <w:lvl w:ilvl="0" w:tplc="04260001">
      <w:start w:val="1"/>
      <w:numFmt w:val="bullet"/>
      <w:lvlText w:val=""/>
      <w:lvlJc w:val="left"/>
      <w:pPr>
        <w:ind w:left="885" w:hanging="360"/>
      </w:pPr>
      <w:rPr>
        <w:rFonts w:ascii="Symbol" w:hAnsi="Symbol"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12" w15:restartNumberingAfterBreak="0">
    <w:nsid w:val="258A4F1C"/>
    <w:multiLevelType w:val="hybridMultilevel"/>
    <w:tmpl w:val="D40C7686"/>
    <w:lvl w:ilvl="0" w:tplc="EBAA79B0">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13" w15:restartNumberingAfterBreak="0">
    <w:nsid w:val="28FC00A0"/>
    <w:multiLevelType w:val="hybridMultilevel"/>
    <w:tmpl w:val="2F3ED59C"/>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abstractNum w:abstractNumId="14" w15:restartNumberingAfterBreak="0">
    <w:nsid w:val="2E912D3F"/>
    <w:multiLevelType w:val="hybridMultilevel"/>
    <w:tmpl w:val="662AB5A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1">
    <w:nsid w:val="3BB84EA9"/>
    <w:multiLevelType w:val="hybridMultilevel"/>
    <w:tmpl w:val="C418706C"/>
    <w:lvl w:ilvl="0" w:tplc="CA42DA90">
      <w:start w:val="1"/>
      <w:numFmt w:val="decimal"/>
      <w:lvlText w:val="%1)"/>
      <w:lvlJc w:val="left"/>
      <w:pPr>
        <w:ind w:left="720" w:hanging="360"/>
      </w:pPr>
      <w:rPr>
        <w:rFonts w:hint="default"/>
      </w:rPr>
    </w:lvl>
    <w:lvl w:ilvl="1" w:tplc="6EFC30B6" w:tentative="1">
      <w:start w:val="1"/>
      <w:numFmt w:val="lowerLetter"/>
      <w:lvlText w:val="%2."/>
      <w:lvlJc w:val="left"/>
      <w:pPr>
        <w:ind w:left="1440" w:hanging="360"/>
      </w:pPr>
    </w:lvl>
    <w:lvl w:ilvl="2" w:tplc="3D08EE84" w:tentative="1">
      <w:start w:val="1"/>
      <w:numFmt w:val="lowerRoman"/>
      <w:lvlText w:val="%3."/>
      <w:lvlJc w:val="right"/>
      <w:pPr>
        <w:ind w:left="2160" w:hanging="180"/>
      </w:pPr>
    </w:lvl>
    <w:lvl w:ilvl="3" w:tplc="BDCAA666" w:tentative="1">
      <w:start w:val="1"/>
      <w:numFmt w:val="decimal"/>
      <w:lvlText w:val="%4."/>
      <w:lvlJc w:val="left"/>
      <w:pPr>
        <w:ind w:left="2880" w:hanging="360"/>
      </w:pPr>
    </w:lvl>
    <w:lvl w:ilvl="4" w:tplc="498C14F8" w:tentative="1">
      <w:start w:val="1"/>
      <w:numFmt w:val="lowerLetter"/>
      <w:lvlText w:val="%5."/>
      <w:lvlJc w:val="left"/>
      <w:pPr>
        <w:ind w:left="3600" w:hanging="360"/>
      </w:pPr>
    </w:lvl>
    <w:lvl w:ilvl="5" w:tplc="E1CE29FE" w:tentative="1">
      <w:start w:val="1"/>
      <w:numFmt w:val="lowerRoman"/>
      <w:lvlText w:val="%6."/>
      <w:lvlJc w:val="right"/>
      <w:pPr>
        <w:ind w:left="4320" w:hanging="180"/>
      </w:pPr>
    </w:lvl>
    <w:lvl w:ilvl="6" w:tplc="695A267C" w:tentative="1">
      <w:start w:val="1"/>
      <w:numFmt w:val="decimal"/>
      <w:lvlText w:val="%7."/>
      <w:lvlJc w:val="left"/>
      <w:pPr>
        <w:ind w:left="5040" w:hanging="360"/>
      </w:pPr>
    </w:lvl>
    <w:lvl w:ilvl="7" w:tplc="C12E8D26" w:tentative="1">
      <w:start w:val="1"/>
      <w:numFmt w:val="lowerLetter"/>
      <w:lvlText w:val="%8."/>
      <w:lvlJc w:val="left"/>
      <w:pPr>
        <w:ind w:left="5760" w:hanging="360"/>
      </w:pPr>
    </w:lvl>
    <w:lvl w:ilvl="8" w:tplc="8F9CF90E" w:tentative="1">
      <w:start w:val="1"/>
      <w:numFmt w:val="lowerRoman"/>
      <w:lvlText w:val="%9."/>
      <w:lvlJc w:val="right"/>
      <w:pPr>
        <w:ind w:left="6480" w:hanging="180"/>
      </w:pPr>
    </w:lvl>
  </w:abstractNum>
  <w:abstractNum w:abstractNumId="16" w15:restartNumberingAfterBreak="0">
    <w:nsid w:val="3D437174"/>
    <w:multiLevelType w:val="hybridMultilevel"/>
    <w:tmpl w:val="3DD0A8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1">
    <w:nsid w:val="422C5C33"/>
    <w:multiLevelType w:val="hybridMultilevel"/>
    <w:tmpl w:val="2DA2290A"/>
    <w:lvl w:ilvl="0" w:tplc="A2AC4F8C">
      <w:start w:val="1"/>
      <w:numFmt w:val="decimal"/>
      <w:lvlText w:val="%1)"/>
      <w:lvlJc w:val="left"/>
      <w:pPr>
        <w:ind w:left="720" w:hanging="360"/>
      </w:pPr>
      <w:rPr>
        <w:rFonts w:hint="default"/>
      </w:rPr>
    </w:lvl>
    <w:lvl w:ilvl="1" w:tplc="38626DE6" w:tentative="1">
      <w:start w:val="1"/>
      <w:numFmt w:val="lowerLetter"/>
      <w:lvlText w:val="%2."/>
      <w:lvlJc w:val="left"/>
      <w:pPr>
        <w:ind w:left="1440" w:hanging="360"/>
      </w:pPr>
    </w:lvl>
    <w:lvl w:ilvl="2" w:tplc="70B68C3C" w:tentative="1">
      <w:start w:val="1"/>
      <w:numFmt w:val="lowerRoman"/>
      <w:lvlText w:val="%3."/>
      <w:lvlJc w:val="right"/>
      <w:pPr>
        <w:ind w:left="2160" w:hanging="180"/>
      </w:pPr>
    </w:lvl>
    <w:lvl w:ilvl="3" w:tplc="7340D90A" w:tentative="1">
      <w:start w:val="1"/>
      <w:numFmt w:val="decimal"/>
      <w:lvlText w:val="%4."/>
      <w:lvlJc w:val="left"/>
      <w:pPr>
        <w:ind w:left="2880" w:hanging="360"/>
      </w:pPr>
    </w:lvl>
    <w:lvl w:ilvl="4" w:tplc="E79267AE" w:tentative="1">
      <w:start w:val="1"/>
      <w:numFmt w:val="lowerLetter"/>
      <w:lvlText w:val="%5."/>
      <w:lvlJc w:val="left"/>
      <w:pPr>
        <w:ind w:left="3600" w:hanging="360"/>
      </w:pPr>
    </w:lvl>
    <w:lvl w:ilvl="5" w:tplc="EA1CC1DC" w:tentative="1">
      <w:start w:val="1"/>
      <w:numFmt w:val="lowerRoman"/>
      <w:lvlText w:val="%6."/>
      <w:lvlJc w:val="right"/>
      <w:pPr>
        <w:ind w:left="4320" w:hanging="180"/>
      </w:pPr>
    </w:lvl>
    <w:lvl w:ilvl="6" w:tplc="B964E3DE" w:tentative="1">
      <w:start w:val="1"/>
      <w:numFmt w:val="decimal"/>
      <w:lvlText w:val="%7."/>
      <w:lvlJc w:val="left"/>
      <w:pPr>
        <w:ind w:left="5040" w:hanging="360"/>
      </w:pPr>
    </w:lvl>
    <w:lvl w:ilvl="7" w:tplc="4C18BB86" w:tentative="1">
      <w:start w:val="1"/>
      <w:numFmt w:val="lowerLetter"/>
      <w:lvlText w:val="%8."/>
      <w:lvlJc w:val="left"/>
      <w:pPr>
        <w:ind w:left="5760" w:hanging="360"/>
      </w:pPr>
    </w:lvl>
    <w:lvl w:ilvl="8" w:tplc="B76C2D6C" w:tentative="1">
      <w:start w:val="1"/>
      <w:numFmt w:val="lowerRoman"/>
      <w:lvlText w:val="%9."/>
      <w:lvlJc w:val="right"/>
      <w:pPr>
        <w:ind w:left="6480" w:hanging="180"/>
      </w:pPr>
    </w:lvl>
  </w:abstractNum>
  <w:abstractNum w:abstractNumId="18" w15:restartNumberingAfterBreak="0">
    <w:nsid w:val="46ED3F53"/>
    <w:multiLevelType w:val="hybridMultilevel"/>
    <w:tmpl w:val="D0026AFE"/>
    <w:lvl w:ilvl="0" w:tplc="F29AB23A">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1">
    <w:nsid w:val="47F65964"/>
    <w:multiLevelType w:val="hybridMultilevel"/>
    <w:tmpl w:val="BE3209E2"/>
    <w:lvl w:ilvl="0" w:tplc="E626D5BE">
      <w:start w:val="1"/>
      <w:numFmt w:val="decimal"/>
      <w:lvlText w:val="%1)"/>
      <w:lvlJc w:val="left"/>
      <w:pPr>
        <w:ind w:left="720" w:hanging="360"/>
      </w:pPr>
    </w:lvl>
    <w:lvl w:ilvl="1" w:tplc="7414A29C" w:tentative="1">
      <w:start w:val="1"/>
      <w:numFmt w:val="lowerLetter"/>
      <w:lvlText w:val="%2."/>
      <w:lvlJc w:val="left"/>
      <w:pPr>
        <w:ind w:left="1440" w:hanging="360"/>
      </w:pPr>
    </w:lvl>
    <w:lvl w:ilvl="2" w:tplc="C3BA62DC" w:tentative="1">
      <w:start w:val="1"/>
      <w:numFmt w:val="lowerRoman"/>
      <w:lvlText w:val="%3."/>
      <w:lvlJc w:val="right"/>
      <w:pPr>
        <w:ind w:left="2160" w:hanging="180"/>
      </w:pPr>
    </w:lvl>
    <w:lvl w:ilvl="3" w:tplc="11BCD068" w:tentative="1">
      <w:start w:val="1"/>
      <w:numFmt w:val="decimal"/>
      <w:lvlText w:val="%4."/>
      <w:lvlJc w:val="left"/>
      <w:pPr>
        <w:ind w:left="2880" w:hanging="360"/>
      </w:pPr>
    </w:lvl>
    <w:lvl w:ilvl="4" w:tplc="E2DEE6C6" w:tentative="1">
      <w:start w:val="1"/>
      <w:numFmt w:val="lowerLetter"/>
      <w:lvlText w:val="%5."/>
      <w:lvlJc w:val="left"/>
      <w:pPr>
        <w:ind w:left="3600" w:hanging="360"/>
      </w:pPr>
    </w:lvl>
    <w:lvl w:ilvl="5" w:tplc="C7E8C4D6" w:tentative="1">
      <w:start w:val="1"/>
      <w:numFmt w:val="lowerRoman"/>
      <w:lvlText w:val="%6."/>
      <w:lvlJc w:val="right"/>
      <w:pPr>
        <w:ind w:left="4320" w:hanging="180"/>
      </w:pPr>
    </w:lvl>
    <w:lvl w:ilvl="6" w:tplc="EEF6F3C2" w:tentative="1">
      <w:start w:val="1"/>
      <w:numFmt w:val="decimal"/>
      <w:lvlText w:val="%7."/>
      <w:lvlJc w:val="left"/>
      <w:pPr>
        <w:ind w:left="5040" w:hanging="360"/>
      </w:pPr>
    </w:lvl>
    <w:lvl w:ilvl="7" w:tplc="06EE4904" w:tentative="1">
      <w:start w:val="1"/>
      <w:numFmt w:val="lowerLetter"/>
      <w:lvlText w:val="%8."/>
      <w:lvlJc w:val="left"/>
      <w:pPr>
        <w:ind w:left="5760" w:hanging="360"/>
      </w:pPr>
    </w:lvl>
    <w:lvl w:ilvl="8" w:tplc="8F72A93A" w:tentative="1">
      <w:start w:val="1"/>
      <w:numFmt w:val="lowerRoman"/>
      <w:lvlText w:val="%9."/>
      <w:lvlJc w:val="right"/>
      <w:pPr>
        <w:ind w:left="6480" w:hanging="180"/>
      </w:pPr>
    </w:lvl>
  </w:abstractNum>
  <w:abstractNum w:abstractNumId="20" w15:restartNumberingAfterBreak="1">
    <w:nsid w:val="4C2445BD"/>
    <w:multiLevelType w:val="hybridMultilevel"/>
    <w:tmpl w:val="59E89120"/>
    <w:lvl w:ilvl="0" w:tplc="8C1A4DE6">
      <w:start w:val="1"/>
      <w:numFmt w:val="decimal"/>
      <w:lvlText w:val="%1)"/>
      <w:lvlJc w:val="left"/>
      <w:pPr>
        <w:ind w:left="720" w:hanging="360"/>
      </w:pPr>
      <w:rPr>
        <w:rFonts w:hint="default"/>
      </w:rPr>
    </w:lvl>
    <w:lvl w:ilvl="1" w:tplc="082495DE" w:tentative="1">
      <w:start w:val="1"/>
      <w:numFmt w:val="lowerLetter"/>
      <w:lvlText w:val="%2."/>
      <w:lvlJc w:val="left"/>
      <w:pPr>
        <w:ind w:left="1440" w:hanging="360"/>
      </w:pPr>
    </w:lvl>
    <w:lvl w:ilvl="2" w:tplc="EFF88A74" w:tentative="1">
      <w:start w:val="1"/>
      <w:numFmt w:val="lowerRoman"/>
      <w:lvlText w:val="%3."/>
      <w:lvlJc w:val="right"/>
      <w:pPr>
        <w:ind w:left="2160" w:hanging="180"/>
      </w:pPr>
    </w:lvl>
    <w:lvl w:ilvl="3" w:tplc="0A70E72A" w:tentative="1">
      <w:start w:val="1"/>
      <w:numFmt w:val="decimal"/>
      <w:lvlText w:val="%4."/>
      <w:lvlJc w:val="left"/>
      <w:pPr>
        <w:ind w:left="2880" w:hanging="360"/>
      </w:pPr>
    </w:lvl>
    <w:lvl w:ilvl="4" w:tplc="B44C5262" w:tentative="1">
      <w:start w:val="1"/>
      <w:numFmt w:val="lowerLetter"/>
      <w:lvlText w:val="%5."/>
      <w:lvlJc w:val="left"/>
      <w:pPr>
        <w:ind w:left="3600" w:hanging="360"/>
      </w:pPr>
    </w:lvl>
    <w:lvl w:ilvl="5" w:tplc="E8BC1CE8" w:tentative="1">
      <w:start w:val="1"/>
      <w:numFmt w:val="lowerRoman"/>
      <w:lvlText w:val="%6."/>
      <w:lvlJc w:val="right"/>
      <w:pPr>
        <w:ind w:left="4320" w:hanging="180"/>
      </w:pPr>
    </w:lvl>
    <w:lvl w:ilvl="6" w:tplc="44C4AA72" w:tentative="1">
      <w:start w:val="1"/>
      <w:numFmt w:val="decimal"/>
      <w:lvlText w:val="%7."/>
      <w:lvlJc w:val="left"/>
      <w:pPr>
        <w:ind w:left="5040" w:hanging="360"/>
      </w:pPr>
    </w:lvl>
    <w:lvl w:ilvl="7" w:tplc="497ECBE2" w:tentative="1">
      <w:start w:val="1"/>
      <w:numFmt w:val="lowerLetter"/>
      <w:lvlText w:val="%8."/>
      <w:lvlJc w:val="left"/>
      <w:pPr>
        <w:ind w:left="5760" w:hanging="360"/>
      </w:pPr>
    </w:lvl>
    <w:lvl w:ilvl="8" w:tplc="4D202EFE" w:tentative="1">
      <w:start w:val="1"/>
      <w:numFmt w:val="lowerRoman"/>
      <w:lvlText w:val="%9."/>
      <w:lvlJc w:val="right"/>
      <w:pPr>
        <w:ind w:left="6480" w:hanging="180"/>
      </w:pPr>
    </w:lvl>
  </w:abstractNum>
  <w:abstractNum w:abstractNumId="21" w15:restartNumberingAfterBreak="1">
    <w:nsid w:val="4EAE3CE4"/>
    <w:multiLevelType w:val="hybridMultilevel"/>
    <w:tmpl w:val="85FCAC62"/>
    <w:lvl w:ilvl="0" w:tplc="CC60FBE0">
      <w:start w:val="1"/>
      <w:numFmt w:val="bullet"/>
      <w:lvlText w:val=""/>
      <w:lvlJc w:val="left"/>
      <w:pPr>
        <w:ind w:left="360" w:hanging="360"/>
      </w:pPr>
      <w:rPr>
        <w:rFonts w:ascii="Symbol" w:hAnsi="Symbol" w:hint="default"/>
      </w:rPr>
    </w:lvl>
    <w:lvl w:ilvl="1" w:tplc="577A37FA" w:tentative="1">
      <w:start w:val="1"/>
      <w:numFmt w:val="bullet"/>
      <w:lvlText w:val="o"/>
      <w:lvlJc w:val="left"/>
      <w:pPr>
        <w:ind w:left="1080" w:hanging="360"/>
      </w:pPr>
      <w:rPr>
        <w:rFonts w:ascii="Courier New" w:hAnsi="Courier New" w:cs="Courier New" w:hint="default"/>
      </w:rPr>
    </w:lvl>
    <w:lvl w:ilvl="2" w:tplc="CBD08EF4" w:tentative="1">
      <w:start w:val="1"/>
      <w:numFmt w:val="bullet"/>
      <w:lvlText w:val=""/>
      <w:lvlJc w:val="left"/>
      <w:pPr>
        <w:ind w:left="1800" w:hanging="360"/>
      </w:pPr>
      <w:rPr>
        <w:rFonts w:ascii="Wingdings" w:hAnsi="Wingdings" w:hint="default"/>
      </w:rPr>
    </w:lvl>
    <w:lvl w:ilvl="3" w:tplc="D272D5E2" w:tentative="1">
      <w:start w:val="1"/>
      <w:numFmt w:val="bullet"/>
      <w:lvlText w:val=""/>
      <w:lvlJc w:val="left"/>
      <w:pPr>
        <w:ind w:left="2520" w:hanging="360"/>
      </w:pPr>
      <w:rPr>
        <w:rFonts w:ascii="Symbol" w:hAnsi="Symbol" w:hint="default"/>
      </w:rPr>
    </w:lvl>
    <w:lvl w:ilvl="4" w:tplc="F72E5944" w:tentative="1">
      <w:start w:val="1"/>
      <w:numFmt w:val="bullet"/>
      <w:lvlText w:val="o"/>
      <w:lvlJc w:val="left"/>
      <w:pPr>
        <w:ind w:left="3240" w:hanging="360"/>
      </w:pPr>
      <w:rPr>
        <w:rFonts w:ascii="Courier New" w:hAnsi="Courier New" w:cs="Courier New" w:hint="default"/>
      </w:rPr>
    </w:lvl>
    <w:lvl w:ilvl="5" w:tplc="DA464B9A" w:tentative="1">
      <w:start w:val="1"/>
      <w:numFmt w:val="bullet"/>
      <w:lvlText w:val=""/>
      <w:lvlJc w:val="left"/>
      <w:pPr>
        <w:ind w:left="3960" w:hanging="360"/>
      </w:pPr>
      <w:rPr>
        <w:rFonts w:ascii="Wingdings" w:hAnsi="Wingdings" w:hint="default"/>
      </w:rPr>
    </w:lvl>
    <w:lvl w:ilvl="6" w:tplc="AA6A1C82" w:tentative="1">
      <w:start w:val="1"/>
      <w:numFmt w:val="bullet"/>
      <w:lvlText w:val=""/>
      <w:lvlJc w:val="left"/>
      <w:pPr>
        <w:ind w:left="4680" w:hanging="360"/>
      </w:pPr>
      <w:rPr>
        <w:rFonts w:ascii="Symbol" w:hAnsi="Symbol" w:hint="default"/>
      </w:rPr>
    </w:lvl>
    <w:lvl w:ilvl="7" w:tplc="FC5879D2" w:tentative="1">
      <w:start w:val="1"/>
      <w:numFmt w:val="bullet"/>
      <w:lvlText w:val="o"/>
      <w:lvlJc w:val="left"/>
      <w:pPr>
        <w:ind w:left="5400" w:hanging="360"/>
      </w:pPr>
      <w:rPr>
        <w:rFonts w:ascii="Courier New" w:hAnsi="Courier New" w:cs="Courier New" w:hint="default"/>
      </w:rPr>
    </w:lvl>
    <w:lvl w:ilvl="8" w:tplc="F85C722E" w:tentative="1">
      <w:start w:val="1"/>
      <w:numFmt w:val="bullet"/>
      <w:lvlText w:val=""/>
      <w:lvlJc w:val="left"/>
      <w:pPr>
        <w:ind w:left="6120" w:hanging="360"/>
      </w:pPr>
      <w:rPr>
        <w:rFonts w:ascii="Wingdings" w:hAnsi="Wingdings" w:hint="default"/>
      </w:rPr>
    </w:lvl>
  </w:abstractNum>
  <w:abstractNum w:abstractNumId="22" w15:restartNumberingAfterBreak="0">
    <w:nsid w:val="55671D09"/>
    <w:multiLevelType w:val="hybridMultilevel"/>
    <w:tmpl w:val="91D667C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402ABE"/>
    <w:multiLevelType w:val="hybridMultilevel"/>
    <w:tmpl w:val="197881B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1">
    <w:nsid w:val="5E7E4074"/>
    <w:multiLevelType w:val="hybridMultilevel"/>
    <w:tmpl w:val="BE3209E2"/>
    <w:lvl w:ilvl="0" w:tplc="47BC7C6A">
      <w:start w:val="1"/>
      <w:numFmt w:val="decimal"/>
      <w:lvlText w:val="%1)"/>
      <w:lvlJc w:val="left"/>
      <w:pPr>
        <w:ind w:left="720" w:hanging="360"/>
      </w:pPr>
    </w:lvl>
    <w:lvl w:ilvl="1" w:tplc="51048AF8" w:tentative="1">
      <w:start w:val="1"/>
      <w:numFmt w:val="lowerLetter"/>
      <w:lvlText w:val="%2."/>
      <w:lvlJc w:val="left"/>
      <w:pPr>
        <w:ind w:left="1440" w:hanging="360"/>
      </w:pPr>
    </w:lvl>
    <w:lvl w:ilvl="2" w:tplc="F872B134" w:tentative="1">
      <w:start w:val="1"/>
      <w:numFmt w:val="lowerRoman"/>
      <w:lvlText w:val="%3."/>
      <w:lvlJc w:val="right"/>
      <w:pPr>
        <w:ind w:left="2160" w:hanging="180"/>
      </w:pPr>
    </w:lvl>
    <w:lvl w:ilvl="3" w:tplc="AA0E53EE" w:tentative="1">
      <w:start w:val="1"/>
      <w:numFmt w:val="decimal"/>
      <w:lvlText w:val="%4."/>
      <w:lvlJc w:val="left"/>
      <w:pPr>
        <w:ind w:left="2880" w:hanging="360"/>
      </w:pPr>
    </w:lvl>
    <w:lvl w:ilvl="4" w:tplc="2C96E45C" w:tentative="1">
      <w:start w:val="1"/>
      <w:numFmt w:val="lowerLetter"/>
      <w:lvlText w:val="%5."/>
      <w:lvlJc w:val="left"/>
      <w:pPr>
        <w:ind w:left="3600" w:hanging="360"/>
      </w:pPr>
    </w:lvl>
    <w:lvl w:ilvl="5" w:tplc="292E1EFC" w:tentative="1">
      <w:start w:val="1"/>
      <w:numFmt w:val="lowerRoman"/>
      <w:lvlText w:val="%6."/>
      <w:lvlJc w:val="right"/>
      <w:pPr>
        <w:ind w:left="4320" w:hanging="180"/>
      </w:pPr>
    </w:lvl>
    <w:lvl w:ilvl="6" w:tplc="33FA59DC" w:tentative="1">
      <w:start w:val="1"/>
      <w:numFmt w:val="decimal"/>
      <w:lvlText w:val="%7."/>
      <w:lvlJc w:val="left"/>
      <w:pPr>
        <w:ind w:left="5040" w:hanging="360"/>
      </w:pPr>
    </w:lvl>
    <w:lvl w:ilvl="7" w:tplc="A8AECAB4" w:tentative="1">
      <w:start w:val="1"/>
      <w:numFmt w:val="lowerLetter"/>
      <w:lvlText w:val="%8."/>
      <w:lvlJc w:val="left"/>
      <w:pPr>
        <w:ind w:left="5760" w:hanging="360"/>
      </w:pPr>
    </w:lvl>
    <w:lvl w:ilvl="8" w:tplc="0178BB14" w:tentative="1">
      <w:start w:val="1"/>
      <w:numFmt w:val="lowerRoman"/>
      <w:lvlText w:val="%9."/>
      <w:lvlJc w:val="right"/>
      <w:pPr>
        <w:ind w:left="6480" w:hanging="180"/>
      </w:pPr>
    </w:lvl>
  </w:abstractNum>
  <w:abstractNum w:abstractNumId="25" w15:restartNumberingAfterBreak="0">
    <w:nsid w:val="5EE549F9"/>
    <w:multiLevelType w:val="hybridMultilevel"/>
    <w:tmpl w:val="01627A96"/>
    <w:lvl w:ilvl="0" w:tplc="8DE63A5E">
      <w:start w:val="1"/>
      <w:numFmt w:val="decimal"/>
      <w:lvlText w:val="%1"/>
      <w:lvlJc w:val="left"/>
      <w:pPr>
        <w:ind w:left="697" w:hanging="360"/>
      </w:pPr>
      <w:rPr>
        <w:rFonts w:hint="default"/>
        <w:i w:val="0"/>
      </w:rPr>
    </w:lvl>
    <w:lvl w:ilvl="1" w:tplc="04260019" w:tentative="1">
      <w:start w:val="1"/>
      <w:numFmt w:val="lowerLetter"/>
      <w:lvlText w:val="%2."/>
      <w:lvlJc w:val="left"/>
      <w:pPr>
        <w:ind w:left="1417" w:hanging="360"/>
      </w:pPr>
    </w:lvl>
    <w:lvl w:ilvl="2" w:tplc="0426001B" w:tentative="1">
      <w:start w:val="1"/>
      <w:numFmt w:val="lowerRoman"/>
      <w:lvlText w:val="%3."/>
      <w:lvlJc w:val="right"/>
      <w:pPr>
        <w:ind w:left="2137" w:hanging="180"/>
      </w:pPr>
    </w:lvl>
    <w:lvl w:ilvl="3" w:tplc="0426000F" w:tentative="1">
      <w:start w:val="1"/>
      <w:numFmt w:val="decimal"/>
      <w:lvlText w:val="%4."/>
      <w:lvlJc w:val="left"/>
      <w:pPr>
        <w:ind w:left="2857" w:hanging="360"/>
      </w:pPr>
    </w:lvl>
    <w:lvl w:ilvl="4" w:tplc="04260019" w:tentative="1">
      <w:start w:val="1"/>
      <w:numFmt w:val="lowerLetter"/>
      <w:lvlText w:val="%5."/>
      <w:lvlJc w:val="left"/>
      <w:pPr>
        <w:ind w:left="3577" w:hanging="360"/>
      </w:pPr>
    </w:lvl>
    <w:lvl w:ilvl="5" w:tplc="0426001B" w:tentative="1">
      <w:start w:val="1"/>
      <w:numFmt w:val="lowerRoman"/>
      <w:lvlText w:val="%6."/>
      <w:lvlJc w:val="right"/>
      <w:pPr>
        <w:ind w:left="4297" w:hanging="180"/>
      </w:pPr>
    </w:lvl>
    <w:lvl w:ilvl="6" w:tplc="0426000F" w:tentative="1">
      <w:start w:val="1"/>
      <w:numFmt w:val="decimal"/>
      <w:lvlText w:val="%7."/>
      <w:lvlJc w:val="left"/>
      <w:pPr>
        <w:ind w:left="5017" w:hanging="360"/>
      </w:pPr>
    </w:lvl>
    <w:lvl w:ilvl="7" w:tplc="04260019" w:tentative="1">
      <w:start w:val="1"/>
      <w:numFmt w:val="lowerLetter"/>
      <w:lvlText w:val="%8."/>
      <w:lvlJc w:val="left"/>
      <w:pPr>
        <w:ind w:left="5737" w:hanging="360"/>
      </w:pPr>
    </w:lvl>
    <w:lvl w:ilvl="8" w:tplc="0426001B" w:tentative="1">
      <w:start w:val="1"/>
      <w:numFmt w:val="lowerRoman"/>
      <w:lvlText w:val="%9."/>
      <w:lvlJc w:val="right"/>
      <w:pPr>
        <w:ind w:left="6457" w:hanging="180"/>
      </w:pPr>
    </w:lvl>
  </w:abstractNum>
  <w:abstractNum w:abstractNumId="26" w15:restartNumberingAfterBreak="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15:restartNumberingAfterBreak="0">
    <w:nsid w:val="70E83950"/>
    <w:multiLevelType w:val="hybridMultilevel"/>
    <w:tmpl w:val="E63403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83B33EA"/>
    <w:multiLevelType w:val="hybridMultilevel"/>
    <w:tmpl w:val="C03E8F26"/>
    <w:lvl w:ilvl="0" w:tplc="668224C4">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1">
    <w:nsid w:val="78DD7A03"/>
    <w:multiLevelType w:val="hybridMultilevel"/>
    <w:tmpl w:val="7BF8695E"/>
    <w:lvl w:ilvl="0" w:tplc="030C4640">
      <w:start w:val="7"/>
      <w:numFmt w:val="bullet"/>
      <w:lvlText w:val="-"/>
      <w:lvlJc w:val="left"/>
      <w:pPr>
        <w:ind w:left="720" w:hanging="360"/>
      </w:pPr>
      <w:rPr>
        <w:rFonts w:ascii="Times New Roman" w:eastAsia="Calibri" w:hAnsi="Times New Roman" w:cs="Times New Roman" w:hint="default"/>
      </w:rPr>
    </w:lvl>
    <w:lvl w:ilvl="1" w:tplc="82BCCC68" w:tentative="1">
      <w:start w:val="1"/>
      <w:numFmt w:val="bullet"/>
      <w:lvlText w:val="o"/>
      <w:lvlJc w:val="left"/>
      <w:pPr>
        <w:ind w:left="1440" w:hanging="360"/>
      </w:pPr>
      <w:rPr>
        <w:rFonts w:ascii="Courier New" w:hAnsi="Courier New" w:cs="Courier New" w:hint="default"/>
      </w:rPr>
    </w:lvl>
    <w:lvl w:ilvl="2" w:tplc="5D8889C2" w:tentative="1">
      <w:start w:val="1"/>
      <w:numFmt w:val="bullet"/>
      <w:lvlText w:val=""/>
      <w:lvlJc w:val="left"/>
      <w:pPr>
        <w:ind w:left="2160" w:hanging="360"/>
      </w:pPr>
      <w:rPr>
        <w:rFonts w:ascii="Wingdings" w:hAnsi="Wingdings" w:hint="default"/>
      </w:rPr>
    </w:lvl>
    <w:lvl w:ilvl="3" w:tplc="377E6C38" w:tentative="1">
      <w:start w:val="1"/>
      <w:numFmt w:val="bullet"/>
      <w:lvlText w:val=""/>
      <w:lvlJc w:val="left"/>
      <w:pPr>
        <w:ind w:left="2880" w:hanging="360"/>
      </w:pPr>
      <w:rPr>
        <w:rFonts w:ascii="Symbol" w:hAnsi="Symbol" w:hint="default"/>
      </w:rPr>
    </w:lvl>
    <w:lvl w:ilvl="4" w:tplc="242AD906" w:tentative="1">
      <w:start w:val="1"/>
      <w:numFmt w:val="bullet"/>
      <w:lvlText w:val="o"/>
      <w:lvlJc w:val="left"/>
      <w:pPr>
        <w:ind w:left="3600" w:hanging="360"/>
      </w:pPr>
      <w:rPr>
        <w:rFonts w:ascii="Courier New" w:hAnsi="Courier New" w:cs="Courier New" w:hint="default"/>
      </w:rPr>
    </w:lvl>
    <w:lvl w:ilvl="5" w:tplc="3F18C64C" w:tentative="1">
      <w:start w:val="1"/>
      <w:numFmt w:val="bullet"/>
      <w:lvlText w:val=""/>
      <w:lvlJc w:val="left"/>
      <w:pPr>
        <w:ind w:left="4320" w:hanging="360"/>
      </w:pPr>
      <w:rPr>
        <w:rFonts w:ascii="Wingdings" w:hAnsi="Wingdings" w:hint="default"/>
      </w:rPr>
    </w:lvl>
    <w:lvl w:ilvl="6" w:tplc="DD26BF5E" w:tentative="1">
      <w:start w:val="1"/>
      <w:numFmt w:val="bullet"/>
      <w:lvlText w:val=""/>
      <w:lvlJc w:val="left"/>
      <w:pPr>
        <w:ind w:left="5040" w:hanging="360"/>
      </w:pPr>
      <w:rPr>
        <w:rFonts w:ascii="Symbol" w:hAnsi="Symbol" w:hint="default"/>
      </w:rPr>
    </w:lvl>
    <w:lvl w:ilvl="7" w:tplc="260843C8" w:tentative="1">
      <w:start w:val="1"/>
      <w:numFmt w:val="bullet"/>
      <w:lvlText w:val="o"/>
      <w:lvlJc w:val="left"/>
      <w:pPr>
        <w:ind w:left="5760" w:hanging="360"/>
      </w:pPr>
      <w:rPr>
        <w:rFonts w:ascii="Courier New" w:hAnsi="Courier New" w:cs="Courier New" w:hint="default"/>
      </w:rPr>
    </w:lvl>
    <w:lvl w:ilvl="8" w:tplc="AF62EF88" w:tentative="1">
      <w:start w:val="1"/>
      <w:numFmt w:val="bullet"/>
      <w:lvlText w:val=""/>
      <w:lvlJc w:val="left"/>
      <w:pPr>
        <w:ind w:left="6480" w:hanging="360"/>
      </w:pPr>
      <w:rPr>
        <w:rFonts w:ascii="Wingdings" w:hAnsi="Wingdings" w:hint="default"/>
      </w:rPr>
    </w:lvl>
  </w:abstractNum>
  <w:abstractNum w:abstractNumId="30" w15:restartNumberingAfterBreak="0">
    <w:nsid w:val="7CA04DB6"/>
    <w:multiLevelType w:val="hybridMultilevel"/>
    <w:tmpl w:val="5EDA508A"/>
    <w:lvl w:ilvl="0" w:tplc="E1AE7058">
      <w:start w:val="1"/>
      <w:numFmt w:val="decimal"/>
      <w:lvlText w:val="%1"/>
      <w:lvlJc w:val="left"/>
      <w:pPr>
        <w:ind w:left="337" w:hanging="360"/>
      </w:pPr>
      <w:rPr>
        <w:rFonts w:hint="default"/>
        <w:i w:val="0"/>
      </w:rPr>
    </w:lvl>
    <w:lvl w:ilvl="1" w:tplc="04260019" w:tentative="1">
      <w:start w:val="1"/>
      <w:numFmt w:val="lowerLetter"/>
      <w:lvlText w:val="%2."/>
      <w:lvlJc w:val="left"/>
      <w:pPr>
        <w:ind w:left="1057" w:hanging="360"/>
      </w:pPr>
    </w:lvl>
    <w:lvl w:ilvl="2" w:tplc="0426001B" w:tentative="1">
      <w:start w:val="1"/>
      <w:numFmt w:val="lowerRoman"/>
      <w:lvlText w:val="%3."/>
      <w:lvlJc w:val="right"/>
      <w:pPr>
        <w:ind w:left="1777" w:hanging="180"/>
      </w:pPr>
    </w:lvl>
    <w:lvl w:ilvl="3" w:tplc="0426000F" w:tentative="1">
      <w:start w:val="1"/>
      <w:numFmt w:val="decimal"/>
      <w:lvlText w:val="%4."/>
      <w:lvlJc w:val="left"/>
      <w:pPr>
        <w:ind w:left="2497" w:hanging="360"/>
      </w:pPr>
    </w:lvl>
    <w:lvl w:ilvl="4" w:tplc="04260019" w:tentative="1">
      <w:start w:val="1"/>
      <w:numFmt w:val="lowerLetter"/>
      <w:lvlText w:val="%5."/>
      <w:lvlJc w:val="left"/>
      <w:pPr>
        <w:ind w:left="3217" w:hanging="360"/>
      </w:pPr>
    </w:lvl>
    <w:lvl w:ilvl="5" w:tplc="0426001B" w:tentative="1">
      <w:start w:val="1"/>
      <w:numFmt w:val="lowerRoman"/>
      <w:lvlText w:val="%6."/>
      <w:lvlJc w:val="right"/>
      <w:pPr>
        <w:ind w:left="3937" w:hanging="180"/>
      </w:pPr>
    </w:lvl>
    <w:lvl w:ilvl="6" w:tplc="0426000F" w:tentative="1">
      <w:start w:val="1"/>
      <w:numFmt w:val="decimal"/>
      <w:lvlText w:val="%7."/>
      <w:lvlJc w:val="left"/>
      <w:pPr>
        <w:ind w:left="4657" w:hanging="360"/>
      </w:pPr>
    </w:lvl>
    <w:lvl w:ilvl="7" w:tplc="04260019" w:tentative="1">
      <w:start w:val="1"/>
      <w:numFmt w:val="lowerLetter"/>
      <w:lvlText w:val="%8."/>
      <w:lvlJc w:val="left"/>
      <w:pPr>
        <w:ind w:left="5377" w:hanging="360"/>
      </w:pPr>
    </w:lvl>
    <w:lvl w:ilvl="8" w:tplc="0426001B" w:tentative="1">
      <w:start w:val="1"/>
      <w:numFmt w:val="lowerRoman"/>
      <w:lvlText w:val="%9."/>
      <w:lvlJc w:val="right"/>
      <w:pPr>
        <w:ind w:left="6097" w:hanging="180"/>
      </w:pPr>
    </w:lvl>
  </w:abstractNum>
  <w:abstractNum w:abstractNumId="31" w15:restartNumberingAfterBreak="1">
    <w:nsid w:val="7DF57381"/>
    <w:multiLevelType w:val="hybridMultilevel"/>
    <w:tmpl w:val="A8C400A2"/>
    <w:lvl w:ilvl="0" w:tplc="B42EF428">
      <w:start w:val="1"/>
      <w:numFmt w:val="decimal"/>
      <w:lvlText w:val="%1)"/>
      <w:lvlJc w:val="left"/>
      <w:pPr>
        <w:ind w:left="720" w:hanging="360"/>
      </w:pPr>
      <w:rPr>
        <w:rFonts w:hint="default"/>
      </w:rPr>
    </w:lvl>
    <w:lvl w:ilvl="1" w:tplc="6628AA8A" w:tentative="1">
      <w:start w:val="1"/>
      <w:numFmt w:val="lowerLetter"/>
      <w:lvlText w:val="%2."/>
      <w:lvlJc w:val="left"/>
      <w:pPr>
        <w:ind w:left="1440" w:hanging="360"/>
      </w:pPr>
    </w:lvl>
    <w:lvl w:ilvl="2" w:tplc="0F603318" w:tentative="1">
      <w:start w:val="1"/>
      <w:numFmt w:val="lowerRoman"/>
      <w:lvlText w:val="%3."/>
      <w:lvlJc w:val="right"/>
      <w:pPr>
        <w:ind w:left="2160" w:hanging="180"/>
      </w:pPr>
    </w:lvl>
    <w:lvl w:ilvl="3" w:tplc="9BDA6836" w:tentative="1">
      <w:start w:val="1"/>
      <w:numFmt w:val="decimal"/>
      <w:lvlText w:val="%4."/>
      <w:lvlJc w:val="left"/>
      <w:pPr>
        <w:ind w:left="2880" w:hanging="360"/>
      </w:pPr>
    </w:lvl>
    <w:lvl w:ilvl="4" w:tplc="5B60D5CC" w:tentative="1">
      <w:start w:val="1"/>
      <w:numFmt w:val="lowerLetter"/>
      <w:lvlText w:val="%5."/>
      <w:lvlJc w:val="left"/>
      <w:pPr>
        <w:ind w:left="3600" w:hanging="360"/>
      </w:pPr>
    </w:lvl>
    <w:lvl w:ilvl="5" w:tplc="AE2416FE" w:tentative="1">
      <w:start w:val="1"/>
      <w:numFmt w:val="lowerRoman"/>
      <w:lvlText w:val="%6."/>
      <w:lvlJc w:val="right"/>
      <w:pPr>
        <w:ind w:left="4320" w:hanging="180"/>
      </w:pPr>
    </w:lvl>
    <w:lvl w:ilvl="6" w:tplc="4C96943E" w:tentative="1">
      <w:start w:val="1"/>
      <w:numFmt w:val="decimal"/>
      <w:lvlText w:val="%7."/>
      <w:lvlJc w:val="left"/>
      <w:pPr>
        <w:ind w:left="5040" w:hanging="360"/>
      </w:pPr>
    </w:lvl>
    <w:lvl w:ilvl="7" w:tplc="73088D46" w:tentative="1">
      <w:start w:val="1"/>
      <w:numFmt w:val="lowerLetter"/>
      <w:lvlText w:val="%8."/>
      <w:lvlJc w:val="left"/>
      <w:pPr>
        <w:ind w:left="5760" w:hanging="360"/>
      </w:pPr>
    </w:lvl>
    <w:lvl w:ilvl="8" w:tplc="5DE20D9A" w:tentative="1">
      <w:start w:val="1"/>
      <w:numFmt w:val="lowerRoman"/>
      <w:lvlText w:val="%9."/>
      <w:lvlJc w:val="right"/>
      <w:pPr>
        <w:ind w:left="6480" w:hanging="180"/>
      </w:pPr>
    </w:lvl>
  </w:abstractNum>
  <w:abstractNum w:abstractNumId="32" w15:restartNumberingAfterBreak="0">
    <w:nsid w:val="7E612A31"/>
    <w:multiLevelType w:val="hybridMultilevel"/>
    <w:tmpl w:val="C128C218"/>
    <w:lvl w:ilvl="0" w:tplc="C84A6B56">
      <w:start w:val="1"/>
      <w:numFmt w:val="decimal"/>
      <w:lvlText w:val="%1)"/>
      <w:lvlJc w:val="left"/>
      <w:pPr>
        <w:ind w:left="720" w:hanging="360"/>
      </w:pPr>
      <w:rPr>
        <w:rFonts w:eastAsia="Times New Roman" w:hint="default"/>
        <w:b w:val="0"/>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F3A297C"/>
    <w:multiLevelType w:val="hybridMultilevel"/>
    <w:tmpl w:val="78BA031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7"/>
  </w:num>
  <w:num w:numId="3">
    <w:abstractNumId w:val="31"/>
  </w:num>
  <w:num w:numId="4">
    <w:abstractNumId w:val="21"/>
  </w:num>
  <w:num w:numId="5">
    <w:abstractNumId w:val="6"/>
  </w:num>
  <w:num w:numId="6">
    <w:abstractNumId w:val="9"/>
  </w:num>
  <w:num w:numId="7">
    <w:abstractNumId w:val="15"/>
  </w:num>
  <w:num w:numId="8">
    <w:abstractNumId w:val="20"/>
  </w:num>
  <w:num w:numId="9">
    <w:abstractNumId w:val="4"/>
  </w:num>
  <w:num w:numId="10">
    <w:abstractNumId w:val="24"/>
  </w:num>
  <w:num w:numId="11">
    <w:abstractNumId w:val="19"/>
  </w:num>
  <w:num w:numId="12">
    <w:abstractNumId w:val="26"/>
  </w:num>
  <w:num w:numId="13">
    <w:abstractNumId w:val="29"/>
  </w:num>
  <w:num w:numId="14">
    <w:abstractNumId w:val="5"/>
  </w:num>
  <w:num w:numId="15">
    <w:abstractNumId w:val="7"/>
  </w:num>
  <w:num w:numId="16">
    <w:abstractNumId w:val="3"/>
  </w:num>
  <w:num w:numId="17">
    <w:abstractNumId w:val="33"/>
  </w:num>
  <w:num w:numId="18">
    <w:abstractNumId w:val="23"/>
  </w:num>
  <w:num w:numId="19">
    <w:abstractNumId w:val="12"/>
  </w:num>
  <w:num w:numId="20">
    <w:abstractNumId w:val="11"/>
  </w:num>
  <w:num w:numId="21">
    <w:abstractNumId w:val="27"/>
  </w:num>
  <w:num w:numId="22">
    <w:abstractNumId w:val="32"/>
  </w:num>
  <w:num w:numId="23">
    <w:abstractNumId w:val="30"/>
  </w:num>
  <w:num w:numId="24">
    <w:abstractNumId w:val="25"/>
  </w:num>
  <w:num w:numId="25">
    <w:abstractNumId w:val="16"/>
  </w:num>
  <w:num w:numId="26">
    <w:abstractNumId w:val="10"/>
  </w:num>
  <w:num w:numId="27">
    <w:abstractNumId w:val="22"/>
  </w:num>
  <w:num w:numId="28">
    <w:abstractNumId w:val="8"/>
  </w:num>
  <w:num w:numId="29">
    <w:abstractNumId w:val="13"/>
  </w:num>
  <w:num w:numId="30">
    <w:abstractNumId w:val="0"/>
  </w:num>
  <w:num w:numId="31">
    <w:abstractNumId w:val="14"/>
  </w:num>
  <w:num w:numId="32">
    <w:abstractNumId w:val="28"/>
  </w:num>
  <w:num w:numId="33">
    <w:abstractNumId w:val="1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0DA"/>
    <w:rsid w:val="0000163E"/>
    <w:rsid w:val="00001C7E"/>
    <w:rsid w:val="00003988"/>
    <w:rsid w:val="000041D7"/>
    <w:rsid w:val="00005F52"/>
    <w:rsid w:val="00006587"/>
    <w:rsid w:val="00006C10"/>
    <w:rsid w:val="0000765B"/>
    <w:rsid w:val="00007FDE"/>
    <w:rsid w:val="0001132D"/>
    <w:rsid w:val="000128DA"/>
    <w:rsid w:val="00013169"/>
    <w:rsid w:val="00014DA4"/>
    <w:rsid w:val="00014F01"/>
    <w:rsid w:val="000152BB"/>
    <w:rsid w:val="00022406"/>
    <w:rsid w:val="00023A15"/>
    <w:rsid w:val="00030CFB"/>
    <w:rsid w:val="000319E6"/>
    <w:rsid w:val="0004068C"/>
    <w:rsid w:val="000426D9"/>
    <w:rsid w:val="00042D84"/>
    <w:rsid w:val="00045286"/>
    <w:rsid w:val="000464EC"/>
    <w:rsid w:val="00053177"/>
    <w:rsid w:val="000533B4"/>
    <w:rsid w:val="0005421D"/>
    <w:rsid w:val="00055186"/>
    <w:rsid w:val="0006306D"/>
    <w:rsid w:val="00063099"/>
    <w:rsid w:val="00070016"/>
    <w:rsid w:val="00070523"/>
    <w:rsid w:val="0007216E"/>
    <w:rsid w:val="000769CF"/>
    <w:rsid w:val="000811BD"/>
    <w:rsid w:val="00081216"/>
    <w:rsid w:val="000817C9"/>
    <w:rsid w:val="00084ECD"/>
    <w:rsid w:val="000860ED"/>
    <w:rsid w:val="0008612A"/>
    <w:rsid w:val="00092EEB"/>
    <w:rsid w:val="00093123"/>
    <w:rsid w:val="00096160"/>
    <w:rsid w:val="00097626"/>
    <w:rsid w:val="00097FC9"/>
    <w:rsid w:val="000A0240"/>
    <w:rsid w:val="000A1213"/>
    <w:rsid w:val="000A516D"/>
    <w:rsid w:val="000A61A7"/>
    <w:rsid w:val="000A6409"/>
    <w:rsid w:val="000A6A51"/>
    <w:rsid w:val="000A7605"/>
    <w:rsid w:val="000B1774"/>
    <w:rsid w:val="000B235C"/>
    <w:rsid w:val="000B42BE"/>
    <w:rsid w:val="000B754E"/>
    <w:rsid w:val="000B7D84"/>
    <w:rsid w:val="000C2119"/>
    <w:rsid w:val="000C311E"/>
    <w:rsid w:val="000C3F5C"/>
    <w:rsid w:val="000C48C6"/>
    <w:rsid w:val="000C57B7"/>
    <w:rsid w:val="000D0808"/>
    <w:rsid w:val="000D0EE1"/>
    <w:rsid w:val="000D4878"/>
    <w:rsid w:val="000D7296"/>
    <w:rsid w:val="000E14BC"/>
    <w:rsid w:val="000E15C0"/>
    <w:rsid w:val="000E2056"/>
    <w:rsid w:val="000E2C5D"/>
    <w:rsid w:val="000E413F"/>
    <w:rsid w:val="000E4559"/>
    <w:rsid w:val="000F0030"/>
    <w:rsid w:val="000F37B1"/>
    <w:rsid w:val="000F54F6"/>
    <w:rsid w:val="00106FEE"/>
    <w:rsid w:val="00111F87"/>
    <w:rsid w:val="0011278D"/>
    <w:rsid w:val="00112B03"/>
    <w:rsid w:val="00125A13"/>
    <w:rsid w:val="001260E3"/>
    <w:rsid w:val="00126C38"/>
    <w:rsid w:val="001277DC"/>
    <w:rsid w:val="00127B95"/>
    <w:rsid w:val="00132444"/>
    <w:rsid w:val="00132A1C"/>
    <w:rsid w:val="00140C22"/>
    <w:rsid w:val="0014250E"/>
    <w:rsid w:val="0014567E"/>
    <w:rsid w:val="00152DE2"/>
    <w:rsid w:val="00155FDC"/>
    <w:rsid w:val="001572B4"/>
    <w:rsid w:val="00166831"/>
    <w:rsid w:val="0017045A"/>
    <w:rsid w:val="00175980"/>
    <w:rsid w:val="00175CE3"/>
    <w:rsid w:val="00177322"/>
    <w:rsid w:val="00177C94"/>
    <w:rsid w:val="00180575"/>
    <w:rsid w:val="00180C4C"/>
    <w:rsid w:val="00181814"/>
    <w:rsid w:val="00181E50"/>
    <w:rsid w:val="0018200F"/>
    <w:rsid w:val="001832BC"/>
    <w:rsid w:val="0018330B"/>
    <w:rsid w:val="00183508"/>
    <w:rsid w:val="00183CAC"/>
    <w:rsid w:val="00184AB1"/>
    <w:rsid w:val="001851DA"/>
    <w:rsid w:val="00186F16"/>
    <w:rsid w:val="0018767D"/>
    <w:rsid w:val="00187F72"/>
    <w:rsid w:val="001905A9"/>
    <w:rsid w:val="00190702"/>
    <w:rsid w:val="00191BD0"/>
    <w:rsid w:val="00197A15"/>
    <w:rsid w:val="001A242D"/>
    <w:rsid w:val="001A2A8B"/>
    <w:rsid w:val="001A2BE5"/>
    <w:rsid w:val="001A4346"/>
    <w:rsid w:val="001A4923"/>
    <w:rsid w:val="001A76CC"/>
    <w:rsid w:val="001B1808"/>
    <w:rsid w:val="001B33AF"/>
    <w:rsid w:val="001B4C77"/>
    <w:rsid w:val="001B67B8"/>
    <w:rsid w:val="001C095C"/>
    <w:rsid w:val="001C4F5C"/>
    <w:rsid w:val="001D2A8C"/>
    <w:rsid w:val="001D5B2D"/>
    <w:rsid w:val="001E2CFD"/>
    <w:rsid w:val="001E4571"/>
    <w:rsid w:val="001E4B3D"/>
    <w:rsid w:val="001E64A8"/>
    <w:rsid w:val="001E7B3E"/>
    <w:rsid w:val="001F3174"/>
    <w:rsid w:val="001F4C6F"/>
    <w:rsid w:val="001F50A4"/>
    <w:rsid w:val="001F653D"/>
    <w:rsid w:val="001F6B5C"/>
    <w:rsid w:val="00202CF6"/>
    <w:rsid w:val="0020342A"/>
    <w:rsid w:val="00204459"/>
    <w:rsid w:val="00207386"/>
    <w:rsid w:val="00215952"/>
    <w:rsid w:val="00215D85"/>
    <w:rsid w:val="002227FC"/>
    <w:rsid w:val="00231F9D"/>
    <w:rsid w:val="0023297A"/>
    <w:rsid w:val="00234608"/>
    <w:rsid w:val="00234DC9"/>
    <w:rsid w:val="00235997"/>
    <w:rsid w:val="002413DE"/>
    <w:rsid w:val="00243426"/>
    <w:rsid w:val="00246861"/>
    <w:rsid w:val="00257AA9"/>
    <w:rsid w:val="002621F3"/>
    <w:rsid w:val="00262696"/>
    <w:rsid w:val="00266D3B"/>
    <w:rsid w:val="00271879"/>
    <w:rsid w:val="002721C6"/>
    <w:rsid w:val="00272903"/>
    <w:rsid w:val="002734A0"/>
    <w:rsid w:val="00275094"/>
    <w:rsid w:val="0027634B"/>
    <w:rsid w:val="00277B97"/>
    <w:rsid w:val="0028106D"/>
    <w:rsid w:val="002832B2"/>
    <w:rsid w:val="002914F7"/>
    <w:rsid w:val="0029200E"/>
    <w:rsid w:val="0029498B"/>
    <w:rsid w:val="00294FD0"/>
    <w:rsid w:val="002A51E3"/>
    <w:rsid w:val="002B1945"/>
    <w:rsid w:val="002B556C"/>
    <w:rsid w:val="002B764C"/>
    <w:rsid w:val="002C1EC2"/>
    <w:rsid w:val="002C345A"/>
    <w:rsid w:val="002D5978"/>
    <w:rsid w:val="002E1C05"/>
    <w:rsid w:val="002E2203"/>
    <w:rsid w:val="002E721A"/>
    <w:rsid w:val="002E7439"/>
    <w:rsid w:val="002E7640"/>
    <w:rsid w:val="002E7EAD"/>
    <w:rsid w:val="002F1B03"/>
    <w:rsid w:val="002F1B24"/>
    <w:rsid w:val="002F33D6"/>
    <w:rsid w:val="002F438A"/>
    <w:rsid w:val="002F58DF"/>
    <w:rsid w:val="002F77A9"/>
    <w:rsid w:val="00300E23"/>
    <w:rsid w:val="00301814"/>
    <w:rsid w:val="00302CD1"/>
    <w:rsid w:val="003037B0"/>
    <w:rsid w:val="003049B9"/>
    <w:rsid w:val="00310BA0"/>
    <w:rsid w:val="00324389"/>
    <w:rsid w:val="003265F8"/>
    <w:rsid w:val="00330021"/>
    <w:rsid w:val="00330687"/>
    <w:rsid w:val="003310CB"/>
    <w:rsid w:val="003317A4"/>
    <w:rsid w:val="00331A4C"/>
    <w:rsid w:val="00342513"/>
    <w:rsid w:val="003429ED"/>
    <w:rsid w:val="00342D89"/>
    <w:rsid w:val="00344955"/>
    <w:rsid w:val="00344B1F"/>
    <w:rsid w:val="00350934"/>
    <w:rsid w:val="00352094"/>
    <w:rsid w:val="00355820"/>
    <w:rsid w:val="0035737A"/>
    <w:rsid w:val="00360451"/>
    <w:rsid w:val="003647AC"/>
    <w:rsid w:val="003676EF"/>
    <w:rsid w:val="00371243"/>
    <w:rsid w:val="00372FFA"/>
    <w:rsid w:val="003740EE"/>
    <w:rsid w:val="00374D1E"/>
    <w:rsid w:val="003751EF"/>
    <w:rsid w:val="00375A17"/>
    <w:rsid w:val="00377B03"/>
    <w:rsid w:val="00380372"/>
    <w:rsid w:val="00380D55"/>
    <w:rsid w:val="00386ACB"/>
    <w:rsid w:val="003942FB"/>
    <w:rsid w:val="003A1F4A"/>
    <w:rsid w:val="003A5146"/>
    <w:rsid w:val="003A554D"/>
    <w:rsid w:val="003B0BF9"/>
    <w:rsid w:val="003B4641"/>
    <w:rsid w:val="003B501B"/>
    <w:rsid w:val="003B6C09"/>
    <w:rsid w:val="003C20BC"/>
    <w:rsid w:val="003C2338"/>
    <w:rsid w:val="003C3B0F"/>
    <w:rsid w:val="003C4482"/>
    <w:rsid w:val="003C48C3"/>
    <w:rsid w:val="003C7D24"/>
    <w:rsid w:val="003D3263"/>
    <w:rsid w:val="003D3F37"/>
    <w:rsid w:val="003D4DB6"/>
    <w:rsid w:val="003D64A9"/>
    <w:rsid w:val="003D72E4"/>
    <w:rsid w:val="003D7FD9"/>
    <w:rsid w:val="003E0035"/>
    <w:rsid w:val="003E0791"/>
    <w:rsid w:val="003E347E"/>
    <w:rsid w:val="003E3785"/>
    <w:rsid w:val="003E6EDC"/>
    <w:rsid w:val="003F0A00"/>
    <w:rsid w:val="003F0E2C"/>
    <w:rsid w:val="003F28AC"/>
    <w:rsid w:val="00401FA5"/>
    <w:rsid w:val="0041047D"/>
    <w:rsid w:val="00422860"/>
    <w:rsid w:val="00422E75"/>
    <w:rsid w:val="004233AB"/>
    <w:rsid w:val="00423A75"/>
    <w:rsid w:val="004241DA"/>
    <w:rsid w:val="004275D9"/>
    <w:rsid w:val="0042781D"/>
    <w:rsid w:val="004301ED"/>
    <w:rsid w:val="004314D7"/>
    <w:rsid w:val="004328DC"/>
    <w:rsid w:val="00440B29"/>
    <w:rsid w:val="00440C52"/>
    <w:rsid w:val="00441452"/>
    <w:rsid w:val="004449CC"/>
    <w:rsid w:val="004454FE"/>
    <w:rsid w:val="004468D7"/>
    <w:rsid w:val="0044771F"/>
    <w:rsid w:val="00450967"/>
    <w:rsid w:val="00451015"/>
    <w:rsid w:val="00452FC5"/>
    <w:rsid w:val="004530AD"/>
    <w:rsid w:val="00453BCE"/>
    <w:rsid w:val="004564C0"/>
    <w:rsid w:val="00456D05"/>
    <w:rsid w:val="0046053B"/>
    <w:rsid w:val="004605A2"/>
    <w:rsid w:val="004611FD"/>
    <w:rsid w:val="0046791D"/>
    <w:rsid w:val="00471F27"/>
    <w:rsid w:val="00475239"/>
    <w:rsid w:val="00475A25"/>
    <w:rsid w:val="00476879"/>
    <w:rsid w:val="00480FF8"/>
    <w:rsid w:val="00481A29"/>
    <w:rsid w:val="0048605C"/>
    <w:rsid w:val="00487963"/>
    <w:rsid w:val="004936DB"/>
    <w:rsid w:val="00493DF3"/>
    <w:rsid w:val="004956ED"/>
    <w:rsid w:val="0049752E"/>
    <w:rsid w:val="004A2EDA"/>
    <w:rsid w:val="004A37B5"/>
    <w:rsid w:val="004A4C8F"/>
    <w:rsid w:val="004B1B10"/>
    <w:rsid w:val="004B1E65"/>
    <w:rsid w:val="004B42CA"/>
    <w:rsid w:val="004B4C4D"/>
    <w:rsid w:val="004B64C0"/>
    <w:rsid w:val="004B7964"/>
    <w:rsid w:val="004C2A60"/>
    <w:rsid w:val="004C67BC"/>
    <w:rsid w:val="004C7600"/>
    <w:rsid w:val="004D5AB4"/>
    <w:rsid w:val="004D7386"/>
    <w:rsid w:val="004E27EC"/>
    <w:rsid w:val="004E29B8"/>
    <w:rsid w:val="004E42F5"/>
    <w:rsid w:val="004E6C83"/>
    <w:rsid w:val="004F0B39"/>
    <w:rsid w:val="004F1617"/>
    <w:rsid w:val="004F20AB"/>
    <w:rsid w:val="004F2291"/>
    <w:rsid w:val="004F3B21"/>
    <w:rsid w:val="004F469B"/>
    <w:rsid w:val="004F547D"/>
    <w:rsid w:val="004F5882"/>
    <w:rsid w:val="004F58CB"/>
    <w:rsid w:val="004F6005"/>
    <w:rsid w:val="004F6B07"/>
    <w:rsid w:val="004F7FCE"/>
    <w:rsid w:val="005000A3"/>
    <w:rsid w:val="005001B7"/>
    <w:rsid w:val="0050178F"/>
    <w:rsid w:val="00502D6C"/>
    <w:rsid w:val="005031A3"/>
    <w:rsid w:val="005039E9"/>
    <w:rsid w:val="00504FBF"/>
    <w:rsid w:val="00506B21"/>
    <w:rsid w:val="005072FF"/>
    <w:rsid w:val="005113F4"/>
    <w:rsid w:val="00511E1C"/>
    <w:rsid w:val="00512BF1"/>
    <w:rsid w:val="00513B16"/>
    <w:rsid w:val="00513D56"/>
    <w:rsid w:val="00514B02"/>
    <w:rsid w:val="00517D86"/>
    <w:rsid w:val="00523A71"/>
    <w:rsid w:val="00524CDF"/>
    <w:rsid w:val="0052538D"/>
    <w:rsid w:val="00526C51"/>
    <w:rsid w:val="005326E3"/>
    <w:rsid w:val="0053496C"/>
    <w:rsid w:val="00535F19"/>
    <w:rsid w:val="00542202"/>
    <w:rsid w:val="005425BB"/>
    <w:rsid w:val="00542BBA"/>
    <w:rsid w:val="00544EB5"/>
    <w:rsid w:val="00553040"/>
    <w:rsid w:val="00554113"/>
    <w:rsid w:val="005541F8"/>
    <w:rsid w:val="00556807"/>
    <w:rsid w:val="00557646"/>
    <w:rsid w:val="005627F3"/>
    <w:rsid w:val="00571DF8"/>
    <w:rsid w:val="00573620"/>
    <w:rsid w:val="005742BE"/>
    <w:rsid w:val="00574785"/>
    <w:rsid w:val="00576C3E"/>
    <w:rsid w:val="00582522"/>
    <w:rsid w:val="00584389"/>
    <w:rsid w:val="0058675B"/>
    <w:rsid w:val="00586F6D"/>
    <w:rsid w:val="00587F5D"/>
    <w:rsid w:val="0059607B"/>
    <w:rsid w:val="005A0593"/>
    <w:rsid w:val="005A1568"/>
    <w:rsid w:val="005A2AB0"/>
    <w:rsid w:val="005A37C8"/>
    <w:rsid w:val="005A4DA1"/>
    <w:rsid w:val="005A52E6"/>
    <w:rsid w:val="005B00C1"/>
    <w:rsid w:val="005B211A"/>
    <w:rsid w:val="005B3502"/>
    <w:rsid w:val="005B7174"/>
    <w:rsid w:val="005C005D"/>
    <w:rsid w:val="005C00B0"/>
    <w:rsid w:val="005C6AB7"/>
    <w:rsid w:val="005D0C70"/>
    <w:rsid w:val="005D1B6C"/>
    <w:rsid w:val="005D2D1A"/>
    <w:rsid w:val="005D41A0"/>
    <w:rsid w:val="005D4AA7"/>
    <w:rsid w:val="005D7654"/>
    <w:rsid w:val="005E3079"/>
    <w:rsid w:val="005E3268"/>
    <w:rsid w:val="005F0CC1"/>
    <w:rsid w:val="005F1C03"/>
    <w:rsid w:val="005F4C54"/>
    <w:rsid w:val="005F4D53"/>
    <w:rsid w:val="005F6017"/>
    <w:rsid w:val="0060364E"/>
    <w:rsid w:val="0060661C"/>
    <w:rsid w:val="0060792A"/>
    <w:rsid w:val="006142EE"/>
    <w:rsid w:val="00616475"/>
    <w:rsid w:val="0062066F"/>
    <w:rsid w:val="0062174C"/>
    <w:rsid w:val="00623A42"/>
    <w:rsid w:val="00623A44"/>
    <w:rsid w:val="00625C92"/>
    <w:rsid w:val="00626EBD"/>
    <w:rsid w:val="00627129"/>
    <w:rsid w:val="00631448"/>
    <w:rsid w:val="00635C01"/>
    <w:rsid w:val="00642B40"/>
    <w:rsid w:val="00642E2A"/>
    <w:rsid w:val="00644E4D"/>
    <w:rsid w:val="00653063"/>
    <w:rsid w:val="00655340"/>
    <w:rsid w:val="00656C27"/>
    <w:rsid w:val="006572D7"/>
    <w:rsid w:val="006621C5"/>
    <w:rsid w:val="006622EB"/>
    <w:rsid w:val="00665E66"/>
    <w:rsid w:val="006709FD"/>
    <w:rsid w:val="00671BAA"/>
    <w:rsid w:val="00672FEF"/>
    <w:rsid w:val="00673C47"/>
    <w:rsid w:val="006749F2"/>
    <w:rsid w:val="00675E3C"/>
    <w:rsid w:val="00676117"/>
    <w:rsid w:val="00680BCA"/>
    <w:rsid w:val="00680DDE"/>
    <w:rsid w:val="006815CD"/>
    <w:rsid w:val="00681CB8"/>
    <w:rsid w:val="00683F41"/>
    <w:rsid w:val="006938AB"/>
    <w:rsid w:val="00694477"/>
    <w:rsid w:val="00694EF9"/>
    <w:rsid w:val="006976B3"/>
    <w:rsid w:val="006A6A58"/>
    <w:rsid w:val="006A6A75"/>
    <w:rsid w:val="006B1E60"/>
    <w:rsid w:val="006B2B6D"/>
    <w:rsid w:val="006B421C"/>
    <w:rsid w:val="006B4D19"/>
    <w:rsid w:val="006B54CE"/>
    <w:rsid w:val="006C3BF9"/>
    <w:rsid w:val="006C5420"/>
    <w:rsid w:val="006D0234"/>
    <w:rsid w:val="006D3F79"/>
    <w:rsid w:val="006D4FAE"/>
    <w:rsid w:val="006D5C10"/>
    <w:rsid w:val="006D6540"/>
    <w:rsid w:val="006D6BBD"/>
    <w:rsid w:val="006D70F1"/>
    <w:rsid w:val="006E0099"/>
    <w:rsid w:val="006E1081"/>
    <w:rsid w:val="006E11AA"/>
    <w:rsid w:val="006E45E3"/>
    <w:rsid w:val="006E52FA"/>
    <w:rsid w:val="006F4F1E"/>
    <w:rsid w:val="006F760C"/>
    <w:rsid w:val="00701241"/>
    <w:rsid w:val="007054D6"/>
    <w:rsid w:val="007107F4"/>
    <w:rsid w:val="007156F2"/>
    <w:rsid w:val="0071669A"/>
    <w:rsid w:val="00720045"/>
    <w:rsid w:val="00720585"/>
    <w:rsid w:val="00720BCA"/>
    <w:rsid w:val="0072275E"/>
    <w:rsid w:val="00723DF8"/>
    <w:rsid w:val="007240C4"/>
    <w:rsid w:val="00727BE9"/>
    <w:rsid w:val="0073103E"/>
    <w:rsid w:val="0073109F"/>
    <w:rsid w:val="00731B54"/>
    <w:rsid w:val="00732FBC"/>
    <w:rsid w:val="007341BF"/>
    <w:rsid w:val="00735E06"/>
    <w:rsid w:val="007370B2"/>
    <w:rsid w:val="00740517"/>
    <w:rsid w:val="007437DE"/>
    <w:rsid w:val="00744533"/>
    <w:rsid w:val="00750D2F"/>
    <w:rsid w:val="00751641"/>
    <w:rsid w:val="00754C23"/>
    <w:rsid w:val="007557A6"/>
    <w:rsid w:val="00755BAD"/>
    <w:rsid w:val="0075628F"/>
    <w:rsid w:val="007600D9"/>
    <w:rsid w:val="00762254"/>
    <w:rsid w:val="00762E46"/>
    <w:rsid w:val="007642FB"/>
    <w:rsid w:val="00772635"/>
    <w:rsid w:val="00773AF6"/>
    <w:rsid w:val="00773B4E"/>
    <w:rsid w:val="007743AC"/>
    <w:rsid w:val="00780EC1"/>
    <w:rsid w:val="00783A8F"/>
    <w:rsid w:val="00783F5C"/>
    <w:rsid w:val="007846CF"/>
    <w:rsid w:val="0078538E"/>
    <w:rsid w:val="00785FBC"/>
    <w:rsid w:val="0079116B"/>
    <w:rsid w:val="0079154E"/>
    <w:rsid w:val="00792A13"/>
    <w:rsid w:val="00792B00"/>
    <w:rsid w:val="00795E31"/>
    <w:rsid w:val="00795F71"/>
    <w:rsid w:val="007A0B87"/>
    <w:rsid w:val="007A0CC6"/>
    <w:rsid w:val="007A1F5A"/>
    <w:rsid w:val="007A2441"/>
    <w:rsid w:val="007A5AD5"/>
    <w:rsid w:val="007A6EF1"/>
    <w:rsid w:val="007B0902"/>
    <w:rsid w:val="007B1772"/>
    <w:rsid w:val="007B1CD7"/>
    <w:rsid w:val="007B2E39"/>
    <w:rsid w:val="007B637F"/>
    <w:rsid w:val="007C0BD6"/>
    <w:rsid w:val="007C26F4"/>
    <w:rsid w:val="007C3038"/>
    <w:rsid w:val="007C5759"/>
    <w:rsid w:val="007D300F"/>
    <w:rsid w:val="007D5B0B"/>
    <w:rsid w:val="007D6CA2"/>
    <w:rsid w:val="007D779B"/>
    <w:rsid w:val="007E1215"/>
    <w:rsid w:val="007E72CD"/>
    <w:rsid w:val="007E73AB"/>
    <w:rsid w:val="007E7AA9"/>
    <w:rsid w:val="007F0E38"/>
    <w:rsid w:val="007F3D8F"/>
    <w:rsid w:val="007F3FCD"/>
    <w:rsid w:val="007F68F4"/>
    <w:rsid w:val="007F6BC4"/>
    <w:rsid w:val="007F7105"/>
    <w:rsid w:val="007F723A"/>
    <w:rsid w:val="007F7AF6"/>
    <w:rsid w:val="0080241C"/>
    <w:rsid w:val="008031F2"/>
    <w:rsid w:val="00810241"/>
    <w:rsid w:val="00814046"/>
    <w:rsid w:val="00814119"/>
    <w:rsid w:val="0081423A"/>
    <w:rsid w:val="00814649"/>
    <w:rsid w:val="00816C11"/>
    <w:rsid w:val="00816CDF"/>
    <w:rsid w:val="00822B31"/>
    <w:rsid w:val="00823EFC"/>
    <w:rsid w:val="00824478"/>
    <w:rsid w:val="008251FF"/>
    <w:rsid w:val="00827A71"/>
    <w:rsid w:val="00830EA1"/>
    <w:rsid w:val="0083222C"/>
    <w:rsid w:val="00832C1B"/>
    <w:rsid w:val="008333AC"/>
    <w:rsid w:val="00836259"/>
    <w:rsid w:val="0084413A"/>
    <w:rsid w:val="00844435"/>
    <w:rsid w:val="0084708F"/>
    <w:rsid w:val="0085096A"/>
    <w:rsid w:val="00853C0C"/>
    <w:rsid w:val="0085426B"/>
    <w:rsid w:val="00862162"/>
    <w:rsid w:val="00862789"/>
    <w:rsid w:val="008638F5"/>
    <w:rsid w:val="00863B2D"/>
    <w:rsid w:val="00863DFC"/>
    <w:rsid w:val="008672DD"/>
    <w:rsid w:val="008713C1"/>
    <w:rsid w:val="008750E7"/>
    <w:rsid w:val="008824EB"/>
    <w:rsid w:val="008846E0"/>
    <w:rsid w:val="00892950"/>
    <w:rsid w:val="00892D26"/>
    <w:rsid w:val="008931F9"/>
    <w:rsid w:val="008934CD"/>
    <w:rsid w:val="00894C55"/>
    <w:rsid w:val="00896072"/>
    <w:rsid w:val="008B0595"/>
    <w:rsid w:val="008B12F3"/>
    <w:rsid w:val="008B609F"/>
    <w:rsid w:val="008B652A"/>
    <w:rsid w:val="008B699A"/>
    <w:rsid w:val="008B6FBE"/>
    <w:rsid w:val="008B795C"/>
    <w:rsid w:val="008B7E22"/>
    <w:rsid w:val="008C2830"/>
    <w:rsid w:val="008D07CD"/>
    <w:rsid w:val="008D3834"/>
    <w:rsid w:val="008E3F63"/>
    <w:rsid w:val="008E40EB"/>
    <w:rsid w:val="008F1634"/>
    <w:rsid w:val="008F29B2"/>
    <w:rsid w:val="0090417E"/>
    <w:rsid w:val="00912280"/>
    <w:rsid w:val="009126B7"/>
    <w:rsid w:val="00914976"/>
    <w:rsid w:val="00915048"/>
    <w:rsid w:val="009164C5"/>
    <w:rsid w:val="009257F0"/>
    <w:rsid w:val="009274BC"/>
    <w:rsid w:val="00933017"/>
    <w:rsid w:val="00934440"/>
    <w:rsid w:val="00934875"/>
    <w:rsid w:val="00934FF7"/>
    <w:rsid w:val="00936F39"/>
    <w:rsid w:val="00950AC6"/>
    <w:rsid w:val="00952B23"/>
    <w:rsid w:val="0095394C"/>
    <w:rsid w:val="00955991"/>
    <w:rsid w:val="00956AD4"/>
    <w:rsid w:val="009610E8"/>
    <w:rsid w:val="00961FAA"/>
    <w:rsid w:val="0096539B"/>
    <w:rsid w:val="00967E65"/>
    <w:rsid w:val="009713FF"/>
    <w:rsid w:val="00971562"/>
    <w:rsid w:val="00974011"/>
    <w:rsid w:val="00975E30"/>
    <w:rsid w:val="0098529C"/>
    <w:rsid w:val="009857E6"/>
    <w:rsid w:val="00985B6F"/>
    <w:rsid w:val="009876FD"/>
    <w:rsid w:val="00992732"/>
    <w:rsid w:val="009943FA"/>
    <w:rsid w:val="009A0E97"/>
    <w:rsid w:val="009A0FE1"/>
    <w:rsid w:val="009A2654"/>
    <w:rsid w:val="009A3565"/>
    <w:rsid w:val="009A4807"/>
    <w:rsid w:val="009A4FFE"/>
    <w:rsid w:val="009A6553"/>
    <w:rsid w:val="009B3186"/>
    <w:rsid w:val="009C029B"/>
    <w:rsid w:val="009C1168"/>
    <w:rsid w:val="009C3926"/>
    <w:rsid w:val="009C3AF9"/>
    <w:rsid w:val="009C3B95"/>
    <w:rsid w:val="009C54EC"/>
    <w:rsid w:val="009C763C"/>
    <w:rsid w:val="009C7B7C"/>
    <w:rsid w:val="009D0AEA"/>
    <w:rsid w:val="009D0B2D"/>
    <w:rsid w:val="009D15D8"/>
    <w:rsid w:val="009D4994"/>
    <w:rsid w:val="009D53EC"/>
    <w:rsid w:val="009E1009"/>
    <w:rsid w:val="009E2422"/>
    <w:rsid w:val="009E74A8"/>
    <w:rsid w:val="009E7564"/>
    <w:rsid w:val="009F04A9"/>
    <w:rsid w:val="009F460B"/>
    <w:rsid w:val="00A02417"/>
    <w:rsid w:val="00A0243B"/>
    <w:rsid w:val="00A067B1"/>
    <w:rsid w:val="00A06D88"/>
    <w:rsid w:val="00A11E3A"/>
    <w:rsid w:val="00A11EBF"/>
    <w:rsid w:val="00A1364B"/>
    <w:rsid w:val="00A1379F"/>
    <w:rsid w:val="00A15777"/>
    <w:rsid w:val="00A16B47"/>
    <w:rsid w:val="00A16F10"/>
    <w:rsid w:val="00A17354"/>
    <w:rsid w:val="00A17A80"/>
    <w:rsid w:val="00A22D5D"/>
    <w:rsid w:val="00A244A2"/>
    <w:rsid w:val="00A259ED"/>
    <w:rsid w:val="00A25CAF"/>
    <w:rsid w:val="00A27A68"/>
    <w:rsid w:val="00A27BB5"/>
    <w:rsid w:val="00A3065C"/>
    <w:rsid w:val="00A3150A"/>
    <w:rsid w:val="00A32DA9"/>
    <w:rsid w:val="00A3584F"/>
    <w:rsid w:val="00A36589"/>
    <w:rsid w:val="00A4141A"/>
    <w:rsid w:val="00A43D38"/>
    <w:rsid w:val="00A446D1"/>
    <w:rsid w:val="00A44BD4"/>
    <w:rsid w:val="00A44C85"/>
    <w:rsid w:val="00A469DA"/>
    <w:rsid w:val="00A46A9C"/>
    <w:rsid w:val="00A50430"/>
    <w:rsid w:val="00A5325C"/>
    <w:rsid w:val="00A54C90"/>
    <w:rsid w:val="00A6073E"/>
    <w:rsid w:val="00A62608"/>
    <w:rsid w:val="00A62BE9"/>
    <w:rsid w:val="00A62BF7"/>
    <w:rsid w:val="00A631AA"/>
    <w:rsid w:val="00A642E1"/>
    <w:rsid w:val="00A661CA"/>
    <w:rsid w:val="00A677D6"/>
    <w:rsid w:val="00A67DCC"/>
    <w:rsid w:val="00A70256"/>
    <w:rsid w:val="00A73006"/>
    <w:rsid w:val="00A74223"/>
    <w:rsid w:val="00A74EBB"/>
    <w:rsid w:val="00A7754E"/>
    <w:rsid w:val="00A77A2C"/>
    <w:rsid w:val="00A83412"/>
    <w:rsid w:val="00A86826"/>
    <w:rsid w:val="00A917FC"/>
    <w:rsid w:val="00A922F0"/>
    <w:rsid w:val="00A92EB5"/>
    <w:rsid w:val="00A93C07"/>
    <w:rsid w:val="00A96D0A"/>
    <w:rsid w:val="00A97DC7"/>
    <w:rsid w:val="00AA1153"/>
    <w:rsid w:val="00AB2017"/>
    <w:rsid w:val="00AB3421"/>
    <w:rsid w:val="00AC021A"/>
    <w:rsid w:val="00AC1B80"/>
    <w:rsid w:val="00AC1E0E"/>
    <w:rsid w:val="00AD198D"/>
    <w:rsid w:val="00AD1E87"/>
    <w:rsid w:val="00AD4DCF"/>
    <w:rsid w:val="00AD7389"/>
    <w:rsid w:val="00AD7C55"/>
    <w:rsid w:val="00AE0135"/>
    <w:rsid w:val="00AE06B7"/>
    <w:rsid w:val="00AE0A95"/>
    <w:rsid w:val="00AE10D3"/>
    <w:rsid w:val="00AE2B32"/>
    <w:rsid w:val="00AE4D2E"/>
    <w:rsid w:val="00AE5567"/>
    <w:rsid w:val="00AE5745"/>
    <w:rsid w:val="00AE7757"/>
    <w:rsid w:val="00AF07E7"/>
    <w:rsid w:val="00AF72F7"/>
    <w:rsid w:val="00AF7679"/>
    <w:rsid w:val="00B02A0D"/>
    <w:rsid w:val="00B10448"/>
    <w:rsid w:val="00B11863"/>
    <w:rsid w:val="00B125E7"/>
    <w:rsid w:val="00B14357"/>
    <w:rsid w:val="00B15464"/>
    <w:rsid w:val="00B15BC2"/>
    <w:rsid w:val="00B16480"/>
    <w:rsid w:val="00B17A1E"/>
    <w:rsid w:val="00B2165C"/>
    <w:rsid w:val="00B21B7C"/>
    <w:rsid w:val="00B22839"/>
    <w:rsid w:val="00B22B7D"/>
    <w:rsid w:val="00B24A12"/>
    <w:rsid w:val="00B25C73"/>
    <w:rsid w:val="00B36EC3"/>
    <w:rsid w:val="00B40AEB"/>
    <w:rsid w:val="00B50F00"/>
    <w:rsid w:val="00B5784D"/>
    <w:rsid w:val="00B6136E"/>
    <w:rsid w:val="00B6241C"/>
    <w:rsid w:val="00B672A8"/>
    <w:rsid w:val="00B678CE"/>
    <w:rsid w:val="00B70453"/>
    <w:rsid w:val="00B70F47"/>
    <w:rsid w:val="00B710EA"/>
    <w:rsid w:val="00B73380"/>
    <w:rsid w:val="00B83C62"/>
    <w:rsid w:val="00B843FB"/>
    <w:rsid w:val="00B84F52"/>
    <w:rsid w:val="00B85744"/>
    <w:rsid w:val="00B8619E"/>
    <w:rsid w:val="00B87B9E"/>
    <w:rsid w:val="00B90F29"/>
    <w:rsid w:val="00B9495E"/>
    <w:rsid w:val="00B966F8"/>
    <w:rsid w:val="00B975B1"/>
    <w:rsid w:val="00B97A93"/>
    <w:rsid w:val="00BA20AA"/>
    <w:rsid w:val="00BA292D"/>
    <w:rsid w:val="00BA29CE"/>
    <w:rsid w:val="00BA34C9"/>
    <w:rsid w:val="00BA3B17"/>
    <w:rsid w:val="00BA43E7"/>
    <w:rsid w:val="00BA60E1"/>
    <w:rsid w:val="00BB1EAD"/>
    <w:rsid w:val="00BB48C3"/>
    <w:rsid w:val="00BC07DA"/>
    <w:rsid w:val="00BC1D6B"/>
    <w:rsid w:val="00BC36DE"/>
    <w:rsid w:val="00BD23C5"/>
    <w:rsid w:val="00BD4425"/>
    <w:rsid w:val="00BD5D6E"/>
    <w:rsid w:val="00BE0C48"/>
    <w:rsid w:val="00BE2CC4"/>
    <w:rsid w:val="00BE42E1"/>
    <w:rsid w:val="00BE5633"/>
    <w:rsid w:val="00BE5857"/>
    <w:rsid w:val="00BE5EC6"/>
    <w:rsid w:val="00BE6658"/>
    <w:rsid w:val="00BE69D5"/>
    <w:rsid w:val="00BE6F73"/>
    <w:rsid w:val="00BF471A"/>
    <w:rsid w:val="00C0331D"/>
    <w:rsid w:val="00C03EAF"/>
    <w:rsid w:val="00C04830"/>
    <w:rsid w:val="00C058A1"/>
    <w:rsid w:val="00C05B3C"/>
    <w:rsid w:val="00C114F3"/>
    <w:rsid w:val="00C1758D"/>
    <w:rsid w:val="00C21E99"/>
    <w:rsid w:val="00C23B7A"/>
    <w:rsid w:val="00C23FD3"/>
    <w:rsid w:val="00C24037"/>
    <w:rsid w:val="00C25B49"/>
    <w:rsid w:val="00C2705E"/>
    <w:rsid w:val="00C2752D"/>
    <w:rsid w:val="00C27763"/>
    <w:rsid w:val="00C348D1"/>
    <w:rsid w:val="00C42985"/>
    <w:rsid w:val="00C42BCA"/>
    <w:rsid w:val="00C53A7B"/>
    <w:rsid w:val="00C5552D"/>
    <w:rsid w:val="00C56602"/>
    <w:rsid w:val="00C61502"/>
    <w:rsid w:val="00C61C77"/>
    <w:rsid w:val="00C66371"/>
    <w:rsid w:val="00C72152"/>
    <w:rsid w:val="00C81353"/>
    <w:rsid w:val="00C855DA"/>
    <w:rsid w:val="00C85E98"/>
    <w:rsid w:val="00C87EF3"/>
    <w:rsid w:val="00C914AB"/>
    <w:rsid w:val="00C918F0"/>
    <w:rsid w:val="00C968E0"/>
    <w:rsid w:val="00C96BEB"/>
    <w:rsid w:val="00CA2FC1"/>
    <w:rsid w:val="00CA3E19"/>
    <w:rsid w:val="00CA3E33"/>
    <w:rsid w:val="00CA4FA6"/>
    <w:rsid w:val="00CA5610"/>
    <w:rsid w:val="00CA5FDB"/>
    <w:rsid w:val="00CB5445"/>
    <w:rsid w:val="00CB726A"/>
    <w:rsid w:val="00CC669B"/>
    <w:rsid w:val="00CD036F"/>
    <w:rsid w:val="00CD484D"/>
    <w:rsid w:val="00CD7CAF"/>
    <w:rsid w:val="00CE1326"/>
    <w:rsid w:val="00CE1AC8"/>
    <w:rsid w:val="00CE28A9"/>
    <w:rsid w:val="00CE41A7"/>
    <w:rsid w:val="00CE5657"/>
    <w:rsid w:val="00CE5F59"/>
    <w:rsid w:val="00CF0668"/>
    <w:rsid w:val="00CF2A0F"/>
    <w:rsid w:val="00D00E50"/>
    <w:rsid w:val="00D0161D"/>
    <w:rsid w:val="00D0205A"/>
    <w:rsid w:val="00D03684"/>
    <w:rsid w:val="00D03F9D"/>
    <w:rsid w:val="00D062A9"/>
    <w:rsid w:val="00D133F8"/>
    <w:rsid w:val="00D14A3E"/>
    <w:rsid w:val="00D22E76"/>
    <w:rsid w:val="00D2325E"/>
    <w:rsid w:val="00D251CF"/>
    <w:rsid w:val="00D30591"/>
    <w:rsid w:val="00D32F35"/>
    <w:rsid w:val="00D33EE1"/>
    <w:rsid w:val="00D34028"/>
    <w:rsid w:val="00D35943"/>
    <w:rsid w:val="00D43030"/>
    <w:rsid w:val="00D5003C"/>
    <w:rsid w:val="00D51E8A"/>
    <w:rsid w:val="00D55E48"/>
    <w:rsid w:val="00D56C6D"/>
    <w:rsid w:val="00D6475C"/>
    <w:rsid w:val="00D653AF"/>
    <w:rsid w:val="00D730E6"/>
    <w:rsid w:val="00D7393C"/>
    <w:rsid w:val="00D7519B"/>
    <w:rsid w:val="00D80554"/>
    <w:rsid w:val="00D833C7"/>
    <w:rsid w:val="00D85BFB"/>
    <w:rsid w:val="00D8610D"/>
    <w:rsid w:val="00D86398"/>
    <w:rsid w:val="00D86E3E"/>
    <w:rsid w:val="00D87EC6"/>
    <w:rsid w:val="00D9234F"/>
    <w:rsid w:val="00D93B2A"/>
    <w:rsid w:val="00D93F75"/>
    <w:rsid w:val="00D949A8"/>
    <w:rsid w:val="00D95646"/>
    <w:rsid w:val="00D97FCF"/>
    <w:rsid w:val="00DA07BF"/>
    <w:rsid w:val="00DA381A"/>
    <w:rsid w:val="00DB2ACC"/>
    <w:rsid w:val="00DB35F7"/>
    <w:rsid w:val="00DB6534"/>
    <w:rsid w:val="00DB7F9C"/>
    <w:rsid w:val="00DC01DA"/>
    <w:rsid w:val="00DC2EE8"/>
    <w:rsid w:val="00DC39A0"/>
    <w:rsid w:val="00DC45E2"/>
    <w:rsid w:val="00DC4A09"/>
    <w:rsid w:val="00DC755F"/>
    <w:rsid w:val="00DD0A51"/>
    <w:rsid w:val="00DD1400"/>
    <w:rsid w:val="00DD327A"/>
    <w:rsid w:val="00DD3461"/>
    <w:rsid w:val="00DD505B"/>
    <w:rsid w:val="00DD6BA7"/>
    <w:rsid w:val="00DE01AF"/>
    <w:rsid w:val="00DE0535"/>
    <w:rsid w:val="00DF0FB4"/>
    <w:rsid w:val="00E01D5B"/>
    <w:rsid w:val="00E037CA"/>
    <w:rsid w:val="00E07549"/>
    <w:rsid w:val="00E11475"/>
    <w:rsid w:val="00E11E7A"/>
    <w:rsid w:val="00E13B97"/>
    <w:rsid w:val="00E14C2F"/>
    <w:rsid w:val="00E2231C"/>
    <w:rsid w:val="00E22F05"/>
    <w:rsid w:val="00E24CC0"/>
    <w:rsid w:val="00E26B6D"/>
    <w:rsid w:val="00E31F73"/>
    <w:rsid w:val="00E32C94"/>
    <w:rsid w:val="00E3353C"/>
    <w:rsid w:val="00E34611"/>
    <w:rsid w:val="00E3716B"/>
    <w:rsid w:val="00E464FF"/>
    <w:rsid w:val="00E47C6E"/>
    <w:rsid w:val="00E50E1A"/>
    <w:rsid w:val="00E513A0"/>
    <w:rsid w:val="00E52B5F"/>
    <w:rsid w:val="00E52FED"/>
    <w:rsid w:val="00E576F6"/>
    <w:rsid w:val="00E61FEA"/>
    <w:rsid w:val="00E673B1"/>
    <w:rsid w:val="00E7494A"/>
    <w:rsid w:val="00E750E8"/>
    <w:rsid w:val="00E77397"/>
    <w:rsid w:val="00E776E6"/>
    <w:rsid w:val="00E77C6C"/>
    <w:rsid w:val="00E77DE4"/>
    <w:rsid w:val="00E8173B"/>
    <w:rsid w:val="00E81C05"/>
    <w:rsid w:val="00E8202A"/>
    <w:rsid w:val="00E83DF7"/>
    <w:rsid w:val="00E84DC7"/>
    <w:rsid w:val="00E8749E"/>
    <w:rsid w:val="00E87E00"/>
    <w:rsid w:val="00E90C01"/>
    <w:rsid w:val="00E91032"/>
    <w:rsid w:val="00E93161"/>
    <w:rsid w:val="00E93312"/>
    <w:rsid w:val="00E9557E"/>
    <w:rsid w:val="00E95B93"/>
    <w:rsid w:val="00E97188"/>
    <w:rsid w:val="00EA3F7C"/>
    <w:rsid w:val="00EA486E"/>
    <w:rsid w:val="00EA5DD4"/>
    <w:rsid w:val="00EB13A2"/>
    <w:rsid w:val="00EB2C23"/>
    <w:rsid w:val="00EC1A10"/>
    <w:rsid w:val="00EC2D5F"/>
    <w:rsid w:val="00EC37E3"/>
    <w:rsid w:val="00ED020E"/>
    <w:rsid w:val="00ED049F"/>
    <w:rsid w:val="00ED297A"/>
    <w:rsid w:val="00ED7434"/>
    <w:rsid w:val="00EE24F5"/>
    <w:rsid w:val="00EF0BD5"/>
    <w:rsid w:val="00EF1BD0"/>
    <w:rsid w:val="00EF3BCA"/>
    <w:rsid w:val="00EF4EC6"/>
    <w:rsid w:val="00EF4F7D"/>
    <w:rsid w:val="00EF6C2F"/>
    <w:rsid w:val="00EF7492"/>
    <w:rsid w:val="00EF76C9"/>
    <w:rsid w:val="00F0198A"/>
    <w:rsid w:val="00F04BD4"/>
    <w:rsid w:val="00F07C13"/>
    <w:rsid w:val="00F10886"/>
    <w:rsid w:val="00F12A23"/>
    <w:rsid w:val="00F17C15"/>
    <w:rsid w:val="00F200E4"/>
    <w:rsid w:val="00F3256E"/>
    <w:rsid w:val="00F34A2A"/>
    <w:rsid w:val="00F34F6A"/>
    <w:rsid w:val="00F35091"/>
    <w:rsid w:val="00F40CE6"/>
    <w:rsid w:val="00F458A9"/>
    <w:rsid w:val="00F50D7D"/>
    <w:rsid w:val="00F528FC"/>
    <w:rsid w:val="00F570BD"/>
    <w:rsid w:val="00F57B0C"/>
    <w:rsid w:val="00F62A58"/>
    <w:rsid w:val="00F6490A"/>
    <w:rsid w:val="00F660CB"/>
    <w:rsid w:val="00F700CA"/>
    <w:rsid w:val="00F72534"/>
    <w:rsid w:val="00F72B6D"/>
    <w:rsid w:val="00F80443"/>
    <w:rsid w:val="00F8319C"/>
    <w:rsid w:val="00F839DB"/>
    <w:rsid w:val="00F83EB2"/>
    <w:rsid w:val="00F84A1C"/>
    <w:rsid w:val="00F85829"/>
    <w:rsid w:val="00F92307"/>
    <w:rsid w:val="00F95D74"/>
    <w:rsid w:val="00FA09D4"/>
    <w:rsid w:val="00FA0D9F"/>
    <w:rsid w:val="00FA10F4"/>
    <w:rsid w:val="00FA256B"/>
    <w:rsid w:val="00FA27D0"/>
    <w:rsid w:val="00FA31D1"/>
    <w:rsid w:val="00FA3B00"/>
    <w:rsid w:val="00FA3F9B"/>
    <w:rsid w:val="00FA5CE2"/>
    <w:rsid w:val="00FA72C3"/>
    <w:rsid w:val="00FB202C"/>
    <w:rsid w:val="00FB48A3"/>
    <w:rsid w:val="00FB6922"/>
    <w:rsid w:val="00FC2E3D"/>
    <w:rsid w:val="00FC2F37"/>
    <w:rsid w:val="00FC7224"/>
    <w:rsid w:val="00FD087A"/>
    <w:rsid w:val="00FD1672"/>
    <w:rsid w:val="00FD2493"/>
    <w:rsid w:val="00FD6C65"/>
    <w:rsid w:val="00FE112F"/>
    <w:rsid w:val="00FE16FF"/>
    <w:rsid w:val="00FE3258"/>
    <w:rsid w:val="00FE5C65"/>
    <w:rsid w:val="00FE7912"/>
    <w:rsid w:val="00FF08D8"/>
    <w:rsid w:val="00FF0FD6"/>
    <w:rsid w:val="00FF3EF5"/>
    <w:rsid w:val="00FF4EDE"/>
    <w:rsid w:val="00FF5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A72C34"/>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A27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BB5"/>
    <w:rPr>
      <w:sz w:val="20"/>
      <w:szCs w:val="20"/>
    </w:rPr>
  </w:style>
  <w:style w:type="character" w:styleId="FootnoteReference">
    <w:name w:val="footnote reference"/>
    <w:basedOn w:val="DefaultParagraphFont"/>
    <w:uiPriority w:val="99"/>
    <w:semiHidden/>
    <w:unhideWhenUsed/>
    <w:rsid w:val="00A27BB5"/>
    <w:rPr>
      <w:vertAlign w:val="superscript"/>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EndnoteText">
    <w:name w:val="endnote text"/>
    <w:basedOn w:val="Normal"/>
    <w:link w:val="EndnoteTextChar"/>
    <w:uiPriority w:val="99"/>
    <w:semiHidden/>
    <w:unhideWhenUsed/>
    <w:rsid w:val="000721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216E"/>
    <w:rPr>
      <w:sz w:val="20"/>
      <w:szCs w:val="20"/>
    </w:rPr>
  </w:style>
  <w:style w:type="character" w:styleId="EndnoteReference">
    <w:name w:val="endnote reference"/>
    <w:basedOn w:val="DefaultParagraphFont"/>
    <w:uiPriority w:val="99"/>
    <w:semiHidden/>
    <w:unhideWhenUsed/>
    <w:rsid w:val="0007216E"/>
    <w:rPr>
      <w:vertAlign w:val="superscript"/>
    </w:rPr>
  </w:style>
  <w:style w:type="character" w:styleId="CommentReference">
    <w:name w:val="annotation reference"/>
    <w:basedOn w:val="DefaultParagraphFont"/>
    <w:uiPriority w:val="99"/>
    <w:semiHidden/>
    <w:unhideWhenUsed/>
    <w:rsid w:val="00B15464"/>
    <w:rPr>
      <w:sz w:val="16"/>
      <w:szCs w:val="16"/>
    </w:rPr>
  </w:style>
  <w:style w:type="paragraph" w:styleId="CommentText">
    <w:name w:val="annotation text"/>
    <w:basedOn w:val="Normal"/>
    <w:link w:val="CommentTextChar"/>
    <w:uiPriority w:val="99"/>
    <w:semiHidden/>
    <w:unhideWhenUsed/>
    <w:rsid w:val="00B15464"/>
    <w:pPr>
      <w:spacing w:line="240" w:lineRule="auto"/>
    </w:pPr>
    <w:rPr>
      <w:sz w:val="20"/>
      <w:szCs w:val="20"/>
    </w:rPr>
  </w:style>
  <w:style w:type="character" w:customStyle="1" w:styleId="CommentTextChar">
    <w:name w:val="Comment Text Char"/>
    <w:basedOn w:val="DefaultParagraphFont"/>
    <w:link w:val="CommentText"/>
    <w:uiPriority w:val="99"/>
    <w:semiHidden/>
    <w:rsid w:val="00B15464"/>
    <w:rPr>
      <w:sz w:val="20"/>
      <w:szCs w:val="20"/>
    </w:rPr>
  </w:style>
  <w:style w:type="paragraph" w:styleId="CommentSubject">
    <w:name w:val="annotation subject"/>
    <w:basedOn w:val="CommentText"/>
    <w:next w:val="CommentText"/>
    <w:link w:val="CommentSubjectChar"/>
    <w:uiPriority w:val="99"/>
    <w:semiHidden/>
    <w:unhideWhenUsed/>
    <w:rsid w:val="00B15464"/>
    <w:rPr>
      <w:b/>
      <w:bCs/>
    </w:rPr>
  </w:style>
  <w:style w:type="character" w:customStyle="1" w:styleId="CommentSubjectChar">
    <w:name w:val="Comment Subject Char"/>
    <w:basedOn w:val="CommentTextChar"/>
    <w:link w:val="CommentSubject"/>
    <w:uiPriority w:val="99"/>
    <w:semiHidden/>
    <w:rsid w:val="00B15464"/>
    <w:rPr>
      <w:b/>
      <w:bCs/>
      <w:sz w:val="20"/>
      <w:szCs w:val="20"/>
    </w:rPr>
  </w:style>
  <w:style w:type="paragraph" w:customStyle="1" w:styleId="Statuti">
    <w:name w:val="Statuti"/>
    <w:basedOn w:val="Normal"/>
    <w:rsid w:val="00D03684"/>
    <w:pPr>
      <w:numPr>
        <w:ilvl w:val="3"/>
        <w:numId w:val="12"/>
      </w:numPr>
      <w:spacing w:after="0" w:line="360" w:lineRule="auto"/>
      <w:jc w:val="both"/>
    </w:pPr>
    <w:rPr>
      <w:rFonts w:ascii="Arial Narrow" w:eastAsia="Times New Roman" w:hAnsi="Arial Narrow" w:cs="Times New Roman"/>
      <w:sz w:val="24"/>
      <w:szCs w:val="20"/>
      <w:lang w:eastAsia="lv-LV"/>
    </w:rPr>
  </w:style>
  <w:style w:type="paragraph" w:customStyle="1" w:styleId="Virsraksti4">
    <w:name w:val="Virsraksti4"/>
    <w:basedOn w:val="Normal"/>
    <w:rsid w:val="00D03684"/>
    <w:pPr>
      <w:numPr>
        <w:ilvl w:val="4"/>
        <w:numId w:val="12"/>
      </w:numPr>
      <w:spacing w:before="60" w:after="120" w:line="240" w:lineRule="auto"/>
    </w:pPr>
    <w:rPr>
      <w:rFonts w:ascii="Times New Roman" w:eastAsia="Times New Roman" w:hAnsi="Times New Roman" w:cs="Times New Roman"/>
      <w:sz w:val="24"/>
      <w:szCs w:val="20"/>
      <w:lang w:eastAsia="lv-LV"/>
    </w:rPr>
  </w:style>
  <w:style w:type="paragraph" w:customStyle="1" w:styleId="Virsraksti1">
    <w:name w:val="Virsraksti1"/>
    <w:basedOn w:val="Normal"/>
    <w:rsid w:val="00D03684"/>
    <w:pPr>
      <w:numPr>
        <w:numId w:val="12"/>
      </w:numPr>
      <w:spacing w:after="0" w:line="240" w:lineRule="auto"/>
      <w:ind w:left="0" w:firstLine="0"/>
    </w:pPr>
    <w:rPr>
      <w:rFonts w:ascii="Times New Roman" w:eastAsia="Calibri" w:hAnsi="Times New Roman" w:cs="Times New Roman"/>
      <w:sz w:val="24"/>
    </w:rPr>
  </w:style>
  <w:style w:type="paragraph" w:customStyle="1" w:styleId="Virsraksti2">
    <w:name w:val="Virsraksti_2"/>
    <w:basedOn w:val="Normal"/>
    <w:rsid w:val="00D03684"/>
    <w:pPr>
      <w:numPr>
        <w:ilvl w:val="1"/>
        <w:numId w:val="12"/>
      </w:numPr>
      <w:spacing w:after="0" w:line="240" w:lineRule="auto"/>
      <w:ind w:left="0" w:firstLine="0"/>
    </w:pPr>
    <w:rPr>
      <w:rFonts w:ascii="Times New Roman" w:eastAsia="Calibri" w:hAnsi="Times New Roman" w:cs="Times New Roman"/>
      <w:sz w:val="24"/>
    </w:rPr>
  </w:style>
  <w:style w:type="paragraph" w:customStyle="1" w:styleId="Virsraksti3">
    <w:name w:val="Virsraksti_3"/>
    <w:basedOn w:val="Normal"/>
    <w:rsid w:val="00D03684"/>
    <w:pPr>
      <w:numPr>
        <w:ilvl w:val="2"/>
        <w:numId w:val="12"/>
      </w:numPr>
      <w:spacing w:after="0" w:line="240" w:lineRule="auto"/>
      <w:ind w:left="0" w:firstLine="0"/>
    </w:pPr>
    <w:rPr>
      <w:rFonts w:ascii="Times New Roman" w:eastAsia="Calibri" w:hAnsi="Times New Roman" w:cs="Times New Roman"/>
      <w:sz w:val="24"/>
    </w:rPr>
  </w:style>
  <w:style w:type="character" w:customStyle="1" w:styleId="UnresolvedMention1">
    <w:name w:val="Unresolved Mention1"/>
    <w:basedOn w:val="DefaultParagraphFont"/>
    <w:uiPriority w:val="99"/>
    <w:semiHidden/>
    <w:unhideWhenUsed/>
    <w:rsid w:val="004468D7"/>
    <w:rPr>
      <w:color w:val="808080"/>
      <w:shd w:val="clear" w:color="auto" w:fill="E6E6E6"/>
    </w:rPr>
  </w:style>
  <w:style w:type="table" w:styleId="TableGrid">
    <w:name w:val="Table Grid"/>
    <w:basedOn w:val="TableNormal"/>
    <w:rsid w:val="0033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F53FD"/>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FF53FD"/>
    <w:rPr>
      <w:rFonts w:ascii="Times New Roman" w:eastAsia="Times New Roman" w:hAnsi="Times New Roman" w:cs="Times New Roman"/>
      <w:sz w:val="28"/>
      <w:szCs w:val="20"/>
    </w:rPr>
  </w:style>
  <w:style w:type="paragraph" w:customStyle="1" w:styleId="naisf">
    <w:name w:val="naisf"/>
    <w:basedOn w:val="Normal"/>
    <w:rsid w:val="00CC669B"/>
    <w:pPr>
      <w:spacing w:before="58" w:after="58" w:line="240" w:lineRule="auto"/>
      <w:ind w:firstLine="288"/>
      <w:jc w:val="both"/>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CE5F59"/>
    <w:rPr>
      <w:color w:val="808080"/>
      <w:shd w:val="clear" w:color="auto" w:fill="E6E6E6"/>
    </w:rPr>
  </w:style>
  <w:style w:type="paragraph" w:styleId="NormalWeb">
    <w:name w:val="Normal (Web)"/>
    <w:basedOn w:val="Normal"/>
    <w:link w:val="NormalWebChar"/>
    <w:uiPriority w:val="99"/>
    <w:unhideWhenUsed/>
    <w:rsid w:val="00A1379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773B4E"/>
    <w:pPr>
      <w:spacing w:after="120"/>
    </w:pPr>
    <w:rPr>
      <w:sz w:val="16"/>
      <w:szCs w:val="16"/>
    </w:rPr>
  </w:style>
  <w:style w:type="character" w:customStyle="1" w:styleId="BodyText3Char">
    <w:name w:val="Body Text 3 Char"/>
    <w:basedOn w:val="DefaultParagraphFont"/>
    <w:link w:val="BodyText3"/>
    <w:uiPriority w:val="99"/>
    <w:rsid w:val="00773B4E"/>
    <w:rPr>
      <w:sz w:val="16"/>
      <w:szCs w:val="16"/>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0F54F6"/>
  </w:style>
  <w:style w:type="character" w:customStyle="1" w:styleId="NormalWebChar">
    <w:name w:val="Normal (Web) Char"/>
    <w:link w:val="NormalWeb"/>
    <w:uiPriority w:val="99"/>
    <w:rsid w:val="000F54F6"/>
    <w:rPr>
      <w:rFonts w:ascii="Times New Roman" w:eastAsia="Times New Roman" w:hAnsi="Times New Roman" w:cs="Times New Roman"/>
      <w:sz w:val="24"/>
      <w:szCs w:val="24"/>
      <w:lang w:eastAsia="lv-LV"/>
    </w:rPr>
  </w:style>
  <w:style w:type="paragraph" w:customStyle="1" w:styleId="naislab">
    <w:name w:val="naislab"/>
    <w:basedOn w:val="Normal"/>
    <w:rsid w:val="006B54CE"/>
    <w:pPr>
      <w:spacing w:before="75" w:after="75" w:line="240" w:lineRule="auto"/>
      <w:jc w:val="right"/>
    </w:pPr>
    <w:rPr>
      <w:rFonts w:ascii="Times New Roman" w:eastAsia="Times New Roman" w:hAnsi="Times New Roman" w:cs="Times New Roman"/>
      <w:sz w:val="24"/>
      <w:szCs w:val="24"/>
      <w:lang w:eastAsia="lv-LV"/>
    </w:rPr>
  </w:style>
  <w:style w:type="paragraph" w:customStyle="1" w:styleId="xmsonormal">
    <w:name w:val="x_msonormal"/>
    <w:basedOn w:val="Normal"/>
    <w:rsid w:val="002C1EC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9502">
      <w:bodyDiv w:val="1"/>
      <w:marLeft w:val="0"/>
      <w:marRight w:val="0"/>
      <w:marTop w:val="0"/>
      <w:marBottom w:val="0"/>
      <w:divBdr>
        <w:top w:val="none" w:sz="0" w:space="0" w:color="auto"/>
        <w:left w:val="none" w:sz="0" w:space="0" w:color="auto"/>
        <w:bottom w:val="none" w:sz="0" w:space="0" w:color="auto"/>
        <w:right w:val="none" w:sz="0" w:space="0" w:color="auto"/>
      </w:divBdr>
    </w:div>
    <w:div w:id="1316033390">
      <w:bodyDiv w:val="1"/>
      <w:marLeft w:val="0"/>
      <w:marRight w:val="0"/>
      <w:marTop w:val="0"/>
      <w:marBottom w:val="0"/>
      <w:divBdr>
        <w:top w:val="none" w:sz="0" w:space="0" w:color="auto"/>
        <w:left w:val="none" w:sz="0" w:space="0" w:color="auto"/>
        <w:bottom w:val="none" w:sz="0" w:space="0" w:color="auto"/>
        <w:right w:val="none" w:sz="0" w:space="0" w:color="auto"/>
      </w:divBdr>
    </w:div>
    <w:div w:id="1486622856">
      <w:bodyDiv w:val="1"/>
      <w:marLeft w:val="0"/>
      <w:marRight w:val="0"/>
      <w:marTop w:val="0"/>
      <w:marBottom w:val="0"/>
      <w:divBdr>
        <w:top w:val="none" w:sz="0" w:space="0" w:color="auto"/>
        <w:left w:val="none" w:sz="0" w:space="0" w:color="auto"/>
        <w:bottom w:val="none" w:sz="0" w:space="0" w:color="auto"/>
        <w:right w:val="none" w:sz="0" w:space="0" w:color="auto"/>
      </w:divBdr>
      <w:divsChild>
        <w:div w:id="1734573042">
          <w:marLeft w:val="0"/>
          <w:marRight w:val="0"/>
          <w:marTop w:val="0"/>
          <w:marBottom w:val="0"/>
          <w:divBdr>
            <w:top w:val="none" w:sz="0" w:space="0" w:color="auto"/>
            <w:left w:val="none" w:sz="0" w:space="0" w:color="auto"/>
            <w:bottom w:val="none" w:sz="0" w:space="0" w:color="auto"/>
            <w:right w:val="none" w:sz="0" w:space="0" w:color="auto"/>
          </w:divBdr>
        </w:div>
        <w:div w:id="832338446">
          <w:marLeft w:val="0"/>
          <w:marRight w:val="0"/>
          <w:marTop w:val="0"/>
          <w:marBottom w:val="0"/>
          <w:divBdr>
            <w:top w:val="none" w:sz="0" w:space="0" w:color="auto"/>
            <w:left w:val="none" w:sz="0" w:space="0" w:color="auto"/>
            <w:bottom w:val="none" w:sz="0" w:space="0" w:color="auto"/>
            <w:right w:val="none" w:sz="0" w:space="0" w:color="auto"/>
          </w:divBdr>
        </w:div>
        <w:div w:id="142279056">
          <w:marLeft w:val="0"/>
          <w:marRight w:val="0"/>
          <w:marTop w:val="0"/>
          <w:marBottom w:val="0"/>
          <w:divBdr>
            <w:top w:val="none" w:sz="0" w:space="0" w:color="auto"/>
            <w:left w:val="none" w:sz="0" w:space="0" w:color="auto"/>
            <w:bottom w:val="none" w:sz="0" w:space="0" w:color="auto"/>
            <w:right w:val="none" w:sz="0" w:space="0" w:color="auto"/>
          </w:divBdr>
        </w:div>
        <w:div w:id="1987473270">
          <w:marLeft w:val="0"/>
          <w:marRight w:val="0"/>
          <w:marTop w:val="0"/>
          <w:marBottom w:val="0"/>
          <w:divBdr>
            <w:top w:val="none" w:sz="0" w:space="0" w:color="auto"/>
            <w:left w:val="none" w:sz="0" w:space="0" w:color="auto"/>
            <w:bottom w:val="none" w:sz="0" w:space="0" w:color="auto"/>
            <w:right w:val="none" w:sz="0" w:space="0" w:color="auto"/>
          </w:divBdr>
        </w:div>
        <w:div w:id="919407118">
          <w:marLeft w:val="0"/>
          <w:marRight w:val="0"/>
          <w:marTop w:val="0"/>
          <w:marBottom w:val="0"/>
          <w:divBdr>
            <w:top w:val="none" w:sz="0" w:space="0" w:color="auto"/>
            <w:left w:val="none" w:sz="0" w:space="0" w:color="auto"/>
            <w:bottom w:val="none" w:sz="0" w:space="0" w:color="auto"/>
            <w:right w:val="none" w:sz="0" w:space="0" w:color="auto"/>
          </w:divBdr>
        </w:div>
      </w:divsChild>
    </w:div>
    <w:div w:id="1646279171">
      <w:bodyDiv w:val="1"/>
      <w:marLeft w:val="0"/>
      <w:marRight w:val="0"/>
      <w:marTop w:val="0"/>
      <w:marBottom w:val="0"/>
      <w:divBdr>
        <w:top w:val="none" w:sz="0" w:space="0" w:color="auto"/>
        <w:left w:val="none" w:sz="0" w:space="0" w:color="auto"/>
        <w:bottom w:val="none" w:sz="0" w:space="0" w:color="auto"/>
        <w:right w:val="none" w:sz="0" w:space="0" w:color="auto"/>
      </w:divBdr>
      <w:divsChild>
        <w:div w:id="2036805515">
          <w:marLeft w:val="0"/>
          <w:marRight w:val="0"/>
          <w:marTop w:val="0"/>
          <w:marBottom w:val="0"/>
          <w:divBdr>
            <w:top w:val="none" w:sz="0" w:space="0" w:color="auto"/>
            <w:left w:val="none" w:sz="0" w:space="0" w:color="auto"/>
            <w:bottom w:val="none" w:sz="0" w:space="0" w:color="auto"/>
            <w:right w:val="none" w:sz="0" w:space="0" w:color="auto"/>
          </w:divBdr>
        </w:div>
        <w:div w:id="1875993034">
          <w:marLeft w:val="0"/>
          <w:marRight w:val="0"/>
          <w:marTop w:val="0"/>
          <w:marBottom w:val="0"/>
          <w:divBdr>
            <w:top w:val="none" w:sz="0" w:space="0" w:color="auto"/>
            <w:left w:val="none" w:sz="0" w:space="0" w:color="auto"/>
            <w:bottom w:val="none" w:sz="0" w:space="0" w:color="auto"/>
            <w:right w:val="none" w:sz="0" w:space="0" w:color="auto"/>
          </w:divBdr>
        </w:div>
        <w:div w:id="486824922">
          <w:marLeft w:val="0"/>
          <w:marRight w:val="0"/>
          <w:marTop w:val="0"/>
          <w:marBottom w:val="0"/>
          <w:divBdr>
            <w:top w:val="none" w:sz="0" w:space="0" w:color="auto"/>
            <w:left w:val="none" w:sz="0" w:space="0" w:color="auto"/>
            <w:bottom w:val="none" w:sz="0" w:space="0" w:color="auto"/>
            <w:right w:val="none" w:sz="0" w:space="0" w:color="auto"/>
          </w:divBdr>
        </w:div>
        <w:div w:id="1706179447">
          <w:marLeft w:val="0"/>
          <w:marRight w:val="0"/>
          <w:marTop w:val="0"/>
          <w:marBottom w:val="0"/>
          <w:divBdr>
            <w:top w:val="none" w:sz="0" w:space="0" w:color="auto"/>
            <w:left w:val="none" w:sz="0" w:space="0" w:color="auto"/>
            <w:bottom w:val="none" w:sz="0" w:space="0" w:color="auto"/>
            <w:right w:val="none" w:sz="0" w:space="0" w:color="auto"/>
          </w:divBdr>
        </w:div>
        <w:div w:id="1401249470">
          <w:marLeft w:val="0"/>
          <w:marRight w:val="0"/>
          <w:marTop w:val="0"/>
          <w:marBottom w:val="0"/>
          <w:divBdr>
            <w:top w:val="none" w:sz="0" w:space="0" w:color="auto"/>
            <w:left w:val="none" w:sz="0" w:space="0" w:color="auto"/>
            <w:bottom w:val="none" w:sz="0" w:space="0" w:color="auto"/>
            <w:right w:val="none" w:sz="0" w:space="0" w:color="auto"/>
          </w:divBdr>
        </w:div>
        <w:div w:id="1294947163">
          <w:marLeft w:val="0"/>
          <w:marRight w:val="0"/>
          <w:marTop w:val="0"/>
          <w:marBottom w:val="0"/>
          <w:divBdr>
            <w:top w:val="none" w:sz="0" w:space="0" w:color="auto"/>
            <w:left w:val="none" w:sz="0" w:space="0" w:color="auto"/>
            <w:bottom w:val="none" w:sz="0" w:space="0" w:color="auto"/>
            <w:right w:val="none" w:sz="0" w:space="0" w:color="auto"/>
          </w:divBdr>
        </w:div>
        <w:div w:id="1981953384">
          <w:marLeft w:val="0"/>
          <w:marRight w:val="0"/>
          <w:marTop w:val="0"/>
          <w:marBottom w:val="0"/>
          <w:divBdr>
            <w:top w:val="none" w:sz="0" w:space="0" w:color="auto"/>
            <w:left w:val="none" w:sz="0" w:space="0" w:color="auto"/>
            <w:bottom w:val="none" w:sz="0" w:space="0" w:color="auto"/>
            <w:right w:val="none" w:sz="0" w:space="0" w:color="auto"/>
          </w:divBdr>
        </w:div>
        <w:div w:id="1655833864">
          <w:marLeft w:val="0"/>
          <w:marRight w:val="0"/>
          <w:marTop w:val="0"/>
          <w:marBottom w:val="0"/>
          <w:divBdr>
            <w:top w:val="none" w:sz="0" w:space="0" w:color="auto"/>
            <w:left w:val="none" w:sz="0" w:space="0" w:color="auto"/>
            <w:bottom w:val="none" w:sz="0" w:space="0" w:color="auto"/>
            <w:right w:val="none" w:sz="0" w:space="0" w:color="auto"/>
          </w:divBdr>
        </w:div>
        <w:div w:id="40447956">
          <w:marLeft w:val="0"/>
          <w:marRight w:val="0"/>
          <w:marTop w:val="0"/>
          <w:marBottom w:val="0"/>
          <w:divBdr>
            <w:top w:val="none" w:sz="0" w:space="0" w:color="auto"/>
            <w:left w:val="none" w:sz="0" w:space="0" w:color="auto"/>
            <w:bottom w:val="none" w:sz="0" w:space="0" w:color="auto"/>
            <w:right w:val="none" w:sz="0" w:space="0" w:color="auto"/>
          </w:divBdr>
        </w:div>
      </w:divsChild>
    </w:div>
    <w:div w:id="1955750608">
      <w:bodyDiv w:val="1"/>
      <w:marLeft w:val="0"/>
      <w:marRight w:val="0"/>
      <w:marTop w:val="0"/>
      <w:marBottom w:val="0"/>
      <w:divBdr>
        <w:top w:val="none" w:sz="0" w:space="0" w:color="auto"/>
        <w:left w:val="none" w:sz="0" w:space="0" w:color="auto"/>
        <w:bottom w:val="none" w:sz="0" w:space="0" w:color="auto"/>
        <w:right w:val="none" w:sz="0" w:space="0" w:color="auto"/>
      </w:divBdr>
    </w:div>
    <w:div w:id="2129424446">
      <w:bodyDiv w:val="1"/>
      <w:marLeft w:val="0"/>
      <w:marRight w:val="0"/>
      <w:marTop w:val="0"/>
      <w:marBottom w:val="0"/>
      <w:divBdr>
        <w:top w:val="none" w:sz="0" w:space="0" w:color="auto"/>
        <w:left w:val="none" w:sz="0" w:space="0" w:color="auto"/>
        <w:bottom w:val="none" w:sz="0" w:space="0" w:color="auto"/>
        <w:right w:val="none" w:sz="0" w:space="0" w:color="auto"/>
      </w:divBdr>
    </w:div>
    <w:div w:id="213728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ita.Lazdi&#326;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B7AB-E827-4529-92F3-9F97193E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13973</Words>
  <Characters>7966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30.augusta noteikumos Nr.685 "Rezidentu sadales un rezidentūras finansēšanas noteikumi"”” sākotnējās ietekmes novērtējuma ziņojums (anotācija)</vt:lpstr>
    </vt:vector>
  </TitlesOfParts>
  <Company>Veselības ministrija</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30.augusta noteikumos Nr.685 "Rezidentu sadales un rezidentūras finansēšanas noteikumi"”” sākotnējās ietekmes novērtējuma ziņojums (anotācija)</dc:title>
  <dc:subject>Anotācija</dc:subject>
  <dc:creator>Dace Roga</dc:creator>
  <dc:description>67876093, dace.roga@vm.gov.lv</dc:description>
  <cp:lastModifiedBy>Lāsma Zandberga</cp:lastModifiedBy>
  <cp:revision>8</cp:revision>
  <cp:lastPrinted>2019-12-04T09:11:00Z</cp:lastPrinted>
  <dcterms:created xsi:type="dcterms:W3CDTF">2019-12-04T14:05:00Z</dcterms:created>
  <dcterms:modified xsi:type="dcterms:W3CDTF">2019-12-06T10:58:00Z</dcterms:modified>
</cp:coreProperties>
</file>