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36D2" w14:textId="3D6E5314" w:rsidR="00D05D4C" w:rsidRPr="00BF33C6" w:rsidRDefault="001F478C"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F33C6">
        <w:rPr>
          <w:rFonts w:ascii="Times New Roman" w:eastAsia="Times New Roman" w:hAnsi="Times New Roman" w:cs="Times New Roman"/>
          <w:b/>
          <w:bCs/>
          <w:sz w:val="28"/>
          <w:szCs w:val="24"/>
          <w:lang w:eastAsia="lv-LV"/>
        </w:rPr>
        <w:t>Ministru kabineta noteikumu projekta “Grozījumi Ministru kabineta 2007.</w:t>
      </w:r>
      <w:r w:rsidR="00D05D4C" w:rsidRPr="00BF33C6">
        <w:rPr>
          <w:rFonts w:ascii="Times New Roman" w:eastAsia="Times New Roman" w:hAnsi="Times New Roman" w:cs="Times New Roman"/>
          <w:b/>
          <w:bCs/>
          <w:sz w:val="28"/>
          <w:szCs w:val="24"/>
          <w:lang w:eastAsia="lv-LV"/>
        </w:rPr>
        <w:t> </w:t>
      </w:r>
      <w:r w:rsidRPr="00BF33C6">
        <w:rPr>
          <w:rFonts w:ascii="Times New Roman" w:eastAsia="Times New Roman" w:hAnsi="Times New Roman" w:cs="Times New Roman"/>
          <w:b/>
          <w:bCs/>
          <w:sz w:val="28"/>
          <w:szCs w:val="24"/>
          <w:lang w:eastAsia="lv-LV"/>
        </w:rPr>
        <w:t>gada 26.</w:t>
      </w:r>
      <w:r w:rsidR="00D05D4C" w:rsidRPr="00BF33C6">
        <w:rPr>
          <w:rFonts w:ascii="Times New Roman" w:eastAsia="Times New Roman" w:hAnsi="Times New Roman" w:cs="Times New Roman"/>
          <w:b/>
          <w:bCs/>
          <w:sz w:val="28"/>
          <w:szCs w:val="24"/>
          <w:lang w:eastAsia="lv-LV"/>
        </w:rPr>
        <w:t> </w:t>
      </w:r>
      <w:r w:rsidRPr="00BF33C6">
        <w:rPr>
          <w:rFonts w:ascii="Times New Roman" w:eastAsia="Times New Roman" w:hAnsi="Times New Roman" w:cs="Times New Roman"/>
          <w:b/>
          <w:bCs/>
          <w:sz w:val="28"/>
          <w:szCs w:val="24"/>
          <w:lang w:eastAsia="lv-LV"/>
        </w:rPr>
        <w:t>jūnija noteikumos Nr.</w:t>
      </w:r>
      <w:r w:rsidR="00D05D4C" w:rsidRPr="00BF33C6">
        <w:rPr>
          <w:rFonts w:ascii="Times New Roman" w:eastAsia="Times New Roman" w:hAnsi="Times New Roman" w:cs="Times New Roman"/>
          <w:b/>
          <w:bCs/>
          <w:sz w:val="28"/>
          <w:szCs w:val="24"/>
          <w:lang w:eastAsia="lv-LV"/>
        </w:rPr>
        <w:t> </w:t>
      </w:r>
      <w:r w:rsidRPr="00BF33C6">
        <w:rPr>
          <w:rFonts w:ascii="Times New Roman" w:eastAsia="Times New Roman" w:hAnsi="Times New Roman" w:cs="Times New Roman"/>
          <w:b/>
          <w:bCs/>
          <w:sz w:val="28"/>
          <w:szCs w:val="24"/>
          <w:lang w:eastAsia="lv-LV"/>
        </w:rPr>
        <w:t xml:space="preserve">416 "Zāļu izplatīšanas un kvalitātes kontroles kārtība” </w:t>
      </w:r>
    </w:p>
    <w:p w14:paraId="67A472D0" w14:textId="50066324" w:rsidR="00894C55" w:rsidRPr="00BF33C6"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F33C6">
        <w:rPr>
          <w:rFonts w:ascii="Times New Roman" w:eastAsia="Times New Roman" w:hAnsi="Times New Roman" w:cs="Times New Roman"/>
          <w:b/>
          <w:bCs/>
          <w:sz w:val="28"/>
          <w:szCs w:val="24"/>
          <w:lang w:eastAsia="lv-LV"/>
        </w:rPr>
        <w:t>sākotnējās ietekmes novērtējuma ziņojums (anotācija)</w:t>
      </w:r>
    </w:p>
    <w:p w14:paraId="2AD59504" w14:textId="77777777" w:rsidR="00E5323B" w:rsidRPr="00BF33C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101A4" w:rsidRPr="00BF33C6" w14:paraId="6994B4D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C2932B"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Tiesību akta projekta anotācijas kopsavilkums</w:t>
            </w:r>
          </w:p>
        </w:tc>
      </w:tr>
      <w:tr w:rsidR="004101A4" w:rsidRPr="00BF33C6" w14:paraId="1A4CEE6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EB266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2D0606" w14:textId="0DE53052" w:rsidR="00E5323B" w:rsidRPr="00BF33C6" w:rsidRDefault="00205483" w:rsidP="00B83592">
            <w:pPr>
              <w:spacing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Projekta mērķis ir mazināt zāļu mākslīgo </w:t>
            </w:r>
            <w:r w:rsidR="007B2D7A" w:rsidRPr="00BF33C6">
              <w:rPr>
                <w:rFonts w:ascii="Times New Roman" w:eastAsia="Times New Roman" w:hAnsi="Times New Roman" w:cs="Times New Roman"/>
                <w:iCs/>
                <w:sz w:val="24"/>
                <w:szCs w:val="24"/>
                <w:lang w:eastAsia="lv-LV"/>
              </w:rPr>
              <w:t xml:space="preserve">un faktisko </w:t>
            </w:r>
            <w:r w:rsidRPr="00BF33C6">
              <w:rPr>
                <w:rFonts w:ascii="Times New Roman" w:eastAsia="Times New Roman" w:hAnsi="Times New Roman" w:cs="Times New Roman"/>
                <w:iCs/>
                <w:sz w:val="24"/>
                <w:szCs w:val="24"/>
                <w:lang w:eastAsia="lv-LV"/>
              </w:rPr>
              <w:t>nepieejamību</w:t>
            </w:r>
            <w:r w:rsidR="00000105" w:rsidRPr="00BF33C6">
              <w:rPr>
                <w:rFonts w:ascii="Times New Roman" w:eastAsia="Times New Roman" w:hAnsi="Times New Roman" w:cs="Times New Roman"/>
                <w:iCs/>
                <w:sz w:val="24"/>
                <w:szCs w:val="24"/>
                <w:lang w:eastAsia="lv-LV"/>
              </w:rPr>
              <w:t xml:space="preserve"> un</w:t>
            </w:r>
            <w:r w:rsidR="00BA3912" w:rsidRPr="00BF33C6">
              <w:rPr>
                <w:rFonts w:ascii="Times New Roman" w:eastAsia="Times New Roman" w:hAnsi="Times New Roman" w:cs="Times New Roman"/>
                <w:iCs/>
                <w:sz w:val="24"/>
                <w:szCs w:val="24"/>
                <w:lang w:eastAsia="lv-LV"/>
              </w:rPr>
              <w:t xml:space="preserve"> padarīt caurspīdīgāku zāļu apriti Latvijā,</w:t>
            </w:r>
            <w:r w:rsidR="007F710E" w:rsidRPr="00BF33C6">
              <w:rPr>
                <w:rFonts w:ascii="Times New Roman" w:eastAsia="Times New Roman" w:hAnsi="Times New Roman" w:cs="Times New Roman"/>
                <w:iCs/>
                <w:sz w:val="24"/>
                <w:szCs w:val="24"/>
                <w:lang w:eastAsia="lv-LV"/>
              </w:rPr>
              <w:t xml:space="preserve"> </w:t>
            </w:r>
            <w:r w:rsidR="00E6491C" w:rsidRPr="00BF33C6">
              <w:rPr>
                <w:rFonts w:ascii="Times New Roman" w:eastAsia="Times New Roman" w:hAnsi="Times New Roman" w:cs="Times New Roman"/>
                <w:iCs/>
                <w:sz w:val="24"/>
                <w:szCs w:val="24"/>
                <w:lang w:eastAsia="lv-LV"/>
              </w:rPr>
              <w:t>mazināt administratīvo slogu valsts institūcijām un komersantiem</w:t>
            </w:r>
            <w:r w:rsidR="00BA3912" w:rsidRPr="00BF33C6">
              <w:rPr>
                <w:rFonts w:ascii="Times New Roman" w:eastAsia="Times New Roman" w:hAnsi="Times New Roman" w:cs="Times New Roman"/>
                <w:iCs/>
                <w:sz w:val="24"/>
                <w:szCs w:val="24"/>
                <w:lang w:eastAsia="lv-LV"/>
              </w:rPr>
              <w:t xml:space="preserve"> kā arī</w:t>
            </w:r>
            <w:r w:rsidR="00000105" w:rsidRPr="00BF33C6">
              <w:rPr>
                <w:rFonts w:ascii="Times New Roman" w:eastAsia="Times New Roman" w:hAnsi="Times New Roman" w:cs="Times New Roman"/>
                <w:iCs/>
                <w:sz w:val="24"/>
                <w:szCs w:val="24"/>
                <w:lang w:eastAsia="lv-LV"/>
              </w:rPr>
              <w:t xml:space="preserve"> </w:t>
            </w:r>
            <w:r w:rsidR="00394C34" w:rsidRPr="00BF33C6">
              <w:rPr>
                <w:rFonts w:ascii="Times New Roman" w:eastAsia="Times New Roman" w:hAnsi="Times New Roman" w:cs="Times New Roman"/>
                <w:iCs/>
                <w:sz w:val="24"/>
                <w:szCs w:val="24"/>
                <w:lang w:eastAsia="lv-LV"/>
              </w:rPr>
              <w:t>labot vairākas sīkas nepilnības noteikumu tekstā</w:t>
            </w:r>
            <w:r w:rsidRPr="00BF33C6">
              <w:rPr>
                <w:rFonts w:ascii="Times New Roman" w:eastAsia="Times New Roman" w:hAnsi="Times New Roman" w:cs="Times New Roman"/>
                <w:iCs/>
                <w:sz w:val="24"/>
                <w:szCs w:val="24"/>
                <w:lang w:eastAsia="lv-LV"/>
              </w:rPr>
              <w:t xml:space="preserve">. </w:t>
            </w:r>
            <w:r w:rsidR="00D95F93" w:rsidRPr="00BF33C6">
              <w:rPr>
                <w:rFonts w:ascii="Times New Roman" w:eastAsia="Times New Roman" w:hAnsi="Times New Roman" w:cs="Times New Roman"/>
                <w:iCs/>
                <w:sz w:val="24"/>
                <w:szCs w:val="24"/>
                <w:lang w:eastAsia="lv-LV"/>
              </w:rPr>
              <w:t>Risinājums</w:t>
            </w:r>
            <w:r w:rsidR="00C6140C" w:rsidRPr="00BF33C6">
              <w:rPr>
                <w:rFonts w:ascii="Times New Roman" w:eastAsia="Times New Roman" w:hAnsi="Times New Roman" w:cs="Times New Roman"/>
                <w:iCs/>
                <w:sz w:val="24"/>
                <w:szCs w:val="24"/>
                <w:lang w:eastAsia="lv-LV"/>
              </w:rPr>
              <w:t> </w:t>
            </w:r>
            <w:r w:rsidR="00394C34" w:rsidRPr="00BF33C6">
              <w:rPr>
                <w:rFonts w:ascii="Times New Roman" w:eastAsia="Times New Roman" w:hAnsi="Times New Roman" w:cs="Times New Roman"/>
                <w:iCs/>
                <w:sz w:val="24"/>
                <w:szCs w:val="24"/>
                <w:lang w:eastAsia="lv-LV"/>
              </w:rPr>
              <w:t>–</w:t>
            </w:r>
            <w:r w:rsidR="00E6491C" w:rsidRPr="00BF33C6">
              <w:rPr>
                <w:rFonts w:ascii="Times New Roman" w:eastAsia="Times New Roman" w:hAnsi="Times New Roman" w:cs="Times New Roman"/>
                <w:iCs/>
                <w:sz w:val="24"/>
                <w:szCs w:val="24"/>
                <w:lang w:eastAsia="lv-LV"/>
              </w:rPr>
              <w:t xml:space="preserve"> i</w:t>
            </w:r>
            <w:r w:rsidR="00E6491C" w:rsidRPr="00BF33C6">
              <w:rPr>
                <w:rFonts w:ascii="Times New Roman" w:eastAsia="Times New Roman" w:hAnsi="Times New Roman" w:cs="Times New Roman"/>
                <w:bCs/>
                <w:iCs/>
                <w:sz w:val="24"/>
                <w:szCs w:val="24"/>
                <w:lang w:eastAsia="lv-LV"/>
              </w:rPr>
              <w:t>zveidot lieltirgotavu krājumu uzskaites (kontroles) sistēmu,</w:t>
            </w:r>
            <w:r w:rsidR="00E6491C" w:rsidRPr="00BF33C6">
              <w:rPr>
                <w:rFonts w:ascii="Times New Roman" w:eastAsia="Times New Roman" w:hAnsi="Times New Roman" w:cs="Times New Roman"/>
                <w:b/>
                <w:bCs/>
                <w:iCs/>
                <w:sz w:val="24"/>
                <w:szCs w:val="24"/>
                <w:lang w:eastAsia="lv-LV"/>
              </w:rPr>
              <w:t xml:space="preserve"> </w:t>
            </w:r>
            <w:r w:rsidR="00394C34" w:rsidRPr="00BF33C6">
              <w:rPr>
                <w:rFonts w:ascii="Times New Roman" w:eastAsia="Times New Roman" w:hAnsi="Times New Roman" w:cs="Times New Roman"/>
                <w:iCs/>
                <w:sz w:val="24"/>
                <w:szCs w:val="24"/>
                <w:lang w:eastAsia="lv-LV"/>
              </w:rPr>
              <w:t>no</w:t>
            </w:r>
            <w:r w:rsidR="00E6491C" w:rsidRPr="00BF33C6">
              <w:rPr>
                <w:rFonts w:ascii="Times New Roman" w:eastAsia="Times New Roman" w:hAnsi="Times New Roman" w:cs="Times New Roman"/>
                <w:iCs/>
                <w:sz w:val="24"/>
                <w:szCs w:val="24"/>
                <w:lang w:eastAsia="lv-LV"/>
              </w:rPr>
              <w:t>sakot</w:t>
            </w:r>
            <w:r w:rsidR="00394C34" w:rsidRPr="00BF33C6">
              <w:rPr>
                <w:rFonts w:ascii="Times New Roman" w:eastAsia="Times New Roman" w:hAnsi="Times New Roman" w:cs="Times New Roman"/>
                <w:iCs/>
                <w:sz w:val="24"/>
                <w:szCs w:val="24"/>
                <w:lang w:eastAsia="lv-LV"/>
              </w:rPr>
              <w:t xml:space="preserve"> pienākumu zāļu lieltirgotavām</w:t>
            </w:r>
            <w:r w:rsidR="00186CBD" w:rsidRPr="00BF33C6">
              <w:rPr>
                <w:rFonts w:ascii="Times New Roman" w:eastAsia="Times New Roman" w:hAnsi="Times New Roman" w:cs="Times New Roman"/>
                <w:iCs/>
                <w:sz w:val="24"/>
                <w:szCs w:val="24"/>
                <w:lang w:eastAsia="lv-LV"/>
              </w:rPr>
              <w:t xml:space="preserve"> katru darba dienu</w:t>
            </w:r>
            <w:r w:rsidR="00394C34" w:rsidRPr="00BF33C6">
              <w:rPr>
                <w:rFonts w:ascii="Times New Roman" w:eastAsia="Times New Roman" w:hAnsi="Times New Roman" w:cs="Times New Roman"/>
                <w:iCs/>
                <w:sz w:val="24"/>
                <w:szCs w:val="24"/>
                <w:lang w:eastAsia="lv-LV"/>
              </w:rPr>
              <w:t xml:space="preserve"> </w:t>
            </w:r>
            <w:r w:rsidR="00186CBD" w:rsidRPr="00BF33C6">
              <w:rPr>
                <w:rFonts w:ascii="Times New Roman" w:eastAsia="Times New Roman" w:hAnsi="Times New Roman" w:cs="Times New Roman"/>
                <w:iCs/>
                <w:sz w:val="24"/>
                <w:szCs w:val="24"/>
                <w:lang w:eastAsia="lv-LV"/>
              </w:rPr>
              <w:t>s</w:t>
            </w:r>
            <w:r w:rsidR="00394C34" w:rsidRPr="00BF33C6">
              <w:rPr>
                <w:rFonts w:ascii="Times New Roman" w:eastAsia="Times New Roman" w:hAnsi="Times New Roman" w:cs="Times New Roman"/>
                <w:iCs/>
                <w:sz w:val="24"/>
                <w:szCs w:val="24"/>
                <w:lang w:eastAsia="lv-LV"/>
              </w:rPr>
              <w:t>niegt informāciju Zāļu valsts aģentūrai (turpmāk</w:t>
            </w:r>
            <w:r w:rsidR="00C6140C" w:rsidRPr="00BF33C6">
              <w:rPr>
                <w:rFonts w:ascii="Times New Roman" w:eastAsia="Times New Roman" w:hAnsi="Times New Roman" w:cs="Times New Roman"/>
                <w:iCs/>
                <w:sz w:val="24"/>
                <w:szCs w:val="24"/>
                <w:lang w:eastAsia="lv-LV"/>
              </w:rPr>
              <w:t> </w:t>
            </w:r>
            <w:r w:rsidR="00394C34" w:rsidRPr="00BF33C6">
              <w:rPr>
                <w:rFonts w:ascii="Times New Roman" w:eastAsia="Times New Roman" w:hAnsi="Times New Roman" w:cs="Times New Roman"/>
                <w:iCs/>
                <w:sz w:val="24"/>
                <w:szCs w:val="24"/>
                <w:lang w:eastAsia="lv-LV"/>
              </w:rPr>
              <w:t>-</w:t>
            </w:r>
            <w:r w:rsidR="00C6140C" w:rsidRPr="00BF33C6">
              <w:rPr>
                <w:rFonts w:ascii="Times New Roman" w:eastAsia="Times New Roman" w:hAnsi="Times New Roman" w:cs="Times New Roman"/>
                <w:iCs/>
                <w:sz w:val="24"/>
                <w:szCs w:val="24"/>
                <w:lang w:eastAsia="lv-LV"/>
              </w:rPr>
              <w:t> </w:t>
            </w:r>
            <w:r w:rsidR="00394C34" w:rsidRPr="00BF33C6">
              <w:rPr>
                <w:rFonts w:ascii="Times New Roman" w:eastAsia="Times New Roman" w:hAnsi="Times New Roman" w:cs="Times New Roman"/>
                <w:iCs/>
                <w:sz w:val="24"/>
                <w:szCs w:val="24"/>
                <w:lang w:eastAsia="lv-LV"/>
              </w:rPr>
              <w:t>aģentūra) par zāļu</w:t>
            </w:r>
            <w:r w:rsidR="00E6491C" w:rsidRPr="00BF33C6">
              <w:rPr>
                <w:rFonts w:ascii="Times New Roman" w:eastAsia="Times New Roman" w:hAnsi="Times New Roman" w:cs="Times New Roman"/>
                <w:iCs/>
                <w:sz w:val="24"/>
                <w:szCs w:val="24"/>
                <w:lang w:eastAsia="lv-LV"/>
              </w:rPr>
              <w:t xml:space="preserve"> krājumiem</w:t>
            </w:r>
            <w:r w:rsidR="00394C34" w:rsidRPr="00BF33C6">
              <w:rPr>
                <w:rFonts w:ascii="Times New Roman" w:eastAsia="Times New Roman" w:hAnsi="Times New Roman" w:cs="Times New Roman"/>
                <w:iCs/>
                <w:sz w:val="24"/>
                <w:szCs w:val="24"/>
                <w:lang w:eastAsia="lv-LV"/>
              </w:rPr>
              <w:t xml:space="preserve"> </w:t>
            </w:r>
            <w:r w:rsidR="00E6491C" w:rsidRPr="00BF33C6">
              <w:rPr>
                <w:rFonts w:ascii="Times New Roman" w:eastAsia="Times New Roman" w:hAnsi="Times New Roman" w:cs="Times New Roman"/>
                <w:iCs/>
                <w:sz w:val="24"/>
                <w:szCs w:val="24"/>
                <w:lang w:eastAsia="lv-LV"/>
              </w:rPr>
              <w:t>(</w:t>
            </w:r>
            <w:r w:rsidR="00394C34" w:rsidRPr="00BF33C6">
              <w:rPr>
                <w:rFonts w:ascii="Times New Roman" w:eastAsia="Times New Roman" w:hAnsi="Times New Roman" w:cs="Times New Roman"/>
                <w:iCs/>
                <w:sz w:val="24"/>
                <w:szCs w:val="24"/>
                <w:lang w:eastAsia="lv-LV"/>
              </w:rPr>
              <w:t>atlikumiem</w:t>
            </w:r>
            <w:r w:rsidR="00E6491C" w:rsidRPr="00BF33C6">
              <w:rPr>
                <w:rFonts w:ascii="Times New Roman" w:eastAsia="Times New Roman" w:hAnsi="Times New Roman" w:cs="Times New Roman"/>
                <w:iCs/>
                <w:sz w:val="24"/>
                <w:szCs w:val="24"/>
                <w:lang w:eastAsia="lv-LV"/>
              </w:rPr>
              <w:t>)</w:t>
            </w:r>
            <w:r w:rsidR="00394C34" w:rsidRPr="00BF33C6">
              <w:rPr>
                <w:rFonts w:ascii="Times New Roman" w:eastAsia="Times New Roman" w:hAnsi="Times New Roman" w:cs="Times New Roman"/>
                <w:iCs/>
                <w:sz w:val="24"/>
                <w:szCs w:val="24"/>
                <w:lang w:eastAsia="lv-LV"/>
              </w:rPr>
              <w:t>,</w:t>
            </w:r>
            <w:r w:rsidR="00E6491C" w:rsidRPr="00BF33C6">
              <w:rPr>
                <w:rFonts w:ascii="Times New Roman" w:eastAsia="Times New Roman" w:hAnsi="Times New Roman" w:cs="Times New Roman"/>
                <w:iCs/>
                <w:sz w:val="24"/>
                <w:szCs w:val="24"/>
                <w:lang w:eastAsia="lv-LV"/>
              </w:rPr>
              <w:t xml:space="preserve"> i</w:t>
            </w:r>
            <w:r w:rsidR="00E6491C" w:rsidRPr="00BF33C6">
              <w:rPr>
                <w:rFonts w:ascii="Times New Roman" w:eastAsia="Times New Roman" w:hAnsi="Times New Roman" w:cs="Times New Roman"/>
                <w:bCs/>
                <w:iCs/>
                <w:sz w:val="24"/>
                <w:szCs w:val="24"/>
                <w:lang w:eastAsia="lv-LV"/>
              </w:rPr>
              <w:t>zveidot caurspīdīgu zāļu pasūtīšanas sistēmu,</w:t>
            </w:r>
            <w:r w:rsidR="00394C34" w:rsidRPr="00BF33C6">
              <w:rPr>
                <w:rFonts w:ascii="Times New Roman" w:eastAsia="Times New Roman" w:hAnsi="Times New Roman" w:cs="Times New Roman"/>
                <w:iCs/>
                <w:sz w:val="24"/>
                <w:szCs w:val="24"/>
                <w:lang w:eastAsia="lv-LV"/>
              </w:rPr>
              <w:t xml:space="preserve"> regulē</w:t>
            </w:r>
            <w:r w:rsidR="00E6491C" w:rsidRPr="00BF33C6">
              <w:rPr>
                <w:rFonts w:ascii="Times New Roman" w:eastAsia="Times New Roman" w:hAnsi="Times New Roman" w:cs="Times New Roman"/>
                <w:iCs/>
                <w:sz w:val="24"/>
                <w:szCs w:val="24"/>
                <w:lang w:eastAsia="lv-LV"/>
              </w:rPr>
              <w:t>jot</w:t>
            </w:r>
            <w:r w:rsidR="00394C34" w:rsidRPr="00BF33C6">
              <w:rPr>
                <w:rFonts w:ascii="Times New Roman" w:eastAsia="Times New Roman" w:hAnsi="Times New Roman" w:cs="Times New Roman"/>
                <w:iCs/>
                <w:sz w:val="24"/>
                <w:szCs w:val="24"/>
                <w:lang w:eastAsia="lv-LV"/>
              </w:rPr>
              <w:t xml:space="preserve"> procesu, kā aptiekas iesniedz zāļu piegādes pieprasījumus zāļu lieltirgotavām un kā zāļu lieltirgotavas sniedz atbildi uz šādiem pieprasījumiem</w:t>
            </w:r>
            <w:r w:rsidR="00E6491C" w:rsidRPr="00BF33C6">
              <w:rPr>
                <w:rFonts w:ascii="Times New Roman" w:eastAsia="Times New Roman" w:hAnsi="Times New Roman" w:cs="Times New Roman"/>
                <w:iCs/>
                <w:sz w:val="24"/>
                <w:szCs w:val="24"/>
                <w:lang w:eastAsia="lv-LV"/>
              </w:rPr>
              <w:t>, k</w:t>
            </w:r>
            <w:r w:rsidR="00E6491C" w:rsidRPr="00BF33C6">
              <w:rPr>
                <w:rFonts w:ascii="Times New Roman" w:eastAsia="Times New Roman" w:hAnsi="Times New Roman" w:cs="Times New Roman"/>
                <w:bCs/>
                <w:iCs/>
                <w:sz w:val="24"/>
                <w:szCs w:val="24"/>
                <w:lang w:eastAsia="lv-LV"/>
              </w:rPr>
              <w:t>ontrolēt</w:t>
            </w:r>
            <w:r w:rsidR="004A2E2B" w:rsidRPr="00BF33C6">
              <w:rPr>
                <w:rFonts w:ascii="Times New Roman" w:eastAsia="Times New Roman" w:hAnsi="Times New Roman" w:cs="Times New Roman"/>
                <w:bCs/>
                <w:iCs/>
                <w:sz w:val="24"/>
                <w:szCs w:val="24"/>
                <w:lang w:eastAsia="lv-LV"/>
              </w:rPr>
              <w:t xml:space="preserve"> zāļu krājumu un izvešanas riska balansu,</w:t>
            </w:r>
            <w:r w:rsidR="00E6491C" w:rsidRPr="00BF33C6">
              <w:rPr>
                <w:rFonts w:ascii="Times New Roman" w:eastAsia="Times New Roman" w:hAnsi="Times New Roman" w:cs="Times New Roman"/>
                <w:bCs/>
                <w:iCs/>
                <w:sz w:val="24"/>
                <w:szCs w:val="24"/>
                <w:lang w:eastAsia="lv-LV"/>
              </w:rPr>
              <w:t xml:space="preserve"> zāļu izvešanu un eksportu</w:t>
            </w:r>
            <w:r w:rsidR="00E6491C" w:rsidRPr="00BF33C6">
              <w:rPr>
                <w:rFonts w:ascii="Times New Roman" w:eastAsia="Times New Roman" w:hAnsi="Times New Roman" w:cs="Times New Roman"/>
                <w:iCs/>
                <w:sz w:val="24"/>
                <w:szCs w:val="24"/>
                <w:lang w:eastAsia="lv-LV"/>
              </w:rPr>
              <w:t>.</w:t>
            </w:r>
            <w:r w:rsidR="004A0CB5" w:rsidRPr="00BF33C6">
              <w:rPr>
                <w:sz w:val="24"/>
                <w:szCs w:val="24"/>
              </w:rPr>
              <w:t xml:space="preserve"> </w:t>
            </w:r>
            <w:r w:rsidR="004A0CB5" w:rsidRPr="00BF33C6">
              <w:rPr>
                <w:rFonts w:ascii="Times New Roman" w:hAnsi="Times New Roman" w:cs="Times New Roman"/>
                <w:sz w:val="24"/>
                <w:szCs w:val="24"/>
              </w:rPr>
              <w:t>Kontroles sistēma (reģistrs) ļautu operatīvi pārbaudīt krājumu apjomu lieltirgotavās, lai savlaicīgi novērstu zāļu nepieejamības risku aptiekām un pacientiem iespējamās zāļu izvešanas dēļ.</w:t>
            </w:r>
            <w:r w:rsidR="00394C34" w:rsidRPr="00BF33C6">
              <w:rPr>
                <w:rFonts w:ascii="Times New Roman" w:eastAsia="Times New Roman" w:hAnsi="Times New Roman" w:cs="Times New Roman"/>
                <w:iCs/>
                <w:sz w:val="24"/>
                <w:szCs w:val="24"/>
                <w:lang w:eastAsia="lv-LV"/>
              </w:rPr>
              <w:t xml:space="preserve"> Projekts stājas spēkā vispārējā kārtībā.</w:t>
            </w:r>
          </w:p>
        </w:tc>
      </w:tr>
    </w:tbl>
    <w:p w14:paraId="146266D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1327"/>
        <w:gridCol w:w="7175"/>
      </w:tblGrid>
      <w:tr w:rsidR="004101A4" w:rsidRPr="00BF33C6" w14:paraId="6E3E5AB6" w14:textId="77777777" w:rsidTr="00CE2DB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E103141"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I. Tiesību akta projekta izstrādes nepieciešamība</w:t>
            </w:r>
          </w:p>
        </w:tc>
      </w:tr>
      <w:tr w:rsidR="004101A4" w:rsidRPr="00BF33C6" w14:paraId="06819F6F" w14:textId="77777777" w:rsidTr="00CE2DB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2AD89F"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w:t>
            </w:r>
          </w:p>
        </w:tc>
        <w:tc>
          <w:tcPr>
            <w:tcW w:w="726" w:type="pct"/>
            <w:tcBorders>
              <w:top w:val="outset" w:sz="6" w:space="0" w:color="auto"/>
              <w:left w:val="outset" w:sz="6" w:space="0" w:color="auto"/>
              <w:bottom w:val="outset" w:sz="6" w:space="0" w:color="auto"/>
              <w:right w:val="outset" w:sz="6" w:space="0" w:color="auto"/>
            </w:tcBorders>
            <w:hideMark/>
          </w:tcPr>
          <w:p w14:paraId="2BC54A2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Pamatojums</w:t>
            </w:r>
          </w:p>
        </w:tc>
        <w:tc>
          <w:tcPr>
            <w:tcW w:w="3924" w:type="pct"/>
            <w:tcBorders>
              <w:top w:val="outset" w:sz="6" w:space="0" w:color="auto"/>
              <w:left w:val="outset" w:sz="6" w:space="0" w:color="auto"/>
              <w:bottom w:val="outset" w:sz="6" w:space="0" w:color="auto"/>
              <w:right w:val="outset" w:sz="6" w:space="0" w:color="auto"/>
            </w:tcBorders>
            <w:hideMark/>
          </w:tcPr>
          <w:p w14:paraId="4ABB1781" w14:textId="77777777" w:rsidR="00E5323B" w:rsidRPr="00BF33C6" w:rsidRDefault="00205483"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Projekts ir izstrādāts pēc Veselības ministrijas iniciatīvas.</w:t>
            </w:r>
          </w:p>
        </w:tc>
      </w:tr>
      <w:tr w:rsidR="004101A4" w:rsidRPr="00BF33C6" w14:paraId="61B077B3" w14:textId="77777777" w:rsidTr="00CE2DB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5CE2A8F"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w:t>
            </w:r>
          </w:p>
        </w:tc>
        <w:tc>
          <w:tcPr>
            <w:tcW w:w="726" w:type="pct"/>
            <w:tcBorders>
              <w:top w:val="outset" w:sz="6" w:space="0" w:color="auto"/>
              <w:left w:val="outset" w:sz="6" w:space="0" w:color="auto"/>
              <w:bottom w:val="outset" w:sz="6" w:space="0" w:color="auto"/>
              <w:right w:val="outset" w:sz="6" w:space="0" w:color="auto"/>
            </w:tcBorders>
            <w:hideMark/>
          </w:tcPr>
          <w:p w14:paraId="1997CD5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F3DA0A0" w14:textId="77777777" w:rsidR="00A9796E" w:rsidRPr="00BF33C6" w:rsidRDefault="00A9796E" w:rsidP="00A9796E">
            <w:pPr>
              <w:rPr>
                <w:rFonts w:ascii="Times New Roman" w:eastAsia="Times New Roman" w:hAnsi="Times New Roman" w:cs="Times New Roman"/>
                <w:sz w:val="24"/>
                <w:szCs w:val="24"/>
                <w:lang w:eastAsia="lv-LV"/>
              </w:rPr>
            </w:pPr>
          </w:p>
          <w:p w14:paraId="15449DF5" w14:textId="77777777" w:rsidR="00A9796E" w:rsidRPr="00BF33C6" w:rsidRDefault="00A9796E" w:rsidP="00A9796E">
            <w:pPr>
              <w:rPr>
                <w:rFonts w:ascii="Times New Roman" w:eastAsia="Times New Roman" w:hAnsi="Times New Roman" w:cs="Times New Roman"/>
                <w:sz w:val="24"/>
                <w:szCs w:val="24"/>
                <w:lang w:eastAsia="lv-LV"/>
              </w:rPr>
            </w:pPr>
          </w:p>
          <w:p w14:paraId="512F34FE" w14:textId="77777777" w:rsidR="00A9796E" w:rsidRPr="00BF33C6" w:rsidRDefault="00A9796E" w:rsidP="00A9796E">
            <w:pPr>
              <w:rPr>
                <w:rFonts w:ascii="Times New Roman" w:eastAsia="Times New Roman" w:hAnsi="Times New Roman" w:cs="Times New Roman"/>
                <w:sz w:val="24"/>
                <w:szCs w:val="24"/>
                <w:lang w:eastAsia="lv-LV"/>
              </w:rPr>
            </w:pPr>
          </w:p>
          <w:p w14:paraId="6D3911CB" w14:textId="77777777" w:rsidR="00A9796E" w:rsidRPr="00BF33C6" w:rsidRDefault="00A9796E" w:rsidP="00A9796E">
            <w:pPr>
              <w:rPr>
                <w:rFonts w:ascii="Times New Roman" w:eastAsia="Times New Roman" w:hAnsi="Times New Roman" w:cs="Times New Roman"/>
                <w:sz w:val="24"/>
                <w:szCs w:val="24"/>
                <w:lang w:eastAsia="lv-LV"/>
              </w:rPr>
            </w:pPr>
          </w:p>
          <w:p w14:paraId="7BE44EA9" w14:textId="77777777" w:rsidR="00A9796E" w:rsidRPr="00BF33C6" w:rsidRDefault="00A9796E" w:rsidP="00A9796E">
            <w:pPr>
              <w:rPr>
                <w:rFonts w:ascii="Times New Roman" w:eastAsia="Times New Roman" w:hAnsi="Times New Roman" w:cs="Times New Roman"/>
                <w:sz w:val="24"/>
                <w:szCs w:val="24"/>
                <w:lang w:eastAsia="lv-LV"/>
              </w:rPr>
            </w:pPr>
          </w:p>
          <w:p w14:paraId="2FF0F078" w14:textId="77777777" w:rsidR="00A9796E" w:rsidRPr="00BF33C6" w:rsidRDefault="00A9796E" w:rsidP="00A9796E">
            <w:pPr>
              <w:rPr>
                <w:rFonts w:ascii="Times New Roman" w:eastAsia="Times New Roman" w:hAnsi="Times New Roman" w:cs="Times New Roman"/>
                <w:sz w:val="24"/>
                <w:szCs w:val="24"/>
                <w:lang w:eastAsia="lv-LV"/>
              </w:rPr>
            </w:pPr>
          </w:p>
          <w:p w14:paraId="1BB90E1E" w14:textId="77777777" w:rsidR="00A9796E" w:rsidRPr="00BF33C6" w:rsidRDefault="00A9796E" w:rsidP="00A9796E">
            <w:pPr>
              <w:rPr>
                <w:rFonts w:ascii="Times New Roman" w:eastAsia="Times New Roman" w:hAnsi="Times New Roman" w:cs="Times New Roman"/>
                <w:sz w:val="24"/>
                <w:szCs w:val="24"/>
                <w:lang w:eastAsia="lv-LV"/>
              </w:rPr>
            </w:pPr>
          </w:p>
          <w:p w14:paraId="533D3E7C" w14:textId="77777777" w:rsidR="00A9796E" w:rsidRPr="00BF33C6" w:rsidRDefault="00A9796E" w:rsidP="00A9796E">
            <w:pPr>
              <w:rPr>
                <w:rFonts w:ascii="Times New Roman" w:eastAsia="Times New Roman" w:hAnsi="Times New Roman" w:cs="Times New Roman"/>
                <w:sz w:val="24"/>
                <w:szCs w:val="24"/>
                <w:lang w:eastAsia="lv-LV"/>
              </w:rPr>
            </w:pPr>
          </w:p>
          <w:p w14:paraId="773BF26E" w14:textId="77777777" w:rsidR="00A9796E" w:rsidRPr="00BF33C6" w:rsidRDefault="00A9796E" w:rsidP="00A9796E">
            <w:pPr>
              <w:rPr>
                <w:rFonts w:ascii="Times New Roman" w:eastAsia="Times New Roman" w:hAnsi="Times New Roman" w:cs="Times New Roman"/>
                <w:sz w:val="24"/>
                <w:szCs w:val="24"/>
                <w:lang w:eastAsia="lv-LV"/>
              </w:rPr>
            </w:pPr>
          </w:p>
          <w:p w14:paraId="42FD6A3B" w14:textId="77777777" w:rsidR="00A9796E" w:rsidRPr="00BF33C6" w:rsidRDefault="00A9796E" w:rsidP="00A9796E">
            <w:pPr>
              <w:rPr>
                <w:rFonts w:ascii="Times New Roman" w:eastAsia="Times New Roman" w:hAnsi="Times New Roman" w:cs="Times New Roman"/>
                <w:sz w:val="24"/>
                <w:szCs w:val="24"/>
                <w:lang w:eastAsia="lv-LV"/>
              </w:rPr>
            </w:pPr>
          </w:p>
          <w:p w14:paraId="6DBE5586" w14:textId="77777777" w:rsidR="00A9796E" w:rsidRPr="00BF33C6" w:rsidRDefault="00A9796E" w:rsidP="00A9796E">
            <w:pPr>
              <w:rPr>
                <w:rFonts w:ascii="Times New Roman" w:eastAsia="Times New Roman" w:hAnsi="Times New Roman" w:cs="Times New Roman"/>
                <w:sz w:val="24"/>
                <w:szCs w:val="24"/>
                <w:lang w:eastAsia="lv-LV"/>
              </w:rPr>
            </w:pPr>
          </w:p>
          <w:p w14:paraId="79E3CAD7" w14:textId="77777777" w:rsidR="00A9796E" w:rsidRPr="00BF33C6" w:rsidRDefault="00A9796E" w:rsidP="00A9796E">
            <w:pPr>
              <w:rPr>
                <w:rFonts w:ascii="Times New Roman" w:eastAsia="Times New Roman" w:hAnsi="Times New Roman" w:cs="Times New Roman"/>
                <w:sz w:val="24"/>
                <w:szCs w:val="24"/>
                <w:lang w:eastAsia="lv-LV"/>
              </w:rPr>
            </w:pPr>
          </w:p>
          <w:p w14:paraId="488F267A" w14:textId="77777777" w:rsidR="00A9796E" w:rsidRPr="00BF33C6" w:rsidRDefault="00A9796E" w:rsidP="00A9796E">
            <w:pPr>
              <w:rPr>
                <w:rFonts w:ascii="Times New Roman" w:eastAsia="Times New Roman" w:hAnsi="Times New Roman" w:cs="Times New Roman"/>
                <w:sz w:val="24"/>
                <w:szCs w:val="24"/>
                <w:lang w:eastAsia="lv-LV"/>
              </w:rPr>
            </w:pPr>
          </w:p>
          <w:p w14:paraId="14295A5B" w14:textId="77777777" w:rsidR="00A9796E" w:rsidRPr="00BF33C6" w:rsidRDefault="00A9796E" w:rsidP="00A9796E">
            <w:pPr>
              <w:rPr>
                <w:rFonts w:ascii="Times New Roman" w:eastAsia="Times New Roman" w:hAnsi="Times New Roman" w:cs="Times New Roman"/>
                <w:iCs/>
                <w:sz w:val="24"/>
                <w:szCs w:val="24"/>
                <w:lang w:eastAsia="lv-LV"/>
              </w:rPr>
            </w:pPr>
          </w:p>
          <w:p w14:paraId="4143837F" w14:textId="36C3E4B2" w:rsidR="00A9796E" w:rsidRPr="00BF33C6" w:rsidRDefault="00A9796E" w:rsidP="00A9796E">
            <w:pPr>
              <w:ind w:firstLine="720"/>
              <w:rPr>
                <w:rFonts w:ascii="Times New Roman" w:eastAsia="Times New Roman" w:hAnsi="Times New Roman" w:cs="Times New Roman"/>
                <w:sz w:val="24"/>
                <w:szCs w:val="24"/>
                <w:lang w:eastAsia="lv-LV"/>
              </w:rPr>
            </w:pPr>
          </w:p>
        </w:tc>
        <w:tc>
          <w:tcPr>
            <w:tcW w:w="3924" w:type="pct"/>
            <w:tcBorders>
              <w:top w:val="outset" w:sz="6" w:space="0" w:color="auto"/>
              <w:left w:val="outset" w:sz="6" w:space="0" w:color="auto"/>
              <w:bottom w:val="outset" w:sz="6" w:space="0" w:color="auto"/>
              <w:right w:val="outset" w:sz="6" w:space="0" w:color="auto"/>
            </w:tcBorders>
            <w:hideMark/>
          </w:tcPr>
          <w:p w14:paraId="0B3F52AA" w14:textId="7B64DA54" w:rsidR="004A2E2B" w:rsidRPr="00BF33C6" w:rsidRDefault="004A2E2B" w:rsidP="004A2E2B">
            <w:pPr>
              <w:spacing w:after="0" w:line="240" w:lineRule="auto"/>
              <w:ind w:firstLine="709"/>
              <w:jc w:val="both"/>
              <w:rPr>
                <w:rFonts w:ascii="Times New Roman" w:hAnsi="Times New Roman"/>
                <w:sz w:val="24"/>
                <w:szCs w:val="24"/>
              </w:rPr>
            </w:pPr>
            <w:r w:rsidRPr="00BF33C6">
              <w:rPr>
                <w:rFonts w:ascii="Times New Roman" w:hAnsi="Times New Roman"/>
                <w:sz w:val="24"/>
                <w:szCs w:val="24"/>
              </w:rPr>
              <w:lastRenderedPageBreak/>
              <w:t>2018. un 2019.gadā Zāļu valsts aģentūrā tika saņemti 659 ziņojumi par zāļu neesamību</w:t>
            </w:r>
            <w:r w:rsidR="008D29DB">
              <w:rPr>
                <w:rFonts w:ascii="Times New Roman" w:hAnsi="Times New Roman"/>
                <w:sz w:val="24"/>
                <w:szCs w:val="24"/>
              </w:rPr>
              <w:t>,</w:t>
            </w:r>
            <w:r w:rsidRPr="00BF33C6">
              <w:rPr>
                <w:rFonts w:ascii="Times New Roman" w:hAnsi="Times New Roman"/>
                <w:sz w:val="24"/>
                <w:szCs w:val="24"/>
              </w:rPr>
              <w:t xml:space="preserve"> no kuriem tikai 358 gadījumi bija pamatoti, bet 438 jeb 66,5% no visiem gadījumiem nepamatoti. (</w:t>
            </w:r>
            <w:r w:rsidRPr="00BF33C6">
              <w:rPr>
                <w:rFonts w:ascii="Times New Roman" w:hAnsi="Times New Roman"/>
                <w:i/>
                <w:sz w:val="24"/>
                <w:szCs w:val="24"/>
              </w:rPr>
              <w:t>Zāļu valsts aģentūras dati</w:t>
            </w:r>
            <w:r w:rsidRPr="00BF33C6">
              <w:rPr>
                <w:rFonts w:ascii="Times New Roman" w:hAnsi="Times New Roman"/>
                <w:sz w:val="24"/>
                <w:szCs w:val="24"/>
              </w:rPr>
              <w:t>)</w:t>
            </w:r>
          </w:p>
          <w:p w14:paraId="1752F9A2" w14:textId="77777777" w:rsidR="004A2E2B" w:rsidRPr="00BF33C6" w:rsidRDefault="004A2E2B" w:rsidP="004A2E2B">
            <w:pPr>
              <w:spacing w:after="0" w:line="240" w:lineRule="auto"/>
              <w:ind w:firstLine="709"/>
              <w:jc w:val="both"/>
              <w:rPr>
                <w:rFonts w:ascii="Times New Roman" w:hAnsi="Times New Roman"/>
                <w:sz w:val="24"/>
                <w:szCs w:val="24"/>
              </w:rPr>
            </w:pPr>
            <w:r w:rsidRPr="00BF33C6">
              <w:rPr>
                <w:rFonts w:ascii="Times New Roman" w:hAnsi="Times New Roman"/>
                <w:sz w:val="24"/>
                <w:szCs w:val="24"/>
              </w:rPr>
              <w:t>Līdz ar to ir secināms, ka Latvijas zāļu tirgū ir augsts zāļu mākslīgās nepieejamības risks – tā ir situācija, kad kādas konkrētas zāles faktiski ir atrodamas Latvijā pie kāda no zāļu izplatīšanā iesaistītajiem subjektiem, bet tās netiek piegādātas konkrētajai aptiekai pēc to pieprasījuma zāļu lieltirgotavām un tālāk izsniegtas pacientam, pamatojoties uz korporatīvajām saitēm, kuras izveidotas starp konkrētiem zāļu vairumtirgotājiem un aptiekām, vai tieši otrādi – pamatojoties uz šādu saišu neesamību.</w:t>
            </w:r>
          </w:p>
          <w:p w14:paraId="640E9393" w14:textId="77777777" w:rsidR="004A0CB5" w:rsidRPr="00BF33C6" w:rsidRDefault="004A2E2B" w:rsidP="004A2E2B">
            <w:pPr>
              <w:spacing w:after="0" w:line="240" w:lineRule="auto"/>
              <w:ind w:firstLine="709"/>
              <w:jc w:val="both"/>
              <w:rPr>
                <w:rFonts w:ascii="Times New Roman" w:hAnsi="Times New Roman"/>
                <w:sz w:val="24"/>
                <w:szCs w:val="24"/>
              </w:rPr>
            </w:pPr>
            <w:r w:rsidRPr="00BF33C6">
              <w:rPr>
                <w:rFonts w:ascii="Times New Roman" w:hAnsi="Times New Roman"/>
                <w:sz w:val="24"/>
                <w:szCs w:val="24"/>
              </w:rPr>
              <w:t xml:space="preserve">Konkurences padome ir konstatējusi, ka zāļu pasūtīšanas sistēma no lieltirgotavām ir necaurspīdīga. Pasūtot zāles, pasūtītājam nav iespējas objektīvi pārliecināties, vai piegādātāja noliktavā ir nepieciešamais zāļu daudzums. Nav iespējams pārbaudīt, vai pasūtījumi tiek apkalpoti taisnīgā rindas kārtībā un to, vai pastāv diskriminācija. Tas rada risku, ka lieltirgotavas var izslēgt konkurējošās aptiekas. Šāds risks ir īpaši izteikts mazos lokālos tirgos, kur lieliem aptieku tīkliem ir iespēja palielināt tirgus daļu. Necaurspīdīga zāļu pasūtīšanas sistēma no lieltirgotavām rada zāļu </w:t>
            </w:r>
            <w:r w:rsidRPr="00BF33C6">
              <w:rPr>
                <w:rFonts w:ascii="Times New Roman" w:hAnsi="Times New Roman"/>
                <w:sz w:val="24"/>
                <w:szCs w:val="24"/>
              </w:rPr>
              <w:lastRenderedPageBreak/>
              <w:t>īstermiņa deficīta risku un ļauj vertikāli integrētām lieltirgotavām apkalpot primāri savu aptieku pasūtījumus, nevis taisnīgu apkalpošanu rindas kārtībā. (</w:t>
            </w:r>
            <w:r w:rsidRPr="00BF33C6">
              <w:rPr>
                <w:rFonts w:ascii="Times New Roman" w:hAnsi="Times New Roman"/>
                <w:i/>
                <w:sz w:val="24"/>
                <w:szCs w:val="24"/>
              </w:rPr>
              <w:t>Konkurences padome. Kompensējamo zāļu izplatīšana un ar to saistītie iespējamie konkurences ierobežojumi tirgus uzraudzības noslēguma ziņojums. 2018. 110., 150.; 161. un 167.punkts</w:t>
            </w:r>
            <w:r w:rsidRPr="00BF33C6">
              <w:rPr>
                <w:rFonts w:ascii="Times New Roman" w:hAnsi="Times New Roman"/>
                <w:sz w:val="24"/>
                <w:szCs w:val="24"/>
              </w:rPr>
              <w:t>)</w:t>
            </w:r>
            <w:r w:rsidR="004A0CB5" w:rsidRPr="00BF33C6">
              <w:rPr>
                <w:rFonts w:ascii="Times New Roman" w:hAnsi="Times New Roman"/>
                <w:sz w:val="24"/>
                <w:szCs w:val="24"/>
              </w:rPr>
              <w:t>.</w:t>
            </w:r>
          </w:p>
          <w:p w14:paraId="260BA293" w14:textId="77777777" w:rsidR="004A0CB5" w:rsidRPr="00BF33C6" w:rsidRDefault="004A0CB5" w:rsidP="004A2E2B">
            <w:pPr>
              <w:spacing w:after="0" w:line="240" w:lineRule="auto"/>
              <w:ind w:firstLine="709"/>
              <w:jc w:val="both"/>
              <w:rPr>
                <w:rFonts w:ascii="Times New Roman" w:hAnsi="Times New Roman"/>
                <w:sz w:val="24"/>
                <w:szCs w:val="24"/>
              </w:rPr>
            </w:pPr>
          </w:p>
          <w:p w14:paraId="1EB0D6A0" w14:textId="7193300D" w:rsidR="004A0CB5" w:rsidRPr="00BF33C6" w:rsidRDefault="004A0CB5">
            <w:pPr>
              <w:spacing w:after="0" w:line="240" w:lineRule="auto"/>
              <w:ind w:firstLine="709"/>
              <w:jc w:val="both"/>
              <w:rPr>
                <w:rFonts w:ascii="Times New Roman" w:hAnsi="Times New Roman"/>
                <w:sz w:val="24"/>
                <w:szCs w:val="24"/>
              </w:rPr>
            </w:pPr>
            <w:r w:rsidRPr="00BF33C6">
              <w:rPr>
                <w:rFonts w:ascii="Times New Roman" w:hAnsi="Times New Roman"/>
                <w:sz w:val="24"/>
                <w:szCs w:val="24"/>
              </w:rPr>
              <w:t>Zāļu valsts aģentūras apkopotie dati par lieltirgotavu darbību liecina, ka 2018. gadā</w:t>
            </w:r>
            <w:r w:rsidR="0091571B" w:rsidRPr="00BF33C6">
              <w:rPr>
                <w:rFonts w:ascii="Times New Roman" w:hAnsi="Times New Roman"/>
                <w:sz w:val="24"/>
                <w:szCs w:val="24"/>
              </w:rPr>
              <w:t xml:space="preserve"> z</w:t>
            </w:r>
            <w:r w:rsidRPr="00BF33C6">
              <w:rPr>
                <w:rFonts w:ascii="Times New Roman" w:hAnsi="Times New Roman"/>
                <w:sz w:val="24"/>
                <w:szCs w:val="24"/>
              </w:rPr>
              <w:t>āļu lieltirgotavas turpināja kāpināt realizēto zāļu apgrozījumu gan Latvijā, gan ārpus tās. Latvijā realizēto zāļu apjoms pērn ir pieaudzis par 7% un veido 507,46 milj. eiro (bez PVN), datos ietverta informācija par Latvijā reģistrētām zālēm. Savukārt ārpus Latvijas pārdoto zāļu apjoms pieaudzis par 31% un sasniedzis 266,07 milj. eiro (bez PVN), datos ietverta informācija par Latvijā un citās valstīs reģistrētajām zālēm (</w:t>
            </w:r>
            <w:r w:rsidRPr="00BF33C6">
              <w:rPr>
                <w:rFonts w:ascii="Times New Roman" w:hAnsi="Times New Roman"/>
                <w:i/>
                <w:sz w:val="24"/>
                <w:szCs w:val="24"/>
              </w:rPr>
              <w:t xml:space="preserve">Zāļu valsts aģentūra. ZĀĻU PATĒRIŅA STATISTIKA GADA GRIEZUMĀ. 2018. </w:t>
            </w:r>
            <w:hyperlink r:id="rId8" w:history="1">
              <w:r w:rsidRPr="00BF33C6">
                <w:rPr>
                  <w:rStyle w:val="Hyperlink"/>
                  <w:rFonts w:ascii="Times New Roman" w:hAnsi="Times New Roman"/>
                  <w:i/>
                  <w:color w:val="auto"/>
                  <w:sz w:val="24"/>
                  <w:szCs w:val="24"/>
                </w:rPr>
                <w:t>https://www.zva.gov.lv/lv/publikacijas-un-statistika/oficiala-statistika/zalu-paterina-statistika-gada-griezuma</w:t>
              </w:r>
            </w:hyperlink>
            <w:r w:rsidRPr="00BF33C6">
              <w:rPr>
                <w:rFonts w:ascii="Times New Roman" w:hAnsi="Times New Roman"/>
                <w:i/>
                <w:sz w:val="24"/>
                <w:szCs w:val="24"/>
              </w:rPr>
              <w:t xml:space="preserve"> </w:t>
            </w:r>
            <w:r w:rsidRPr="00BF33C6">
              <w:rPr>
                <w:rFonts w:ascii="Times New Roman" w:hAnsi="Times New Roman"/>
                <w:sz w:val="24"/>
                <w:szCs w:val="24"/>
              </w:rPr>
              <w:t>).</w:t>
            </w:r>
          </w:p>
          <w:p w14:paraId="01267F63" w14:textId="2C7B7283" w:rsidR="004A0CB5" w:rsidRPr="00BF33C6" w:rsidRDefault="004A0CB5" w:rsidP="004A0CB5">
            <w:pPr>
              <w:spacing w:after="0" w:line="240" w:lineRule="auto"/>
              <w:ind w:firstLine="709"/>
              <w:jc w:val="both"/>
              <w:rPr>
                <w:rFonts w:ascii="Times New Roman" w:hAnsi="Times New Roman"/>
                <w:sz w:val="24"/>
                <w:szCs w:val="24"/>
              </w:rPr>
            </w:pPr>
            <w:r w:rsidRPr="00BF33C6">
              <w:rPr>
                <w:rFonts w:ascii="Times New Roman" w:hAnsi="Times New Roman"/>
                <w:sz w:val="24"/>
                <w:szCs w:val="24"/>
              </w:rPr>
              <w:t>Līdz ar to zāļu eksporta dati norāda uz to, ka zāļu fizisko pieejamību var ietekmē arī zāļu eksports un izvešana no Latvijas, tāpēc ir nepieciešams izstrādāt efektīvu mehānismu, kādā</w:t>
            </w:r>
            <w:r w:rsidR="00227AC7" w:rsidRPr="00BF33C6">
              <w:rPr>
                <w:rFonts w:ascii="Times New Roman" w:hAnsi="Times New Roman"/>
                <w:sz w:val="24"/>
                <w:szCs w:val="24"/>
              </w:rPr>
              <w:t xml:space="preserve"> kontrolēt zāļu krājumu un izvešanas riska balansu,</w:t>
            </w:r>
            <w:r w:rsidRPr="00BF33C6">
              <w:rPr>
                <w:rFonts w:ascii="Times New Roman" w:hAnsi="Times New Roman"/>
                <w:sz w:val="24"/>
                <w:szCs w:val="24"/>
              </w:rPr>
              <w:t xml:space="preserve"> mazināt zāļu nepieejamības risku un nodrošināt zāļu pieejamību Latvijā dzīvojošajiem pacientiem . </w:t>
            </w:r>
          </w:p>
          <w:p w14:paraId="77B66B01" w14:textId="7C116343" w:rsidR="00450F05" w:rsidRPr="00BF33C6" w:rsidRDefault="00450F05" w:rsidP="00E27E19">
            <w:pPr>
              <w:spacing w:after="0" w:line="240" w:lineRule="auto"/>
              <w:jc w:val="both"/>
              <w:rPr>
                <w:rFonts w:ascii="Times New Roman" w:hAnsi="Times New Roman" w:cs="Times New Roman"/>
                <w:sz w:val="24"/>
                <w:szCs w:val="24"/>
              </w:rPr>
            </w:pPr>
          </w:p>
          <w:p w14:paraId="20D168B4" w14:textId="4173819C" w:rsidR="00721E1F" w:rsidRPr="00BF33C6" w:rsidRDefault="00721E1F"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Eiropas Parlamenta un Padomes 2001.</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gada 6.</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novembra Direktīvā 2001/83/EK par Kopienas kodeksu, kas attiecas uz cilvēkiem paredzētām zālēm (turpmāk</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direktīva 2001/83) un industrijā netiek lietots jēdziens “deva”, bet gan “stiprums”, tāpēc ir nepieciešams aizstāt visā tekstā vārdu “deva” (attiecīgā locījumā) ar vārdu “stiprums” (attiecīgā locījumā)</w:t>
            </w:r>
            <w:r w:rsidR="00E120C5" w:rsidRPr="00BF33C6">
              <w:rPr>
                <w:rFonts w:ascii="Times New Roman" w:hAnsi="Times New Roman" w:cs="Times New Roman"/>
                <w:sz w:val="24"/>
                <w:szCs w:val="24"/>
              </w:rPr>
              <w:t xml:space="preserve"> (projekta 1. punkts)</w:t>
            </w:r>
            <w:r w:rsidRPr="00BF33C6">
              <w:rPr>
                <w:rFonts w:ascii="Times New Roman" w:hAnsi="Times New Roman" w:cs="Times New Roman"/>
                <w:sz w:val="24"/>
                <w:szCs w:val="24"/>
              </w:rPr>
              <w:t>.</w:t>
            </w:r>
          </w:p>
          <w:p w14:paraId="6D20DD29" w14:textId="77777777" w:rsidR="00721E1F" w:rsidRPr="00BF33C6" w:rsidRDefault="00721E1F" w:rsidP="00E27E19">
            <w:pPr>
              <w:spacing w:after="0" w:line="240" w:lineRule="auto"/>
              <w:jc w:val="both"/>
              <w:rPr>
                <w:rFonts w:ascii="Times New Roman" w:hAnsi="Times New Roman" w:cs="Times New Roman"/>
                <w:sz w:val="24"/>
                <w:szCs w:val="24"/>
              </w:rPr>
            </w:pPr>
          </w:p>
          <w:p w14:paraId="561866EB" w14:textId="2F464687" w:rsidR="00AA4C88" w:rsidRPr="00BF33C6" w:rsidRDefault="00AA4C88"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Ministru kabineta 2007.</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gada 26.</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jūnija noteikumu Nr.</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416 "Zāļu izplatīšanas un kvalitātes kontroles kārtība” (turpmāk</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noteikumi) 3.</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punktā noteikts, ka “Brīvostās un speciālajās ekonomiskajās zonās un Muitas likuma 9.</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panta otrajā daļā minētajās vietās piemēro zāļu izplatīšanas un kvalitātes kontroles prasības, kā arī kontroles un uzraudzības pasākumus, kas noteikti šajos noteikumos”. Tā kā ir stājusies spēkā Eiropas Parlamenta un Padomes 2013.</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gada 9.</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oktobra Regula Nr.</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952/2013, ar ko iz</w:t>
            </w:r>
            <w:r w:rsidR="00F37AA3" w:rsidRPr="00BF33C6">
              <w:rPr>
                <w:rFonts w:ascii="Times New Roman" w:hAnsi="Times New Roman" w:cs="Times New Roman"/>
                <w:sz w:val="24"/>
                <w:szCs w:val="24"/>
              </w:rPr>
              <w:t>veido Savienības Muitas kodeksu</w:t>
            </w:r>
            <w:r w:rsidRPr="00BF33C6">
              <w:rPr>
                <w:rFonts w:ascii="Times New Roman" w:hAnsi="Times New Roman" w:cs="Times New Roman"/>
                <w:sz w:val="24"/>
                <w:szCs w:val="24"/>
              </w:rPr>
              <w:t>, kā arī 2017.</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gada 1.</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janvārī ir stājies spēka jauns Muitas likums,</w:t>
            </w:r>
            <w:r w:rsidR="00F37AA3" w:rsidRPr="00BF33C6">
              <w:rPr>
                <w:rFonts w:ascii="Times New Roman" w:hAnsi="Times New Roman" w:cs="Times New Roman"/>
                <w:sz w:val="24"/>
                <w:szCs w:val="24"/>
              </w:rPr>
              <w:t xml:space="preserve"> ir</w:t>
            </w:r>
            <w:r w:rsidRPr="00BF33C6">
              <w:rPr>
                <w:rFonts w:ascii="Times New Roman" w:hAnsi="Times New Roman" w:cs="Times New Roman"/>
                <w:sz w:val="24"/>
                <w:szCs w:val="24"/>
              </w:rPr>
              <w:t xml:space="preserve"> </w:t>
            </w:r>
            <w:r w:rsidR="00F37AA3" w:rsidRPr="00BF33C6">
              <w:rPr>
                <w:rFonts w:ascii="Times New Roman" w:hAnsi="Times New Roman" w:cs="Times New Roman"/>
                <w:sz w:val="24"/>
                <w:szCs w:val="24"/>
              </w:rPr>
              <w:t>attiecīgi jāprecizē noteikumu 3.</w:t>
            </w:r>
            <w:r w:rsidR="00702FED" w:rsidRPr="00BF33C6">
              <w:rPr>
                <w:rFonts w:ascii="Times New Roman" w:hAnsi="Times New Roman" w:cs="Times New Roman"/>
                <w:sz w:val="24"/>
                <w:szCs w:val="24"/>
              </w:rPr>
              <w:t> </w:t>
            </w:r>
            <w:r w:rsidR="00F37AA3" w:rsidRPr="00BF33C6">
              <w:rPr>
                <w:rFonts w:ascii="Times New Roman" w:hAnsi="Times New Roman" w:cs="Times New Roman"/>
                <w:sz w:val="24"/>
                <w:szCs w:val="24"/>
              </w:rPr>
              <w:t>punkta redakcija</w:t>
            </w:r>
            <w:r w:rsidR="00E120C5" w:rsidRPr="00BF33C6">
              <w:rPr>
                <w:rFonts w:ascii="Times New Roman" w:hAnsi="Times New Roman" w:cs="Times New Roman"/>
                <w:sz w:val="24"/>
                <w:szCs w:val="24"/>
              </w:rPr>
              <w:t xml:space="preserve"> (projekta 2. punkts)</w:t>
            </w:r>
            <w:r w:rsidR="00F37AA3" w:rsidRPr="00BF33C6">
              <w:rPr>
                <w:rFonts w:ascii="Times New Roman" w:hAnsi="Times New Roman" w:cs="Times New Roman"/>
                <w:sz w:val="24"/>
                <w:szCs w:val="24"/>
              </w:rPr>
              <w:t>.</w:t>
            </w:r>
          </w:p>
          <w:p w14:paraId="01311FAA" w14:textId="77777777" w:rsidR="00AA4C88" w:rsidRPr="00BF33C6" w:rsidRDefault="00AA4C88" w:rsidP="00E27E19">
            <w:pPr>
              <w:spacing w:after="0" w:line="240" w:lineRule="auto"/>
              <w:jc w:val="both"/>
              <w:rPr>
                <w:rFonts w:ascii="Times New Roman" w:hAnsi="Times New Roman" w:cs="Times New Roman"/>
                <w:sz w:val="24"/>
                <w:szCs w:val="24"/>
              </w:rPr>
            </w:pPr>
          </w:p>
          <w:p w14:paraId="54986B83" w14:textId="145B46F8" w:rsidR="00F60837" w:rsidRPr="00BF33C6" w:rsidRDefault="003C76F0"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Pašreizējais regulējums noteikumos nav pietiekoši skaidrs attiecībā uz jautājumu par labas zāļu izplatīšanas prakses ievērošanu brīvajās zonās un brīvajās noliktavās, tajā skaitā muitas noliktavās un preču pagaidu uzglabāšanas vietās. Tādēļ pastāv risks ka ne visas personas, kuras veic</w:t>
            </w:r>
            <w:r w:rsidR="00DE54C9" w:rsidRPr="00BF33C6">
              <w:rPr>
                <w:rFonts w:ascii="Times New Roman" w:hAnsi="Times New Roman" w:cs="Times New Roman"/>
                <w:sz w:val="24"/>
                <w:szCs w:val="24"/>
              </w:rPr>
              <w:t xml:space="preserve"> darbības ar </w:t>
            </w:r>
            <w:r w:rsidRPr="00BF33C6">
              <w:rPr>
                <w:rFonts w:ascii="Times New Roman" w:hAnsi="Times New Roman" w:cs="Times New Roman"/>
                <w:sz w:val="24"/>
                <w:szCs w:val="24"/>
              </w:rPr>
              <w:t>zā</w:t>
            </w:r>
            <w:r w:rsidR="00DE54C9" w:rsidRPr="00BF33C6">
              <w:rPr>
                <w:rFonts w:ascii="Times New Roman" w:hAnsi="Times New Roman" w:cs="Times New Roman"/>
                <w:sz w:val="24"/>
                <w:szCs w:val="24"/>
              </w:rPr>
              <w:t>lēm</w:t>
            </w:r>
            <w:r w:rsidRPr="00BF33C6">
              <w:rPr>
                <w:rFonts w:ascii="Times New Roman" w:hAnsi="Times New Roman" w:cs="Times New Roman"/>
                <w:sz w:val="24"/>
                <w:szCs w:val="24"/>
              </w:rPr>
              <w:t xml:space="preserve"> </w:t>
            </w:r>
            <w:r w:rsidR="00DE54C9" w:rsidRPr="00BF33C6">
              <w:rPr>
                <w:rFonts w:ascii="Times New Roman" w:hAnsi="Times New Roman" w:cs="Times New Roman"/>
                <w:sz w:val="24"/>
                <w:szCs w:val="24"/>
              </w:rPr>
              <w:t>br</w:t>
            </w:r>
            <w:r w:rsidRPr="00BF33C6">
              <w:rPr>
                <w:rFonts w:ascii="Times New Roman" w:hAnsi="Times New Roman" w:cs="Times New Roman"/>
                <w:sz w:val="24"/>
                <w:szCs w:val="24"/>
              </w:rPr>
              <w:t>īv</w:t>
            </w:r>
            <w:r w:rsidR="00DE54C9" w:rsidRPr="00BF33C6">
              <w:rPr>
                <w:rFonts w:ascii="Times New Roman" w:hAnsi="Times New Roman" w:cs="Times New Roman"/>
                <w:sz w:val="24"/>
                <w:szCs w:val="24"/>
              </w:rPr>
              <w:t>aj</w:t>
            </w:r>
            <w:r w:rsidRPr="00BF33C6">
              <w:rPr>
                <w:rFonts w:ascii="Times New Roman" w:hAnsi="Times New Roman" w:cs="Times New Roman"/>
                <w:sz w:val="24"/>
                <w:szCs w:val="24"/>
              </w:rPr>
              <w:t>ās zonās un brīv</w:t>
            </w:r>
            <w:r w:rsidR="00DE54C9" w:rsidRPr="00BF33C6">
              <w:rPr>
                <w:rFonts w:ascii="Times New Roman" w:hAnsi="Times New Roman" w:cs="Times New Roman"/>
                <w:sz w:val="24"/>
                <w:szCs w:val="24"/>
              </w:rPr>
              <w:t>aj</w:t>
            </w:r>
            <w:r w:rsidRPr="00BF33C6">
              <w:rPr>
                <w:rFonts w:ascii="Times New Roman" w:hAnsi="Times New Roman" w:cs="Times New Roman"/>
                <w:sz w:val="24"/>
                <w:szCs w:val="24"/>
              </w:rPr>
              <w:t>ās noliktavās, tajā skaitā muitas noliktavu teritorijās un preču pagaidu</w:t>
            </w:r>
            <w:r w:rsidR="00DE54C9" w:rsidRPr="00BF33C6">
              <w:rPr>
                <w:rFonts w:ascii="Times New Roman" w:hAnsi="Times New Roman" w:cs="Times New Roman"/>
                <w:sz w:val="24"/>
                <w:szCs w:val="24"/>
              </w:rPr>
              <w:t xml:space="preserve"> uzglabāšanas vietās ir saņēmušas</w:t>
            </w:r>
            <w:r w:rsidRPr="00BF33C6">
              <w:rPr>
                <w:rFonts w:ascii="Times New Roman" w:hAnsi="Times New Roman" w:cs="Times New Roman"/>
                <w:sz w:val="24"/>
                <w:szCs w:val="24"/>
              </w:rPr>
              <w:t xml:space="preserve"> </w:t>
            </w:r>
            <w:r w:rsidR="00DE54C9" w:rsidRPr="00BF33C6">
              <w:rPr>
                <w:rFonts w:ascii="Times New Roman" w:hAnsi="Times New Roman" w:cs="Times New Roman"/>
                <w:sz w:val="24"/>
                <w:szCs w:val="24"/>
              </w:rPr>
              <w:t xml:space="preserve">licenci zāļu vairumtirdzniecībai. </w:t>
            </w:r>
            <w:r w:rsidR="00847DFF" w:rsidRPr="00BF33C6">
              <w:rPr>
                <w:rFonts w:ascii="Times New Roman" w:hAnsi="Times New Roman" w:cs="Times New Roman"/>
                <w:sz w:val="24"/>
                <w:szCs w:val="24"/>
              </w:rPr>
              <w:t>Eiropas Komisijas 2013.</w:t>
            </w:r>
            <w:r w:rsidR="00702FED" w:rsidRPr="00BF33C6">
              <w:rPr>
                <w:rFonts w:ascii="Times New Roman" w:hAnsi="Times New Roman" w:cs="Times New Roman"/>
                <w:sz w:val="24"/>
                <w:szCs w:val="24"/>
              </w:rPr>
              <w:t> </w:t>
            </w:r>
            <w:r w:rsidR="00847DFF" w:rsidRPr="00BF33C6">
              <w:rPr>
                <w:rFonts w:ascii="Times New Roman" w:hAnsi="Times New Roman" w:cs="Times New Roman"/>
                <w:sz w:val="24"/>
                <w:szCs w:val="24"/>
              </w:rPr>
              <w:t>gada 5.</w:t>
            </w:r>
            <w:r w:rsidR="00702FED" w:rsidRPr="00BF33C6">
              <w:rPr>
                <w:rFonts w:ascii="Times New Roman" w:hAnsi="Times New Roman" w:cs="Times New Roman"/>
                <w:sz w:val="24"/>
                <w:szCs w:val="24"/>
              </w:rPr>
              <w:t> </w:t>
            </w:r>
            <w:r w:rsidR="00847DFF" w:rsidRPr="00BF33C6">
              <w:rPr>
                <w:rFonts w:ascii="Times New Roman" w:hAnsi="Times New Roman" w:cs="Times New Roman"/>
                <w:sz w:val="24"/>
                <w:szCs w:val="24"/>
              </w:rPr>
              <w:t xml:space="preserve">novembra publicētajās zāļu labas izplatīšanas prakses pamatnostādnēs (2013/C 343/01) ir noteikts, ka termina “izplatīšana vairumtirdzniecībā” definīcija nav atkarīga no tā, vai zāļu izplatītājs juridiski atrodas vai </w:t>
            </w:r>
            <w:r w:rsidR="00847DFF" w:rsidRPr="00BF33C6">
              <w:rPr>
                <w:rFonts w:ascii="Times New Roman" w:hAnsi="Times New Roman" w:cs="Times New Roman"/>
                <w:sz w:val="24"/>
                <w:szCs w:val="24"/>
              </w:rPr>
              <w:lastRenderedPageBreak/>
              <w:t>darbības veic konkrētās muitas zonās, kā brīvās zonās vai brīvās noliktavās (netiek attiecināts uz zāļu tranzīta operāciju veikšanu). Arī uz šiem izplatītājiem attiecas visi pienākumi, kas jāpilda saistībā ar darbībām izplatīšanai vairumtirdzniecībā (piemēram, ar eksportēšanu, glabāšanu vai piegādi), un tas attiecas arī uz gadījumiem, kad eksportēšanā iesaistīts vairumtirdzniecības izplatītājs</w:t>
            </w:r>
            <w:r w:rsidR="0096136F" w:rsidRPr="00BF33C6">
              <w:rPr>
                <w:rFonts w:ascii="Times New Roman" w:hAnsi="Times New Roman" w:cs="Times New Roman"/>
                <w:sz w:val="24"/>
                <w:szCs w:val="24"/>
              </w:rPr>
              <w:t>, kas</w:t>
            </w:r>
            <w:r w:rsidR="00847DFF" w:rsidRPr="00BF33C6">
              <w:rPr>
                <w:rFonts w:ascii="Times New Roman" w:hAnsi="Times New Roman" w:cs="Times New Roman"/>
                <w:sz w:val="24"/>
                <w:szCs w:val="24"/>
              </w:rPr>
              <w:t xml:space="preserve"> darbojas no brīvās zonas</w:t>
            </w:r>
            <w:r w:rsidR="0043281B" w:rsidRPr="00BF33C6">
              <w:rPr>
                <w:rFonts w:ascii="Times New Roman" w:hAnsi="Times New Roman" w:cs="Times New Roman"/>
                <w:sz w:val="24"/>
                <w:szCs w:val="24"/>
              </w:rPr>
              <w:t xml:space="preserve"> vai muitas noliktavas</w:t>
            </w:r>
            <w:r w:rsidR="00847DFF" w:rsidRPr="00BF33C6">
              <w:rPr>
                <w:rFonts w:ascii="Times New Roman" w:hAnsi="Times New Roman" w:cs="Times New Roman"/>
                <w:sz w:val="24"/>
                <w:szCs w:val="24"/>
              </w:rPr>
              <w:t>. Līdz ar to sīkāks regulējum</w:t>
            </w:r>
            <w:r w:rsidR="0096136F" w:rsidRPr="00BF33C6">
              <w:rPr>
                <w:rFonts w:ascii="Times New Roman" w:hAnsi="Times New Roman" w:cs="Times New Roman"/>
                <w:sz w:val="24"/>
                <w:szCs w:val="24"/>
              </w:rPr>
              <w:t>s noteikumos</w:t>
            </w:r>
            <w:r w:rsidR="00847DFF" w:rsidRPr="00BF33C6">
              <w:rPr>
                <w:rFonts w:ascii="Times New Roman" w:hAnsi="Times New Roman" w:cs="Times New Roman"/>
                <w:sz w:val="24"/>
                <w:szCs w:val="24"/>
              </w:rPr>
              <w:t xml:space="preserve"> samazin</w:t>
            </w:r>
            <w:r w:rsidR="0096136F" w:rsidRPr="00BF33C6">
              <w:rPr>
                <w:rFonts w:ascii="Times New Roman" w:hAnsi="Times New Roman" w:cs="Times New Roman"/>
                <w:sz w:val="24"/>
                <w:szCs w:val="24"/>
              </w:rPr>
              <w:t>ās</w:t>
            </w:r>
            <w:r w:rsidR="00847DFF" w:rsidRPr="00BF33C6">
              <w:rPr>
                <w:rFonts w:ascii="Times New Roman" w:hAnsi="Times New Roman" w:cs="Times New Roman"/>
                <w:sz w:val="24"/>
                <w:szCs w:val="24"/>
              </w:rPr>
              <w:t xml:space="preserve"> risku, ka brīvajās zonās un brīvajās noliktavās, tajā skaitā muitas noliktavās un preču pagaidu uzglabāšanas vietās personas izpilda zāļu vairumtirdzniecības darbības, nesaņemot attiecīgu zāļu vairumtirdzniecības li</w:t>
            </w:r>
            <w:r w:rsidR="0096136F" w:rsidRPr="00BF33C6">
              <w:rPr>
                <w:rFonts w:ascii="Times New Roman" w:hAnsi="Times New Roman" w:cs="Times New Roman"/>
                <w:sz w:val="24"/>
                <w:szCs w:val="24"/>
              </w:rPr>
              <w:t>cenci, kādu paredz attiecīgie ES</w:t>
            </w:r>
            <w:r w:rsidR="00847DFF" w:rsidRPr="00BF33C6">
              <w:rPr>
                <w:rFonts w:ascii="Times New Roman" w:hAnsi="Times New Roman" w:cs="Times New Roman"/>
                <w:sz w:val="24"/>
                <w:szCs w:val="24"/>
              </w:rPr>
              <w:t xml:space="preserve"> tiesību akti.</w:t>
            </w:r>
            <w:r w:rsidR="006F72AE" w:rsidRPr="00BF33C6">
              <w:rPr>
                <w:rFonts w:ascii="Times New Roman" w:hAnsi="Times New Roman" w:cs="Times New Roman"/>
                <w:sz w:val="24"/>
                <w:szCs w:val="24"/>
              </w:rPr>
              <w:t xml:space="preserve"> Uz šo brīdi Veselības inspekcijai ir zināmi</w:t>
            </w:r>
            <w:r w:rsidR="00A038A7" w:rsidRPr="00BF33C6">
              <w:rPr>
                <w:rFonts w:ascii="Times New Roman" w:hAnsi="Times New Roman" w:cs="Times New Roman"/>
                <w:sz w:val="24"/>
                <w:szCs w:val="24"/>
              </w:rPr>
              <w:t xml:space="preserve"> vismaz</w:t>
            </w:r>
            <w:r w:rsidR="006F72AE" w:rsidRPr="00BF33C6">
              <w:rPr>
                <w:rFonts w:ascii="Times New Roman" w:hAnsi="Times New Roman" w:cs="Times New Roman"/>
                <w:sz w:val="24"/>
                <w:szCs w:val="24"/>
              </w:rPr>
              <w:t xml:space="preserve"> 18 subjekti, kuri veic zāļu vairumtirdzniecības darbības, bet kuri nav saņēmuši zāļu vairumtirdzniecības licenci.</w:t>
            </w:r>
          </w:p>
          <w:p w14:paraId="7661679D" w14:textId="194B5060" w:rsidR="003C76F0" w:rsidRPr="00BF33C6" w:rsidRDefault="00667256"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Jaunā 5.6.</w:t>
            </w:r>
            <w:r w:rsidR="00702FED" w:rsidRPr="00BF33C6">
              <w:rPr>
                <w:rFonts w:ascii="Times New Roman" w:hAnsi="Times New Roman" w:cs="Times New Roman"/>
                <w:sz w:val="24"/>
                <w:szCs w:val="24"/>
              </w:rPr>
              <w:t> </w:t>
            </w:r>
            <w:r w:rsidRPr="00BF33C6">
              <w:rPr>
                <w:rFonts w:ascii="Times New Roman" w:hAnsi="Times New Roman" w:cs="Times New Roman"/>
                <w:sz w:val="24"/>
                <w:szCs w:val="24"/>
              </w:rPr>
              <w:t xml:space="preserve">apakšpunkta redakcija arī būs tuvāka  </w:t>
            </w:r>
            <w:r w:rsidR="00640E70" w:rsidRPr="00BF33C6">
              <w:rPr>
                <w:rFonts w:ascii="Times New Roman" w:hAnsi="Times New Roman" w:cs="Times New Roman"/>
                <w:sz w:val="24"/>
                <w:szCs w:val="24"/>
              </w:rPr>
              <w:t>d</w:t>
            </w:r>
            <w:r w:rsidRPr="00BF33C6">
              <w:rPr>
                <w:rFonts w:ascii="Times New Roman" w:hAnsi="Times New Roman" w:cs="Times New Roman"/>
                <w:sz w:val="24"/>
                <w:szCs w:val="24"/>
              </w:rPr>
              <w:t>irektīv</w:t>
            </w:r>
            <w:r w:rsidR="00C33482" w:rsidRPr="00BF33C6">
              <w:rPr>
                <w:rFonts w:ascii="Times New Roman" w:hAnsi="Times New Roman" w:cs="Times New Roman"/>
                <w:sz w:val="24"/>
                <w:szCs w:val="24"/>
              </w:rPr>
              <w:t>ā</w:t>
            </w:r>
            <w:r w:rsidRPr="00BF33C6">
              <w:rPr>
                <w:rFonts w:ascii="Times New Roman" w:hAnsi="Times New Roman" w:cs="Times New Roman"/>
                <w:sz w:val="24"/>
                <w:szCs w:val="24"/>
              </w:rPr>
              <w:t xml:space="preserve"> 2001/83 ietvertajam zāļu vairumtirdzniecības skaidrojumam</w:t>
            </w:r>
            <w:r w:rsidR="008D6A85" w:rsidRPr="00BF33C6">
              <w:rPr>
                <w:rFonts w:ascii="Times New Roman" w:hAnsi="Times New Roman" w:cs="Times New Roman"/>
                <w:sz w:val="24"/>
                <w:szCs w:val="24"/>
              </w:rPr>
              <w:t>, kas zāļu vairumtirdzniecību definē gan pēc veicamajām darbībām, gan pēc subjektiem, kuri šādas darbības veic</w:t>
            </w:r>
            <w:r w:rsidR="00702FED" w:rsidRPr="00BF33C6">
              <w:rPr>
                <w:rFonts w:ascii="Times New Roman" w:hAnsi="Times New Roman" w:cs="Times New Roman"/>
                <w:sz w:val="24"/>
                <w:szCs w:val="24"/>
              </w:rPr>
              <w:t xml:space="preserve"> (projekta 3. punkts)</w:t>
            </w:r>
            <w:r w:rsidRPr="00BF33C6">
              <w:rPr>
                <w:rFonts w:ascii="Times New Roman" w:hAnsi="Times New Roman" w:cs="Times New Roman"/>
                <w:sz w:val="24"/>
                <w:szCs w:val="24"/>
              </w:rPr>
              <w:t>.</w:t>
            </w:r>
            <w:r w:rsidR="00192081" w:rsidRPr="00BF33C6">
              <w:rPr>
                <w:rFonts w:ascii="Times New Roman" w:hAnsi="Times New Roman" w:cs="Times New Roman"/>
                <w:sz w:val="24"/>
                <w:szCs w:val="24"/>
              </w:rPr>
              <w:t xml:space="preserve"> Tajā pašā laikā ir nepieciešams </w:t>
            </w:r>
            <w:r w:rsidR="00A16A3D" w:rsidRPr="00BF33C6">
              <w:rPr>
                <w:rFonts w:ascii="Times New Roman" w:hAnsi="Times New Roman" w:cs="Times New Roman"/>
                <w:sz w:val="24"/>
                <w:szCs w:val="24"/>
              </w:rPr>
              <w:t>paredzēt, ka</w:t>
            </w:r>
            <w:r w:rsidR="006C29FF" w:rsidRPr="00BF33C6">
              <w:rPr>
                <w:rFonts w:ascii="Times New Roman" w:hAnsi="Times New Roman" w:cs="Times New Roman"/>
                <w:sz w:val="24"/>
                <w:szCs w:val="24"/>
              </w:rPr>
              <w:t xml:space="preserve"> </w:t>
            </w:r>
            <w:r w:rsidR="00CE4208" w:rsidRPr="00BF33C6">
              <w:rPr>
                <w:rFonts w:ascii="Times New Roman" w:hAnsi="Times New Roman" w:cs="Times New Roman"/>
                <w:sz w:val="24"/>
                <w:szCs w:val="24"/>
              </w:rPr>
              <w:t xml:space="preserve">ikviena </w:t>
            </w:r>
            <w:r w:rsidR="006C29FF" w:rsidRPr="00BF33C6">
              <w:rPr>
                <w:rFonts w:ascii="Times New Roman" w:hAnsi="Times New Roman" w:cs="Times New Roman"/>
                <w:sz w:val="24"/>
                <w:szCs w:val="24"/>
              </w:rPr>
              <w:t>persona, kas</w:t>
            </w:r>
            <w:r w:rsidR="00A16A3D" w:rsidRPr="00BF33C6">
              <w:rPr>
                <w:rFonts w:ascii="Times New Roman" w:hAnsi="Times New Roman" w:cs="Times New Roman"/>
                <w:sz w:val="24"/>
                <w:szCs w:val="24"/>
              </w:rPr>
              <w:t xml:space="preserve"> nodarbojas tikai ar zāļu uzglabāšanu, iegū</w:t>
            </w:r>
            <w:r w:rsidR="009C4DD3" w:rsidRPr="00BF33C6">
              <w:rPr>
                <w:rFonts w:ascii="Times New Roman" w:hAnsi="Times New Roman" w:cs="Times New Roman"/>
                <w:sz w:val="24"/>
                <w:szCs w:val="24"/>
              </w:rPr>
              <w:t>s</w:t>
            </w:r>
            <w:r w:rsidR="00A16A3D" w:rsidRPr="00BF33C6">
              <w:rPr>
                <w:rFonts w:ascii="Times New Roman" w:hAnsi="Times New Roman" w:cs="Times New Roman"/>
                <w:sz w:val="24"/>
                <w:szCs w:val="24"/>
              </w:rPr>
              <w:t>t zāļu vairumtirdzniecības licenci ar atļauto darbību</w:t>
            </w:r>
            <w:r w:rsidR="00702FED" w:rsidRPr="00BF33C6">
              <w:rPr>
                <w:rFonts w:ascii="Times New Roman" w:hAnsi="Times New Roman" w:cs="Times New Roman"/>
                <w:sz w:val="24"/>
                <w:szCs w:val="24"/>
              </w:rPr>
              <w:t> </w:t>
            </w:r>
            <w:r w:rsidR="00A16A3D" w:rsidRPr="00BF33C6">
              <w:rPr>
                <w:rFonts w:ascii="Times New Roman" w:hAnsi="Times New Roman" w:cs="Times New Roman"/>
                <w:sz w:val="24"/>
                <w:szCs w:val="24"/>
              </w:rPr>
              <w:t>–</w:t>
            </w:r>
            <w:r w:rsidR="00702FED" w:rsidRPr="00BF33C6">
              <w:rPr>
                <w:rFonts w:ascii="Times New Roman" w:hAnsi="Times New Roman" w:cs="Times New Roman"/>
                <w:sz w:val="24"/>
                <w:szCs w:val="24"/>
              </w:rPr>
              <w:t> </w:t>
            </w:r>
            <w:r w:rsidR="00A16A3D" w:rsidRPr="00BF33C6">
              <w:rPr>
                <w:rFonts w:ascii="Times New Roman" w:hAnsi="Times New Roman" w:cs="Times New Roman"/>
                <w:sz w:val="24"/>
                <w:szCs w:val="24"/>
              </w:rPr>
              <w:t xml:space="preserve">zāļu uzglabāšana </w:t>
            </w:r>
            <w:r w:rsidR="0096079E" w:rsidRPr="00BF33C6">
              <w:rPr>
                <w:rFonts w:ascii="Times New Roman" w:hAnsi="Times New Roman" w:cs="Times New Roman"/>
                <w:sz w:val="24"/>
                <w:szCs w:val="24"/>
              </w:rPr>
              <w:t>(projektā</w:t>
            </w:r>
            <w:r w:rsidR="0009492E" w:rsidRPr="00BF33C6">
              <w:rPr>
                <w:rFonts w:ascii="Times New Roman" w:hAnsi="Times New Roman" w:cs="Times New Roman"/>
                <w:sz w:val="24"/>
                <w:szCs w:val="24"/>
              </w:rPr>
              <w:t xml:space="preserve"> 6. punkts -</w:t>
            </w:r>
            <w:r w:rsidR="0096079E" w:rsidRPr="00BF33C6">
              <w:rPr>
                <w:rFonts w:ascii="Times New Roman" w:hAnsi="Times New Roman" w:cs="Times New Roman"/>
                <w:sz w:val="24"/>
                <w:szCs w:val="24"/>
              </w:rPr>
              <w:t xml:space="preserve"> paredzēt</w:t>
            </w:r>
            <w:r w:rsidR="009C4DD3" w:rsidRPr="00BF33C6">
              <w:rPr>
                <w:rFonts w:ascii="Times New Roman" w:hAnsi="Times New Roman" w:cs="Times New Roman"/>
                <w:sz w:val="24"/>
                <w:szCs w:val="24"/>
              </w:rPr>
              <w:t>ais</w:t>
            </w:r>
            <w:r w:rsidR="0096079E" w:rsidRPr="00BF33C6">
              <w:rPr>
                <w:rFonts w:ascii="Times New Roman" w:hAnsi="Times New Roman" w:cs="Times New Roman"/>
                <w:sz w:val="24"/>
                <w:szCs w:val="24"/>
              </w:rPr>
              <w:t xml:space="preserve"> </w:t>
            </w:r>
            <w:r w:rsidR="0061398A" w:rsidRPr="00BF33C6">
              <w:rPr>
                <w:rFonts w:ascii="Times New Roman" w:hAnsi="Times New Roman" w:cs="Times New Roman"/>
                <w:sz w:val="24"/>
                <w:szCs w:val="24"/>
              </w:rPr>
              <w:t>n</w:t>
            </w:r>
            <w:r w:rsidR="0096079E" w:rsidRPr="00BF33C6">
              <w:rPr>
                <w:rFonts w:ascii="Times New Roman" w:hAnsi="Times New Roman" w:cs="Times New Roman"/>
                <w:sz w:val="24"/>
                <w:szCs w:val="24"/>
              </w:rPr>
              <w:t>oteikumu 11.</w:t>
            </w:r>
            <w:r w:rsidR="0096079E" w:rsidRPr="00BF33C6">
              <w:rPr>
                <w:rFonts w:ascii="Times New Roman" w:hAnsi="Times New Roman" w:cs="Times New Roman"/>
                <w:sz w:val="24"/>
                <w:szCs w:val="24"/>
                <w:vertAlign w:val="superscript"/>
              </w:rPr>
              <w:t>2</w:t>
            </w:r>
            <w:r w:rsidR="0096079E" w:rsidRPr="00BF33C6">
              <w:rPr>
                <w:rFonts w:ascii="Times New Roman" w:hAnsi="Times New Roman" w:cs="Times New Roman"/>
                <w:sz w:val="24"/>
                <w:szCs w:val="24"/>
              </w:rPr>
              <w:t xml:space="preserve"> punkt</w:t>
            </w:r>
            <w:r w:rsidR="009C4DD3" w:rsidRPr="00BF33C6">
              <w:rPr>
                <w:rFonts w:ascii="Times New Roman" w:hAnsi="Times New Roman" w:cs="Times New Roman"/>
                <w:sz w:val="24"/>
                <w:szCs w:val="24"/>
              </w:rPr>
              <w:t>s</w:t>
            </w:r>
            <w:r w:rsidR="0096079E" w:rsidRPr="00BF33C6">
              <w:rPr>
                <w:rFonts w:ascii="Times New Roman" w:hAnsi="Times New Roman" w:cs="Times New Roman"/>
                <w:sz w:val="24"/>
                <w:szCs w:val="24"/>
              </w:rPr>
              <w:t>)</w:t>
            </w:r>
            <w:r w:rsidR="0009492E" w:rsidRPr="00BF33C6">
              <w:rPr>
                <w:rFonts w:ascii="Times New Roman" w:hAnsi="Times New Roman" w:cs="Times New Roman"/>
                <w:sz w:val="24"/>
                <w:szCs w:val="24"/>
              </w:rPr>
              <w:t>, šai normai paredzēts pārejas periods līdz 2021. gada 1. janvārim (projekta 71. punkts).</w:t>
            </w:r>
          </w:p>
          <w:p w14:paraId="11D0F457" w14:textId="77777777" w:rsidR="003C76F0" w:rsidRPr="00BF33C6" w:rsidRDefault="003C76F0" w:rsidP="00E27E19">
            <w:pPr>
              <w:spacing w:after="0" w:line="240" w:lineRule="auto"/>
              <w:jc w:val="both"/>
              <w:rPr>
                <w:rFonts w:ascii="Times New Roman" w:hAnsi="Times New Roman" w:cs="Times New Roman"/>
                <w:sz w:val="24"/>
                <w:szCs w:val="24"/>
              </w:rPr>
            </w:pPr>
          </w:p>
          <w:p w14:paraId="20BF1793" w14:textId="7589BC67" w:rsidR="00C80CBE" w:rsidRPr="00BF33C6" w:rsidRDefault="006A1378"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Noteikumos ir nepieciešams skaidrot, kad var runāt par z</w:t>
            </w:r>
            <w:r w:rsidR="00E073BB" w:rsidRPr="00BF33C6">
              <w:rPr>
                <w:rFonts w:ascii="Times New Roman" w:hAnsi="Times New Roman" w:cs="Times New Roman"/>
                <w:sz w:val="24"/>
                <w:szCs w:val="24"/>
              </w:rPr>
              <w:t>ā</w:t>
            </w:r>
            <w:r w:rsidRPr="00BF33C6">
              <w:rPr>
                <w:rFonts w:ascii="Times New Roman" w:hAnsi="Times New Roman" w:cs="Times New Roman"/>
                <w:sz w:val="24"/>
                <w:szCs w:val="24"/>
              </w:rPr>
              <w:t>ļu mākslīgās nepieejamības</w:t>
            </w:r>
            <w:r w:rsidR="009B45EA" w:rsidRPr="00BF33C6">
              <w:rPr>
                <w:rFonts w:ascii="Times New Roman" w:hAnsi="Times New Roman" w:cs="Times New Roman"/>
                <w:sz w:val="24"/>
                <w:szCs w:val="24"/>
              </w:rPr>
              <w:t xml:space="preserve"> un zāļu faktiskās nepieejamības</w:t>
            </w:r>
            <w:r w:rsidRPr="00BF33C6">
              <w:rPr>
                <w:rFonts w:ascii="Times New Roman" w:hAnsi="Times New Roman" w:cs="Times New Roman"/>
                <w:sz w:val="24"/>
                <w:szCs w:val="24"/>
              </w:rPr>
              <w:t xml:space="preserve"> sit</w:t>
            </w:r>
            <w:r w:rsidR="009B45EA" w:rsidRPr="00BF33C6">
              <w:rPr>
                <w:rFonts w:ascii="Times New Roman" w:hAnsi="Times New Roman" w:cs="Times New Roman"/>
                <w:sz w:val="24"/>
                <w:szCs w:val="24"/>
              </w:rPr>
              <w:t>uācijām</w:t>
            </w:r>
            <w:r w:rsidRPr="00BF33C6">
              <w:rPr>
                <w:rFonts w:ascii="Times New Roman" w:hAnsi="Times New Roman" w:cs="Times New Roman"/>
                <w:sz w:val="24"/>
                <w:szCs w:val="24"/>
              </w:rPr>
              <w:t>. Līdz ar to ir jāpapild</w:t>
            </w:r>
            <w:r w:rsidR="009B45EA" w:rsidRPr="00BF33C6">
              <w:rPr>
                <w:rFonts w:ascii="Times New Roman" w:hAnsi="Times New Roman" w:cs="Times New Roman"/>
                <w:sz w:val="24"/>
                <w:szCs w:val="24"/>
              </w:rPr>
              <w:t>ina noteikumu</w:t>
            </w:r>
            <w:r w:rsidR="00E073BB" w:rsidRPr="00BF33C6">
              <w:rPr>
                <w:rFonts w:ascii="Times New Roman" w:hAnsi="Times New Roman" w:cs="Times New Roman"/>
                <w:sz w:val="24"/>
                <w:szCs w:val="24"/>
              </w:rPr>
              <w:t xml:space="preserve"> </w:t>
            </w:r>
            <w:r w:rsidR="009B45EA" w:rsidRPr="00BF33C6">
              <w:rPr>
                <w:rFonts w:ascii="Times New Roman" w:hAnsi="Times New Roman" w:cs="Times New Roman"/>
                <w:sz w:val="24"/>
                <w:szCs w:val="24"/>
              </w:rPr>
              <w:t>5.</w:t>
            </w:r>
            <w:r w:rsidR="009C04BB" w:rsidRPr="00BF33C6">
              <w:rPr>
                <w:rFonts w:ascii="Times New Roman" w:hAnsi="Times New Roman" w:cs="Times New Roman"/>
                <w:sz w:val="24"/>
                <w:szCs w:val="24"/>
              </w:rPr>
              <w:t> </w:t>
            </w:r>
            <w:r w:rsidR="009B45EA" w:rsidRPr="00BF33C6">
              <w:rPr>
                <w:rFonts w:ascii="Times New Roman" w:hAnsi="Times New Roman" w:cs="Times New Roman"/>
                <w:sz w:val="24"/>
                <w:szCs w:val="24"/>
              </w:rPr>
              <w:t xml:space="preserve">punkts ar </w:t>
            </w:r>
            <w:r w:rsidR="003D1BE4" w:rsidRPr="00BF33C6">
              <w:rPr>
                <w:rFonts w:ascii="Times New Roman" w:hAnsi="Times New Roman" w:cs="Times New Roman"/>
                <w:sz w:val="24"/>
                <w:szCs w:val="24"/>
              </w:rPr>
              <w:t>diviem</w:t>
            </w:r>
            <w:r w:rsidRPr="00BF33C6">
              <w:rPr>
                <w:rFonts w:ascii="Times New Roman" w:hAnsi="Times New Roman" w:cs="Times New Roman"/>
                <w:sz w:val="24"/>
                <w:szCs w:val="24"/>
              </w:rPr>
              <w:t xml:space="preserve"> jauniem apakšpunktiem</w:t>
            </w:r>
            <w:r w:rsidR="009C04BB" w:rsidRPr="00BF33C6">
              <w:rPr>
                <w:rFonts w:ascii="Times New Roman" w:hAnsi="Times New Roman" w:cs="Times New Roman"/>
                <w:sz w:val="24"/>
                <w:szCs w:val="24"/>
              </w:rPr>
              <w:t xml:space="preserve"> (projekta 4. punkts)</w:t>
            </w:r>
            <w:r w:rsidRPr="00BF33C6">
              <w:rPr>
                <w:rFonts w:ascii="Times New Roman" w:hAnsi="Times New Roman" w:cs="Times New Roman"/>
                <w:sz w:val="24"/>
                <w:szCs w:val="24"/>
              </w:rPr>
              <w:t>.</w:t>
            </w:r>
            <w:r w:rsidR="00045E4E" w:rsidRPr="00BF33C6">
              <w:rPr>
                <w:rFonts w:ascii="Calibri" w:hAnsi="Calibri" w:cs="Calibri"/>
                <w:sz w:val="20"/>
                <w:szCs w:val="20"/>
              </w:rPr>
              <w:t xml:space="preserve"> </w:t>
            </w:r>
            <w:r w:rsidR="00045E4E" w:rsidRPr="00BF33C6">
              <w:rPr>
                <w:rFonts w:ascii="Times New Roman" w:hAnsi="Times New Roman" w:cs="Times New Roman"/>
                <w:sz w:val="24"/>
                <w:szCs w:val="24"/>
              </w:rPr>
              <w:t>Kā norādījusi Komisija, zāļu vairumtirgotāji nevar būt atbildīgi, ja tirdzniecības atļauju turētāji (reģistrācijas īpašnieki) nespēj piegādāt pietiekamus zāļu krājumus produktus aptieku vai to personu vajadzību apmierināšanai, kuras dalībvalstī ir tiesīgas piegādāt sabiedrība</w:t>
            </w:r>
            <w:r w:rsidR="0009492E" w:rsidRPr="00BF33C6">
              <w:rPr>
                <w:rFonts w:ascii="Times New Roman" w:hAnsi="Times New Roman" w:cs="Times New Roman"/>
                <w:sz w:val="24"/>
                <w:szCs w:val="24"/>
              </w:rPr>
              <w:t>.</w:t>
            </w:r>
          </w:p>
          <w:p w14:paraId="38D08752" w14:textId="33DC487B" w:rsidR="008167FB" w:rsidRPr="00BF33C6" w:rsidRDefault="008167FB"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Noteikumu 10.4.1.apakšpunkts ir jāizsaka jaunā redakcijā, jo ir nepieciešams tajā veikt tehnisku precizējumu attiecībā uz kompensējamo zāļu sarakstu, ņemot vērā jauno 5.12.apakšpunktu, kā arī noteikt, ka ir atļauts dāvināt ārstniecības iestādēm kompensējamo zāļu sarakstā iekļautas zāles, ja konkrētajam pacientam pie viņa diagnozes to iegāde netiek kompensēta no valsts budžeta</w:t>
            </w:r>
            <w:r w:rsidR="00AF5BC8" w:rsidRPr="00BF33C6">
              <w:rPr>
                <w:rFonts w:ascii="Times New Roman" w:hAnsi="Times New Roman" w:cs="Times New Roman"/>
                <w:sz w:val="24"/>
                <w:szCs w:val="24"/>
              </w:rPr>
              <w:t xml:space="preserve"> (projekta 5.punkts)</w:t>
            </w:r>
            <w:r w:rsidRPr="00BF33C6">
              <w:rPr>
                <w:rFonts w:ascii="Times New Roman" w:hAnsi="Times New Roman" w:cs="Times New Roman"/>
                <w:sz w:val="24"/>
                <w:szCs w:val="24"/>
              </w:rPr>
              <w:t>.</w:t>
            </w:r>
          </w:p>
          <w:p w14:paraId="744B65C6" w14:textId="77777777" w:rsidR="008167FB" w:rsidRPr="00BF33C6" w:rsidRDefault="008167FB" w:rsidP="00E27E19">
            <w:pPr>
              <w:spacing w:after="0" w:line="240" w:lineRule="auto"/>
              <w:jc w:val="both"/>
              <w:rPr>
                <w:rFonts w:ascii="Times New Roman" w:hAnsi="Times New Roman" w:cs="Times New Roman"/>
                <w:sz w:val="24"/>
                <w:szCs w:val="24"/>
              </w:rPr>
            </w:pPr>
          </w:p>
          <w:p w14:paraId="5DF81594" w14:textId="0CEBD8DC" w:rsidR="001708CA" w:rsidRPr="00BF33C6" w:rsidRDefault="001708CA" w:rsidP="00442DB8">
            <w:pPr>
              <w:pStyle w:val="CommentText"/>
              <w:jc w:val="both"/>
              <w:rPr>
                <w:rFonts w:ascii="Times New Roman" w:hAnsi="Times New Roman" w:cs="Times New Roman"/>
                <w:sz w:val="24"/>
                <w:szCs w:val="24"/>
              </w:rPr>
            </w:pPr>
            <w:r w:rsidRPr="00BF33C6">
              <w:rPr>
                <w:rFonts w:ascii="Times New Roman" w:hAnsi="Times New Roman" w:cs="Times New Roman"/>
                <w:sz w:val="24"/>
                <w:szCs w:val="24"/>
              </w:rPr>
              <w:t>Noteikumu 12.1.</w:t>
            </w:r>
            <w:r w:rsidR="009C04BB" w:rsidRPr="00BF33C6">
              <w:rPr>
                <w:rFonts w:ascii="Times New Roman" w:hAnsi="Times New Roman" w:cs="Times New Roman"/>
                <w:sz w:val="24"/>
                <w:szCs w:val="24"/>
              </w:rPr>
              <w:t> </w:t>
            </w:r>
            <w:r w:rsidRPr="00BF33C6">
              <w:rPr>
                <w:rFonts w:ascii="Times New Roman" w:hAnsi="Times New Roman" w:cs="Times New Roman"/>
                <w:sz w:val="24"/>
                <w:szCs w:val="24"/>
              </w:rPr>
              <w:t>apakšpunkts ir jāpapildina ar zāļu vairumtirgotāja pienākumu savas telpas darīt pieejamas ne tikai Veselības inspekcijai, bet arī Zāļu valsts aģentūrai, kura vērtē un uzrauga zāļu vairumtirgotāju atbilstību zāļu labas izplatīšanas prakses prasībām</w:t>
            </w:r>
            <w:r w:rsidR="009C04BB" w:rsidRPr="00BF33C6">
              <w:rPr>
                <w:rFonts w:ascii="Times New Roman" w:hAnsi="Times New Roman" w:cs="Times New Roman"/>
                <w:sz w:val="24"/>
                <w:szCs w:val="24"/>
              </w:rPr>
              <w:t xml:space="preserve"> (projekta 7. punkts)</w:t>
            </w:r>
            <w:r w:rsidR="00423B40" w:rsidRPr="00BF33C6">
              <w:rPr>
                <w:rFonts w:ascii="Times New Roman" w:hAnsi="Times New Roman" w:cs="Times New Roman"/>
                <w:sz w:val="24"/>
                <w:szCs w:val="24"/>
              </w:rPr>
              <w:t xml:space="preserve"> un kurai šā mērķa realizēšanai ir nepieciešams veikt pārbaudes uz vietas attiecīgajos objektos</w:t>
            </w:r>
            <w:r w:rsidRPr="00BF33C6">
              <w:rPr>
                <w:rFonts w:ascii="Times New Roman" w:hAnsi="Times New Roman" w:cs="Times New Roman"/>
                <w:sz w:val="24"/>
                <w:szCs w:val="24"/>
              </w:rPr>
              <w:t>.</w:t>
            </w:r>
            <w:r w:rsidR="00442DB8" w:rsidRPr="00BF33C6">
              <w:rPr>
                <w:rFonts w:ascii="Times New Roman" w:hAnsi="Times New Roman" w:cs="Times New Roman"/>
                <w:sz w:val="24"/>
                <w:szCs w:val="24"/>
              </w:rPr>
              <w:t xml:space="preserve"> Šajā gadījumā kontrole ir arī atbilstības novērtēšana (inspekcijas) labas izplatīšanas prasībām, kas ir Zāļu valsts aģentūras kompetence, un tāpēc pieejai pie telpām jābūt arī aģentūras amatpersonām.</w:t>
            </w:r>
          </w:p>
          <w:p w14:paraId="5BCDC276" w14:textId="66ACEAE2" w:rsidR="00542524" w:rsidRPr="00BF33C6" w:rsidRDefault="00542524"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Ir nepieciešams precizēt noteikumu 12.2.</w:t>
            </w:r>
            <w:r w:rsidR="009C04BB" w:rsidRPr="00BF33C6">
              <w:rPr>
                <w:rFonts w:ascii="Times New Roman" w:hAnsi="Times New Roman" w:cs="Times New Roman"/>
                <w:sz w:val="24"/>
                <w:szCs w:val="24"/>
              </w:rPr>
              <w:t> </w:t>
            </w:r>
            <w:r w:rsidRPr="00BF33C6">
              <w:rPr>
                <w:rFonts w:ascii="Times New Roman" w:hAnsi="Times New Roman" w:cs="Times New Roman"/>
                <w:sz w:val="24"/>
                <w:szCs w:val="24"/>
              </w:rPr>
              <w:t xml:space="preserve">apakšpunktu, jo esošā redakcija ierobežo Latvijā licencēta zāļu vairumtirgotāja tiesības iegādāties zāles no </w:t>
            </w:r>
            <w:r w:rsidRPr="00BF33C6">
              <w:rPr>
                <w:rFonts w:ascii="Times New Roman" w:hAnsi="Times New Roman" w:cs="Times New Roman"/>
                <w:sz w:val="24"/>
                <w:szCs w:val="24"/>
              </w:rPr>
              <w:lastRenderedPageBreak/>
              <w:t xml:space="preserve">ārvalstu ražotajiem un vairumtirgotājiem. </w:t>
            </w:r>
            <w:r w:rsidR="009C04BB" w:rsidRPr="00BF33C6">
              <w:rPr>
                <w:rFonts w:ascii="Times New Roman" w:hAnsi="Times New Roman" w:cs="Times New Roman"/>
                <w:sz w:val="24"/>
                <w:szCs w:val="24"/>
              </w:rPr>
              <w:t>(projekta 8. punkts).</w:t>
            </w:r>
            <w:r w:rsidR="004078D6" w:rsidRPr="00BF33C6">
              <w:rPr>
                <w:rFonts w:ascii="Times New Roman" w:hAnsi="Times New Roman" w:cs="Times New Roman"/>
                <w:sz w:val="24"/>
                <w:szCs w:val="24"/>
              </w:rPr>
              <w:t xml:space="preserve"> Turklāt veiktais precizējums ir arī atbilstošāks direktīvā 2001/83 ietvertajam regulējumam. </w:t>
            </w:r>
            <w:r w:rsidR="00196C80" w:rsidRPr="00BF33C6">
              <w:rPr>
                <w:rFonts w:ascii="Times New Roman" w:hAnsi="Times New Roman" w:cs="Times New Roman"/>
                <w:sz w:val="24"/>
                <w:szCs w:val="24"/>
              </w:rPr>
              <w:t xml:space="preserve">Tāpat grozījums nepieciešams 12.3. apakšpunktā, jo esoša redakcija neietver pilnīgu  subjektu uzskaitījumu (projekta </w:t>
            </w:r>
            <w:r w:rsidR="009065D0" w:rsidRPr="00BF33C6">
              <w:rPr>
                <w:rFonts w:ascii="Times New Roman" w:hAnsi="Times New Roman" w:cs="Times New Roman"/>
                <w:sz w:val="24"/>
                <w:szCs w:val="24"/>
              </w:rPr>
              <w:t>9.</w:t>
            </w:r>
            <w:r w:rsidR="00196C80" w:rsidRPr="00BF33C6">
              <w:rPr>
                <w:rFonts w:ascii="Times New Roman" w:hAnsi="Times New Roman" w:cs="Times New Roman"/>
                <w:sz w:val="24"/>
                <w:szCs w:val="24"/>
              </w:rPr>
              <w:t>punkts)</w:t>
            </w:r>
            <w:r w:rsidR="00B22D02">
              <w:rPr>
                <w:rFonts w:ascii="Times New Roman" w:hAnsi="Times New Roman" w:cs="Times New Roman"/>
                <w:sz w:val="24"/>
                <w:szCs w:val="24"/>
              </w:rPr>
              <w:t>.</w:t>
            </w:r>
          </w:p>
          <w:p w14:paraId="045F3030" w14:textId="77777777" w:rsidR="008203F3" w:rsidRPr="00BF33C6" w:rsidRDefault="008203F3" w:rsidP="00E27E19">
            <w:pPr>
              <w:spacing w:after="0" w:line="240" w:lineRule="auto"/>
              <w:jc w:val="both"/>
              <w:rPr>
                <w:rFonts w:ascii="Times New Roman" w:hAnsi="Times New Roman" w:cs="Times New Roman"/>
                <w:sz w:val="24"/>
                <w:szCs w:val="24"/>
              </w:rPr>
            </w:pPr>
          </w:p>
          <w:p w14:paraId="52C854EA" w14:textId="7C97A30F" w:rsidR="002356EE" w:rsidRPr="00BF33C6" w:rsidRDefault="00E60B83"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Direktīvas 2001/83 80.</w:t>
            </w:r>
            <w:r w:rsidR="003D6728" w:rsidRPr="00BF33C6">
              <w:rPr>
                <w:rFonts w:ascii="Times New Roman" w:hAnsi="Times New Roman" w:cs="Times New Roman"/>
                <w:sz w:val="24"/>
                <w:szCs w:val="24"/>
              </w:rPr>
              <w:t> </w:t>
            </w:r>
            <w:r w:rsidR="00502AA8" w:rsidRPr="00BF33C6">
              <w:rPr>
                <w:rFonts w:ascii="Times New Roman" w:hAnsi="Times New Roman" w:cs="Times New Roman"/>
                <w:sz w:val="24"/>
                <w:szCs w:val="24"/>
              </w:rPr>
              <w:t>panta e)</w:t>
            </w:r>
            <w:r w:rsidR="003D6728" w:rsidRPr="00BF33C6">
              <w:rPr>
                <w:rFonts w:ascii="Times New Roman" w:hAnsi="Times New Roman" w:cs="Times New Roman"/>
                <w:sz w:val="24"/>
                <w:szCs w:val="24"/>
              </w:rPr>
              <w:t> </w:t>
            </w:r>
            <w:r w:rsidR="00502AA8" w:rsidRPr="00BF33C6">
              <w:rPr>
                <w:rFonts w:ascii="Times New Roman" w:hAnsi="Times New Roman" w:cs="Times New Roman"/>
                <w:sz w:val="24"/>
                <w:szCs w:val="24"/>
              </w:rPr>
              <w:t xml:space="preserve">punkts </w:t>
            </w:r>
            <w:r w:rsidRPr="00BF33C6">
              <w:rPr>
                <w:rFonts w:ascii="Times New Roman" w:hAnsi="Times New Roman" w:cs="Times New Roman"/>
                <w:sz w:val="24"/>
                <w:szCs w:val="24"/>
              </w:rPr>
              <w:t>nosaka, ka zāļu vairum</w:t>
            </w:r>
            <w:r w:rsidR="00502AA8" w:rsidRPr="00BF33C6">
              <w:rPr>
                <w:rFonts w:ascii="Times New Roman" w:hAnsi="Times New Roman" w:cs="Times New Roman"/>
                <w:sz w:val="24"/>
                <w:szCs w:val="24"/>
              </w:rPr>
              <w:t xml:space="preserve">tirgotājs veic zāļu uzskaiti vai nu ar pirkšanas/pārdošanas rēķiniem, vai datorā, vai kādā citā veidā, par katru darījumu ar saņemtajām un nosūtītajām zālēm un par zālēm, kuras ir starpniecības darījumu priekšmets, norādot vismaz šādu informāciju: 1) datumu, 2) zāļu nosaukumu, 3) saņemto, piegādāto un starpniecības darījumos norādīto daudzumu, 4) attiecīgi piegādātāja vai saņēmēja nosaukumu un adresi, 5) zāļu partijas numuru vismaz tām zālēm, uz kurām ir norādītas drošuma pazīmes, kas minētas 54. panta o) punktā. Kā redzams, direktīvas norma dod iespēju vairumtirgotājam izvēlēties veikt uzskaiti ar datora palīdzību vai bez tā. </w:t>
            </w:r>
            <w:r w:rsidR="007F172F" w:rsidRPr="00BF33C6">
              <w:rPr>
                <w:rFonts w:ascii="Times New Roman" w:hAnsi="Times New Roman" w:cs="Times New Roman"/>
                <w:sz w:val="24"/>
                <w:szCs w:val="24"/>
              </w:rPr>
              <w:t xml:space="preserve">Šobrīd gan nav iespējams atrast kādus racionālus argumentus tam, lai kāds godprātīgs </w:t>
            </w:r>
            <w:r w:rsidR="000227A4" w:rsidRPr="00BF33C6">
              <w:rPr>
                <w:rFonts w:ascii="Times New Roman" w:hAnsi="Times New Roman" w:cs="Times New Roman"/>
                <w:sz w:val="24"/>
                <w:szCs w:val="24"/>
              </w:rPr>
              <w:t xml:space="preserve">komersants </w:t>
            </w:r>
            <w:r w:rsidR="007F172F" w:rsidRPr="00BF33C6">
              <w:rPr>
                <w:rFonts w:ascii="Times New Roman" w:hAnsi="Times New Roman" w:cs="Times New Roman"/>
                <w:sz w:val="24"/>
                <w:szCs w:val="24"/>
              </w:rPr>
              <w:t>veiktu zāļu uzskaiti bez datora</w:t>
            </w:r>
            <w:r w:rsidR="003D6728" w:rsidRPr="00BF33C6">
              <w:rPr>
                <w:rFonts w:ascii="Times New Roman" w:hAnsi="Times New Roman" w:cs="Times New Roman"/>
                <w:sz w:val="24"/>
                <w:szCs w:val="24"/>
              </w:rPr>
              <w:t> </w:t>
            </w:r>
            <w:r w:rsidR="007F172F" w:rsidRPr="00BF33C6">
              <w:rPr>
                <w:rFonts w:ascii="Times New Roman" w:hAnsi="Times New Roman" w:cs="Times New Roman"/>
                <w:sz w:val="24"/>
                <w:szCs w:val="24"/>
              </w:rPr>
              <w:t>–</w:t>
            </w:r>
            <w:r w:rsidR="003D6728" w:rsidRPr="00BF33C6">
              <w:rPr>
                <w:rFonts w:ascii="Times New Roman" w:hAnsi="Times New Roman" w:cs="Times New Roman"/>
                <w:sz w:val="24"/>
                <w:szCs w:val="24"/>
              </w:rPr>
              <w:t> </w:t>
            </w:r>
            <w:r w:rsidR="007F172F" w:rsidRPr="00BF33C6">
              <w:rPr>
                <w:rFonts w:ascii="Times New Roman" w:hAnsi="Times New Roman" w:cs="Times New Roman"/>
                <w:sz w:val="24"/>
                <w:szCs w:val="24"/>
              </w:rPr>
              <w:t>ar drukātu dokumentu palīdzību</w:t>
            </w:r>
            <w:r w:rsidR="000227A4" w:rsidRPr="00BF33C6">
              <w:rPr>
                <w:rFonts w:ascii="Times New Roman" w:hAnsi="Times New Roman" w:cs="Times New Roman"/>
                <w:sz w:val="24"/>
                <w:szCs w:val="24"/>
              </w:rPr>
              <w:t>, jo operēt ar drukātu uzskaites sistēmu ir ļoti lēni un neefektīvi</w:t>
            </w:r>
            <w:r w:rsidR="007F172F" w:rsidRPr="00BF33C6">
              <w:rPr>
                <w:rFonts w:ascii="Times New Roman" w:hAnsi="Times New Roman" w:cs="Times New Roman"/>
                <w:sz w:val="24"/>
                <w:szCs w:val="24"/>
              </w:rPr>
              <w:t xml:space="preserve">. </w:t>
            </w:r>
            <w:r w:rsidR="000227A4" w:rsidRPr="00BF33C6">
              <w:rPr>
                <w:rFonts w:ascii="Times New Roman" w:hAnsi="Times New Roman" w:cs="Times New Roman"/>
                <w:sz w:val="24"/>
                <w:szCs w:val="24"/>
              </w:rPr>
              <w:t>Bez darbības ātruma un efektivitātes elektroniskas uzskaites sistēmas, kuras saglabā visus auditācijas pierakstus, dod arī iespēju trešajai personai atklāt zāļu aprites pārkāpumus. Savukārt zāļu uzskaite drukātu dokumentu formā dod iespēju ļoti viegli manipulēt ar uzskaites sistēmas ierakstiem. Veselības inspekcija regulāri kons</w:t>
            </w:r>
            <w:r w:rsidR="00B91E7E" w:rsidRPr="00BF33C6">
              <w:rPr>
                <w:rFonts w:ascii="Times New Roman" w:hAnsi="Times New Roman" w:cs="Times New Roman"/>
                <w:sz w:val="24"/>
                <w:szCs w:val="24"/>
              </w:rPr>
              <w:t>tatē gadījumus, kad zāļu uzskaite ar drukātu dokumentu palīdzību tiek izmantota ļaunprātīgi, lai slēptu, piemēram, viltotu zāļu izplatīšanas faktu un jau vienreiz atgrieztu zāļu otrreizēju laišanu pārdošanā. Šādas darbības nopietni apdraud sabiedrības veselību. Tādēļ būtu nepieciešami risinājumi, lai negodprātīgiem komersantiem maksimāli tiktu apgrūtinātas iespējas veikt šādas prettiesiskas darbības. Kā efektīvs risinājums būtu noteikt, ka zāļu uzskaiti vairumtirgotāji veic tikai elektroniski tādās uzskaites sistēmās, kuras saglabā visus auditācijas pierakstus. Tam pilnīgi noteikti būtu preventīvs efekts, jo iespējamās prettiesiskās darbības būtu daudz vieglāk un ātrāk atklāt</w:t>
            </w:r>
            <w:r w:rsidR="003D6728" w:rsidRPr="00BF33C6">
              <w:rPr>
                <w:rFonts w:ascii="Times New Roman" w:hAnsi="Times New Roman" w:cs="Times New Roman"/>
                <w:sz w:val="24"/>
                <w:szCs w:val="24"/>
              </w:rPr>
              <w:t> </w:t>
            </w:r>
            <w:r w:rsidR="00B91E7E" w:rsidRPr="00BF33C6">
              <w:rPr>
                <w:rFonts w:ascii="Times New Roman" w:hAnsi="Times New Roman" w:cs="Times New Roman"/>
                <w:sz w:val="24"/>
                <w:szCs w:val="24"/>
              </w:rPr>
              <w:t>–</w:t>
            </w:r>
            <w:r w:rsidR="003D6728" w:rsidRPr="00BF33C6">
              <w:rPr>
                <w:rFonts w:ascii="Times New Roman" w:hAnsi="Times New Roman" w:cs="Times New Roman"/>
                <w:sz w:val="24"/>
                <w:szCs w:val="24"/>
              </w:rPr>
              <w:t> </w:t>
            </w:r>
            <w:r w:rsidR="00B91E7E" w:rsidRPr="00BF33C6">
              <w:rPr>
                <w:rFonts w:ascii="Times New Roman" w:hAnsi="Times New Roman" w:cs="Times New Roman"/>
                <w:sz w:val="24"/>
                <w:szCs w:val="24"/>
              </w:rPr>
              <w:t xml:space="preserve">tas noteikti būtiski mazinātu komersantu vēlmi šādas prettiesiskas darbības veikt, un gadījumā, ja arī kādas prettiesiskas </w:t>
            </w:r>
            <w:r w:rsidR="008C0BF2" w:rsidRPr="00BF33C6">
              <w:rPr>
                <w:rFonts w:ascii="Times New Roman" w:hAnsi="Times New Roman" w:cs="Times New Roman"/>
                <w:sz w:val="24"/>
                <w:szCs w:val="24"/>
              </w:rPr>
              <w:t xml:space="preserve">darbības tiks veiktas, tās varēs salīdzinoši viegli un ātri atklāt. </w:t>
            </w:r>
            <w:r w:rsidR="001C7BC7" w:rsidRPr="00BF33C6">
              <w:rPr>
                <w:rFonts w:ascii="Times New Roman" w:hAnsi="Times New Roman" w:cs="Times New Roman"/>
                <w:sz w:val="24"/>
                <w:szCs w:val="24"/>
              </w:rPr>
              <w:t>Ņemot vērā minēto, kā arī to, ka zāļu vairumtirgotāji ir komersanti, kuri darbojas regulētā un licencētā sfērā veselības aprūpes nozarē, šādas prasības izvirzīšana būs uzskatāma par samērīgu ar sabiedrības ieguvumu.</w:t>
            </w:r>
            <w:r w:rsidR="00B91E7E" w:rsidRPr="00BF33C6">
              <w:rPr>
                <w:rFonts w:ascii="Times New Roman" w:hAnsi="Times New Roman" w:cs="Times New Roman"/>
                <w:sz w:val="24"/>
                <w:szCs w:val="24"/>
              </w:rPr>
              <w:t xml:space="preserve"> </w:t>
            </w:r>
            <w:r w:rsidR="00DD2BA1" w:rsidRPr="00BF33C6">
              <w:rPr>
                <w:rFonts w:ascii="Times New Roman" w:hAnsi="Times New Roman" w:cs="Times New Roman"/>
                <w:sz w:val="24"/>
                <w:szCs w:val="24"/>
              </w:rPr>
              <w:t>Turklāt, ja arī daļai komersantu būs nepieciešams iegādāties jaunas licences šādu elektronisku sistēmu izmantošanai, šīs izmaksas būs niecīgas, salīdzinot ar sabiedrības ieguvumu.</w:t>
            </w:r>
            <w:r w:rsidRPr="00BF33C6">
              <w:rPr>
                <w:rFonts w:ascii="Times New Roman" w:hAnsi="Times New Roman" w:cs="Times New Roman"/>
                <w:sz w:val="24"/>
                <w:szCs w:val="24"/>
              </w:rPr>
              <w:t xml:space="preserve"> </w:t>
            </w:r>
            <w:r w:rsidR="00DD2BA1" w:rsidRPr="00BF33C6">
              <w:rPr>
                <w:rFonts w:ascii="Times New Roman" w:hAnsi="Times New Roman" w:cs="Times New Roman"/>
                <w:sz w:val="24"/>
                <w:szCs w:val="24"/>
              </w:rPr>
              <w:t>Tādēļ i</w:t>
            </w:r>
            <w:r w:rsidR="002356EE" w:rsidRPr="00BF33C6">
              <w:rPr>
                <w:rFonts w:ascii="Times New Roman" w:hAnsi="Times New Roman" w:cs="Times New Roman"/>
                <w:sz w:val="24"/>
                <w:szCs w:val="24"/>
              </w:rPr>
              <w:t>r nepieciešams precizēt noteikumu 12.5.</w:t>
            </w:r>
            <w:r w:rsidR="003D6728" w:rsidRPr="00BF33C6">
              <w:rPr>
                <w:rFonts w:ascii="Times New Roman" w:hAnsi="Times New Roman" w:cs="Times New Roman"/>
                <w:sz w:val="24"/>
                <w:szCs w:val="24"/>
              </w:rPr>
              <w:t> </w:t>
            </w:r>
            <w:r w:rsidR="002356EE" w:rsidRPr="00BF33C6">
              <w:rPr>
                <w:rFonts w:ascii="Times New Roman" w:hAnsi="Times New Roman" w:cs="Times New Roman"/>
                <w:sz w:val="24"/>
                <w:szCs w:val="24"/>
              </w:rPr>
              <w:t>apakšpunkt</w:t>
            </w:r>
            <w:r w:rsidR="00AF5C5A" w:rsidRPr="00BF33C6">
              <w:rPr>
                <w:rFonts w:ascii="Times New Roman" w:hAnsi="Times New Roman" w:cs="Times New Roman"/>
                <w:sz w:val="24"/>
                <w:szCs w:val="24"/>
              </w:rPr>
              <w:t>u</w:t>
            </w:r>
            <w:r w:rsidR="002356EE" w:rsidRPr="00BF33C6">
              <w:rPr>
                <w:rFonts w:ascii="Times New Roman" w:hAnsi="Times New Roman" w:cs="Times New Roman"/>
                <w:sz w:val="24"/>
                <w:szCs w:val="24"/>
              </w:rPr>
              <w:t xml:space="preserve"> nosakot, ka darījumi ar zālēm tiek uzskaitīti </w:t>
            </w:r>
            <w:r w:rsidR="00786F7F" w:rsidRPr="00BF33C6">
              <w:rPr>
                <w:rFonts w:ascii="Times New Roman" w:hAnsi="Times New Roman" w:cs="Times New Roman"/>
                <w:sz w:val="24"/>
                <w:szCs w:val="24"/>
              </w:rPr>
              <w:t xml:space="preserve">tikai un vienīgi </w:t>
            </w:r>
            <w:r w:rsidR="002356EE" w:rsidRPr="00BF33C6">
              <w:rPr>
                <w:rFonts w:ascii="Times New Roman" w:hAnsi="Times New Roman" w:cs="Times New Roman"/>
                <w:sz w:val="24"/>
                <w:szCs w:val="24"/>
              </w:rPr>
              <w:t>elektroniski</w:t>
            </w:r>
            <w:r w:rsidR="00635ED7" w:rsidRPr="00BF33C6">
              <w:rPr>
                <w:rFonts w:ascii="Times New Roman" w:hAnsi="Times New Roman" w:cs="Times New Roman"/>
                <w:sz w:val="24"/>
                <w:szCs w:val="24"/>
              </w:rPr>
              <w:t>.</w:t>
            </w:r>
            <w:r w:rsidR="00786F7F" w:rsidRPr="00BF33C6">
              <w:rPr>
                <w:rFonts w:ascii="Times New Roman" w:hAnsi="Times New Roman" w:cs="Times New Roman"/>
                <w:sz w:val="24"/>
                <w:szCs w:val="24"/>
              </w:rPr>
              <w:t xml:space="preserve"> </w:t>
            </w:r>
            <w:r w:rsidR="002C68C8" w:rsidRPr="00BF33C6">
              <w:rPr>
                <w:rFonts w:ascii="Times New Roman" w:hAnsi="Times New Roman" w:cs="Times New Roman"/>
                <w:sz w:val="24"/>
                <w:szCs w:val="24"/>
              </w:rPr>
              <w:t>Tāpat norma ir jāpapildina ar norādi, ka</w:t>
            </w:r>
            <w:r w:rsidR="0082571B" w:rsidRPr="00BF33C6">
              <w:rPr>
                <w:rFonts w:ascii="Times New Roman" w:hAnsi="Times New Roman" w:cs="Times New Roman"/>
                <w:sz w:val="24"/>
                <w:szCs w:val="24"/>
              </w:rPr>
              <w:t xml:space="preserve"> Veselības inspekcijas </w:t>
            </w:r>
            <w:r w:rsidR="002A3FD5" w:rsidRPr="00BF33C6">
              <w:rPr>
                <w:rFonts w:ascii="Times New Roman" w:hAnsi="Times New Roman" w:cs="Times New Roman"/>
                <w:sz w:val="24"/>
                <w:szCs w:val="24"/>
              </w:rPr>
              <w:t xml:space="preserve">un Zāļu valsts aģentūras </w:t>
            </w:r>
            <w:r w:rsidR="0082571B" w:rsidRPr="00BF33C6">
              <w:rPr>
                <w:rFonts w:ascii="Times New Roman" w:hAnsi="Times New Roman" w:cs="Times New Roman"/>
                <w:sz w:val="24"/>
                <w:szCs w:val="24"/>
              </w:rPr>
              <w:t>amatpersonām</w:t>
            </w:r>
            <w:r w:rsidR="005435F9" w:rsidRPr="00BF33C6">
              <w:rPr>
                <w:rFonts w:ascii="Times New Roman" w:hAnsi="Times New Roman" w:cs="Times New Roman"/>
                <w:sz w:val="24"/>
                <w:szCs w:val="24"/>
              </w:rPr>
              <w:t xml:space="preserve"> kontroles nolūkos</w:t>
            </w:r>
            <w:r w:rsidR="002C68C8" w:rsidRPr="00BF33C6">
              <w:rPr>
                <w:rFonts w:ascii="Times New Roman" w:hAnsi="Times New Roman" w:cs="Times New Roman"/>
                <w:sz w:val="24"/>
                <w:szCs w:val="24"/>
              </w:rPr>
              <w:t xml:space="preserve"> </w:t>
            </w:r>
            <w:r w:rsidR="0082571B" w:rsidRPr="00BF33C6">
              <w:rPr>
                <w:rFonts w:ascii="Times New Roman" w:hAnsi="Times New Roman" w:cs="Times New Roman"/>
                <w:sz w:val="24"/>
                <w:szCs w:val="24"/>
              </w:rPr>
              <w:t xml:space="preserve">ir jābūt iespējai </w:t>
            </w:r>
            <w:r w:rsidR="002C68C8" w:rsidRPr="00BF33C6">
              <w:rPr>
                <w:rFonts w:ascii="Times New Roman" w:hAnsi="Times New Roman" w:cs="Times New Roman"/>
                <w:sz w:val="24"/>
                <w:szCs w:val="24"/>
              </w:rPr>
              <w:t xml:space="preserve">šiem elektroniskajiem datiem jebkurā laikā </w:t>
            </w:r>
            <w:r w:rsidR="0082571B" w:rsidRPr="00BF33C6">
              <w:rPr>
                <w:rFonts w:ascii="Times New Roman" w:hAnsi="Times New Roman" w:cs="Times New Roman"/>
                <w:sz w:val="24"/>
                <w:szCs w:val="24"/>
              </w:rPr>
              <w:t>piekļūt un izgatavot šo datu kopijas</w:t>
            </w:r>
            <w:r w:rsidR="00C81105" w:rsidRPr="00BF33C6">
              <w:rPr>
                <w:rFonts w:ascii="Times New Roman" w:hAnsi="Times New Roman" w:cs="Times New Roman"/>
                <w:sz w:val="24"/>
                <w:szCs w:val="24"/>
              </w:rPr>
              <w:t>, pamatojoties uz Farmācijas likuma 14.</w:t>
            </w:r>
            <w:r w:rsidR="003D6728" w:rsidRPr="00BF33C6">
              <w:rPr>
                <w:rFonts w:ascii="Times New Roman" w:hAnsi="Times New Roman" w:cs="Times New Roman"/>
                <w:sz w:val="24"/>
                <w:szCs w:val="24"/>
              </w:rPr>
              <w:t> </w:t>
            </w:r>
            <w:r w:rsidR="00C81105" w:rsidRPr="00BF33C6">
              <w:rPr>
                <w:rFonts w:ascii="Times New Roman" w:hAnsi="Times New Roman" w:cs="Times New Roman"/>
                <w:sz w:val="24"/>
                <w:szCs w:val="24"/>
              </w:rPr>
              <w:t>panta 2.</w:t>
            </w:r>
            <w:r w:rsidR="003D6728" w:rsidRPr="00BF33C6">
              <w:rPr>
                <w:rFonts w:ascii="Times New Roman" w:hAnsi="Times New Roman" w:cs="Times New Roman"/>
                <w:sz w:val="24"/>
                <w:szCs w:val="24"/>
              </w:rPr>
              <w:t> </w:t>
            </w:r>
            <w:r w:rsidR="00C81105" w:rsidRPr="00BF33C6">
              <w:rPr>
                <w:rFonts w:ascii="Times New Roman" w:hAnsi="Times New Roman" w:cs="Times New Roman"/>
                <w:sz w:val="24"/>
                <w:szCs w:val="24"/>
              </w:rPr>
              <w:t>punktu</w:t>
            </w:r>
            <w:r w:rsidR="00847B07" w:rsidRPr="00BF33C6">
              <w:rPr>
                <w:rFonts w:ascii="Times New Roman" w:hAnsi="Times New Roman" w:cs="Times New Roman"/>
                <w:sz w:val="24"/>
                <w:szCs w:val="24"/>
              </w:rPr>
              <w:t xml:space="preserve"> (projekta 11. punkts)</w:t>
            </w:r>
            <w:r w:rsidR="0082571B" w:rsidRPr="00BF33C6">
              <w:rPr>
                <w:rFonts w:ascii="Times New Roman" w:hAnsi="Times New Roman" w:cs="Times New Roman"/>
                <w:sz w:val="24"/>
                <w:szCs w:val="24"/>
              </w:rPr>
              <w:t xml:space="preserve">. </w:t>
            </w:r>
            <w:r w:rsidR="00107CB9" w:rsidRPr="00BF33C6">
              <w:rPr>
                <w:rFonts w:ascii="Times New Roman" w:hAnsi="Times New Roman" w:cs="Times New Roman"/>
                <w:sz w:val="24"/>
                <w:szCs w:val="24"/>
              </w:rPr>
              <w:t>Tāpat ir jāpapildina noteikumi ar jaunu 12.</w:t>
            </w:r>
            <w:r w:rsidR="00107CB9" w:rsidRPr="00BF33C6">
              <w:rPr>
                <w:rFonts w:ascii="Times New Roman" w:hAnsi="Times New Roman" w:cs="Times New Roman"/>
                <w:sz w:val="24"/>
                <w:szCs w:val="24"/>
                <w:vertAlign w:val="superscript"/>
              </w:rPr>
              <w:t>6</w:t>
            </w:r>
            <w:r w:rsidR="003D6728" w:rsidRPr="00BF33C6">
              <w:rPr>
                <w:rFonts w:ascii="Times New Roman" w:hAnsi="Times New Roman" w:cs="Times New Roman"/>
                <w:sz w:val="24"/>
                <w:szCs w:val="24"/>
              </w:rPr>
              <w:t> </w:t>
            </w:r>
            <w:r w:rsidR="00107CB9" w:rsidRPr="00BF33C6">
              <w:rPr>
                <w:rFonts w:ascii="Times New Roman" w:hAnsi="Times New Roman" w:cs="Times New Roman"/>
                <w:sz w:val="24"/>
                <w:szCs w:val="24"/>
              </w:rPr>
              <w:t>punktu, kurā tiktu noteiktas prasības zāļu vairumtirgotāju lietotajām elektroniskajām sistēmām</w:t>
            </w:r>
            <w:r w:rsidR="003D6728" w:rsidRPr="00BF33C6">
              <w:rPr>
                <w:rFonts w:ascii="Times New Roman" w:hAnsi="Times New Roman" w:cs="Times New Roman"/>
                <w:sz w:val="24"/>
                <w:szCs w:val="24"/>
              </w:rPr>
              <w:t xml:space="preserve"> (projekta 10.</w:t>
            </w:r>
            <w:r w:rsidR="002A3FD5" w:rsidRPr="00BF33C6">
              <w:rPr>
                <w:rFonts w:ascii="Times New Roman" w:hAnsi="Times New Roman" w:cs="Times New Roman"/>
                <w:sz w:val="24"/>
                <w:szCs w:val="24"/>
              </w:rPr>
              <w:t xml:space="preserve">, </w:t>
            </w:r>
            <w:r w:rsidR="00196C80" w:rsidRPr="00BF33C6">
              <w:rPr>
                <w:rFonts w:ascii="Times New Roman" w:hAnsi="Times New Roman" w:cs="Times New Roman"/>
                <w:sz w:val="24"/>
                <w:szCs w:val="24"/>
              </w:rPr>
              <w:t>1</w:t>
            </w:r>
            <w:r w:rsidR="00BC7A7C" w:rsidRPr="00BF33C6">
              <w:rPr>
                <w:rFonts w:ascii="Times New Roman" w:hAnsi="Times New Roman" w:cs="Times New Roman"/>
                <w:sz w:val="24"/>
                <w:szCs w:val="24"/>
              </w:rPr>
              <w:t>2</w:t>
            </w:r>
            <w:r w:rsidR="00196C80" w:rsidRPr="00BF33C6">
              <w:rPr>
                <w:rFonts w:ascii="Times New Roman" w:hAnsi="Times New Roman" w:cs="Times New Roman"/>
                <w:sz w:val="24"/>
                <w:szCs w:val="24"/>
              </w:rPr>
              <w:t>. </w:t>
            </w:r>
            <w:r w:rsidR="002A3FD5" w:rsidRPr="00BF33C6">
              <w:rPr>
                <w:rFonts w:ascii="Times New Roman" w:hAnsi="Times New Roman" w:cs="Times New Roman"/>
                <w:sz w:val="24"/>
                <w:szCs w:val="24"/>
              </w:rPr>
              <w:t xml:space="preserve"> un 1</w:t>
            </w:r>
            <w:r w:rsidR="00887A5F" w:rsidRPr="00BF33C6">
              <w:rPr>
                <w:rFonts w:ascii="Times New Roman" w:hAnsi="Times New Roman" w:cs="Times New Roman"/>
                <w:sz w:val="24"/>
                <w:szCs w:val="24"/>
              </w:rPr>
              <w:t>5</w:t>
            </w:r>
            <w:r w:rsidR="002A3FD5" w:rsidRPr="00BF33C6">
              <w:rPr>
                <w:rFonts w:ascii="Times New Roman" w:hAnsi="Times New Roman" w:cs="Times New Roman"/>
                <w:sz w:val="24"/>
                <w:szCs w:val="24"/>
              </w:rPr>
              <w:t>. </w:t>
            </w:r>
            <w:r w:rsidR="003D6728" w:rsidRPr="00BF33C6">
              <w:rPr>
                <w:rFonts w:ascii="Times New Roman" w:hAnsi="Times New Roman" w:cs="Times New Roman"/>
                <w:sz w:val="24"/>
                <w:szCs w:val="24"/>
              </w:rPr>
              <w:t>punkts)</w:t>
            </w:r>
            <w:r w:rsidR="00107CB9" w:rsidRPr="00BF33C6">
              <w:rPr>
                <w:rFonts w:ascii="Times New Roman" w:hAnsi="Times New Roman" w:cs="Times New Roman"/>
                <w:sz w:val="24"/>
                <w:szCs w:val="24"/>
              </w:rPr>
              <w:t>.</w:t>
            </w:r>
            <w:r w:rsidR="00E60BB7" w:rsidRPr="00BF33C6">
              <w:rPr>
                <w:rFonts w:ascii="Times New Roman" w:hAnsi="Times New Roman" w:cs="Times New Roman"/>
                <w:sz w:val="24"/>
                <w:szCs w:val="24"/>
              </w:rPr>
              <w:t xml:space="preserve"> Ņemot vērā, ka iespējams atsevišķiem komersantiem būs nepieciešams izveidot šādu elektronisko </w:t>
            </w:r>
            <w:r w:rsidR="00E60BB7" w:rsidRPr="00BF33C6">
              <w:rPr>
                <w:rFonts w:ascii="Times New Roman" w:hAnsi="Times New Roman" w:cs="Times New Roman"/>
                <w:sz w:val="24"/>
                <w:szCs w:val="24"/>
              </w:rPr>
              <w:lastRenderedPageBreak/>
              <w:t xml:space="preserve">uzskaiti, ir paredzēts pārejas periods </w:t>
            </w:r>
            <w:r w:rsidR="00BC7A7C" w:rsidRPr="00BF33C6">
              <w:rPr>
                <w:rFonts w:ascii="Times New Roman" w:hAnsi="Times New Roman" w:cs="Times New Roman"/>
                <w:sz w:val="24"/>
                <w:szCs w:val="24"/>
              </w:rPr>
              <w:t>(p</w:t>
            </w:r>
            <w:r w:rsidR="00E60BB7" w:rsidRPr="00BF33C6">
              <w:rPr>
                <w:rFonts w:ascii="Times New Roman" w:hAnsi="Times New Roman" w:cs="Times New Roman"/>
                <w:sz w:val="24"/>
                <w:szCs w:val="24"/>
              </w:rPr>
              <w:t>rojekta</w:t>
            </w:r>
            <w:r w:rsidR="00FB0D1F" w:rsidRPr="00BF33C6">
              <w:rPr>
                <w:rFonts w:ascii="Times New Roman" w:hAnsi="Times New Roman" w:cs="Times New Roman"/>
                <w:sz w:val="24"/>
                <w:szCs w:val="24"/>
              </w:rPr>
              <w:t xml:space="preserve"> </w:t>
            </w:r>
            <w:r w:rsidR="0009492E" w:rsidRPr="00BF33C6">
              <w:rPr>
                <w:rFonts w:ascii="Times New Roman" w:hAnsi="Times New Roman" w:cs="Times New Roman"/>
                <w:sz w:val="24"/>
                <w:szCs w:val="24"/>
              </w:rPr>
              <w:t>75</w:t>
            </w:r>
            <w:r w:rsidR="00FB0D1F" w:rsidRPr="00BF33C6">
              <w:rPr>
                <w:rFonts w:ascii="Times New Roman" w:hAnsi="Times New Roman" w:cs="Times New Roman"/>
                <w:sz w:val="24"/>
                <w:szCs w:val="24"/>
              </w:rPr>
              <w:t>.</w:t>
            </w:r>
            <w:r w:rsidR="008066A7" w:rsidRPr="00BF33C6">
              <w:rPr>
                <w:rFonts w:ascii="Times New Roman" w:hAnsi="Times New Roman" w:cs="Times New Roman"/>
                <w:sz w:val="24"/>
                <w:szCs w:val="24"/>
              </w:rPr>
              <w:t> </w:t>
            </w:r>
            <w:r w:rsidR="00FB0D1F" w:rsidRPr="00BF33C6">
              <w:rPr>
                <w:rFonts w:ascii="Times New Roman" w:hAnsi="Times New Roman" w:cs="Times New Roman"/>
                <w:sz w:val="24"/>
                <w:szCs w:val="24"/>
              </w:rPr>
              <w:t>punkts – noteikumu 171.</w:t>
            </w:r>
            <w:r w:rsidR="00FB0D1F" w:rsidRPr="00BF33C6">
              <w:rPr>
                <w:rFonts w:ascii="Times New Roman" w:hAnsi="Times New Roman" w:cs="Times New Roman"/>
                <w:sz w:val="24"/>
                <w:szCs w:val="24"/>
                <w:vertAlign w:val="superscript"/>
              </w:rPr>
              <w:t xml:space="preserve">13 </w:t>
            </w:r>
            <w:r w:rsidR="00FB0D1F" w:rsidRPr="00BF33C6">
              <w:rPr>
                <w:rFonts w:ascii="Times New Roman" w:hAnsi="Times New Roman" w:cs="Times New Roman"/>
                <w:sz w:val="24"/>
                <w:szCs w:val="24"/>
              </w:rPr>
              <w:t>punkts)</w:t>
            </w:r>
            <w:r w:rsidR="008D1F1B" w:rsidRPr="00BF33C6">
              <w:rPr>
                <w:rFonts w:ascii="Times New Roman" w:hAnsi="Times New Roman" w:cs="Times New Roman"/>
                <w:sz w:val="24"/>
                <w:szCs w:val="24"/>
              </w:rPr>
              <w:t>.</w:t>
            </w:r>
          </w:p>
          <w:p w14:paraId="6A6E66AD" w14:textId="77777777" w:rsidR="002356EE" w:rsidRPr="00BF33C6" w:rsidRDefault="002356EE" w:rsidP="00E27E19">
            <w:pPr>
              <w:spacing w:after="0" w:line="240" w:lineRule="auto"/>
              <w:jc w:val="both"/>
              <w:rPr>
                <w:rFonts w:ascii="Times New Roman" w:hAnsi="Times New Roman" w:cs="Times New Roman"/>
                <w:sz w:val="24"/>
                <w:szCs w:val="24"/>
              </w:rPr>
            </w:pPr>
          </w:p>
          <w:p w14:paraId="2865FA9A" w14:textId="60B806FE" w:rsidR="007C1D2F" w:rsidRPr="00BF33C6" w:rsidRDefault="008259B2"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Noteikumu 12.14.</w:t>
            </w:r>
            <w:r w:rsidR="003D6728" w:rsidRPr="00BF33C6">
              <w:rPr>
                <w:rFonts w:ascii="Times New Roman" w:hAnsi="Times New Roman" w:cs="Times New Roman"/>
                <w:sz w:val="24"/>
                <w:szCs w:val="24"/>
              </w:rPr>
              <w:t> </w:t>
            </w:r>
            <w:r w:rsidRPr="00BF33C6">
              <w:rPr>
                <w:rFonts w:ascii="Times New Roman" w:hAnsi="Times New Roman" w:cs="Times New Roman"/>
                <w:sz w:val="24"/>
                <w:szCs w:val="24"/>
              </w:rPr>
              <w:t>apakšpunktā</w:t>
            </w:r>
            <w:r w:rsidR="007C1D2F" w:rsidRPr="00BF33C6">
              <w:rPr>
                <w:rFonts w:ascii="Times New Roman" w:hAnsi="Times New Roman" w:cs="Times New Roman"/>
                <w:sz w:val="24"/>
                <w:szCs w:val="24"/>
              </w:rPr>
              <w:t xml:space="preserve"> </w:t>
            </w:r>
            <w:r w:rsidRPr="00BF33C6">
              <w:rPr>
                <w:rFonts w:ascii="Times New Roman" w:hAnsi="Times New Roman" w:cs="Times New Roman"/>
                <w:sz w:val="24"/>
                <w:szCs w:val="24"/>
              </w:rPr>
              <w:t>ir nepieciešams precizēt prasības pa</w:t>
            </w:r>
            <w:r w:rsidR="007A20DE" w:rsidRPr="00BF33C6">
              <w:rPr>
                <w:rFonts w:ascii="Times New Roman" w:hAnsi="Times New Roman" w:cs="Times New Roman"/>
                <w:sz w:val="24"/>
                <w:szCs w:val="24"/>
              </w:rPr>
              <w:t>r</w:t>
            </w:r>
            <w:r w:rsidR="007C1D2F" w:rsidRPr="00BF33C6">
              <w:rPr>
                <w:rFonts w:ascii="Times New Roman" w:hAnsi="Times New Roman" w:cs="Times New Roman"/>
                <w:sz w:val="24"/>
                <w:szCs w:val="24"/>
              </w:rPr>
              <w:t xml:space="preserve"> </w:t>
            </w:r>
            <w:r w:rsidR="007A20DE" w:rsidRPr="00BF33C6">
              <w:rPr>
                <w:rFonts w:ascii="Times New Roman" w:hAnsi="Times New Roman" w:cs="Times New Roman"/>
                <w:sz w:val="24"/>
                <w:szCs w:val="24"/>
              </w:rPr>
              <w:t xml:space="preserve">labas izplatīšanas prakses ievērošanu atbildīgajai </w:t>
            </w:r>
            <w:r w:rsidRPr="00BF33C6">
              <w:rPr>
                <w:rFonts w:ascii="Times New Roman" w:hAnsi="Times New Roman" w:cs="Times New Roman"/>
                <w:sz w:val="24"/>
                <w:szCs w:val="24"/>
              </w:rPr>
              <w:t xml:space="preserve">amatpersonai, papildinot prasību </w:t>
            </w:r>
            <w:r w:rsidR="00640E70" w:rsidRPr="00BF33C6">
              <w:rPr>
                <w:rFonts w:ascii="Times New Roman" w:hAnsi="Times New Roman" w:cs="Times New Roman"/>
                <w:sz w:val="24"/>
                <w:szCs w:val="24"/>
              </w:rPr>
              <w:t>ar nepieciešamo viena gada pieredzi zāļu vairumtirdzniecībā</w:t>
            </w:r>
            <w:r w:rsidR="00721C12" w:rsidRPr="00BF33C6">
              <w:rPr>
                <w:rFonts w:ascii="Times New Roman" w:hAnsi="Times New Roman" w:cs="Times New Roman"/>
                <w:sz w:val="24"/>
                <w:szCs w:val="24"/>
              </w:rPr>
              <w:t xml:space="preserve">, </w:t>
            </w:r>
            <w:r w:rsidR="00640E70" w:rsidRPr="00BF33C6">
              <w:rPr>
                <w:rFonts w:ascii="Times New Roman" w:hAnsi="Times New Roman" w:cs="Times New Roman"/>
                <w:sz w:val="24"/>
                <w:szCs w:val="24"/>
              </w:rPr>
              <w:t xml:space="preserve"> </w:t>
            </w:r>
            <w:r w:rsidR="007A3E4B" w:rsidRPr="00BF33C6">
              <w:rPr>
                <w:rFonts w:ascii="Times New Roman" w:hAnsi="Times New Roman" w:cs="Times New Roman"/>
                <w:sz w:val="24"/>
                <w:szCs w:val="24"/>
              </w:rPr>
              <w:t>(projekta 1</w:t>
            </w:r>
            <w:r w:rsidR="00653BA2" w:rsidRPr="00BF33C6">
              <w:rPr>
                <w:rFonts w:ascii="Times New Roman" w:hAnsi="Times New Roman" w:cs="Times New Roman"/>
                <w:sz w:val="24"/>
                <w:szCs w:val="24"/>
              </w:rPr>
              <w:t>3</w:t>
            </w:r>
            <w:r w:rsidR="007A3E4B" w:rsidRPr="00BF33C6">
              <w:rPr>
                <w:rFonts w:ascii="Times New Roman" w:hAnsi="Times New Roman" w:cs="Times New Roman"/>
                <w:sz w:val="24"/>
                <w:szCs w:val="24"/>
              </w:rPr>
              <w:t>. punkts)</w:t>
            </w:r>
            <w:r w:rsidR="00DB7D6A" w:rsidRPr="00BF33C6">
              <w:rPr>
                <w:rFonts w:ascii="Times New Roman" w:hAnsi="Times New Roman" w:cs="Times New Roman"/>
                <w:sz w:val="24"/>
                <w:szCs w:val="24"/>
              </w:rPr>
              <w:t>.</w:t>
            </w:r>
            <w:r w:rsidR="00B170C2" w:rsidRPr="00BF33C6">
              <w:rPr>
                <w:rFonts w:ascii="Times New Roman" w:hAnsi="Times New Roman" w:cs="Times New Roman"/>
                <w:sz w:val="24"/>
                <w:szCs w:val="24"/>
              </w:rPr>
              <w:t xml:space="preserve"> Pieredze vairumtirdzniecībā noteikti ir nepieciešama, lai persona varētu pildīt par labas izplatīšanas prakses ievērošanu atbildīgās amatpersonas pienākumus</w:t>
            </w:r>
            <w:r w:rsidR="00D00958" w:rsidRPr="00BF33C6">
              <w:rPr>
                <w:rFonts w:ascii="Times New Roman" w:hAnsi="Times New Roman" w:cs="Times New Roman"/>
                <w:sz w:val="24"/>
                <w:szCs w:val="24"/>
              </w:rPr>
              <w:t> </w:t>
            </w:r>
            <w:r w:rsidR="00B170C2" w:rsidRPr="00BF33C6">
              <w:rPr>
                <w:rFonts w:ascii="Times New Roman" w:hAnsi="Times New Roman" w:cs="Times New Roman"/>
                <w:sz w:val="24"/>
                <w:szCs w:val="24"/>
              </w:rPr>
              <w:t>–</w:t>
            </w:r>
            <w:r w:rsidR="00D00958" w:rsidRPr="00BF33C6">
              <w:rPr>
                <w:rFonts w:ascii="Times New Roman" w:hAnsi="Times New Roman" w:cs="Times New Roman"/>
                <w:sz w:val="24"/>
                <w:szCs w:val="24"/>
              </w:rPr>
              <w:t> </w:t>
            </w:r>
            <w:r w:rsidR="00B170C2" w:rsidRPr="00BF33C6">
              <w:rPr>
                <w:rFonts w:ascii="Times New Roman" w:hAnsi="Times New Roman" w:cs="Times New Roman"/>
                <w:sz w:val="24"/>
                <w:szCs w:val="24"/>
              </w:rPr>
              <w:t>līdz šim persona varēja sākt pildīt šos pienākumus vispār bez</w:t>
            </w:r>
            <w:r w:rsidR="00BE6B7D" w:rsidRPr="00BF33C6">
              <w:rPr>
                <w:rFonts w:ascii="Times New Roman" w:hAnsi="Times New Roman" w:cs="Times New Roman"/>
                <w:sz w:val="24"/>
                <w:szCs w:val="24"/>
              </w:rPr>
              <w:t xml:space="preserve"> iepriekšējas</w:t>
            </w:r>
            <w:r w:rsidR="00B170C2" w:rsidRPr="00BF33C6">
              <w:rPr>
                <w:rFonts w:ascii="Times New Roman" w:hAnsi="Times New Roman" w:cs="Times New Roman"/>
                <w:sz w:val="24"/>
                <w:szCs w:val="24"/>
              </w:rPr>
              <w:t xml:space="preserve"> pieredzes vairumtirdzniecībā, kas</w:t>
            </w:r>
            <w:r w:rsidR="00C83C65" w:rsidRPr="00BF33C6">
              <w:rPr>
                <w:rFonts w:ascii="Times New Roman" w:hAnsi="Times New Roman" w:cs="Times New Roman"/>
                <w:sz w:val="24"/>
                <w:szCs w:val="24"/>
              </w:rPr>
              <w:t xml:space="preserve"> turpmāk</w:t>
            </w:r>
            <w:r w:rsidR="00B170C2" w:rsidRPr="00BF33C6">
              <w:rPr>
                <w:rFonts w:ascii="Times New Roman" w:hAnsi="Times New Roman" w:cs="Times New Roman"/>
                <w:sz w:val="24"/>
                <w:szCs w:val="24"/>
              </w:rPr>
              <w:t xml:space="preserve"> </w:t>
            </w:r>
            <w:r w:rsidR="00C83C65" w:rsidRPr="00BF33C6">
              <w:rPr>
                <w:rFonts w:ascii="Times New Roman" w:hAnsi="Times New Roman" w:cs="Times New Roman"/>
                <w:sz w:val="24"/>
                <w:szCs w:val="24"/>
              </w:rPr>
              <w:t>nebūtu pieļaujams</w:t>
            </w:r>
            <w:r w:rsidR="00AE0085" w:rsidRPr="00BF33C6">
              <w:rPr>
                <w:rFonts w:ascii="Times New Roman" w:hAnsi="Times New Roman" w:cs="Times New Roman"/>
                <w:sz w:val="24"/>
                <w:szCs w:val="24"/>
              </w:rPr>
              <w:t>, jo atbildīgā amatpersona ir vadošais darbinieks, kas ir atbildīgs par normatīvo aktu un zāļu labas izplatīšanas prakses pamatnostādņu ievērošanu zāļu lieltirgotavā</w:t>
            </w:r>
            <w:r w:rsidR="00C83C65" w:rsidRPr="00BF33C6">
              <w:rPr>
                <w:rFonts w:ascii="Times New Roman" w:hAnsi="Times New Roman" w:cs="Times New Roman"/>
                <w:sz w:val="24"/>
                <w:szCs w:val="24"/>
              </w:rPr>
              <w:t>.</w:t>
            </w:r>
            <w:r w:rsidR="00C33C09" w:rsidRPr="00BF33C6">
              <w:rPr>
                <w:rFonts w:ascii="Times New Roman" w:hAnsi="Times New Roman" w:cs="Times New Roman"/>
                <w:sz w:val="24"/>
                <w:szCs w:val="24"/>
              </w:rPr>
              <w:t xml:space="preserve"> Tāpat šādas pašas prasības ir attiecināmas arī uz atbildīgās amatpersonas aizvietotāju, jo tās pienākumi un atbildība neatšķiras no atbildīgās amatpersonas pienākumiem un atbildības.</w:t>
            </w:r>
          </w:p>
          <w:p w14:paraId="6B4BB42B" w14:textId="77777777" w:rsidR="007C1D2F" w:rsidRPr="00BF33C6" w:rsidRDefault="007C1D2F" w:rsidP="00E27E19">
            <w:pPr>
              <w:spacing w:after="0" w:line="240" w:lineRule="auto"/>
              <w:jc w:val="both"/>
              <w:rPr>
                <w:rFonts w:ascii="Times New Roman" w:hAnsi="Times New Roman" w:cs="Times New Roman"/>
                <w:sz w:val="24"/>
                <w:szCs w:val="24"/>
              </w:rPr>
            </w:pPr>
          </w:p>
          <w:p w14:paraId="524BC7BC" w14:textId="5A32F7B0" w:rsidR="00CB2B1F" w:rsidRPr="00BF33C6" w:rsidRDefault="00CB2B1F"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Lai spētu uzraudzīt atlikušos zāļu krājumus visas Latvijas mērogā</w:t>
            </w:r>
            <w:r w:rsidR="00FF699D" w:rsidRPr="00BF33C6">
              <w:rPr>
                <w:rFonts w:ascii="Times New Roman" w:hAnsi="Times New Roman" w:cs="Times New Roman"/>
                <w:sz w:val="24"/>
                <w:szCs w:val="24"/>
              </w:rPr>
              <w:t xml:space="preserve">, </w:t>
            </w:r>
            <w:r w:rsidRPr="00BF33C6">
              <w:rPr>
                <w:rFonts w:ascii="Times New Roman" w:hAnsi="Times New Roman" w:cs="Times New Roman"/>
                <w:sz w:val="24"/>
                <w:szCs w:val="24"/>
              </w:rPr>
              <w:t>laicīg</w:t>
            </w:r>
            <w:r w:rsidR="00FB0D1F" w:rsidRPr="00BF33C6">
              <w:rPr>
                <w:rFonts w:ascii="Times New Roman" w:hAnsi="Times New Roman" w:cs="Times New Roman"/>
                <w:sz w:val="24"/>
                <w:szCs w:val="24"/>
              </w:rPr>
              <w:t>i</w:t>
            </w:r>
            <w:r w:rsidRPr="00BF33C6">
              <w:rPr>
                <w:rFonts w:ascii="Times New Roman" w:hAnsi="Times New Roman" w:cs="Times New Roman"/>
                <w:sz w:val="24"/>
                <w:szCs w:val="24"/>
              </w:rPr>
              <w:t xml:space="preserve"> varētu konstatēt zāļu nepieejamības riskus</w:t>
            </w:r>
            <w:r w:rsidR="008B3839" w:rsidRPr="00BF33C6">
              <w:rPr>
                <w:rFonts w:ascii="Times New Roman" w:hAnsi="Times New Roman" w:cs="Times New Roman"/>
                <w:sz w:val="24"/>
                <w:szCs w:val="24"/>
              </w:rPr>
              <w:t>,</w:t>
            </w:r>
            <w:r w:rsidR="00260305" w:rsidRPr="00BF33C6">
              <w:rPr>
                <w:rFonts w:ascii="Times New Roman" w:hAnsi="Times New Roman" w:cs="Times New Roman"/>
                <w:sz w:val="24"/>
                <w:szCs w:val="24"/>
              </w:rPr>
              <w:t xml:space="preserve"> kontrolēt zāļu krājumu un izvešanas riska balansu,</w:t>
            </w:r>
            <w:r w:rsidR="008B3839" w:rsidRPr="00BF33C6">
              <w:rPr>
                <w:rFonts w:ascii="Times New Roman" w:hAnsi="Times New Roman" w:cs="Times New Roman"/>
                <w:sz w:val="24"/>
                <w:szCs w:val="24"/>
              </w:rPr>
              <w:t xml:space="preserve"> kā arī novērst zāļu mākslīgās nepieejamības situācijas</w:t>
            </w:r>
            <w:r w:rsidRPr="00BF33C6">
              <w:rPr>
                <w:rFonts w:ascii="Times New Roman" w:hAnsi="Times New Roman" w:cs="Times New Roman"/>
                <w:sz w:val="24"/>
                <w:szCs w:val="24"/>
              </w:rPr>
              <w:t xml:space="preserve">, </w:t>
            </w:r>
            <w:r w:rsidR="00C43F81" w:rsidRPr="00BF33C6">
              <w:rPr>
                <w:rFonts w:ascii="Times New Roman" w:hAnsi="Times New Roman" w:cs="Times New Roman"/>
                <w:sz w:val="24"/>
                <w:szCs w:val="24"/>
              </w:rPr>
              <w:t xml:space="preserve">Zāļu valsts </w:t>
            </w:r>
            <w:r w:rsidRPr="00BF33C6">
              <w:rPr>
                <w:rFonts w:ascii="Times New Roman" w:hAnsi="Times New Roman" w:cs="Times New Roman"/>
                <w:sz w:val="24"/>
                <w:szCs w:val="24"/>
              </w:rPr>
              <w:t>aģentūrai ir nepieciešams regulāri iegūt informāciju par atlikušajiem krājumiem</w:t>
            </w:r>
            <w:r w:rsidR="00FB0D1F" w:rsidRPr="00BF33C6">
              <w:rPr>
                <w:rFonts w:ascii="Times New Roman" w:hAnsi="Times New Roman" w:cs="Times New Roman"/>
                <w:sz w:val="24"/>
                <w:szCs w:val="24"/>
              </w:rPr>
              <w:t xml:space="preserve"> pie zāļu vairumtirgotāja</w:t>
            </w:r>
            <w:r w:rsidR="001C0477" w:rsidRPr="00BF33C6">
              <w:rPr>
                <w:rFonts w:ascii="Times New Roman" w:hAnsi="Times New Roman" w:cs="Times New Roman"/>
                <w:sz w:val="24"/>
                <w:szCs w:val="24"/>
              </w:rPr>
              <w:t>.</w:t>
            </w:r>
            <w:r w:rsidR="00114072" w:rsidRPr="00BF33C6">
              <w:rPr>
                <w:rFonts w:ascii="Times New Roman" w:hAnsi="Times New Roman" w:cs="Times New Roman"/>
                <w:sz w:val="24"/>
                <w:szCs w:val="24"/>
              </w:rPr>
              <w:t xml:space="preserve"> Tādēļ ir nepieciešams noteikt, ka </w:t>
            </w:r>
            <w:r w:rsidR="00FB0D1F" w:rsidRPr="00BF33C6">
              <w:rPr>
                <w:rFonts w:ascii="Times New Roman" w:hAnsi="Times New Roman" w:cs="Times New Roman"/>
                <w:sz w:val="24"/>
                <w:szCs w:val="24"/>
              </w:rPr>
              <w:t>zāļu vairumtirgotājs</w:t>
            </w:r>
            <w:r w:rsidR="00114072" w:rsidRPr="00BF33C6">
              <w:rPr>
                <w:rFonts w:ascii="Times New Roman" w:hAnsi="Times New Roman" w:cs="Times New Roman"/>
                <w:sz w:val="24"/>
                <w:szCs w:val="24"/>
              </w:rPr>
              <w:t xml:space="preserve"> </w:t>
            </w:r>
            <w:r w:rsidR="00721C12" w:rsidRPr="00BF33C6">
              <w:rPr>
                <w:rFonts w:ascii="Times New Roman" w:hAnsi="Times New Roman" w:cs="Times New Roman"/>
                <w:sz w:val="24"/>
                <w:szCs w:val="24"/>
              </w:rPr>
              <w:t>katru darba dienu</w:t>
            </w:r>
            <w:r w:rsidR="00114072" w:rsidRPr="00BF33C6">
              <w:rPr>
                <w:rFonts w:ascii="Times New Roman" w:hAnsi="Times New Roman" w:cs="Times New Roman"/>
                <w:sz w:val="24"/>
                <w:szCs w:val="24"/>
              </w:rPr>
              <w:t xml:space="preserve"> elektroniskā formā sniedz </w:t>
            </w:r>
            <w:r w:rsidR="00C43F81" w:rsidRPr="00BF33C6">
              <w:rPr>
                <w:rFonts w:ascii="Times New Roman" w:hAnsi="Times New Roman" w:cs="Times New Roman"/>
                <w:sz w:val="24"/>
                <w:szCs w:val="24"/>
              </w:rPr>
              <w:t xml:space="preserve">Zāļu valsts </w:t>
            </w:r>
            <w:r w:rsidR="00114072" w:rsidRPr="00BF33C6">
              <w:rPr>
                <w:rFonts w:ascii="Times New Roman" w:hAnsi="Times New Roman" w:cs="Times New Roman"/>
                <w:sz w:val="24"/>
                <w:szCs w:val="24"/>
              </w:rPr>
              <w:t>aģentūrai informāciju par atlikušajiem zāļu krājumiem</w:t>
            </w:r>
            <w:r w:rsidR="008B3839" w:rsidRPr="00BF33C6">
              <w:rPr>
                <w:rFonts w:ascii="Times New Roman" w:hAnsi="Times New Roman" w:cs="Times New Roman"/>
                <w:sz w:val="24"/>
                <w:szCs w:val="24"/>
              </w:rPr>
              <w:t>, un Zāļu valsts aģentūra publicē šo informāciju savā tīmekļa vietnē</w:t>
            </w:r>
            <w:r w:rsidR="00114072" w:rsidRPr="00BF33C6">
              <w:rPr>
                <w:rFonts w:ascii="Times New Roman" w:hAnsi="Times New Roman" w:cs="Times New Roman"/>
                <w:sz w:val="24"/>
                <w:szCs w:val="24"/>
              </w:rPr>
              <w:t>.</w:t>
            </w:r>
            <w:r w:rsidR="001C0477" w:rsidRPr="00BF33C6">
              <w:rPr>
                <w:rFonts w:ascii="Times New Roman" w:hAnsi="Times New Roman" w:cs="Times New Roman"/>
                <w:sz w:val="24"/>
                <w:szCs w:val="24"/>
              </w:rPr>
              <w:t xml:space="preserve"> </w:t>
            </w:r>
            <w:r w:rsidR="00C43F81" w:rsidRPr="00BF33C6">
              <w:rPr>
                <w:rFonts w:ascii="Times New Roman" w:hAnsi="Times New Roman" w:cs="Times New Roman"/>
                <w:sz w:val="24"/>
                <w:szCs w:val="24"/>
              </w:rPr>
              <w:t>Zāļu vairumtirgotājam</w:t>
            </w:r>
            <w:r w:rsidR="001C0477" w:rsidRPr="00BF33C6">
              <w:rPr>
                <w:rFonts w:ascii="Times New Roman" w:hAnsi="Times New Roman" w:cs="Times New Roman"/>
                <w:sz w:val="24"/>
                <w:szCs w:val="24"/>
              </w:rPr>
              <w:t xml:space="preserve"> šī informācija jau ir to rīcībā, un būs nepieciešams veikt tehniskas darbības, lai šo informāciju iegūtu arī aģentūra</w:t>
            </w:r>
            <w:r w:rsidR="00B7327D" w:rsidRPr="00BF33C6">
              <w:rPr>
                <w:rFonts w:ascii="Times New Roman" w:hAnsi="Times New Roman" w:cs="Times New Roman"/>
                <w:sz w:val="24"/>
                <w:szCs w:val="24"/>
              </w:rPr>
              <w:t xml:space="preserve"> (</w:t>
            </w:r>
            <w:r w:rsidR="00417606" w:rsidRPr="00BF33C6">
              <w:rPr>
                <w:rFonts w:ascii="Times New Roman" w:hAnsi="Times New Roman" w:cs="Times New Roman"/>
                <w:sz w:val="24"/>
                <w:szCs w:val="24"/>
              </w:rPr>
              <w:t>projekta 1</w:t>
            </w:r>
            <w:r w:rsidR="00653BA2" w:rsidRPr="00BF33C6">
              <w:rPr>
                <w:rFonts w:ascii="Times New Roman" w:hAnsi="Times New Roman" w:cs="Times New Roman"/>
                <w:sz w:val="24"/>
                <w:szCs w:val="24"/>
              </w:rPr>
              <w:t>4</w:t>
            </w:r>
            <w:r w:rsidR="00417606" w:rsidRPr="00BF33C6">
              <w:rPr>
                <w:rFonts w:ascii="Times New Roman" w:hAnsi="Times New Roman" w:cs="Times New Roman"/>
                <w:sz w:val="24"/>
                <w:szCs w:val="24"/>
              </w:rPr>
              <w:t xml:space="preserve">. punkts  attiecībā uz MK </w:t>
            </w:r>
            <w:r w:rsidR="006B5AFD" w:rsidRPr="00BF33C6">
              <w:rPr>
                <w:rFonts w:ascii="Times New Roman" w:hAnsi="Times New Roman" w:cs="Times New Roman"/>
                <w:sz w:val="24"/>
                <w:szCs w:val="24"/>
              </w:rPr>
              <w:t>noteikumu 12.1</w:t>
            </w:r>
            <w:r w:rsidR="00721C12" w:rsidRPr="00BF33C6">
              <w:rPr>
                <w:rFonts w:ascii="Times New Roman" w:hAnsi="Times New Roman" w:cs="Times New Roman"/>
                <w:sz w:val="24"/>
                <w:szCs w:val="24"/>
              </w:rPr>
              <w:t>8</w:t>
            </w:r>
            <w:r w:rsidR="006B5AFD" w:rsidRPr="00BF33C6">
              <w:rPr>
                <w:rFonts w:ascii="Times New Roman" w:hAnsi="Times New Roman" w:cs="Times New Roman"/>
                <w:sz w:val="24"/>
                <w:szCs w:val="24"/>
              </w:rPr>
              <w:t>.</w:t>
            </w:r>
            <w:r w:rsidR="00417606" w:rsidRPr="00BF33C6">
              <w:rPr>
                <w:rFonts w:ascii="Times New Roman" w:hAnsi="Times New Roman" w:cs="Times New Roman"/>
                <w:sz w:val="24"/>
                <w:szCs w:val="24"/>
              </w:rPr>
              <w:t> </w:t>
            </w:r>
            <w:r w:rsidR="008469E6" w:rsidRPr="00BF33C6">
              <w:rPr>
                <w:rFonts w:ascii="Times New Roman" w:hAnsi="Times New Roman" w:cs="Times New Roman"/>
                <w:sz w:val="24"/>
                <w:szCs w:val="24"/>
              </w:rPr>
              <w:t>apakšpunkts</w:t>
            </w:r>
            <w:r w:rsidR="00B7327D" w:rsidRPr="00BF33C6">
              <w:rPr>
                <w:rFonts w:ascii="Times New Roman" w:hAnsi="Times New Roman" w:cs="Times New Roman"/>
                <w:sz w:val="24"/>
                <w:szCs w:val="24"/>
              </w:rPr>
              <w:t>)</w:t>
            </w:r>
            <w:r w:rsidR="0009492E" w:rsidRPr="00BF33C6">
              <w:rPr>
                <w:rFonts w:ascii="Times New Roman" w:hAnsi="Times New Roman" w:cs="Times New Roman"/>
                <w:sz w:val="24"/>
                <w:szCs w:val="24"/>
              </w:rPr>
              <w:t>, šai normai paredzēts pārejas periods līdz 2021. gada 1. janvārim (projekta 71. punkts).</w:t>
            </w:r>
          </w:p>
          <w:p w14:paraId="403A69B6" w14:textId="77777777" w:rsidR="00F66CD0" w:rsidRPr="00BF33C6" w:rsidRDefault="00F66CD0" w:rsidP="00E27E19">
            <w:pPr>
              <w:spacing w:after="0" w:line="240" w:lineRule="auto"/>
              <w:jc w:val="both"/>
              <w:rPr>
                <w:rFonts w:ascii="Times New Roman" w:hAnsi="Times New Roman" w:cs="Times New Roman"/>
                <w:sz w:val="24"/>
                <w:szCs w:val="24"/>
              </w:rPr>
            </w:pPr>
          </w:p>
          <w:p w14:paraId="7658480E" w14:textId="2194C348" w:rsidR="00A46E99" w:rsidRPr="00BF33C6" w:rsidRDefault="00A46E99"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Lai nedublētu Ministru kabineta 2018.</w:t>
            </w:r>
            <w:r w:rsidR="0046383B" w:rsidRPr="00BF33C6">
              <w:rPr>
                <w:rFonts w:ascii="Times New Roman" w:hAnsi="Times New Roman" w:cs="Times New Roman"/>
                <w:sz w:val="24"/>
                <w:szCs w:val="24"/>
              </w:rPr>
              <w:t> </w:t>
            </w:r>
            <w:r w:rsidRPr="00BF33C6">
              <w:rPr>
                <w:rFonts w:ascii="Times New Roman" w:hAnsi="Times New Roman" w:cs="Times New Roman"/>
                <w:sz w:val="24"/>
                <w:szCs w:val="24"/>
              </w:rPr>
              <w:t>gada 27.</w:t>
            </w:r>
            <w:r w:rsidR="0046383B" w:rsidRPr="00BF33C6">
              <w:rPr>
                <w:rFonts w:ascii="Times New Roman" w:hAnsi="Times New Roman" w:cs="Times New Roman"/>
                <w:sz w:val="24"/>
                <w:szCs w:val="24"/>
              </w:rPr>
              <w:t> </w:t>
            </w:r>
            <w:r w:rsidRPr="00BF33C6">
              <w:rPr>
                <w:rFonts w:ascii="Times New Roman" w:hAnsi="Times New Roman" w:cs="Times New Roman"/>
                <w:sz w:val="24"/>
                <w:szCs w:val="24"/>
              </w:rPr>
              <w:t>novembra noteikumu Nr.</w:t>
            </w:r>
            <w:r w:rsidR="0046383B" w:rsidRPr="00BF33C6">
              <w:rPr>
                <w:rFonts w:ascii="Times New Roman" w:hAnsi="Times New Roman" w:cs="Times New Roman"/>
                <w:sz w:val="24"/>
                <w:szCs w:val="24"/>
              </w:rPr>
              <w:t> </w:t>
            </w:r>
            <w:r w:rsidRPr="00BF33C6">
              <w:rPr>
                <w:rFonts w:ascii="Times New Roman" w:hAnsi="Times New Roman" w:cs="Times New Roman"/>
                <w:sz w:val="24"/>
                <w:szCs w:val="24"/>
              </w:rPr>
              <w:t>720 "Noteikumi par oficiālās statistikas veidlapu paraugiem veselības aprūpes jomā” normas, nepieciešams svītrot noteikumu 19. un 19.</w:t>
            </w:r>
            <w:r w:rsidRPr="00BF33C6">
              <w:rPr>
                <w:rFonts w:ascii="Times New Roman" w:hAnsi="Times New Roman" w:cs="Times New Roman"/>
                <w:sz w:val="24"/>
                <w:szCs w:val="24"/>
                <w:vertAlign w:val="superscript"/>
              </w:rPr>
              <w:t>1</w:t>
            </w:r>
            <w:r w:rsidR="0046383B" w:rsidRPr="00BF33C6">
              <w:rPr>
                <w:rFonts w:ascii="Times New Roman" w:hAnsi="Times New Roman" w:cs="Times New Roman"/>
                <w:sz w:val="24"/>
                <w:szCs w:val="24"/>
              </w:rPr>
              <w:t> </w:t>
            </w:r>
            <w:r w:rsidRPr="00BF33C6">
              <w:rPr>
                <w:rFonts w:ascii="Times New Roman" w:hAnsi="Times New Roman" w:cs="Times New Roman"/>
                <w:sz w:val="24"/>
                <w:szCs w:val="24"/>
              </w:rPr>
              <w:t>punktu.</w:t>
            </w:r>
            <w:r w:rsidR="009A6E39" w:rsidRPr="00BF33C6">
              <w:rPr>
                <w:rFonts w:ascii="Times New Roman" w:hAnsi="Times New Roman" w:cs="Times New Roman"/>
                <w:sz w:val="24"/>
                <w:szCs w:val="24"/>
              </w:rPr>
              <w:t xml:space="preserve"> (projekta 1</w:t>
            </w:r>
            <w:r w:rsidR="0009492E" w:rsidRPr="00BF33C6">
              <w:rPr>
                <w:rFonts w:ascii="Times New Roman" w:hAnsi="Times New Roman" w:cs="Times New Roman"/>
                <w:sz w:val="24"/>
                <w:szCs w:val="24"/>
              </w:rPr>
              <w:t>7</w:t>
            </w:r>
            <w:r w:rsidR="009A6E39" w:rsidRPr="00BF33C6">
              <w:rPr>
                <w:rFonts w:ascii="Times New Roman" w:hAnsi="Times New Roman" w:cs="Times New Roman"/>
                <w:sz w:val="24"/>
                <w:szCs w:val="24"/>
              </w:rPr>
              <w:t>. punkts).</w:t>
            </w:r>
          </w:p>
          <w:p w14:paraId="1580F5CC" w14:textId="77777777" w:rsidR="007F5626" w:rsidRPr="00BF33C6" w:rsidRDefault="007F5626" w:rsidP="00E27E19">
            <w:pPr>
              <w:spacing w:after="0" w:line="240" w:lineRule="auto"/>
              <w:jc w:val="both"/>
              <w:rPr>
                <w:rFonts w:ascii="Times New Roman" w:hAnsi="Times New Roman" w:cs="Times New Roman"/>
                <w:sz w:val="24"/>
                <w:szCs w:val="24"/>
              </w:rPr>
            </w:pPr>
          </w:p>
          <w:p w14:paraId="06F5A33A" w14:textId="7A2B2E9A" w:rsidR="002F5262" w:rsidRPr="00BF33C6" w:rsidRDefault="00B5166E" w:rsidP="002F5262">
            <w:pPr>
              <w:jc w:val="both"/>
              <w:rPr>
                <w:rFonts w:ascii="Times New Roman" w:hAnsi="Times New Roman" w:cs="Times New Roman"/>
                <w:sz w:val="24"/>
                <w:szCs w:val="24"/>
              </w:rPr>
            </w:pPr>
            <w:r w:rsidRPr="00BF33C6">
              <w:rPr>
                <w:rFonts w:ascii="Times New Roman" w:hAnsi="Times New Roman" w:cs="Times New Roman"/>
                <w:sz w:val="24"/>
                <w:szCs w:val="24"/>
              </w:rPr>
              <w:t>Lai mazinātu risku, ka pacientiem Latvijā pietrūkst kompensējamās zāles dēļ tā, ka pēc šo zāļu ievešanas vai importēšanas tiek veikts šo zāļu eksports</w:t>
            </w:r>
            <w:r w:rsidR="00BD0DC9" w:rsidRPr="00BF33C6">
              <w:rPr>
                <w:rFonts w:ascii="Times New Roman" w:hAnsi="Times New Roman" w:cs="Times New Roman"/>
                <w:sz w:val="24"/>
                <w:szCs w:val="24"/>
              </w:rPr>
              <w:t xml:space="preserve"> uz trešajām valstīm</w:t>
            </w:r>
            <w:r w:rsidRPr="00BF33C6">
              <w:rPr>
                <w:rFonts w:ascii="Times New Roman" w:hAnsi="Times New Roman" w:cs="Times New Roman"/>
                <w:sz w:val="24"/>
                <w:szCs w:val="24"/>
              </w:rPr>
              <w:t xml:space="preserve"> vai </w:t>
            </w:r>
            <w:r w:rsidR="00BD0DC9" w:rsidRPr="00BF33C6">
              <w:rPr>
                <w:rFonts w:ascii="Times New Roman" w:hAnsi="Times New Roman" w:cs="Times New Roman"/>
                <w:sz w:val="24"/>
                <w:szCs w:val="24"/>
              </w:rPr>
              <w:t xml:space="preserve">piegāde uz citām Eiropas Savienības dalībvalstīm un Eiropas Ekonomiskās zonas valstīm (turpmāk - </w:t>
            </w:r>
            <w:r w:rsidRPr="00BF33C6">
              <w:rPr>
                <w:rFonts w:ascii="Times New Roman" w:hAnsi="Times New Roman" w:cs="Times New Roman"/>
                <w:sz w:val="24"/>
                <w:szCs w:val="24"/>
              </w:rPr>
              <w:t>izvešana</w:t>
            </w:r>
            <w:r w:rsidR="00BD0DC9" w:rsidRPr="00BF33C6">
              <w:rPr>
                <w:rFonts w:ascii="Times New Roman" w:hAnsi="Times New Roman" w:cs="Times New Roman"/>
                <w:sz w:val="24"/>
                <w:szCs w:val="24"/>
              </w:rPr>
              <w:t>)</w:t>
            </w:r>
            <w:r w:rsidRPr="00BF33C6">
              <w:rPr>
                <w:rFonts w:ascii="Times New Roman" w:hAnsi="Times New Roman" w:cs="Times New Roman"/>
                <w:sz w:val="24"/>
                <w:szCs w:val="24"/>
              </w:rPr>
              <w:t>, ir jāparedz</w:t>
            </w:r>
            <w:r w:rsidR="00BA36A8" w:rsidRPr="00BF33C6">
              <w:rPr>
                <w:rFonts w:ascii="Times New Roman" w:hAnsi="Times New Roman" w:cs="Times New Roman"/>
                <w:sz w:val="24"/>
                <w:szCs w:val="24"/>
              </w:rPr>
              <w:t xml:space="preserve"> zāļu </w:t>
            </w:r>
            <w:r w:rsidR="002B2DD6">
              <w:rPr>
                <w:rFonts w:ascii="Times New Roman" w:hAnsi="Times New Roman" w:cs="Times New Roman"/>
                <w:sz w:val="24"/>
                <w:szCs w:val="24"/>
              </w:rPr>
              <w:t>izvešanas</w:t>
            </w:r>
            <w:r w:rsidR="00BA36A8" w:rsidRPr="00BF33C6">
              <w:rPr>
                <w:rFonts w:ascii="Times New Roman" w:hAnsi="Times New Roman" w:cs="Times New Roman"/>
                <w:sz w:val="24"/>
                <w:szCs w:val="24"/>
              </w:rPr>
              <w:t xml:space="preserve"> kontroles un ierobežošanas</w:t>
            </w:r>
            <w:r w:rsidRPr="00BF33C6">
              <w:rPr>
                <w:rFonts w:ascii="Times New Roman" w:hAnsi="Times New Roman" w:cs="Times New Roman"/>
                <w:sz w:val="24"/>
                <w:szCs w:val="24"/>
              </w:rPr>
              <w:t xml:space="preserve"> mehānisms</w:t>
            </w:r>
            <w:r w:rsidR="00BA36A8" w:rsidRPr="00BF33C6">
              <w:rPr>
                <w:rFonts w:ascii="Times New Roman" w:hAnsi="Times New Roman" w:cs="Times New Roman"/>
                <w:sz w:val="24"/>
                <w:szCs w:val="24"/>
              </w:rPr>
              <w:t xml:space="preserve">, ja zāļu </w:t>
            </w:r>
            <w:r w:rsidR="002B2DD6">
              <w:rPr>
                <w:rFonts w:ascii="Times New Roman" w:hAnsi="Times New Roman" w:cs="Times New Roman"/>
                <w:sz w:val="24"/>
                <w:szCs w:val="24"/>
              </w:rPr>
              <w:t>izvešanu</w:t>
            </w:r>
            <w:r w:rsidR="00BA36A8" w:rsidRPr="00BF33C6">
              <w:rPr>
                <w:rFonts w:ascii="Times New Roman" w:hAnsi="Times New Roman" w:cs="Times New Roman"/>
                <w:sz w:val="24"/>
                <w:szCs w:val="24"/>
              </w:rPr>
              <w:t xml:space="preserve"> izraisa vai palielina zāļu nepieejamības risku Latvijas pacientiem</w:t>
            </w:r>
            <w:r w:rsidR="00045E4E" w:rsidRPr="00BF33C6">
              <w:rPr>
                <w:rFonts w:ascii="Times New Roman" w:hAnsi="Times New Roman" w:cs="Times New Roman"/>
                <w:sz w:val="24"/>
                <w:szCs w:val="24"/>
              </w:rPr>
              <w:t xml:space="preserve">. </w:t>
            </w:r>
            <w:r w:rsidR="002F5262" w:rsidRPr="00BF33C6">
              <w:rPr>
                <w:rFonts w:ascii="Times New Roman" w:hAnsi="Times New Roman" w:cs="Times New Roman"/>
                <w:sz w:val="24"/>
                <w:szCs w:val="24"/>
              </w:rPr>
              <w:t xml:space="preserve">Vairumtirgotājiem ir pienākums apmierināt vietējo pacientu pieprasījumu, bet var </w:t>
            </w:r>
            <w:r w:rsidR="00BD0DC9" w:rsidRPr="00BF33C6">
              <w:rPr>
                <w:rFonts w:ascii="Times New Roman" w:hAnsi="Times New Roman" w:cs="Times New Roman"/>
                <w:sz w:val="24"/>
                <w:szCs w:val="24"/>
              </w:rPr>
              <w:t xml:space="preserve">izvest </w:t>
            </w:r>
            <w:r w:rsidR="002F5262" w:rsidRPr="00BF33C6">
              <w:rPr>
                <w:rFonts w:ascii="Times New Roman" w:hAnsi="Times New Roman" w:cs="Times New Roman"/>
                <w:sz w:val="24"/>
                <w:szCs w:val="24"/>
              </w:rPr>
              <w:t>liekos krājumus.</w:t>
            </w:r>
          </w:p>
          <w:p w14:paraId="1C41CE73" w14:textId="1489C30C" w:rsidR="00B5166E" w:rsidRPr="00BF33C6" w:rsidRDefault="00BA36A8"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 xml:space="preserve">Noteikumu projektā </w:t>
            </w:r>
            <w:r w:rsidR="002B2DD6">
              <w:rPr>
                <w:rFonts w:ascii="Times New Roman" w:hAnsi="Times New Roman" w:cs="Times New Roman"/>
                <w:sz w:val="24"/>
                <w:szCs w:val="24"/>
              </w:rPr>
              <w:t xml:space="preserve">zāļu </w:t>
            </w:r>
            <w:r w:rsidR="00B5166E" w:rsidRPr="00BF33C6">
              <w:rPr>
                <w:rFonts w:ascii="Times New Roman" w:hAnsi="Times New Roman" w:cs="Times New Roman"/>
                <w:sz w:val="24"/>
                <w:szCs w:val="24"/>
              </w:rPr>
              <w:t xml:space="preserve">izvešanas </w:t>
            </w:r>
            <w:r w:rsidRPr="00BF33C6">
              <w:rPr>
                <w:rFonts w:ascii="Times New Roman" w:hAnsi="Times New Roman" w:cs="Times New Roman"/>
                <w:sz w:val="24"/>
                <w:szCs w:val="24"/>
              </w:rPr>
              <w:t xml:space="preserve">kontrole un nepieciešamības gadījumā ierobežošana </w:t>
            </w:r>
            <w:r w:rsidR="00B5166E" w:rsidRPr="00BF33C6">
              <w:rPr>
                <w:rFonts w:ascii="Times New Roman" w:hAnsi="Times New Roman" w:cs="Times New Roman"/>
                <w:sz w:val="24"/>
                <w:szCs w:val="24"/>
              </w:rPr>
              <w:t>noteikt</w:t>
            </w:r>
            <w:r w:rsidR="002B2DD6">
              <w:rPr>
                <w:rFonts w:ascii="Times New Roman" w:hAnsi="Times New Roman" w:cs="Times New Roman"/>
                <w:sz w:val="24"/>
                <w:szCs w:val="24"/>
              </w:rPr>
              <w:t>a</w:t>
            </w:r>
            <w:r w:rsidR="00B5166E" w:rsidRPr="00BF33C6">
              <w:rPr>
                <w:rFonts w:ascii="Times New Roman" w:hAnsi="Times New Roman" w:cs="Times New Roman"/>
                <w:sz w:val="24"/>
                <w:szCs w:val="24"/>
              </w:rPr>
              <w:t xml:space="preserve"> </w:t>
            </w:r>
            <w:r w:rsidR="00BD0DC9" w:rsidRPr="00BF33C6">
              <w:rPr>
                <w:rFonts w:ascii="Times New Roman" w:hAnsi="Times New Roman" w:cs="Times New Roman"/>
                <w:sz w:val="24"/>
                <w:szCs w:val="24"/>
              </w:rPr>
              <w:t>kompensējamo zāļu sarakstā iekļautā</w:t>
            </w:r>
            <w:r w:rsidRPr="00BF33C6">
              <w:rPr>
                <w:rFonts w:ascii="Times New Roman" w:hAnsi="Times New Roman" w:cs="Times New Roman"/>
                <w:sz w:val="24"/>
                <w:szCs w:val="24"/>
              </w:rPr>
              <w:t>m</w:t>
            </w:r>
            <w:r w:rsidR="00BD0DC9" w:rsidRPr="00BF33C6">
              <w:rPr>
                <w:rFonts w:ascii="Times New Roman" w:hAnsi="Times New Roman" w:cs="Times New Roman"/>
                <w:sz w:val="24"/>
                <w:szCs w:val="24"/>
              </w:rPr>
              <w:t xml:space="preserve"> zāl</w:t>
            </w:r>
            <w:r w:rsidRPr="00BF33C6">
              <w:rPr>
                <w:rFonts w:ascii="Times New Roman" w:hAnsi="Times New Roman" w:cs="Times New Roman"/>
                <w:sz w:val="24"/>
                <w:szCs w:val="24"/>
              </w:rPr>
              <w:t>ēm</w:t>
            </w:r>
            <w:r w:rsidR="008D7D0D" w:rsidRPr="00BF33C6">
              <w:rPr>
                <w:rFonts w:ascii="Times New Roman" w:hAnsi="Times New Roman" w:cs="Times New Roman"/>
                <w:sz w:val="24"/>
                <w:szCs w:val="24"/>
              </w:rPr>
              <w:t xml:space="preserve"> (69 aktīvo vielu starptautiski nepatentētie nosaukumi)</w:t>
            </w:r>
            <w:r w:rsidR="00BD0DC9" w:rsidRPr="00BF33C6">
              <w:rPr>
                <w:rFonts w:ascii="Times New Roman" w:hAnsi="Times New Roman" w:cs="Times New Roman"/>
                <w:sz w:val="24"/>
                <w:szCs w:val="24"/>
              </w:rPr>
              <w:t xml:space="preserve">, par kurām Nacionālais veselības dienests un zāļu ražotājs ir noslēdzis līgumu par finansiālo līdzdalību, </w:t>
            </w:r>
            <w:r w:rsidR="002B2DD6">
              <w:rPr>
                <w:rFonts w:ascii="Times New Roman" w:hAnsi="Times New Roman" w:cs="Times New Roman"/>
                <w:sz w:val="24"/>
                <w:szCs w:val="24"/>
              </w:rPr>
              <w:t>šo zāļu</w:t>
            </w:r>
            <w:r w:rsidR="00BD0DC9" w:rsidRPr="00BF33C6">
              <w:rPr>
                <w:rFonts w:ascii="Times New Roman" w:hAnsi="Times New Roman" w:cs="Times New Roman"/>
                <w:sz w:val="24"/>
                <w:szCs w:val="24"/>
              </w:rPr>
              <w:t xml:space="preserve"> sarakstu veidotu un publiskotu savā tīmekļa vietnē Nacionālais veselības dienests</w:t>
            </w:r>
            <w:r w:rsidRPr="00BF33C6">
              <w:rPr>
                <w:rFonts w:ascii="Times New Roman" w:hAnsi="Times New Roman" w:cs="Times New Roman"/>
                <w:sz w:val="24"/>
                <w:szCs w:val="24"/>
              </w:rPr>
              <w:t>. Zāļu valsts aģentūra</w:t>
            </w:r>
            <w:r w:rsidR="00BD0DC9" w:rsidRPr="00BF33C6">
              <w:rPr>
                <w:rFonts w:ascii="Times New Roman" w:hAnsi="Times New Roman" w:cs="Times New Roman"/>
                <w:sz w:val="24"/>
                <w:szCs w:val="24"/>
              </w:rPr>
              <w:t xml:space="preserve"> katru gadījumu </w:t>
            </w:r>
            <w:r w:rsidR="00BD0DC9" w:rsidRPr="00BF33C6">
              <w:rPr>
                <w:rFonts w:ascii="Times New Roman" w:hAnsi="Times New Roman" w:cs="Times New Roman"/>
                <w:sz w:val="24"/>
                <w:szCs w:val="24"/>
              </w:rPr>
              <w:lastRenderedPageBreak/>
              <w:t>izvērtē</w:t>
            </w:r>
            <w:r w:rsidRPr="00BF33C6">
              <w:rPr>
                <w:rFonts w:ascii="Times New Roman" w:hAnsi="Times New Roman" w:cs="Times New Roman"/>
                <w:sz w:val="24"/>
                <w:szCs w:val="24"/>
              </w:rPr>
              <w:t>tu</w:t>
            </w:r>
            <w:r w:rsidR="00BD0DC9" w:rsidRPr="00BF33C6">
              <w:rPr>
                <w:rFonts w:ascii="Times New Roman" w:hAnsi="Times New Roman" w:cs="Times New Roman"/>
                <w:sz w:val="24"/>
                <w:szCs w:val="24"/>
              </w:rPr>
              <w:t xml:space="preserve"> atsevišķi (</w:t>
            </w:r>
            <w:proofErr w:type="spellStart"/>
            <w:r w:rsidR="00BD0DC9" w:rsidRPr="00BF33C6">
              <w:rPr>
                <w:rFonts w:ascii="Times New Roman" w:hAnsi="Times New Roman" w:cs="Times New Roman"/>
                <w:i/>
                <w:iCs/>
                <w:sz w:val="24"/>
                <w:szCs w:val="24"/>
              </w:rPr>
              <w:t>case-by-case</w:t>
            </w:r>
            <w:proofErr w:type="spellEnd"/>
            <w:r w:rsidR="00BD0DC9" w:rsidRPr="00BF33C6">
              <w:rPr>
                <w:rFonts w:ascii="Times New Roman" w:hAnsi="Times New Roman" w:cs="Times New Roman"/>
                <w:sz w:val="24"/>
                <w:szCs w:val="24"/>
              </w:rPr>
              <w:t xml:space="preserve">) </w:t>
            </w:r>
            <w:r w:rsidR="00B5166E" w:rsidRPr="00BF33C6">
              <w:rPr>
                <w:rFonts w:ascii="Times New Roman" w:hAnsi="Times New Roman" w:cs="Times New Roman"/>
                <w:sz w:val="24"/>
                <w:szCs w:val="24"/>
              </w:rPr>
              <w:t>(projekt</w:t>
            </w:r>
            <w:r w:rsidR="00BD0DC9" w:rsidRPr="00BF33C6">
              <w:rPr>
                <w:rFonts w:ascii="Times New Roman" w:hAnsi="Times New Roman" w:cs="Times New Roman"/>
                <w:sz w:val="24"/>
                <w:szCs w:val="24"/>
              </w:rPr>
              <w:t>a 1</w:t>
            </w:r>
            <w:r w:rsidR="0009492E" w:rsidRPr="00BF33C6">
              <w:rPr>
                <w:rFonts w:ascii="Times New Roman" w:hAnsi="Times New Roman" w:cs="Times New Roman"/>
                <w:sz w:val="24"/>
                <w:szCs w:val="24"/>
              </w:rPr>
              <w:t>8</w:t>
            </w:r>
            <w:r w:rsidR="00BD0DC9" w:rsidRPr="00BF33C6">
              <w:rPr>
                <w:rFonts w:ascii="Times New Roman" w:hAnsi="Times New Roman" w:cs="Times New Roman"/>
                <w:sz w:val="24"/>
                <w:szCs w:val="24"/>
              </w:rPr>
              <w:t xml:space="preserve">. punkts, </w:t>
            </w:r>
            <w:r w:rsidR="00B5166E" w:rsidRPr="00BF33C6">
              <w:rPr>
                <w:rFonts w:ascii="Times New Roman" w:hAnsi="Times New Roman" w:cs="Times New Roman"/>
                <w:sz w:val="24"/>
                <w:szCs w:val="24"/>
              </w:rPr>
              <w:t>paredzēt</w:t>
            </w:r>
            <w:r w:rsidR="00E07CDA" w:rsidRPr="00BF33C6">
              <w:rPr>
                <w:rFonts w:ascii="Times New Roman" w:hAnsi="Times New Roman" w:cs="Times New Roman"/>
                <w:sz w:val="24"/>
                <w:szCs w:val="24"/>
              </w:rPr>
              <w:t xml:space="preserve">ā </w:t>
            </w:r>
            <w:r w:rsidR="007F5626" w:rsidRPr="00BF33C6">
              <w:rPr>
                <w:rFonts w:ascii="Times New Roman" w:hAnsi="Times New Roman" w:cs="Times New Roman"/>
                <w:sz w:val="24"/>
                <w:szCs w:val="24"/>
              </w:rPr>
              <w:t>noteikumu</w:t>
            </w:r>
            <w:r w:rsidR="00B5166E" w:rsidRPr="00BF33C6">
              <w:rPr>
                <w:rFonts w:ascii="Times New Roman" w:hAnsi="Times New Roman" w:cs="Times New Roman"/>
                <w:sz w:val="24"/>
                <w:szCs w:val="24"/>
              </w:rPr>
              <w:t xml:space="preserve"> </w:t>
            </w:r>
            <w:r w:rsidR="00E07CDA" w:rsidRPr="00BF33C6">
              <w:rPr>
                <w:rFonts w:ascii="Times New Roman" w:hAnsi="Times New Roman" w:cs="Times New Roman"/>
                <w:sz w:val="24"/>
                <w:szCs w:val="24"/>
              </w:rPr>
              <w:t>II.</w:t>
            </w:r>
            <w:r w:rsidR="00E07CDA" w:rsidRPr="00BF33C6">
              <w:rPr>
                <w:rFonts w:ascii="Times New Roman" w:hAnsi="Times New Roman" w:cs="Times New Roman"/>
                <w:sz w:val="24"/>
                <w:szCs w:val="24"/>
                <w:vertAlign w:val="superscript"/>
              </w:rPr>
              <w:t>1</w:t>
            </w:r>
            <w:r w:rsidR="005050A2" w:rsidRPr="00BF33C6">
              <w:rPr>
                <w:rFonts w:ascii="Times New Roman" w:hAnsi="Times New Roman" w:cs="Times New Roman"/>
                <w:sz w:val="24"/>
                <w:szCs w:val="24"/>
                <w:vertAlign w:val="superscript"/>
              </w:rPr>
              <w:t> </w:t>
            </w:r>
            <w:r w:rsidR="00E07CDA" w:rsidRPr="00BF33C6">
              <w:rPr>
                <w:rFonts w:ascii="Times New Roman" w:hAnsi="Times New Roman" w:cs="Times New Roman"/>
                <w:sz w:val="24"/>
                <w:szCs w:val="24"/>
              </w:rPr>
              <w:t>nodaļa</w:t>
            </w:r>
            <w:r w:rsidR="00B5166E" w:rsidRPr="00BF33C6">
              <w:rPr>
                <w:rFonts w:ascii="Times New Roman" w:hAnsi="Times New Roman" w:cs="Times New Roman"/>
                <w:sz w:val="24"/>
                <w:szCs w:val="24"/>
              </w:rPr>
              <w:t>).</w:t>
            </w:r>
            <w:r w:rsidR="005050A2" w:rsidRPr="00BF33C6">
              <w:rPr>
                <w:rFonts w:ascii="Times New Roman" w:hAnsi="Times New Roman" w:cs="Times New Roman"/>
                <w:sz w:val="24"/>
                <w:szCs w:val="24"/>
              </w:rPr>
              <w:t xml:space="preserve"> </w:t>
            </w:r>
            <w:r w:rsidR="008B3AE7" w:rsidRPr="00BF33C6">
              <w:rPr>
                <w:rFonts w:ascii="Times New Roman" w:hAnsi="Times New Roman" w:cs="Times New Roman"/>
                <w:sz w:val="24"/>
                <w:szCs w:val="24"/>
              </w:rPr>
              <w:t xml:space="preserve">Vairumtirgotājiem būtu arī pienākums pirms zāļu izvešanas </w:t>
            </w:r>
            <w:r w:rsidR="005050A2" w:rsidRPr="00BF33C6">
              <w:rPr>
                <w:rFonts w:ascii="Times New Roman" w:hAnsi="Times New Roman" w:cs="Times New Roman"/>
                <w:sz w:val="24"/>
                <w:szCs w:val="24"/>
              </w:rPr>
              <w:t>(</w:t>
            </w:r>
            <w:r w:rsidR="008B3AE7" w:rsidRPr="00BF33C6">
              <w:rPr>
                <w:rFonts w:ascii="Times New Roman" w:hAnsi="Times New Roman" w:cs="Times New Roman"/>
                <w:sz w:val="24"/>
                <w:szCs w:val="24"/>
              </w:rPr>
              <w:t>eksporta</w:t>
            </w:r>
            <w:r w:rsidR="005050A2" w:rsidRPr="00BF33C6">
              <w:rPr>
                <w:rFonts w:ascii="Times New Roman" w:hAnsi="Times New Roman" w:cs="Times New Roman"/>
                <w:sz w:val="24"/>
                <w:szCs w:val="24"/>
              </w:rPr>
              <w:t>)</w:t>
            </w:r>
            <w:r w:rsidR="008B3AE7" w:rsidRPr="00BF33C6">
              <w:rPr>
                <w:rFonts w:ascii="Times New Roman" w:hAnsi="Times New Roman" w:cs="Times New Roman"/>
                <w:sz w:val="24"/>
                <w:szCs w:val="24"/>
              </w:rPr>
              <w:t xml:space="preserve"> </w:t>
            </w:r>
            <w:r w:rsidR="00BD0DC9" w:rsidRPr="00BF33C6">
              <w:rPr>
                <w:rFonts w:ascii="Times New Roman" w:hAnsi="Times New Roman" w:cs="Times New Roman"/>
                <w:sz w:val="24"/>
                <w:szCs w:val="24"/>
              </w:rPr>
              <w:t xml:space="preserve">Nacionālā veselības dienesta </w:t>
            </w:r>
            <w:r w:rsidR="008B3AE7" w:rsidRPr="00BF33C6">
              <w:rPr>
                <w:rFonts w:ascii="Times New Roman" w:hAnsi="Times New Roman" w:cs="Times New Roman"/>
                <w:sz w:val="24"/>
                <w:szCs w:val="24"/>
              </w:rPr>
              <w:t xml:space="preserve">tīmekļa vietnē pārbaudīt, vai </w:t>
            </w:r>
            <w:r w:rsidR="00B461E4" w:rsidRPr="00BF33C6">
              <w:rPr>
                <w:rFonts w:ascii="Times New Roman" w:hAnsi="Times New Roman" w:cs="Times New Roman"/>
                <w:sz w:val="24"/>
                <w:szCs w:val="24"/>
              </w:rPr>
              <w:t>šo zāļu gadījumā Nacionālais veselības dienests un zāļu ražotājs ir noslēdzis finansiālās līdzdalības līgumu.</w:t>
            </w:r>
            <w:r w:rsidR="00E07CDA" w:rsidRPr="00BF33C6">
              <w:rPr>
                <w:rFonts w:ascii="Times New Roman" w:hAnsi="Times New Roman" w:cs="Times New Roman"/>
                <w:sz w:val="24"/>
                <w:szCs w:val="24"/>
              </w:rPr>
              <w:t xml:space="preserve"> </w:t>
            </w:r>
            <w:r w:rsidR="00B461E4" w:rsidRPr="00BF33C6">
              <w:rPr>
                <w:rFonts w:ascii="Times New Roman" w:hAnsi="Times New Roman" w:cs="Times New Roman"/>
                <w:sz w:val="24"/>
                <w:szCs w:val="24"/>
              </w:rPr>
              <w:t>J</w:t>
            </w:r>
            <w:r w:rsidR="00E07CDA" w:rsidRPr="00BF33C6">
              <w:rPr>
                <w:rFonts w:ascii="Times New Roman" w:hAnsi="Times New Roman" w:cs="Times New Roman"/>
                <w:sz w:val="24"/>
                <w:szCs w:val="24"/>
              </w:rPr>
              <w:t>a</w:t>
            </w:r>
            <w:r w:rsidR="005050A2" w:rsidRPr="00BF33C6">
              <w:rPr>
                <w:rFonts w:ascii="Times New Roman" w:hAnsi="Times New Roman" w:cs="Times New Roman"/>
                <w:sz w:val="24"/>
                <w:szCs w:val="24"/>
              </w:rPr>
              <w:t xml:space="preserve"> jā,</w:t>
            </w:r>
            <w:r w:rsidR="00E07CDA" w:rsidRPr="00BF33C6">
              <w:rPr>
                <w:rFonts w:ascii="Times New Roman" w:hAnsi="Times New Roman" w:cs="Times New Roman"/>
                <w:sz w:val="24"/>
                <w:szCs w:val="24"/>
              </w:rPr>
              <w:t xml:space="preserve"> </w:t>
            </w:r>
            <w:r w:rsidR="00B461E4" w:rsidRPr="00BF33C6">
              <w:rPr>
                <w:rFonts w:ascii="Times New Roman" w:hAnsi="Times New Roman" w:cs="Times New Roman"/>
                <w:sz w:val="24"/>
                <w:szCs w:val="24"/>
              </w:rPr>
              <w:t xml:space="preserve">vairumtirgotājam jāiesniedz </w:t>
            </w:r>
            <w:r w:rsidR="00E07CDA" w:rsidRPr="00BF33C6">
              <w:rPr>
                <w:rFonts w:ascii="Times New Roman" w:hAnsi="Times New Roman" w:cs="Times New Roman"/>
                <w:sz w:val="24"/>
                <w:szCs w:val="24"/>
              </w:rPr>
              <w:t>Zāļu valsts aģentūrā paziņojum</w:t>
            </w:r>
            <w:r w:rsidR="00B461E4" w:rsidRPr="00BF33C6">
              <w:rPr>
                <w:rFonts w:ascii="Times New Roman" w:hAnsi="Times New Roman" w:cs="Times New Roman"/>
                <w:sz w:val="24"/>
                <w:szCs w:val="24"/>
              </w:rPr>
              <w:t>s</w:t>
            </w:r>
            <w:r w:rsidR="00E07CDA" w:rsidRPr="00BF33C6">
              <w:rPr>
                <w:rFonts w:ascii="Times New Roman" w:hAnsi="Times New Roman" w:cs="Times New Roman"/>
                <w:sz w:val="24"/>
                <w:szCs w:val="24"/>
              </w:rPr>
              <w:t xml:space="preserve"> </w:t>
            </w:r>
            <w:r w:rsidR="005050A2" w:rsidRPr="00BF33C6">
              <w:rPr>
                <w:rFonts w:ascii="Times New Roman" w:hAnsi="Times New Roman" w:cs="Times New Roman"/>
                <w:sz w:val="24"/>
                <w:szCs w:val="24"/>
              </w:rPr>
              <w:t xml:space="preserve">par paredzēto izvešanu (eksportu) </w:t>
            </w:r>
            <w:r w:rsidR="00E07CDA" w:rsidRPr="00BF33C6">
              <w:rPr>
                <w:rFonts w:ascii="Times New Roman" w:hAnsi="Times New Roman" w:cs="Times New Roman"/>
                <w:sz w:val="24"/>
                <w:szCs w:val="24"/>
              </w:rPr>
              <w:t xml:space="preserve">vismaz </w:t>
            </w:r>
            <w:r w:rsidR="00A25173" w:rsidRPr="00BF33C6">
              <w:rPr>
                <w:rFonts w:ascii="Times New Roman" w:hAnsi="Times New Roman" w:cs="Times New Roman"/>
                <w:sz w:val="24"/>
                <w:szCs w:val="24"/>
              </w:rPr>
              <w:t>7</w:t>
            </w:r>
            <w:r w:rsidR="00E07CDA" w:rsidRPr="00BF33C6">
              <w:rPr>
                <w:rFonts w:ascii="Times New Roman" w:hAnsi="Times New Roman" w:cs="Times New Roman"/>
                <w:sz w:val="24"/>
                <w:szCs w:val="24"/>
              </w:rPr>
              <w:t xml:space="preserve"> </w:t>
            </w:r>
            <w:r w:rsidR="00A25173" w:rsidRPr="00BF33C6">
              <w:rPr>
                <w:rFonts w:ascii="Times New Roman" w:hAnsi="Times New Roman" w:cs="Times New Roman"/>
                <w:sz w:val="24"/>
                <w:szCs w:val="24"/>
              </w:rPr>
              <w:t xml:space="preserve">darba </w:t>
            </w:r>
            <w:r w:rsidR="00E07CDA" w:rsidRPr="00BF33C6">
              <w:rPr>
                <w:rFonts w:ascii="Times New Roman" w:hAnsi="Times New Roman" w:cs="Times New Roman"/>
                <w:sz w:val="24"/>
                <w:szCs w:val="24"/>
              </w:rPr>
              <w:t>dien</w:t>
            </w:r>
            <w:r w:rsidR="00B461E4" w:rsidRPr="00BF33C6">
              <w:rPr>
                <w:rFonts w:ascii="Times New Roman" w:hAnsi="Times New Roman" w:cs="Times New Roman"/>
                <w:sz w:val="24"/>
                <w:szCs w:val="24"/>
              </w:rPr>
              <w:t>as</w:t>
            </w:r>
            <w:r w:rsidR="00E07CDA" w:rsidRPr="00BF33C6">
              <w:rPr>
                <w:rFonts w:ascii="Times New Roman" w:hAnsi="Times New Roman" w:cs="Times New Roman"/>
                <w:sz w:val="24"/>
                <w:szCs w:val="24"/>
              </w:rPr>
              <w:t xml:space="preserve"> pirms paredzētās izvešanas (eksporta) datuma. Savukārt Zāļu valsts aģentūrai būtu  samērīgā laikā periodā –</w:t>
            </w:r>
            <w:r w:rsidR="00A25173" w:rsidRPr="00BF33C6">
              <w:rPr>
                <w:rFonts w:ascii="Times New Roman" w:hAnsi="Times New Roman" w:cs="Times New Roman"/>
                <w:sz w:val="24"/>
                <w:szCs w:val="24"/>
              </w:rPr>
              <w:t xml:space="preserve"> 5</w:t>
            </w:r>
            <w:r w:rsidR="00E07CDA" w:rsidRPr="00BF33C6">
              <w:rPr>
                <w:rFonts w:ascii="Times New Roman" w:hAnsi="Times New Roman" w:cs="Times New Roman"/>
                <w:sz w:val="24"/>
                <w:szCs w:val="24"/>
              </w:rPr>
              <w:t xml:space="preserve"> darba dienu laikā jāizvērtē paziņojums</w:t>
            </w:r>
            <w:r w:rsidR="002F5262" w:rsidRPr="00BF33C6">
              <w:rPr>
                <w:rFonts w:ascii="Times New Roman" w:hAnsi="Times New Roman" w:cs="Times New Roman"/>
                <w:sz w:val="24"/>
                <w:szCs w:val="24"/>
              </w:rPr>
              <w:t xml:space="preserve">. Lai neradītu nevajadzīgu administratīvo slogu tiktu ieviests klusēšanas piekrišanas princips, proti, ja </w:t>
            </w:r>
            <w:r w:rsidR="005050A2" w:rsidRPr="00BF33C6">
              <w:rPr>
                <w:rFonts w:ascii="Times New Roman" w:hAnsi="Times New Roman" w:cs="Times New Roman"/>
                <w:sz w:val="24"/>
                <w:szCs w:val="24"/>
              </w:rPr>
              <w:t xml:space="preserve">Zāļu valsts </w:t>
            </w:r>
            <w:r w:rsidR="002F5262" w:rsidRPr="00BF33C6">
              <w:rPr>
                <w:rFonts w:ascii="Times New Roman" w:hAnsi="Times New Roman" w:cs="Times New Roman"/>
                <w:sz w:val="24"/>
                <w:szCs w:val="24"/>
              </w:rPr>
              <w:t xml:space="preserve">aģentūra nenoraida paziņojumu 5 darba dienu laikā kopš tā iesniegšanas aģentūrā, uzskatāms, ka zāles var izvest (eksportēt). </w:t>
            </w:r>
            <w:r w:rsidR="00B206F4" w:rsidRPr="00BF33C6">
              <w:rPr>
                <w:rFonts w:ascii="Times New Roman" w:hAnsi="Times New Roman" w:cs="Times New Roman"/>
                <w:sz w:val="24"/>
                <w:szCs w:val="24"/>
              </w:rPr>
              <w:t>Tā kā</w:t>
            </w:r>
            <w:r w:rsidR="00E44473">
              <w:rPr>
                <w:rFonts w:ascii="Times New Roman" w:hAnsi="Times New Roman" w:cs="Times New Roman"/>
                <w:sz w:val="24"/>
                <w:szCs w:val="24"/>
              </w:rPr>
              <w:t xml:space="preserve"> izveš</w:t>
            </w:r>
            <w:r w:rsidR="009E372A">
              <w:rPr>
                <w:rFonts w:ascii="Times New Roman" w:hAnsi="Times New Roman" w:cs="Times New Roman"/>
                <w:sz w:val="24"/>
                <w:szCs w:val="24"/>
              </w:rPr>
              <w:t>a</w:t>
            </w:r>
            <w:r w:rsidR="00E44473">
              <w:rPr>
                <w:rFonts w:ascii="Times New Roman" w:hAnsi="Times New Roman" w:cs="Times New Roman"/>
                <w:sz w:val="24"/>
                <w:szCs w:val="24"/>
              </w:rPr>
              <w:t>nas</w:t>
            </w:r>
            <w:r w:rsidR="00B206F4" w:rsidRPr="00BF33C6">
              <w:rPr>
                <w:rFonts w:ascii="Times New Roman" w:hAnsi="Times New Roman" w:cs="Times New Roman"/>
                <w:sz w:val="24"/>
                <w:szCs w:val="24"/>
              </w:rPr>
              <w:t xml:space="preserve"> </w:t>
            </w:r>
            <w:r w:rsidR="00E44473">
              <w:rPr>
                <w:rFonts w:ascii="Times New Roman" w:hAnsi="Times New Roman" w:cs="Times New Roman"/>
                <w:sz w:val="24"/>
                <w:szCs w:val="24"/>
              </w:rPr>
              <w:t>(</w:t>
            </w:r>
            <w:r w:rsidR="00B206F4" w:rsidRPr="00BF33C6">
              <w:rPr>
                <w:rFonts w:ascii="Times New Roman" w:hAnsi="Times New Roman" w:cs="Times New Roman"/>
                <w:sz w:val="24"/>
                <w:szCs w:val="24"/>
              </w:rPr>
              <w:t>eksporta</w:t>
            </w:r>
            <w:r w:rsidR="00E44473">
              <w:rPr>
                <w:rFonts w:ascii="Times New Roman" w:hAnsi="Times New Roman" w:cs="Times New Roman"/>
                <w:sz w:val="24"/>
                <w:szCs w:val="24"/>
              </w:rPr>
              <w:t>)</w:t>
            </w:r>
            <w:r w:rsidR="00B206F4" w:rsidRPr="00BF33C6">
              <w:rPr>
                <w:rFonts w:ascii="Times New Roman" w:hAnsi="Times New Roman" w:cs="Times New Roman"/>
                <w:sz w:val="24"/>
                <w:szCs w:val="24"/>
              </w:rPr>
              <w:t xml:space="preserve"> aizliegums attiektos </w:t>
            </w:r>
            <w:r w:rsidR="00E07CDA" w:rsidRPr="00BF33C6">
              <w:rPr>
                <w:rFonts w:ascii="Times New Roman" w:hAnsi="Times New Roman" w:cs="Times New Roman"/>
                <w:sz w:val="24"/>
                <w:szCs w:val="24"/>
              </w:rPr>
              <w:t xml:space="preserve">uz konkrētām zālēm - </w:t>
            </w:r>
            <w:r w:rsidR="005050A2" w:rsidRPr="00BF33C6">
              <w:rPr>
                <w:rFonts w:ascii="Times New Roman" w:hAnsi="Times New Roman" w:cs="Times New Roman"/>
                <w:sz w:val="24"/>
                <w:szCs w:val="24"/>
              </w:rPr>
              <w:t>k</w:t>
            </w:r>
            <w:r w:rsidR="00E07CDA" w:rsidRPr="00BF33C6">
              <w:rPr>
                <w:rFonts w:ascii="Times New Roman" w:hAnsi="Times New Roman" w:cs="Times New Roman"/>
                <w:sz w:val="24"/>
                <w:szCs w:val="24"/>
              </w:rPr>
              <w:t xml:space="preserve">ompensējamajām zālēm, par kurām Nacionālais veselības dienests un zāļu ražotājs ir noslēdzis līgumu par finansiālo līdzdalību, </w:t>
            </w:r>
            <w:r w:rsidR="005050A2" w:rsidRPr="00BF33C6">
              <w:rPr>
                <w:rFonts w:ascii="Times New Roman" w:hAnsi="Times New Roman" w:cs="Times New Roman"/>
                <w:sz w:val="24"/>
                <w:szCs w:val="24"/>
              </w:rPr>
              <w:t xml:space="preserve">- </w:t>
            </w:r>
            <w:r w:rsidR="00E07CDA" w:rsidRPr="00BF33C6">
              <w:rPr>
                <w:rFonts w:ascii="Times New Roman" w:hAnsi="Times New Roman" w:cs="Times New Roman"/>
                <w:sz w:val="24"/>
                <w:szCs w:val="24"/>
              </w:rPr>
              <w:t xml:space="preserve">un šo sarakstu veidotu un aktualizētu </w:t>
            </w:r>
            <w:r w:rsidR="009E55FD" w:rsidRPr="00BF33C6">
              <w:rPr>
                <w:rFonts w:ascii="Times New Roman" w:hAnsi="Times New Roman" w:cs="Times New Roman"/>
                <w:sz w:val="24"/>
                <w:szCs w:val="24"/>
              </w:rPr>
              <w:t>Nacionālais veselības dienests</w:t>
            </w:r>
            <w:r w:rsidR="00E07CDA" w:rsidRPr="00BF33C6">
              <w:rPr>
                <w:rFonts w:ascii="Times New Roman" w:hAnsi="Times New Roman" w:cs="Times New Roman"/>
                <w:sz w:val="24"/>
                <w:szCs w:val="24"/>
              </w:rPr>
              <w:t>, ja tiek pierādīts deficīta risks</w:t>
            </w:r>
            <w:r w:rsidR="009E55FD" w:rsidRPr="00BF33C6">
              <w:rPr>
                <w:rFonts w:ascii="Times New Roman" w:hAnsi="Times New Roman" w:cs="Times New Roman"/>
                <w:sz w:val="24"/>
                <w:szCs w:val="24"/>
              </w:rPr>
              <w:t xml:space="preserve">, </w:t>
            </w:r>
            <w:r w:rsidR="00E07CDA" w:rsidRPr="00BF33C6">
              <w:rPr>
                <w:rFonts w:ascii="Times New Roman" w:hAnsi="Times New Roman" w:cs="Times New Roman"/>
                <w:sz w:val="24"/>
                <w:szCs w:val="24"/>
              </w:rPr>
              <w:t>katr</w:t>
            </w:r>
            <w:r w:rsidR="005050A2" w:rsidRPr="00BF33C6">
              <w:rPr>
                <w:rFonts w:ascii="Times New Roman" w:hAnsi="Times New Roman" w:cs="Times New Roman"/>
                <w:sz w:val="24"/>
                <w:szCs w:val="24"/>
              </w:rPr>
              <w:t>s</w:t>
            </w:r>
            <w:r w:rsidR="00E07CDA" w:rsidRPr="00BF33C6">
              <w:rPr>
                <w:rFonts w:ascii="Times New Roman" w:hAnsi="Times New Roman" w:cs="Times New Roman"/>
                <w:sz w:val="24"/>
                <w:szCs w:val="24"/>
              </w:rPr>
              <w:t xml:space="preserve"> gadījums tiktu vērtēt atsevišķi </w:t>
            </w:r>
            <w:r w:rsidR="00E07CDA" w:rsidRPr="00BF33C6">
              <w:rPr>
                <w:rFonts w:ascii="Times New Roman" w:hAnsi="Times New Roman" w:cs="Times New Roman"/>
                <w:i/>
                <w:sz w:val="24"/>
                <w:szCs w:val="24"/>
              </w:rPr>
              <w:t>(</w:t>
            </w:r>
            <w:proofErr w:type="spellStart"/>
            <w:r w:rsidR="00E07CDA" w:rsidRPr="00BF33C6">
              <w:rPr>
                <w:rFonts w:ascii="Times New Roman" w:hAnsi="Times New Roman" w:cs="Times New Roman"/>
                <w:i/>
                <w:sz w:val="24"/>
                <w:szCs w:val="24"/>
              </w:rPr>
              <w:t>case</w:t>
            </w:r>
            <w:proofErr w:type="spellEnd"/>
            <w:r w:rsidR="00E07CDA" w:rsidRPr="00BF33C6">
              <w:rPr>
                <w:rFonts w:ascii="Times New Roman" w:hAnsi="Times New Roman" w:cs="Times New Roman"/>
                <w:i/>
                <w:sz w:val="24"/>
                <w:szCs w:val="24"/>
              </w:rPr>
              <w:t xml:space="preserve"> </w:t>
            </w:r>
            <w:proofErr w:type="spellStart"/>
            <w:r w:rsidR="00E07CDA" w:rsidRPr="00BF33C6">
              <w:rPr>
                <w:rFonts w:ascii="Times New Roman" w:hAnsi="Times New Roman" w:cs="Times New Roman"/>
                <w:i/>
                <w:sz w:val="24"/>
                <w:szCs w:val="24"/>
              </w:rPr>
              <w:t>by</w:t>
            </w:r>
            <w:proofErr w:type="spellEnd"/>
            <w:r w:rsidR="00E07CDA" w:rsidRPr="00BF33C6">
              <w:rPr>
                <w:rFonts w:ascii="Times New Roman" w:hAnsi="Times New Roman" w:cs="Times New Roman"/>
                <w:i/>
                <w:sz w:val="24"/>
                <w:szCs w:val="24"/>
              </w:rPr>
              <w:t xml:space="preserve"> </w:t>
            </w:r>
            <w:proofErr w:type="spellStart"/>
            <w:r w:rsidR="00E07CDA" w:rsidRPr="00BF33C6">
              <w:rPr>
                <w:rFonts w:ascii="Times New Roman" w:hAnsi="Times New Roman" w:cs="Times New Roman"/>
                <w:i/>
                <w:sz w:val="24"/>
                <w:szCs w:val="24"/>
              </w:rPr>
              <w:t>case</w:t>
            </w:r>
            <w:proofErr w:type="spellEnd"/>
            <w:r w:rsidR="00E07CDA" w:rsidRPr="00BF33C6">
              <w:rPr>
                <w:rFonts w:ascii="Times New Roman" w:hAnsi="Times New Roman" w:cs="Times New Roman"/>
                <w:sz w:val="24"/>
                <w:szCs w:val="24"/>
              </w:rPr>
              <w:t>)</w:t>
            </w:r>
            <w:r w:rsidR="009E55FD" w:rsidRPr="00BF33C6">
              <w:rPr>
                <w:rFonts w:ascii="Times New Roman" w:hAnsi="Times New Roman" w:cs="Times New Roman"/>
                <w:sz w:val="24"/>
                <w:szCs w:val="24"/>
              </w:rPr>
              <w:t>. T</w:t>
            </w:r>
            <w:r w:rsidR="00B206F4" w:rsidRPr="00BF33C6">
              <w:rPr>
                <w:rFonts w:ascii="Times New Roman" w:hAnsi="Times New Roman" w:cs="Times New Roman"/>
                <w:sz w:val="24"/>
                <w:szCs w:val="24"/>
              </w:rPr>
              <w:t xml:space="preserve">as ir uzskatāms par samērīgu līdzekli, lai nodrošinātu, ka Latvijas pacientiem </w:t>
            </w:r>
            <w:r w:rsidR="00B461E4" w:rsidRPr="00BF33C6">
              <w:rPr>
                <w:rFonts w:ascii="Times New Roman" w:hAnsi="Times New Roman" w:cs="Times New Roman"/>
                <w:sz w:val="24"/>
                <w:szCs w:val="24"/>
              </w:rPr>
              <w:t xml:space="preserve">tiek nodrošināta kompensējamo zāļu pieejamība </w:t>
            </w:r>
            <w:r w:rsidR="00621D0F" w:rsidRPr="00BF33C6">
              <w:rPr>
                <w:rFonts w:ascii="Times New Roman" w:hAnsi="Times New Roman" w:cs="Times New Roman"/>
                <w:sz w:val="24"/>
                <w:szCs w:val="24"/>
              </w:rPr>
              <w:t xml:space="preserve">un nav riska </w:t>
            </w:r>
            <w:r w:rsidR="00B206F4" w:rsidRPr="00BF33C6">
              <w:rPr>
                <w:rFonts w:ascii="Times New Roman" w:hAnsi="Times New Roman" w:cs="Times New Roman"/>
                <w:sz w:val="24"/>
                <w:szCs w:val="24"/>
              </w:rPr>
              <w:t>viņu veselība</w:t>
            </w:r>
            <w:r w:rsidR="00621D0F" w:rsidRPr="00BF33C6">
              <w:rPr>
                <w:rFonts w:ascii="Times New Roman" w:hAnsi="Times New Roman" w:cs="Times New Roman"/>
                <w:sz w:val="24"/>
                <w:szCs w:val="24"/>
              </w:rPr>
              <w:t>i un dzīvībai zāļu nepieejamības dēļ</w:t>
            </w:r>
            <w:r w:rsidR="00B206F4" w:rsidRPr="00BF33C6">
              <w:rPr>
                <w:rFonts w:ascii="Times New Roman" w:hAnsi="Times New Roman" w:cs="Times New Roman"/>
                <w:sz w:val="24"/>
                <w:szCs w:val="24"/>
              </w:rPr>
              <w:t>.</w:t>
            </w:r>
            <w:r w:rsidR="007D5F65" w:rsidRPr="00BF33C6">
              <w:rPr>
                <w:rFonts w:ascii="Times New Roman" w:hAnsi="Times New Roman" w:cs="Times New Roman"/>
                <w:sz w:val="24"/>
                <w:szCs w:val="24"/>
              </w:rPr>
              <w:t xml:space="preserve"> Kā norādīts Konkurences padomes ziņojumā, </w:t>
            </w:r>
            <w:r w:rsidR="00E44473">
              <w:rPr>
                <w:rFonts w:ascii="Times New Roman" w:hAnsi="Times New Roman" w:cs="Times New Roman"/>
                <w:sz w:val="24"/>
                <w:szCs w:val="24"/>
              </w:rPr>
              <w:t xml:space="preserve">Latvijā nav izslēgts </w:t>
            </w:r>
            <w:r w:rsidR="00621D0F" w:rsidRPr="00BF33C6">
              <w:rPr>
                <w:rFonts w:ascii="Times New Roman" w:hAnsi="Times New Roman" w:cs="Times New Roman"/>
                <w:sz w:val="24"/>
                <w:szCs w:val="24"/>
              </w:rPr>
              <w:t>zāļu nepieejamības risks zāļu izvešanas vai eksporta d</w:t>
            </w:r>
            <w:r w:rsidR="009E372A">
              <w:rPr>
                <w:rFonts w:ascii="Times New Roman" w:hAnsi="Times New Roman" w:cs="Times New Roman"/>
                <w:sz w:val="24"/>
                <w:szCs w:val="24"/>
              </w:rPr>
              <w:t>ē</w:t>
            </w:r>
            <w:r w:rsidR="00621D0F" w:rsidRPr="00BF33C6">
              <w:rPr>
                <w:rFonts w:ascii="Times New Roman" w:hAnsi="Times New Roman" w:cs="Times New Roman"/>
                <w:sz w:val="24"/>
                <w:szCs w:val="24"/>
              </w:rPr>
              <w:t>ļ</w:t>
            </w:r>
            <w:r w:rsidR="007D5F65" w:rsidRPr="00BF33C6">
              <w:rPr>
                <w:rFonts w:ascii="Times New Roman" w:hAnsi="Times New Roman" w:cs="Times New Roman"/>
                <w:sz w:val="24"/>
                <w:szCs w:val="24"/>
              </w:rPr>
              <w:t>.</w:t>
            </w:r>
          </w:p>
          <w:p w14:paraId="07C1745C" w14:textId="77777777" w:rsidR="0011576E" w:rsidRPr="00BF33C6" w:rsidRDefault="0011576E" w:rsidP="00E27E19">
            <w:pPr>
              <w:spacing w:after="0" w:line="240" w:lineRule="auto"/>
              <w:jc w:val="both"/>
              <w:rPr>
                <w:rFonts w:ascii="Times New Roman" w:hAnsi="Times New Roman" w:cs="Times New Roman"/>
                <w:sz w:val="24"/>
                <w:szCs w:val="24"/>
              </w:rPr>
            </w:pPr>
          </w:p>
          <w:p w14:paraId="6433AFB9" w14:textId="346AE08C" w:rsidR="00AA08FD" w:rsidRPr="00BF33C6" w:rsidRDefault="00AA08FD"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Tā kā uz atļaujas paralēli importēto zāļu izplatīšanai izsniegšanu ir attiecināma vispārējā administratīvi procesuālā kārtība, kas noteikta Administratīvā procesa likumā, kā arī Farmācijas likumā noteiktā speciālā kārtība neatkarīgi no tā, vai noteikumu tekstā ir ietverta atsauce uz kādu no šiem abiem likumiem, būtu jāsvītro noteikumu 42.</w:t>
            </w:r>
            <w:r w:rsidR="002410D5" w:rsidRPr="00BF33C6">
              <w:rPr>
                <w:rFonts w:ascii="Times New Roman" w:hAnsi="Times New Roman" w:cs="Times New Roman"/>
                <w:sz w:val="24"/>
                <w:szCs w:val="24"/>
              </w:rPr>
              <w:t> </w:t>
            </w:r>
            <w:r w:rsidRPr="00BF33C6">
              <w:rPr>
                <w:rFonts w:ascii="Times New Roman" w:hAnsi="Times New Roman" w:cs="Times New Roman"/>
                <w:sz w:val="24"/>
                <w:szCs w:val="24"/>
              </w:rPr>
              <w:t>punktā vārdi “Administratīvā procesa likumā noteiktajā kārtībā”</w:t>
            </w:r>
            <w:r w:rsidR="0051478C" w:rsidRPr="00BF33C6">
              <w:rPr>
                <w:rFonts w:ascii="Times New Roman" w:hAnsi="Times New Roman" w:cs="Times New Roman"/>
                <w:sz w:val="24"/>
                <w:szCs w:val="24"/>
              </w:rPr>
              <w:t xml:space="preserve"> (projekta </w:t>
            </w:r>
            <w:r w:rsidR="0009492E" w:rsidRPr="00BF33C6">
              <w:rPr>
                <w:rFonts w:ascii="Times New Roman" w:hAnsi="Times New Roman" w:cs="Times New Roman"/>
                <w:sz w:val="24"/>
                <w:szCs w:val="24"/>
              </w:rPr>
              <w:t>20</w:t>
            </w:r>
            <w:r w:rsidR="0051478C" w:rsidRPr="00BF33C6">
              <w:rPr>
                <w:rFonts w:ascii="Times New Roman" w:hAnsi="Times New Roman" w:cs="Times New Roman"/>
                <w:sz w:val="24"/>
                <w:szCs w:val="24"/>
              </w:rPr>
              <w:t>. </w:t>
            </w:r>
            <w:r w:rsidR="0067735B" w:rsidRPr="00BF33C6">
              <w:rPr>
                <w:rFonts w:ascii="Times New Roman" w:hAnsi="Times New Roman" w:cs="Times New Roman"/>
                <w:sz w:val="24"/>
                <w:szCs w:val="24"/>
              </w:rPr>
              <w:t>punkts</w:t>
            </w:r>
            <w:r w:rsidR="00E73AE5" w:rsidRPr="00BF33C6">
              <w:rPr>
                <w:rFonts w:ascii="Times New Roman" w:hAnsi="Times New Roman" w:cs="Times New Roman"/>
                <w:sz w:val="24"/>
                <w:szCs w:val="24"/>
              </w:rPr>
              <w:t>)</w:t>
            </w:r>
            <w:r w:rsidRPr="00BF33C6">
              <w:rPr>
                <w:rFonts w:ascii="Times New Roman" w:hAnsi="Times New Roman" w:cs="Times New Roman"/>
                <w:sz w:val="24"/>
                <w:szCs w:val="24"/>
              </w:rPr>
              <w:t>.</w:t>
            </w:r>
            <w:r w:rsidR="0096717F" w:rsidRPr="00BF33C6">
              <w:rPr>
                <w:rFonts w:ascii="Times New Roman" w:hAnsi="Times New Roman" w:cs="Times New Roman"/>
                <w:sz w:val="24"/>
                <w:szCs w:val="24"/>
              </w:rPr>
              <w:t xml:space="preserve"> Līdzīgi būtu jāsvītro arī noteikumu 97.</w:t>
            </w:r>
            <w:r w:rsidR="002410D5" w:rsidRPr="00BF33C6">
              <w:rPr>
                <w:rFonts w:ascii="Times New Roman" w:hAnsi="Times New Roman" w:cs="Times New Roman"/>
                <w:sz w:val="24"/>
                <w:szCs w:val="24"/>
              </w:rPr>
              <w:t> </w:t>
            </w:r>
            <w:r w:rsidR="0096717F" w:rsidRPr="00BF33C6">
              <w:rPr>
                <w:rFonts w:ascii="Times New Roman" w:hAnsi="Times New Roman" w:cs="Times New Roman"/>
                <w:sz w:val="24"/>
                <w:szCs w:val="24"/>
              </w:rPr>
              <w:t>punkta pirmais teikums</w:t>
            </w:r>
            <w:r w:rsidR="0051478C" w:rsidRPr="00BF33C6">
              <w:rPr>
                <w:rFonts w:ascii="Times New Roman" w:hAnsi="Times New Roman" w:cs="Times New Roman"/>
                <w:sz w:val="24"/>
                <w:szCs w:val="24"/>
              </w:rPr>
              <w:t xml:space="preserve"> (projekta </w:t>
            </w:r>
            <w:r w:rsidR="004C445C" w:rsidRPr="00BF33C6">
              <w:rPr>
                <w:rFonts w:ascii="Times New Roman" w:hAnsi="Times New Roman" w:cs="Times New Roman"/>
                <w:sz w:val="24"/>
                <w:szCs w:val="24"/>
              </w:rPr>
              <w:t>5</w:t>
            </w:r>
            <w:r w:rsidR="0009492E" w:rsidRPr="00BF33C6">
              <w:rPr>
                <w:rFonts w:ascii="Times New Roman" w:hAnsi="Times New Roman" w:cs="Times New Roman"/>
                <w:sz w:val="24"/>
                <w:szCs w:val="24"/>
              </w:rPr>
              <w:t>0</w:t>
            </w:r>
            <w:r w:rsidR="0051478C" w:rsidRPr="00BF33C6">
              <w:rPr>
                <w:rFonts w:ascii="Times New Roman" w:hAnsi="Times New Roman" w:cs="Times New Roman"/>
                <w:sz w:val="24"/>
                <w:szCs w:val="24"/>
              </w:rPr>
              <w:t>. punkts)</w:t>
            </w:r>
            <w:r w:rsidR="0096717F" w:rsidRPr="00BF33C6">
              <w:rPr>
                <w:rFonts w:ascii="Times New Roman" w:hAnsi="Times New Roman" w:cs="Times New Roman"/>
                <w:sz w:val="24"/>
                <w:szCs w:val="24"/>
              </w:rPr>
              <w:t>.</w:t>
            </w:r>
            <w:r w:rsidR="000D4634" w:rsidRPr="00BF33C6">
              <w:rPr>
                <w:rFonts w:ascii="Times New Roman" w:hAnsi="Times New Roman" w:cs="Times New Roman"/>
                <w:sz w:val="24"/>
                <w:szCs w:val="24"/>
              </w:rPr>
              <w:t xml:space="preserve"> Tāpat būtu jāsvītro arī 44.</w:t>
            </w:r>
            <w:r w:rsidR="002410D5" w:rsidRPr="00BF33C6">
              <w:rPr>
                <w:rFonts w:ascii="Times New Roman" w:hAnsi="Times New Roman" w:cs="Times New Roman"/>
                <w:sz w:val="24"/>
                <w:szCs w:val="24"/>
              </w:rPr>
              <w:t> </w:t>
            </w:r>
            <w:r w:rsidR="000D4634" w:rsidRPr="00BF33C6">
              <w:rPr>
                <w:rFonts w:ascii="Times New Roman" w:hAnsi="Times New Roman" w:cs="Times New Roman"/>
                <w:sz w:val="24"/>
                <w:szCs w:val="24"/>
              </w:rPr>
              <w:t>punkts, jo lēmumu adresātam paziņo Paziņošanas likumā noteiktajā kārtībā neatkarīgi no tā, vai ir vai nav noteikumos tas īpaši norādīts</w:t>
            </w:r>
            <w:r w:rsidR="0051478C" w:rsidRPr="00BF33C6">
              <w:rPr>
                <w:rFonts w:ascii="Times New Roman" w:hAnsi="Times New Roman" w:cs="Times New Roman"/>
                <w:sz w:val="24"/>
                <w:szCs w:val="24"/>
              </w:rPr>
              <w:t xml:space="preserve"> (projekta </w:t>
            </w:r>
            <w:r w:rsidR="00653BA2" w:rsidRPr="00BF33C6">
              <w:rPr>
                <w:rFonts w:ascii="Times New Roman" w:hAnsi="Times New Roman" w:cs="Times New Roman"/>
                <w:sz w:val="24"/>
                <w:szCs w:val="24"/>
              </w:rPr>
              <w:t>2</w:t>
            </w:r>
            <w:r w:rsidR="0009492E" w:rsidRPr="00BF33C6">
              <w:rPr>
                <w:rFonts w:ascii="Times New Roman" w:hAnsi="Times New Roman" w:cs="Times New Roman"/>
                <w:sz w:val="24"/>
                <w:szCs w:val="24"/>
              </w:rPr>
              <w:t>1</w:t>
            </w:r>
            <w:r w:rsidR="0051478C" w:rsidRPr="00BF33C6">
              <w:rPr>
                <w:rFonts w:ascii="Times New Roman" w:hAnsi="Times New Roman" w:cs="Times New Roman"/>
                <w:sz w:val="24"/>
                <w:szCs w:val="24"/>
              </w:rPr>
              <w:t>. punkts)</w:t>
            </w:r>
            <w:r w:rsidR="000D4634" w:rsidRPr="00BF33C6">
              <w:rPr>
                <w:rFonts w:ascii="Times New Roman" w:hAnsi="Times New Roman" w:cs="Times New Roman"/>
                <w:sz w:val="24"/>
                <w:szCs w:val="24"/>
              </w:rPr>
              <w:t>.</w:t>
            </w:r>
          </w:p>
          <w:p w14:paraId="2DE9485D" w14:textId="5702629C" w:rsidR="00AA08FD" w:rsidRPr="00BF33C6" w:rsidRDefault="00AA08FD" w:rsidP="00E27E19">
            <w:pPr>
              <w:spacing w:after="0" w:line="240" w:lineRule="auto"/>
              <w:jc w:val="both"/>
              <w:rPr>
                <w:rFonts w:ascii="Times New Roman" w:hAnsi="Times New Roman" w:cs="Times New Roman"/>
                <w:sz w:val="24"/>
                <w:szCs w:val="24"/>
              </w:rPr>
            </w:pPr>
          </w:p>
          <w:p w14:paraId="118DD710" w14:textId="297E9C5C" w:rsidR="00922D27" w:rsidRPr="00BF33C6" w:rsidRDefault="00922D27"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Noteikumu 48.3.</w:t>
            </w:r>
            <w:r w:rsidR="00C76BA5" w:rsidRPr="00BF33C6">
              <w:rPr>
                <w:rFonts w:ascii="Times New Roman" w:hAnsi="Times New Roman" w:cs="Times New Roman"/>
                <w:sz w:val="24"/>
                <w:szCs w:val="24"/>
              </w:rPr>
              <w:t> </w:t>
            </w:r>
            <w:r w:rsidRPr="00BF33C6">
              <w:rPr>
                <w:rFonts w:ascii="Times New Roman" w:hAnsi="Times New Roman" w:cs="Times New Roman"/>
                <w:sz w:val="24"/>
                <w:szCs w:val="24"/>
              </w:rPr>
              <w:t>apakšpunkts ir jāsvītro</w:t>
            </w:r>
            <w:r w:rsidR="004C445C" w:rsidRPr="00BF33C6">
              <w:rPr>
                <w:rFonts w:ascii="Times New Roman" w:hAnsi="Times New Roman" w:cs="Times New Roman"/>
                <w:sz w:val="24"/>
                <w:szCs w:val="24"/>
              </w:rPr>
              <w:t xml:space="preserve"> (projekta 2</w:t>
            </w:r>
            <w:r w:rsidR="0009492E" w:rsidRPr="00BF33C6">
              <w:rPr>
                <w:rFonts w:ascii="Times New Roman" w:hAnsi="Times New Roman" w:cs="Times New Roman"/>
                <w:sz w:val="24"/>
                <w:szCs w:val="24"/>
              </w:rPr>
              <w:t>2</w:t>
            </w:r>
            <w:r w:rsidR="004C445C" w:rsidRPr="00BF33C6">
              <w:rPr>
                <w:rFonts w:ascii="Times New Roman" w:hAnsi="Times New Roman" w:cs="Times New Roman"/>
                <w:sz w:val="24"/>
                <w:szCs w:val="24"/>
              </w:rPr>
              <w:t>. punkts)</w:t>
            </w:r>
            <w:r w:rsidRPr="00BF33C6">
              <w:rPr>
                <w:rFonts w:ascii="Times New Roman" w:hAnsi="Times New Roman" w:cs="Times New Roman"/>
                <w:sz w:val="24"/>
                <w:szCs w:val="24"/>
              </w:rPr>
              <w:t>, jo paredz nepamatotu ierobežojumu paralēlajam importētājam</w:t>
            </w:r>
            <w:r w:rsidR="00E403D5" w:rsidRPr="00BF33C6">
              <w:rPr>
                <w:rFonts w:ascii="Times New Roman" w:hAnsi="Times New Roman" w:cs="Times New Roman"/>
                <w:sz w:val="24"/>
                <w:szCs w:val="24"/>
              </w:rPr>
              <w:t xml:space="preserve"> apturēt zāļu izplatīšanu</w:t>
            </w:r>
            <w:r w:rsidR="00EB3A65" w:rsidRPr="00BF33C6">
              <w:rPr>
                <w:rFonts w:ascii="Times New Roman" w:hAnsi="Times New Roman" w:cs="Times New Roman"/>
                <w:sz w:val="24"/>
                <w:szCs w:val="24"/>
              </w:rPr>
              <w:t xml:space="preserve"> līdz izmaiņu apstiprināšanai</w:t>
            </w:r>
            <w:r w:rsidR="00E403D5" w:rsidRPr="00BF33C6">
              <w:rPr>
                <w:rFonts w:ascii="Times New Roman" w:hAnsi="Times New Roman" w:cs="Times New Roman"/>
                <w:sz w:val="24"/>
                <w:szCs w:val="24"/>
              </w:rPr>
              <w:t xml:space="preserve"> gadījumā, ja izmaiņas skar būtiskas zāļu reģistrācijas daļas, kas atbilst I B vai II tipa izmaiņām reģistrācijas dokumentācijā vai kas saistītas ar reģistrācijas paplašināšanu saskaņā ar Eiropas Komisijas Regulu Nr. 1234/2008</w:t>
            </w:r>
            <w:r w:rsidR="00EB3A65" w:rsidRPr="00BF33C6">
              <w:rPr>
                <w:rFonts w:ascii="Times New Roman" w:hAnsi="Times New Roman" w:cs="Times New Roman"/>
                <w:sz w:val="24"/>
                <w:szCs w:val="24"/>
              </w:rPr>
              <w:t>. Tajā pašā laikā zāļu reģistrācijas apliecības īpašniekam šāds ierobežojums nav noteikts.</w:t>
            </w:r>
          </w:p>
          <w:p w14:paraId="162C2F04" w14:textId="77777777" w:rsidR="00922D27" w:rsidRPr="00BF33C6" w:rsidRDefault="00922D27" w:rsidP="00E27E19">
            <w:pPr>
              <w:spacing w:after="0" w:line="240" w:lineRule="auto"/>
              <w:jc w:val="both"/>
              <w:rPr>
                <w:rFonts w:ascii="Times New Roman" w:hAnsi="Times New Roman" w:cs="Times New Roman"/>
                <w:sz w:val="24"/>
                <w:szCs w:val="24"/>
              </w:rPr>
            </w:pPr>
          </w:p>
          <w:p w14:paraId="6989F0CC" w14:textId="559C9347" w:rsidR="00564C17" w:rsidRPr="00BF33C6" w:rsidRDefault="00041AA8"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Ir nepieciešams papildināt noteikumu 48.5.</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apakšpunktu ar teikumu “Ja izmaiņas attiecas uz iesnieguma (1.</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pielikums) II, II A vai III</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daļā minēto informāciju, iesniedz Zāļu valsts aģentūrā iesniegumu par izmaiņām dokumentācijā”, lai precizētu paralēlā importētāja pienākumus</w:t>
            </w:r>
            <w:r w:rsidR="002E25F2" w:rsidRPr="00BF33C6">
              <w:rPr>
                <w:rFonts w:ascii="Times New Roman" w:hAnsi="Times New Roman" w:cs="Times New Roman"/>
                <w:sz w:val="24"/>
                <w:szCs w:val="24"/>
              </w:rPr>
              <w:t xml:space="preserve"> (projekta 2</w:t>
            </w:r>
            <w:r w:rsidR="0009492E" w:rsidRPr="00BF33C6">
              <w:rPr>
                <w:rFonts w:ascii="Times New Roman" w:hAnsi="Times New Roman" w:cs="Times New Roman"/>
                <w:sz w:val="24"/>
                <w:szCs w:val="24"/>
              </w:rPr>
              <w:t>3</w:t>
            </w:r>
            <w:r w:rsidR="002E25F2" w:rsidRPr="00BF33C6">
              <w:rPr>
                <w:rFonts w:ascii="Times New Roman" w:hAnsi="Times New Roman" w:cs="Times New Roman"/>
                <w:sz w:val="24"/>
                <w:szCs w:val="24"/>
              </w:rPr>
              <w:t>. punkts)</w:t>
            </w:r>
            <w:r w:rsidRPr="00BF33C6">
              <w:rPr>
                <w:rFonts w:ascii="Times New Roman" w:hAnsi="Times New Roman" w:cs="Times New Roman"/>
                <w:sz w:val="24"/>
                <w:szCs w:val="24"/>
              </w:rPr>
              <w:t>.</w:t>
            </w:r>
          </w:p>
          <w:p w14:paraId="6BE7BA38" w14:textId="77777777" w:rsidR="00564C17" w:rsidRPr="00BF33C6" w:rsidRDefault="00564C17" w:rsidP="00E27E19">
            <w:pPr>
              <w:spacing w:after="0" w:line="240" w:lineRule="auto"/>
              <w:jc w:val="both"/>
              <w:rPr>
                <w:rFonts w:ascii="Times New Roman" w:hAnsi="Times New Roman" w:cs="Times New Roman"/>
                <w:sz w:val="24"/>
                <w:szCs w:val="24"/>
              </w:rPr>
            </w:pPr>
          </w:p>
          <w:p w14:paraId="2D3C81A5" w14:textId="71F66713" w:rsidR="001827A6" w:rsidRPr="00BF33C6" w:rsidRDefault="00FF5A22"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Direktīvas 2001/83 24.</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panta 4., 5.un 6.</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punkti un Eiropas Parlamenta un Padomes 2004.gada 31.marta Regulas (EK) Nr.</w:t>
            </w:r>
            <w:r w:rsidR="00E0312F" w:rsidRPr="00BF33C6">
              <w:rPr>
                <w:rFonts w:ascii="Times New Roman" w:hAnsi="Times New Roman" w:cs="Times New Roman"/>
                <w:sz w:val="24"/>
                <w:szCs w:val="24"/>
              </w:rPr>
              <w:t> </w:t>
            </w:r>
            <w:r w:rsidRPr="00BF33C6">
              <w:rPr>
                <w:rFonts w:ascii="Times New Roman" w:hAnsi="Times New Roman" w:cs="Times New Roman"/>
                <w:sz w:val="24"/>
                <w:szCs w:val="24"/>
              </w:rPr>
              <w:t xml:space="preserve">726/2004 ar ko nosaka cilvēkiem paredzēto un veterināro zāļu reģistrēšanas un uzraudzības </w:t>
            </w:r>
            <w:r w:rsidRPr="00BF33C6">
              <w:rPr>
                <w:rFonts w:ascii="Times New Roman" w:hAnsi="Times New Roman" w:cs="Times New Roman"/>
                <w:sz w:val="24"/>
                <w:szCs w:val="24"/>
              </w:rPr>
              <w:lastRenderedPageBreak/>
              <w:t>Kopienas procedūras un izveido Eiropas Zāļu aģentūru</w:t>
            </w:r>
            <w:r w:rsidR="00557B2D" w:rsidRPr="00BF33C6">
              <w:rPr>
                <w:rFonts w:ascii="Times New Roman" w:hAnsi="Times New Roman" w:cs="Times New Roman"/>
                <w:sz w:val="24"/>
                <w:szCs w:val="24"/>
              </w:rPr>
              <w:t xml:space="preserve"> (turpmāk</w:t>
            </w:r>
            <w:r w:rsidR="002E25F2" w:rsidRPr="00BF33C6">
              <w:rPr>
                <w:rFonts w:ascii="Times New Roman" w:hAnsi="Times New Roman" w:cs="Times New Roman"/>
                <w:sz w:val="24"/>
                <w:szCs w:val="24"/>
              </w:rPr>
              <w:t> </w:t>
            </w:r>
            <w:r w:rsidR="00557B2D" w:rsidRPr="00BF33C6">
              <w:rPr>
                <w:rFonts w:ascii="Times New Roman" w:hAnsi="Times New Roman" w:cs="Times New Roman"/>
                <w:sz w:val="24"/>
                <w:szCs w:val="24"/>
              </w:rPr>
              <w:t>–</w:t>
            </w:r>
            <w:r w:rsidR="002E25F2" w:rsidRPr="00BF33C6">
              <w:rPr>
                <w:rFonts w:ascii="Times New Roman" w:hAnsi="Times New Roman" w:cs="Times New Roman"/>
                <w:sz w:val="24"/>
                <w:szCs w:val="24"/>
              </w:rPr>
              <w:t> </w:t>
            </w:r>
            <w:r w:rsidR="00557B2D" w:rsidRPr="00BF33C6">
              <w:rPr>
                <w:rFonts w:ascii="Times New Roman" w:hAnsi="Times New Roman" w:cs="Times New Roman"/>
                <w:sz w:val="24"/>
                <w:szCs w:val="24"/>
              </w:rPr>
              <w:t>regula 726/2004)</w:t>
            </w:r>
            <w:r w:rsidRPr="00BF33C6">
              <w:rPr>
                <w:rFonts w:ascii="Times New Roman" w:hAnsi="Times New Roman" w:cs="Times New Roman"/>
                <w:sz w:val="24"/>
                <w:szCs w:val="24"/>
              </w:rPr>
              <w:t xml:space="preserve"> 14.</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panta 4.,</w:t>
            </w:r>
            <w:r w:rsidR="007645C0" w:rsidRPr="00BF33C6">
              <w:rPr>
                <w:rFonts w:ascii="Times New Roman" w:hAnsi="Times New Roman" w:cs="Times New Roman"/>
                <w:sz w:val="24"/>
                <w:szCs w:val="24"/>
              </w:rPr>
              <w:t xml:space="preserve"> </w:t>
            </w:r>
            <w:r w:rsidRPr="00BF33C6">
              <w:rPr>
                <w:rFonts w:ascii="Times New Roman" w:hAnsi="Times New Roman" w:cs="Times New Roman"/>
                <w:sz w:val="24"/>
                <w:szCs w:val="24"/>
              </w:rPr>
              <w:t>5. un 6.</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punkti nosaka prasības izslēgt no reģistra zāles, kas ilgstoši nav izplatītas. Reģistrētajām zālēm šīs prasības ir iestrādātās Ministru kabineta 2006.gada 9.maija noteikumu Nr.</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376 „Zāļu reģistrēšanas kārtība”</w:t>
            </w:r>
            <w:r w:rsidR="00507D40" w:rsidRPr="00BF33C6">
              <w:rPr>
                <w:rFonts w:ascii="Times New Roman" w:hAnsi="Times New Roman" w:cs="Times New Roman"/>
                <w:sz w:val="24"/>
                <w:szCs w:val="24"/>
              </w:rPr>
              <w:t xml:space="preserve"> (turpmāk – noteikumi Nr.376)</w:t>
            </w:r>
            <w:r w:rsidRPr="00BF33C6">
              <w:rPr>
                <w:rFonts w:ascii="Times New Roman" w:hAnsi="Times New Roman" w:cs="Times New Roman"/>
                <w:sz w:val="24"/>
                <w:szCs w:val="24"/>
              </w:rPr>
              <w:t xml:space="preserve"> 125.</w:t>
            </w:r>
            <w:r w:rsidR="002E25F2" w:rsidRPr="00BF33C6">
              <w:rPr>
                <w:rFonts w:ascii="Times New Roman" w:hAnsi="Times New Roman" w:cs="Times New Roman"/>
                <w:sz w:val="24"/>
                <w:szCs w:val="24"/>
              </w:rPr>
              <w:t> </w:t>
            </w:r>
            <w:r w:rsidRPr="00BF33C6">
              <w:rPr>
                <w:rFonts w:ascii="Times New Roman" w:hAnsi="Times New Roman" w:cs="Times New Roman"/>
                <w:sz w:val="24"/>
                <w:szCs w:val="24"/>
              </w:rPr>
              <w:t>punktā, savukārt paralēli importētajām zālēm šīs prasības netiek piemērotas.</w:t>
            </w:r>
            <w:r w:rsidR="00507D40" w:rsidRPr="00BF33C6">
              <w:rPr>
                <w:rFonts w:ascii="Times New Roman" w:hAnsi="Times New Roman" w:cs="Times New Roman"/>
                <w:sz w:val="24"/>
                <w:szCs w:val="24"/>
              </w:rPr>
              <w:t xml:space="preserve"> Tādēļ ir nepieciešams papildināt noteikumu</w:t>
            </w:r>
            <w:r w:rsidR="00C40DB2" w:rsidRPr="00BF33C6">
              <w:rPr>
                <w:rFonts w:ascii="Times New Roman" w:hAnsi="Times New Roman" w:cs="Times New Roman"/>
                <w:sz w:val="24"/>
                <w:szCs w:val="24"/>
              </w:rPr>
              <w:t>s ar jaunu</w:t>
            </w:r>
            <w:r w:rsidR="00507D40" w:rsidRPr="00BF33C6">
              <w:rPr>
                <w:rFonts w:ascii="Times New Roman" w:hAnsi="Times New Roman" w:cs="Times New Roman"/>
                <w:sz w:val="24"/>
                <w:szCs w:val="24"/>
              </w:rPr>
              <w:t xml:space="preserve"> 55.</w:t>
            </w:r>
            <w:r w:rsidR="00C40DB2" w:rsidRPr="00BF33C6">
              <w:rPr>
                <w:rFonts w:ascii="Times New Roman" w:hAnsi="Times New Roman" w:cs="Times New Roman"/>
                <w:sz w:val="24"/>
                <w:szCs w:val="24"/>
                <w:vertAlign w:val="superscript"/>
              </w:rPr>
              <w:t xml:space="preserve">1 </w:t>
            </w:r>
            <w:r w:rsidR="00507D40" w:rsidRPr="00BF33C6">
              <w:rPr>
                <w:rFonts w:ascii="Times New Roman" w:hAnsi="Times New Roman" w:cs="Times New Roman"/>
                <w:sz w:val="24"/>
                <w:szCs w:val="24"/>
              </w:rPr>
              <w:t xml:space="preserve">punktu ar trīs apakšpunktiem, nosakot, ka </w:t>
            </w:r>
            <w:r w:rsidR="009D26B8" w:rsidRPr="00BF33C6">
              <w:rPr>
                <w:rFonts w:ascii="Times New Roman" w:hAnsi="Times New Roman" w:cs="Times New Roman"/>
                <w:sz w:val="24"/>
                <w:szCs w:val="24"/>
              </w:rPr>
              <w:t>lēmums par paralēli importēto zāļu izplatīšanas atļaujas izsniegšanu zaudē spēku</w:t>
            </w:r>
            <w:r w:rsidR="00507D40" w:rsidRPr="00BF33C6">
              <w:rPr>
                <w:rFonts w:ascii="Times New Roman" w:hAnsi="Times New Roman" w:cs="Times New Roman"/>
                <w:sz w:val="24"/>
                <w:szCs w:val="24"/>
              </w:rPr>
              <w:t xml:space="preserve"> tad, ja: 1) paralēli importētās zāles trīs gadu laikā pēc lēmuma pieņemšanas par atļauju izplatīt attiecīgās zāles nav laistas tirgū Latvijas Republikā; 2) paralēli importētās zāles, kuras pirms tam ir laistas tirgū Latvijas Republikā, faktiski netiek izplatītas trīs gadus pēc kārtas; 3) paralēlais importētājs ir paziņojis Zāļu valsts aģentūrai par zāļu izplatīšanas pastāvīgu pārtraukšanu Latvijas Republikā.</w:t>
            </w:r>
            <w:r w:rsidR="0008487C" w:rsidRPr="00BF33C6">
              <w:rPr>
                <w:rFonts w:ascii="Times New Roman" w:hAnsi="Times New Roman" w:cs="Times New Roman"/>
                <w:sz w:val="24"/>
                <w:szCs w:val="24"/>
              </w:rPr>
              <w:t xml:space="preserve"> </w:t>
            </w:r>
            <w:r w:rsidR="00C40DB2" w:rsidRPr="00BF33C6">
              <w:rPr>
                <w:rFonts w:ascii="Times New Roman" w:hAnsi="Times New Roman" w:cs="Times New Roman"/>
                <w:sz w:val="24"/>
                <w:szCs w:val="24"/>
              </w:rPr>
              <w:t>N</w:t>
            </w:r>
            <w:r w:rsidR="0008487C" w:rsidRPr="00BF33C6">
              <w:rPr>
                <w:rFonts w:ascii="Times New Roman" w:hAnsi="Times New Roman" w:cs="Times New Roman"/>
                <w:sz w:val="24"/>
                <w:szCs w:val="24"/>
              </w:rPr>
              <w:t xml:space="preserve">orma </w:t>
            </w:r>
            <w:r w:rsidR="00C40DB2" w:rsidRPr="00BF33C6">
              <w:rPr>
                <w:rFonts w:ascii="Times New Roman" w:hAnsi="Times New Roman" w:cs="Times New Roman"/>
                <w:sz w:val="24"/>
                <w:szCs w:val="24"/>
              </w:rPr>
              <w:t>ir</w:t>
            </w:r>
            <w:r w:rsidR="0008487C" w:rsidRPr="00BF33C6">
              <w:rPr>
                <w:rFonts w:ascii="Times New Roman" w:hAnsi="Times New Roman" w:cs="Times New Roman"/>
                <w:sz w:val="24"/>
                <w:szCs w:val="24"/>
              </w:rPr>
              <w:t xml:space="preserve"> veidota tā, lai Zāļu valsts aģentūrai nebūtu jāpieņem atsevišķs lēmums par paralēli importēto zāļu izplatīšanas atļaujas anulēšanu, bet gan lēmums par paralēli importēto zāļu izplatīšanas atļaujas izsniegšanu zaudētu spēku, vienkārši iestājoties kādam no normā uzskaitītajiem apstākļiem</w:t>
            </w:r>
            <w:r w:rsidR="00C40DB2" w:rsidRPr="00BF33C6">
              <w:rPr>
                <w:rFonts w:ascii="Times New Roman" w:hAnsi="Times New Roman" w:cs="Times New Roman"/>
                <w:sz w:val="24"/>
                <w:szCs w:val="24"/>
              </w:rPr>
              <w:t xml:space="preserve"> kā </w:t>
            </w:r>
            <w:r w:rsidR="003B2FF8" w:rsidRPr="00BF33C6">
              <w:rPr>
                <w:rFonts w:ascii="Times New Roman" w:hAnsi="Times New Roman" w:cs="Times New Roman"/>
                <w:sz w:val="24"/>
                <w:szCs w:val="24"/>
              </w:rPr>
              <w:t xml:space="preserve">jau izdotā </w:t>
            </w:r>
            <w:r w:rsidR="00C40DB2" w:rsidRPr="00BF33C6">
              <w:rPr>
                <w:rFonts w:ascii="Times New Roman" w:hAnsi="Times New Roman" w:cs="Times New Roman"/>
                <w:sz w:val="24"/>
                <w:szCs w:val="24"/>
              </w:rPr>
              <w:t>administratīvā akta nosacījumam</w:t>
            </w:r>
            <w:r w:rsidR="002E25F2" w:rsidRPr="00BF33C6">
              <w:rPr>
                <w:rFonts w:ascii="Times New Roman" w:hAnsi="Times New Roman" w:cs="Times New Roman"/>
                <w:sz w:val="24"/>
                <w:szCs w:val="24"/>
              </w:rPr>
              <w:t xml:space="preserve"> (Noteikumu projekta 2</w:t>
            </w:r>
            <w:r w:rsidR="0009492E" w:rsidRPr="00BF33C6">
              <w:rPr>
                <w:rFonts w:ascii="Times New Roman" w:hAnsi="Times New Roman" w:cs="Times New Roman"/>
                <w:sz w:val="24"/>
                <w:szCs w:val="24"/>
              </w:rPr>
              <w:t>5</w:t>
            </w:r>
            <w:r w:rsidR="002E25F2" w:rsidRPr="00BF33C6">
              <w:rPr>
                <w:rFonts w:ascii="Times New Roman" w:hAnsi="Times New Roman" w:cs="Times New Roman"/>
                <w:sz w:val="24"/>
                <w:szCs w:val="24"/>
              </w:rPr>
              <w:t>. punkts)</w:t>
            </w:r>
            <w:r w:rsidR="0008487C" w:rsidRPr="00BF33C6">
              <w:rPr>
                <w:rFonts w:ascii="Times New Roman" w:hAnsi="Times New Roman" w:cs="Times New Roman"/>
                <w:sz w:val="24"/>
                <w:szCs w:val="24"/>
              </w:rPr>
              <w:t>.</w:t>
            </w:r>
            <w:r w:rsidR="00163EF2" w:rsidRPr="00BF33C6">
              <w:rPr>
                <w:rFonts w:ascii="Times New Roman" w:hAnsi="Times New Roman" w:cs="Times New Roman"/>
                <w:sz w:val="24"/>
                <w:szCs w:val="24"/>
              </w:rPr>
              <w:t xml:space="preserve"> Pašreizējais regulējums nenosaka paralēlā importētāja pienākumu </w:t>
            </w:r>
            <w:r w:rsidR="00163EF2" w:rsidRPr="00BF33C6">
              <w:rPr>
                <w:rFonts w:ascii="Times New Roman" w:eastAsia="Times New Roman" w:hAnsi="Times New Roman" w:cs="Times New Roman"/>
                <w:sz w:val="24"/>
                <w:szCs w:val="24"/>
              </w:rPr>
              <w:t>snie</w:t>
            </w:r>
            <w:r w:rsidR="006E0150" w:rsidRPr="00BF33C6">
              <w:rPr>
                <w:rFonts w:ascii="Times New Roman" w:eastAsia="Times New Roman" w:hAnsi="Times New Roman" w:cs="Times New Roman"/>
                <w:sz w:val="24"/>
                <w:szCs w:val="24"/>
              </w:rPr>
              <w:t>gt</w:t>
            </w:r>
            <w:r w:rsidR="00163EF2" w:rsidRPr="00BF33C6">
              <w:rPr>
                <w:rFonts w:ascii="Times New Roman" w:eastAsia="Times New Roman" w:hAnsi="Times New Roman" w:cs="Times New Roman"/>
                <w:sz w:val="24"/>
                <w:szCs w:val="24"/>
              </w:rPr>
              <w:t xml:space="preserve"> Zāļu valsts aģentūrā paziņojumu par zāļu faktisko izplatīšanas (tirdzniecības) uzsākšanas datumu Latvijā, un informēt par zālēm, kuras pastāvīgi vai uz laiku netiek laistas Latvijas tirgū. Tas rada risku zāļu </w:t>
            </w:r>
            <w:r w:rsidR="00E2663F" w:rsidRPr="00BF33C6">
              <w:rPr>
                <w:rFonts w:ascii="Times New Roman" w:eastAsia="Times New Roman" w:hAnsi="Times New Roman" w:cs="Times New Roman"/>
                <w:sz w:val="24"/>
                <w:szCs w:val="24"/>
              </w:rPr>
              <w:t>nepieejamībai, tāpēc noteikumi ir jāprecizē, paredzot paralēlajam importētājam š</w:t>
            </w:r>
            <w:r w:rsidR="006E0150" w:rsidRPr="00BF33C6">
              <w:rPr>
                <w:rFonts w:ascii="Times New Roman" w:eastAsia="Times New Roman" w:hAnsi="Times New Roman" w:cs="Times New Roman"/>
                <w:sz w:val="24"/>
                <w:szCs w:val="24"/>
              </w:rPr>
              <w:t>ā</w:t>
            </w:r>
            <w:r w:rsidR="00E2663F" w:rsidRPr="00BF33C6">
              <w:rPr>
                <w:rFonts w:ascii="Times New Roman" w:eastAsia="Times New Roman" w:hAnsi="Times New Roman" w:cs="Times New Roman"/>
                <w:sz w:val="24"/>
                <w:szCs w:val="24"/>
              </w:rPr>
              <w:t>du pienākumu (projekta 2</w:t>
            </w:r>
            <w:r w:rsidR="0009492E" w:rsidRPr="00BF33C6">
              <w:rPr>
                <w:rFonts w:ascii="Times New Roman" w:eastAsia="Times New Roman" w:hAnsi="Times New Roman" w:cs="Times New Roman"/>
                <w:sz w:val="24"/>
                <w:szCs w:val="24"/>
              </w:rPr>
              <w:t>4</w:t>
            </w:r>
            <w:r w:rsidR="00E2663F" w:rsidRPr="00BF33C6">
              <w:rPr>
                <w:rFonts w:ascii="Times New Roman" w:eastAsia="Times New Roman" w:hAnsi="Times New Roman" w:cs="Times New Roman"/>
                <w:sz w:val="24"/>
                <w:szCs w:val="24"/>
              </w:rPr>
              <w:t>.</w:t>
            </w:r>
            <w:r w:rsidR="007645C0" w:rsidRPr="00BF33C6">
              <w:rPr>
                <w:rFonts w:ascii="Times New Roman" w:eastAsia="Times New Roman" w:hAnsi="Times New Roman" w:cs="Times New Roman"/>
                <w:sz w:val="24"/>
                <w:szCs w:val="24"/>
              </w:rPr>
              <w:t> </w:t>
            </w:r>
            <w:r w:rsidR="00E2663F" w:rsidRPr="00BF33C6">
              <w:rPr>
                <w:rFonts w:ascii="Times New Roman" w:eastAsia="Times New Roman" w:hAnsi="Times New Roman" w:cs="Times New Roman"/>
                <w:sz w:val="24"/>
                <w:szCs w:val="24"/>
              </w:rPr>
              <w:t>punkts).</w:t>
            </w:r>
            <w:r w:rsidR="00163EF2" w:rsidRPr="00BF33C6">
              <w:rPr>
                <w:rFonts w:ascii="Times New Roman" w:eastAsia="Times New Roman" w:hAnsi="Times New Roman" w:cs="Times New Roman"/>
                <w:sz w:val="24"/>
                <w:szCs w:val="24"/>
              </w:rPr>
              <w:t>”</w:t>
            </w:r>
          </w:p>
          <w:p w14:paraId="7C0AA9CD" w14:textId="2E9522CC" w:rsidR="00CB3B99" w:rsidRPr="00BF33C6" w:rsidRDefault="00CB3B99" w:rsidP="00E27E19">
            <w:pPr>
              <w:spacing w:after="0" w:line="240" w:lineRule="auto"/>
              <w:jc w:val="both"/>
              <w:rPr>
                <w:rFonts w:ascii="Times New Roman" w:hAnsi="Times New Roman" w:cs="Times New Roman"/>
                <w:sz w:val="24"/>
                <w:szCs w:val="24"/>
              </w:rPr>
            </w:pPr>
          </w:p>
          <w:p w14:paraId="05467102" w14:textId="1D57970D" w:rsidR="00AC4B5B" w:rsidRPr="00BF33C6" w:rsidRDefault="00AC4B5B"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Latvijas zāļu tirgū ir augsts zāļu mākslīgās nepieejamības risks</w:t>
            </w:r>
            <w:r w:rsidR="005D3A87" w:rsidRPr="00BF33C6">
              <w:rPr>
                <w:rFonts w:ascii="Times New Roman" w:hAnsi="Times New Roman" w:cs="Times New Roman"/>
                <w:sz w:val="24"/>
                <w:szCs w:val="24"/>
              </w:rPr>
              <w:t> </w:t>
            </w:r>
            <w:r w:rsidRPr="00BF33C6">
              <w:rPr>
                <w:rFonts w:ascii="Times New Roman" w:hAnsi="Times New Roman" w:cs="Times New Roman"/>
                <w:sz w:val="24"/>
                <w:szCs w:val="24"/>
              </w:rPr>
              <w:t>–</w:t>
            </w:r>
            <w:r w:rsidR="005D3A87" w:rsidRPr="00BF33C6">
              <w:rPr>
                <w:rFonts w:ascii="Times New Roman" w:hAnsi="Times New Roman" w:cs="Times New Roman"/>
                <w:sz w:val="24"/>
                <w:szCs w:val="24"/>
              </w:rPr>
              <w:t> </w:t>
            </w:r>
            <w:r w:rsidRPr="00BF33C6">
              <w:rPr>
                <w:rFonts w:ascii="Times New Roman" w:hAnsi="Times New Roman" w:cs="Times New Roman"/>
                <w:sz w:val="24"/>
                <w:szCs w:val="24"/>
              </w:rPr>
              <w:t>tā ir situācija, kad kādas konkrētas zāles faktiski ir atrodamas Latvijā pie kāda no zāļu izplatīšanā iesaistītajiem subjektiem, bet tās netiek piegādātas konkrētajai aptiekai pēc tās pieprasījuma saskaņā ar noteikumu 71.</w:t>
            </w:r>
            <w:r w:rsidR="005D3A87" w:rsidRPr="00BF33C6">
              <w:rPr>
                <w:rFonts w:ascii="Times New Roman" w:hAnsi="Times New Roman" w:cs="Times New Roman"/>
                <w:sz w:val="24"/>
                <w:szCs w:val="24"/>
              </w:rPr>
              <w:t> </w:t>
            </w:r>
            <w:r w:rsidRPr="00BF33C6">
              <w:rPr>
                <w:rFonts w:ascii="Times New Roman" w:hAnsi="Times New Roman" w:cs="Times New Roman"/>
                <w:sz w:val="24"/>
                <w:szCs w:val="24"/>
              </w:rPr>
              <w:t>punktu un tālāk izsniegtas pacientam, pamatojoties uz korporatīvajām saitēm, kuras izveidotas starp konkrēt</w:t>
            </w:r>
            <w:r w:rsidR="00E73AE5" w:rsidRPr="00BF33C6">
              <w:rPr>
                <w:rFonts w:ascii="Times New Roman" w:hAnsi="Times New Roman" w:cs="Times New Roman"/>
                <w:sz w:val="24"/>
                <w:szCs w:val="24"/>
              </w:rPr>
              <w:t>iem</w:t>
            </w:r>
            <w:r w:rsidRPr="00BF33C6">
              <w:rPr>
                <w:rFonts w:ascii="Times New Roman" w:hAnsi="Times New Roman" w:cs="Times New Roman"/>
                <w:sz w:val="24"/>
                <w:szCs w:val="24"/>
              </w:rPr>
              <w:t xml:space="preserve"> zāļu </w:t>
            </w:r>
            <w:r w:rsidR="00E73AE5" w:rsidRPr="00BF33C6">
              <w:rPr>
                <w:rFonts w:ascii="Times New Roman" w:hAnsi="Times New Roman" w:cs="Times New Roman"/>
                <w:sz w:val="24"/>
                <w:szCs w:val="24"/>
              </w:rPr>
              <w:t xml:space="preserve">vairumtirgotājiem </w:t>
            </w:r>
            <w:r w:rsidRPr="00BF33C6">
              <w:rPr>
                <w:rFonts w:ascii="Times New Roman" w:hAnsi="Times New Roman" w:cs="Times New Roman"/>
                <w:sz w:val="24"/>
                <w:szCs w:val="24"/>
              </w:rPr>
              <w:t>un aptiekām, vai tieši otrādi</w:t>
            </w:r>
            <w:r w:rsidR="005D3A87" w:rsidRPr="00BF33C6">
              <w:rPr>
                <w:rFonts w:ascii="Times New Roman" w:hAnsi="Times New Roman" w:cs="Times New Roman"/>
                <w:sz w:val="24"/>
                <w:szCs w:val="24"/>
              </w:rPr>
              <w:t> </w:t>
            </w:r>
            <w:r w:rsidRPr="00BF33C6">
              <w:rPr>
                <w:rFonts w:ascii="Times New Roman" w:hAnsi="Times New Roman" w:cs="Times New Roman"/>
                <w:sz w:val="24"/>
                <w:szCs w:val="24"/>
              </w:rPr>
              <w:t>–</w:t>
            </w:r>
            <w:r w:rsidR="005D3A87" w:rsidRPr="00BF33C6">
              <w:rPr>
                <w:rFonts w:ascii="Times New Roman" w:hAnsi="Times New Roman" w:cs="Times New Roman"/>
                <w:sz w:val="24"/>
                <w:szCs w:val="24"/>
              </w:rPr>
              <w:t> </w:t>
            </w:r>
            <w:r w:rsidRPr="00BF33C6">
              <w:rPr>
                <w:rFonts w:ascii="Times New Roman" w:hAnsi="Times New Roman" w:cs="Times New Roman"/>
                <w:sz w:val="24"/>
                <w:szCs w:val="24"/>
              </w:rPr>
              <w:t xml:space="preserve">pamatojoties </w:t>
            </w:r>
            <w:r w:rsidR="008E7B5B" w:rsidRPr="00BF33C6">
              <w:rPr>
                <w:rFonts w:ascii="Times New Roman" w:hAnsi="Times New Roman" w:cs="Times New Roman"/>
                <w:sz w:val="24"/>
                <w:szCs w:val="24"/>
              </w:rPr>
              <w:t>uz šādu saišu</w:t>
            </w:r>
            <w:r w:rsidRPr="00BF33C6">
              <w:rPr>
                <w:rFonts w:ascii="Times New Roman" w:hAnsi="Times New Roman" w:cs="Times New Roman"/>
                <w:sz w:val="24"/>
                <w:szCs w:val="24"/>
              </w:rPr>
              <w:t xml:space="preserve"> neesamību. </w:t>
            </w:r>
            <w:r w:rsidR="00712E40" w:rsidRPr="00BF33C6">
              <w:rPr>
                <w:rFonts w:ascii="Times New Roman" w:hAnsi="Times New Roman" w:cs="Times New Roman"/>
                <w:sz w:val="24"/>
                <w:szCs w:val="24"/>
              </w:rPr>
              <w:t>Tādēļ noteikum</w:t>
            </w:r>
            <w:r w:rsidR="00E73AE5" w:rsidRPr="00BF33C6">
              <w:rPr>
                <w:rFonts w:ascii="Times New Roman" w:hAnsi="Times New Roman" w:cs="Times New Roman"/>
                <w:sz w:val="24"/>
                <w:szCs w:val="24"/>
              </w:rPr>
              <w:t>o</w:t>
            </w:r>
            <w:r w:rsidR="00712E40" w:rsidRPr="00BF33C6">
              <w:rPr>
                <w:rFonts w:ascii="Times New Roman" w:hAnsi="Times New Roman" w:cs="Times New Roman"/>
                <w:sz w:val="24"/>
                <w:szCs w:val="24"/>
              </w:rPr>
              <w:t>s būtu jāatrunā detalizētāk</w:t>
            </w:r>
            <w:r w:rsidR="00C21623" w:rsidRPr="00BF33C6">
              <w:rPr>
                <w:rFonts w:ascii="Times New Roman" w:hAnsi="Times New Roman" w:cs="Times New Roman"/>
                <w:sz w:val="24"/>
                <w:szCs w:val="24"/>
              </w:rPr>
              <w:t>a</w:t>
            </w:r>
            <w:r w:rsidR="00712E40" w:rsidRPr="00BF33C6">
              <w:rPr>
                <w:rFonts w:ascii="Times New Roman" w:hAnsi="Times New Roman" w:cs="Times New Roman"/>
                <w:sz w:val="24"/>
                <w:szCs w:val="24"/>
              </w:rPr>
              <w:t xml:space="preserve"> kārtīb</w:t>
            </w:r>
            <w:r w:rsidR="00C21623" w:rsidRPr="00BF33C6">
              <w:rPr>
                <w:rFonts w:ascii="Times New Roman" w:hAnsi="Times New Roman" w:cs="Times New Roman"/>
                <w:sz w:val="24"/>
                <w:szCs w:val="24"/>
              </w:rPr>
              <w:t>a</w:t>
            </w:r>
            <w:r w:rsidR="00712E40" w:rsidRPr="00BF33C6">
              <w:rPr>
                <w:rFonts w:ascii="Times New Roman" w:hAnsi="Times New Roman" w:cs="Times New Roman"/>
                <w:sz w:val="24"/>
                <w:szCs w:val="24"/>
              </w:rPr>
              <w:t xml:space="preserve">, kādā aptiekas </w:t>
            </w:r>
            <w:proofErr w:type="spellStart"/>
            <w:r w:rsidR="00712E40" w:rsidRPr="00BF33C6">
              <w:rPr>
                <w:rFonts w:ascii="Times New Roman" w:hAnsi="Times New Roman" w:cs="Times New Roman"/>
                <w:sz w:val="24"/>
                <w:szCs w:val="24"/>
              </w:rPr>
              <w:t>pasūta</w:t>
            </w:r>
            <w:proofErr w:type="spellEnd"/>
            <w:r w:rsidR="00712E40" w:rsidRPr="00BF33C6">
              <w:rPr>
                <w:rFonts w:ascii="Times New Roman" w:hAnsi="Times New Roman" w:cs="Times New Roman"/>
                <w:sz w:val="24"/>
                <w:szCs w:val="24"/>
              </w:rPr>
              <w:t xml:space="preserve"> zāles</w:t>
            </w:r>
            <w:r w:rsidR="00B66AE3" w:rsidRPr="00BF33C6">
              <w:rPr>
                <w:rFonts w:ascii="Times New Roman" w:hAnsi="Times New Roman" w:cs="Times New Roman"/>
                <w:sz w:val="24"/>
                <w:szCs w:val="24"/>
              </w:rPr>
              <w:t xml:space="preserve"> </w:t>
            </w:r>
            <w:r w:rsidR="00E73AE5" w:rsidRPr="00BF33C6">
              <w:rPr>
                <w:rFonts w:ascii="Times New Roman" w:hAnsi="Times New Roman" w:cs="Times New Roman"/>
                <w:sz w:val="24"/>
                <w:szCs w:val="24"/>
              </w:rPr>
              <w:t xml:space="preserve">zāļu vairumtirgotājiem </w:t>
            </w:r>
            <w:r w:rsidR="00B66AE3" w:rsidRPr="00BF33C6">
              <w:rPr>
                <w:rFonts w:ascii="Times New Roman" w:hAnsi="Times New Roman" w:cs="Times New Roman"/>
                <w:sz w:val="24"/>
                <w:szCs w:val="24"/>
              </w:rPr>
              <w:t xml:space="preserve">un kādā </w:t>
            </w:r>
            <w:r w:rsidR="00E73AE5" w:rsidRPr="00BF33C6">
              <w:rPr>
                <w:rFonts w:ascii="Times New Roman" w:hAnsi="Times New Roman" w:cs="Times New Roman"/>
                <w:sz w:val="24"/>
                <w:szCs w:val="24"/>
              </w:rPr>
              <w:t xml:space="preserve">zāļu vairumtirgotāji </w:t>
            </w:r>
            <w:r w:rsidR="00B66AE3" w:rsidRPr="00BF33C6">
              <w:rPr>
                <w:rFonts w:ascii="Times New Roman" w:hAnsi="Times New Roman" w:cs="Times New Roman"/>
                <w:sz w:val="24"/>
                <w:szCs w:val="24"/>
              </w:rPr>
              <w:t xml:space="preserve">reaģē uz šādiem </w:t>
            </w:r>
            <w:r w:rsidR="00E13E5E" w:rsidRPr="00BF33C6">
              <w:rPr>
                <w:rFonts w:ascii="Times New Roman" w:hAnsi="Times New Roman" w:cs="Times New Roman"/>
                <w:sz w:val="24"/>
                <w:szCs w:val="24"/>
              </w:rPr>
              <w:t>aptieku</w:t>
            </w:r>
            <w:r w:rsidR="00C21623" w:rsidRPr="00BF33C6">
              <w:rPr>
                <w:rFonts w:ascii="Times New Roman" w:hAnsi="Times New Roman" w:cs="Times New Roman"/>
                <w:sz w:val="24"/>
                <w:szCs w:val="24"/>
              </w:rPr>
              <w:t xml:space="preserve"> </w:t>
            </w:r>
            <w:r w:rsidR="00B66AE3" w:rsidRPr="00BF33C6">
              <w:rPr>
                <w:rFonts w:ascii="Times New Roman" w:hAnsi="Times New Roman" w:cs="Times New Roman"/>
                <w:sz w:val="24"/>
                <w:szCs w:val="24"/>
              </w:rPr>
              <w:t>p</w:t>
            </w:r>
            <w:r w:rsidR="00C21623" w:rsidRPr="00BF33C6">
              <w:rPr>
                <w:rFonts w:ascii="Times New Roman" w:hAnsi="Times New Roman" w:cs="Times New Roman"/>
                <w:sz w:val="24"/>
                <w:szCs w:val="24"/>
              </w:rPr>
              <w:t>asūt</w:t>
            </w:r>
            <w:r w:rsidR="00B66AE3" w:rsidRPr="00BF33C6">
              <w:rPr>
                <w:rFonts w:ascii="Times New Roman" w:hAnsi="Times New Roman" w:cs="Times New Roman"/>
                <w:sz w:val="24"/>
                <w:szCs w:val="24"/>
              </w:rPr>
              <w:t>ījumiem</w:t>
            </w:r>
            <w:r w:rsidR="00A331D2" w:rsidRPr="00BF33C6">
              <w:rPr>
                <w:rFonts w:ascii="Times New Roman" w:hAnsi="Times New Roman" w:cs="Times New Roman"/>
                <w:sz w:val="24"/>
                <w:szCs w:val="24"/>
              </w:rPr>
              <w:t>, padarot šo procesu dokumentētu</w:t>
            </w:r>
            <w:r w:rsidR="00FC4CCF" w:rsidRPr="00BF33C6">
              <w:rPr>
                <w:rFonts w:ascii="Times New Roman" w:hAnsi="Times New Roman" w:cs="Times New Roman"/>
                <w:sz w:val="24"/>
                <w:szCs w:val="24"/>
              </w:rPr>
              <w:t xml:space="preserve"> un caurskatāmu</w:t>
            </w:r>
            <w:r w:rsidR="005D3A87" w:rsidRPr="00BF33C6">
              <w:rPr>
                <w:rFonts w:ascii="Times New Roman" w:hAnsi="Times New Roman" w:cs="Times New Roman"/>
                <w:sz w:val="24"/>
                <w:szCs w:val="24"/>
              </w:rPr>
              <w:t xml:space="preserve"> (projekta 2</w:t>
            </w:r>
            <w:r w:rsidR="0009492E" w:rsidRPr="00BF33C6">
              <w:rPr>
                <w:rFonts w:ascii="Times New Roman" w:hAnsi="Times New Roman" w:cs="Times New Roman"/>
                <w:sz w:val="24"/>
                <w:szCs w:val="24"/>
              </w:rPr>
              <w:t>8</w:t>
            </w:r>
            <w:r w:rsidR="005D3A87" w:rsidRPr="00BF33C6">
              <w:rPr>
                <w:rFonts w:ascii="Times New Roman" w:hAnsi="Times New Roman" w:cs="Times New Roman"/>
                <w:sz w:val="24"/>
                <w:szCs w:val="24"/>
              </w:rPr>
              <w:t>. </w:t>
            </w:r>
            <w:r w:rsidR="00014440" w:rsidRPr="00BF33C6">
              <w:rPr>
                <w:rFonts w:ascii="Times New Roman" w:hAnsi="Times New Roman" w:cs="Times New Roman"/>
                <w:sz w:val="24"/>
                <w:szCs w:val="24"/>
              </w:rPr>
              <w:t xml:space="preserve"> un 2</w:t>
            </w:r>
            <w:r w:rsidR="0009492E" w:rsidRPr="00BF33C6">
              <w:rPr>
                <w:rFonts w:ascii="Times New Roman" w:hAnsi="Times New Roman" w:cs="Times New Roman"/>
                <w:sz w:val="24"/>
                <w:szCs w:val="24"/>
              </w:rPr>
              <w:t>9</w:t>
            </w:r>
            <w:r w:rsidR="00014440" w:rsidRPr="00BF33C6">
              <w:rPr>
                <w:rFonts w:ascii="Times New Roman" w:hAnsi="Times New Roman" w:cs="Times New Roman"/>
                <w:sz w:val="24"/>
                <w:szCs w:val="24"/>
              </w:rPr>
              <w:t>. </w:t>
            </w:r>
            <w:r w:rsidR="005D3A87" w:rsidRPr="00BF33C6">
              <w:rPr>
                <w:rFonts w:ascii="Times New Roman" w:hAnsi="Times New Roman" w:cs="Times New Roman"/>
                <w:sz w:val="24"/>
                <w:szCs w:val="24"/>
              </w:rPr>
              <w:t>punkts)</w:t>
            </w:r>
            <w:r w:rsidR="00B66AE3" w:rsidRPr="00BF33C6">
              <w:rPr>
                <w:rFonts w:ascii="Times New Roman" w:hAnsi="Times New Roman" w:cs="Times New Roman"/>
                <w:sz w:val="24"/>
                <w:szCs w:val="24"/>
              </w:rPr>
              <w:t>.</w:t>
            </w:r>
          </w:p>
          <w:p w14:paraId="7A6A19F0" w14:textId="2865F496" w:rsidR="00AC4B5B" w:rsidRPr="00BF33C6" w:rsidRDefault="00AC4B5B" w:rsidP="00E27E19">
            <w:pPr>
              <w:spacing w:after="0" w:line="240" w:lineRule="auto"/>
              <w:jc w:val="both"/>
              <w:rPr>
                <w:rFonts w:ascii="Times New Roman" w:hAnsi="Times New Roman" w:cs="Times New Roman"/>
                <w:sz w:val="24"/>
                <w:szCs w:val="24"/>
              </w:rPr>
            </w:pPr>
          </w:p>
          <w:p w14:paraId="6A64D9C2" w14:textId="1E27F0EF" w:rsidR="00E7234B" w:rsidRPr="00BF33C6" w:rsidRDefault="00E7234B"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Noteikumu 78.</w:t>
            </w:r>
            <w:r w:rsidR="005D3A87" w:rsidRPr="00BF33C6">
              <w:rPr>
                <w:rFonts w:ascii="Times New Roman" w:hAnsi="Times New Roman" w:cs="Times New Roman"/>
                <w:sz w:val="24"/>
                <w:szCs w:val="24"/>
              </w:rPr>
              <w:t> </w:t>
            </w:r>
            <w:r w:rsidRPr="00BF33C6">
              <w:rPr>
                <w:rFonts w:ascii="Times New Roman" w:hAnsi="Times New Roman" w:cs="Times New Roman"/>
                <w:sz w:val="24"/>
                <w:szCs w:val="24"/>
              </w:rPr>
              <w:t>punktu ir jāprecizē, jo šobrīd nav skaidri noteikts, ka reģistrācijas īpašnieks pēc tam, kad ir apstiprinātas izmaiņas reģistrācijas dokumentācijā, ir tiesīgs</w:t>
            </w:r>
            <w:r w:rsidR="008C3371" w:rsidRPr="00BF33C6">
              <w:rPr>
                <w:rFonts w:ascii="Times New Roman" w:hAnsi="Times New Roman" w:cs="Times New Roman"/>
                <w:sz w:val="24"/>
                <w:szCs w:val="24"/>
              </w:rPr>
              <w:t xml:space="preserve"> turpināt</w:t>
            </w:r>
            <w:r w:rsidRPr="00BF33C6">
              <w:rPr>
                <w:rFonts w:ascii="Times New Roman" w:hAnsi="Times New Roman" w:cs="Times New Roman"/>
                <w:sz w:val="24"/>
                <w:szCs w:val="24"/>
              </w:rPr>
              <w:t xml:space="preserve"> laist tirgū</w:t>
            </w:r>
            <w:r w:rsidR="00BE4CF5" w:rsidRPr="00BF33C6">
              <w:rPr>
                <w:rFonts w:ascii="Times New Roman" w:hAnsi="Times New Roman" w:cs="Times New Roman"/>
                <w:sz w:val="24"/>
                <w:szCs w:val="24"/>
              </w:rPr>
              <w:t xml:space="preserve"> tikai tās</w:t>
            </w:r>
            <w:r w:rsidRPr="00BF33C6">
              <w:rPr>
                <w:rFonts w:ascii="Times New Roman" w:hAnsi="Times New Roman" w:cs="Times New Roman"/>
                <w:sz w:val="24"/>
                <w:szCs w:val="24"/>
              </w:rPr>
              <w:t xml:space="preserve"> zāles, kuras saražotas un kurām sērijas izlaide ir veikta pirms izmaiņu zāļu reģistrācijas dokumentācijā apstiprināšanas</w:t>
            </w:r>
            <w:r w:rsidR="005D3A87" w:rsidRPr="00BF33C6">
              <w:rPr>
                <w:rFonts w:ascii="Times New Roman" w:hAnsi="Times New Roman" w:cs="Times New Roman"/>
                <w:sz w:val="24"/>
                <w:szCs w:val="24"/>
              </w:rPr>
              <w:t xml:space="preserve"> (projekta </w:t>
            </w:r>
            <w:r w:rsidR="0009492E" w:rsidRPr="00BF33C6">
              <w:rPr>
                <w:rFonts w:ascii="Times New Roman" w:hAnsi="Times New Roman" w:cs="Times New Roman"/>
                <w:sz w:val="24"/>
                <w:szCs w:val="24"/>
              </w:rPr>
              <w:t>30</w:t>
            </w:r>
            <w:r w:rsidR="005D3A87" w:rsidRPr="00BF33C6">
              <w:rPr>
                <w:rFonts w:ascii="Times New Roman" w:hAnsi="Times New Roman" w:cs="Times New Roman"/>
                <w:sz w:val="24"/>
                <w:szCs w:val="24"/>
              </w:rPr>
              <w:t>.</w:t>
            </w:r>
            <w:r w:rsidR="00D424C4" w:rsidRPr="00BF33C6">
              <w:rPr>
                <w:rFonts w:ascii="Times New Roman" w:hAnsi="Times New Roman" w:cs="Times New Roman"/>
                <w:sz w:val="24"/>
                <w:szCs w:val="24"/>
              </w:rPr>
              <w:t> </w:t>
            </w:r>
            <w:r w:rsidR="005D3A87" w:rsidRPr="00BF33C6">
              <w:rPr>
                <w:rFonts w:ascii="Times New Roman" w:hAnsi="Times New Roman" w:cs="Times New Roman"/>
                <w:sz w:val="24"/>
                <w:szCs w:val="24"/>
              </w:rPr>
              <w:t>punkts)</w:t>
            </w:r>
            <w:r w:rsidR="00BE4CF5" w:rsidRPr="00BF33C6">
              <w:rPr>
                <w:rFonts w:ascii="Times New Roman" w:hAnsi="Times New Roman" w:cs="Times New Roman"/>
                <w:sz w:val="24"/>
                <w:szCs w:val="24"/>
              </w:rPr>
              <w:t>.</w:t>
            </w:r>
          </w:p>
          <w:p w14:paraId="1AA48539" w14:textId="77777777" w:rsidR="00E7234B" w:rsidRPr="00BF33C6" w:rsidRDefault="00E7234B" w:rsidP="00E27E19">
            <w:pPr>
              <w:spacing w:after="0" w:line="240" w:lineRule="auto"/>
              <w:jc w:val="both"/>
              <w:rPr>
                <w:rFonts w:ascii="Times New Roman" w:hAnsi="Times New Roman" w:cs="Times New Roman"/>
                <w:sz w:val="24"/>
                <w:szCs w:val="24"/>
              </w:rPr>
            </w:pPr>
          </w:p>
          <w:p w14:paraId="5371FF94" w14:textId="6C4459CD" w:rsidR="00A85E5C" w:rsidRPr="00BF33C6" w:rsidRDefault="00A85E5C"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Šobrīd spēkā esošā noteikumu 80.</w:t>
            </w:r>
            <w:r w:rsidR="005D3A87" w:rsidRPr="00BF33C6">
              <w:rPr>
                <w:rFonts w:ascii="Times New Roman" w:hAnsi="Times New Roman" w:cs="Times New Roman"/>
                <w:sz w:val="24"/>
                <w:szCs w:val="24"/>
              </w:rPr>
              <w:t> </w:t>
            </w:r>
            <w:r w:rsidRPr="00BF33C6">
              <w:rPr>
                <w:rFonts w:ascii="Times New Roman" w:hAnsi="Times New Roman" w:cs="Times New Roman"/>
                <w:sz w:val="24"/>
                <w:szCs w:val="24"/>
              </w:rPr>
              <w:t xml:space="preserve">punkta redakcija vairs neatbilst faktiskajai situācijai, jo aģentūra pieņem lēmumu tikai par nacionālā reģistrācijas procedūrā reģistrēto zāļu un </w:t>
            </w:r>
            <w:r w:rsidR="009166EC" w:rsidRPr="00BF33C6">
              <w:rPr>
                <w:rFonts w:ascii="Times New Roman" w:hAnsi="Times New Roman" w:cs="Times New Roman"/>
                <w:sz w:val="24"/>
                <w:szCs w:val="24"/>
              </w:rPr>
              <w:t xml:space="preserve">savstarpējā atzīšanas procedūrā  </w:t>
            </w:r>
            <w:r w:rsidRPr="00BF33C6">
              <w:rPr>
                <w:rFonts w:ascii="Times New Roman" w:hAnsi="Times New Roman" w:cs="Times New Roman"/>
                <w:sz w:val="24"/>
                <w:szCs w:val="24"/>
              </w:rPr>
              <w:t xml:space="preserve">un </w:t>
            </w:r>
            <w:r w:rsidR="009166EC" w:rsidRPr="00BF33C6">
              <w:rPr>
                <w:rFonts w:ascii="Times New Roman" w:hAnsi="Times New Roman" w:cs="Times New Roman"/>
                <w:sz w:val="24"/>
                <w:szCs w:val="24"/>
              </w:rPr>
              <w:t xml:space="preserve">decentralizētā reģistrēšanas </w:t>
            </w:r>
            <w:r w:rsidRPr="00BF33C6">
              <w:rPr>
                <w:rFonts w:ascii="Times New Roman" w:hAnsi="Times New Roman" w:cs="Times New Roman"/>
                <w:sz w:val="24"/>
                <w:szCs w:val="24"/>
              </w:rPr>
              <w:t xml:space="preserve">procedūrā reģistrēto zāļu, kurās Latvija ir atsauces valsts, izmaiņām atbilstoši Regulai 1234/2008 un noteikumiem </w:t>
            </w:r>
            <w:r w:rsidRPr="00BF33C6">
              <w:rPr>
                <w:rFonts w:ascii="Times New Roman" w:hAnsi="Times New Roman" w:cs="Times New Roman"/>
                <w:sz w:val="24"/>
                <w:szCs w:val="24"/>
              </w:rPr>
              <w:lastRenderedPageBreak/>
              <w:t>Nr.</w:t>
            </w:r>
            <w:r w:rsidR="00D424C4" w:rsidRPr="00BF33C6">
              <w:rPr>
                <w:rFonts w:ascii="Times New Roman" w:hAnsi="Times New Roman" w:cs="Times New Roman"/>
                <w:sz w:val="24"/>
                <w:szCs w:val="24"/>
              </w:rPr>
              <w:t> </w:t>
            </w:r>
            <w:r w:rsidRPr="00BF33C6">
              <w:rPr>
                <w:rFonts w:ascii="Times New Roman" w:hAnsi="Times New Roman" w:cs="Times New Roman"/>
                <w:sz w:val="24"/>
                <w:szCs w:val="24"/>
              </w:rPr>
              <w:t>376 (tātad tikai par mazu daļu izmaiņu ir aģentūras lēmums)</w:t>
            </w:r>
            <w:r w:rsidR="009166EC" w:rsidRPr="00BF33C6">
              <w:rPr>
                <w:rFonts w:ascii="Times New Roman" w:hAnsi="Times New Roman" w:cs="Times New Roman"/>
                <w:sz w:val="24"/>
                <w:szCs w:val="24"/>
              </w:rPr>
              <w:t xml:space="preserve">, tāpēc jāprecizē punkts </w:t>
            </w:r>
            <w:r w:rsidR="005D3A87" w:rsidRPr="00BF33C6">
              <w:rPr>
                <w:rFonts w:ascii="Times New Roman" w:hAnsi="Times New Roman" w:cs="Times New Roman"/>
                <w:sz w:val="24"/>
                <w:szCs w:val="24"/>
              </w:rPr>
              <w:t xml:space="preserve"> (Noteikumu projekta </w:t>
            </w:r>
            <w:r w:rsidR="009B2C32" w:rsidRPr="00BF33C6">
              <w:rPr>
                <w:rFonts w:ascii="Times New Roman" w:hAnsi="Times New Roman" w:cs="Times New Roman"/>
                <w:sz w:val="24"/>
                <w:szCs w:val="24"/>
              </w:rPr>
              <w:t>31</w:t>
            </w:r>
            <w:r w:rsidR="005D3A87" w:rsidRPr="00BF33C6">
              <w:rPr>
                <w:rFonts w:ascii="Times New Roman" w:hAnsi="Times New Roman" w:cs="Times New Roman"/>
                <w:sz w:val="24"/>
                <w:szCs w:val="24"/>
              </w:rPr>
              <w:t>. punkts)</w:t>
            </w:r>
            <w:r w:rsidRPr="00BF33C6">
              <w:rPr>
                <w:rFonts w:ascii="Times New Roman" w:hAnsi="Times New Roman" w:cs="Times New Roman"/>
                <w:sz w:val="24"/>
                <w:szCs w:val="24"/>
              </w:rPr>
              <w:t>.</w:t>
            </w:r>
          </w:p>
          <w:p w14:paraId="5766A01D" w14:textId="77777777" w:rsidR="00A85E5C" w:rsidRPr="00BF33C6" w:rsidRDefault="00A85E5C" w:rsidP="00E27E19">
            <w:pPr>
              <w:spacing w:after="0" w:line="240" w:lineRule="auto"/>
              <w:jc w:val="both"/>
              <w:rPr>
                <w:rFonts w:ascii="Times New Roman" w:hAnsi="Times New Roman" w:cs="Times New Roman"/>
                <w:sz w:val="24"/>
                <w:szCs w:val="24"/>
              </w:rPr>
            </w:pPr>
          </w:p>
          <w:p w14:paraId="651F2399" w14:textId="6154EC5C" w:rsidR="00897540" w:rsidRPr="00BF33C6" w:rsidRDefault="00897540"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Farmācijas likuma 10.panta 7.punkta „a” un „b” apakšpunkti nosaka aģentūras kompetenci, izsniedzot nereģistrētu zāļu izplatīšanas atļaujas. Saskaņā ar minēto normu aģentūra izsniedz nereģistrētu zāļu izplatīšanas atļauju ārvalstīs reģistrētām un lietotām zālēm</w:t>
            </w:r>
            <w:r w:rsidR="00E44473">
              <w:rPr>
                <w:rFonts w:ascii="Times New Roman" w:hAnsi="Times New Roman" w:cs="Times New Roman"/>
                <w:sz w:val="24"/>
                <w:szCs w:val="24"/>
              </w:rPr>
              <w:t>.</w:t>
            </w:r>
            <w:r w:rsidRPr="00BF33C6">
              <w:rPr>
                <w:rFonts w:ascii="Times New Roman" w:hAnsi="Times New Roman" w:cs="Times New Roman"/>
                <w:sz w:val="24"/>
                <w:szCs w:val="24"/>
              </w:rPr>
              <w:t xml:space="preserve"> Lai mazinātu administratīvo slogu komersantiem attiecībā uz nereģistrētu zāļu izplatīšanas atļaujas saņemšanas kārtību, nepieciešams precizēt </w:t>
            </w:r>
            <w:r w:rsidR="002D38E2" w:rsidRPr="00BF33C6">
              <w:rPr>
                <w:rFonts w:ascii="Times New Roman" w:hAnsi="Times New Roman" w:cs="Times New Roman"/>
                <w:sz w:val="24"/>
                <w:szCs w:val="24"/>
              </w:rPr>
              <w:t>n</w:t>
            </w:r>
            <w:r w:rsidRPr="00BF33C6">
              <w:rPr>
                <w:rFonts w:ascii="Times New Roman" w:hAnsi="Times New Roman" w:cs="Times New Roman"/>
                <w:sz w:val="24"/>
                <w:szCs w:val="24"/>
              </w:rPr>
              <w:t>oteikum</w:t>
            </w:r>
            <w:r w:rsidR="002D38E2" w:rsidRPr="00BF33C6">
              <w:rPr>
                <w:rFonts w:ascii="Times New Roman" w:hAnsi="Times New Roman" w:cs="Times New Roman"/>
                <w:sz w:val="24"/>
                <w:szCs w:val="24"/>
              </w:rPr>
              <w:t>u</w:t>
            </w:r>
            <w:r w:rsidRPr="00BF33C6">
              <w:rPr>
                <w:rFonts w:ascii="Times New Roman" w:hAnsi="Times New Roman" w:cs="Times New Roman"/>
                <w:sz w:val="24"/>
                <w:szCs w:val="24"/>
              </w:rPr>
              <w:t xml:space="preserve"> </w:t>
            </w:r>
            <w:r w:rsidR="002D38E2" w:rsidRPr="00BF33C6">
              <w:rPr>
                <w:rFonts w:ascii="Times New Roman" w:hAnsi="Times New Roman" w:cs="Times New Roman"/>
                <w:sz w:val="24"/>
                <w:szCs w:val="24"/>
              </w:rPr>
              <w:t>94.</w:t>
            </w:r>
            <w:r w:rsidR="002D38E2" w:rsidRPr="00BF33C6">
              <w:rPr>
                <w:rFonts w:ascii="Times New Roman" w:hAnsi="Times New Roman" w:cs="Times New Roman"/>
                <w:sz w:val="24"/>
                <w:szCs w:val="24"/>
                <w:vertAlign w:val="superscript"/>
              </w:rPr>
              <w:t>3</w:t>
            </w:r>
            <w:r w:rsidR="002D38E2" w:rsidRPr="00BF33C6">
              <w:rPr>
                <w:rFonts w:ascii="Times New Roman" w:hAnsi="Times New Roman" w:cs="Times New Roman"/>
                <w:sz w:val="24"/>
                <w:szCs w:val="24"/>
              </w:rPr>
              <w:t>1.</w:t>
            </w:r>
            <w:r w:rsidR="0016286A" w:rsidRPr="00BF33C6">
              <w:rPr>
                <w:rFonts w:ascii="Times New Roman" w:hAnsi="Times New Roman" w:cs="Times New Roman"/>
                <w:sz w:val="24"/>
                <w:szCs w:val="24"/>
              </w:rPr>
              <w:t>, 94.</w:t>
            </w:r>
            <w:r w:rsidR="0016286A" w:rsidRPr="00BF33C6">
              <w:rPr>
                <w:rFonts w:ascii="Times New Roman" w:hAnsi="Times New Roman" w:cs="Times New Roman"/>
                <w:sz w:val="24"/>
                <w:szCs w:val="24"/>
                <w:vertAlign w:val="superscript"/>
              </w:rPr>
              <w:t xml:space="preserve">8 </w:t>
            </w:r>
            <w:r w:rsidR="0016286A" w:rsidRPr="00BF33C6">
              <w:rPr>
                <w:rFonts w:ascii="Times New Roman" w:hAnsi="Times New Roman" w:cs="Times New Roman"/>
                <w:sz w:val="24"/>
                <w:szCs w:val="24"/>
              </w:rPr>
              <w:t>1., 94.</w:t>
            </w:r>
            <w:r w:rsidR="0016286A" w:rsidRPr="00BF33C6">
              <w:rPr>
                <w:rFonts w:ascii="Times New Roman" w:hAnsi="Times New Roman" w:cs="Times New Roman"/>
                <w:sz w:val="24"/>
                <w:szCs w:val="24"/>
                <w:vertAlign w:val="superscript"/>
              </w:rPr>
              <w:t xml:space="preserve">8 </w:t>
            </w:r>
            <w:r w:rsidR="0016286A" w:rsidRPr="00BF33C6">
              <w:rPr>
                <w:rFonts w:ascii="Times New Roman" w:hAnsi="Times New Roman" w:cs="Times New Roman"/>
                <w:sz w:val="24"/>
                <w:szCs w:val="24"/>
              </w:rPr>
              <w:t>1.</w:t>
            </w:r>
            <w:r w:rsidR="002C7E47" w:rsidRPr="00BF33C6">
              <w:rPr>
                <w:rFonts w:ascii="Times New Roman" w:hAnsi="Times New Roman" w:cs="Times New Roman"/>
                <w:sz w:val="24"/>
                <w:szCs w:val="24"/>
              </w:rPr>
              <w:t xml:space="preserve"> un 95.2.4. </w:t>
            </w:r>
            <w:r w:rsidR="0016286A" w:rsidRPr="00BF33C6">
              <w:rPr>
                <w:rFonts w:ascii="Times New Roman" w:hAnsi="Times New Roman" w:cs="Times New Roman"/>
                <w:sz w:val="24"/>
                <w:szCs w:val="24"/>
              </w:rPr>
              <w:t>apakš</w:t>
            </w:r>
            <w:r w:rsidR="002D38E2" w:rsidRPr="00BF33C6">
              <w:rPr>
                <w:rFonts w:ascii="Times New Roman" w:hAnsi="Times New Roman" w:cs="Times New Roman"/>
                <w:sz w:val="24"/>
                <w:szCs w:val="24"/>
              </w:rPr>
              <w:t>punktu</w:t>
            </w:r>
            <w:r w:rsidR="00D05D4C" w:rsidRPr="00BF33C6">
              <w:rPr>
                <w:rFonts w:ascii="Times New Roman" w:hAnsi="Times New Roman" w:cs="Times New Roman"/>
                <w:sz w:val="24"/>
                <w:szCs w:val="24"/>
              </w:rPr>
              <w:t xml:space="preserve"> un 6. un 7. pielikumu</w:t>
            </w:r>
            <w:r w:rsidR="002C7E47" w:rsidRPr="00BF33C6">
              <w:rPr>
                <w:rFonts w:ascii="Times New Roman" w:hAnsi="Times New Roman" w:cs="Times New Roman"/>
                <w:sz w:val="24"/>
                <w:szCs w:val="24"/>
              </w:rPr>
              <w:t xml:space="preserve"> (projekta 3</w:t>
            </w:r>
            <w:r w:rsidR="009B2C32" w:rsidRPr="00BF33C6">
              <w:rPr>
                <w:rFonts w:ascii="Times New Roman" w:hAnsi="Times New Roman" w:cs="Times New Roman"/>
                <w:sz w:val="24"/>
                <w:szCs w:val="24"/>
              </w:rPr>
              <w:t>5</w:t>
            </w:r>
            <w:r w:rsidR="00E7518A" w:rsidRPr="00BF33C6">
              <w:rPr>
                <w:rFonts w:ascii="Times New Roman" w:hAnsi="Times New Roman" w:cs="Times New Roman"/>
                <w:sz w:val="24"/>
                <w:szCs w:val="24"/>
              </w:rPr>
              <w:t>.</w:t>
            </w:r>
            <w:r w:rsidR="002C7E47" w:rsidRPr="00BF33C6">
              <w:rPr>
                <w:rFonts w:ascii="Times New Roman" w:hAnsi="Times New Roman" w:cs="Times New Roman"/>
                <w:sz w:val="24"/>
                <w:szCs w:val="24"/>
              </w:rPr>
              <w:t xml:space="preserve">, </w:t>
            </w:r>
            <w:r w:rsidR="000013A6" w:rsidRPr="00BF33C6">
              <w:rPr>
                <w:rFonts w:ascii="Times New Roman" w:hAnsi="Times New Roman" w:cs="Times New Roman"/>
                <w:sz w:val="24"/>
                <w:szCs w:val="24"/>
              </w:rPr>
              <w:t>4</w:t>
            </w:r>
            <w:r w:rsidR="009B2C32" w:rsidRPr="00BF33C6">
              <w:rPr>
                <w:rFonts w:ascii="Times New Roman" w:hAnsi="Times New Roman" w:cs="Times New Roman"/>
                <w:sz w:val="24"/>
                <w:szCs w:val="24"/>
              </w:rPr>
              <w:t>3</w:t>
            </w:r>
            <w:r w:rsidR="002C7E47" w:rsidRPr="00BF33C6">
              <w:rPr>
                <w:rFonts w:ascii="Times New Roman" w:hAnsi="Times New Roman" w:cs="Times New Roman"/>
                <w:sz w:val="24"/>
                <w:szCs w:val="24"/>
              </w:rPr>
              <w:t xml:space="preserve">., </w:t>
            </w:r>
            <w:r w:rsidR="000013A6" w:rsidRPr="00BF33C6">
              <w:rPr>
                <w:rFonts w:ascii="Times New Roman" w:hAnsi="Times New Roman" w:cs="Times New Roman"/>
                <w:sz w:val="24"/>
                <w:szCs w:val="24"/>
              </w:rPr>
              <w:t>4</w:t>
            </w:r>
            <w:r w:rsidR="009B2C32" w:rsidRPr="00BF33C6">
              <w:rPr>
                <w:rFonts w:ascii="Times New Roman" w:hAnsi="Times New Roman" w:cs="Times New Roman"/>
                <w:sz w:val="24"/>
                <w:szCs w:val="24"/>
              </w:rPr>
              <w:t>4</w:t>
            </w:r>
            <w:r w:rsidR="00FB13F4" w:rsidRPr="00BF33C6">
              <w:rPr>
                <w:rFonts w:ascii="Times New Roman" w:hAnsi="Times New Roman" w:cs="Times New Roman"/>
                <w:sz w:val="24"/>
                <w:szCs w:val="24"/>
              </w:rPr>
              <w:t>.</w:t>
            </w:r>
            <w:r w:rsidR="00D05D4C"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68</w:t>
            </w:r>
            <w:r w:rsidR="00D8392C"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69</w:t>
            </w:r>
            <w:r w:rsidR="00D8392C"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77</w:t>
            </w:r>
            <w:r w:rsidR="00D05D4C" w:rsidRPr="00BF33C6">
              <w:rPr>
                <w:rFonts w:ascii="Times New Roman" w:hAnsi="Times New Roman" w:cs="Times New Roman"/>
                <w:sz w:val="24"/>
                <w:szCs w:val="24"/>
              </w:rPr>
              <w:t>.</w:t>
            </w:r>
            <w:r w:rsidR="003F0C4A" w:rsidRPr="00BF33C6">
              <w:rPr>
                <w:rFonts w:ascii="Times New Roman" w:hAnsi="Times New Roman" w:cs="Times New Roman"/>
                <w:sz w:val="24"/>
                <w:szCs w:val="24"/>
              </w:rPr>
              <w:t> </w:t>
            </w:r>
            <w:r w:rsidR="00D05D4C" w:rsidRPr="00BF33C6">
              <w:rPr>
                <w:rFonts w:ascii="Times New Roman" w:hAnsi="Times New Roman" w:cs="Times New Roman"/>
                <w:sz w:val="24"/>
                <w:szCs w:val="24"/>
              </w:rPr>
              <w:t>punkts (attiecībā uz 4. piezīmi)</w:t>
            </w:r>
            <w:r w:rsidR="003F0C4A"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79</w:t>
            </w:r>
            <w:r w:rsidR="003F0C4A"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80</w:t>
            </w:r>
            <w:r w:rsidR="003F0C4A" w:rsidRPr="00BF33C6">
              <w:rPr>
                <w:rFonts w:ascii="Times New Roman" w:hAnsi="Times New Roman" w:cs="Times New Roman"/>
                <w:sz w:val="24"/>
                <w:szCs w:val="24"/>
              </w:rPr>
              <w:t>. un 8</w:t>
            </w:r>
            <w:r w:rsidR="009B2C32" w:rsidRPr="00BF33C6">
              <w:rPr>
                <w:rFonts w:ascii="Times New Roman" w:hAnsi="Times New Roman" w:cs="Times New Roman"/>
                <w:sz w:val="24"/>
                <w:szCs w:val="24"/>
              </w:rPr>
              <w:t>1</w:t>
            </w:r>
            <w:r w:rsidR="003F0C4A" w:rsidRPr="00BF33C6">
              <w:rPr>
                <w:rFonts w:ascii="Times New Roman" w:hAnsi="Times New Roman" w:cs="Times New Roman"/>
                <w:sz w:val="24"/>
                <w:szCs w:val="24"/>
              </w:rPr>
              <w:t>. punkt</w:t>
            </w:r>
            <w:r w:rsidR="002C7E47" w:rsidRPr="00BF33C6">
              <w:rPr>
                <w:rFonts w:ascii="Times New Roman" w:hAnsi="Times New Roman" w:cs="Times New Roman"/>
                <w:sz w:val="24"/>
                <w:szCs w:val="24"/>
              </w:rPr>
              <w:t>s)</w:t>
            </w:r>
            <w:r w:rsidR="002D38E2" w:rsidRPr="00BF33C6">
              <w:rPr>
                <w:rFonts w:ascii="Times New Roman" w:hAnsi="Times New Roman" w:cs="Times New Roman"/>
                <w:sz w:val="24"/>
                <w:szCs w:val="24"/>
              </w:rPr>
              <w:t>.</w:t>
            </w:r>
            <w:r w:rsidR="008C04BA">
              <w:rPr>
                <w:rFonts w:ascii="Times New Roman" w:hAnsi="Times New Roman" w:cs="Times New Roman"/>
                <w:sz w:val="24"/>
                <w:szCs w:val="24"/>
              </w:rPr>
              <w:t xml:space="preserve"> Ar minētajiem precizējumiem tiek radīta iespēja saņem nereģistrētu zāļu izplatīšanas atļauju uz vienu gadu arī tādām nereģistrētām zālēm, par kurām ir ārstniecības iestādes pieprasījums un ārstniecības personu profesionālās organizācijas atzinums, kurā būtu pamata konkrēto nereģistrēto zāļu nepieciešamība.</w:t>
            </w:r>
          </w:p>
          <w:p w14:paraId="76A58BC1" w14:textId="6FDF49FD" w:rsidR="00897540" w:rsidRPr="00BF33C6" w:rsidRDefault="00897540" w:rsidP="00E27E19">
            <w:pPr>
              <w:spacing w:after="0" w:line="240" w:lineRule="auto"/>
              <w:jc w:val="both"/>
              <w:rPr>
                <w:rFonts w:ascii="Times New Roman" w:hAnsi="Times New Roman" w:cs="Times New Roman"/>
                <w:sz w:val="24"/>
                <w:szCs w:val="24"/>
              </w:rPr>
            </w:pPr>
          </w:p>
          <w:p w14:paraId="682EB18E" w14:textId="137A6370" w:rsidR="00AB576D" w:rsidRPr="00BF33C6" w:rsidRDefault="00AB576D"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Lai atvieglotu nereģistrētu zāļu izplatīšanu un attiecīgi uzlabotu to pieejamību pacientiem Latvijā, ir nepieciešams</w:t>
            </w:r>
            <w:r w:rsidR="00AC6638" w:rsidRPr="00BF33C6">
              <w:rPr>
                <w:rFonts w:ascii="Times New Roman" w:hAnsi="Times New Roman" w:cs="Times New Roman"/>
                <w:sz w:val="24"/>
                <w:szCs w:val="24"/>
              </w:rPr>
              <w:t xml:space="preserve"> </w:t>
            </w:r>
            <w:r w:rsidR="008C04BA">
              <w:rPr>
                <w:rFonts w:ascii="Times New Roman" w:hAnsi="Times New Roman" w:cs="Times New Roman"/>
                <w:sz w:val="24"/>
                <w:szCs w:val="24"/>
              </w:rPr>
              <w:t xml:space="preserve">precizēt </w:t>
            </w:r>
            <w:r w:rsidR="00AC6638" w:rsidRPr="00BF33C6">
              <w:rPr>
                <w:rFonts w:ascii="Times New Roman" w:hAnsi="Times New Roman" w:cs="Times New Roman"/>
                <w:sz w:val="24"/>
                <w:szCs w:val="24"/>
              </w:rPr>
              <w:t>6.</w:t>
            </w:r>
            <w:r w:rsidR="002C7E47" w:rsidRPr="00BF33C6">
              <w:rPr>
                <w:rFonts w:ascii="Times New Roman" w:hAnsi="Times New Roman" w:cs="Times New Roman"/>
                <w:sz w:val="24"/>
                <w:szCs w:val="24"/>
              </w:rPr>
              <w:t> </w:t>
            </w:r>
            <w:r w:rsidR="00AC6638" w:rsidRPr="00BF33C6">
              <w:rPr>
                <w:rFonts w:ascii="Times New Roman" w:hAnsi="Times New Roman" w:cs="Times New Roman"/>
                <w:sz w:val="24"/>
                <w:szCs w:val="24"/>
              </w:rPr>
              <w:t>pielikum</w:t>
            </w:r>
            <w:r w:rsidR="00D05D4C" w:rsidRPr="00BF33C6">
              <w:rPr>
                <w:rFonts w:ascii="Times New Roman" w:hAnsi="Times New Roman" w:cs="Times New Roman"/>
                <w:sz w:val="24"/>
                <w:szCs w:val="24"/>
              </w:rPr>
              <w:t>u, tajā skaitā</w:t>
            </w:r>
            <w:r w:rsidR="00AC6638" w:rsidRPr="00BF33C6">
              <w:rPr>
                <w:rFonts w:ascii="Times New Roman" w:hAnsi="Times New Roman" w:cs="Times New Roman"/>
                <w:sz w:val="24"/>
                <w:szCs w:val="24"/>
              </w:rPr>
              <w:t xml:space="preserve"> svītrot norādi uz konkrētu aptieku, kura var izplatīt nereģistrētās zāl</w:t>
            </w:r>
            <w:r w:rsidR="00D05D4C" w:rsidRPr="00BF33C6">
              <w:rPr>
                <w:rFonts w:ascii="Times New Roman" w:hAnsi="Times New Roman" w:cs="Times New Roman"/>
                <w:sz w:val="24"/>
                <w:szCs w:val="24"/>
              </w:rPr>
              <w:t>es</w:t>
            </w:r>
            <w:r w:rsidR="002C7E47" w:rsidRPr="00BF33C6">
              <w:rPr>
                <w:rFonts w:ascii="Times New Roman" w:hAnsi="Times New Roman" w:cs="Times New Roman"/>
                <w:sz w:val="24"/>
                <w:szCs w:val="24"/>
              </w:rPr>
              <w:t xml:space="preserve"> </w:t>
            </w:r>
            <w:r w:rsidR="008066A7" w:rsidRPr="00BF33C6">
              <w:rPr>
                <w:rFonts w:ascii="Times New Roman" w:hAnsi="Times New Roman" w:cs="Times New Roman"/>
                <w:sz w:val="24"/>
                <w:szCs w:val="24"/>
              </w:rPr>
              <w:t xml:space="preserve">svītrotas neaktuālas normas (projekta </w:t>
            </w:r>
            <w:r w:rsidR="009B2C32" w:rsidRPr="00BF33C6">
              <w:rPr>
                <w:rFonts w:ascii="Times New Roman" w:hAnsi="Times New Roman" w:cs="Times New Roman"/>
                <w:sz w:val="24"/>
                <w:szCs w:val="24"/>
              </w:rPr>
              <w:t>76</w:t>
            </w:r>
            <w:r w:rsidR="008066A7" w:rsidRPr="00BF33C6">
              <w:rPr>
                <w:rFonts w:ascii="Times New Roman" w:hAnsi="Times New Roman" w:cs="Times New Roman"/>
                <w:sz w:val="24"/>
                <w:szCs w:val="24"/>
              </w:rPr>
              <w:t>. punkts).</w:t>
            </w:r>
          </w:p>
          <w:p w14:paraId="39ED5AEF" w14:textId="77777777" w:rsidR="00AB576D" w:rsidRPr="00BF33C6" w:rsidRDefault="00AB576D" w:rsidP="00E27E19">
            <w:pPr>
              <w:spacing w:after="0" w:line="240" w:lineRule="auto"/>
              <w:jc w:val="both"/>
              <w:rPr>
                <w:rFonts w:ascii="Times New Roman" w:hAnsi="Times New Roman" w:cs="Times New Roman"/>
                <w:sz w:val="24"/>
                <w:szCs w:val="24"/>
              </w:rPr>
            </w:pPr>
          </w:p>
          <w:p w14:paraId="2A6785B2" w14:textId="11FC766B" w:rsidR="003F0C4A" w:rsidRPr="00BF33C6" w:rsidRDefault="003F0C4A"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Lai atvieglotu nereģistrēto - līdzjūtības zāļu atļauju saņemšanu, mainīts to izsniegšanas koncepts. Ja pašreizējais regulējums noteica, ka atļauju izdod uz ārstniecības iestādes vārda, kas padarīja procesu sarežģītu, tad projekts paredz regulējumu šo atļauju izdod zāļu vairumtirgotājam, kas nodrošinās piegādes atļaujā norādītai ārstniecības iestādei. Šai sakarā konkretizēta šo atļauju izsniegšana (projekta 5.punkts (attiecībā uz 10.4.2. apakšpunktu), 3</w:t>
            </w:r>
            <w:r w:rsidR="009B2C32" w:rsidRPr="00BF33C6">
              <w:rPr>
                <w:rFonts w:ascii="Times New Roman" w:hAnsi="Times New Roman" w:cs="Times New Roman"/>
                <w:sz w:val="24"/>
                <w:szCs w:val="24"/>
              </w:rPr>
              <w:t>4</w:t>
            </w:r>
            <w:r w:rsidRPr="00BF33C6">
              <w:rPr>
                <w:rFonts w:ascii="Times New Roman" w:hAnsi="Times New Roman" w:cs="Times New Roman"/>
                <w:sz w:val="24"/>
                <w:szCs w:val="24"/>
              </w:rPr>
              <w:t>., 35., 3</w:t>
            </w:r>
            <w:r w:rsidR="009B2C32" w:rsidRPr="00BF33C6">
              <w:rPr>
                <w:rFonts w:ascii="Times New Roman" w:hAnsi="Times New Roman" w:cs="Times New Roman"/>
                <w:sz w:val="24"/>
                <w:szCs w:val="24"/>
              </w:rPr>
              <w:t>7</w:t>
            </w:r>
            <w:r w:rsidRPr="00BF33C6">
              <w:rPr>
                <w:rFonts w:ascii="Times New Roman" w:hAnsi="Times New Roman" w:cs="Times New Roman"/>
                <w:sz w:val="24"/>
                <w:szCs w:val="24"/>
              </w:rPr>
              <w:t>., 3</w:t>
            </w:r>
            <w:r w:rsidR="009B2C32" w:rsidRPr="00BF33C6">
              <w:rPr>
                <w:rFonts w:ascii="Times New Roman" w:hAnsi="Times New Roman" w:cs="Times New Roman"/>
                <w:sz w:val="24"/>
                <w:szCs w:val="24"/>
              </w:rPr>
              <w:t>8</w:t>
            </w:r>
            <w:r w:rsidRPr="00BF33C6">
              <w:rPr>
                <w:rFonts w:ascii="Times New Roman" w:hAnsi="Times New Roman" w:cs="Times New Roman"/>
                <w:sz w:val="24"/>
                <w:szCs w:val="24"/>
              </w:rPr>
              <w:t>., 3</w:t>
            </w:r>
            <w:r w:rsidR="009B2C32" w:rsidRPr="00BF33C6">
              <w:rPr>
                <w:rFonts w:ascii="Times New Roman" w:hAnsi="Times New Roman" w:cs="Times New Roman"/>
                <w:sz w:val="24"/>
                <w:szCs w:val="24"/>
              </w:rPr>
              <w:t>9</w:t>
            </w:r>
            <w:r w:rsidRPr="00BF33C6">
              <w:rPr>
                <w:rFonts w:ascii="Times New Roman" w:hAnsi="Times New Roman" w:cs="Times New Roman"/>
                <w:sz w:val="24"/>
                <w:szCs w:val="24"/>
              </w:rPr>
              <w:t>., 4</w:t>
            </w:r>
            <w:r w:rsidR="009B2C32" w:rsidRPr="00BF33C6">
              <w:rPr>
                <w:rFonts w:ascii="Times New Roman" w:hAnsi="Times New Roman" w:cs="Times New Roman"/>
                <w:sz w:val="24"/>
                <w:szCs w:val="24"/>
              </w:rPr>
              <w:t>2</w:t>
            </w:r>
            <w:r w:rsidRPr="00BF33C6">
              <w:rPr>
                <w:rFonts w:ascii="Times New Roman" w:hAnsi="Times New Roman" w:cs="Times New Roman"/>
                <w:sz w:val="24"/>
                <w:szCs w:val="24"/>
              </w:rPr>
              <w:t>., 46.,</w:t>
            </w:r>
            <w:r w:rsidR="00CB7E04" w:rsidRPr="00BF33C6">
              <w:rPr>
                <w:rFonts w:ascii="Times New Roman" w:hAnsi="Times New Roman" w:cs="Times New Roman"/>
                <w:sz w:val="24"/>
                <w:szCs w:val="24"/>
              </w:rPr>
              <w:t xml:space="preserve"> 4</w:t>
            </w:r>
            <w:r w:rsidR="009B2C32" w:rsidRPr="00BF33C6">
              <w:rPr>
                <w:rFonts w:ascii="Times New Roman" w:hAnsi="Times New Roman" w:cs="Times New Roman"/>
                <w:sz w:val="24"/>
                <w:szCs w:val="24"/>
              </w:rPr>
              <w:t>7</w:t>
            </w:r>
            <w:r w:rsidRPr="00BF33C6">
              <w:rPr>
                <w:rFonts w:ascii="Times New Roman" w:hAnsi="Times New Roman" w:cs="Times New Roman"/>
                <w:sz w:val="24"/>
                <w:szCs w:val="24"/>
              </w:rPr>
              <w:t>.,</w:t>
            </w:r>
            <w:r w:rsidR="009B2C32" w:rsidRPr="00BF33C6">
              <w:rPr>
                <w:rFonts w:ascii="Times New Roman" w:hAnsi="Times New Roman" w:cs="Times New Roman"/>
                <w:sz w:val="24"/>
                <w:szCs w:val="24"/>
              </w:rPr>
              <w:t>48</w:t>
            </w:r>
            <w:r w:rsidRPr="00BF33C6">
              <w:rPr>
                <w:rFonts w:ascii="Times New Roman" w:hAnsi="Times New Roman" w:cs="Times New Roman"/>
                <w:sz w:val="24"/>
                <w:szCs w:val="24"/>
              </w:rPr>
              <w:t>.,</w:t>
            </w:r>
            <w:r w:rsidR="00CB7E04"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49</w:t>
            </w:r>
            <w:r w:rsidRPr="00BF33C6">
              <w:rPr>
                <w:rFonts w:ascii="Times New Roman" w:hAnsi="Times New Roman" w:cs="Times New Roman"/>
                <w:sz w:val="24"/>
                <w:szCs w:val="24"/>
              </w:rPr>
              <w:t>.</w:t>
            </w:r>
            <w:r w:rsidR="00CB7E04"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77</w:t>
            </w:r>
            <w:r w:rsidR="00CB7E04" w:rsidRPr="00BF33C6">
              <w:rPr>
                <w:rFonts w:ascii="Times New Roman" w:hAnsi="Times New Roman" w:cs="Times New Roman"/>
                <w:sz w:val="24"/>
                <w:szCs w:val="24"/>
              </w:rPr>
              <w:t>.</w:t>
            </w:r>
            <w:r w:rsidRPr="00BF33C6">
              <w:rPr>
                <w:rFonts w:ascii="Times New Roman" w:hAnsi="Times New Roman" w:cs="Times New Roman"/>
                <w:sz w:val="24"/>
                <w:szCs w:val="24"/>
              </w:rPr>
              <w:t xml:space="preserve"> </w:t>
            </w:r>
            <w:r w:rsidR="00CB7E04" w:rsidRPr="00BF33C6">
              <w:rPr>
                <w:rFonts w:ascii="Times New Roman" w:hAnsi="Times New Roman" w:cs="Times New Roman"/>
                <w:sz w:val="24"/>
                <w:szCs w:val="24"/>
              </w:rPr>
              <w:t xml:space="preserve">un </w:t>
            </w:r>
            <w:r w:rsidR="009B2C32" w:rsidRPr="00BF33C6">
              <w:rPr>
                <w:rFonts w:ascii="Times New Roman" w:hAnsi="Times New Roman" w:cs="Times New Roman"/>
                <w:sz w:val="24"/>
                <w:szCs w:val="24"/>
              </w:rPr>
              <w:t>78</w:t>
            </w:r>
            <w:r w:rsidR="00CB7E04" w:rsidRPr="00BF33C6">
              <w:rPr>
                <w:rFonts w:ascii="Times New Roman" w:hAnsi="Times New Roman" w:cs="Times New Roman"/>
                <w:sz w:val="24"/>
                <w:szCs w:val="24"/>
              </w:rPr>
              <w:t xml:space="preserve">. </w:t>
            </w:r>
            <w:r w:rsidRPr="00BF33C6">
              <w:rPr>
                <w:rFonts w:ascii="Times New Roman" w:hAnsi="Times New Roman" w:cs="Times New Roman"/>
                <w:sz w:val="24"/>
                <w:szCs w:val="24"/>
              </w:rPr>
              <w:t>punkts.</w:t>
            </w:r>
          </w:p>
          <w:p w14:paraId="71A74E5B" w14:textId="77777777" w:rsidR="003F0C4A" w:rsidRPr="00BF33C6" w:rsidRDefault="003F0C4A" w:rsidP="00E27E19">
            <w:pPr>
              <w:spacing w:after="0" w:line="240" w:lineRule="auto"/>
              <w:jc w:val="both"/>
              <w:rPr>
                <w:rFonts w:ascii="Times New Roman" w:hAnsi="Times New Roman" w:cs="Times New Roman"/>
                <w:sz w:val="24"/>
                <w:szCs w:val="24"/>
              </w:rPr>
            </w:pPr>
          </w:p>
          <w:p w14:paraId="45229500" w14:textId="444A9FB2" w:rsidR="003F0C4A" w:rsidRPr="00BF33C6" w:rsidRDefault="003F0C4A"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Ir nepieciešams precizēt noteikumu 98.1. apakšpunktu</w:t>
            </w:r>
            <w:r w:rsidR="00CB7E04"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51</w:t>
            </w:r>
            <w:r w:rsidR="00CB7E04" w:rsidRPr="00BF33C6">
              <w:rPr>
                <w:rFonts w:ascii="Times New Roman" w:hAnsi="Times New Roman" w:cs="Times New Roman"/>
                <w:sz w:val="24"/>
                <w:szCs w:val="24"/>
              </w:rPr>
              <w:t>.</w:t>
            </w:r>
            <w:r w:rsidR="009B2C32" w:rsidRPr="00BF33C6">
              <w:rPr>
                <w:rFonts w:ascii="Times New Roman" w:hAnsi="Times New Roman" w:cs="Times New Roman"/>
                <w:sz w:val="24"/>
                <w:szCs w:val="24"/>
              </w:rPr>
              <w:t> </w:t>
            </w:r>
            <w:r w:rsidR="00CB7E04" w:rsidRPr="00BF33C6">
              <w:rPr>
                <w:rFonts w:ascii="Times New Roman" w:hAnsi="Times New Roman" w:cs="Times New Roman"/>
                <w:sz w:val="24"/>
                <w:szCs w:val="24"/>
              </w:rPr>
              <w:t>punkts)</w:t>
            </w:r>
            <w:r w:rsidRPr="00BF33C6">
              <w:rPr>
                <w:rFonts w:ascii="Times New Roman" w:hAnsi="Times New Roman" w:cs="Times New Roman"/>
                <w:sz w:val="24"/>
                <w:szCs w:val="24"/>
              </w:rPr>
              <w:t xml:space="preserve">, lai izslēgtu situāciju, kad </w:t>
            </w:r>
            <w:r w:rsidR="008C04BA">
              <w:rPr>
                <w:rFonts w:ascii="Times New Roman" w:hAnsi="Times New Roman" w:cs="Times New Roman"/>
                <w:sz w:val="24"/>
                <w:szCs w:val="24"/>
              </w:rPr>
              <w:t>noteikts</w:t>
            </w:r>
            <w:r w:rsidRPr="00BF33C6">
              <w:rPr>
                <w:rFonts w:ascii="Times New Roman" w:hAnsi="Times New Roman" w:cs="Times New Roman"/>
                <w:sz w:val="24"/>
                <w:szCs w:val="24"/>
              </w:rPr>
              <w:t xml:space="preserve"> </w:t>
            </w:r>
            <w:r w:rsidR="00CB7E04" w:rsidRPr="00BF33C6">
              <w:rPr>
                <w:rFonts w:ascii="Times New Roman" w:hAnsi="Times New Roman" w:cs="Times New Roman"/>
                <w:sz w:val="24"/>
                <w:szCs w:val="24"/>
              </w:rPr>
              <w:t>anulēt</w:t>
            </w:r>
            <w:r w:rsidRPr="00BF33C6">
              <w:rPr>
                <w:rFonts w:ascii="Times New Roman" w:hAnsi="Times New Roman" w:cs="Times New Roman"/>
                <w:sz w:val="24"/>
                <w:szCs w:val="24"/>
              </w:rPr>
              <w:t xml:space="preserve"> nereģistrēto zāļu izplatīšanas atļauju, ka</w:t>
            </w:r>
            <w:r w:rsidR="00621D0F" w:rsidRPr="00BF33C6">
              <w:rPr>
                <w:rFonts w:ascii="Times New Roman" w:hAnsi="Times New Roman" w:cs="Times New Roman"/>
                <w:sz w:val="24"/>
                <w:szCs w:val="24"/>
              </w:rPr>
              <w:t>d</w:t>
            </w:r>
            <w:r w:rsidRPr="00BF33C6">
              <w:rPr>
                <w:rFonts w:ascii="Times New Roman" w:hAnsi="Times New Roman" w:cs="Times New Roman"/>
                <w:sz w:val="24"/>
                <w:szCs w:val="24"/>
              </w:rPr>
              <w:t xml:space="preserve"> attiecīgās zāles reģistrē. </w:t>
            </w:r>
            <w:r w:rsidR="00CB7E04" w:rsidRPr="00BF33C6">
              <w:rPr>
                <w:rFonts w:ascii="Times New Roman" w:hAnsi="Times New Roman" w:cs="Times New Roman"/>
                <w:sz w:val="24"/>
                <w:szCs w:val="24"/>
              </w:rPr>
              <w:t>Tas var radīt zāļu nepieejamību, jo jāņem vērā, ka pēc zāļu</w:t>
            </w:r>
            <w:r w:rsidRPr="00BF33C6">
              <w:rPr>
                <w:rFonts w:ascii="Times New Roman" w:hAnsi="Times New Roman" w:cs="Times New Roman"/>
                <w:sz w:val="24"/>
                <w:szCs w:val="24"/>
              </w:rPr>
              <w:t xml:space="preserve"> reģistrācijas ne visas zāles ražotājs/ reģistrācijas īpašnieks uzsāk izplatīt Latvijā</w:t>
            </w:r>
            <w:r w:rsidR="00CB7E04" w:rsidRPr="00BF33C6">
              <w:rPr>
                <w:rFonts w:ascii="Times New Roman" w:hAnsi="Times New Roman" w:cs="Times New Roman"/>
                <w:sz w:val="24"/>
                <w:szCs w:val="24"/>
              </w:rPr>
              <w:t>.</w:t>
            </w:r>
          </w:p>
          <w:p w14:paraId="527AD8AC" w14:textId="77777777" w:rsidR="003F0C4A" w:rsidRPr="00BF33C6" w:rsidRDefault="003F0C4A" w:rsidP="00E27E19">
            <w:pPr>
              <w:spacing w:after="0" w:line="240" w:lineRule="auto"/>
              <w:jc w:val="both"/>
              <w:rPr>
                <w:rFonts w:ascii="Times New Roman" w:hAnsi="Times New Roman" w:cs="Times New Roman"/>
                <w:sz w:val="24"/>
                <w:szCs w:val="24"/>
              </w:rPr>
            </w:pPr>
          </w:p>
          <w:p w14:paraId="0040D7CE" w14:textId="488477BB" w:rsidR="00567EED" w:rsidRPr="00BF33C6" w:rsidRDefault="00567EED"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Nolūkā padarīt iespējamu Latvijas Republikas iedzīvotājiem iegādāties</w:t>
            </w:r>
            <w:r w:rsidR="00FB5C76" w:rsidRPr="00BF33C6">
              <w:rPr>
                <w:rFonts w:ascii="Times New Roman" w:hAnsi="Times New Roman" w:cs="Times New Roman"/>
                <w:sz w:val="24"/>
                <w:szCs w:val="24"/>
              </w:rPr>
              <w:t xml:space="preserve"> reģistrētas</w:t>
            </w:r>
            <w:r w:rsidRPr="00BF33C6">
              <w:rPr>
                <w:rFonts w:ascii="Times New Roman" w:hAnsi="Times New Roman" w:cs="Times New Roman"/>
                <w:sz w:val="24"/>
                <w:szCs w:val="24"/>
              </w:rPr>
              <w:t xml:space="preserve"> bezrecepšu zāles citu dalībvalstu </w:t>
            </w:r>
            <w:r w:rsidR="009F69B0" w:rsidRPr="00BF33C6">
              <w:rPr>
                <w:rFonts w:ascii="Times New Roman" w:hAnsi="Times New Roman" w:cs="Times New Roman"/>
                <w:sz w:val="24"/>
                <w:szCs w:val="24"/>
              </w:rPr>
              <w:t>aptiekās izmantojot informācijas sabiedrības pakalpojumus</w:t>
            </w:r>
            <w:r w:rsidRPr="00BF33C6">
              <w:rPr>
                <w:rFonts w:ascii="Times New Roman" w:hAnsi="Times New Roman" w:cs="Times New Roman"/>
                <w:sz w:val="24"/>
                <w:szCs w:val="24"/>
              </w:rPr>
              <w:t xml:space="preserve"> un citu</w:t>
            </w:r>
            <w:r w:rsidR="00FB5C76" w:rsidRPr="00BF33C6">
              <w:rPr>
                <w:rFonts w:ascii="Times New Roman" w:hAnsi="Times New Roman" w:cs="Times New Roman"/>
                <w:sz w:val="24"/>
                <w:szCs w:val="24"/>
              </w:rPr>
              <w:t xml:space="preserve"> Eiropas Savienības un Eiropas Ekonomiskās zonas</w:t>
            </w:r>
            <w:r w:rsidRPr="00BF33C6">
              <w:rPr>
                <w:rFonts w:ascii="Times New Roman" w:hAnsi="Times New Roman" w:cs="Times New Roman"/>
                <w:sz w:val="24"/>
                <w:szCs w:val="24"/>
              </w:rPr>
              <w:t xml:space="preserve"> dalībvalstu iedzīvotājiem iegādāties</w:t>
            </w:r>
            <w:r w:rsidR="00FB5C76" w:rsidRPr="00BF33C6">
              <w:rPr>
                <w:rFonts w:ascii="Times New Roman" w:hAnsi="Times New Roman" w:cs="Times New Roman"/>
                <w:sz w:val="24"/>
                <w:szCs w:val="24"/>
              </w:rPr>
              <w:t xml:space="preserve"> </w:t>
            </w:r>
            <w:r w:rsidR="00DC68E6" w:rsidRPr="00BF33C6">
              <w:rPr>
                <w:rFonts w:ascii="Times New Roman" w:hAnsi="Times New Roman" w:cs="Times New Roman"/>
                <w:sz w:val="24"/>
                <w:szCs w:val="24"/>
              </w:rPr>
              <w:t>reģistrētas</w:t>
            </w:r>
            <w:r w:rsidRPr="00BF33C6">
              <w:rPr>
                <w:rFonts w:ascii="Times New Roman" w:hAnsi="Times New Roman" w:cs="Times New Roman"/>
                <w:sz w:val="24"/>
                <w:szCs w:val="24"/>
              </w:rPr>
              <w:t xml:space="preserve"> bezrecepšu zāles Latvijas  aptiekās,</w:t>
            </w:r>
            <w:r w:rsidR="009F69B0" w:rsidRPr="00BF33C6">
              <w:rPr>
                <w:rFonts w:ascii="Times New Roman" w:hAnsi="Times New Roman" w:cs="Times New Roman"/>
                <w:sz w:val="24"/>
                <w:szCs w:val="24"/>
              </w:rPr>
              <w:t xml:space="preserve"> izmantojot informācijas sabiedrības pakalpojumus,</w:t>
            </w:r>
            <w:r w:rsidRPr="00BF33C6">
              <w:rPr>
                <w:rFonts w:ascii="Times New Roman" w:hAnsi="Times New Roman" w:cs="Times New Roman"/>
                <w:sz w:val="24"/>
                <w:szCs w:val="24"/>
              </w:rPr>
              <w:t xml:space="preserve"> ir </w:t>
            </w:r>
            <w:r w:rsidR="00774C26" w:rsidRPr="00BF33C6">
              <w:rPr>
                <w:rFonts w:ascii="Times New Roman" w:hAnsi="Times New Roman" w:cs="Times New Roman"/>
                <w:sz w:val="24"/>
                <w:szCs w:val="24"/>
              </w:rPr>
              <w:t xml:space="preserve">jāprecizē </w:t>
            </w:r>
            <w:r w:rsidR="00E977C6" w:rsidRPr="00BF33C6">
              <w:rPr>
                <w:rFonts w:ascii="Times New Roman" w:hAnsi="Times New Roman" w:cs="Times New Roman"/>
                <w:sz w:val="24"/>
                <w:szCs w:val="24"/>
              </w:rPr>
              <w:t xml:space="preserve">noteikumu IX. nodaļa, tuvinot to vairāk </w:t>
            </w:r>
            <w:r w:rsidR="009D0CF7" w:rsidRPr="00BF33C6">
              <w:rPr>
                <w:rFonts w:ascii="Times New Roman" w:hAnsi="Times New Roman" w:cs="Times New Roman"/>
                <w:sz w:val="24"/>
                <w:szCs w:val="24"/>
              </w:rPr>
              <w:t xml:space="preserve">Direktīvas 2001/83 (ar grozījumu - </w:t>
            </w:r>
            <w:r w:rsidR="00E977C6" w:rsidRPr="00BF33C6">
              <w:rPr>
                <w:rFonts w:ascii="Times New Roman" w:hAnsi="Times New Roman" w:cs="Times New Roman"/>
                <w:sz w:val="24"/>
                <w:szCs w:val="24"/>
                <w:shd w:val="clear" w:color="auto" w:fill="FFFFFF"/>
              </w:rPr>
              <w:t xml:space="preserve">Eiropas Parlamenta un Padomes 2011.gada 8.jūnija Direktīva </w:t>
            </w:r>
            <w:hyperlink r:id="rId9" w:tgtFrame="_blank" w:history="1">
              <w:r w:rsidR="00E977C6" w:rsidRPr="00BF33C6">
                <w:rPr>
                  <w:rStyle w:val="Hyperlink"/>
                  <w:rFonts w:ascii="Times New Roman" w:hAnsi="Times New Roman" w:cs="Times New Roman"/>
                  <w:color w:val="auto"/>
                  <w:sz w:val="24"/>
                  <w:szCs w:val="24"/>
                  <w:u w:val="none"/>
                </w:rPr>
                <w:t>2011/62/ES</w:t>
              </w:r>
            </w:hyperlink>
            <w:r w:rsidR="00E977C6" w:rsidRPr="00BF33C6">
              <w:rPr>
                <w:rFonts w:ascii="Times New Roman" w:hAnsi="Times New Roman" w:cs="Times New Roman"/>
                <w:sz w:val="24"/>
                <w:szCs w:val="24"/>
                <w:shd w:val="clear" w:color="auto" w:fill="FFFFFF"/>
              </w:rPr>
              <w:t xml:space="preserve">, ar ko Direktīvu </w:t>
            </w:r>
            <w:hyperlink r:id="rId10" w:tgtFrame="_blank" w:history="1">
              <w:r w:rsidR="00E977C6" w:rsidRPr="00BF33C6">
                <w:rPr>
                  <w:rStyle w:val="Hyperlink"/>
                  <w:rFonts w:ascii="Times New Roman" w:hAnsi="Times New Roman" w:cs="Times New Roman"/>
                  <w:color w:val="auto"/>
                  <w:sz w:val="24"/>
                  <w:szCs w:val="24"/>
                  <w:u w:val="none"/>
                </w:rPr>
                <w:t>2001/83/EK</w:t>
              </w:r>
            </w:hyperlink>
            <w:r w:rsidR="00E977C6" w:rsidRPr="00BF33C6">
              <w:rPr>
                <w:rFonts w:ascii="Times New Roman" w:hAnsi="Times New Roman" w:cs="Times New Roman"/>
                <w:sz w:val="24"/>
                <w:szCs w:val="24"/>
                <w:shd w:val="clear" w:color="auto" w:fill="FFFFFF"/>
              </w:rPr>
              <w:t xml:space="preserve"> par Kopienas kodeksu, kas attiecas uz cilvēkiem paredzētajām zālēm, groza attiecībā uz to, kā novērst viltotu zāļu nokļūšanu legālās piegādes ķēdēs, </w:t>
            </w:r>
            <w:r w:rsidR="009D0CF7" w:rsidRPr="00BF33C6">
              <w:rPr>
                <w:rFonts w:ascii="Times New Roman" w:hAnsi="Times New Roman" w:cs="Times New Roman"/>
                <w:sz w:val="24"/>
                <w:szCs w:val="24"/>
                <w:shd w:val="clear" w:color="auto" w:fill="FFFFFF"/>
              </w:rPr>
              <w:t>(</w:t>
            </w:r>
            <w:r w:rsidR="00E977C6" w:rsidRPr="00BF33C6">
              <w:rPr>
                <w:rFonts w:ascii="Times New Roman" w:hAnsi="Times New Roman" w:cs="Times New Roman"/>
                <w:sz w:val="24"/>
                <w:szCs w:val="24"/>
                <w:shd w:val="clear" w:color="auto" w:fill="FFFFFF"/>
              </w:rPr>
              <w:t>turpmāk -</w:t>
            </w:r>
            <w:r w:rsidR="00513E7E" w:rsidRPr="00BF33C6">
              <w:rPr>
                <w:rFonts w:ascii="Times New Roman" w:hAnsi="Times New Roman" w:cs="Times New Roman"/>
                <w:sz w:val="24"/>
                <w:szCs w:val="24"/>
                <w:shd w:val="clear" w:color="auto" w:fill="FFFFFF"/>
              </w:rPr>
              <w:t xml:space="preserve"> </w:t>
            </w:r>
            <w:r w:rsidR="00E977C6" w:rsidRPr="00BF33C6">
              <w:rPr>
                <w:rFonts w:ascii="Times New Roman" w:hAnsi="Times New Roman" w:cs="Times New Roman"/>
                <w:sz w:val="24"/>
                <w:szCs w:val="24"/>
              </w:rPr>
              <w:t>direktīva 2011/62)</w:t>
            </w:r>
            <w:r w:rsidR="009D0CF7" w:rsidRPr="00BF33C6">
              <w:rPr>
                <w:rFonts w:ascii="Times New Roman" w:hAnsi="Times New Roman" w:cs="Times New Roman"/>
                <w:sz w:val="24"/>
                <w:szCs w:val="24"/>
              </w:rPr>
              <w:t>)</w:t>
            </w:r>
            <w:r w:rsidR="00E977C6" w:rsidRPr="00BF33C6">
              <w:rPr>
                <w:rFonts w:ascii="Times New Roman" w:hAnsi="Times New Roman" w:cs="Times New Roman"/>
                <w:sz w:val="24"/>
                <w:szCs w:val="24"/>
              </w:rPr>
              <w:t xml:space="preserve"> attiecīgajām normām</w:t>
            </w:r>
            <w:r w:rsidR="002D3CA2" w:rsidRPr="00BF33C6">
              <w:rPr>
                <w:rFonts w:ascii="Times New Roman" w:hAnsi="Times New Roman" w:cs="Times New Roman"/>
                <w:sz w:val="24"/>
                <w:szCs w:val="24"/>
              </w:rPr>
              <w:t xml:space="preserve"> (projekta </w:t>
            </w:r>
            <w:r w:rsidR="008A6835" w:rsidRPr="00BF33C6">
              <w:rPr>
                <w:rFonts w:ascii="Times New Roman" w:hAnsi="Times New Roman" w:cs="Times New Roman"/>
                <w:sz w:val="24"/>
                <w:szCs w:val="24"/>
              </w:rPr>
              <w:t>5</w:t>
            </w:r>
            <w:r w:rsidR="009B2C32" w:rsidRPr="00BF33C6">
              <w:rPr>
                <w:rFonts w:ascii="Times New Roman" w:hAnsi="Times New Roman" w:cs="Times New Roman"/>
                <w:sz w:val="24"/>
                <w:szCs w:val="24"/>
              </w:rPr>
              <w:t>2</w:t>
            </w:r>
            <w:r w:rsidR="002D3CA2" w:rsidRPr="00BF33C6">
              <w:rPr>
                <w:rFonts w:ascii="Times New Roman" w:hAnsi="Times New Roman" w:cs="Times New Roman"/>
                <w:sz w:val="24"/>
                <w:szCs w:val="24"/>
              </w:rPr>
              <w:t xml:space="preserve">., </w:t>
            </w:r>
            <w:r w:rsidR="008A6835" w:rsidRPr="00BF33C6">
              <w:rPr>
                <w:rFonts w:ascii="Times New Roman" w:hAnsi="Times New Roman" w:cs="Times New Roman"/>
                <w:sz w:val="24"/>
                <w:szCs w:val="24"/>
              </w:rPr>
              <w:t>5</w:t>
            </w:r>
            <w:r w:rsidR="009B2C32" w:rsidRPr="00BF33C6">
              <w:rPr>
                <w:rFonts w:ascii="Times New Roman" w:hAnsi="Times New Roman" w:cs="Times New Roman"/>
                <w:sz w:val="24"/>
                <w:szCs w:val="24"/>
              </w:rPr>
              <w:t>3</w:t>
            </w:r>
            <w:r w:rsidR="002D3CA2" w:rsidRPr="00BF33C6">
              <w:rPr>
                <w:rFonts w:ascii="Times New Roman" w:hAnsi="Times New Roman" w:cs="Times New Roman"/>
                <w:sz w:val="24"/>
                <w:szCs w:val="24"/>
              </w:rPr>
              <w:t xml:space="preserve">., </w:t>
            </w:r>
            <w:r w:rsidR="008A6835" w:rsidRPr="00BF33C6">
              <w:rPr>
                <w:rFonts w:ascii="Times New Roman" w:hAnsi="Times New Roman" w:cs="Times New Roman"/>
                <w:sz w:val="24"/>
                <w:szCs w:val="24"/>
              </w:rPr>
              <w:t>5</w:t>
            </w:r>
            <w:r w:rsidR="009B2C32" w:rsidRPr="00BF33C6">
              <w:rPr>
                <w:rFonts w:ascii="Times New Roman" w:hAnsi="Times New Roman" w:cs="Times New Roman"/>
                <w:sz w:val="24"/>
                <w:szCs w:val="24"/>
              </w:rPr>
              <w:t>4</w:t>
            </w:r>
            <w:r w:rsidR="002D3CA2"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55</w:t>
            </w:r>
            <w:r w:rsidR="002D3CA2"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56</w:t>
            </w:r>
            <w:r w:rsidR="002D3CA2"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57</w:t>
            </w:r>
            <w:r w:rsidR="002D3CA2" w:rsidRPr="00BF33C6">
              <w:rPr>
                <w:rFonts w:ascii="Times New Roman" w:hAnsi="Times New Roman" w:cs="Times New Roman"/>
                <w:sz w:val="24"/>
                <w:szCs w:val="24"/>
              </w:rPr>
              <w:t>.</w:t>
            </w:r>
            <w:r w:rsidR="001E0744"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58</w:t>
            </w:r>
            <w:r w:rsidR="001E0744"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59</w:t>
            </w:r>
            <w:r w:rsidR="001E0744" w:rsidRPr="00BF33C6">
              <w:rPr>
                <w:rFonts w:ascii="Times New Roman" w:hAnsi="Times New Roman" w:cs="Times New Roman"/>
                <w:sz w:val="24"/>
                <w:szCs w:val="24"/>
              </w:rPr>
              <w:t>.</w:t>
            </w:r>
            <w:r w:rsidR="00D16934" w:rsidRPr="00BF33C6">
              <w:rPr>
                <w:rFonts w:ascii="Times New Roman" w:hAnsi="Times New Roman" w:cs="Times New Roman"/>
                <w:sz w:val="24"/>
                <w:szCs w:val="24"/>
              </w:rPr>
              <w:t xml:space="preserve"> un</w:t>
            </w:r>
            <w:r w:rsidR="002D3CA2" w:rsidRPr="00BF33C6">
              <w:rPr>
                <w:rFonts w:ascii="Times New Roman" w:hAnsi="Times New Roman" w:cs="Times New Roman"/>
                <w:sz w:val="24"/>
                <w:szCs w:val="24"/>
              </w:rPr>
              <w:t xml:space="preserve"> </w:t>
            </w:r>
            <w:r w:rsidR="009B2C32" w:rsidRPr="00BF33C6">
              <w:rPr>
                <w:rFonts w:ascii="Times New Roman" w:hAnsi="Times New Roman" w:cs="Times New Roman"/>
                <w:sz w:val="24"/>
                <w:szCs w:val="24"/>
              </w:rPr>
              <w:t>60</w:t>
            </w:r>
            <w:r w:rsidR="002D3CA2" w:rsidRPr="00BF33C6">
              <w:rPr>
                <w:rFonts w:ascii="Times New Roman" w:hAnsi="Times New Roman" w:cs="Times New Roman"/>
                <w:sz w:val="24"/>
                <w:szCs w:val="24"/>
              </w:rPr>
              <w:t>.punkts)</w:t>
            </w:r>
            <w:r w:rsidR="001347AD" w:rsidRPr="00BF33C6">
              <w:rPr>
                <w:rFonts w:ascii="Times New Roman" w:hAnsi="Times New Roman" w:cs="Times New Roman"/>
                <w:sz w:val="24"/>
                <w:szCs w:val="24"/>
              </w:rPr>
              <w:t>.</w:t>
            </w:r>
          </w:p>
          <w:p w14:paraId="52A3B88D" w14:textId="100F9063" w:rsidR="00567EED" w:rsidRPr="00BF33C6" w:rsidRDefault="00567EED" w:rsidP="00E27E19">
            <w:pPr>
              <w:spacing w:after="0" w:line="240" w:lineRule="auto"/>
              <w:jc w:val="both"/>
              <w:rPr>
                <w:rFonts w:ascii="Times New Roman" w:hAnsi="Times New Roman" w:cs="Times New Roman"/>
                <w:sz w:val="24"/>
                <w:szCs w:val="24"/>
              </w:rPr>
            </w:pPr>
          </w:p>
          <w:p w14:paraId="0999E5AC" w14:textId="76EDAAF5" w:rsidR="003E7250" w:rsidRPr="00BF33C6" w:rsidRDefault="00C838FA"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lastRenderedPageBreak/>
              <w:t>Regulējums noteikum</w:t>
            </w:r>
            <w:r w:rsidR="00261514" w:rsidRPr="00BF33C6">
              <w:rPr>
                <w:rFonts w:ascii="Times New Roman" w:hAnsi="Times New Roman" w:cs="Times New Roman"/>
                <w:sz w:val="24"/>
                <w:szCs w:val="24"/>
              </w:rPr>
              <w:t>u</w:t>
            </w:r>
            <w:r w:rsidRPr="00BF33C6">
              <w:rPr>
                <w:rFonts w:ascii="Times New Roman" w:hAnsi="Times New Roman" w:cs="Times New Roman"/>
                <w:sz w:val="24"/>
                <w:szCs w:val="24"/>
              </w:rPr>
              <w:t xml:space="preserve"> 104.</w:t>
            </w:r>
            <w:r w:rsidR="002D3CA2" w:rsidRPr="00BF33C6">
              <w:rPr>
                <w:rFonts w:ascii="Times New Roman" w:hAnsi="Times New Roman" w:cs="Times New Roman"/>
                <w:sz w:val="24"/>
                <w:szCs w:val="24"/>
              </w:rPr>
              <w:t> </w:t>
            </w:r>
            <w:r w:rsidRPr="00BF33C6">
              <w:rPr>
                <w:rFonts w:ascii="Times New Roman" w:hAnsi="Times New Roman" w:cs="Times New Roman"/>
                <w:sz w:val="24"/>
                <w:szCs w:val="24"/>
              </w:rPr>
              <w:t>punktā pieļauj zāles saņemt un nosūtīt pasta sūtījumos tikai licencētiem zāļu vairumtirgotājiem un saņemt tās ārstniecības iestādei, izslēdzot aptiekas, kas nav pieļaujams no labas zāļu izplatīšanas sistēmas organizācijas viedokļa</w:t>
            </w:r>
            <w:r w:rsidR="00017654" w:rsidRPr="00BF33C6">
              <w:rPr>
                <w:rFonts w:ascii="Times New Roman" w:hAnsi="Times New Roman" w:cs="Times New Roman"/>
                <w:sz w:val="24"/>
                <w:szCs w:val="24"/>
              </w:rPr>
              <w:t>.</w:t>
            </w:r>
            <w:r w:rsidRPr="00BF33C6">
              <w:rPr>
                <w:rFonts w:ascii="Times New Roman" w:hAnsi="Times New Roman" w:cs="Times New Roman"/>
                <w:sz w:val="24"/>
                <w:szCs w:val="24"/>
              </w:rPr>
              <w:t xml:space="preserve"> </w:t>
            </w:r>
            <w:r w:rsidR="00017654" w:rsidRPr="00BF33C6">
              <w:rPr>
                <w:rFonts w:ascii="Times New Roman" w:hAnsi="Times New Roman" w:cs="Times New Roman"/>
                <w:sz w:val="24"/>
                <w:szCs w:val="24"/>
              </w:rPr>
              <w:t>P</w:t>
            </w:r>
            <w:r w:rsidRPr="00BF33C6">
              <w:rPr>
                <w:rFonts w:ascii="Times New Roman" w:hAnsi="Times New Roman" w:cs="Times New Roman"/>
                <w:sz w:val="24"/>
                <w:szCs w:val="24"/>
              </w:rPr>
              <w:t>ašreizējais regulējums ierobežo  tiesības cilvēkiem, iegādājoties licencētā internet</w:t>
            </w:r>
            <w:r w:rsidR="009F69B0" w:rsidRPr="00BF33C6">
              <w:rPr>
                <w:rFonts w:ascii="Times New Roman" w:hAnsi="Times New Roman" w:cs="Times New Roman"/>
                <w:sz w:val="24"/>
                <w:szCs w:val="24"/>
              </w:rPr>
              <w:t>a</w:t>
            </w:r>
            <w:r w:rsidRPr="00BF33C6">
              <w:rPr>
                <w:rFonts w:ascii="Times New Roman" w:hAnsi="Times New Roman" w:cs="Times New Roman"/>
                <w:sz w:val="24"/>
                <w:szCs w:val="24"/>
              </w:rPr>
              <w:t xml:space="preserve"> aptiekā  bezrecepšu (OTC) zāles, tās saņemt pasta sūtījumu veidā, ir liegta iespēja pacientiem ērti saņemt zāles pasta sūtījumos,. Ierobežotas ir arī licencētas aptiekas tiesības  nosūtīt zāles pasta sūtījumā otrai aptiekai, piemēram, gadījumā, ja steidzami zāles nepieciešamas kādam pacientam, zāles nav aptiekas un lieltirgotavas krājumā, un cilvēkam nav ērti  mērot garu ceļa gabalu uz aptieku, kuras krājumā zāles ir,  piemēram, ja cilvēks dzīvo Tukumā, bet aptieka, kurai vienīga</w:t>
            </w:r>
            <w:r w:rsidR="00261514" w:rsidRPr="00BF33C6">
              <w:rPr>
                <w:rFonts w:ascii="Times New Roman" w:hAnsi="Times New Roman" w:cs="Times New Roman"/>
                <w:sz w:val="24"/>
                <w:szCs w:val="24"/>
              </w:rPr>
              <w:t>ja</w:t>
            </w:r>
            <w:r w:rsidRPr="00BF33C6">
              <w:rPr>
                <w:rFonts w:ascii="Times New Roman" w:hAnsi="Times New Roman" w:cs="Times New Roman"/>
                <w:sz w:val="24"/>
                <w:szCs w:val="24"/>
              </w:rPr>
              <w:t>i ir atlikušā krājumā viens oriģināls vajadzīgās zāles</w:t>
            </w:r>
            <w:r w:rsidR="00261514" w:rsidRPr="00BF33C6">
              <w:rPr>
                <w:rFonts w:ascii="Times New Roman" w:hAnsi="Times New Roman" w:cs="Times New Roman"/>
                <w:sz w:val="24"/>
                <w:szCs w:val="24"/>
              </w:rPr>
              <w:t>,</w:t>
            </w:r>
            <w:r w:rsidRPr="00BF33C6">
              <w:rPr>
                <w:rFonts w:ascii="Times New Roman" w:hAnsi="Times New Roman" w:cs="Times New Roman"/>
                <w:sz w:val="24"/>
                <w:szCs w:val="24"/>
              </w:rPr>
              <w:t xml:space="preserve"> atrodas Madonā.  Praksē šādi gadījumi ir bijuši,  un  kaut arī to skaits ir mazs, regulējumam </w:t>
            </w:r>
            <w:r w:rsidR="00261514" w:rsidRPr="00BF33C6">
              <w:rPr>
                <w:rFonts w:ascii="Times New Roman" w:hAnsi="Times New Roman" w:cs="Times New Roman"/>
                <w:sz w:val="24"/>
                <w:szCs w:val="24"/>
              </w:rPr>
              <w:t>ir</w:t>
            </w:r>
            <w:r w:rsidRPr="00BF33C6">
              <w:rPr>
                <w:rFonts w:ascii="Times New Roman" w:hAnsi="Times New Roman" w:cs="Times New Roman"/>
                <w:sz w:val="24"/>
                <w:szCs w:val="24"/>
              </w:rPr>
              <w:t xml:space="preserve"> jābūt, lai mazinātu zāļu nepieejamības riskus un nodrošinātu pacientam ērtu zāļu saņemšanu.</w:t>
            </w:r>
            <w:r w:rsidR="00221B34" w:rsidRPr="00BF33C6">
              <w:rPr>
                <w:rFonts w:ascii="Times New Roman" w:hAnsi="Times New Roman" w:cs="Times New Roman"/>
                <w:sz w:val="24"/>
                <w:szCs w:val="24"/>
              </w:rPr>
              <w:t xml:space="preserve"> Tādēļ n</w:t>
            </w:r>
            <w:r w:rsidR="003E7250" w:rsidRPr="00BF33C6">
              <w:rPr>
                <w:rFonts w:ascii="Times New Roman" w:hAnsi="Times New Roman" w:cs="Times New Roman"/>
                <w:sz w:val="24"/>
                <w:szCs w:val="24"/>
              </w:rPr>
              <w:t>oteikumus ir jāpapildina ar 104.3.</w:t>
            </w:r>
            <w:r w:rsidR="00111898" w:rsidRPr="00BF33C6">
              <w:rPr>
                <w:rFonts w:ascii="Times New Roman" w:hAnsi="Times New Roman" w:cs="Times New Roman"/>
                <w:sz w:val="24"/>
                <w:szCs w:val="24"/>
              </w:rPr>
              <w:t> </w:t>
            </w:r>
            <w:r w:rsidR="003E7250" w:rsidRPr="00BF33C6">
              <w:rPr>
                <w:rFonts w:ascii="Times New Roman" w:hAnsi="Times New Roman" w:cs="Times New Roman"/>
                <w:sz w:val="24"/>
                <w:szCs w:val="24"/>
              </w:rPr>
              <w:t>apakšpunktu, lai noteiktu, ka</w:t>
            </w:r>
            <w:r w:rsidR="00D12E67" w:rsidRPr="00BF33C6">
              <w:rPr>
                <w:rFonts w:ascii="Times New Roman" w:hAnsi="Times New Roman" w:cs="Times New Roman"/>
                <w:sz w:val="24"/>
                <w:szCs w:val="24"/>
              </w:rPr>
              <w:t xml:space="preserve"> arī</w:t>
            </w:r>
            <w:r w:rsidR="003E7250" w:rsidRPr="00BF33C6">
              <w:rPr>
                <w:rFonts w:ascii="Times New Roman" w:hAnsi="Times New Roman" w:cs="Times New Roman"/>
                <w:sz w:val="24"/>
                <w:szCs w:val="24"/>
              </w:rPr>
              <w:t xml:space="preserve"> vispārēja jeb atvērta tipa aptiekas ir tiesīgas piegādāt zāles pasta sūtījumā</w:t>
            </w:r>
            <w:r w:rsidR="00111898"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61</w:t>
            </w:r>
            <w:r w:rsidR="00111898" w:rsidRPr="00BF33C6">
              <w:rPr>
                <w:rFonts w:ascii="Times New Roman" w:hAnsi="Times New Roman" w:cs="Times New Roman"/>
                <w:sz w:val="24"/>
                <w:szCs w:val="24"/>
              </w:rPr>
              <w:t>. punkts)</w:t>
            </w:r>
            <w:r w:rsidR="003E7250" w:rsidRPr="00BF33C6">
              <w:rPr>
                <w:rFonts w:ascii="Times New Roman" w:hAnsi="Times New Roman" w:cs="Times New Roman"/>
                <w:sz w:val="24"/>
                <w:szCs w:val="24"/>
              </w:rPr>
              <w:t>.</w:t>
            </w:r>
          </w:p>
          <w:p w14:paraId="461B5B0F" w14:textId="77777777" w:rsidR="003E7250" w:rsidRPr="00BF33C6" w:rsidRDefault="003E7250" w:rsidP="00E27E19">
            <w:pPr>
              <w:spacing w:after="0" w:line="240" w:lineRule="auto"/>
              <w:jc w:val="both"/>
              <w:rPr>
                <w:rFonts w:ascii="Times New Roman" w:hAnsi="Times New Roman" w:cs="Times New Roman"/>
                <w:sz w:val="24"/>
                <w:szCs w:val="24"/>
              </w:rPr>
            </w:pPr>
          </w:p>
          <w:p w14:paraId="5C9503D2" w14:textId="7D437F2E" w:rsidR="000921FF" w:rsidRPr="00BF33C6" w:rsidRDefault="000921FF"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Šobrīd Zāļu valsts aģentūrai nepieciešamos zāļu paraugus tās uzdevumā izņem Veselības inspekcija, kas ir uzskatāms par nelietderīgu Veselības inspekcijas cilvēkresursu izmantošanu. Daudz efektīvāk būtu Zāļu valsts aģentūrai pašai izņemt tai nepieciešamos zāļu paraugus</w:t>
            </w:r>
            <w:r w:rsidR="004115F2" w:rsidRPr="00BF33C6">
              <w:rPr>
                <w:rFonts w:ascii="Times New Roman" w:hAnsi="Times New Roman" w:cs="Times New Roman"/>
                <w:sz w:val="24"/>
                <w:szCs w:val="24"/>
              </w:rPr>
              <w:t>, piemēram, gadījumos, kad Zāļu valsts aģentūra pārbauda atbilstību zāļu labas ražošanas prakses vai zāļu labas izplatīšanas prakses prasībām</w:t>
            </w:r>
            <w:r w:rsidRPr="00BF33C6">
              <w:rPr>
                <w:rFonts w:ascii="Times New Roman" w:hAnsi="Times New Roman" w:cs="Times New Roman"/>
                <w:sz w:val="24"/>
                <w:szCs w:val="24"/>
              </w:rPr>
              <w:t>. Tādēļ ir nepieciešams attiecīgi papildināt noteikumu 109.</w:t>
            </w:r>
            <w:r w:rsidR="00111898" w:rsidRPr="00BF33C6">
              <w:rPr>
                <w:rFonts w:ascii="Times New Roman" w:hAnsi="Times New Roman" w:cs="Times New Roman"/>
                <w:sz w:val="24"/>
                <w:szCs w:val="24"/>
              </w:rPr>
              <w:t> </w:t>
            </w:r>
            <w:r w:rsidRPr="00BF33C6">
              <w:rPr>
                <w:rFonts w:ascii="Times New Roman" w:hAnsi="Times New Roman" w:cs="Times New Roman"/>
                <w:sz w:val="24"/>
                <w:szCs w:val="24"/>
              </w:rPr>
              <w:t>punktu</w:t>
            </w:r>
            <w:r w:rsidR="00111898"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63</w:t>
            </w:r>
            <w:r w:rsidR="00111898" w:rsidRPr="00BF33C6">
              <w:rPr>
                <w:rFonts w:ascii="Times New Roman" w:hAnsi="Times New Roman" w:cs="Times New Roman"/>
                <w:sz w:val="24"/>
                <w:szCs w:val="24"/>
              </w:rPr>
              <w:t>. punkts)</w:t>
            </w:r>
            <w:r w:rsidRPr="00BF33C6">
              <w:rPr>
                <w:rFonts w:ascii="Times New Roman" w:hAnsi="Times New Roman" w:cs="Times New Roman"/>
                <w:sz w:val="24"/>
                <w:szCs w:val="24"/>
              </w:rPr>
              <w:t>.</w:t>
            </w:r>
          </w:p>
          <w:p w14:paraId="5BC0793C" w14:textId="7D928825" w:rsidR="000921FF" w:rsidRPr="00BF33C6" w:rsidRDefault="000921FF" w:rsidP="00E27E19">
            <w:pPr>
              <w:spacing w:after="0" w:line="240" w:lineRule="auto"/>
              <w:jc w:val="both"/>
              <w:rPr>
                <w:rFonts w:ascii="Times New Roman" w:hAnsi="Times New Roman" w:cs="Times New Roman"/>
                <w:sz w:val="24"/>
                <w:szCs w:val="24"/>
              </w:rPr>
            </w:pPr>
          </w:p>
          <w:p w14:paraId="06D7E479" w14:textId="426301C0" w:rsidR="008B26AC" w:rsidRPr="00BF33C6" w:rsidRDefault="008B26AC"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Attiecībā uz šo noteikumu 8. pielikuma 4. un 5. punktā minētajām zālēm, kuras ir paralēli importētas, paralēli izplatītas vai nereģistrētās zāles, Zāļu valsts aģentūrai patstāvīgi no otras dalībvalsts kompetentās iestādes ir jāiegūst šīm zālēm izdoto Eiropas Ekonomikas zonas valsts oficiālās zāļu kontroles laboratorijas sertifikātu (OCABR). Tādēļ ir nepieciešams papildināt noteikumus ar jaunu 109.</w:t>
            </w:r>
            <w:r w:rsidRPr="00BF33C6">
              <w:rPr>
                <w:rFonts w:ascii="Times New Roman" w:hAnsi="Times New Roman" w:cs="Times New Roman"/>
                <w:sz w:val="24"/>
                <w:szCs w:val="24"/>
                <w:vertAlign w:val="superscript"/>
              </w:rPr>
              <w:t>1</w:t>
            </w:r>
            <w:r w:rsidRPr="00BF33C6">
              <w:rPr>
                <w:rFonts w:ascii="Times New Roman" w:hAnsi="Times New Roman" w:cs="Times New Roman"/>
                <w:sz w:val="24"/>
                <w:szCs w:val="24"/>
              </w:rPr>
              <w:t xml:space="preserve"> </w:t>
            </w:r>
            <w:r w:rsidR="00717636" w:rsidRPr="00BF33C6">
              <w:rPr>
                <w:rFonts w:ascii="Times New Roman" w:hAnsi="Times New Roman" w:cs="Times New Roman"/>
                <w:sz w:val="24"/>
                <w:szCs w:val="24"/>
              </w:rPr>
              <w:t>un 109.</w:t>
            </w:r>
            <w:r w:rsidR="00717636" w:rsidRPr="00BF33C6">
              <w:rPr>
                <w:rFonts w:ascii="Times New Roman" w:hAnsi="Times New Roman" w:cs="Times New Roman"/>
                <w:sz w:val="24"/>
                <w:szCs w:val="24"/>
                <w:vertAlign w:val="superscript"/>
              </w:rPr>
              <w:t>2 </w:t>
            </w:r>
            <w:r w:rsidRPr="00BF33C6">
              <w:rPr>
                <w:rFonts w:ascii="Times New Roman" w:hAnsi="Times New Roman" w:cs="Times New Roman"/>
                <w:sz w:val="24"/>
                <w:szCs w:val="24"/>
              </w:rPr>
              <w:t xml:space="preserve">punktu (projekta </w:t>
            </w:r>
            <w:r w:rsidR="009B2C32" w:rsidRPr="00BF33C6">
              <w:rPr>
                <w:rFonts w:ascii="Times New Roman" w:hAnsi="Times New Roman" w:cs="Times New Roman"/>
                <w:sz w:val="24"/>
                <w:szCs w:val="24"/>
              </w:rPr>
              <w:t>64</w:t>
            </w:r>
            <w:r w:rsidRPr="00BF33C6">
              <w:rPr>
                <w:rFonts w:ascii="Times New Roman" w:hAnsi="Times New Roman" w:cs="Times New Roman"/>
                <w:sz w:val="24"/>
                <w:szCs w:val="24"/>
              </w:rPr>
              <w:t>.punkts).</w:t>
            </w:r>
          </w:p>
          <w:p w14:paraId="66F5E24E" w14:textId="77777777" w:rsidR="008B26AC" w:rsidRPr="00BF33C6" w:rsidRDefault="008B26AC" w:rsidP="00E27E19">
            <w:pPr>
              <w:spacing w:after="0" w:line="240" w:lineRule="auto"/>
              <w:jc w:val="both"/>
              <w:rPr>
                <w:rFonts w:ascii="Times New Roman" w:hAnsi="Times New Roman" w:cs="Times New Roman"/>
                <w:sz w:val="24"/>
                <w:szCs w:val="24"/>
              </w:rPr>
            </w:pPr>
          </w:p>
          <w:p w14:paraId="506B60FA" w14:textId="7CAF9F57" w:rsidR="00BF4EAE" w:rsidRPr="00BF33C6" w:rsidRDefault="00BF4EAE"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Ir nepieciešams papildināt 116.</w:t>
            </w:r>
            <w:r w:rsidRPr="00BF33C6">
              <w:rPr>
                <w:rFonts w:ascii="Times New Roman" w:hAnsi="Times New Roman" w:cs="Times New Roman"/>
                <w:sz w:val="24"/>
                <w:szCs w:val="24"/>
                <w:vertAlign w:val="superscript"/>
              </w:rPr>
              <w:t>2</w:t>
            </w:r>
            <w:r w:rsidRPr="00BF33C6">
              <w:rPr>
                <w:rFonts w:ascii="Times New Roman" w:hAnsi="Times New Roman" w:cs="Times New Roman"/>
                <w:sz w:val="24"/>
                <w:szCs w:val="24"/>
              </w:rPr>
              <w:t xml:space="preserve"> punktu aiz vārdiem “Farmācijas likuma” ar skaitļiem un vārdiem </w:t>
            </w:r>
            <w:r w:rsidR="004115F2" w:rsidRPr="00BF33C6">
              <w:rPr>
                <w:rFonts w:ascii="Times New Roman" w:hAnsi="Times New Roman" w:cs="Times New Roman"/>
                <w:sz w:val="24"/>
                <w:szCs w:val="24"/>
              </w:rPr>
              <w:t>“</w:t>
            </w:r>
            <w:hyperlink r:id="rId11" w:anchor="p52" w:tgtFrame="_blank" w:history="1">
              <w:r w:rsidR="004115F2" w:rsidRPr="00BF33C6">
                <w:rPr>
                  <w:rStyle w:val="Hyperlink"/>
                  <w:rFonts w:ascii="Times New Roman" w:hAnsi="Times New Roman" w:cs="Times New Roman"/>
                  <w:color w:val="auto"/>
                  <w:sz w:val="24"/>
                  <w:szCs w:val="24"/>
                  <w:u w:val="none"/>
                </w:rPr>
                <w:t>38. panta pirmajā daļā</w:t>
              </w:r>
            </w:hyperlink>
            <w:r w:rsidR="004115F2" w:rsidRPr="00BF33C6">
              <w:rPr>
                <w:rFonts w:ascii="Times New Roman" w:hAnsi="Times New Roman" w:cs="Times New Roman"/>
                <w:sz w:val="24"/>
                <w:szCs w:val="24"/>
              </w:rPr>
              <w:t xml:space="preserve">, </w:t>
            </w:r>
            <w:hyperlink r:id="rId12" w:anchor="p52.1" w:tgtFrame="_blank" w:history="1">
              <w:r w:rsidR="004115F2" w:rsidRPr="00BF33C6">
                <w:rPr>
                  <w:rStyle w:val="Hyperlink"/>
                  <w:rFonts w:ascii="Times New Roman" w:hAnsi="Times New Roman" w:cs="Times New Roman"/>
                  <w:color w:val="auto"/>
                  <w:sz w:val="24"/>
                  <w:szCs w:val="24"/>
                  <w:u w:val="none"/>
                </w:rPr>
                <w:t>46.</w:t>
              </w:r>
              <w:r w:rsidR="004115F2" w:rsidRPr="00BF33C6">
                <w:rPr>
                  <w:rStyle w:val="Hyperlink"/>
                  <w:rFonts w:ascii="Times New Roman" w:hAnsi="Times New Roman" w:cs="Times New Roman"/>
                  <w:color w:val="auto"/>
                  <w:sz w:val="24"/>
                  <w:szCs w:val="24"/>
                  <w:u w:val="none"/>
                  <w:vertAlign w:val="superscript"/>
                </w:rPr>
                <w:t>1 </w:t>
              </w:r>
            </w:hyperlink>
            <w:r w:rsidR="004115F2" w:rsidRPr="00BF33C6">
              <w:rPr>
                <w:rFonts w:ascii="Times New Roman" w:hAnsi="Times New Roman" w:cs="Times New Roman"/>
                <w:sz w:val="24"/>
                <w:szCs w:val="24"/>
              </w:rPr>
              <w:t>”</w:t>
            </w:r>
            <w:r w:rsidRPr="00BF33C6">
              <w:rPr>
                <w:rFonts w:ascii="Times New Roman" w:hAnsi="Times New Roman" w:cs="Times New Roman"/>
                <w:sz w:val="24"/>
                <w:szCs w:val="24"/>
              </w:rPr>
              <w:t>, lai noteiktā rīcība gadījumos, kad ir aizdomas par iespējami viltotām zālēm vai iespējami nekvalitatīvām zālēm, attiektos arī uz aptiekas vadītāju un zāļu lieltirgotavas atbildīgo amatpersonu</w:t>
            </w:r>
            <w:r w:rsidR="00717636"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65</w:t>
            </w:r>
            <w:r w:rsidR="00717636" w:rsidRPr="00BF33C6">
              <w:rPr>
                <w:rFonts w:ascii="Times New Roman" w:hAnsi="Times New Roman" w:cs="Times New Roman"/>
                <w:sz w:val="24"/>
                <w:szCs w:val="24"/>
              </w:rPr>
              <w:t>. punkts)</w:t>
            </w:r>
            <w:r w:rsidRPr="00BF33C6">
              <w:rPr>
                <w:rFonts w:ascii="Times New Roman" w:hAnsi="Times New Roman" w:cs="Times New Roman"/>
                <w:sz w:val="24"/>
                <w:szCs w:val="24"/>
              </w:rPr>
              <w:t>.</w:t>
            </w:r>
          </w:p>
          <w:p w14:paraId="39B149BD" w14:textId="77777777" w:rsidR="004115F2" w:rsidRPr="00BF33C6" w:rsidRDefault="004115F2" w:rsidP="00E27E19">
            <w:pPr>
              <w:spacing w:after="0" w:line="240" w:lineRule="auto"/>
              <w:jc w:val="both"/>
              <w:rPr>
                <w:rFonts w:ascii="Times New Roman" w:hAnsi="Times New Roman" w:cs="Times New Roman"/>
                <w:sz w:val="24"/>
                <w:szCs w:val="24"/>
              </w:rPr>
            </w:pPr>
          </w:p>
          <w:p w14:paraId="7E706F41" w14:textId="1A30B3B6" w:rsidR="00CA0890" w:rsidRPr="00BF33C6" w:rsidRDefault="00CD4985"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Ir nepieciešams svītrot noteikumu 149.4.</w:t>
            </w:r>
            <w:r w:rsidR="002C7E47" w:rsidRPr="00BF33C6">
              <w:rPr>
                <w:rFonts w:ascii="Times New Roman" w:hAnsi="Times New Roman" w:cs="Times New Roman"/>
                <w:sz w:val="24"/>
                <w:szCs w:val="24"/>
              </w:rPr>
              <w:t> </w:t>
            </w:r>
            <w:r w:rsidRPr="00BF33C6">
              <w:rPr>
                <w:rFonts w:ascii="Times New Roman" w:hAnsi="Times New Roman" w:cs="Times New Roman"/>
                <w:sz w:val="24"/>
                <w:szCs w:val="24"/>
              </w:rPr>
              <w:t>apakšpunktu, jo Zāļu valsts aģentūra kopš 2016.</w:t>
            </w:r>
            <w:r w:rsidR="002C7E47" w:rsidRPr="00BF33C6">
              <w:rPr>
                <w:rFonts w:ascii="Times New Roman" w:hAnsi="Times New Roman" w:cs="Times New Roman"/>
                <w:sz w:val="24"/>
                <w:szCs w:val="24"/>
              </w:rPr>
              <w:t> </w:t>
            </w:r>
            <w:r w:rsidRPr="00BF33C6">
              <w:rPr>
                <w:rFonts w:ascii="Times New Roman" w:hAnsi="Times New Roman" w:cs="Times New Roman"/>
                <w:sz w:val="24"/>
                <w:szCs w:val="24"/>
              </w:rPr>
              <w:t>gada februāra neizsniedz izplatīšanas atļaujas atlikušo zāļu krājumu realizācijai</w:t>
            </w:r>
            <w:r w:rsidR="00DE331E"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66</w:t>
            </w:r>
            <w:r w:rsidR="00DE331E" w:rsidRPr="00BF33C6">
              <w:rPr>
                <w:rFonts w:ascii="Times New Roman" w:hAnsi="Times New Roman" w:cs="Times New Roman"/>
                <w:sz w:val="24"/>
                <w:szCs w:val="24"/>
              </w:rPr>
              <w:t>. punkts)</w:t>
            </w:r>
            <w:r w:rsidRPr="00BF33C6">
              <w:rPr>
                <w:rFonts w:ascii="Times New Roman" w:hAnsi="Times New Roman" w:cs="Times New Roman"/>
                <w:sz w:val="24"/>
                <w:szCs w:val="24"/>
              </w:rPr>
              <w:t>.</w:t>
            </w:r>
            <w:r w:rsidR="00FB04F6" w:rsidRPr="00BF33C6">
              <w:rPr>
                <w:rFonts w:ascii="Times New Roman" w:hAnsi="Times New Roman" w:cs="Times New Roman"/>
                <w:sz w:val="24"/>
                <w:szCs w:val="24"/>
              </w:rPr>
              <w:t xml:space="preserve"> </w:t>
            </w:r>
          </w:p>
          <w:p w14:paraId="6DF01A10" w14:textId="77777777" w:rsidR="00CA0890" w:rsidRPr="00BF33C6" w:rsidRDefault="00CA0890" w:rsidP="00E27E19">
            <w:pPr>
              <w:spacing w:after="0" w:line="240" w:lineRule="auto"/>
              <w:jc w:val="both"/>
              <w:rPr>
                <w:rFonts w:ascii="Times New Roman" w:hAnsi="Times New Roman" w:cs="Times New Roman"/>
                <w:sz w:val="24"/>
                <w:szCs w:val="24"/>
              </w:rPr>
            </w:pPr>
          </w:p>
          <w:p w14:paraId="195864D5" w14:textId="6DB38FCE" w:rsidR="00CD4985" w:rsidRPr="00BF33C6" w:rsidRDefault="00FB04F6"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Noteikum</w:t>
            </w:r>
            <w:r w:rsidR="00F1455E" w:rsidRPr="00BF33C6">
              <w:rPr>
                <w:rFonts w:ascii="Times New Roman" w:hAnsi="Times New Roman" w:cs="Times New Roman"/>
                <w:sz w:val="24"/>
                <w:szCs w:val="24"/>
              </w:rPr>
              <w:t>u</w:t>
            </w:r>
            <w:r w:rsidRPr="00BF33C6">
              <w:rPr>
                <w:rFonts w:ascii="Times New Roman" w:hAnsi="Times New Roman" w:cs="Times New Roman"/>
                <w:sz w:val="24"/>
                <w:szCs w:val="24"/>
              </w:rPr>
              <w:t xml:space="preserve"> 149.10.</w:t>
            </w:r>
            <w:r w:rsidR="00FC7A9D" w:rsidRPr="00BF33C6">
              <w:rPr>
                <w:rFonts w:ascii="Times New Roman" w:hAnsi="Times New Roman" w:cs="Times New Roman"/>
                <w:sz w:val="24"/>
                <w:szCs w:val="24"/>
              </w:rPr>
              <w:t> </w:t>
            </w:r>
            <w:r w:rsidRPr="00BF33C6">
              <w:rPr>
                <w:rFonts w:ascii="Times New Roman" w:hAnsi="Times New Roman" w:cs="Times New Roman"/>
                <w:sz w:val="24"/>
                <w:szCs w:val="24"/>
              </w:rPr>
              <w:t>apakšpunkt</w:t>
            </w:r>
            <w:r w:rsidR="00F1455E" w:rsidRPr="00BF33C6">
              <w:rPr>
                <w:rFonts w:ascii="Times New Roman" w:hAnsi="Times New Roman" w:cs="Times New Roman"/>
                <w:sz w:val="24"/>
                <w:szCs w:val="24"/>
              </w:rPr>
              <w:t>s ir jāizsaka jaunā redakcijā</w:t>
            </w:r>
            <w:r w:rsidRPr="00BF33C6">
              <w:rPr>
                <w:rFonts w:ascii="Times New Roman" w:hAnsi="Times New Roman" w:cs="Times New Roman"/>
                <w:sz w:val="24"/>
                <w:szCs w:val="24"/>
              </w:rPr>
              <w:t xml:space="preserve">, nosakot informāciju, kādu par Farmācijas likuma 48. panta minētām zāļu iegādes atļaujām Zāļu valsts aģentūra publicē savā tīmekļa vietnē (projekta </w:t>
            </w:r>
            <w:r w:rsidR="009B2C32" w:rsidRPr="00BF33C6">
              <w:rPr>
                <w:rFonts w:ascii="Times New Roman" w:hAnsi="Times New Roman" w:cs="Times New Roman"/>
                <w:sz w:val="24"/>
                <w:szCs w:val="24"/>
              </w:rPr>
              <w:t>67</w:t>
            </w:r>
            <w:r w:rsidRPr="00BF33C6">
              <w:rPr>
                <w:rFonts w:ascii="Times New Roman" w:hAnsi="Times New Roman" w:cs="Times New Roman"/>
                <w:sz w:val="24"/>
                <w:szCs w:val="24"/>
              </w:rPr>
              <w:t>.</w:t>
            </w:r>
            <w:r w:rsidR="00FC7A9D" w:rsidRPr="00BF33C6">
              <w:rPr>
                <w:rFonts w:ascii="Times New Roman" w:hAnsi="Times New Roman" w:cs="Times New Roman"/>
                <w:sz w:val="24"/>
                <w:szCs w:val="24"/>
              </w:rPr>
              <w:t> </w:t>
            </w:r>
            <w:r w:rsidRPr="00BF33C6">
              <w:rPr>
                <w:rFonts w:ascii="Times New Roman" w:hAnsi="Times New Roman" w:cs="Times New Roman"/>
                <w:sz w:val="24"/>
                <w:szCs w:val="24"/>
              </w:rPr>
              <w:t>punkts)</w:t>
            </w:r>
            <w:r w:rsidR="000566FD" w:rsidRPr="00BF33C6">
              <w:rPr>
                <w:rFonts w:ascii="Times New Roman" w:hAnsi="Times New Roman" w:cs="Times New Roman"/>
                <w:sz w:val="24"/>
                <w:szCs w:val="24"/>
              </w:rPr>
              <w:t>.</w:t>
            </w:r>
          </w:p>
          <w:p w14:paraId="6F20FF24" w14:textId="6F8E9EA2" w:rsidR="00CD4985" w:rsidRPr="00BF33C6" w:rsidRDefault="00CD4985" w:rsidP="00E27E19">
            <w:pPr>
              <w:spacing w:after="0" w:line="240" w:lineRule="auto"/>
              <w:jc w:val="both"/>
              <w:rPr>
                <w:rFonts w:ascii="Times New Roman" w:hAnsi="Times New Roman" w:cs="Times New Roman"/>
                <w:sz w:val="24"/>
                <w:szCs w:val="24"/>
              </w:rPr>
            </w:pPr>
          </w:p>
          <w:p w14:paraId="4D68B05A" w14:textId="615C78B5" w:rsidR="008546E6" w:rsidRPr="00BF33C6" w:rsidRDefault="008546E6"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lastRenderedPageBreak/>
              <w:t>Noteikumu 149.</w:t>
            </w:r>
            <w:r w:rsidR="00FC7A9D" w:rsidRPr="00BF33C6">
              <w:rPr>
                <w:rFonts w:ascii="Times New Roman" w:hAnsi="Times New Roman" w:cs="Times New Roman"/>
                <w:sz w:val="24"/>
                <w:szCs w:val="24"/>
              </w:rPr>
              <w:t> </w:t>
            </w:r>
            <w:r w:rsidRPr="00BF33C6">
              <w:rPr>
                <w:rFonts w:ascii="Times New Roman" w:hAnsi="Times New Roman" w:cs="Times New Roman"/>
                <w:sz w:val="24"/>
                <w:szCs w:val="24"/>
              </w:rPr>
              <w:t>punkts ir jāpapildina ar diviem jauniem apakšpunktiem. 149.11 – nosakot, ka Zāļu valsts aģentūra publicē savā tīmekļa vietnē sarakstu ar nereģistrētām zālēm, par kurām ir ārstniecības iestādes vai praktizējoša veterinārārsta pieprasījums zāļu iegādei, kam ir pievienots ārstu profesionālās asociācijas vai veterinārārstu profesionālās sekcijas atzinums. 149.12. – nosakot, kādu tieši informāciju, ko Zāļu valsts aģentūra saņēmusi saskaņā ar noteikumu 12.18.apakšpunktu, tā publicē savā tīmekļa vietnē</w:t>
            </w:r>
            <w:r w:rsidR="00492E57"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68</w:t>
            </w:r>
            <w:r w:rsidR="00492E57" w:rsidRPr="00BF33C6">
              <w:rPr>
                <w:rFonts w:ascii="Times New Roman" w:hAnsi="Times New Roman" w:cs="Times New Roman"/>
                <w:sz w:val="24"/>
                <w:szCs w:val="24"/>
              </w:rPr>
              <w:t>.</w:t>
            </w:r>
            <w:r w:rsidR="00F44101" w:rsidRPr="00BF33C6">
              <w:rPr>
                <w:rFonts w:ascii="Times New Roman" w:hAnsi="Times New Roman" w:cs="Times New Roman"/>
                <w:sz w:val="24"/>
                <w:szCs w:val="24"/>
              </w:rPr>
              <w:t> </w:t>
            </w:r>
            <w:r w:rsidR="00492E57" w:rsidRPr="00BF33C6">
              <w:rPr>
                <w:rFonts w:ascii="Times New Roman" w:hAnsi="Times New Roman" w:cs="Times New Roman"/>
                <w:sz w:val="24"/>
                <w:szCs w:val="24"/>
              </w:rPr>
              <w:t>punkts)</w:t>
            </w:r>
            <w:r w:rsidRPr="00BF33C6">
              <w:rPr>
                <w:rFonts w:ascii="Times New Roman" w:hAnsi="Times New Roman" w:cs="Times New Roman"/>
                <w:sz w:val="24"/>
                <w:szCs w:val="24"/>
              </w:rPr>
              <w:t>.</w:t>
            </w:r>
          </w:p>
          <w:p w14:paraId="3C56D5ED" w14:textId="77777777" w:rsidR="008546E6" w:rsidRPr="00BF33C6" w:rsidRDefault="008546E6" w:rsidP="00E27E19">
            <w:pPr>
              <w:spacing w:after="0" w:line="240" w:lineRule="auto"/>
              <w:jc w:val="both"/>
              <w:rPr>
                <w:rFonts w:ascii="Times New Roman" w:hAnsi="Times New Roman" w:cs="Times New Roman"/>
                <w:sz w:val="24"/>
                <w:szCs w:val="24"/>
              </w:rPr>
            </w:pPr>
          </w:p>
          <w:p w14:paraId="18D00471" w14:textId="3F5A3411" w:rsidR="005C0613" w:rsidRPr="00BF33C6" w:rsidRDefault="005C0613"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 xml:space="preserve">Lai informācija par Latvijā pieejamām zālēm būtu pieejama vienuviet – Latvijas zāļu reģistrā, kā arī lai nerastos sarežģījumi, šo informāciju nododot Nacionālajam veselības dienestam, t.sk. e-veselības sistēmas vajadzībām, ir nepieciešams </w:t>
            </w:r>
            <w:r w:rsidR="000566FD" w:rsidRPr="00BF33C6">
              <w:rPr>
                <w:rFonts w:ascii="Times New Roman" w:hAnsi="Times New Roman" w:cs="Times New Roman"/>
                <w:sz w:val="24"/>
                <w:szCs w:val="24"/>
              </w:rPr>
              <w:t>papildināt</w:t>
            </w:r>
            <w:r w:rsidRPr="00BF33C6">
              <w:rPr>
                <w:rFonts w:ascii="Times New Roman" w:hAnsi="Times New Roman" w:cs="Times New Roman"/>
                <w:sz w:val="24"/>
                <w:szCs w:val="24"/>
              </w:rPr>
              <w:t xml:space="preserve"> noteikumu</w:t>
            </w:r>
            <w:r w:rsidR="000566FD" w:rsidRPr="00BF33C6">
              <w:rPr>
                <w:rFonts w:ascii="Times New Roman" w:hAnsi="Times New Roman" w:cs="Times New Roman"/>
                <w:sz w:val="24"/>
                <w:szCs w:val="24"/>
              </w:rPr>
              <w:t>s ar jaunu 149.</w:t>
            </w:r>
            <w:r w:rsidR="000566FD" w:rsidRPr="00BF33C6">
              <w:rPr>
                <w:rFonts w:ascii="Times New Roman" w:hAnsi="Times New Roman" w:cs="Times New Roman"/>
                <w:sz w:val="24"/>
                <w:szCs w:val="24"/>
                <w:vertAlign w:val="superscript"/>
              </w:rPr>
              <w:t>1</w:t>
            </w:r>
            <w:r w:rsidR="000566FD" w:rsidRPr="00BF33C6">
              <w:rPr>
                <w:rFonts w:ascii="Times New Roman" w:hAnsi="Times New Roman" w:cs="Times New Roman"/>
                <w:sz w:val="24"/>
                <w:szCs w:val="24"/>
              </w:rPr>
              <w:t xml:space="preserve"> </w:t>
            </w:r>
            <w:r w:rsidRPr="00BF33C6">
              <w:rPr>
                <w:rFonts w:ascii="Times New Roman" w:hAnsi="Times New Roman" w:cs="Times New Roman"/>
                <w:sz w:val="24"/>
                <w:szCs w:val="24"/>
              </w:rPr>
              <w:t>punktu</w:t>
            </w:r>
            <w:r w:rsidR="008546E6"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69</w:t>
            </w:r>
            <w:r w:rsidR="008546E6" w:rsidRPr="00BF33C6">
              <w:rPr>
                <w:rFonts w:ascii="Times New Roman" w:hAnsi="Times New Roman" w:cs="Times New Roman"/>
                <w:sz w:val="24"/>
                <w:szCs w:val="24"/>
              </w:rPr>
              <w:t>.punkts)</w:t>
            </w:r>
            <w:r w:rsidR="00FD72CD" w:rsidRPr="00BF33C6">
              <w:rPr>
                <w:rFonts w:ascii="Times New Roman" w:hAnsi="Times New Roman" w:cs="Times New Roman"/>
                <w:sz w:val="24"/>
                <w:szCs w:val="24"/>
              </w:rPr>
              <w:t>.</w:t>
            </w:r>
          </w:p>
          <w:p w14:paraId="6873E578" w14:textId="77777777" w:rsidR="005C0613" w:rsidRPr="00BF33C6" w:rsidRDefault="005C0613" w:rsidP="00E27E19">
            <w:pPr>
              <w:spacing w:after="0" w:line="240" w:lineRule="auto"/>
              <w:jc w:val="both"/>
              <w:rPr>
                <w:rFonts w:ascii="Times New Roman" w:hAnsi="Times New Roman" w:cs="Times New Roman"/>
                <w:sz w:val="24"/>
                <w:szCs w:val="24"/>
              </w:rPr>
            </w:pPr>
          </w:p>
          <w:p w14:paraId="5FE8F805" w14:textId="7140988D" w:rsidR="00DA464E" w:rsidRPr="00BF33C6" w:rsidRDefault="00DA464E" w:rsidP="00E27E19">
            <w:pPr>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rPr>
              <w:t>Noteikumu 153.3.1.</w:t>
            </w:r>
            <w:r w:rsidR="00DE331E" w:rsidRPr="00BF33C6">
              <w:rPr>
                <w:rFonts w:ascii="Times New Roman" w:hAnsi="Times New Roman" w:cs="Times New Roman"/>
                <w:sz w:val="24"/>
                <w:szCs w:val="24"/>
              </w:rPr>
              <w:t> </w:t>
            </w:r>
            <w:r w:rsidRPr="00BF33C6">
              <w:rPr>
                <w:rFonts w:ascii="Times New Roman" w:hAnsi="Times New Roman" w:cs="Times New Roman"/>
                <w:sz w:val="24"/>
                <w:szCs w:val="24"/>
              </w:rPr>
              <w:t>apakšpunktā ir nepieciešams svītrot vārdus “paralēli importētām zālēm” un “paralēli izplatītām zālēm”, jo paralēlajam izplatītājam jau tagad ir uzlikts par pienākumu ziņot par izplatīšanas uzsākšanu un pārtraukumiem (60.</w:t>
            </w:r>
            <w:r w:rsidRPr="00BF33C6">
              <w:rPr>
                <w:rFonts w:ascii="Times New Roman" w:hAnsi="Times New Roman" w:cs="Times New Roman"/>
                <w:sz w:val="24"/>
                <w:szCs w:val="24"/>
                <w:vertAlign w:val="superscript"/>
              </w:rPr>
              <w:t>2</w:t>
            </w:r>
            <w:r w:rsidR="00DE331E" w:rsidRPr="00BF33C6">
              <w:rPr>
                <w:rFonts w:ascii="Times New Roman" w:hAnsi="Times New Roman" w:cs="Times New Roman"/>
                <w:sz w:val="24"/>
                <w:szCs w:val="24"/>
              </w:rPr>
              <w:t> </w:t>
            </w:r>
            <w:r w:rsidRPr="00BF33C6">
              <w:rPr>
                <w:rFonts w:ascii="Times New Roman" w:hAnsi="Times New Roman" w:cs="Times New Roman"/>
                <w:sz w:val="24"/>
                <w:szCs w:val="24"/>
              </w:rPr>
              <w:t>punkts)</w:t>
            </w:r>
            <w:r w:rsidR="00DE331E"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70</w:t>
            </w:r>
            <w:r w:rsidR="00DE331E" w:rsidRPr="00BF33C6">
              <w:rPr>
                <w:rFonts w:ascii="Times New Roman" w:hAnsi="Times New Roman" w:cs="Times New Roman"/>
                <w:sz w:val="24"/>
                <w:szCs w:val="24"/>
              </w:rPr>
              <w:t>. punkts)</w:t>
            </w:r>
            <w:r w:rsidRPr="00BF33C6">
              <w:rPr>
                <w:rFonts w:ascii="Times New Roman" w:hAnsi="Times New Roman" w:cs="Times New Roman"/>
                <w:sz w:val="24"/>
                <w:szCs w:val="24"/>
              </w:rPr>
              <w:t>.</w:t>
            </w:r>
          </w:p>
          <w:p w14:paraId="077FC00C" w14:textId="77777777" w:rsidR="00DA464E" w:rsidRPr="00BF33C6" w:rsidRDefault="00DA464E" w:rsidP="00E27E19">
            <w:pPr>
              <w:spacing w:after="0" w:line="240" w:lineRule="auto"/>
              <w:jc w:val="both"/>
              <w:rPr>
                <w:rFonts w:ascii="Times New Roman" w:hAnsi="Times New Roman" w:cs="Times New Roman"/>
                <w:sz w:val="24"/>
                <w:szCs w:val="24"/>
              </w:rPr>
            </w:pPr>
          </w:p>
          <w:p w14:paraId="4AF732DF" w14:textId="7BA25E8F" w:rsidR="002F4A1F" w:rsidRPr="00BF33C6" w:rsidRDefault="0005727D" w:rsidP="00E27E19">
            <w:pPr>
              <w:spacing w:after="0" w:line="240" w:lineRule="auto"/>
              <w:jc w:val="both"/>
              <w:rPr>
                <w:rFonts w:ascii="Times New Roman" w:hAnsi="Times New Roman" w:cs="Times New Roman"/>
                <w:sz w:val="24"/>
                <w:szCs w:val="24"/>
              </w:rPr>
            </w:pPr>
            <w:r w:rsidRPr="00BF33C6">
              <w:rPr>
                <w:rFonts w:ascii="Times New Roman" w:eastAsia="Times New Roman" w:hAnsi="Times New Roman" w:cs="Times New Roman"/>
                <w:iCs/>
                <w:sz w:val="24"/>
                <w:szCs w:val="24"/>
                <w:lang w:eastAsia="lv-LV"/>
              </w:rPr>
              <w:t xml:space="preserve">Aktualizējama paralēli importēto zāļu iesnieguma un atļaujas forma. </w:t>
            </w:r>
            <w:r w:rsidR="002F4A1F" w:rsidRPr="00BF33C6">
              <w:rPr>
                <w:rFonts w:ascii="Times New Roman" w:hAnsi="Times New Roman" w:cs="Times New Roman"/>
                <w:sz w:val="24"/>
                <w:szCs w:val="24"/>
              </w:rPr>
              <w:t>Noteikumu 1.</w:t>
            </w:r>
            <w:r w:rsidR="00DE331E" w:rsidRPr="00BF33C6">
              <w:rPr>
                <w:rFonts w:ascii="Times New Roman" w:hAnsi="Times New Roman" w:cs="Times New Roman"/>
                <w:sz w:val="24"/>
                <w:szCs w:val="24"/>
              </w:rPr>
              <w:t> </w:t>
            </w:r>
            <w:r w:rsidR="007578E5" w:rsidRPr="00BF33C6">
              <w:rPr>
                <w:rFonts w:ascii="Times New Roman" w:hAnsi="Times New Roman" w:cs="Times New Roman"/>
                <w:sz w:val="24"/>
                <w:szCs w:val="24"/>
              </w:rPr>
              <w:t xml:space="preserve">pielikumu ir nepieciešams izteikt jaunā redakcijā, jo tajā ir nepieciešami daudzi precizējumi, </w:t>
            </w:r>
            <w:r w:rsidR="008C04BA">
              <w:rPr>
                <w:rFonts w:ascii="Times New Roman" w:hAnsi="Times New Roman" w:cs="Times New Roman"/>
                <w:sz w:val="24"/>
                <w:szCs w:val="24"/>
              </w:rPr>
              <w:t>ņemot vērā</w:t>
            </w:r>
            <w:r w:rsidR="007578E5" w:rsidRPr="00BF33C6">
              <w:rPr>
                <w:rFonts w:ascii="Times New Roman" w:hAnsi="Times New Roman" w:cs="Times New Roman"/>
                <w:sz w:val="24"/>
                <w:szCs w:val="24"/>
              </w:rPr>
              <w:t xml:space="preserve"> noteikumu piemērošanas praksē konstatēt</w:t>
            </w:r>
            <w:r w:rsidR="008C04BA">
              <w:rPr>
                <w:rFonts w:ascii="Times New Roman" w:hAnsi="Times New Roman" w:cs="Times New Roman"/>
                <w:sz w:val="24"/>
                <w:szCs w:val="24"/>
              </w:rPr>
              <w:t>ās</w:t>
            </w:r>
            <w:r w:rsidR="007578E5" w:rsidRPr="00BF33C6">
              <w:rPr>
                <w:rFonts w:ascii="Times New Roman" w:hAnsi="Times New Roman" w:cs="Times New Roman"/>
                <w:sz w:val="24"/>
                <w:szCs w:val="24"/>
              </w:rPr>
              <w:t xml:space="preserve"> nepilnīb</w:t>
            </w:r>
            <w:r w:rsidR="008C04BA">
              <w:rPr>
                <w:rFonts w:ascii="Times New Roman" w:hAnsi="Times New Roman" w:cs="Times New Roman"/>
                <w:sz w:val="24"/>
                <w:szCs w:val="24"/>
              </w:rPr>
              <w:t>as</w:t>
            </w:r>
            <w:r w:rsidRPr="00BF33C6">
              <w:rPr>
                <w:rFonts w:ascii="Times New Roman" w:hAnsi="Times New Roman" w:cs="Times New Roman"/>
                <w:sz w:val="24"/>
                <w:szCs w:val="24"/>
              </w:rPr>
              <w:t xml:space="preserve"> (projekta </w:t>
            </w:r>
            <w:r w:rsidR="009B2C32" w:rsidRPr="00BF33C6">
              <w:rPr>
                <w:rFonts w:ascii="Times New Roman" w:hAnsi="Times New Roman" w:cs="Times New Roman"/>
                <w:sz w:val="24"/>
                <w:szCs w:val="24"/>
              </w:rPr>
              <w:t>72</w:t>
            </w:r>
            <w:r w:rsidRPr="00BF33C6">
              <w:rPr>
                <w:rFonts w:ascii="Times New Roman" w:hAnsi="Times New Roman" w:cs="Times New Roman"/>
                <w:sz w:val="24"/>
                <w:szCs w:val="24"/>
              </w:rPr>
              <w:t>. punkts)</w:t>
            </w:r>
            <w:r w:rsidR="007578E5" w:rsidRPr="00BF33C6">
              <w:rPr>
                <w:rFonts w:ascii="Times New Roman" w:hAnsi="Times New Roman" w:cs="Times New Roman"/>
                <w:sz w:val="24"/>
                <w:szCs w:val="24"/>
              </w:rPr>
              <w:t xml:space="preserve">. Arī noteikumu </w:t>
            </w:r>
            <w:r w:rsidR="002F4A1F" w:rsidRPr="00BF33C6">
              <w:rPr>
                <w:rFonts w:ascii="Times New Roman" w:hAnsi="Times New Roman" w:cs="Times New Roman"/>
                <w:sz w:val="24"/>
                <w:szCs w:val="24"/>
              </w:rPr>
              <w:t xml:space="preserve">2.pielikumā ir nepieciešams veikt vairākus precizējumus, </w:t>
            </w:r>
            <w:r w:rsidR="007578E5" w:rsidRPr="00BF33C6">
              <w:rPr>
                <w:rFonts w:ascii="Times New Roman" w:hAnsi="Times New Roman" w:cs="Times New Roman"/>
                <w:sz w:val="24"/>
                <w:szCs w:val="24"/>
              </w:rPr>
              <w:t xml:space="preserve">kā </w:t>
            </w:r>
            <w:r w:rsidR="002F4A1F" w:rsidRPr="00BF33C6">
              <w:rPr>
                <w:rFonts w:ascii="Times New Roman" w:hAnsi="Times New Roman" w:cs="Times New Roman"/>
                <w:sz w:val="24"/>
                <w:szCs w:val="24"/>
              </w:rPr>
              <w:t>no</w:t>
            </w:r>
            <w:r w:rsidR="007578E5" w:rsidRPr="00BF33C6">
              <w:rPr>
                <w:rFonts w:ascii="Times New Roman" w:hAnsi="Times New Roman" w:cs="Times New Roman"/>
                <w:sz w:val="24"/>
                <w:szCs w:val="24"/>
              </w:rPr>
              <w:t>rāda</w:t>
            </w:r>
            <w:r w:rsidR="002F4A1F" w:rsidRPr="00BF33C6">
              <w:rPr>
                <w:rFonts w:ascii="Times New Roman" w:hAnsi="Times New Roman" w:cs="Times New Roman"/>
                <w:sz w:val="24"/>
                <w:szCs w:val="24"/>
              </w:rPr>
              <w:t xml:space="preserve"> noteikumu piemērošanas praks</w:t>
            </w:r>
            <w:r w:rsidR="007578E5" w:rsidRPr="00BF33C6">
              <w:rPr>
                <w:rFonts w:ascii="Times New Roman" w:hAnsi="Times New Roman" w:cs="Times New Roman"/>
                <w:sz w:val="24"/>
                <w:szCs w:val="24"/>
              </w:rPr>
              <w:t>e</w:t>
            </w:r>
            <w:r w:rsidRPr="00BF33C6">
              <w:rPr>
                <w:rFonts w:ascii="Times New Roman" w:hAnsi="Times New Roman" w:cs="Times New Roman"/>
                <w:sz w:val="24"/>
                <w:szCs w:val="24"/>
              </w:rPr>
              <w:t>.</w:t>
            </w:r>
          </w:p>
          <w:p w14:paraId="5F4DC027" w14:textId="755F67C0" w:rsidR="00D05D4C" w:rsidRPr="00BF33C6" w:rsidRDefault="004101A4" w:rsidP="00E27E19">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Noteikumu 2.pielikuma sadaļas „Atļauta paralēli importēto zāļu izplatīšana” tabulas 3.punktā ir nepieciešams aizstāt vārdus „valsts, no kuras zāles piegādā” ar vārdiem „izcelsmes valsts”, jo tieši izcelsmes valsts ir svarīga šajā sakarā, bet valsts, no kuras tiek veikta piegāde, var arī nebūt zāļu izcelsmes valsts</w:t>
            </w:r>
            <w:r w:rsidR="008F7D1C" w:rsidRPr="00BF33C6">
              <w:rPr>
                <w:rFonts w:ascii="Times New Roman" w:eastAsia="Times New Roman" w:hAnsi="Times New Roman" w:cs="Times New Roman"/>
                <w:iCs/>
                <w:sz w:val="24"/>
                <w:szCs w:val="24"/>
                <w:lang w:eastAsia="lv-LV"/>
              </w:rPr>
              <w:t xml:space="preserve"> (projekta </w:t>
            </w:r>
            <w:r w:rsidR="009B2C32" w:rsidRPr="00BF33C6">
              <w:rPr>
                <w:rFonts w:ascii="Times New Roman" w:eastAsia="Times New Roman" w:hAnsi="Times New Roman" w:cs="Times New Roman"/>
                <w:iCs/>
                <w:sz w:val="24"/>
                <w:szCs w:val="24"/>
                <w:lang w:eastAsia="lv-LV"/>
              </w:rPr>
              <w:t>73</w:t>
            </w:r>
            <w:r w:rsidR="008F7D1C" w:rsidRPr="00BF33C6">
              <w:rPr>
                <w:rFonts w:ascii="Times New Roman" w:eastAsia="Times New Roman" w:hAnsi="Times New Roman" w:cs="Times New Roman"/>
                <w:iCs/>
                <w:sz w:val="24"/>
                <w:szCs w:val="24"/>
                <w:lang w:eastAsia="lv-LV"/>
              </w:rPr>
              <w:t>. punkts)</w:t>
            </w:r>
            <w:r w:rsidR="008066A7" w:rsidRPr="00BF33C6">
              <w:rPr>
                <w:rFonts w:ascii="Times New Roman" w:eastAsia="Times New Roman" w:hAnsi="Times New Roman" w:cs="Times New Roman"/>
                <w:iCs/>
                <w:sz w:val="24"/>
                <w:szCs w:val="24"/>
                <w:lang w:eastAsia="lv-LV"/>
              </w:rPr>
              <w:t>, un s</w:t>
            </w:r>
            <w:r w:rsidR="00D05D4C" w:rsidRPr="00BF33C6">
              <w:rPr>
                <w:rFonts w:ascii="Times New Roman" w:eastAsia="Times New Roman" w:hAnsi="Times New Roman" w:cs="Times New Roman"/>
                <w:iCs/>
                <w:sz w:val="24"/>
                <w:szCs w:val="24"/>
                <w:lang w:eastAsia="lv-LV"/>
              </w:rPr>
              <w:t xml:space="preserve">vītrojamas neaktuālas  normas (projekta </w:t>
            </w:r>
            <w:r w:rsidR="009B2C32" w:rsidRPr="00BF33C6">
              <w:rPr>
                <w:rFonts w:ascii="Times New Roman" w:eastAsia="Times New Roman" w:hAnsi="Times New Roman" w:cs="Times New Roman"/>
                <w:iCs/>
                <w:sz w:val="24"/>
                <w:szCs w:val="24"/>
                <w:lang w:eastAsia="lv-LV"/>
              </w:rPr>
              <w:t>74</w:t>
            </w:r>
            <w:r w:rsidR="00D05D4C" w:rsidRPr="00BF33C6">
              <w:rPr>
                <w:rFonts w:ascii="Times New Roman" w:eastAsia="Times New Roman" w:hAnsi="Times New Roman" w:cs="Times New Roman"/>
                <w:iCs/>
                <w:sz w:val="24"/>
                <w:szCs w:val="24"/>
                <w:lang w:eastAsia="lv-LV"/>
              </w:rPr>
              <w:t>. </w:t>
            </w:r>
            <w:r w:rsidR="008066A7" w:rsidRPr="00BF33C6">
              <w:rPr>
                <w:rFonts w:ascii="Times New Roman" w:eastAsia="Times New Roman" w:hAnsi="Times New Roman" w:cs="Times New Roman"/>
                <w:iCs/>
                <w:sz w:val="24"/>
                <w:szCs w:val="24"/>
                <w:lang w:eastAsia="lv-LV"/>
              </w:rPr>
              <w:t xml:space="preserve">un </w:t>
            </w:r>
            <w:r w:rsidR="009B2C32" w:rsidRPr="00BF33C6">
              <w:rPr>
                <w:rFonts w:ascii="Times New Roman" w:eastAsia="Times New Roman" w:hAnsi="Times New Roman" w:cs="Times New Roman"/>
                <w:iCs/>
                <w:sz w:val="24"/>
                <w:szCs w:val="24"/>
                <w:lang w:eastAsia="lv-LV"/>
              </w:rPr>
              <w:t>75</w:t>
            </w:r>
            <w:r w:rsidR="008066A7" w:rsidRPr="00BF33C6">
              <w:rPr>
                <w:rFonts w:ascii="Times New Roman" w:eastAsia="Times New Roman" w:hAnsi="Times New Roman" w:cs="Times New Roman"/>
                <w:iCs/>
                <w:sz w:val="24"/>
                <w:szCs w:val="24"/>
                <w:lang w:eastAsia="lv-LV"/>
              </w:rPr>
              <w:t>. </w:t>
            </w:r>
            <w:r w:rsidR="00D05D4C" w:rsidRPr="00BF33C6">
              <w:rPr>
                <w:rFonts w:ascii="Times New Roman" w:eastAsia="Times New Roman" w:hAnsi="Times New Roman" w:cs="Times New Roman"/>
                <w:iCs/>
                <w:sz w:val="24"/>
                <w:szCs w:val="24"/>
                <w:lang w:eastAsia="lv-LV"/>
              </w:rPr>
              <w:t>punkts).</w:t>
            </w:r>
          </w:p>
          <w:p w14:paraId="0C8D3E68" w14:textId="4A48149A" w:rsidR="002A3FD5" w:rsidRPr="00BF33C6" w:rsidRDefault="002A3FD5" w:rsidP="00E27E19">
            <w:pPr>
              <w:spacing w:after="0" w:line="240" w:lineRule="auto"/>
              <w:jc w:val="both"/>
              <w:rPr>
                <w:rFonts w:ascii="Times New Roman" w:eastAsia="Times New Roman" w:hAnsi="Times New Roman" w:cs="Times New Roman"/>
                <w:iCs/>
                <w:sz w:val="24"/>
                <w:szCs w:val="24"/>
                <w:lang w:eastAsia="lv-LV"/>
              </w:rPr>
            </w:pPr>
          </w:p>
          <w:p w14:paraId="4E8CCA1D" w14:textId="6128CF45" w:rsidR="00163EF2" w:rsidRPr="00BF33C6" w:rsidRDefault="002A6887" w:rsidP="00E27E19">
            <w:pPr>
              <w:spacing w:after="0" w:line="240" w:lineRule="auto"/>
              <w:jc w:val="both"/>
              <w:rPr>
                <w:rFonts w:ascii="Times New Roman" w:hAnsi="Times New Roman" w:cs="Times New Roman"/>
                <w:sz w:val="24"/>
                <w:szCs w:val="24"/>
              </w:rPr>
            </w:pPr>
            <w:r w:rsidRPr="00BF33C6">
              <w:rPr>
                <w:rFonts w:ascii="Times New Roman" w:eastAsia="Times New Roman" w:hAnsi="Times New Roman" w:cs="Times New Roman"/>
                <w:iCs/>
                <w:sz w:val="24"/>
                <w:szCs w:val="24"/>
                <w:lang w:eastAsia="lv-LV"/>
              </w:rPr>
              <w:t xml:space="preserve">Regulējums noteikumu </w:t>
            </w:r>
            <w:r w:rsidRPr="00BF33C6">
              <w:rPr>
                <w:rFonts w:ascii="Times New Roman" w:hAnsi="Times New Roman" w:cs="Times New Roman"/>
                <w:sz w:val="24"/>
                <w:szCs w:val="24"/>
              </w:rPr>
              <w:t>67.</w:t>
            </w:r>
            <w:r w:rsidRPr="00BF33C6">
              <w:rPr>
                <w:rFonts w:ascii="Times New Roman" w:hAnsi="Times New Roman" w:cs="Times New Roman"/>
                <w:sz w:val="24"/>
                <w:szCs w:val="24"/>
                <w:vertAlign w:val="superscript"/>
              </w:rPr>
              <w:t>2</w:t>
            </w:r>
            <w:r w:rsidRPr="00BF33C6">
              <w:rPr>
                <w:rFonts w:ascii="Times New Roman" w:hAnsi="Times New Roman" w:cs="Times New Roman"/>
                <w:sz w:val="24"/>
                <w:szCs w:val="24"/>
              </w:rPr>
              <w:t> punktā ir jāprecizē, lai nepārprotami būtu saprotams, ka aptieka var verificēt zāles aptiekas filiāles vietā, ka</w:t>
            </w:r>
            <w:r w:rsidR="0044184F" w:rsidRPr="00BF33C6">
              <w:rPr>
                <w:rFonts w:ascii="Times New Roman" w:hAnsi="Times New Roman" w:cs="Times New Roman"/>
                <w:sz w:val="24"/>
                <w:szCs w:val="24"/>
              </w:rPr>
              <w:t>s</w:t>
            </w:r>
            <w:r w:rsidRPr="00BF33C6">
              <w:rPr>
                <w:rFonts w:ascii="Times New Roman" w:hAnsi="Times New Roman" w:cs="Times New Roman"/>
                <w:sz w:val="24"/>
                <w:szCs w:val="24"/>
              </w:rPr>
              <w:t xml:space="preserve"> ir aptiekas struktūrvienība (projekta </w:t>
            </w:r>
            <w:r w:rsidR="009B2C32" w:rsidRPr="00BF33C6">
              <w:rPr>
                <w:rFonts w:ascii="Times New Roman" w:hAnsi="Times New Roman" w:cs="Times New Roman"/>
                <w:sz w:val="24"/>
                <w:szCs w:val="24"/>
              </w:rPr>
              <w:t>27</w:t>
            </w:r>
            <w:r w:rsidRPr="00BF33C6">
              <w:rPr>
                <w:rFonts w:ascii="Times New Roman" w:hAnsi="Times New Roman" w:cs="Times New Roman"/>
                <w:sz w:val="24"/>
                <w:szCs w:val="24"/>
              </w:rPr>
              <w:t>. punkts)</w:t>
            </w:r>
            <w:r w:rsidR="00B01A0F" w:rsidRPr="00BF33C6">
              <w:rPr>
                <w:rFonts w:ascii="Times New Roman" w:hAnsi="Times New Roman" w:cs="Times New Roman"/>
                <w:sz w:val="24"/>
                <w:szCs w:val="24"/>
              </w:rPr>
              <w:t>.</w:t>
            </w:r>
          </w:p>
          <w:p w14:paraId="60306C30" w14:textId="77777777" w:rsidR="00014440" w:rsidRPr="00BF33C6" w:rsidRDefault="00014440" w:rsidP="00E27E19">
            <w:pPr>
              <w:spacing w:after="0" w:line="240" w:lineRule="auto"/>
              <w:jc w:val="both"/>
              <w:rPr>
                <w:rFonts w:ascii="Times New Roman" w:hAnsi="Times New Roman" w:cs="Times New Roman"/>
                <w:sz w:val="24"/>
                <w:szCs w:val="24"/>
              </w:rPr>
            </w:pPr>
          </w:p>
          <w:p w14:paraId="3A9AB914" w14:textId="4A102EFE" w:rsidR="00014440" w:rsidRPr="00BF33C6" w:rsidRDefault="0044184F" w:rsidP="0044184F">
            <w:pPr>
              <w:pStyle w:val="Title"/>
              <w:jc w:val="both"/>
              <w:outlineLvl w:val="0"/>
              <w:rPr>
                <w:rFonts w:ascii="Times New Roman" w:eastAsia="Times New Roman" w:hAnsi="Times New Roman" w:cs="Times New Roman"/>
                <w:sz w:val="24"/>
                <w:szCs w:val="24"/>
              </w:rPr>
            </w:pPr>
            <w:r w:rsidRPr="00BF33C6">
              <w:rPr>
                <w:rFonts w:ascii="Times New Roman" w:hAnsi="Times New Roman" w:cs="Times New Roman"/>
                <w:sz w:val="24"/>
                <w:szCs w:val="24"/>
              </w:rPr>
              <w:t>P</w:t>
            </w:r>
            <w:r w:rsidR="00014440" w:rsidRPr="00BF33C6">
              <w:rPr>
                <w:rFonts w:ascii="Times New Roman" w:eastAsia="Times New Roman" w:hAnsi="Times New Roman" w:cs="Times New Roman"/>
                <w:sz w:val="24"/>
                <w:szCs w:val="24"/>
              </w:rPr>
              <w:t xml:space="preserve">ašreizējais regulējums uzliek  administratīvo slogu </w:t>
            </w:r>
            <w:r w:rsidRPr="00BF33C6">
              <w:rPr>
                <w:rFonts w:ascii="Times New Roman" w:eastAsia="Times New Roman" w:hAnsi="Times New Roman" w:cs="Times New Roman"/>
                <w:sz w:val="24"/>
                <w:szCs w:val="24"/>
              </w:rPr>
              <w:t>aģentūrai</w:t>
            </w:r>
            <w:r w:rsidR="00014440" w:rsidRPr="00BF33C6">
              <w:rPr>
                <w:rFonts w:ascii="Times New Roman" w:eastAsia="Times New Roman" w:hAnsi="Times New Roman" w:cs="Times New Roman"/>
                <w:sz w:val="24"/>
                <w:szCs w:val="24"/>
              </w:rPr>
              <w:t xml:space="preserve"> un reģistrācijas īpašniekam (MAH) saistībā ar atlikušo zāļu krājuma realizāciju gadījumos, kad zāļu reģistrācija ir anulēta pēc reģistrācijas īpašnieka pieprasījuma ar drošumu un efektivitāti nesaistītu iemeslu dēļ.</w:t>
            </w:r>
            <w:r w:rsidRPr="00BF33C6">
              <w:rPr>
                <w:rFonts w:ascii="Times New Roman" w:eastAsia="Times New Roman" w:hAnsi="Times New Roman" w:cs="Times New Roman"/>
                <w:sz w:val="24"/>
                <w:szCs w:val="24"/>
              </w:rPr>
              <w:t xml:space="preserve"> P</w:t>
            </w:r>
            <w:r w:rsidR="00014440" w:rsidRPr="00BF33C6">
              <w:rPr>
                <w:rFonts w:ascii="Times New Roman" w:eastAsia="Times New Roman" w:hAnsi="Times New Roman" w:cs="Times New Roman"/>
                <w:sz w:val="24"/>
                <w:szCs w:val="24"/>
              </w:rPr>
              <w:t xml:space="preserve">ašreizējais regulējums uzliek par pienākumu reģistrācijas īpašniekam sniegt informāciju </w:t>
            </w:r>
            <w:r w:rsidRPr="00BF33C6">
              <w:rPr>
                <w:rFonts w:ascii="Times New Roman" w:eastAsia="Times New Roman" w:hAnsi="Times New Roman" w:cs="Times New Roman"/>
                <w:sz w:val="24"/>
                <w:szCs w:val="24"/>
              </w:rPr>
              <w:t>aģentūrai</w:t>
            </w:r>
            <w:r w:rsidR="00014440" w:rsidRPr="00BF33C6">
              <w:rPr>
                <w:rFonts w:ascii="Times New Roman" w:eastAsia="Times New Roman" w:hAnsi="Times New Roman" w:cs="Times New Roman"/>
                <w:sz w:val="24"/>
                <w:szCs w:val="24"/>
              </w:rPr>
              <w:t xml:space="preserve"> par atlikušajiem krājumiem arī gadījumā, ja reģistrācija zālēm ir anulēta pēc reģistrācijas īpašnieka pieprasījuma ar drošumu un efektivitāti nesaistītu iemeslu dēļ, un </w:t>
            </w:r>
            <w:r w:rsidRPr="00BF33C6">
              <w:rPr>
                <w:rFonts w:ascii="Times New Roman" w:eastAsia="Times New Roman" w:hAnsi="Times New Roman" w:cs="Times New Roman"/>
                <w:sz w:val="24"/>
                <w:szCs w:val="24"/>
              </w:rPr>
              <w:t>aģentūra</w:t>
            </w:r>
            <w:r w:rsidR="00014440" w:rsidRPr="00BF33C6">
              <w:rPr>
                <w:rFonts w:ascii="Times New Roman" w:eastAsia="Times New Roman" w:hAnsi="Times New Roman" w:cs="Times New Roman"/>
                <w:sz w:val="24"/>
                <w:szCs w:val="24"/>
              </w:rPr>
              <w:t xml:space="preserve"> vērtē šo informāciju un sabiedrības veselības riskus atlikušo zāļu krājumu realizācijai, kas ir uzskatāms par administratīvu slogu. Šajos gadījumos nevarētu būt runas par to, ka iestātos sabiedrības veselības riski, jo zāļu reģistrācija ir anulēta ekonomisku apsvērumu dēļ un attiecībā uz atlikušo krājumu realizāciju aģentūrai nevajadzētu veikt </w:t>
            </w:r>
            <w:proofErr w:type="spellStart"/>
            <w:r w:rsidR="00014440" w:rsidRPr="00BF33C6">
              <w:rPr>
                <w:rFonts w:ascii="Times New Roman" w:eastAsia="Times New Roman" w:hAnsi="Times New Roman" w:cs="Times New Roman"/>
                <w:sz w:val="24"/>
                <w:szCs w:val="24"/>
              </w:rPr>
              <w:t>izvērtējumu</w:t>
            </w:r>
            <w:proofErr w:type="spellEnd"/>
            <w:r w:rsidR="00014440" w:rsidRPr="00BF33C6">
              <w:rPr>
                <w:rFonts w:ascii="Times New Roman" w:eastAsia="Times New Roman" w:hAnsi="Times New Roman" w:cs="Times New Roman"/>
                <w:sz w:val="24"/>
                <w:szCs w:val="24"/>
              </w:rPr>
              <w:t xml:space="preserve">. Atlikušos zāļu krājumus izplatīt varētu bez īpašas norādes no </w:t>
            </w:r>
            <w:r w:rsidRPr="00BF33C6">
              <w:rPr>
                <w:rFonts w:ascii="Times New Roman" w:eastAsia="Times New Roman" w:hAnsi="Times New Roman" w:cs="Times New Roman"/>
                <w:sz w:val="24"/>
                <w:szCs w:val="24"/>
              </w:rPr>
              <w:t>aģentūras</w:t>
            </w:r>
            <w:r w:rsidR="00014440" w:rsidRPr="00BF33C6">
              <w:rPr>
                <w:rFonts w:ascii="Times New Roman" w:eastAsia="Times New Roman" w:hAnsi="Times New Roman" w:cs="Times New Roman"/>
                <w:sz w:val="24"/>
                <w:szCs w:val="24"/>
              </w:rPr>
              <w:t>.</w:t>
            </w:r>
            <w:r w:rsidRPr="00BF33C6">
              <w:rPr>
                <w:rFonts w:ascii="Times New Roman" w:eastAsia="Times New Roman" w:hAnsi="Times New Roman" w:cs="Times New Roman"/>
                <w:sz w:val="24"/>
                <w:szCs w:val="24"/>
              </w:rPr>
              <w:t xml:space="preserve"> Tādēļ:</w:t>
            </w:r>
          </w:p>
          <w:p w14:paraId="5CBAF560" w14:textId="58C64C7E" w:rsidR="00014440" w:rsidRPr="00BF33C6" w:rsidRDefault="00014440" w:rsidP="00014440">
            <w:pPr>
              <w:spacing w:after="0" w:line="240" w:lineRule="auto"/>
              <w:jc w:val="both"/>
              <w:outlineLvl w:val="0"/>
              <w:rPr>
                <w:rFonts w:ascii="Times New Roman" w:eastAsia="Times New Roman" w:hAnsi="Times New Roman" w:cs="Times New Roman"/>
                <w:sz w:val="24"/>
                <w:szCs w:val="24"/>
              </w:rPr>
            </w:pPr>
            <w:r w:rsidRPr="00BF33C6">
              <w:rPr>
                <w:rFonts w:ascii="Times New Roman" w:eastAsia="Times New Roman" w:hAnsi="Times New Roman" w:cs="Times New Roman"/>
                <w:sz w:val="24"/>
                <w:szCs w:val="24"/>
              </w:rPr>
              <w:lastRenderedPageBreak/>
              <w:t>1) </w:t>
            </w:r>
            <w:r w:rsidR="0044184F" w:rsidRPr="00BF33C6">
              <w:rPr>
                <w:rFonts w:ascii="Times New Roman" w:eastAsia="Times New Roman" w:hAnsi="Times New Roman" w:cs="Times New Roman"/>
                <w:sz w:val="24"/>
                <w:szCs w:val="24"/>
              </w:rPr>
              <w:t>t</w:t>
            </w:r>
            <w:r w:rsidRPr="00BF33C6">
              <w:rPr>
                <w:rFonts w:ascii="Times New Roman" w:eastAsia="Times New Roman" w:hAnsi="Times New Roman" w:cs="Times New Roman"/>
                <w:sz w:val="24"/>
                <w:szCs w:val="24"/>
              </w:rPr>
              <w:t xml:space="preserve">iek konkretizēti gadījumi, kad zāļu reģistrācijas īpašnieks (MAH) var izplatīt atlikušos zāļu krājumus 6 mēnešu laikā, automātiski bez </w:t>
            </w:r>
            <w:r w:rsidR="0044184F" w:rsidRPr="00BF33C6">
              <w:rPr>
                <w:rFonts w:ascii="Times New Roman" w:eastAsia="Times New Roman" w:hAnsi="Times New Roman" w:cs="Times New Roman"/>
                <w:sz w:val="24"/>
                <w:szCs w:val="24"/>
              </w:rPr>
              <w:t>aģentūras</w:t>
            </w:r>
            <w:r w:rsidRPr="00BF33C6">
              <w:rPr>
                <w:rFonts w:ascii="Times New Roman" w:eastAsia="Times New Roman" w:hAnsi="Times New Roman" w:cs="Times New Roman"/>
                <w:sz w:val="24"/>
                <w:szCs w:val="24"/>
              </w:rPr>
              <w:t xml:space="preserve"> norādes par atlikušo zāļu krājumu realizācijas termiņu. </w:t>
            </w:r>
          </w:p>
          <w:p w14:paraId="0B645E29" w14:textId="46339355" w:rsidR="00014440" w:rsidRPr="00BF33C6" w:rsidRDefault="00014440" w:rsidP="00014440">
            <w:pPr>
              <w:spacing w:after="0" w:line="240" w:lineRule="auto"/>
              <w:jc w:val="both"/>
              <w:outlineLvl w:val="0"/>
              <w:rPr>
                <w:rFonts w:ascii="Times New Roman" w:eastAsia="Times New Roman" w:hAnsi="Times New Roman" w:cs="Times New Roman"/>
                <w:sz w:val="24"/>
                <w:szCs w:val="24"/>
              </w:rPr>
            </w:pPr>
            <w:r w:rsidRPr="00BF33C6">
              <w:rPr>
                <w:rFonts w:ascii="Times New Roman" w:eastAsia="Times New Roman" w:hAnsi="Times New Roman" w:cs="Times New Roman"/>
                <w:sz w:val="24"/>
                <w:szCs w:val="24"/>
              </w:rPr>
              <w:t>2) </w:t>
            </w:r>
            <w:r w:rsidR="0044184F" w:rsidRPr="00BF33C6">
              <w:rPr>
                <w:rFonts w:ascii="Times New Roman" w:eastAsia="Times New Roman" w:hAnsi="Times New Roman" w:cs="Times New Roman"/>
                <w:sz w:val="24"/>
                <w:szCs w:val="24"/>
              </w:rPr>
              <w:t>n</w:t>
            </w:r>
            <w:r w:rsidRPr="00BF33C6">
              <w:rPr>
                <w:rFonts w:ascii="Times New Roman" w:eastAsia="Times New Roman" w:hAnsi="Times New Roman" w:cs="Times New Roman"/>
                <w:sz w:val="24"/>
                <w:szCs w:val="24"/>
              </w:rPr>
              <w:t xml:space="preserve">osakām attiecībā uz paralēli importētām zālēm līdzīgu principu kā reģistrētām zālēm, kas izslēdz to, ka apturot/ anulējot paralēli importēto zāļu izplatīšanas atļauju, atlikušo zāļu krājumu izplatīšana netiek atļauta, kas var radīt sabiedrības veselības riskus, jo arī paralēli importētās zāles var būt iekļautas kompensējamo zāļu sarakstā </w:t>
            </w:r>
            <w:r w:rsidR="0044184F" w:rsidRPr="00BF33C6">
              <w:rPr>
                <w:rFonts w:ascii="Times New Roman" w:eastAsia="Times New Roman" w:hAnsi="Times New Roman" w:cs="Times New Roman"/>
                <w:sz w:val="24"/>
                <w:szCs w:val="24"/>
              </w:rPr>
              <w:t>(projekta</w:t>
            </w:r>
            <w:r w:rsidR="009B2C32" w:rsidRPr="00BF33C6">
              <w:rPr>
                <w:rFonts w:ascii="Times New Roman" w:eastAsia="Times New Roman" w:hAnsi="Times New Roman" w:cs="Times New Roman"/>
                <w:sz w:val="24"/>
                <w:szCs w:val="24"/>
              </w:rPr>
              <w:t xml:space="preserve"> </w:t>
            </w:r>
            <w:r w:rsidR="00CB67D3" w:rsidRPr="00BF33C6">
              <w:rPr>
                <w:rFonts w:ascii="Times New Roman" w:eastAsia="Times New Roman" w:hAnsi="Times New Roman" w:cs="Times New Roman"/>
                <w:sz w:val="24"/>
                <w:szCs w:val="24"/>
              </w:rPr>
              <w:t>3</w:t>
            </w:r>
            <w:r w:rsidR="009B2C32" w:rsidRPr="00BF33C6">
              <w:rPr>
                <w:rFonts w:ascii="Times New Roman" w:eastAsia="Times New Roman" w:hAnsi="Times New Roman" w:cs="Times New Roman"/>
                <w:sz w:val="24"/>
                <w:szCs w:val="24"/>
              </w:rPr>
              <w:t>2</w:t>
            </w:r>
            <w:r w:rsidR="0044184F" w:rsidRPr="00BF33C6">
              <w:rPr>
                <w:rFonts w:ascii="Times New Roman" w:eastAsia="Times New Roman" w:hAnsi="Times New Roman" w:cs="Times New Roman"/>
                <w:sz w:val="24"/>
                <w:szCs w:val="24"/>
              </w:rPr>
              <w:t>.punkts).</w:t>
            </w:r>
          </w:p>
          <w:p w14:paraId="247D0F28" w14:textId="77777777" w:rsidR="00014440" w:rsidRPr="00BF33C6" w:rsidRDefault="00014440" w:rsidP="00014440">
            <w:pPr>
              <w:spacing w:after="0" w:line="240" w:lineRule="auto"/>
              <w:jc w:val="both"/>
              <w:outlineLvl w:val="0"/>
              <w:rPr>
                <w:rFonts w:ascii="Times New Roman" w:eastAsia="Times New Roman" w:hAnsi="Times New Roman" w:cs="Times New Roman"/>
                <w:sz w:val="24"/>
                <w:szCs w:val="24"/>
              </w:rPr>
            </w:pPr>
          </w:p>
          <w:p w14:paraId="392B9077" w14:textId="7DDD3E8F" w:rsidR="008066A7" w:rsidRPr="00BF33C6" w:rsidRDefault="008066A7" w:rsidP="00E27E19">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Tehniski precizējumi veikti projekta </w:t>
            </w:r>
            <w:r w:rsidR="008A6374" w:rsidRPr="00BF33C6">
              <w:rPr>
                <w:rFonts w:ascii="Times New Roman" w:eastAsia="Times New Roman" w:hAnsi="Times New Roman" w:cs="Times New Roman"/>
                <w:iCs/>
                <w:sz w:val="24"/>
                <w:szCs w:val="24"/>
                <w:lang w:eastAsia="lv-LV"/>
              </w:rPr>
              <w:t xml:space="preserve">16., </w:t>
            </w:r>
            <w:r w:rsidRPr="00BF33C6">
              <w:rPr>
                <w:rFonts w:ascii="Times New Roman" w:eastAsia="Times New Roman" w:hAnsi="Times New Roman" w:cs="Times New Roman"/>
                <w:iCs/>
                <w:sz w:val="24"/>
                <w:szCs w:val="24"/>
                <w:lang w:eastAsia="lv-LV"/>
              </w:rPr>
              <w:t>1</w:t>
            </w:r>
            <w:r w:rsidR="009B2C32" w:rsidRPr="00BF33C6">
              <w:rPr>
                <w:rFonts w:ascii="Times New Roman" w:eastAsia="Times New Roman" w:hAnsi="Times New Roman" w:cs="Times New Roman"/>
                <w:iCs/>
                <w:sz w:val="24"/>
                <w:szCs w:val="24"/>
                <w:lang w:eastAsia="lv-LV"/>
              </w:rPr>
              <w:t>9</w:t>
            </w:r>
            <w:r w:rsidRPr="00BF33C6">
              <w:rPr>
                <w:rFonts w:ascii="Times New Roman" w:eastAsia="Times New Roman" w:hAnsi="Times New Roman" w:cs="Times New Roman"/>
                <w:iCs/>
                <w:sz w:val="24"/>
                <w:szCs w:val="24"/>
                <w:lang w:eastAsia="lv-LV"/>
              </w:rPr>
              <w:t xml:space="preserve">., </w:t>
            </w:r>
            <w:r w:rsidR="008A6374" w:rsidRPr="00BF33C6">
              <w:rPr>
                <w:rFonts w:ascii="Times New Roman" w:eastAsia="Times New Roman" w:hAnsi="Times New Roman" w:cs="Times New Roman"/>
                <w:iCs/>
                <w:sz w:val="24"/>
                <w:szCs w:val="24"/>
                <w:lang w:eastAsia="lv-LV"/>
              </w:rPr>
              <w:t xml:space="preserve">26., </w:t>
            </w:r>
            <w:r w:rsidRPr="00BF33C6">
              <w:rPr>
                <w:rFonts w:ascii="Times New Roman" w:eastAsia="Times New Roman" w:hAnsi="Times New Roman" w:cs="Times New Roman"/>
                <w:iCs/>
                <w:sz w:val="24"/>
                <w:szCs w:val="24"/>
                <w:lang w:eastAsia="lv-LV"/>
              </w:rPr>
              <w:t>3</w:t>
            </w:r>
            <w:r w:rsidR="009B2C32" w:rsidRPr="00BF33C6">
              <w:rPr>
                <w:rFonts w:ascii="Times New Roman" w:eastAsia="Times New Roman" w:hAnsi="Times New Roman" w:cs="Times New Roman"/>
                <w:iCs/>
                <w:sz w:val="24"/>
                <w:szCs w:val="24"/>
                <w:lang w:eastAsia="lv-LV"/>
              </w:rPr>
              <w:t>3</w:t>
            </w:r>
            <w:r w:rsidRPr="00BF33C6">
              <w:rPr>
                <w:rFonts w:ascii="Times New Roman" w:eastAsia="Times New Roman" w:hAnsi="Times New Roman" w:cs="Times New Roman"/>
                <w:iCs/>
                <w:sz w:val="24"/>
                <w:szCs w:val="24"/>
                <w:lang w:eastAsia="lv-LV"/>
              </w:rPr>
              <w:t>., 3</w:t>
            </w:r>
            <w:r w:rsidR="009B2C32" w:rsidRPr="00BF33C6">
              <w:rPr>
                <w:rFonts w:ascii="Times New Roman" w:eastAsia="Times New Roman" w:hAnsi="Times New Roman" w:cs="Times New Roman"/>
                <w:iCs/>
                <w:sz w:val="24"/>
                <w:szCs w:val="24"/>
                <w:lang w:eastAsia="lv-LV"/>
              </w:rPr>
              <w:t>8</w:t>
            </w:r>
            <w:r w:rsidRPr="00BF33C6">
              <w:rPr>
                <w:rFonts w:ascii="Times New Roman" w:eastAsia="Times New Roman" w:hAnsi="Times New Roman" w:cs="Times New Roman"/>
                <w:iCs/>
                <w:sz w:val="24"/>
                <w:szCs w:val="24"/>
                <w:lang w:eastAsia="lv-LV"/>
              </w:rPr>
              <w:t xml:space="preserve">., </w:t>
            </w:r>
            <w:r w:rsidR="009B2C32" w:rsidRPr="00BF33C6">
              <w:rPr>
                <w:rFonts w:ascii="Times New Roman" w:eastAsia="Times New Roman" w:hAnsi="Times New Roman" w:cs="Times New Roman"/>
                <w:iCs/>
                <w:sz w:val="24"/>
                <w:szCs w:val="24"/>
                <w:lang w:eastAsia="lv-LV"/>
              </w:rPr>
              <w:t>40</w:t>
            </w:r>
            <w:r w:rsidRPr="00BF33C6">
              <w:rPr>
                <w:rFonts w:ascii="Times New Roman" w:eastAsia="Times New Roman" w:hAnsi="Times New Roman" w:cs="Times New Roman"/>
                <w:iCs/>
                <w:sz w:val="24"/>
                <w:szCs w:val="24"/>
                <w:lang w:eastAsia="lv-LV"/>
              </w:rPr>
              <w:t>., 4</w:t>
            </w:r>
            <w:r w:rsidR="009B2C32" w:rsidRPr="00BF33C6">
              <w:rPr>
                <w:rFonts w:ascii="Times New Roman" w:eastAsia="Times New Roman" w:hAnsi="Times New Roman" w:cs="Times New Roman"/>
                <w:iCs/>
                <w:sz w:val="24"/>
                <w:szCs w:val="24"/>
                <w:lang w:eastAsia="lv-LV"/>
              </w:rPr>
              <w:t>1</w:t>
            </w:r>
            <w:r w:rsidRPr="00BF33C6">
              <w:rPr>
                <w:rFonts w:ascii="Times New Roman" w:eastAsia="Times New Roman" w:hAnsi="Times New Roman" w:cs="Times New Roman"/>
                <w:iCs/>
                <w:sz w:val="24"/>
                <w:szCs w:val="24"/>
                <w:lang w:eastAsia="lv-LV"/>
              </w:rPr>
              <w:t xml:space="preserve">., </w:t>
            </w:r>
            <w:bookmarkStart w:id="0" w:name="_GoBack"/>
            <w:bookmarkEnd w:id="0"/>
            <w:r w:rsidRPr="00BF33C6">
              <w:rPr>
                <w:rFonts w:ascii="Times New Roman" w:eastAsia="Times New Roman" w:hAnsi="Times New Roman" w:cs="Times New Roman"/>
                <w:iCs/>
                <w:sz w:val="24"/>
                <w:szCs w:val="24"/>
                <w:lang w:eastAsia="lv-LV"/>
              </w:rPr>
              <w:t xml:space="preserve">45., </w:t>
            </w:r>
            <w:r w:rsidR="003F0C4A" w:rsidRPr="00BF33C6">
              <w:rPr>
                <w:rFonts w:ascii="Times New Roman" w:eastAsia="Times New Roman" w:hAnsi="Times New Roman" w:cs="Times New Roman"/>
                <w:iCs/>
                <w:sz w:val="24"/>
                <w:szCs w:val="24"/>
                <w:lang w:eastAsia="lv-LV"/>
              </w:rPr>
              <w:t>5</w:t>
            </w:r>
            <w:r w:rsidR="009B2C32" w:rsidRPr="00BF33C6">
              <w:rPr>
                <w:rFonts w:ascii="Times New Roman" w:eastAsia="Times New Roman" w:hAnsi="Times New Roman" w:cs="Times New Roman"/>
                <w:iCs/>
                <w:sz w:val="24"/>
                <w:szCs w:val="24"/>
                <w:lang w:eastAsia="lv-LV"/>
              </w:rPr>
              <w:t>0</w:t>
            </w:r>
            <w:r w:rsidR="003F0C4A" w:rsidRPr="00BF33C6">
              <w:rPr>
                <w:rFonts w:ascii="Times New Roman" w:eastAsia="Times New Roman" w:hAnsi="Times New Roman" w:cs="Times New Roman"/>
                <w:iCs/>
                <w:sz w:val="24"/>
                <w:szCs w:val="24"/>
                <w:lang w:eastAsia="lv-LV"/>
              </w:rPr>
              <w:t>.</w:t>
            </w:r>
            <w:r w:rsidR="00CB7E04" w:rsidRPr="00BF33C6">
              <w:rPr>
                <w:rFonts w:ascii="Times New Roman" w:eastAsia="Times New Roman" w:hAnsi="Times New Roman" w:cs="Times New Roman"/>
                <w:iCs/>
                <w:sz w:val="24"/>
                <w:szCs w:val="24"/>
                <w:lang w:eastAsia="lv-LV"/>
              </w:rPr>
              <w:t xml:space="preserve"> un</w:t>
            </w:r>
            <w:r w:rsidR="003F0C4A" w:rsidRPr="00BF33C6">
              <w:rPr>
                <w:rFonts w:ascii="Times New Roman" w:eastAsia="Times New Roman" w:hAnsi="Times New Roman" w:cs="Times New Roman"/>
                <w:iCs/>
                <w:sz w:val="24"/>
                <w:szCs w:val="24"/>
                <w:lang w:eastAsia="lv-LV"/>
              </w:rPr>
              <w:t xml:space="preserve"> </w:t>
            </w:r>
            <w:r w:rsidRPr="00BF33C6">
              <w:rPr>
                <w:rFonts w:ascii="Times New Roman" w:eastAsia="Times New Roman" w:hAnsi="Times New Roman" w:cs="Times New Roman"/>
                <w:iCs/>
                <w:sz w:val="24"/>
                <w:szCs w:val="24"/>
                <w:lang w:eastAsia="lv-LV"/>
              </w:rPr>
              <w:t>6</w:t>
            </w:r>
            <w:r w:rsidR="009B2C32" w:rsidRPr="00BF33C6">
              <w:rPr>
                <w:rFonts w:ascii="Times New Roman" w:eastAsia="Times New Roman" w:hAnsi="Times New Roman" w:cs="Times New Roman"/>
                <w:iCs/>
                <w:sz w:val="24"/>
                <w:szCs w:val="24"/>
                <w:lang w:eastAsia="lv-LV"/>
              </w:rPr>
              <w:t>2</w:t>
            </w:r>
            <w:r w:rsidRPr="00BF33C6">
              <w:rPr>
                <w:rFonts w:ascii="Times New Roman" w:eastAsia="Times New Roman" w:hAnsi="Times New Roman" w:cs="Times New Roman"/>
                <w:iCs/>
                <w:sz w:val="24"/>
                <w:szCs w:val="24"/>
                <w:lang w:eastAsia="lv-LV"/>
              </w:rPr>
              <w:t>.</w:t>
            </w:r>
            <w:r w:rsidR="00CB7E04" w:rsidRPr="00BF33C6">
              <w:rPr>
                <w:rFonts w:ascii="Times New Roman" w:eastAsia="Times New Roman" w:hAnsi="Times New Roman" w:cs="Times New Roman"/>
                <w:iCs/>
                <w:sz w:val="24"/>
                <w:szCs w:val="24"/>
                <w:lang w:eastAsia="lv-LV"/>
              </w:rPr>
              <w:t xml:space="preserve"> punktā.</w:t>
            </w:r>
            <w:r w:rsidRPr="00BF33C6">
              <w:rPr>
                <w:rFonts w:ascii="Times New Roman" w:eastAsia="Times New Roman" w:hAnsi="Times New Roman" w:cs="Times New Roman"/>
                <w:iCs/>
                <w:sz w:val="24"/>
                <w:szCs w:val="24"/>
                <w:lang w:eastAsia="lv-LV"/>
              </w:rPr>
              <w:t xml:space="preserve"> </w:t>
            </w:r>
          </w:p>
          <w:p w14:paraId="3FFCB1A8" w14:textId="77777777" w:rsidR="008066A7" w:rsidRPr="00BF33C6" w:rsidRDefault="008066A7" w:rsidP="00E27E19">
            <w:pPr>
              <w:spacing w:after="0" w:line="240" w:lineRule="auto"/>
              <w:jc w:val="both"/>
              <w:rPr>
                <w:rFonts w:ascii="Times New Roman" w:eastAsia="Times New Roman" w:hAnsi="Times New Roman" w:cs="Times New Roman"/>
                <w:iCs/>
                <w:sz w:val="24"/>
                <w:szCs w:val="24"/>
                <w:lang w:eastAsia="lv-LV"/>
              </w:rPr>
            </w:pPr>
          </w:p>
          <w:p w14:paraId="052B1AD1" w14:textId="1A66DC7F" w:rsidR="00014440" w:rsidRPr="00BF33C6" w:rsidRDefault="00D8392C" w:rsidP="00E27E19">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Noteikumu projekts paredz </w:t>
            </w:r>
            <w:proofErr w:type="spellStart"/>
            <w:r w:rsidRPr="00BF33C6">
              <w:rPr>
                <w:rFonts w:ascii="Times New Roman" w:eastAsia="Times New Roman" w:hAnsi="Times New Roman" w:cs="Times New Roman"/>
                <w:iCs/>
                <w:sz w:val="24"/>
                <w:szCs w:val="24"/>
                <w:lang w:eastAsia="lv-LV"/>
              </w:rPr>
              <w:t>pāŗejas</w:t>
            </w:r>
            <w:proofErr w:type="spellEnd"/>
            <w:r w:rsidRPr="00BF33C6">
              <w:rPr>
                <w:rFonts w:ascii="Times New Roman" w:eastAsia="Times New Roman" w:hAnsi="Times New Roman" w:cs="Times New Roman"/>
                <w:iCs/>
                <w:sz w:val="24"/>
                <w:szCs w:val="24"/>
                <w:lang w:eastAsia="lv-LV"/>
              </w:rPr>
              <w:t xml:space="preserve"> noteikumus atsevišķu normu realizēšanā (projekta </w:t>
            </w:r>
            <w:r w:rsidR="00847B07" w:rsidRPr="00BF33C6">
              <w:rPr>
                <w:rFonts w:ascii="Times New Roman" w:eastAsia="Times New Roman" w:hAnsi="Times New Roman" w:cs="Times New Roman"/>
                <w:iCs/>
                <w:sz w:val="24"/>
                <w:szCs w:val="24"/>
                <w:lang w:eastAsia="lv-LV"/>
              </w:rPr>
              <w:t>7</w:t>
            </w:r>
            <w:r w:rsidR="009B2C32" w:rsidRPr="00BF33C6">
              <w:rPr>
                <w:rFonts w:ascii="Times New Roman" w:eastAsia="Times New Roman" w:hAnsi="Times New Roman" w:cs="Times New Roman"/>
                <w:iCs/>
                <w:sz w:val="24"/>
                <w:szCs w:val="24"/>
                <w:lang w:eastAsia="lv-LV"/>
              </w:rPr>
              <w:t>1</w:t>
            </w:r>
            <w:r w:rsidRPr="00BF33C6">
              <w:rPr>
                <w:rFonts w:ascii="Times New Roman" w:eastAsia="Times New Roman" w:hAnsi="Times New Roman" w:cs="Times New Roman"/>
                <w:iCs/>
                <w:sz w:val="24"/>
                <w:szCs w:val="24"/>
                <w:lang w:eastAsia="lv-LV"/>
              </w:rPr>
              <w:t>.</w:t>
            </w:r>
            <w:r w:rsidR="00847B07" w:rsidRPr="00BF33C6">
              <w:rPr>
                <w:rFonts w:ascii="Times New Roman" w:eastAsia="Times New Roman" w:hAnsi="Times New Roman" w:cs="Times New Roman"/>
                <w:iCs/>
                <w:sz w:val="24"/>
                <w:szCs w:val="24"/>
                <w:lang w:eastAsia="lv-LV"/>
              </w:rPr>
              <w:t> </w:t>
            </w:r>
            <w:r w:rsidRPr="00BF33C6">
              <w:rPr>
                <w:rFonts w:ascii="Times New Roman" w:eastAsia="Times New Roman" w:hAnsi="Times New Roman" w:cs="Times New Roman"/>
                <w:iCs/>
                <w:sz w:val="24"/>
                <w:szCs w:val="24"/>
                <w:lang w:eastAsia="lv-LV"/>
              </w:rPr>
              <w:t>punkts).</w:t>
            </w:r>
          </w:p>
        </w:tc>
      </w:tr>
      <w:tr w:rsidR="004101A4" w:rsidRPr="00BF33C6" w14:paraId="44539844" w14:textId="77777777" w:rsidTr="00CE2DB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49ECFB92"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3.</w:t>
            </w:r>
          </w:p>
        </w:tc>
        <w:tc>
          <w:tcPr>
            <w:tcW w:w="726" w:type="pct"/>
            <w:tcBorders>
              <w:top w:val="outset" w:sz="6" w:space="0" w:color="auto"/>
              <w:left w:val="outset" w:sz="6" w:space="0" w:color="auto"/>
              <w:bottom w:val="outset" w:sz="6" w:space="0" w:color="auto"/>
              <w:right w:val="outset" w:sz="6" w:space="0" w:color="auto"/>
            </w:tcBorders>
            <w:hideMark/>
          </w:tcPr>
          <w:p w14:paraId="237BFF4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924" w:type="pct"/>
            <w:tcBorders>
              <w:top w:val="outset" w:sz="6" w:space="0" w:color="auto"/>
              <w:left w:val="outset" w:sz="6" w:space="0" w:color="auto"/>
              <w:bottom w:val="outset" w:sz="6" w:space="0" w:color="auto"/>
              <w:right w:val="outset" w:sz="6" w:space="0" w:color="auto"/>
            </w:tcBorders>
            <w:hideMark/>
          </w:tcPr>
          <w:p w14:paraId="66FE496C" w14:textId="77777777" w:rsidR="00E5323B" w:rsidRPr="00BF33C6" w:rsidRDefault="005D0EC4"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Veselības ministrija, Zāļu valsts aģentūra, Veselības inspekcija</w:t>
            </w:r>
          </w:p>
        </w:tc>
      </w:tr>
      <w:tr w:rsidR="004101A4" w:rsidRPr="00BF33C6" w14:paraId="20075B65" w14:textId="77777777" w:rsidTr="00CE2DBB">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6052EFC"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4.</w:t>
            </w:r>
          </w:p>
        </w:tc>
        <w:tc>
          <w:tcPr>
            <w:tcW w:w="726" w:type="pct"/>
            <w:tcBorders>
              <w:top w:val="outset" w:sz="6" w:space="0" w:color="auto"/>
              <w:left w:val="outset" w:sz="6" w:space="0" w:color="auto"/>
              <w:bottom w:val="outset" w:sz="6" w:space="0" w:color="auto"/>
              <w:right w:val="outset" w:sz="6" w:space="0" w:color="auto"/>
            </w:tcBorders>
            <w:hideMark/>
          </w:tcPr>
          <w:p w14:paraId="1FE861E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3924" w:type="pct"/>
            <w:tcBorders>
              <w:top w:val="outset" w:sz="6" w:space="0" w:color="auto"/>
              <w:left w:val="outset" w:sz="6" w:space="0" w:color="auto"/>
              <w:bottom w:val="outset" w:sz="6" w:space="0" w:color="auto"/>
              <w:right w:val="outset" w:sz="6" w:space="0" w:color="auto"/>
            </w:tcBorders>
            <w:hideMark/>
          </w:tcPr>
          <w:p w14:paraId="3101758C" w14:textId="34FE8EE6" w:rsidR="00E5323B" w:rsidRPr="00CE2DBB" w:rsidRDefault="002B2DD6" w:rsidP="00CE2DBB">
            <w:pPr>
              <w:pStyle w:val="NoSpacing"/>
              <w:jc w:val="both"/>
              <w:rPr>
                <w:rFonts w:ascii="Times New Roman" w:hAnsi="Times New Roman" w:cs="Times New Roman"/>
                <w:color w:val="222222"/>
                <w:sz w:val="24"/>
                <w:szCs w:val="24"/>
              </w:rPr>
            </w:pPr>
            <w:r w:rsidRPr="00CE2DBB">
              <w:rPr>
                <w:rFonts w:ascii="Times New Roman" w:hAnsi="Times New Roman" w:cs="Times New Roman"/>
                <w:sz w:val="24"/>
                <w:szCs w:val="24"/>
              </w:rPr>
              <w:t xml:space="preserve">Noteikumu projektā zāļu izvešanas kontroles un ierobežošanas mehānisms veidots, ņemot vērā Eiropas Komisijas dokumentu par </w:t>
            </w:r>
            <w:r w:rsidRPr="00CE2DBB">
              <w:rPr>
                <w:rFonts w:ascii="Times New Roman" w:hAnsi="Times New Roman" w:cs="Times New Roman"/>
                <w:color w:val="222222"/>
                <w:sz w:val="24"/>
                <w:szCs w:val="24"/>
              </w:rPr>
              <w:t>pastāvīgas piegādes pienākumu, lai risinātu zāļu trūkuma problēmu (</w:t>
            </w:r>
            <w:r w:rsidRPr="00CE2DBB">
              <w:rPr>
                <w:rFonts w:ascii="Times New Roman" w:hAnsi="Times New Roman" w:cs="Times New Roman"/>
                <w:i/>
                <w:sz w:val="24"/>
                <w:szCs w:val="24"/>
              </w:rPr>
              <w:t xml:space="preserve">EUROPEAN COMMISSION DIRECTORATE-GENERAL FOR HEALTH AND FOOD SAFETY Health </w:t>
            </w:r>
            <w:r w:rsidRPr="00CE2DBB">
              <w:rPr>
                <w:rFonts w:ascii="Times New Roman" w:hAnsi="Times New Roman" w:cs="Times New Roman"/>
                <w:i/>
                <w:sz w:val="24"/>
                <w:szCs w:val="24"/>
                <w:lang w:val="en-GB"/>
              </w:rPr>
              <w:t>systems, medical products and innovation Medical products: quality, safety, innovation Paper on the obligation of continuous supply to tackle the problem of shortages of medicines Agreed by the Ad-hoc technical meeting under the Pharmaceutical Committee on shortages of medicines on 25 May 2018</w:t>
            </w:r>
            <w:r w:rsidRPr="00CE2DBB">
              <w:rPr>
                <w:rFonts w:ascii="Times New Roman" w:hAnsi="Times New Roman" w:cs="Times New Roman"/>
                <w:sz w:val="24"/>
                <w:szCs w:val="24"/>
              </w:rPr>
              <w:t xml:space="preserve"> / </w:t>
            </w:r>
            <w:hyperlink r:id="rId13" w:history="1">
              <w:r w:rsidRPr="00CE2DBB">
                <w:rPr>
                  <w:rStyle w:val="Hyperlink"/>
                  <w:rFonts w:ascii="Times New Roman" w:hAnsi="Times New Roman" w:cs="Times New Roman"/>
                  <w:color w:val="auto"/>
                  <w:sz w:val="24"/>
                  <w:szCs w:val="24"/>
                  <w:u w:val="none"/>
                </w:rPr>
                <w:t>https://ec.europa.eu/health/sites/health/files/files/committee/ev_20180525_rd01_en.pdf</w:t>
              </w:r>
            </w:hyperlink>
            <w:r w:rsidR="00CE2DBB" w:rsidRPr="00CE2DBB">
              <w:rPr>
                <w:rFonts w:ascii="Times New Roman" w:hAnsi="Times New Roman" w:cs="Times New Roman"/>
                <w:sz w:val="24"/>
                <w:szCs w:val="24"/>
              </w:rPr>
              <w:t>), kā arī ņemot vērā citu dalībvalstu pieredzi</w:t>
            </w:r>
          </w:p>
        </w:tc>
      </w:tr>
    </w:tbl>
    <w:p w14:paraId="5549FBD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01A4" w:rsidRPr="00BF33C6" w14:paraId="32768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06D1C"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101A4" w:rsidRPr="00BF33C6" w14:paraId="0B23C8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C3AE2"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1B9C9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Sabiedrības </w:t>
            </w:r>
            <w:proofErr w:type="spellStart"/>
            <w:r w:rsidRPr="00BF33C6">
              <w:rPr>
                <w:rFonts w:ascii="Times New Roman" w:eastAsia="Times New Roman" w:hAnsi="Times New Roman" w:cs="Times New Roman"/>
                <w:iCs/>
                <w:sz w:val="24"/>
                <w:szCs w:val="24"/>
                <w:lang w:eastAsia="lv-LV"/>
              </w:rPr>
              <w:t>mērķgrupas</w:t>
            </w:r>
            <w:proofErr w:type="spellEnd"/>
            <w:r w:rsidRPr="00BF33C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653E276" w14:textId="77777777" w:rsidR="00E5323B" w:rsidRPr="00BF33C6" w:rsidRDefault="005D0EC4"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Zāļu lieltirgotavas un visi citi subjekti, kuri ir iesaistīti zāļu vairumtirdzniecībā, aptiekas, ikviena fiziska persona, kuras iegādā</w:t>
            </w:r>
            <w:r w:rsidR="00A11D0D" w:rsidRPr="00BF33C6">
              <w:rPr>
                <w:rFonts w:ascii="Times New Roman" w:eastAsia="Times New Roman" w:hAnsi="Times New Roman" w:cs="Times New Roman"/>
                <w:iCs/>
                <w:sz w:val="24"/>
                <w:szCs w:val="24"/>
                <w:lang w:eastAsia="lv-LV"/>
              </w:rPr>
              <w:t>j</w:t>
            </w:r>
            <w:r w:rsidRPr="00BF33C6">
              <w:rPr>
                <w:rFonts w:ascii="Times New Roman" w:eastAsia="Times New Roman" w:hAnsi="Times New Roman" w:cs="Times New Roman"/>
                <w:iCs/>
                <w:sz w:val="24"/>
                <w:szCs w:val="24"/>
                <w:lang w:eastAsia="lv-LV"/>
              </w:rPr>
              <w:t>as z</w:t>
            </w:r>
            <w:r w:rsidR="00A11D0D" w:rsidRPr="00BF33C6">
              <w:rPr>
                <w:rFonts w:ascii="Times New Roman" w:eastAsia="Times New Roman" w:hAnsi="Times New Roman" w:cs="Times New Roman"/>
                <w:iCs/>
                <w:sz w:val="24"/>
                <w:szCs w:val="24"/>
                <w:lang w:eastAsia="lv-LV"/>
              </w:rPr>
              <w:t>āles</w:t>
            </w:r>
          </w:p>
        </w:tc>
      </w:tr>
      <w:tr w:rsidR="004101A4" w:rsidRPr="00BF33C6" w14:paraId="30CE33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5EAA1"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C7293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5CBB10" w14:textId="77777777" w:rsidR="00E5323B" w:rsidRPr="00BF33C6" w:rsidRDefault="00A11D0D" w:rsidP="00CE2DBB">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Projekts uzliek par pienākumu zāļu lieltirgotavām </w:t>
            </w:r>
            <w:r w:rsidR="00161A9D" w:rsidRPr="00BF33C6">
              <w:rPr>
                <w:rFonts w:ascii="Times New Roman" w:eastAsia="Times New Roman" w:hAnsi="Times New Roman" w:cs="Times New Roman"/>
                <w:iCs/>
                <w:sz w:val="24"/>
                <w:szCs w:val="24"/>
                <w:lang w:eastAsia="lv-LV"/>
              </w:rPr>
              <w:t xml:space="preserve">zāļu apriti uzskaitīt veikt tikai elektroniski, kā arī </w:t>
            </w:r>
            <w:r w:rsidRPr="00BF33C6">
              <w:rPr>
                <w:rFonts w:ascii="Times New Roman" w:eastAsia="Times New Roman" w:hAnsi="Times New Roman" w:cs="Times New Roman"/>
                <w:iCs/>
                <w:sz w:val="24"/>
                <w:szCs w:val="24"/>
                <w:lang w:eastAsia="lv-LV"/>
              </w:rPr>
              <w:t xml:space="preserve">elektroniskā veidā sniegt informāciju Zāļu valsts aģentūrai par zāļu krājumu atlikumiem katru darba dienu. Ņemot vērā, ka jau šobrīd zāļu uzskaite tiek veikta elektroniski, administratīvā sloga palielinājums ir nebūtisks, tajā pašā laikā ieguvums sabiedrībai ir ļoti nozīmīgs – zāļu atlikumi būs publiski pieejami un tiks atjaunoti katru darba dienu, tādā veidā padarot daudz </w:t>
            </w:r>
            <w:r w:rsidRPr="00BF33C6">
              <w:rPr>
                <w:rFonts w:ascii="Times New Roman" w:eastAsia="Times New Roman" w:hAnsi="Times New Roman" w:cs="Times New Roman"/>
                <w:iCs/>
                <w:sz w:val="24"/>
                <w:szCs w:val="24"/>
                <w:lang w:eastAsia="lv-LV"/>
              </w:rPr>
              <w:lastRenderedPageBreak/>
              <w:t>caurspīdīgāku zāļu izplatīšanas procesu starp zāļu lieltirgotavām un aptiekām.</w:t>
            </w:r>
          </w:p>
          <w:p w14:paraId="7084C6DE" w14:textId="0F06A847" w:rsidR="004D05E0" w:rsidRPr="00BF33C6" w:rsidRDefault="004D05E0" w:rsidP="00CE2DBB">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Projekta izpilde Zāļu valsts aģentūrai papildus prasīs vienu zāļu labas izplatīšanas prakses inspektora slodzi, jo zāļu labas izplatīšanas prakses kontrolei tiks pakļautas muitas noliktavas.</w:t>
            </w:r>
          </w:p>
        </w:tc>
      </w:tr>
      <w:tr w:rsidR="004101A4" w:rsidRPr="00BF33C6" w14:paraId="41E26E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A46A0"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C4697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0E4E65" w14:textId="53A22461" w:rsidR="00E5323B" w:rsidRPr="00BF33C6" w:rsidRDefault="00A11D0D" w:rsidP="00CE2DBB">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Administratīvās izmaksas kopumā nepārsniedz EUR 2000</w:t>
            </w:r>
            <w:r w:rsidR="00CE2DBB">
              <w:rPr>
                <w:rFonts w:ascii="Times New Roman" w:eastAsia="Times New Roman" w:hAnsi="Times New Roman" w:cs="Times New Roman"/>
                <w:iCs/>
                <w:sz w:val="24"/>
                <w:szCs w:val="24"/>
                <w:lang w:eastAsia="lv-LV"/>
              </w:rPr>
              <w:t>. Š</w:t>
            </w:r>
            <w:r w:rsidR="005531AF" w:rsidRPr="00BF33C6">
              <w:rPr>
                <w:rFonts w:ascii="Times New Roman" w:eastAsia="Times New Roman" w:hAnsi="Times New Roman" w:cs="Times New Roman"/>
                <w:iCs/>
                <w:sz w:val="24"/>
                <w:szCs w:val="24"/>
                <w:lang w:eastAsia="lv-LV"/>
              </w:rPr>
              <w:t>obrīd zāļu uzskaite tiek veikta elektroniski</w:t>
            </w:r>
            <w:r w:rsidR="00F55732" w:rsidRPr="00BF33C6">
              <w:rPr>
                <w:rFonts w:ascii="Times New Roman" w:eastAsia="Times New Roman" w:hAnsi="Times New Roman" w:cs="Times New Roman"/>
                <w:iCs/>
                <w:sz w:val="24"/>
                <w:szCs w:val="24"/>
                <w:lang w:eastAsia="lv-LV"/>
              </w:rPr>
              <w:t xml:space="preserve"> un attiecīgo datu iesniegšana Zāļu valsts aģentūrā </w:t>
            </w:r>
            <w:r w:rsidR="00CE2DBB">
              <w:rPr>
                <w:rFonts w:ascii="Times New Roman" w:eastAsia="Times New Roman" w:hAnsi="Times New Roman" w:cs="Times New Roman"/>
                <w:iCs/>
                <w:sz w:val="24"/>
                <w:szCs w:val="24"/>
                <w:lang w:eastAsia="lv-LV"/>
              </w:rPr>
              <w:t xml:space="preserve">nevarētu lielus </w:t>
            </w:r>
            <w:r w:rsidR="00F55732" w:rsidRPr="00BF33C6">
              <w:rPr>
                <w:rFonts w:ascii="Times New Roman" w:eastAsia="Times New Roman" w:hAnsi="Times New Roman" w:cs="Times New Roman"/>
                <w:iCs/>
                <w:sz w:val="24"/>
                <w:szCs w:val="24"/>
                <w:lang w:eastAsia="lv-LV"/>
              </w:rPr>
              <w:t>resursus no komersantu puses.</w:t>
            </w:r>
          </w:p>
        </w:tc>
      </w:tr>
      <w:tr w:rsidR="004101A4" w:rsidRPr="00BF33C6" w14:paraId="1E6D40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C66C11"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2C863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25D51B" w14:textId="766ED64F" w:rsidR="00E5323B" w:rsidRPr="00BF33C6" w:rsidRDefault="001B1C4F" w:rsidP="00CE2DBB">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Tā kā jau šobrīd zāļu uzskaite</w:t>
            </w:r>
            <w:r w:rsidR="006F12E6" w:rsidRPr="00BF33C6">
              <w:rPr>
                <w:rFonts w:ascii="Times New Roman" w:eastAsia="Times New Roman" w:hAnsi="Times New Roman" w:cs="Times New Roman"/>
                <w:iCs/>
                <w:sz w:val="24"/>
                <w:szCs w:val="24"/>
                <w:lang w:eastAsia="lv-LV"/>
              </w:rPr>
              <w:t xml:space="preserve"> pamatā</w:t>
            </w:r>
            <w:r w:rsidRPr="00BF33C6">
              <w:rPr>
                <w:rFonts w:ascii="Times New Roman" w:eastAsia="Times New Roman" w:hAnsi="Times New Roman" w:cs="Times New Roman"/>
                <w:iCs/>
                <w:sz w:val="24"/>
                <w:szCs w:val="24"/>
                <w:lang w:eastAsia="lv-LV"/>
              </w:rPr>
              <w:t xml:space="preserve"> tiek veikta elektroniski, atbilstības izmaksas </w:t>
            </w:r>
            <w:r w:rsidR="00CE2DBB">
              <w:rPr>
                <w:rFonts w:ascii="Times New Roman" w:eastAsia="Times New Roman" w:hAnsi="Times New Roman" w:cs="Times New Roman"/>
                <w:iCs/>
                <w:sz w:val="24"/>
                <w:szCs w:val="24"/>
                <w:lang w:eastAsia="lv-LV"/>
              </w:rPr>
              <w:t>nevarētu būt pārmērīgi lielas.</w:t>
            </w:r>
            <w:r w:rsidRPr="00BF33C6">
              <w:rPr>
                <w:rFonts w:ascii="Times New Roman" w:eastAsia="Times New Roman" w:hAnsi="Times New Roman" w:cs="Times New Roman"/>
                <w:iCs/>
                <w:sz w:val="24"/>
                <w:szCs w:val="24"/>
                <w:lang w:eastAsia="lv-LV"/>
              </w:rPr>
              <w:t xml:space="preserve"> </w:t>
            </w:r>
          </w:p>
        </w:tc>
      </w:tr>
      <w:tr w:rsidR="004101A4" w:rsidRPr="00BF33C6" w14:paraId="0DD3A1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34A73"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65C121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2DEC6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Nav</w:t>
            </w:r>
          </w:p>
        </w:tc>
      </w:tr>
    </w:tbl>
    <w:p w14:paraId="0AE3F92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4101A4" w:rsidRPr="00BF33C6" w14:paraId="3E0ACC7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D96BD6"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III. Tiesību akta projekta ietekme uz valsts budžetu un pašvaldību budžetiem</w:t>
            </w:r>
          </w:p>
        </w:tc>
      </w:tr>
      <w:tr w:rsidR="004101A4" w:rsidRPr="00BF33C6" w14:paraId="597AAD91"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3F526491"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6E8F421"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1EA6D94"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Turpmākie trīs gadi (</w:t>
            </w:r>
            <w:proofErr w:type="spellStart"/>
            <w:r w:rsidRPr="00BF33C6">
              <w:rPr>
                <w:rFonts w:ascii="Times New Roman" w:eastAsia="Times New Roman" w:hAnsi="Times New Roman" w:cs="Times New Roman"/>
                <w:i/>
                <w:iCs/>
                <w:sz w:val="24"/>
                <w:szCs w:val="24"/>
                <w:lang w:eastAsia="lv-LV"/>
              </w:rPr>
              <w:t>euro</w:t>
            </w:r>
            <w:proofErr w:type="spellEnd"/>
            <w:r w:rsidRPr="00BF33C6">
              <w:rPr>
                <w:rFonts w:ascii="Times New Roman" w:eastAsia="Times New Roman" w:hAnsi="Times New Roman" w:cs="Times New Roman"/>
                <w:iCs/>
                <w:sz w:val="24"/>
                <w:szCs w:val="24"/>
                <w:lang w:eastAsia="lv-LV"/>
              </w:rPr>
              <w:t>)</w:t>
            </w:r>
          </w:p>
        </w:tc>
      </w:tr>
      <w:tr w:rsidR="004101A4" w:rsidRPr="00BF33C6" w14:paraId="1B1DEBFF"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61759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E9A4A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15EA9B5"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7A15526"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4C8F30"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n+3</w:t>
            </w:r>
          </w:p>
        </w:tc>
      </w:tr>
      <w:tr w:rsidR="004101A4" w:rsidRPr="00BF33C6" w14:paraId="7E8BC15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F35B0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3F7B04C"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333984"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3231A1"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A6BB90"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76677F"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6D20FE"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979069"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izmaiņas, salīdzinot ar vidēja termiņa budžeta ietvaru n+2 gadam</w:t>
            </w:r>
          </w:p>
        </w:tc>
      </w:tr>
      <w:tr w:rsidR="004101A4" w:rsidRPr="00BF33C6" w14:paraId="5005592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2852575"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FAE746"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87463E"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9E7BE2"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37241"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4309B1"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D7C297"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50D4EC"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8</w:t>
            </w:r>
          </w:p>
        </w:tc>
      </w:tr>
      <w:tr w:rsidR="004101A4" w:rsidRPr="00BF33C6" w14:paraId="1EAB996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83AB52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43FCD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47D17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3CC5A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78AE9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CF369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6E273C"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3DD3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5703D0A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298E7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4C2B7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2CA78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23FFC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19047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CCE421"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58A7D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2BEBD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073005D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867807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B71B4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9D934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27347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4FC91"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2A351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44B61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9488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79F82D9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85BBAD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1B2EA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DAB6F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AA98F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C31F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D6E8C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AD6F7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99F92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6459EB9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0FA3E0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2A0DF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66E03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B4D19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D92A1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3113A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CB5F8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1BCB7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308F83A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AF419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7419D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1359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41907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4FD7F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1CAAB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CE311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3DBD2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126722C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BA4D6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38109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E0E56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CD0F3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CC607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9D2EE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1E7D2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B37A4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68187E7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9AEFBF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054FB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CF9AD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73D38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87402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B41A8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69FC5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026CE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1AB6670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EB9271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1DD1E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0B8E3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5BF6C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17E50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B8F24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32D63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501EB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716502D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29B977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0F054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4AC18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EE084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BFFE7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919B9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B5FA1"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60608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66B8703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2B21D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BD007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C73E7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B3B99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E39A6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A7B611"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070A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FC07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6309B11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CB61B7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784A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B818B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99D4F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8CDA71"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A5123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B7C64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3E81E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09EDA1D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5DC82A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DD1DA" w14:textId="77777777" w:rsidR="00E5323B" w:rsidRPr="00BF33C6" w:rsidRDefault="00CC0D2D" w:rsidP="00CC0D2D">
            <w:pPr>
              <w:spacing w:after="0" w:line="240" w:lineRule="auto"/>
              <w:jc w:val="center"/>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B8A271" w14:textId="77777777" w:rsidR="00E5323B" w:rsidRPr="00BF33C6"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43C8179" w14:textId="77777777" w:rsidR="00E5323B" w:rsidRPr="00BF33C6" w:rsidRDefault="00CC0D2D" w:rsidP="00CC0D2D">
            <w:pPr>
              <w:spacing w:after="0" w:line="240" w:lineRule="auto"/>
              <w:jc w:val="center"/>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3FD02D" w14:textId="77777777" w:rsidR="00E5323B" w:rsidRPr="00BF33C6"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B224AA8" w14:textId="77777777" w:rsidR="00E5323B" w:rsidRPr="00BF33C6" w:rsidRDefault="00CC0D2D" w:rsidP="00CC0D2D">
            <w:pPr>
              <w:spacing w:after="0" w:line="240" w:lineRule="auto"/>
              <w:jc w:val="center"/>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96CF9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A7D04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7789967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C656B9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9DEA267"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4D093C22"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7654C1B6"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2C984965"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69447F48"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03D3D3F6" w14:textId="77777777" w:rsidR="00E5323B" w:rsidRPr="00BF33C6" w:rsidRDefault="00CC0D2D" w:rsidP="00CC0D2D">
            <w:pPr>
              <w:spacing w:after="0" w:line="240" w:lineRule="auto"/>
              <w:jc w:val="center"/>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773FEF" w14:textId="77777777" w:rsidR="00E5323B" w:rsidRPr="00BF33C6"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9DC9D2D"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0F8689D0"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3761A876"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38887DAD"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674A2246"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2211BBC3" w14:textId="77777777" w:rsidR="00E5323B" w:rsidRPr="00BF33C6" w:rsidRDefault="00CC0D2D" w:rsidP="00CC0D2D">
            <w:pPr>
              <w:spacing w:after="0" w:line="240" w:lineRule="auto"/>
              <w:jc w:val="center"/>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5CE3A3" w14:textId="77777777" w:rsidR="00E5323B" w:rsidRPr="00BF33C6"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F9595BF"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789E7655"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722E92B0"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7FBE54DB"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43CA5D8E" w14:textId="77777777" w:rsidR="00CC0D2D" w:rsidRPr="00BF33C6" w:rsidRDefault="00CC0D2D" w:rsidP="00CC0D2D">
            <w:pPr>
              <w:spacing w:after="0" w:line="240" w:lineRule="auto"/>
              <w:jc w:val="center"/>
              <w:rPr>
                <w:rFonts w:ascii="Times New Roman" w:eastAsia="Times New Roman" w:hAnsi="Times New Roman" w:cs="Times New Roman"/>
                <w:iCs/>
                <w:sz w:val="24"/>
                <w:szCs w:val="24"/>
                <w:lang w:eastAsia="lv-LV"/>
              </w:rPr>
            </w:pPr>
          </w:p>
          <w:p w14:paraId="4573DE23" w14:textId="77777777" w:rsidR="00E5323B" w:rsidRPr="00BF33C6" w:rsidRDefault="00CC0D2D" w:rsidP="00CC0D2D">
            <w:pPr>
              <w:spacing w:after="0" w:line="240" w:lineRule="auto"/>
              <w:jc w:val="center"/>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1DBE7C"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213F6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5199D1B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45E942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672B5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FF64381"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88DC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2B48E2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EF74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20B80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1CE7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7763D45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0E4AD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5913C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457DF8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7270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B10B0A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5B53C"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5168BF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04ACB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064A619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D59C8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E2537C"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A9AC96"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4EEFF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58280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54E5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9B54B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0DED0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0122FD9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8E74A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1D4D1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w:t>
            </w:r>
          </w:p>
        </w:tc>
      </w:tr>
      <w:tr w:rsidR="004101A4" w:rsidRPr="00BF33C6" w14:paraId="79272F3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665C7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F65BA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r>
      <w:tr w:rsidR="004101A4" w:rsidRPr="00BF33C6" w14:paraId="1295C59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4A71F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032B0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r>
      <w:tr w:rsidR="004101A4" w:rsidRPr="00BF33C6" w14:paraId="57F65F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C91D5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3C77B8B9" w14:textId="2BDB1312" w:rsidR="00E5323B" w:rsidRPr="00BF33C6" w:rsidRDefault="00E5323B" w:rsidP="00E5323B">
            <w:pPr>
              <w:spacing w:after="0" w:line="240" w:lineRule="auto"/>
              <w:rPr>
                <w:rFonts w:ascii="Times New Roman" w:eastAsia="Times New Roman" w:hAnsi="Times New Roman" w:cs="Times New Roman"/>
                <w:iCs/>
                <w:sz w:val="24"/>
                <w:szCs w:val="24"/>
                <w:lang w:eastAsia="lv-LV"/>
              </w:rPr>
            </w:pPr>
          </w:p>
        </w:tc>
      </w:tr>
      <w:tr w:rsidR="004101A4" w:rsidRPr="00BF33C6" w14:paraId="5D4E236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1B7F11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347DBAE2" w14:textId="77777777" w:rsidR="00E5323B" w:rsidRPr="00BF33C6" w:rsidRDefault="006F12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Projekta izpilde Zāļu valsts aģentūrai papildus prasīs vienu zāļu labas izplatīšanas prakses inspektora slodzi</w:t>
            </w:r>
          </w:p>
          <w:p w14:paraId="28A8583F" w14:textId="75383B60" w:rsidR="00CB7E04" w:rsidRPr="00BF33C6" w:rsidRDefault="00CB7E04"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Projekta izpilde Veselības inspekcijai papildus prasīs lielāku noslodzi, ko paredzēts realizēt esošo resursu ietvaros.</w:t>
            </w:r>
          </w:p>
        </w:tc>
      </w:tr>
    </w:tbl>
    <w:p w14:paraId="19B1214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4101A4" w:rsidRPr="00BF33C6" w14:paraId="2188E47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575C9E"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IV. Tiesību akta projekta ietekme uz spēkā esošo tiesību normu sistēmu</w:t>
            </w:r>
          </w:p>
        </w:tc>
      </w:tr>
      <w:tr w:rsidR="004101A4" w:rsidRPr="00BF33C6" w14:paraId="3F5AB2CF" w14:textId="77777777" w:rsidTr="006C11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B1F650"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1543145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Saistītie tiesību aktu projekti</w:t>
            </w:r>
          </w:p>
        </w:tc>
        <w:tc>
          <w:tcPr>
            <w:tcW w:w="2788" w:type="pct"/>
            <w:tcBorders>
              <w:top w:val="outset" w:sz="6" w:space="0" w:color="auto"/>
              <w:left w:val="outset" w:sz="6" w:space="0" w:color="auto"/>
              <w:bottom w:val="outset" w:sz="6" w:space="0" w:color="auto"/>
              <w:right w:val="outset" w:sz="6" w:space="0" w:color="auto"/>
            </w:tcBorders>
            <w:hideMark/>
          </w:tcPr>
          <w:p w14:paraId="496EEBD9" w14:textId="4E84C2AA" w:rsidR="00C23CE2" w:rsidRPr="00BF33C6" w:rsidRDefault="00C23CE2" w:rsidP="008C02F1">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Grozījumi izdarāmi M</w:t>
            </w:r>
            <w:r w:rsidR="009B2C32" w:rsidRPr="00BF33C6">
              <w:rPr>
                <w:rFonts w:ascii="Times New Roman" w:eastAsia="Times New Roman" w:hAnsi="Times New Roman" w:cs="Times New Roman"/>
                <w:iCs/>
                <w:sz w:val="24"/>
                <w:szCs w:val="24"/>
                <w:lang w:eastAsia="lv-LV"/>
              </w:rPr>
              <w:t>inistru kabineta 2007.</w:t>
            </w:r>
            <w:r w:rsidR="008C02F1" w:rsidRPr="00BF33C6">
              <w:rPr>
                <w:rFonts w:ascii="Times New Roman" w:eastAsia="Times New Roman" w:hAnsi="Times New Roman" w:cs="Times New Roman"/>
                <w:iCs/>
                <w:sz w:val="24"/>
                <w:szCs w:val="24"/>
                <w:lang w:eastAsia="lv-LV"/>
              </w:rPr>
              <w:t> </w:t>
            </w:r>
            <w:r w:rsidR="009B2C32" w:rsidRPr="00BF33C6">
              <w:rPr>
                <w:rFonts w:ascii="Times New Roman" w:eastAsia="Times New Roman" w:hAnsi="Times New Roman" w:cs="Times New Roman"/>
                <w:iCs/>
                <w:sz w:val="24"/>
                <w:szCs w:val="24"/>
                <w:lang w:eastAsia="lv-LV"/>
              </w:rPr>
              <w:t>gada 26.</w:t>
            </w:r>
            <w:r w:rsidR="008C02F1" w:rsidRPr="00BF33C6">
              <w:rPr>
                <w:rFonts w:ascii="Times New Roman" w:eastAsia="Times New Roman" w:hAnsi="Times New Roman" w:cs="Times New Roman"/>
                <w:iCs/>
                <w:sz w:val="24"/>
                <w:szCs w:val="24"/>
                <w:lang w:eastAsia="lv-LV"/>
              </w:rPr>
              <w:t> </w:t>
            </w:r>
            <w:r w:rsidR="009B2C32" w:rsidRPr="00BF33C6">
              <w:rPr>
                <w:rFonts w:ascii="Times New Roman" w:eastAsia="Times New Roman" w:hAnsi="Times New Roman" w:cs="Times New Roman"/>
                <w:iCs/>
                <w:sz w:val="24"/>
                <w:szCs w:val="24"/>
                <w:lang w:eastAsia="lv-LV"/>
              </w:rPr>
              <w:t>jūnija noteikumos Nr. </w:t>
            </w:r>
            <w:r w:rsidRPr="00BF33C6">
              <w:rPr>
                <w:rFonts w:ascii="Times New Roman" w:eastAsia="Times New Roman" w:hAnsi="Times New Roman" w:cs="Times New Roman"/>
                <w:iCs/>
                <w:sz w:val="24"/>
                <w:szCs w:val="24"/>
                <w:lang w:eastAsia="lv-LV"/>
              </w:rPr>
              <w:t>4</w:t>
            </w:r>
            <w:r w:rsidR="009B2C32" w:rsidRPr="00BF33C6">
              <w:rPr>
                <w:rFonts w:ascii="Times New Roman" w:eastAsia="Times New Roman" w:hAnsi="Times New Roman" w:cs="Times New Roman"/>
                <w:iCs/>
                <w:sz w:val="24"/>
                <w:szCs w:val="24"/>
                <w:lang w:eastAsia="lv-LV"/>
              </w:rPr>
              <w:t>3</w:t>
            </w:r>
            <w:r w:rsidRPr="00BF33C6">
              <w:rPr>
                <w:rFonts w:ascii="Times New Roman" w:eastAsia="Times New Roman" w:hAnsi="Times New Roman" w:cs="Times New Roman"/>
                <w:iCs/>
                <w:sz w:val="24"/>
                <w:szCs w:val="24"/>
                <w:lang w:eastAsia="lv-LV"/>
              </w:rPr>
              <w:t>6</w:t>
            </w:r>
            <w:r w:rsidR="009B2C32" w:rsidRPr="00BF33C6">
              <w:rPr>
                <w:rFonts w:ascii="Times New Roman" w:eastAsia="Times New Roman" w:hAnsi="Times New Roman" w:cs="Times New Roman"/>
                <w:iCs/>
                <w:sz w:val="24"/>
                <w:szCs w:val="24"/>
                <w:lang w:eastAsia="lv-LV"/>
              </w:rPr>
              <w:t xml:space="preserve"> “Zāļu ievešanas un izvešanas kārtība”, lai konkretizētu</w:t>
            </w:r>
            <w:r w:rsidR="008C02F1" w:rsidRPr="00BF33C6">
              <w:rPr>
                <w:rFonts w:ascii="Times New Roman" w:eastAsia="Times New Roman" w:hAnsi="Times New Roman" w:cs="Times New Roman"/>
                <w:iCs/>
                <w:sz w:val="24"/>
                <w:szCs w:val="24"/>
                <w:lang w:eastAsia="lv-LV"/>
              </w:rPr>
              <w:t xml:space="preserve"> </w:t>
            </w:r>
            <w:r w:rsidR="008C02F1" w:rsidRPr="00BF33C6">
              <w:rPr>
                <w:rFonts w:ascii="Times New Roman" w:hAnsi="Times New Roman" w:cs="Times New Roman"/>
                <w:sz w:val="24"/>
                <w:szCs w:val="24"/>
                <w:shd w:val="clear" w:color="auto" w:fill="FFFFFF"/>
              </w:rPr>
              <w:t>personu, kura sniedz zāļu uzglabāšanas pakalpojumu muitas zonās, brīvajās zonās, brīvostās, speciālajās ekonomiskajās zonās, muitas noliktavās un preču pagaidu uzglabāšanas vietās</w:t>
            </w:r>
            <w:r w:rsidR="009B2C32" w:rsidRPr="00BF33C6">
              <w:rPr>
                <w:rFonts w:ascii="Times New Roman" w:eastAsia="Times New Roman" w:hAnsi="Times New Roman" w:cs="Times New Roman"/>
                <w:iCs/>
                <w:sz w:val="24"/>
                <w:szCs w:val="24"/>
                <w:lang w:eastAsia="lv-LV"/>
              </w:rPr>
              <w:t xml:space="preserve"> </w:t>
            </w:r>
            <w:r w:rsidR="008C02F1" w:rsidRPr="00BF33C6">
              <w:rPr>
                <w:rFonts w:ascii="Times New Roman" w:hAnsi="Times New Roman" w:cs="Times New Roman"/>
                <w:sz w:val="24"/>
                <w:szCs w:val="24"/>
              </w:rPr>
              <w:t>rīcību ar zālēm.</w:t>
            </w:r>
          </w:p>
        </w:tc>
      </w:tr>
      <w:tr w:rsidR="004101A4" w:rsidRPr="00BF33C6" w14:paraId="461F5FB1" w14:textId="77777777" w:rsidTr="006C11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8A73E9"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7B8D7AC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Atbildīgā institūcija</w:t>
            </w:r>
          </w:p>
        </w:tc>
        <w:tc>
          <w:tcPr>
            <w:tcW w:w="2788" w:type="pct"/>
            <w:tcBorders>
              <w:top w:val="outset" w:sz="6" w:space="0" w:color="auto"/>
              <w:left w:val="outset" w:sz="6" w:space="0" w:color="auto"/>
              <w:bottom w:val="outset" w:sz="6" w:space="0" w:color="auto"/>
              <w:right w:val="outset" w:sz="6" w:space="0" w:color="auto"/>
            </w:tcBorders>
            <w:hideMark/>
          </w:tcPr>
          <w:p w14:paraId="7DABE28E" w14:textId="77777777" w:rsidR="00E5323B" w:rsidRPr="00BF33C6" w:rsidRDefault="00C06BAF"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Veselības ministrija</w:t>
            </w:r>
          </w:p>
        </w:tc>
      </w:tr>
      <w:tr w:rsidR="004101A4" w:rsidRPr="00BF33C6" w14:paraId="58402C7B" w14:textId="77777777" w:rsidTr="006C11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A6D7C0"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7AFC168"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5C9B98C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Nav</w:t>
            </w:r>
          </w:p>
        </w:tc>
      </w:tr>
    </w:tbl>
    <w:p w14:paraId="30F75B01"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4101A4" w:rsidRPr="00BF33C6" w14:paraId="4E0E5F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AF38E"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101A4" w:rsidRPr="00BF33C6" w14:paraId="7994C7AA" w14:textId="77777777" w:rsidTr="006C11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6A3F0D"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3F018CCC"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Saistības pret Eiropas Savienību</w:t>
            </w:r>
          </w:p>
        </w:tc>
        <w:tc>
          <w:tcPr>
            <w:tcW w:w="2788" w:type="pct"/>
            <w:tcBorders>
              <w:top w:val="outset" w:sz="6" w:space="0" w:color="auto"/>
              <w:left w:val="outset" w:sz="6" w:space="0" w:color="auto"/>
              <w:bottom w:val="outset" w:sz="6" w:space="0" w:color="auto"/>
              <w:right w:val="outset" w:sz="6" w:space="0" w:color="auto"/>
            </w:tcBorders>
            <w:hideMark/>
          </w:tcPr>
          <w:p w14:paraId="398334FE" w14:textId="5CB19501" w:rsidR="009D0CF7" w:rsidRPr="00BF33C6" w:rsidRDefault="00495575" w:rsidP="00700214">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Eiropas Parlamenta un Padomes 2001.gada 6.novembra Direktīvas 2001/83/EK par Kopienas kodeksu, kas attiecas uz cilvēkiem paredzētām zālēm un Eiropas Parlamenta un Padomes 2011.gada 8.jūnija Direktīvas 2011/62/ES, ar ko Direktīvu 2001/83/EK par Kopienas kodeksu, kas attiecas uz cilvēkiem paredzētajām zālēm, groza attiecībā uz to, kā novērst viltotu zāļu nokļūšanu legālās piegādes ķēdēs.</w:t>
            </w:r>
          </w:p>
        </w:tc>
      </w:tr>
      <w:tr w:rsidR="004101A4" w:rsidRPr="00BF33C6" w14:paraId="11D5E5CB" w14:textId="77777777" w:rsidTr="006C11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CCB54"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74D1380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Citas starptautiskās saistības</w:t>
            </w:r>
          </w:p>
        </w:tc>
        <w:tc>
          <w:tcPr>
            <w:tcW w:w="2788" w:type="pct"/>
            <w:tcBorders>
              <w:top w:val="outset" w:sz="6" w:space="0" w:color="auto"/>
              <w:left w:val="outset" w:sz="6" w:space="0" w:color="auto"/>
              <w:bottom w:val="outset" w:sz="6" w:space="0" w:color="auto"/>
              <w:right w:val="outset" w:sz="6" w:space="0" w:color="auto"/>
            </w:tcBorders>
            <w:hideMark/>
          </w:tcPr>
          <w:p w14:paraId="195FF8BB" w14:textId="760B3787" w:rsidR="00E5323B" w:rsidRPr="00BF33C6" w:rsidRDefault="00A56DF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neattiecas</w:t>
            </w:r>
          </w:p>
        </w:tc>
      </w:tr>
      <w:tr w:rsidR="004101A4" w:rsidRPr="00BF33C6" w14:paraId="7BAA58C9" w14:textId="77777777" w:rsidTr="006C11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DD57A4"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2777FF9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419491CE" w14:textId="1AA82E97" w:rsidR="00E5323B" w:rsidRPr="00BF33C6" w:rsidRDefault="00A56DF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Nav</w:t>
            </w:r>
          </w:p>
        </w:tc>
      </w:tr>
    </w:tbl>
    <w:p w14:paraId="511D05C3"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1"/>
        <w:gridCol w:w="1721"/>
        <w:gridCol w:w="1287"/>
        <w:gridCol w:w="1026"/>
        <w:gridCol w:w="2830"/>
      </w:tblGrid>
      <w:tr w:rsidR="004101A4" w:rsidRPr="00BF33C6" w14:paraId="12473CD9"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72F5A9"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1. tabula</w:t>
            </w:r>
            <w:r w:rsidRPr="00BF33C6">
              <w:rPr>
                <w:rFonts w:ascii="Times New Roman" w:eastAsia="Times New Roman" w:hAnsi="Times New Roman" w:cs="Times New Roman"/>
                <w:b/>
                <w:bCs/>
                <w:iCs/>
                <w:sz w:val="24"/>
                <w:szCs w:val="24"/>
                <w:lang w:eastAsia="lv-LV"/>
              </w:rPr>
              <w:br/>
              <w:t>Tiesību akta projekta atbilstība ES tiesību aktiem</w:t>
            </w:r>
          </w:p>
        </w:tc>
      </w:tr>
      <w:tr w:rsidR="004101A4" w:rsidRPr="00BF33C6" w14:paraId="3C451A50"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1F60C40"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Attiecīgā ES tiesību akta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6740CEA9" w14:textId="451F258E" w:rsidR="00E5323B" w:rsidRPr="00BF33C6" w:rsidRDefault="00495575" w:rsidP="002105C9">
            <w:pPr>
              <w:spacing w:after="0" w:line="240" w:lineRule="auto"/>
              <w:jc w:val="both"/>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Eiropas Parlamenta un Padomes 2001.gada 6.novembra Direktīvas 2001/83/EK par Kopienas kodeksu, kas attiecas uz cilvēkiem paredzētām zālēm un Eiropas Parlamenta un Padomes 2011.gada 8.jūnija Direktīvas 2011/62/ES, ar ko Direktīvu 2001/83/EK par Kopienas kodeksu, kas attiecas uz cilvēkiem paredzētajām zālēm, groza attiecībā uz to, kā novērst viltotu zāļu nokļūšanu legālās piegādes ķēdēs.</w:t>
            </w:r>
          </w:p>
        </w:tc>
      </w:tr>
      <w:tr w:rsidR="00BA6A9F" w:rsidRPr="00BF33C6" w14:paraId="617082BC"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vAlign w:val="center"/>
            <w:hideMark/>
          </w:tcPr>
          <w:p w14:paraId="420F3EA3"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w:t>
            </w:r>
          </w:p>
        </w:tc>
        <w:tc>
          <w:tcPr>
            <w:tcW w:w="840" w:type="pct"/>
            <w:tcBorders>
              <w:top w:val="outset" w:sz="6" w:space="0" w:color="auto"/>
              <w:left w:val="outset" w:sz="6" w:space="0" w:color="auto"/>
              <w:bottom w:val="outset" w:sz="6" w:space="0" w:color="auto"/>
              <w:right w:val="outset" w:sz="6" w:space="0" w:color="auto"/>
            </w:tcBorders>
            <w:vAlign w:val="center"/>
            <w:hideMark/>
          </w:tcPr>
          <w:p w14:paraId="5DE2C94E"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B</w:t>
            </w:r>
          </w:p>
        </w:tc>
        <w:tc>
          <w:tcPr>
            <w:tcW w:w="1308" w:type="pct"/>
            <w:gridSpan w:val="2"/>
            <w:tcBorders>
              <w:top w:val="outset" w:sz="6" w:space="0" w:color="auto"/>
              <w:left w:val="outset" w:sz="6" w:space="0" w:color="auto"/>
              <w:bottom w:val="outset" w:sz="6" w:space="0" w:color="auto"/>
              <w:right w:val="outset" w:sz="6" w:space="0" w:color="auto"/>
            </w:tcBorders>
            <w:vAlign w:val="center"/>
            <w:hideMark/>
          </w:tcPr>
          <w:p w14:paraId="6051AA39"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w:t>
            </w:r>
          </w:p>
        </w:tc>
        <w:tc>
          <w:tcPr>
            <w:tcW w:w="1547" w:type="pct"/>
            <w:tcBorders>
              <w:top w:val="outset" w:sz="6" w:space="0" w:color="auto"/>
              <w:left w:val="outset" w:sz="6" w:space="0" w:color="auto"/>
              <w:bottom w:val="outset" w:sz="6" w:space="0" w:color="auto"/>
              <w:right w:val="outset" w:sz="6" w:space="0" w:color="auto"/>
            </w:tcBorders>
            <w:vAlign w:val="center"/>
            <w:hideMark/>
          </w:tcPr>
          <w:p w14:paraId="37FC3455"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w:t>
            </w:r>
          </w:p>
        </w:tc>
      </w:tr>
      <w:tr w:rsidR="00BA6A9F" w:rsidRPr="00BF33C6" w14:paraId="106AA857"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345448AE"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Attiecīgā ES tiesību akta panta numurs (uzskaitot katru tiesību akta vienību – pantu, daļu, </w:t>
            </w:r>
            <w:r w:rsidRPr="00BF33C6">
              <w:rPr>
                <w:rFonts w:ascii="Times New Roman" w:eastAsia="Times New Roman" w:hAnsi="Times New Roman" w:cs="Times New Roman"/>
                <w:iCs/>
                <w:sz w:val="24"/>
                <w:szCs w:val="24"/>
                <w:lang w:eastAsia="lv-LV"/>
              </w:rPr>
              <w:lastRenderedPageBreak/>
              <w:t>punktu, apakšpunktu)</w:t>
            </w:r>
          </w:p>
        </w:tc>
        <w:tc>
          <w:tcPr>
            <w:tcW w:w="840" w:type="pct"/>
            <w:tcBorders>
              <w:top w:val="outset" w:sz="6" w:space="0" w:color="auto"/>
              <w:left w:val="outset" w:sz="6" w:space="0" w:color="auto"/>
              <w:bottom w:val="outset" w:sz="6" w:space="0" w:color="auto"/>
              <w:right w:val="outset" w:sz="6" w:space="0" w:color="auto"/>
            </w:tcBorders>
            <w:hideMark/>
          </w:tcPr>
          <w:p w14:paraId="207501A5"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 xml:space="preserve">Projekta vienība, kas pārņem vai ievieš katru šīs tabulas A ailē minēto ES </w:t>
            </w:r>
            <w:r w:rsidRPr="00BF33C6">
              <w:rPr>
                <w:rFonts w:ascii="Times New Roman" w:eastAsia="Times New Roman" w:hAnsi="Times New Roman" w:cs="Times New Roman"/>
                <w:iCs/>
                <w:sz w:val="24"/>
                <w:szCs w:val="24"/>
                <w:lang w:eastAsia="lv-LV"/>
              </w:rPr>
              <w:lastRenderedPageBreak/>
              <w:t>tiesību akta vienību, vai tiesību akts, kur attiecīgā ES tiesību akta vienība pārņemta vai ieviesta</w:t>
            </w:r>
          </w:p>
        </w:tc>
        <w:tc>
          <w:tcPr>
            <w:tcW w:w="1308" w:type="pct"/>
            <w:gridSpan w:val="2"/>
            <w:tcBorders>
              <w:top w:val="outset" w:sz="6" w:space="0" w:color="auto"/>
              <w:left w:val="outset" w:sz="6" w:space="0" w:color="auto"/>
              <w:bottom w:val="outset" w:sz="6" w:space="0" w:color="auto"/>
              <w:right w:val="outset" w:sz="6" w:space="0" w:color="auto"/>
            </w:tcBorders>
            <w:hideMark/>
          </w:tcPr>
          <w:p w14:paraId="43CCE6E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 xml:space="preserve">Informācija par to, vai šīs tabulas A ailē minētās ES tiesību akta vienības tiek pārņemtas vai ieviestas pilnībā vai </w:t>
            </w:r>
            <w:r w:rsidRPr="00BF33C6">
              <w:rPr>
                <w:rFonts w:ascii="Times New Roman" w:eastAsia="Times New Roman" w:hAnsi="Times New Roman" w:cs="Times New Roman"/>
                <w:iCs/>
                <w:sz w:val="24"/>
                <w:szCs w:val="24"/>
                <w:lang w:eastAsia="lv-LV"/>
              </w:rPr>
              <w:lastRenderedPageBreak/>
              <w:t>daļēji.</w:t>
            </w:r>
            <w:r w:rsidRPr="00BF33C6">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F33C6">
              <w:rPr>
                <w:rFonts w:ascii="Times New Roman" w:eastAsia="Times New Roman" w:hAnsi="Times New Roman" w:cs="Times New Roman"/>
                <w:iCs/>
                <w:sz w:val="24"/>
                <w:szCs w:val="24"/>
                <w:lang w:eastAsia="lv-LV"/>
              </w:rPr>
              <w:br/>
              <w:t>Norāda institūciju, kas ir atbildīga par šo saistību izpildi pilnībā</w:t>
            </w:r>
          </w:p>
        </w:tc>
        <w:tc>
          <w:tcPr>
            <w:tcW w:w="1547" w:type="pct"/>
            <w:tcBorders>
              <w:top w:val="outset" w:sz="6" w:space="0" w:color="auto"/>
              <w:left w:val="outset" w:sz="6" w:space="0" w:color="auto"/>
              <w:bottom w:val="outset" w:sz="6" w:space="0" w:color="auto"/>
              <w:right w:val="outset" w:sz="6" w:space="0" w:color="auto"/>
            </w:tcBorders>
            <w:hideMark/>
          </w:tcPr>
          <w:p w14:paraId="26C28B67"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BF33C6">
              <w:rPr>
                <w:rFonts w:ascii="Times New Roman" w:eastAsia="Times New Roman" w:hAnsi="Times New Roman" w:cs="Times New Roman"/>
                <w:iCs/>
                <w:sz w:val="24"/>
                <w:szCs w:val="24"/>
                <w:lang w:eastAsia="lv-LV"/>
              </w:rPr>
              <w:br/>
            </w:r>
            <w:r w:rsidRPr="00BF33C6">
              <w:rPr>
                <w:rFonts w:ascii="Times New Roman" w:eastAsia="Times New Roman" w:hAnsi="Times New Roman" w:cs="Times New Roman"/>
                <w:iCs/>
                <w:sz w:val="24"/>
                <w:szCs w:val="24"/>
                <w:lang w:eastAsia="lv-LV"/>
              </w:rPr>
              <w:lastRenderedPageBreak/>
              <w:t>Ja projekts satur stingrākas prasības nekā attiecīgais ES tiesību akts, norāda pamatojumu un samērīgumu.</w:t>
            </w:r>
            <w:r w:rsidRPr="00BF33C6">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A6A9F" w:rsidRPr="00BF33C6" w14:paraId="5FF87BF6"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7B7269D3" w14:textId="77777777" w:rsidR="00E5323B" w:rsidRPr="00BF33C6" w:rsidRDefault="00015478"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Direktīva 2001/83</w:t>
            </w:r>
          </w:p>
          <w:p w14:paraId="66C8D4BD" w14:textId="76194F19" w:rsidR="00015478" w:rsidRPr="00BF33C6" w:rsidRDefault="00015478"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w:t>
            </w:r>
            <w:r w:rsidR="00B60A8B" w:rsidRPr="00BF33C6">
              <w:rPr>
                <w:rFonts w:ascii="Times New Roman" w:eastAsia="Times New Roman" w:hAnsi="Times New Roman" w:cs="Times New Roman"/>
                <w:iCs/>
                <w:sz w:val="24"/>
                <w:szCs w:val="24"/>
                <w:lang w:eastAsia="lv-LV"/>
              </w:rPr>
              <w:t xml:space="preserve"> 1.panta 17.punkts (skat. </w:t>
            </w:r>
            <w:r w:rsidR="00B60A8B" w:rsidRPr="00BF33C6">
              <w:rPr>
                <w:rFonts w:ascii="Times New Roman" w:hAnsi="Times New Roman" w:cs="Times New Roman"/>
                <w:sz w:val="24"/>
                <w:szCs w:val="24"/>
              </w:rPr>
              <w:t>Eiropas Komisijas 2013. gada 5. novembra zāļu labas izplatīšanas prakses pamatnostādn</w:t>
            </w:r>
            <w:r w:rsidR="00DC39EF" w:rsidRPr="00BF33C6">
              <w:rPr>
                <w:rFonts w:ascii="Times New Roman" w:hAnsi="Times New Roman" w:cs="Times New Roman"/>
                <w:sz w:val="24"/>
                <w:szCs w:val="24"/>
              </w:rPr>
              <w:t>e</w:t>
            </w:r>
            <w:r w:rsidR="00B60A8B" w:rsidRPr="00BF33C6">
              <w:rPr>
                <w:rFonts w:ascii="Times New Roman" w:hAnsi="Times New Roman" w:cs="Times New Roman"/>
                <w:sz w:val="24"/>
                <w:szCs w:val="24"/>
              </w:rPr>
              <w:t>s (2013/C 343/01)</w:t>
            </w:r>
            <w:r w:rsidR="00B60A8B" w:rsidRPr="00BF33C6">
              <w:rPr>
                <w:rFonts w:ascii="Times New Roman" w:eastAsia="Times New Roman" w:hAnsi="Times New Roman" w:cs="Times New Roman"/>
                <w:iCs/>
                <w:sz w:val="24"/>
                <w:szCs w:val="24"/>
                <w:lang w:eastAsia="lv-LV"/>
              </w:rPr>
              <w:t>)</w:t>
            </w:r>
          </w:p>
        </w:tc>
        <w:tc>
          <w:tcPr>
            <w:tcW w:w="840" w:type="pct"/>
            <w:tcBorders>
              <w:top w:val="outset" w:sz="6" w:space="0" w:color="auto"/>
              <w:left w:val="outset" w:sz="6" w:space="0" w:color="auto"/>
              <w:bottom w:val="outset" w:sz="6" w:space="0" w:color="auto"/>
              <w:right w:val="outset" w:sz="6" w:space="0" w:color="auto"/>
            </w:tcBorders>
          </w:tcPr>
          <w:p w14:paraId="41964D46" w14:textId="77F103B3" w:rsidR="00E5323B" w:rsidRPr="00BF33C6" w:rsidRDefault="004B7833" w:rsidP="005A1C80">
            <w:pPr>
              <w:pStyle w:val="ListParagraph"/>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 punkts</w:t>
            </w:r>
          </w:p>
        </w:tc>
        <w:tc>
          <w:tcPr>
            <w:tcW w:w="1308" w:type="pct"/>
            <w:gridSpan w:val="2"/>
            <w:tcBorders>
              <w:top w:val="outset" w:sz="6" w:space="0" w:color="auto"/>
              <w:left w:val="outset" w:sz="6" w:space="0" w:color="auto"/>
              <w:bottom w:val="outset" w:sz="6" w:space="0" w:color="auto"/>
              <w:right w:val="outset" w:sz="6" w:space="0" w:color="auto"/>
            </w:tcBorders>
          </w:tcPr>
          <w:p w14:paraId="3E1F3E83" w14:textId="73C714E9" w:rsidR="00E5323B" w:rsidRPr="00BF33C6" w:rsidRDefault="00015478"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4FADF763" w14:textId="77A2D4F1" w:rsidR="00E5323B" w:rsidRPr="00BF33C6" w:rsidRDefault="00015478"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7D42E9" w:rsidRPr="00BF33C6" w14:paraId="500C6FDB"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275C9822" w14:textId="77777777" w:rsidR="007D42E9" w:rsidRPr="00BF33C6" w:rsidRDefault="007D42E9" w:rsidP="007D42E9">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26451B95" w14:textId="77777777" w:rsidR="007D42E9" w:rsidRPr="00BF33C6" w:rsidRDefault="007D42E9" w:rsidP="007D42E9">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w:t>
            </w:r>
          </w:p>
          <w:p w14:paraId="037FF972" w14:textId="5D537D4E" w:rsidR="007D42E9" w:rsidRPr="00BF33C6" w:rsidRDefault="007D42E9" w:rsidP="007D42E9">
            <w:pPr>
              <w:spacing w:after="0" w:line="240" w:lineRule="auto"/>
              <w:rPr>
                <w:rFonts w:ascii="Times New Roman" w:eastAsia="Times New Roman" w:hAnsi="Times New Roman" w:cs="Times New Roman"/>
                <w:iCs/>
                <w:sz w:val="24"/>
                <w:szCs w:val="24"/>
                <w:lang w:eastAsia="lv-LV"/>
              </w:rPr>
            </w:pPr>
            <w:r w:rsidRPr="00BF33C6">
              <w:rPr>
                <w:rFonts w:ascii="Times New Roman" w:hAnsi="Times New Roman" w:cs="Times New Roman"/>
                <w:sz w:val="24"/>
                <w:szCs w:val="24"/>
              </w:rPr>
              <w:t>51. panta 1.punkta otrā daļa</w:t>
            </w:r>
          </w:p>
        </w:tc>
        <w:tc>
          <w:tcPr>
            <w:tcW w:w="840" w:type="pct"/>
            <w:tcBorders>
              <w:top w:val="outset" w:sz="6" w:space="0" w:color="auto"/>
              <w:left w:val="outset" w:sz="6" w:space="0" w:color="auto"/>
              <w:bottom w:val="outset" w:sz="6" w:space="0" w:color="auto"/>
              <w:right w:val="outset" w:sz="6" w:space="0" w:color="auto"/>
            </w:tcBorders>
          </w:tcPr>
          <w:p w14:paraId="5F91435C" w14:textId="79D5A0AB" w:rsidR="007D42E9" w:rsidRPr="00BF33C6" w:rsidRDefault="00C43431" w:rsidP="00C43431">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13.punkts (attiecībā uz noteikumu </w:t>
            </w:r>
            <w:r w:rsidR="0087172A" w:rsidRPr="00BF33C6">
              <w:rPr>
                <w:rFonts w:ascii="Times New Roman" w:eastAsia="Times New Roman" w:hAnsi="Times New Roman" w:cs="Times New Roman"/>
                <w:iCs/>
                <w:sz w:val="24"/>
                <w:szCs w:val="24"/>
                <w:lang w:eastAsia="lv-LV"/>
              </w:rPr>
              <w:t>12.19. apakšpunkt</w:t>
            </w:r>
            <w:r w:rsidRPr="00BF33C6">
              <w:rPr>
                <w:rFonts w:ascii="Times New Roman" w:eastAsia="Times New Roman" w:hAnsi="Times New Roman" w:cs="Times New Roman"/>
                <w:iCs/>
                <w:sz w:val="24"/>
                <w:szCs w:val="24"/>
                <w:lang w:eastAsia="lv-LV"/>
              </w:rPr>
              <w:t>u)</w:t>
            </w:r>
          </w:p>
        </w:tc>
        <w:tc>
          <w:tcPr>
            <w:tcW w:w="1308" w:type="pct"/>
            <w:gridSpan w:val="2"/>
            <w:tcBorders>
              <w:top w:val="outset" w:sz="6" w:space="0" w:color="auto"/>
              <w:left w:val="outset" w:sz="6" w:space="0" w:color="auto"/>
              <w:bottom w:val="outset" w:sz="6" w:space="0" w:color="auto"/>
              <w:right w:val="outset" w:sz="6" w:space="0" w:color="auto"/>
            </w:tcBorders>
          </w:tcPr>
          <w:p w14:paraId="62D1FC0F" w14:textId="4D75275B" w:rsidR="007D42E9" w:rsidRPr="00BF33C6" w:rsidRDefault="007D42E9"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2CBFAAE9" w14:textId="4F56C11C" w:rsidR="007D42E9" w:rsidRPr="00BF33C6" w:rsidRDefault="007D42E9"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13529486"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1E142A8E" w14:textId="77777777" w:rsidR="009166EC" w:rsidRPr="00BF33C6" w:rsidRDefault="009166EC" w:rsidP="009166EC">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1F0197EE" w14:textId="77777777" w:rsidR="009166EC" w:rsidRPr="00BF33C6" w:rsidRDefault="009166EC" w:rsidP="009166EC">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w:t>
            </w:r>
          </w:p>
          <w:p w14:paraId="731CA3C5" w14:textId="37839D7B" w:rsidR="009166EC" w:rsidRPr="00BF33C6" w:rsidRDefault="009166EC" w:rsidP="009166EC">
            <w:pPr>
              <w:spacing w:after="0" w:line="240" w:lineRule="auto"/>
              <w:rPr>
                <w:rFonts w:ascii="Times New Roman" w:eastAsia="Times New Roman" w:hAnsi="Times New Roman" w:cs="Times New Roman"/>
                <w:iCs/>
                <w:sz w:val="24"/>
                <w:szCs w:val="24"/>
                <w:lang w:eastAsia="lv-LV"/>
              </w:rPr>
            </w:pPr>
            <w:r w:rsidRPr="00BF33C6">
              <w:rPr>
                <w:rFonts w:ascii="Times New Roman" w:hAnsi="Times New Roman" w:cs="Times New Roman"/>
                <w:sz w:val="24"/>
                <w:szCs w:val="24"/>
              </w:rPr>
              <w:t>80. panta e) punkts</w:t>
            </w:r>
          </w:p>
        </w:tc>
        <w:tc>
          <w:tcPr>
            <w:tcW w:w="840" w:type="pct"/>
            <w:tcBorders>
              <w:top w:val="outset" w:sz="6" w:space="0" w:color="auto"/>
              <w:left w:val="outset" w:sz="6" w:space="0" w:color="auto"/>
              <w:bottom w:val="outset" w:sz="6" w:space="0" w:color="auto"/>
              <w:right w:val="outset" w:sz="6" w:space="0" w:color="auto"/>
            </w:tcBorders>
          </w:tcPr>
          <w:p w14:paraId="2CC3A41E" w14:textId="64A07D65" w:rsidR="009166EC" w:rsidRPr="00BF33C6" w:rsidRDefault="009166EC" w:rsidP="009166EC">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10. un 11. punkts </w:t>
            </w:r>
          </w:p>
        </w:tc>
        <w:tc>
          <w:tcPr>
            <w:tcW w:w="1308" w:type="pct"/>
            <w:gridSpan w:val="2"/>
            <w:tcBorders>
              <w:top w:val="outset" w:sz="6" w:space="0" w:color="auto"/>
              <w:left w:val="outset" w:sz="6" w:space="0" w:color="auto"/>
              <w:bottom w:val="outset" w:sz="6" w:space="0" w:color="auto"/>
              <w:right w:val="outset" w:sz="6" w:space="0" w:color="auto"/>
            </w:tcBorders>
          </w:tcPr>
          <w:p w14:paraId="687BEDEF" w14:textId="3EB974AD" w:rsidR="009166EC" w:rsidRPr="00BF33C6" w:rsidRDefault="009166EC" w:rsidP="009166EC">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7563DE43" w14:textId="6825286C" w:rsidR="009166EC" w:rsidRPr="00BF33C6" w:rsidRDefault="009166EC" w:rsidP="009166EC">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6E584014"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1B1C7866"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7D39A1B3" w14:textId="0044C044"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(ar groz. Direktīva 2011/62) 85 c pants 2. punkts </w:t>
            </w:r>
          </w:p>
        </w:tc>
        <w:tc>
          <w:tcPr>
            <w:tcW w:w="840" w:type="pct"/>
            <w:tcBorders>
              <w:top w:val="outset" w:sz="6" w:space="0" w:color="auto"/>
              <w:left w:val="outset" w:sz="6" w:space="0" w:color="auto"/>
              <w:bottom w:val="outset" w:sz="6" w:space="0" w:color="auto"/>
              <w:right w:val="outset" w:sz="6" w:space="0" w:color="auto"/>
            </w:tcBorders>
          </w:tcPr>
          <w:p w14:paraId="26FD56AD" w14:textId="3705BA0F" w:rsidR="00BA6A9F" w:rsidRPr="00BF33C6" w:rsidRDefault="00CB7E04"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w:t>
            </w:r>
            <w:r w:rsidR="002B2DD6">
              <w:rPr>
                <w:rFonts w:ascii="Times New Roman" w:eastAsia="Times New Roman" w:hAnsi="Times New Roman" w:cs="Times New Roman"/>
                <w:iCs/>
                <w:sz w:val="24"/>
                <w:szCs w:val="24"/>
                <w:lang w:eastAsia="lv-LV"/>
              </w:rPr>
              <w:t>3</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99. punkt</w:t>
            </w:r>
            <w:r w:rsidR="0001375A" w:rsidRPr="00BF33C6">
              <w:rPr>
                <w:rFonts w:ascii="Times New Roman" w:eastAsia="Times New Roman" w:hAnsi="Times New Roman" w:cs="Times New Roman"/>
                <w:iCs/>
                <w:sz w:val="24"/>
                <w:szCs w:val="24"/>
                <w:lang w:eastAsia="lv-LV"/>
              </w:rPr>
              <w:t>s)</w:t>
            </w:r>
          </w:p>
        </w:tc>
        <w:tc>
          <w:tcPr>
            <w:tcW w:w="1308" w:type="pct"/>
            <w:gridSpan w:val="2"/>
            <w:tcBorders>
              <w:top w:val="outset" w:sz="6" w:space="0" w:color="auto"/>
              <w:left w:val="outset" w:sz="6" w:space="0" w:color="auto"/>
              <w:bottom w:val="outset" w:sz="6" w:space="0" w:color="auto"/>
              <w:right w:val="outset" w:sz="6" w:space="0" w:color="auto"/>
            </w:tcBorders>
          </w:tcPr>
          <w:p w14:paraId="5FF2EE0F" w14:textId="36083485"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05A38CAB" w14:textId="73D39320"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29EBE3D6"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3736FD51"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640DEE99" w14:textId="6194E7CF"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(ar groz. Direktīva 2011/62) 85 c pants 1. punkts </w:t>
            </w:r>
          </w:p>
        </w:tc>
        <w:tc>
          <w:tcPr>
            <w:tcW w:w="840" w:type="pct"/>
            <w:tcBorders>
              <w:top w:val="outset" w:sz="6" w:space="0" w:color="auto"/>
              <w:left w:val="outset" w:sz="6" w:space="0" w:color="auto"/>
              <w:bottom w:val="outset" w:sz="6" w:space="0" w:color="auto"/>
              <w:right w:val="outset" w:sz="6" w:space="0" w:color="auto"/>
            </w:tcBorders>
          </w:tcPr>
          <w:p w14:paraId="0587510E" w14:textId="662350DA" w:rsidR="00BA6A9F" w:rsidRPr="00BF33C6" w:rsidRDefault="000E0DB8"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w:t>
            </w:r>
            <w:r w:rsidR="002B2DD6">
              <w:rPr>
                <w:rFonts w:ascii="Times New Roman" w:eastAsia="Times New Roman" w:hAnsi="Times New Roman" w:cs="Times New Roman"/>
                <w:iCs/>
                <w:sz w:val="24"/>
                <w:szCs w:val="24"/>
                <w:lang w:eastAsia="lv-LV"/>
              </w:rPr>
              <w:t>4</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100. punkts (ievaddaļa)</w:t>
            </w:r>
            <w:r w:rsidR="0001375A" w:rsidRPr="00BF33C6">
              <w:rPr>
                <w:rFonts w:ascii="Times New Roman" w:eastAsia="Times New Roman" w:hAnsi="Times New Roman" w:cs="Times New Roman"/>
                <w:iCs/>
                <w:sz w:val="24"/>
                <w:szCs w:val="24"/>
                <w:lang w:eastAsia="lv-LV"/>
              </w:rPr>
              <w:t>)</w:t>
            </w:r>
            <w:r w:rsidR="00BA6A9F" w:rsidRPr="00BF33C6">
              <w:rPr>
                <w:rFonts w:ascii="Times New Roman" w:eastAsia="Times New Roman" w:hAnsi="Times New Roman" w:cs="Times New Roman"/>
                <w:iCs/>
                <w:sz w:val="24"/>
                <w:szCs w:val="24"/>
                <w:lang w:eastAsia="lv-LV"/>
              </w:rPr>
              <w:t xml:space="preserve"> </w:t>
            </w:r>
          </w:p>
        </w:tc>
        <w:tc>
          <w:tcPr>
            <w:tcW w:w="1308" w:type="pct"/>
            <w:gridSpan w:val="2"/>
            <w:tcBorders>
              <w:top w:val="outset" w:sz="6" w:space="0" w:color="auto"/>
              <w:left w:val="outset" w:sz="6" w:space="0" w:color="auto"/>
              <w:bottom w:val="outset" w:sz="6" w:space="0" w:color="auto"/>
              <w:right w:val="outset" w:sz="6" w:space="0" w:color="auto"/>
            </w:tcBorders>
          </w:tcPr>
          <w:p w14:paraId="333D4806" w14:textId="7A07B74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5100E206" w14:textId="150F2571"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14AAF630"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5FC12A76"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5990528C" w14:textId="52631F61"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 85 c pants 1. punkta a) punkts</w:t>
            </w:r>
          </w:p>
        </w:tc>
        <w:tc>
          <w:tcPr>
            <w:tcW w:w="840" w:type="pct"/>
            <w:tcBorders>
              <w:top w:val="outset" w:sz="6" w:space="0" w:color="auto"/>
              <w:left w:val="outset" w:sz="6" w:space="0" w:color="auto"/>
              <w:bottom w:val="outset" w:sz="6" w:space="0" w:color="auto"/>
              <w:right w:val="outset" w:sz="6" w:space="0" w:color="auto"/>
            </w:tcBorders>
          </w:tcPr>
          <w:p w14:paraId="10BB9B7B" w14:textId="081D107A" w:rsidR="00BA6A9F" w:rsidRPr="00BF33C6" w:rsidRDefault="0001375A"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noteikumu </w:t>
            </w:r>
            <w:r w:rsidR="00BA6A9F" w:rsidRPr="00BF33C6">
              <w:rPr>
                <w:rFonts w:ascii="Times New Roman" w:eastAsia="Times New Roman" w:hAnsi="Times New Roman" w:cs="Times New Roman"/>
                <w:iCs/>
                <w:sz w:val="24"/>
                <w:szCs w:val="24"/>
                <w:lang w:eastAsia="lv-LV"/>
              </w:rPr>
              <w:t>100.3. apakšpunkts</w:t>
            </w:r>
          </w:p>
        </w:tc>
        <w:tc>
          <w:tcPr>
            <w:tcW w:w="1308" w:type="pct"/>
            <w:gridSpan w:val="2"/>
            <w:tcBorders>
              <w:top w:val="outset" w:sz="6" w:space="0" w:color="auto"/>
              <w:left w:val="outset" w:sz="6" w:space="0" w:color="auto"/>
              <w:bottom w:val="outset" w:sz="6" w:space="0" w:color="auto"/>
              <w:right w:val="outset" w:sz="6" w:space="0" w:color="auto"/>
            </w:tcBorders>
          </w:tcPr>
          <w:p w14:paraId="08487044" w14:textId="1EB90F73"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5E07851E" w14:textId="3C927C8E"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24A3FBAC"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25567135"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Direktīva 2001/83</w:t>
            </w:r>
          </w:p>
          <w:p w14:paraId="2136B6F8" w14:textId="30550295"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 85 c pants 1. punkts b) punkts (ii) un (iii) punkts</w:t>
            </w:r>
          </w:p>
        </w:tc>
        <w:tc>
          <w:tcPr>
            <w:tcW w:w="840" w:type="pct"/>
            <w:tcBorders>
              <w:top w:val="outset" w:sz="6" w:space="0" w:color="auto"/>
              <w:left w:val="outset" w:sz="6" w:space="0" w:color="auto"/>
              <w:bottom w:val="outset" w:sz="6" w:space="0" w:color="auto"/>
              <w:right w:val="outset" w:sz="6" w:space="0" w:color="auto"/>
            </w:tcBorders>
          </w:tcPr>
          <w:p w14:paraId="4B1617BE" w14:textId="31C2F910" w:rsidR="00BA6A9F" w:rsidRPr="00BF33C6" w:rsidRDefault="006F430C"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5</w:t>
            </w:r>
            <w:r w:rsidR="002B2DD6">
              <w:rPr>
                <w:rFonts w:ascii="Times New Roman" w:eastAsia="Times New Roman" w:hAnsi="Times New Roman" w:cs="Times New Roman"/>
                <w:iCs/>
                <w:sz w:val="24"/>
                <w:szCs w:val="24"/>
                <w:lang w:eastAsia="lv-LV"/>
              </w:rPr>
              <w:t>5</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100.4. apakšpunkts</w:t>
            </w:r>
            <w:r w:rsidR="0001375A"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2999B116" w14:textId="37E73429"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082B6366" w14:textId="3BC8EA3A"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29AC8C7B"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4F3A73CB"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23DE8DE7" w14:textId="726B15EE"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(ar groz. Direktīva 2011/62) 85 c pants 1. punkts </w:t>
            </w:r>
          </w:p>
        </w:tc>
        <w:tc>
          <w:tcPr>
            <w:tcW w:w="840" w:type="pct"/>
            <w:tcBorders>
              <w:top w:val="outset" w:sz="6" w:space="0" w:color="auto"/>
              <w:left w:val="outset" w:sz="6" w:space="0" w:color="auto"/>
              <w:bottom w:val="outset" w:sz="6" w:space="0" w:color="auto"/>
              <w:right w:val="outset" w:sz="6" w:space="0" w:color="auto"/>
            </w:tcBorders>
          </w:tcPr>
          <w:p w14:paraId="2BF6ADFC" w14:textId="2E15B2C1" w:rsidR="00BA6A9F" w:rsidRPr="00BF33C6" w:rsidRDefault="002B2DD6"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56</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102. punkts</w:t>
            </w:r>
            <w:r w:rsidR="0001375A"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317D78EF" w14:textId="0A5FACAF"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3595413E" w14:textId="137069BA"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436E8B00"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602B914E"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657E9486" w14:textId="4AB160B5"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(ar groz. Direktīva 2011/62) 85 c pants 1. punkts c) punkts </w:t>
            </w:r>
          </w:p>
        </w:tc>
        <w:tc>
          <w:tcPr>
            <w:tcW w:w="840" w:type="pct"/>
            <w:tcBorders>
              <w:top w:val="outset" w:sz="6" w:space="0" w:color="auto"/>
              <w:left w:val="outset" w:sz="6" w:space="0" w:color="auto"/>
              <w:bottom w:val="outset" w:sz="6" w:space="0" w:color="auto"/>
              <w:right w:val="outset" w:sz="6" w:space="0" w:color="auto"/>
            </w:tcBorders>
          </w:tcPr>
          <w:p w14:paraId="4414CB9F" w14:textId="5CDFE6D9" w:rsidR="00BA6A9F" w:rsidRPr="00BF33C6" w:rsidRDefault="002B2DD6"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57</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102.</w:t>
            </w:r>
            <w:r w:rsidR="00BA6A9F" w:rsidRPr="00BF33C6">
              <w:rPr>
                <w:rFonts w:ascii="Times New Roman" w:eastAsia="Times New Roman" w:hAnsi="Times New Roman" w:cs="Times New Roman"/>
                <w:iCs/>
                <w:sz w:val="24"/>
                <w:szCs w:val="24"/>
                <w:vertAlign w:val="superscript"/>
                <w:lang w:eastAsia="lv-LV"/>
              </w:rPr>
              <w:t>1</w:t>
            </w:r>
            <w:r w:rsidR="00BA6A9F" w:rsidRPr="00BF33C6">
              <w:rPr>
                <w:rFonts w:ascii="Times New Roman" w:eastAsia="Times New Roman" w:hAnsi="Times New Roman" w:cs="Times New Roman"/>
                <w:iCs/>
                <w:sz w:val="24"/>
                <w:szCs w:val="24"/>
                <w:lang w:eastAsia="lv-LV"/>
              </w:rPr>
              <w:t xml:space="preserve">  punkts</w:t>
            </w:r>
            <w:r w:rsidR="0001375A"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6CD45EA9" w14:textId="60C72C8E"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2A4079AC" w14:textId="540540CA"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7143039F"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6B2A587E"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1B6A098D" w14:textId="2323CEC4"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 85 c pants 1. punkts d) punkts</w:t>
            </w:r>
          </w:p>
        </w:tc>
        <w:tc>
          <w:tcPr>
            <w:tcW w:w="840" w:type="pct"/>
            <w:tcBorders>
              <w:top w:val="outset" w:sz="6" w:space="0" w:color="auto"/>
              <w:left w:val="outset" w:sz="6" w:space="0" w:color="auto"/>
              <w:bottom w:val="outset" w:sz="6" w:space="0" w:color="auto"/>
              <w:right w:val="outset" w:sz="6" w:space="0" w:color="auto"/>
            </w:tcBorders>
          </w:tcPr>
          <w:p w14:paraId="4DFD1E45" w14:textId="3B710255" w:rsidR="00BA6A9F" w:rsidRPr="00BF33C6" w:rsidRDefault="002B2DD6"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58</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103. punkts (ievaddaļa)</w:t>
            </w:r>
            <w:r w:rsidR="0001375A"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027F11D0" w14:textId="1E5463CB"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5FDB1CBF" w14:textId="268523C0"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68F793EE"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354966FB"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0D80B75A" w14:textId="1EF7AB8D"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 85 c pants 1. punkts d) punkts (i) punkts</w:t>
            </w:r>
          </w:p>
        </w:tc>
        <w:tc>
          <w:tcPr>
            <w:tcW w:w="840" w:type="pct"/>
            <w:tcBorders>
              <w:top w:val="outset" w:sz="6" w:space="0" w:color="auto"/>
              <w:left w:val="outset" w:sz="6" w:space="0" w:color="auto"/>
              <w:bottom w:val="outset" w:sz="6" w:space="0" w:color="auto"/>
              <w:right w:val="outset" w:sz="6" w:space="0" w:color="auto"/>
            </w:tcBorders>
          </w:tcPr>
          <w:p w14:paraId="1E069D63" w14:textId="6C21464F" w:rsidR="00BA6A9F" w:rsidRPr="00BF33C6" w:rsidRDefault="0001375A"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r w:rsidR="002B2DD6">
              <w:rPr>
                <w:rFonts w:ascii="Times New Roman" w:eastAsia="Times New Roman" w:hAnsi="Times New Roman" w:cs="Times New Roman"/>
                <w:iCs/>
                <w:sz w:val="24"/>
                <w:szCs w:val="24"/>
                <w:lang w:eastAsia="lv-LV"/>
              </w:rPr>
              <w:t>59</w:t>
            </w:r>
            <w:r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 xml:space="preserve">103.5. apakšpunkts </w:t>
            </w:r>
            <w:r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7ED0A073" w14:textId="528953DC"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24A8528A" w14:textId="796309EB"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2EC87B73"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69D5A72A"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1A8C0D2F" w14:textId="4356D4F8"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(ar groz. Direktīva 2011/62) 85 c pants 4. punkts a) punkts </w:t>
            </w:r>
          </w:p>
        </w:tc>
        <w:tc>
          <w:tcPr>
            <w:tcW w:w="840" w:type="pct"/>
            <w:tcBorders>
              <w:top w:val="outset" w:sz="6" w:space="0" w:color="auto"/>
              <w:left w:val="outset" w:sz="6" w:space="0" w:color="auto"/>
              <w:bottom w:val="outset" w:sz="6" w:space="0" w:color="auto"/>
              <w:right w:val="outset" w:sz="6" w:space="0" w:color="auto"/>
            </w:tcBorders>
          </w:tcPr>
          <w:p w14:paraId="09E28A6F" w14:textId="158FFFA0" w:rsidR="00BA6A9F" w:rsidRPr="00BF33C6" w:rsidRDefault="002B2DD6"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60</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103.</w:t>
            </w:r>
            <w:r w:rsidR="00BA6A9F" w:rsidRPr="00BF33C6">
              <w:rPr>
                <w:rFonts w:ascii="Times New Roman" w:eastAsia="Times New Roman" w:hAnsi="Times New Roman" w:cs="Times New Roman"/>
                <w:iCs/>
                <w:sz w:val="24"/>
                <w:szCs w:val="24"/>
                <w:vertAlign w:val="superscript"/>
                <w:lang w:eastAsia="lv-LV"/>
              </w:rPr>
              <w:t>1</w:t>
            </w:r>
            <w:r w:rsidR="00BA6A9F" w:rsidRPr="00BF33C6">
              <w:rPr>
                <w:rFonts w:ascii="Times New Roman" w:eastAsia="Times New Roman" w:hAnsi="Times New Roman" w:cs="Times New Roman"/>
                <w:iCs/>
                <w:sz w:val="24"/>
                <w:szCs w:val="24"/>
                <w:lang w:eastAsia="lv-LV"/>
              </w:rPr>
              <w:t>1. apakšpunkts</w:t>
            </w:r>
            <w:r w:rsidR="0001375A"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52E58D4E" w14:textId="678064E5"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4B6AC007" w14:textId="43AB8E04"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3236412C"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67256377"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71274C53" w14:textId="1E45CE3F"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(ar groz. Direktīva 2011/62) 85 c pants 4. punkts d) punkts</w:t>
            </w:r>
          </w:p>
        </w:tc>
        <w:tc>
          <w:tcPr>
            <w:tcW w:w="840" w:type="pct"/>
            <w:tcBorders>
              <w:top w:val="outset" w:sz="6" w:space="0" w:color="auto"/>
              <w:left w:val="outset" w:sz="6" w:space="0" w:color="auto"/>
              <w:bottom w:val="outset" w:sz="6" w:space="0" w:color="auto"/>
              <w:right w:val="outset" w:sz="6" w:space="0" w:color="auto"/>
            </w:tcBorders>
          </w:tcPr>
          <w:p w14:paraId="0BA80384" w14:textId="2CC71C45" w:rsidR="00BA6A9F" w:rsidRPr="00BF33C6" w:rsidRDefault="002B2DD6" w:rsidP="00BA6A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60</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103.</w:t>
            </w:r>
            <w:r w:rsidR="00BA6A9F" w:rsidRPr="00BF33C6">
              <w:rPr>
                <w:rFonts w:ascii="Times New Roman" w:eastAsia="Times New Roman" w:hAnsi="Times New Roman" w:cs="Times New Roman"/>
                <w:iCs/>
                <w:sz w:val="24"/>
                <w:szCs w:val="24"/>
                <w:vertAlign w:val="superscript"/>
                <w:lang w:eastAsia="lv-LV"/>
              </w:rPr>
              <w:t>1</w:t>
            </w:r>
            <w:r w:rsidR="00BA6A9F" w:rsidRPr="00BF33C6">
              <w:rPr>
                <w:rFonts w:ascii="Times New Roman" w:eastAsia="Times New Roman" w:hAnsi="Times New Roman" w:cs="Times New Roman"/>
                <w:iCs/>
                <w:sz w:val="24"/>
                <w:szCs w:val="24"/>
                <w:lang w:eastAsia="lv-LV"/>
              </w:rPr>
              <w:t>3. apakšpunkts</w:t>
            </w:r>
            <w:r w:rsidR="0001375A"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479BA011" w14:textId="27740DB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38588019" w14:textId="2A3EEC4A"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4AA0A21C"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7EBA84B3"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Direktīva 2001/83</w:t>
            </w:r>
          </w:p>
          <w:p w14:paraId="77880CA6" w14:textId="4A1D73D2"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(ar groz. Direktīva 2011/62) 85 c pants 4. punkts 2. paragrāfs </w:t>
            </w:r>
          </w:p>
        </w:tc>
        <w:tc>
          <w:tcPr>
            <w:tcW w:w="840" w:type="pct"/>
            <w:tcBorders>
              <w:top w:val="outset" w:sz="6" w:space="0" w:color="auto"/>
              <w:left w:val="outset" w:sz="6" w:space="0" w:color="auto"/>
              <w:bottom w:val="outset" w:sz="6" w:space="0" w:color="auto"/>
              <w:right w:val="outset" w:sz="6" w:space="0" w:color="auto"/>
            </w:tcBorders>
          </w:tcPr>
          <w:p w14:paraId="395A39A9" w14:textId="6CB7C4BD" w:rsidR="00BA6A9F" w:rsidRPr="00BF33C6" w:rsidRDefault="006F430C"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6</w:t>
            </w:r>
            <w:r w:rsidR="002B2DD6">
              <w:rPr>
                <w:rFonts w:ascii="Times New Roman" w:eastAsia="Times New Roman" w:hAnsi="Times New Roman" w:cs="Times New Roman"/>
                <w:iCs/>
                <w:sz w:val="24"/>
                <w:szCs w:val="24"/>
                <w:lang w:eastAsia="lv-LV"/>
              </w:rPr>
              <w:t>0</w:t>
            </w:r>
            <w:r w:rsidR="0001375A" w:rsidRPr="00BF33C6">
              <w:rPr>
                <w:rFonts w:ascii="Times New Roman" w:eastAsia="Times New Roman" w:hAnsi="Times New Roman" w:cs="Times New Roman"/>
                <w:iCs/>
                <w:sz w:val="24"/>
                <w:szCs w:val="24"/>
                <w:lang w:eastAsia="lv-LV"/>
              </w:rPr>
              <w:t xml:space="preserve">. punkts (noteikumu </w:t>
            </w:r>
            <w:r w:rsidR="00BA6A9F" w:rsidRPr="00BF33C6">
              <w:rPr>
                <w:rFonts w:ascii="Times New Roman" w:eastAsia="Times New Roman" w:hAnsi="Times New Roman" w:cs="Times New Roman"/>
                <w:iCs/>
                <w:sz w:val="24"/>
                <w:szCs w:val="24"/>
                <w:lang w:eastAsia="lv-LV"/>
              </w:rPr>
              <w:t>103.</w:t>
            </w:r>
            <w:r w:rsidR="00BA6A9F" w:rsidRPr="00BF33C6">
              <w:rPr>
                <w:rFonts w:ascii="Times New Roman" w:eastAsia="Times New Roman" w:hAnsi="Times New Roman" w:cs="Times New Roman"/>
                <w:iCs/>
                <w:sz w:val="24"/>
                <w:szCs w:val="24"/>
                <w:vertAlign w:val="superscript"/>
                <w:lang w:eastAsia="lv-LV"/>
              </w:rPr>
              <w:t>1</w:t>
            </w:r>
            <w:r w:rsidR="00BA6A9F" w:rsidRPr="00BF33C6">
              <w:rPr>
                <w:rFonts w:ascii="Times New Roman" w:eastAsia="Times New Roman" w:hAnsi="Times New Roman" w:cs="Times New Roman"/>
                <w:iCs/>
                <w:sz w:val="24"/>
                <w:szCs w:val="24"/>
                <w:lang w:eastAsia="lv-LV"/>
              </w:rPr>
              <w:t>4. apakšpunkts</w:t>
            </w:r>
            <w:r w:rsidR="0001375A" w:rsidRPr="00BF33C6">
              <w:rPr>
                <w:rFonts w:ascii="Times New Roman" w:eastAsia="Times New Roman" w:hAnsi="Times New Roman" w:cs="Times New Roman"/>
                <w:iCs/>
                <w:sz w:val="24"/>
                <w:szCs w:val="24"/>
                <w:lang w:eastAsia="lv-LV"/>
              </w:rPr>
              <w:t>)</w:t>
            </w:r>
          </w:p>
        </w:tc>
        <w:tc>
          <w:tcPr>
            <w:tcW w:w="1308" w:type="pct"/>
            <w:gridSpan w:val="2"/>
            <w:tcBorders>
              <w:top w:val="outset" w:sz="6" w:space="0" w:color="auto"/>
              <w:left w:val="outset" w:sz="6" w:space="0" w:color="auto"/>
              <w:bottom w:val="outset" w:sz="6" w:space="0" w:color="auto"/>
              <w:right w:val="outset" w:sz="6" w:space="0" w:color="auto"/>
            </w:tcBorders>
          </w:tcPr>
          <w:p w14:paraId="5562DDE3"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p>
        </w:tc>
        <w:tc>
          <w:tcPr>
            <w:tcW w:w="1547" w:type="pct"/>
            <w:tcBorders>
              <w:top w:val="outset" w:sz="6" w:space="0" w:color="auto"/>
              <w:left w:val="outset" w:sz="6" w:space="0" w:color="auto"/>
              <w:bottom w:val="outset" w:sz="6" w:space="0" w:color="auto"/>
              <w:right w:val="outset" w:sz="6" w:space="0" w:color="auto"/>
            </w:tcBorders>
          </w:tcPr>
          <w:p w14:paraId="4CE730F8"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p>
        </w:tc>
      </w:tr>
      <w:tr w:rsidR="00BA6A9F" w:rsidRPr="00BF33C6" w14:paraId="2E782647"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5FAEB07E" w14:textId="279F10EE"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hAnsi="Times New Roman" w:cs="Times New Roman"/>
                <w:sz w:val="24"/>
                <w:szCs w:val="24"/>
              </w:rPr>
              <w:t>Eiropas Komisijas 2013. gada 5. novembra publicētajās zāļu labas izplatīšanas prakses pamatnostādnēs (2013/C 343/01)</w:t>
            </w:r>
          </w:p>
        </w:tc>
        <w:tc>
          <w:tcPr>
            <w:tcW w:w="840" w:type="pct"/>
            <w:tcBorders>
              <w:top w:val="outset" w:sz="6" w:space="0" w:color="auto"/>
              <w:left w:val="outset" w:sz="6" w:space="0" w:color="auto"/>
              <w:bottom w:val="outset" w:sz="6" w:space="0" w:color="auto"/>
              <w:right w:val="outset" w:sz="6" w:space="0" w:color="auto"/>
            </w:tcBorders>
          </w:tcPr>
          <w:p w14:paraId="4BB5CC5B" w14:textId="376F46DA" w:rsidR="00BA6A9F" w:rsidRPr="00BF33C6" w:rsidRDefault="00BA6A9F" w:rsidP="00BA6A9F">
            <w:pPr>
              <w:spacing w:after="0" w:line="240" w:lineRule="auto"/>
              <w:ind w:left="360"/>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 punkts</w:t>
            </w:r>
          </w:p>
        </w:tc>
        <w:tc>
          <w:tcPr>
            <w:tcW w:w="1308" w:type="pct"/>
            <w:gridSpan w:val="2"/>
            <w:tcBorders>
              <w:top w:val="outset" w:sz="6" w:space="0" w:color="auto"/>
              <w:left w:val="outset" w:sz="6" w:space="0" w:color="auto"/>
              <w:bottom w:val="outset" w:sz="6" w:space="0" w:color="auto"/>
              <w:right w:val="outset" w:sz="6" w:space="0" w:color="auto"/>
            </w:tcBorders>
          </w:tcPr>
          <w:p w14:paraId="186D9F32" w14:textId="15C2B12D"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Ieviests pilnībā</w:t>
            </w:r>
          </w:p>
        </w:tc>
        <w:tc>
          <w:tcPr>
            <w:tcW w:w="1547" w:type="pct"/>
            <w:tcBorders>
              <w:top w:val="outset" w:sz="6" w:space="0" w:color="auto"/>
              <w:left w:val="outset" w:sz="6" w:space="0" w:color="auto"/>
              <w:bottom w:val="outset" w:sz="6" w:space="0" w:color="auto"/>
              <w:right w:val="outset" w:sz="6" w:space="0" w:color="auto"/>
            </w:tcBorders>
          </w:tcPr>
          <w:p w14:paraId="4080F65D" w14:textId="6913C1D1"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Stingrākas prasības neparedz</w:t>
            </w:r>
          </w:p>
        </w:tc>
      </w:tr>
      <w:tr w:rsidR="00BA6A9F" w:rsidRPr="00BF33C6" w14:paraId="6C86000E"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AB874E4"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Kā ir izmantota ES tiesību aktā paredzētā rīcības brīvība dalībvalstij </w:t>
            </w:r>
            <w:r w:rsidRPr="00BF33C6">
              <w:rPr>
                <w:rFonts w:ascii="Times New Roman" w:eastAsia="Times New Roman" w:hAnsi="Times New Roman" w:cs="Times New Roman"/>
                <w:iCs/>
                <w:sz w:val="24"/>
                <w:szCs w:val="24"/>
                <w:lang w:eastAsia="lv-LV"/>
              </w:rPr>
              <w:lastRenderedPageBreak/>
              <w:t>pārņemt vai ieviest noteiktas ES tiesību akta normas? Kādēļ?</w:t>
            </w:r>
          </w:p>
        </w:tc>
        <w:tc>
          <w:tcPr>
            <w:tcW w:w="3727" w:type="pct"/>
            <w:gridSpan w:val="4"/>
            <w:tcBorders>
              <w:top w:val="outset" w:sz="6" w:space="0" w:color="auto"/>
              <w:left w:val="outset" w:sz="6" w:space="0" w:color="auto"/>
              <w:bottom w:val="outset" w:sz="6" w:space="0" w:color="auto"/>
              <w:right w:val="outset" w:sz="6" w:space="0" w:color="auto"/>
            </w:tcBorders>
            <w:hideMark/>
          </w:tcPr>
          <w:p w14:paraId="71693793" w14:textId="64649FA7" w:rsidR="00BA6A9F" w:rsidRPr="00BF33C6" w:rsidRDefault="0001375A"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Neattiecas</w:t>
            </w:r>
          </w:p>
        </w:tc>
      </w:tr>
      <w:tr w:rsidR="00BA6A9F" w:rsidRPr="00BF33C6" w14:paraId="0EBC0393"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6BBD0A73"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4"/>
            <w:tcBorders>
              <w:top w:val="outset" w:sz="6" w:space="0" w:color="auto"/>
              <w:left w:val="outset" w:sz="6" w:space="0" w:color="auto"/>
              <w:bottom w:val="outset" w:sz="6" w:space="0" w:color="auto"/>
              <w:right w:val="outset" w:sz="6" w:space="0" w:color="auto"/>
            </w:tcBorders>
            <w:hideMark/>
          </w:tcPr>
          <w:p w14:paraId="4E46D73C" w14:textId="4C79ADC4" w:rsidR="00BA6A9F" w:rsidRPr="00BF33C6" w:rsidRDefault="008B3530" w:rsidP="004116CD">
            <w:pPr>
              <w:pStyle w:val="NoSpacing"/>
              <w:jc w:val="both"/>
              <w:rPr>
                <w:rFonts w:ascii="Times New Roman" w:hAnsi="Times New Roman" w:cs="Times New Roman"/>
                <w:sz w:val="24"/>
                <w:szCs w:val="24"/>
              </w:rPr>
            </w:pPr>
            <w:r w:rsidRPr="00BF33C6">
              <w:rPr>
                <w:rFonts w:ascii="Times New Roman" w:eastAsia="Times New Roman" w:hAnsi="Times New Roman" w:cs="Times New Roman"/>
                <w:iCs/>
                <w:sz w:val="24"/>
                <w:szCs w:val="24"/>
                <w:lang w:eastAsia="lv-LV"/>
              </w:rPr>
              <w:t>Neattiecas</w:t>
            </w:r>
          </w:p>
        </w:tc>
      </w:tr>
      <w:tr w:rsidR="00BA6A9F" w:rsidRPr="00BF33C6" w14:paraId="7F201E9B"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DE1CBA8"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3727" w:type="pct"/>
            <w:gridSpan w:val="4"/>
            <w:tcBorders>
              <w:top w:val="outset" w:sz="6" w:space="0" w:color="auto"/>
              <w:left w:val="outset" w:sz="6" w:space="0" w:color="auto"/>
              <w:bottom w:val="outset" w:sz="6" w:space="0" w:color="auto"/>
              <w:right w:val="outset" w:sz="6" w:space="0" w:color="auto"/>
            </w:tcBorders>
            <w:hideMark/>
          </w:tcPr>
          <w:p w14:paraId="3A4EE125" w14:textId="511BCF37" w:rsidR="00BA6A9F" w:rsidRPr="00BF33C6" w:rsidRDefault="00214C9E"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Nav</w:t>
            </w:r>
          </w:p>
        </w:tc>
      </w:tr>
      <w:tr w:rsidR="00BA6A9F" w:rsidRPr="00BF33C6" w14:paraId="3F9C5AD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E431C2B" w14:textId="77777777" w:rsidR="00BA6A9F" w:rsidRPr="00BF33C6" w:rsidRDefault="00BA6A9F" w:rsidP="00BA6A9F">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2. tabula</w:t>
            </w:r>
            <w:r w:rsidRPr="00BF33C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F33C6">
              <w:rPr>
                <w:rFonts w:ascii="Times New Roman" w:eastAsia="Times New Roman" w:hAnsi="Times New Roman" w:cs="Times New Roman"/>
                <w:b/>
                <w:bCs/>
                <w:iCs/>
                <w:sz w:val="24"/>
                <w:szCs w:val="24"/>
                <w:lang w:eastAsia="lv-LV"/>
              </w:rPr>
              <w:br/>
              <w:t>Pasākumi šo saistību izpildei</w:t>
            </w:r>
          </w:p>
        </w:tc>
      </w:tr>
      <w:tr w:rsidR="00BA6A9F" w:rsidRPr="00BF33C6" w14:paraId="63F21385"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6C55ACF0"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7" w:type="pct"/>
            <w:gridSpan w:val="4"/>
            <w:tcBorders>
              <w:top w:val="outset" w:sz="6" w:space="0" w:color="auto"/>
              <w:left w:val="outset" w:sz="6" w:space="0" w:color="auto"/>
              <w:bottom w:val="outset" w:sz="6" w:space="0" w:color="auto"/>
              <w:right w:val="outset" w:sz="6" w:space="0" w:color="auto"/>
            </w:tcBorders>
            <w:hideMark/>
          </w:tcPr>
          <w:p w14:paraId="2DD8744A" w14:textId="12711FF7" w:rsidR="00BA6A9F" w:rsidRPr="00BF33C6" w:rsidRDefault="00B90BA8"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Neattiecas</w:t>
            </w:r>
          </w:p>
        </w:tc>
      </w:tr>
      <w:tr w:rsidR="00BA6A9F" w:rsidRPr="00BF33C6" w14:paraId="00E032D5"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vAlign w:val="center"/>
            <w:hideMark/>
          </w:tcPr>
          <w:p w14:paraId="58E3D0F2"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A</w:t>
            </w:r>
          </w:p>
        </w:tc>
        <w:tc>
          <w:tcPr>
            <w:tcW w:w="1567" w:type="pct"/>
            <w:gridSpan w:val="2"/>
            <w:tcBorders>
              <w:top w:val="outset" w:sz="6" w:space="0" w:color="auto"/>
              <w:left w:val="outset" w:sz="6" w:space="0" w:color="auto"/>
              <w:bottom w:val="outset" w:sz="6" w:space="0" w:color="auto"/>
              <w:right w:val="outset" w:sz="6" w:space="0" w:color="auto"/>
            </w:tcBorders>
            <w:vAlign w:val="center"/>
            <w:hideMark/>
          </w:tcPr>
          <w:p w14:paraId="36D3C8E1"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B</w:t>
            </w:r>
          </w:p>
        </w:tc>
        <w:tc>
          <w:tcPr>
            <w:tcW w:w="2144" w:type="pct"/>
            <w:gridSpan w:val="2"/>
            <w:tcBorders>
              <w:top w:val="outset" w:sz="6" w:space="0" w:color="auto"/>
              <w:left w:val="outset" w:sz="6" w:space="0" w:color="auto"/>
              <w:bottom w:val="outset" w:sz="6" w:space="0" w:color="auto"/>
              <w:right w:val="outset" w:sz="6" w:space="0" w:color="auto"/>
            </w:tcBorders>
            <w:vAlign w:val="center"/>
            <w:hideMark/>
          </w:tcPr>
          <w:p w14:paraId="75CE27F7"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w:t>
            </w:r>
          </w:p>
        </w:tc>
      </w:tr>
      <w:tr w:rsidR="00BA6A9F" w:rsidRPr="00BF33C6" w14:paraId="254E145C"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340AD1D9"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Starptautiskās saistības (pēc būtības), kas izriet no norādītā starptautiskā dokumenta.</w:t>
            </w:r>
            <w:r w:rsidRPr="00BF33C6">
              <w:rPr>
                <w:rFonts w:ascii="Times New Roman" w:eastAsia="Times New Roman" w:hAnsi="Times New Roman" w:cs="Times New Roman"/>
                <w:iCs/>
                <w:sz w:val="24"/>
                <w:szCs w:val="24"/>
                <w:lang w:eastAsia="lv-LV"/>
              </w:rPr>
              <w:br/>
              <w:t xml:space="preserve">Konkrēti veicamie pasākumi vai uzdevumi, kas nepieciešami šo </w:t>
            </w:r>
            <w:r w:rsidRPr="00BF33C6">
              <w:rPr>
                <w:rFonts w:ascii="Times New Roman" w:eastAsia="Times New Roman" w:hAnsi="Times New Roman" w:cs="Times New Roman"/>
                <w:iCs/>
                <w:sz w:val="24"/>
                <w:szCs w:val="24"/>
                <w:lang w:eastAsia="lv-LV"/>
              </w:rPr>
              <w:lastRenderedPageBreak/>
              <w:t>starptautisko saistību izpildei</w:t>
            </w:r>
          </w:p>
        </w:tc>
        <w:tc>
          <w:tcPr>
            <w:tcW w:w="1567" w:type="pct"/>
            <w:gridSpan w:val="2"/>
            <w:tcBorders>
              <w:top w:val="outset" w:sz="6" w:space="0" w:color="auto"/>
              <w:left w:val="outset" w:sz="6" w:space="0" w:color="auto"/>
              <w:bottom w:val="outset" w:sz="6" w:space="0" w:color="auto"/>
              <w:right w:val="outset" w:sz="6" w:space="0" w:color="auto"/>
            </w:tcBorders>
            <w:hideMark/>
          </w:tcPr>
          <w:p w14:paraId="1E213BB7"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44" w:type="pct"/>
            <w:gridSpan w:val="2"/>
            <w:tcBorders>
              <w:top w:val="outset" w:sz="6" w:space="0" w:color="auto"/>
              <w:left w:val="outset" w:sz="6" w:space="0" w:color="auto"/>
              <w:bottom w:val="outset" w:sz="6" w:space="0" w:color="auto"/>
              <w:right w:val="outset" w:sz="6" w:space="0" w:color="auto"/>
            </w:tcBorders>
            <w:hideMark/>
          </w:tcPr>
          <w:p w14:paraId="7BFC9E33"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F33C6">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F33C6">
              <w:rPr>
                <w:rFonts w:ascii="Times New Roman" w:eastAsia="Times New Roman" w:hAnsi="Times New Roman" w:cs="Times New Roman"/>
                <w:iCs/>
                <w:sz w:val="24"/>
                <w:szCs w:val="24"/>
                <w:lang w:eastAsia="lv-LV"/>
              </w:rPr>
              <w:br/>
              <w:t>Norāda institūciju, kas ir atbildīga par šo saistību izpildi pilnībā</w:t>
            </w:r>
          </w:p>
        </w:tc>
      </w:tr>
      <w:tr w:rsidR="00BA6A9F" w:rsidRPr="00BF33C6" w14:paraId="4D9E9162"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3F6FD906"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Iekļauj informāciju atbilstoši instrukcijas 58.1. apakšpunktam</w:t>
            </w:r>
          </w:p>
        </w:tc>
        <w:tc>
          <w:tcPr>
            <w:tcW w:w="1567" w:type="pct"/>
            <w:gridSpan w:val="2"/>
            <w:tcBorders>
              <w:top w:val="outset" w:sz="6" w:space="0" w:color="auto"/>
              <w:left w:val="outset" w:sz="6" w:space="0" w:color="auto"/>
              <w:bottom w:val="outset" w:sz="6" w:space="0" w:color="auto"/>
              <w:right w:val="outset" w:sz="6" w:space="0" w:color="auto"/>
            </w:tcBorders>
            <w:hideMark/>
          </w:tcPr>
          <w:p w14:paraId="40E59F95"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Iekļauj informāciju atbilstoši instrukcijas 58.2. apakšpunktam</w:t>
            </w:r>
          </w:p>
        </w:tc>
        <w:tc>
          <w:tcPr>
            <w:tcW w:w="2144" w:type="pct"/>
            <w:gridSpan w:val="2"/>
            <w:tcBorders>
              <w:top w:val="outset" w:sz="6" w:space="0" w:color="auto"/>
              <w:left w:val="outset" w:sz="6" w:space="0" w:color="auto"/>
              <w:bottom w:val="outset" w:sz="6" w:space="0" w:color="auto"/>
              <w:right w:val="outset" w:sz="6" w:space="0" w:color="auto"/>
            </w:tcBorders>
            <w:hideMark/>
          </w:tcPr>
          <w:p w14:paraId="44280041"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Iekļauj informāciju atbilstoši instrukcijas 58.3. apakšpunktam.</w:t>
            </w:r>
            <w:r w:rsidRPr="00BF33C6">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BA6A9F" w:rsidRPr="00BF33C6" w14:paraId="7A0F7070"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73C3949"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27" w:type="pct"/>
            <w:gridSpan w:val="4"/>
            <w:tcBorders>
              <w:top w:val="outset" w:sz="6" w:space="0" w:color="auto"/>
              <w:left w:val="outset" w:sz="6" w:space="0" w:color="auto"/>
              <w:bottom w:val="outset" w:sz="6" w:space="0" w:color="auto"/>
              <w:right w:val="outset" w:sz="6" w:space="0" w:color="auto"/>
            </w:tcBorders>
            <w:hideMark/>
          </w:tcPr>
          <w:p w14:paraId="3C6E99CF" w14:textId="75032F4C" w:rsidR="00BA6A9F" w:rsidRPr="00BF33C6" w:rsidRDefault="00B90BA8"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Neattiecas</w:t>
            </w:r>
          </w:p>
        </w:tc>
      </w:tr>
      <w:tr w:rsidR="00BA6A9F" w:rsidRPr="00BF33C6" w14:paraId="491705CE" w14:textId="77777777" w:rsidTr="006C11C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3D597B83" w14:textId="77777777" w:rsidR="00BA6A9F" w:rsidRPr="00BF33C6" w:rsidRDefault="00BA6A9F"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3727" w:type="pct"/>
            <w:gridSpan w:val="4"/>
            <w:tcBorders>
              <w:top w:val="outset" w:sz="6" w:space="0" w:color="auto"/>
              <w:left w:val="outset" w:sz="6" w:space="0" w:color="auto"/>
              <w:bottom w:val="outset" w:sz="6" w:space="0" w:color="auto"/>
              <w:right w:val="outset" w:sz="6" w:space="0" w:color="auto"/>
            </w:tcBorders>
            <w:hideMark/>
          </w:tcPr>
          <w:p w14:paraId="2CE43020" w14:textId="7066EA76" w:rsidR="00BA6A9F" w:rsidRPr="00BF33C6" w:rsidRDefault="00B90BA8" w:rsidP="00BA6A9F">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Nav </w:t>
            </w:r>
          </w:p>
        </w:tc>
      </w:tr>
    </w:tbl>
    <w:p w14:paraId="134682EF"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1663"/>
        <w:gridCol w:w="6611"/>
        <w:gridCol w:w="227"/>
      </w:tblGrid>
      <w:tr w:rsidR="004101A4" w:rsidRPr="00BF33C6" w14:paraId="602D248B" w14:textId="77777777" w:rsidTr="006C11C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1319CF29"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VI. Sabiedrības līdzdalība un komunikācijas aktivitātes</w:t>
            </w:r>
          </w:p>
        </w:tc>
      </w:tr>
      <w:tr w:rsidR="004101A4" w:rsidRPr="00BF33C6" w14:paraId="7B287C3C" w14:textId="77777777" w:rsidTr="006C11C2">
        <w:trPr>
          <w:gridAfter w:val="1"/>
          <w:wAfter w:w="51" w:type="pct"/>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EDFE1BB"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2DE398BA"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71" w:type="pct"/>
            <w:tcBorders>
              <w:top w:val="outset" w:sz="6" w:space="0" w:color="auto"/>
              <w:left w:val="outset" w:sz="6" w:space="0" w:color="auto"/>
              <w:bottom w:val="outset" w:sz="6" w:space="0" w:color="auto"/>
              <w:right w:val="outset" w:sz="6" w:space="0" w:color="auto"/>
            </w:tcBorders>
            <w:hideMark/>
          </w:tcPr>
          <w:p w14:paraId="250FAC50" w14:textId="77777777" w:rsidR="00E5323B" w:rsidRPr="00BF33C6" w:rsidRDefault="00C0639C"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Sabiedriskā apspriede par projektu notika 2019. gada 4. septembrī</w:t>
            </w:r>
            <w:r w:rsidR="003108D0" w:rsidRPr="00BF33C6">
              <w:rPr>
                <w:rFonts w:ascii="Times New Roman" w:eastAsia="Times New Roman" w:hAnsi="Times New Roman" w:cs="Times New Roman"/>
                <w:iCs/>
                <w:sz w:val="24"/>
                <w:szCs w:val="24"/>
                <w:lang w:eastAsia="lv-LV"/>
              </w:rPr>
              <w:t>.</w:t>
            </w:r>
          </w:p>
          <w:p w14:paraId="601B37BD" w14:textId="77777777" w:rsidR="004A7F5F" w:rsidRPr="00BF33C6" w:rsidRDefault="004A7F5F"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Informācijas par projektu sniegta vairākkārtīgi Farmācijas jomas konsultatīvajā komitejā. </w:t>
            </w:r>
          </w:p>
          <w:p w14:paraId="0F66F097" w14:textId="5BA00A49" w:rsidR="00CD65E6" w:rsidRPr="00BF33C6" w:rsidRDefault="00CD65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Zāļu eksporta un izvešanas uz citu dalībvalsti ierobežošana izskatīta Farmācijas jomas konsultatīvajā komitejā. Atkārtoti tikšanas notikusi ar Latvijas Paralēlo zāļu importa asociāciju un Latvijas zāļu lieltirgotāju asociāciju.</w:t>
            </w:r>
          </w:p>
        </w:tc>
      </w:tr>
      <w:tr w:rsidR="00CD65E6" w:rsidRPr="00BF33C6" w14:paraId="37788306" w14:textId="77777777" w:rsidTr="006C11C2">
        <w:trPr>
          <w:gridAfter w:val="1"/>
          <w:wAfter w:w="51" w:type="pct"/>
          <w:trHeight w:val="1376"/>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B331084" w14:textId="77777777" w:rsidR="00CD65E6" w:rsidRPr="00BF33C6" w:rsidRDefault="00CD65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510D8892" w14:textId="77777777" w:rsidR="00CD65E6" w:rsidRPr="00BF33C6" w:rsidRDefault="00CD65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Sabiedrības līdzdalība projekta izstrādē</w:t>
            </w:r>
          </w:p>
        </w:tc>
        <w:tc>
          <w:tcPr>
            <w:tcW w:w="3671" w:type="pct"/>
            <w:tcBorders>
              <w:top w:val="outset" w:sz="6" w:space="0" w:color="auto"/>
              <w:left w:val="outset" w:sz="6" w:space="0" w:color="auto"/>
              <w:right w:val="outset" w:sz="6" w:space="0" w:color="auto"/>
            </w:tcBorders>
            <w:hideMark/>
          </w:tcPr>
          <w:p w14:paraId="2EB9958D" w14:textId="2591C3F0" w:rsidR="00CD65E6" w:rsidRPr="00BF33C6" w:rsidRDefault="00CD65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Sabiedrības iebildumi un priekšlikumi ir apkopoti izziņā un publiskoti VM tīmekļa vietnē: </w:t>
            </w:r>
            <w:hyperlink r:id="rId14" w:history="1">
              <w:r w:rsidRPr="00BF33C6">
                <w:rPr>
                  <w:rStyle w:val="Hyperlink"/>
                  <w:rFonts w:ascii="Times New Roman" w:hAnsi="Times New Roman" w:cs="Times New Roman"/>
                  <w:color w:val="auto"/>
                  <w:sz w:val="24"/>
                  <w:szCs w:val="24"/>
                </w:rPr>
                <w:t>http://www.vm.gov.lv/lv/aktualitates/sabiedribas_lidzdaliba/sabiedriska_apspriede/</w:t>
              </w:r>
            </w:hyperlink>
          </w:p>
          <w:p w14:paraId="0F3D231B" w14:textId="72551F9F" w:rsidR="00CD65E6" w:rsidRPr="00BF33C6" w:rsidRDefault="00CD65E6" w:rsidP="00E5323B">
            <w:pPr>
              <w:spacing w:after="0" w:line="240" w:lineRule="auto"/>
              <w:rPr>
                <w:rFonts w:ascii="Times New Roman" w:eastAsia="Times New Roman" w:hAnsi="Times New Roman" w:cs="Times New Roman"/>
                <w:iCs/>
                <w:sz w:val="24"/>
                <w:szCs w:val="24"/>
                <w:lang w:eastAsia="lv-LV"/>
              </w:rPr>
            </w:pPr>
          </w:p>
        </w:tc>
      </w:tr>
      <w:tr w:rsidR="00CD65E6" w:rsidRPr="00BF33C6" w14:paraId="0DB34407" w14:textId="77777777" w:rsidTr="006C11C2">
        <w:trPr>
          <w:gridAfter w:val="1"/>
          <w:wAfter w:w="51" w:type="pct"/>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5474A35" w14:textId="77777777" w:rsidR="00CD65E6" w:rsidRPr="00BF33C6" w:rsidRDefault="00CD65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3AF6A29B" w14:textId="77777777" w:rsidR="00CD65E6" w:rsidRPr="00BF33C6" w:rsidRDefault="00CD65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Sabiedrības līdzdalības rezultāti</w:t>
            </w:r>
          </w:p>
        </w:tc>
        <w:tc>
          <w:tcPr>
            <w:tcW w:w="3671" w:type="pct"/>
            <w:tcBorders>
              <w:left w:val="outset" w:sz="6" w:space="0" w:color="auto"/>
              <w:bottom w:val="single" w:sz="4" w:space="0" w:color="auto"/>
              <w:right w:val="outset" w:sz="6" w:space="0" w:color="auto"/>
            </w:tcBorders>
            <w:hideMark/>
          </w:tcPr>
          <w:p w14:paraId="5F60A99A" w14:textId="38367E54" w:rsidR="00CD65E6" w:rsidRPr="00BF33C6" w:rsidRDefault="00CD65E6" w:rsidP="00A70409">
            <w:pPr>
              <w:spacing w:after="0" w:line="240" w:lineRule="auto"/>
              <w:jc w:val="both"/>
              <w:rPr>
                <w:rFonts w:ascii="Times New Roman" w:hAnsi="Times New Roman" w:cs="Times New Roman"/>
                <w:sz w:val="24"/>
                <w:szCs w:val="24"/>
                <w:lang w:eastAsia="lv-LV" w:bidi="lv-LV"/>
              </w:rPr>
            </w:pPr>
            <w:r w:rsidRPr="00BF33C6">
              <w:rPr>
                <w:rFonts w:ascii="Times New Roman" w:eastAsia="Times New Roman" w:hAnsi="Times New Roman" w:cs="Times New Roman"/>
                <w:iCs/>
                <w:sz w:val="24"/>
                <w:szCs w:val="24"/>
                <w:u w:val="single"/>
                <w:lang w:eastAsia="lv-LV"/>
              </w:rPr>
              <w:t xml:space="preserve">Latvijas </w:t>
            </w:r>
            <w:r w:rsidR="00A70409" w:rsidRPr="00BF33C6">
              <w:rPr>
                <w:rFonts w:ascii="Times New Roman" w:eastAsia="Times New Roman" w:hAnsi="Times New Roman" w:cs="Times New Roman"/>
                <w:iCs/>
                <w:sz w:val="24"/>
                <w:szCs w:val="24"/>
                <w:u w:val="single"/>
                <w:lang w:eastAsia="lv-LV"/>
              </w:rPr>
              <w:t>Z</w:t>
            </w:r>
            <w:r w:rsidRPr="00BF33C6">
              <w:rPr>
                <w:rFonts w:ascii="Times New Roman" w:eastAsia="Times New Roman" w:hAnsi="Times New Roman" w:cs="Times New Roman"/>
                <w:iCs/>
                <w:sz w:val="24"/>
                <w:szCs w:val="24"/>
                <w:u w:val="single"/>
                <w:lang w:eastAsia="lv-LV"/>
              </w:rPr>
              <w:t xml:space="preserve">āļu </w:t>
            </w:r>
            <w:r w:rsidR="00A70409" w:rsidRPr="00BF33C6">
              <w:rPr>
                <w:rFonts w:ascii="Times New Roman" w:eastAsia="Times New Roman" w:hAnsi="Times New Roman" w:cs="Times New Roman"/>
                <w:iCs/>
                <w:sz w:val="24"/>
                <w:szCs w:val="24"/>
                <w:u w:val="single"/>
                <w:lang w:eastAsia="lv-LV"/>
              </w:rPr>
              <w:t xml:space="preserve">Paralēlā </w:t>
            </w:r>
            <w:r w:rsidRPr="00BF33C6">
              <w:rPr>
                <w:rFonts w:ascii="Times New Roman" w:eastAsia="Times New Roman" w:hAnsi="Times New Roman" w:cs="Times New Roman"/>
                <w:iCs/>
                <w:sz w:val="24"/>
                <w:szCs w:val="24"/>
                <w:u w:val="single"/>
                <w:lang w:eastAsia="lv-LV"/>
              </w:rPr>
              <w:t>importa asociācij</w:t>
            </w:r>
            <w:r w:rsidR="00A70409" w:rsidRPr="00BF33C6">
              <w:rPr>
                <w:rFonts w:ascii="Times New Roman" w:eastAsia="Times New Roman" w:hAnsi="Times New Roman" w:cs="Times New Roman"/>
                <w:iCs/>
                <w:sz w:val="24"/>
                <w:szCs w:val="24"/>
                <w:u w:val="single"/>
                <w:lang w:eastAsia="lv-LV"/>
              </w:rPr>
              <w:t>a</w:t>
            </w:r>
            <w:r w:rsidR="00A70409" w:rsidRPr="00BF33C6">
              <w:rPr>
                <w:rFonts w:ascii="Times New Roman" w:eastAsia="Times New Roman" w:hAnsi="Times New Roman" w:cs="Times New Roman"/>
                <w:iCs/>
                <w:sz w:val="24"/>
                <w:szCs w:val="24"/>
                <w:lang w:eastAsia="lv-LV"/>
              </w:rPr>
              <w:t xml:space="preserve"> uzskata, ka </w:t>
            </w:r>
            <w:r w:rsidR="00A70409" w:rsidRPr="00BF33C6">
              <w:rPr>
                <w:rFonts w:ascii="Times New Roman" w:hAnsi="Times New Roman" w:cs="Times New Roman"/>
                <w:sz w:val="24"/>
                <w:szCs w:val="24"/>
                <w:lang w:eastAsia="lv-LV" w:bidi="lv-LV"/>
              </w:rPr>
              <w:t xml:space="preserve">MK noteikumu projekta regulējums </w:t>
            </w:r>
            <w:r w:rsidR="00BA2738" w:rsidRPr="00BF33C6">
              <w:rPr>
                <w:rFonts w:ascii="Times New Roman" w:hAnsi="Times New Roman" w:cs="Times New Roman"/>
                <w:sz w:val="24"/>
                <w:szCs w:val="24"/>
                <w:lang w:eastAsia="lv-LV" w:bidi="lv-LV"/>
              </w:rPr>
              <w:t xml:space="preserve">uz sabiedrisko apspriedi izsludinātajā projektā </w:t>
            </w:r>
            <w:r w:rsidR="00A70409" w:rsidRPr="00BF33C6">
              <w:rPr>
                <w:rFonts w:ascii="Times New Roman" w:hAnsi="Times New Roman" w:cs="Times New Roman"/>
                <w:sz w:val="24"/>
                <w:szCs w:val="24"/>
                <w:lang w:eastAsia="lv-LV" w:bidi="lv-LV"/>
              </w:rPr>
              <w:t>par eksporta ierobežošanu ir pretrunā ar Eiropas Savienības (turpmāk – ES) ideju par brīvu preču plūsmu ES. Dalībvalstu starpā ir aizliegti eksporta kvantitatīvie ierobežojumi un pasākumi ar līdzvērtīgu iedarbību. Līdzīgs viedoklis ir arī Latvijas Aptiekāru asociācijai</w:t>
            </w:r>
            <w:r w:rsidR="00EE3AF0" w:rsidRPr="00BF33C6">
              <w:rPr>
                <w:rFonts w:ascii="Times New Roman" w:hAnsi="Times New Roman" w:cs="Times New Roman"/>
                <w:sz w:val="24"/>
                <w:szCs w:val="24"/>
                <w:lang w:eastAsia="lv-LV" w:bidi="lv-LV"/>
              </w:rPr>
              <w:t>.</w:t>
            </w:r>
            <w:r w:rsidR="00160B48" w:rsidRPr="00BF33C6">
              <w:rPr>
                <w:rFonts w:ascii="Times New Roman" w:hAnsi="Times New Roman" w:cs="Times New Roman"/>
                <w:sz w:val="24"/>
                <w:szCs w:val="24"/>
                <w:lang w:eastAsia="lv-LV" w:bidi="lv-LV"/>
              </w:rPr>
              <w:t>, arī Aptieku biedrība</w:t>
            </w:r>
            <w:r w:rsidR="00BA2738" w:rsidRPr="00BF33C6">
              <w:rPr>
                <w:rFonts w:ascii="Times New Roman" w:hAnsi="Times New Roman" w:cs="Times New Roman"/>
                <w:sz w:val="24"/>
                <w:szCs w:val="24"/>
                <w:lang w:eastAsia="lv-LV" w:bidi="lv-LV"/>
              </w:rPr>
              <w:t xml:space="preserve"> uzskata to par sarežģītu.</w:t>
            </w:r>
            <w:r w:rsidR="00A70409" w:rsidRPr="00BF33C6">
              <w:rPr>
                <w:rFonts w:ascii="Times New Roman" w:hAnsi="Times New Roman" w:cs="Times New Roman"/>
                <w:sz w:val="24"/>
                <w:szCs w:val="24"/>
                <w:lang w:eastAsia="lv-LV" w:bidi="lv-LV"/>
              </w:rPr>
              <w:t xml:space="preserve"> </w:t>
            </w:r>
          </w:p>
          <w:p w14:paraId="1AFB9C47" w14:textId="30736003" w:rsidR="00BA2738" w:rsidRPr="00BF33C6" w:rsidRDefault="00A70409" w:rsidP="00BA2738">
            <w:pPr>
              <w:ind w:left="670"/>
              <w:jc w:val="both"/>
              <w:rPr>
                <w:rFonts w:ascii="Times New Roman" w:hAnsi="Times New Roman" w:cs="Times New Roman"/>
                <w:sz w:val="24"/>
                <w:szCs w:val="24"/>
                <w:lang w:eastAsia="lv-LV"/>
              </w:rPr>
            </w:pPr>
            <w:r w:rsidRPr="00BF33C6">
              <w:rPr>
                <w:rFonts w:ascii="Times New Roman" w:eastAsia="Times New Roman" w:hAnsi="Times New Roman" w:cs="Times New Roman"/>
                <w:iCs/>
                <w:sz w:val="24"/>
                <w:szCs w:val="24"/>
                <w:lang w:eastAsia="lv-LV"/>
              </w:rPr>
              <w:t xml:space="preserve">Latvijas Zāļu Paralēlā importa asociācijas </w:t>
            </w:r>
            <w:r w:rsidRPr="00BF33C6">
              <w:rPr>
                <w:rFonts w:ascii="Times New Roman" w:hAnsi="Times New Roman" w:cs="Times New Roman"/>
                <w:sz w:val="24"/>
                <w:szCs w:val="24"/>
                <w:lang w:eastAsia="lv-LV" w:bidi="lv-LV"/>
              </w:rPr>
              <w:t xml:space="preserve">viedoklis </w:t>
            </w:r>
            <w:r w:rsidR="00BA2738" w:rsidRPr="00BF33C6">
              <w:rPr>
                <w:rFonts w:ascii="Times New Roman" w:hAnsi="Times New Roman" w:cs="Times New Roman"/>
                <w:sz w:val="24"/>
                <w:szCs w:val="24"/>
                <w:lang w:eastAsia="lv-LV" w:bidi="lv-LV"/>
              </w:rPr>
              <w:t xml:space="preserve">ir </w:t>
            </w:r>
            <w:r w:rsidRPr="00BF33C6">
              <w:rPr>
                <w:rFonts w:ascii="Times New Roman" w:hAnsi="Times New Roman" w:cs="Times New Roman"/>
                <w:sz w:val="24"/>
                <w:szCs w:val="24"/>
                <w:lang w:eastAsia="lv-LV" w:bidi="lv-LV"/>
              </w:rPr>
              <w:t xml:space="preserve">ņemts vērā daļēji, </w:t>
            </w:r>
            <w:r w:rsidRPr="00BF33C6">
              <w:rPr>
                <w:rFonts w:ascii="Times New Roman" w:hAnsi="Times New Roman" w:cs="Times New Roman"/>
                <w:b/>
                <w:bCs/>
                <w:sz w:val="24"/>
                <w:szCs w:val="24"/>
                <w:lang w:eastAsia="lv-LV" w:bidi="lv-LV"/>
              </w:rPr>
              <w:t>mainīts zāļu eksporta ierobežošanas princips</w:t>
            </w:r>
            <w:r w:rsidRPr="00BF33C6">
              <w:rPr>
                <w:rFonts w:ascii="Times New Roman" w:hAnsi="Times New Roman" w:cs="Times New Roman"/>
                <w:sz w:val="24"/>
                <w:szCs w:val="24"/>
                <w:lang w:eastAsia="lv-LV" w:bidi="lv-LV"/>
              </w:rPr>
              <w:t xml:space="preserve">. </w:t>
            </w:r>
            <w:r w:rsidRPr="00BF33C6">
              <w:rPr>
                <w:rFonts w:ascii="Times New Roman" w:hAnsi="Times New Roman" w:cs="Times New Roman"/>
                <w:b/>
                <w:bCs/>
                <w:sz w:val="24"/>
                <w:szCs w:val="24"/>
                <w:lang w:eastAsia="lv-LV"/>
              </w:rPr>
              <w:t xml:space="preserve">Zāļu </w:t>
            </w:r>
            <w:r w:rsidRPr="00BF33C6">
              <w:rPr>
                <w:rFonts w:ascii="Times New Roman" w:hAnsi="Times New Roman" w:cs="Times New Roman"/>
                <w:b/>
                <w:bCs/>
                <w:sz w:val="24"/>
                <w:szCs w:val="24"/>
              </w:rPr>
              <w:t xml:space="preserve">nepieejamības riska mazināšanai piegādes uz citu dalībvalsti un </w:t>
            </w:r>
            <w:r w:rsidRPr="00BF33C6">
              <w:rPr>
                <w:rFonts w:ascii="Times New Roman" w:hAnsi="Times New Roman" w:cs="Times New Roman"/>
                <w:b/>
                <w:bCs/>
                <w:sz w:val="24"/>
                <w:szCs w:val="24"/>
                <w:lang w:eastAsia="lv-LV"/>
              </w:rPr>
              <w:t xml:space="preserve">eksporta ierobežošana attiecināta uz </w:t>
            </w:r>
            <w:r w:rsidRPr="00BF33C6">
              <w:rPr>
                <w:rFonts w:ascii="Times New Roman" w:hAnsi="Times New Roman" w:cs="Times New Roman"/>
                <w:b/>
                <w:bCs/>
                <w:sz w:val="24"/>
                <w:szCs w:val="24"/>
              </w:rPr>
              <w:t xml:space="preserve">kompensējamām zālēm, kad noslēgts finansiālās līdzdalības līgums starp nacionālo veselības dienestu un zāļu ražotāju, katrs gadījums tiek izvērtēts atsevišķi. (ieviests </w:t>
            </w:r>
            <w:proofErr w:type="spellStart"/>
            <w:r w:rsidRPr="00BF33C6">
              <w:rPr>
                <w:rFonts w:ascii="Times New Roman" w:hAnsi="Times New Roman" w:cs="Times New Roman"/>
                <w:b/>
                <w:bCs/>
                <w:i/>
                <w:sz w:val="24"/>
                <w:szCs w:val="24"/>
              </w:rPr>
              <w:t>case-by</w:t>
            </w:r>
            <w:proofErr w:type="spellEnd"/>
            <w:r w:rsidRPr="00BF33C6">
              <w:rPr>
                <w:rFonts w:ascii="Times New Roman" w:hAnsi="Times New Roman" w:cs="Times New Roman"/>
                <w:b/>
                <w:bCs/>
                <w:i/>
                <w:sz w:val="24"/>
                <w:szCs w:val="24"/>
              </w:rPr>
              <w:t xml:space="preserve"> </w:t>
            </w:r>
            <w:proofErr w:type="spellStart"/>
            <w:r w:rsidRPr="00BF33C6">
              <w:rPr>
                <w:rFonts w:ascii="Times New Roman" w:hAnsi="Times New Roman" w:cs="Times New Roman"/>
                <w:b/>
                <w:bCs/>
                <w:i/>
                <w:sz w:val="24"/>
                <w:szCs w:val="24"/>
              </w:rPr>
              <w:t>case</w:t>
            </w:r>
            <w:proofErr w:type="spellEnd"/>
            <w:r w:rsidRPr="00BF33C6">
              <w:rPr>
                <w:rFonts w:ascii="Times New Roman" w:hAnsi="Times New Roman" w:cs="Times New Roman"/>
                <w:b/>
                <w:bCs/>
                <w:sz w:val="24"/>
                <w:szCs w:val="24"/>
              </w:rPr>
              <w:t xml:space="preserve"> princips).</w:t>
            </w:r>
            <w:r w:rsidRPr="00BF33C6">
              <w:rPr>
                <w:rFonts w:ascii="Times New Roman" w:hAnsi="Times New Roman" w:cs="Times New Roman"/>
                <w:sz w:val="24"/>
                <w:szCs w:val="24"/>
              </w:rPr>
              <w:t xml:space="preserve"> </w:t>
            </w:r>
            <w:r w:rsidRPr="00BF33C6">
              <w:rPr>
                <w:rFonts w:ascii="Times New Roman" w:hAnsi="Times New Roman" w:cs="Times New Roman"/>
                <w:sz w:val="24"/>
                <w:szCs w:val="24"/>
                <w:u w:val="single"/>
                <w:lang w:eastAsia="lv-LV"/>
              </w:rPr>
              <w:t xml:space="preserve">Kā EK ir norādījusi dalībvalstis var veikt pasākumus, lai novērstu vai novērstu zāļu trūkumu, ierobežojot preču brīvu apriti ES. Dalībvalstu </w:t>
            </w:r>
            <w:r w:rsidRPr="00BF33C6">
              <w:rPr>
                <w:rFonts w:ascii="Times New Roman" w:hAnsi="Times New Roman" w:cs="Times New Roman"/>
                <w:sz w:val="24"/>
                <w:szCs w:val="24"/>
                <w:u w:val="single"/>
                <w:lang w:eastAsia="lv-LV"/>
              </w:rPr>
              <w:lastRenderedPageBreak/>
              <w:t>iestādes var ierobežot zāļu piegādi citu ES dalībvalstu vairumtirgotājiem un pieprasīt iepriekšēju paziņojumu vai atļauju šai darbībai, ja vien šādi ierobežojumi ir attiecīgi pamatoti,  lai aizsargātu cilvēku dzīvību un veselību, novēršot zāļu trūkumu.</w:t>
            </w:r>
            <w:r w:rsidR="00BA2738" w:rsidRPr="00BF33C6">
              <w:rPr>
                <w:rFonts w:ascii="Times New Roman" w:hAnsi="Times New Roman" w:cs="Times New Roman"/>
                <w:sz w:val="24"/>
                <w:szCs w:val="24"/>
                <w:u w:val="single"/>
                <w:lang w:eastAsia="lv-LV"/>
              </w:rPr>
              <w:t xml:space="preserve"> </w:t>
            </w:r>
            <w:r w:rsidR="00BA2738" w:rsidRPr="00BF33C6">
              <w:rPr>
                <w:rFonts w:ascii="Times New Roman" w:hAnsi="Times New Roman" w:cs="Times New Roman"/>
                <w:sz w:val="24"/>
                <w:szCs w:val="24"/>
                <w:lang w:eastAsia="lv-LV"/>
              </w:rPr>
              <w:t xml:space="preserve">Veselības ministrijas jauno priekšlikumu </w:t>
            </w:r>
            <w:r w:rsidR="00BA2738" w:rsidRPr="00BF33C6">
              <w:rPr>
                <w:rFonts w:ascii="Times New Roman" w:hAnsi="Times New Roman" w:cs="Times New Roman"/>
                <w:sz w:val="24"/>
                <w:szCs w:val="24"/>
                <w:u w:val="single"/>
              </w:rPr>
              <w:t xml:space="preserve">regulējumā par zāļu eksporta ierobežošanu </w:t>
            </w:r>
            <w:r w:rsidR="00BA2738" w:rsidRPr="00BF33C6">
              <w:rPr>
                <w:rFonts w:ascii="Times New Roman" w:hAnsi="Times New Roman" w:cs="Times New Roman"/>
                <w:sz w:val="24"/>
                <w:szCs w:val="24"/>
                <w:lang w:eastAsia="lv-LV"/>
              </w:rPr>
              <w:t>b</w:t>
            </w:r>
            <w:r w:rsidR="00BA2738" w:rsidRPr="00BF33C6">
              <w:rPr>
                <w:rFonts w:ascii="Times New Roman" w:hAnsi="Times New Roman" w:cs="Times New Roman"/>
                <w:sz w:val="24"/>
                <w:szCs w:val="24"/>
                <w:u w:val="single"/>
              </w:rPr>
              <w:t xml:space="preserve">iedrība „Starptautisko inovatīvo farmaceitisko firmu asociācija” atbalsta. </w:t>
            </w:r>
          </w:p>
          <w:p w14:paraId="305CA446" w14:textId="150AACDF" w:rsidR="00A70409" w:rsidRPr="00BF33C6" w:rsidRDefault="00A70409" w:rsidP="00A70409">
            <w:pPr>
              <w:jc w:val="both"/>
              <w:rPr>
                <w:rFonts w:ascii="Times New Roman" w:hAnsi="Times New Roman" w:cs="Times New Roman"/>
                <w:sz w:val="24"/>
                <w:szCs w:val="24"/>
              </w:rPr>
            </w:pPr>
            <w:r w:rsidRPr="00BF33C6">
              <w:rPr>
                <w:rFonts w:ascii="Times New Roman" w:hAnsi="Times New Roman" w:cs="Times New Roman"/>
                <w:sz w:val="24"/>
                <w:szCs w:val="24"/>
                <w:lang w:eastAsia="lv-LV"/>
              </w:rPr>
              <w:t>Lai vienkāršotu nereģistrētu zāļu -  līdzjūtības zāļu – atļauju izsniegšanu ņemts vērā</w:t>
            </w:r>
            <w:r w:rsidRPr="00BF33C6">
              <w:rPr>
                <w:rFonts w:ascii="Times New Roman" w:hAnsi="Times New Roman" w:cs="Times New Roman"/>
                <w:b/>
                <w:bCs/>
                <w:sz w:val="24"/>
                <w:szCs w:val="24"/>
                <w:lang w:eastAsia="lv-LV"/>
              </w:rPr>
              <w:t xml:space="preserve"> </w:t>
            </w:r>
            <w:r w:rsidRPr="00BF33C6">
              <w:rPr>
                <w:rFonts w:ascii="Times New Roman" w:hAnsi="Times New Roman" w:cs="Times New Roman"/>
                <w:sz w:val="24"/>
                <w:szCs w:val="24"/>
                <w:u w:val="single"/>
                <w:lang w:eastAsia="lv-LV"/>
              </w:rPr>
              <w:t>b</w:t>
            </w:r>
            <w:r w:rsidRPr="00BF33C6">
              <w:rPr>
                <w:rFonts w:ascii="Times New Roman" w:hAnsi="Times New Roman" w:cs="Times New Roman"/>
                <w:sz w:val="24"/>
                <w:szCs w:val="24"/>
                <w:u w:val="single"/>
              </w:rPr>
              <w:t>iedrība</w:t>
            </w:r>
            <w:r w:rsidR="00EE3AF0" w:rsidRPr="00BF33C6">
              <w:rPr>
                <w:rFonts w:ascii="Times New Roman" w:hAnsi="Times New Roman" w:cs="Times New Roman"/>
                <w:sz w:val="24"/>
                <w:szCs w:val="24"/>
                <w:u w:val="single"/>
              </w:rPr>
              <w:t>s</w:t>
            </w:r>
            <w:r w:rsidRPr="00BF33C6">
              <w:rPr>
                <w:rFonts w:ascii="Times New Roman" w:hAnsi="Times New Roman" w:cs="Times New Roman"/>
                <w:sz w:val="24"/>
                <w:szCs w:val="24"/>
                <w:u w:val="single"/>
              </w:rPr>
              <w:t xml:space="preserve"> „Starptautisko inovatīvo farmaceitisko firmu asociācija” viedoklis</w:t>
            </w:r>
            <w:r w:rsidRPr="00BF33C6">
              <w:rPr>
                <w:rFonts w:ascii="Times New Roman" w:hAnsi="Times New Roman" w:cs="Times New Roman"/>
                <w:sz w:val="24"/>
                <w:szCs w:val="24"/>
              </w:rPr>
              <w:t xml:space="preserve"> un paātrināta atļaujas saņemšanu pacientu grupai (</w:t>
            </w:r>
            <w:proofErr w:type="spellStart"/>
            <w:r w:rsidRPr="00BF33C6">
              <w:rPr>
                <w:rFonts w:ascii="Times New Roman" w:hAnsi="Times New Roman" w:cs="Times New Roman"/>
                <w:i/>
                <w:sz w:val="24"/>
                <w:szCs w:val="24"/>
              </w:rPr>
              <w:t>Compassionate</w:t>
            </w:r>
            <w:proofErr w:type="spellEnd"/>
            <w:r w:rsidRPr="00BF33C6">
              <w:rPr>
                <w:rFonts w:ascii="Times New Roman" w:hAnsi="Times New Roman" w:cs="Times New Roman"/>
                <w:i/>
                <w:sz w:val="24"/>
                <w:szCs w:val="24"/>
              </w:rPr>
              <w:t xml:space="preserve"> </w:t>
            </w:r>
            <w:proofErr w:type="spellStart"/>
            <w:r w:rsidRPr="00BF33C6">
              <w:rPr>
                <w:rFonts w:ascii="Times New Roman" w:hAnsi="Times New Roman" w:cs="Times New Roman"/>
                <w:i/>
                <w:sz w:val="24"/>
                <w:szCs w:val="24"/>
              </w:rPr>
              <w:t>Use</w:t>
            </w:r>
            <w:proofErr w:type="spellEnd"/>
            <w:r w:rsidRPr="00BF33C6">
              <w:rPr>
                <w:rFonts w:ascii="Times New Roman" w:hAnsi="Times New Roman" w:cs="Times New Roman"/>
                <w:i/>
                <w:sz w:val="24"/>
                <w:szCs w:val="24"/>
              </w:rPr>
              <w:t xml:space="preserve"> </w:t>
            </w:r>
            <w:proofErr w:type="spellStart"/>
            <w:r w:rsidRPr="00BF33C6">
              <w:rPr>
                <w:rFonts w:ascii="Times New Roman" w:hAnsi="Times New Roman" w:cs="Times New Roman"/>
                <w:i/>
                <w:sz w:val="24"/>
                <w:szCs w:val="24"/>
              </w:rPr>
              <w:t>Program</w:t>
            </w:r>
            <w:proofErr w:type="spellEnd"/>
            <w:r w:rsidRPr="00BF33C6">
              <w:rPr>
                <w:rFonts w:ascii="Times New Roman" w:hAnsi="Times New Roman" w:cs="Times New Roman"/>
                <w:sz w:val="24"/>
                <w:szCs w:val="24"/>
              </w:rPr>
              <w:t>), sadalot izvērtēšanas procesu un atļaujas izsniegšanas procesu, un samazināts atļaujas saņemšanai nepieciešamās dokumentācijas apjomu</w:t>
            </w:r>
            <w:r w:rsidR="00EE3AF0" w:rsidRPr="00BF33C6">
              <w:rPr>
                <w:rFonts w:ascii="Times New Roman" w:hAnsi="Times New Roman" w:cs="Times New Roman"/>
                <w:sz w:val="24"/>
                <w:szCs w:val="24"/>
              </w:rPr>
              <w:t>.</w:t>
            </w:r>
          </w:p>
          <w:p w14:paraId="410A9BB1" w14:textId="476FC28B" w:rsidR="000D6498" w:rsidRPr="00BF33C6" w:rsidRDefault="000D6498" w:rsidP="000D6498">
            <w:pPr>
              <w:autoSpaceDE w:val="0"/>
              <w:autoSpaceDN w:val="0"/>
              <w:adjustRightInd w:val="0"/>
              <w:spacing w:after="0" w:line="240" w:lineRule="auto"/>
              <w:jc w:val="both"/>
              <w:rPr>
                <w:rFonts w:ascii="Times New Roman" w:hAnsi="Times New Roman" w:cs="Times New Roman"/>
                <w:sz w:val="24"/>
                <w:szCs w:val="24"/>
              </w:rPr>
            </w:pPr>
            <w:r w:rsidRPr="00BF33C6">
              <w:rPr>
                <w:rFonts w:ascii="Times New Roman" w:hAnsi="Times New Roman" w:cs="Times New Roman"/>
                <w:sz w:val="24"/>
                <w:szCs w:val="24"/>
                <w:u w:val="single"/>
              </w:rPr>
              <w:t>Latvijas Aptiekāru asociācija</w:t>
            </w:r>
            <w:r w:rsidRPr="00BF33C6">
              <w:rPr>
                <w:rFonts w:ascii="Times New Roman" w:hAnsi="Times New Roman" w:cs="Times New Roman"/>
                <w:sz w:val="24"/>
                <w:szCs w:val="24"/>
              </w:rPr>
              <w:t xml:space="preserve"> lūdz precizēt Ministru Kabineta 416. noteikumu 109.2 punktu ar grozījumiem, ļaujot Zāļu valsts aģentūrai izsniegt izplatīšanas atļauju 8. pielikuma 4. punktā minētajos gadījumos saskaņā ar Farmācijas Likuma 10. panta 7. punkta a),</w:t>
            </w:r>
            <w:r w:rsidR="00EE3AF0" w:rsidRPr="00BF33C6">
              <w:rPr>
                <w:rFonts w:ascii="Times New Roman" w:hAnsi="Times New Roman" w:cs="Times New Roman"/>
                <w:sz w:val="24"/>
                <w:szCs w:val="24"/>
              </w:rPr>
              <w:t xml:space="preserve"> </w:t>
            </w:r>
            <w:r w:rsidRPr="00BF33C6">
              <w:rPr>
                <w:rFonts w:ascii="Times New Roman" w:hAnsi="Times New Roman" w:cs="Times New Roman"/>
                <w:sz w:val="24"/>
                <w:szCs w:val="24"/>
              </w:rPr>
              <w:t>b) un c) apakšpunktiem bez papildus prasības pēc kvalitātes kontroles un OCARB sertifikātu saņemšanas. Šāda prasība dublē citas Eiropas Savienības valsts kompetentās iestādes</w:t>
            </w:r>
            <w:r w:rsidR="00EE3AF0" w:rsidRPr="00BF33C6">
              <w:rPr>
                <w:rFonts w:ascii="Times New Roman" w:hAnsi="Times New Roman" w:cs="Times New Roman"/>
                <w:sz w:val="24"/>
                <w:szCs w:val="24"/>
              </w:rPr>
              <w:t xml:space="preserve"> </w:t>
            </w:r>
            <w:r w:rsidRPr="00BF33C6">
              <w:rPr>
                <w:rFonts w:ascii="Times New Roman" w:hAnsi="Times New Roman" w:cs="Times New Roman"/>
                <w:sz w:val="24"/>
                <w:szCs w:val="24"/>
              </w:rPr>
              <w:t>kvalitātes prasības un veiktās darbības, ierobežo zāļu pieejamību Latvijas pacientiem, palielina zāļu izmaksas un faktiski nenodrošina regulējuma funkciju un mērķi, ar kādu šāda prasība iekļauta.</w:t>
            </w:r>
          </w:p>
          <w:p w14:paraId="7FD36751" w14:textId="4B826FAA" w:rsidR="000D6498" w:rsidRPr="00BF33C6" w:rsidRDefault="000D6498" w:rsidP="00EE3AF0">
            <w:pPr>
              <w:spacing w:after="0" w:line="240" w:lineRule="auto"/>
              <w:ind w:left="670"/>
              <w:jc w:val="both"/>
              <w:rPr>
                <w:rFonts w:ascii="Times New Roman" w:eastAsia="Times New Roman" w:hAnsi="Times New Roman" w:cs="Times New Roman"/>
                <w:sz w:val="24"/>
                <w:szCs w:val="24"/>
                <w:lang w:eastAsia="lv-LV"/>
              </w:rPr>
            </w:pPr>
            <w:r w:rsidRPr="00BF33C6">
              <w:rPr>
                <w:rFonts w:ascii="Times New Roman" w:hAnsi="Times New Roman" w:cs="Times New Roman"/>
                <w:sz w:val="24"/>
                <w:szCs w:val="24"/>
              </w:rPr>
              <w:t xml:space="preserve">Latvijas Aptiekāru asociācijas viedoklis ir ņemts vērā, jo </w:t>
            </w:r>
            <w:r w:rsidR="00EE3AF0" w:rsidRPr="00BF33C6">
              <w:rPr>
                <w:rFonts w:ascii="Times New Roman" w:hAnsi="Times New Roman" w:cs="Times New Roman"/>
                <w:sz w:val="24"/>
                <w:szCs w:val="24"/>
              </w:rPr>
              <w:t>k</w:t>
            </w:r>
            <w:r w:rsidRPr="00BF33C6">
              <w:rPr>
                <w:rFonts w:ascii="Times New Roman" w:eastAsia="Times New Roman" w:hAnsi="Times New Roman" w:cs="Times New Roman"/>
                <w:sz w:val="24"/>
                <w:szCs w:val="24"/>
                <w:lang w:eastAsia="lv-LV"/>
              </w:rPr>
              <w:t>ompetentajai iestādei būtu pašai jāpārliecinās vai par zālēm ir izsniegts OCABR sertifikāts (OCABR sertifikātu datu bāzē vai attiecīgās dalībvalsts kompetentajā iestādē).</w:t>
            </w:r>
            <w:r w:rsidR="00EE3AF0" w:rsidRPr="00BF33C6">
              <w:rPr>
                <w:rFonts w:ascii="Times New Roman" w:eastAsia="Times New Roman" w:hAnsi="Times New Roman" w:cs="Times New Roman"/>
                <w:sz w:val="24"/>
                <w:szCs w:val="24"/>
                <w:lang w:eastAsia="lv-LV"/>
              </w:rPr>
              <w:t xml:space="preserve"> </w:t>
            </w:r>
            <w:r w:rsidRPr="00BF33C6">
              <w:rPr>
                <w:rFonts w:ascii="Times New Roman" w:eastAsia="Times New Roman" w:hAnsi="Times New Roman" w:cs="Times New Roman"/>
                <w:sz w:val="24"/>
                <w:szCs w:val="24"/>
                <w:lang w:eastAsia="lv-LV"/>
              </w:rPr>
              <w:t xml:space="preserve">Nebūtu jāprasa OCABR sertifikātu iesniegt vairumtirgotājam. </w:t>
            </w:r>
          </w:p>
          <w:p w14:paraId="7DC4CD08" w14:textId="62FA4C97" w:rsidR="00EE3AF0" w:rsidRPr="00BF33C6" w:rsidRDefault="00EE3AF0" w:rsidP="00EE3AF0">
            <w:pPr>
              <w:spacing w:after="0" w:line="240" w:lineRule="auto"/>
              <w:jc w:val="both"/>
              <w:rPr>
                <w:rFonts w:ascii="Times New Roman" w:eastAsia="Times New Roman" w:hAnsi="Times New Roman" w:cs="Times New Roman"/>
                <w:sz w:val="24"/>
                <w:szCs w:val="24"/>
              </w:rPr>
            </w:pPr>
            <w:r w:rsidRPr="00BF33C6">
              <w:rPr>
                <w:rFonts w:ascii="Times New Roman" w:eastAsia="Times New Roman" w:hAnsi="Times New Roman" w:cs="Times New Roman"/>
                <w:sz w:val="24"/>
                <w:szCs w:val="24"/>
                <w:lang w:eastAsia="lv-LV"/>
              </w:rPr>
              <w:t>Biedrības “Aptieku īpašnieku asociācija” un “Latvijas Zāļu lieltirgotāju asociācija”</w:t>
            </w:r>
            <w:r w:rsidRPr="00BF33C6">
              <w:rPr>
                <w:rFonts w:ascii="Times New Roman" w:eastAsia="Times New Roman" w:hAnsi="Times New Roman" w:cs="Times New Roman"/>
                <w:sz w:val="24"/>
                <w:szCs w:val="24"/>
              </w:rPr>
              <w:t xml:space="preserve"> ieskatā ir jāuzlabo to nereģistrēto zāļu pieejamība aptiekās, kas jau gadiem ilgi ir pastāvīgi pieprasītas. Proti, ir zāles, kurām ir nereģistrēto zāļu statuss, bet kuras nav iekļautas 86.punkta sarakstā, vienlaicīgi ārstniecības personas regulāri un bieži tās izraksta pacientiem (piemēram, </w:t>
            </w:r>
            <w:proofErr w:type="spellStart"/>
            <w:r w:rsidRPr="00BF33C6">
              <w:rPr>
                <w:rFonts w:ascii="Times New Roman" w:eastAsia="Times New Roman" w:hAnsi="Times New Roman" w:cs="Times New Roman"/>
                <w:sz w:val="24"/>
                <w:szCs w:val="24"/>
              </w:rPr>
              <w:t>Diazepam</w:t>
            </w:r>
            <w:proofErr w:type="spellEnd"/>
            <w:r w:rsidRPr="00BF33C6">
              <w:rPr>
                <w:rFonts w:ascii="Times New Roman" w:eastAsia="Times New Roman" w:hAnsi="Times New Roman" w:cs="Times New Roman"/>
                <w:sz w:val="24"/>
                <w:szCs w:val="24"/>
              </w:rPr>
              <w:t xml:space="preserve"> rektālās tūbas, </w:t>
            </w:r>
            <w:proofErr w:type="spellStart"/>
            <w:r w:rsidRPr="00BF33C6">
              <w:rPr>
                <w:rFonts w:ascii="Times New Roman" w:eastAsia="Times New Roman" w:hAnsi="Times New Roman" w:cs="Times New Roman"/>
                <w:sz w:val="24"/>
                <w:szCs w:val="24"/>
              </w:rPr>
              <w:t>Frisium</w:t>
            </w:r>
            <w:proofErr w:type="spellEnd"/>
            <w:r w:rsidRPr="00BF33C6">
              <w:rPr>
                <w:rFonts w:ascii="Times New Roman" w:eastAsia="Times New Roman" w:hAnsi="Times New Roman" w:cs="Times New Roman"/>
                <w:sz w:val="24"/>
                <w:szCs w:val="24"/>
              </w:rPr>
              <w:t xml:space="preserve"> </w:t>
            </w:r>
            <w:proofErr w:type="spellStart"/>
            <w:r w:rsidRPr="00BF33C6">
              <w:rPr>
                <w:rFonts w:ascii="Times New Roman" w:eastAsia="Times New Roman" w:hAnsi="Times New Roman" w:cs="Times New Roman"/>
                <w:sz w:val="24"/>
                <w:szCs w:val="24"/>
              </w:rPr>
              <w:t>tabl</w:t>
            </w:r>
            <w:proofErr w:type="spellEnd"/>
            <w:r w:rsidRPr="00BF33C6">
              <w:rPr>
                <w:rFonts w:ascii="Times New Roman" w:eastAsia="Times New Roman" w:hAnsi="Times New Roman" w:cs="Times New Roman"/>
                <w:sz w:val="24"/>
                <w:szCs w:val="24"/>
              </w:rPr>
              <w:t xml:space="preserve">. u.tml.) Šīs zāles ir lieltirgotavu krājumos un būtu ātri pieejamas pacientiem, bet tā kā katrā gadījumā ir nepieciešama Zāļu valsts aģentūras atļauja zāļu izplatīšanai. </w:t>
            </w:r>
          </w:p>
          <w:p w14:paraId="57F3B473" w14:textId="1213257D" w:rsidR="00CD6CBC" w:rsidRPr="00BF33C6" w:rsidRDefault="00EE3AF0" w:rsidP="00CD6CBC">
            <w:pPr>
              <w:spacing w:after="0" w:line="240" w:lineRule="auto"/>
              <w:ind w:left="387"/>
              <w:jc w:val="both"/>
              <w:rPr>
                <w:rFonts w:ascii="Times New Roman" w:eastAsia="Times New Roman" w:hAnsi="Times New Roman" w:cs="Times New Roman"/>
                <w:sz w:val="24"/>
                <w:szCs w:val="24"/>
                <w:lang w:eastAsia="lv-LV"/>
              </w:rPr>
            </w:pPr>
            <w:r w:rsidRPr="00BF33C6">
              <w:rPr>
                <w:rFonts w:ascii="Times New Roman" w:eastAsia="Times New Roman" w:hAnsi="Times New Roman" w:cs="Times New Roman"/>
                <w:sz w:val="24"/>
                <w:szCs w:val="24"/>
                <w:lang w:eastAsia="lv-LV"/>
              </w:rPr>
              <w:t>Biedrību viedoklis ir ņemts vērā,</w:t>
            </w:r>
            <w:r w:rsidR="00CD6CBC" w:rsidRPr="00BF33C6">
              <w:rPr>
                <w:rFonts w:ascii="Times New Roman" w:eastAsia="Times New Roman" w:hAnsi="Times New Roman" w:cs="Times New Roman"/>
                <w:sz w:val="24"/>
                <w:szCs w:val="24"/>
                <w:lang w:eastAsia="lv-LV"/>
              </w:rPr>
              <w:t xml:space="preserve"> p</w:t>
            </w:r>
            <w:r w:rsidRPr="00BF33C6">
              <w:rPr>
                <w:rFonts w:ascii="Times New Roman" w:eastAsia="Times New Roman" w:hAnsi="Times New Roman" w:cs="Times New Roman"/>
                <w:sz w:val="24"/>
                <w:szCs w:val="24"/>
                <w:lang w:eastAsia="lv-LV"/>
              </w:rPr>
              <w:t xml:space="preserve">rojekts paredz papildināt nereģistrēto zāļu izsniegšanas kārtību, paredzot arī atļaujas saņemšanu uz gadu </w:t>
            </w:r>
            <w:r w:rsidRPr="00BF33C6">
              <w:rPr>
                <w:rFonts w:ascii="Times New Roman" w:hAnsi="Times New Roman" w:cs="Times New Roman"/>
                <w:sz w:val="24"/>
                <w:szCs w:val="24"/>
              </w:rPr>
              <w:t xml:space="preserve">par zālēm, kurām ir ārstniecības iestādes vai praktizējoša veterinārārsta pieprasījums zāļu iegādei, kam ir  pievienots  ārstu profesionālās asociācijas vai veterinārārstu profesionālās sekcijas atzinums. Tas ir saskaņā ar </w:t>
            </w:r>
            <w:r w:rsidRPr="00BF33C6">
              <w:rPr>
                <w:rFonts w:ascii="Times New Roman" w:eastAsia="Times New Roman" w:hAnsi="Times New Roman" w:cs="Times New Roman"/>
                <w:sz w:val="24"/>
                <w:szCs w:val="24"/>
                <w:lang w:eastAsia="lv-LV"/>
              </w:rPr>
              <w:t>Farmācijas likuma 10.panta 7.punktu, kas nosaka iespējas nereģistrēto zāļu izplatīšanā.</w:t>
            </w:r>
          </w:p>
          <w:p w14:paraId="22C8D580" w14:textId="2D05F0CD" w:rsidR="00A70409" w:rsidRPr="00BF33C6" w:rsidRDefault="00EE3AF0" w:rsidP="00CD6CBC">
            <w:pPr>
              <w:spacing w:after="0" w:line="240" w:lineRule="auto"/>
              <w:ind w:left="387"/>
              <w:jc w:val="both"/>
              <w:rPr>
                <w:rFonts w:ascii="Times New Roman" w:eastAsia="Times New Roman" w:hAnsi="Times New Roman" w:cs="Times New Roman"/>
                <w:lang w:eastAsia="lv-LV"/>
              </w:rPr>
            </w:pPr>
            <w:r w:rsidRPr="00BF33C6">
              <w:rPr>
                <w:rFonts w:ascii="Times New Roman" w:eastAsia="Times New Roman" w:hAnsi="Times New Roman" w:cs="Times New Roman"/>
                <w:lang w:eastAsia="lv-LV"/>
              </w:rPr>
              <w:t xml:space="preserve"> </w:t>
            </w:r>
          </w:p>
        </w:tc>
      </w:tr>
      <w:tr w:rsidR="004101A4" w:rsidRPr="00BF33C6" w14:paraId="18AC59F8" w14:textId="77777777" w:rsidTr="006C11C2">
        <w:trPr>
          <w:gridAfter w:val="1"/>
          <w:wAfter w:w="51" w:type="pct"/>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14580AF"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lastRenderedPageBreak/>
              <w:t>4.</w:t>
            </w:r>
          </w:p>
        </w:tc>
        <w:tc>
          <w:tcPr>
            <w:tcW w:w="911" w:type="pct"/>
            <w:tcBorders>
              <w:top w:val="outset" w:sz="6" w:space="0" w:color="auto"/>
              <w:left w:val="outset" w:sz="6" w:space="0" w:color="auto"/>
              <w:bottom w:val="outset" w:sz="6" w:space="0" w:color="auto"/>
              <w:right w:val="outset" w:sz="6" w:space="0" w:color="auto"/>
            </w:tcBorders>
            <w:hideMark/>
          </w:tcPr>
          <w:p w14:paraId="52667FA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3671" w:type="pct"/>
            <w:tcBorders>
              <w:top w:val="outset" w:sz="6" w:space="0" w:color="auto"/>
              <w:left w:val="outset" w:sz="6" w:space="0" w:color="auto"/>
              <w:bottom w:val="outset" w:sz="6" w:space="0" w:color="auto"/>
              <w:right w:val="outset" w:sz="6" w:space="0" w:color="auto"/>
            </w:tcBorders>
            <w:hideMark/>
          </w:tcPr>
          <w:p w14:paraId="413B3D52"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Nav</w:t>
            </w:r>
          </w:p>
        </w:tc>
      </w:tr>
    </w:tbl>
    <w:p w14:paraId="27043724"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01A4" w:rsidRPr="00BF33C6" w14:paraId="6D2B46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C434D2" w14:textId="77777777" w:rsidR="00655F2C" w:rsidRPr="00BF33C6" w:rsidRDefault="00E5323B" w:rsidP="00E5323B">
            <w:pPr>
              <w:spacing w:after="0" w:line="240" w:lineRule="auto"/>
              <w:rPr>
                <w:rFonts w:ascii="Times New Roman" w:eastAsia="Times New Roman" w:hAnsi="Times New Roman" w:cs="Times New Roman"/>
                <w:b/>
                <w:bCs/>
                <w:iCs/>
                <w:sz w:val="24"/>
                <w:szCs w:val="24"/>
                <w:lang w:eastAsia="lv-LV"/>
              </w:rPr>
            </w:pPr>
            <w:r w:rsidRPr="00BF33C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101A4" w:rsidRPr="00BF33C6" w14:paraId="4464CB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964D2"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ADA77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FECF55" w14:textId="77777777" w:rsidR="00E5323B" w:rsidRPr="00BF33C6" w:rsidRDefault="00116565"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Zāļu valsts aģentūra, Veselības inspekcija</w:t>
            </w:r>
          </w:p>
        </w:tc>
      </w:tr>
      <w:tr w:rsidR="004101A4" w:rsidRPr="00BF33C6" w14:paraId="105D94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BE5E4"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DF5B49"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Projekta izpildes ietekme uz pārvaldes funkcijām un institucionālo struktūru.</w:t>
            </w:r>
            <w:r w:rsidRPr="00BF33C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BDB1E0" w14:textId="77777777" w:rsidR="00E5323B" w:rsidRPr="00BF33C6" w:rsidRDefault="00DC68E6"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Nav</w:t>
            </w:r>
          </w:p>
        </w:tc>
      </w:tr>
      <w:tr w:rsidR="004101A4" w:rsidRPr="00BF33C6" w14:paraId="0EC4E3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D25BA" w14:textId="77777777" w:rsidR="00655F2C"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6D3F8B"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2B6B6D" w14:textId="77777777" w:rsidR="00E5323B" w:rsidRPr="00BF33C6" w:rsidRDefault="00E5323B" w:rsidP="00E5323B">
            <w:pPr>
              <w:spacing w:after="0" w:line="240" w:lineRule="auto"/>
              <w:rPr>
                <w:rFonts w:ascii="Times New Roman" w:eastAsia="Times New Roman" w:hAnsi="Times New Roman" w:cs="Times New Roman"/>
                <w:iCs/>
                <w:sz w:val="24"/>
                <w:szCs w:val="24"/>
                <w:lang w:eastAsia="lv-LV"/>
              </w:rPr>
            </w:pPr>
            <w:r w:rsidRPr="00BF33C6">
              <w:rPr>
                <w:rFonts w:ascii="Times New Roman" w:eastAsia="Times New Roman" w:hAnsi="Times New Roman" w:cs="Times New Roman"/>
                <w:iCs/>
                <w:sz w:val="24"/>
                <w:szCs w:val="24"/>
                <w:lang w:eastAsia="lv-LV"/>
              </w:rPr>
              <w:t>Nav</w:t>
            </w:r>
          </w:p>
        </w:tc>
      </w:tr>
    </w:tbl>
    <w:p w14:paraId="3252DAB9" w14:textId="77777777" w:rsidR="00C25B49" w:rsidRPr="00BF33C6" w:rsidRDefault="00C25B49" w:rsidP="00894C55">
      <w:pPr>
        <w:spacing w:after="0" w:line="240" w:lineRule="auto"/>
        <w:rPr>
          <w:rFonts w:ascii="Times New Roman" w:hAnsi="Times New Roman" w:cs="Times New Roman"/>
          <w:sz w:val="28"/>
          <w:szCs w:val="28"/>
        </w:rPr>
      </w:pPr>
    </w:p>
    <w:p w14:paraId="2F9DBBAE" w14:textId="77777777" w:rsidR="00E5323B" w:rsidRPr="00BF33C6" w:rsidRDefault="00E5323B" w:rsidP="00894C55">
      <w:pPr>
        <w:spacing w:after="0" w:line="240" w:lineRule="auto"/>
        <w:rPr>
          <w:rFonts w:ascii="Times New Roman" w:hAnsi="Times New Roman" w:cs="Times New Roman"/>
          <w:sz w:val="28"/>
          <w:szCs w:val="28"/>
        </w:rPr>
      </w:pPr>
    </w:p>
    <w:p w14:paraId="4D00FBBA" w14:textId="77777777" w:rsidR="006C11C2" w:rsidRDefault="006C11C2" w:rsidP="00EE351E">
      <w:pPr>
        <w:tabs>
          <w:tab w:val="left" w:pos="6237"/>
        </w:tabs>
        <w:spacing w:after="0" w:line="240" w:lineRule="auto"/>
        <w:rPr>
          <w:rFonts w:ascii="Times New Roman" w:hAnsi="Times New Roman" w:cs="Times New Roman"/>
          <w:sz w:val="28"/>
          <w:szCs w:val="28"/>
        </w:rPr>
      </w:pPr>
    </w:p>
    <w:p w14:paraId="5135DF32" w14:textId="0EE04698" w:rsidR="00894C55" w:rsidRPr="00BF33C6" w:rsidRDefault="00EE351E" w:rsidP="00EE351E">
      <w:pPr>
        <w:tabs>
          <w:tab w:val="left" w:pos="6237"/>
        </w:tabs>
        <w:spacing w:after="0" w:line="240" w:lineRule="auto"/>
        <w:rPr>
          <w:rFonts w:ascii="Times New Roman" w:hAnsi="Times New Roman" w:cs="Times New Roman"/>
          <w:sz w:val="28"/>
          <w:szCs w:val="28"/>
        </w:rPr>
      </w:pPr>
      <w:r w:rsidRPr="00BF33C6">
        <w:rPr>
          <w:rFonts w:ascii="Times New Roman" w:hAnsi="Times New Roman" w:cs="Times New Roman"/>
          <w:sz w:val="28"/>
          <w:szCs w:val="28"/>
        </w:rPr>
        <w:t>Veselības m</w:t>
      </w:r>
      <w:r w:rsidR="00894C55" w:rsidRPr="00BF33C6">
        <w:rPr>
          <w:rFonts w:ascii="Times New Roman" w:hAnsi="Times New Roman" w:cs="Times New Roman"/>
          <w:sz w:val="28"/>
          <w:szCs w:val="28"/>
        </w:rPr>
        <w:t>inistr</w:t>
      </w:r>
      <w:r w:rsidRPr="00BF33C6">
        <w:rPr>
          <w:rFonts w:ascii="Times New Roman" w:hAnsi="Times New Roman" w:cs="Times New Roman"/>
          <w:sz w:val="28"/>
          <w:szCs w:val="28"/>
        </w:rPr>
        <w:t>e</w:t>
      </w:r>
      <w:r w:rsidRPr="00BF33C6">
        <w:rPr>
          <w:rFonts w:ascii="Times New Roman" w:hAnsi="Times New Roman" w:cs="Times New Roman"/>
          <w:sz w:val="28"/>
          <w:szCs w:val="28"/>
        </w:rPr>
        <w:tab/>
        <w:t>I. Viņķele</w:t>
      </w:r>
    </w:p>
    <w:p w14:paraId="1AC06AF7" w14:textId="77777777" w:rsidR="00894C55" w:rsidRPr="00BF33C6" w:rsidRDefault="00894C55" w:rsidP="00894C55">
      <w:pPr>
        <w:spacing w:after="0" w:line="240" w:lineRule="auto"/>
        <w:ind w:firstLine="720"/>
        <w:rPr>
          <w:rFonts w:ascii="Times New Roman" w:hAnsi="Times New Roman" w:cs="Times New Roman"/>
          <w:sz w:val="28"/>
          <w:szCs w:val="28"/>
        </w:rPr>
      </w:pPr>
    </w:p>
    <w:p w14:paraId="62D44B7D" w14:textId="77777777" w:rsidR="00894C55" w:rsidRPr="00BF33C6" w:rsidRDefault="00894C55" w:rsidP="00EE351E">
      <w:pPr>
        <w:tabs>
          <w:tab w:val="left" w:pos="6237"/>
        </w:tabs>
        <w:spacing w:after="0" w:line="240" w:lineRule="auto"/>
        <w:rPr>
          <w:rFonts w:ascii="Times New Roman" w:hAnsi="Times New Roman" w:cs="Times New Roman"/>
          <w:sz w:val="28"/>
          <w:szCs w:val="28"/>
        </w:rPr>
      </w:pPr>
    </w:p>
    <w:p w14:paraId="7801BADB" w14:textId="77777777" w:rsidR="006C11C2" w:rsidRDefault="006C11C2" w:rsidP="00894C55">
      <w:pPr>
        <w:tabs>
          <w:tab w:val="left" w:pos="6237"/>
        </w:tabs>
        <w:spacing w:after="0" w:line="240" w:lineRule="auto"/>
        <w:rPr>
          <w:rFonts w:ascii="Times New Roman" w:hAnsi="Times New Roman" w:cs="Times New Roman"/>
          <w:sz w:val="24"/>
          <w:szCs w:val="28"/>
        </w:rPr>
      </w:pPr>
    </w:p>
    <w:p w14:paraId="0E8795E5" w14:textId="77777777" w:rsidR="006C11C2" w:rsidRDefault="006C11C2" w:rsidP="00894C55">
      <w:pPr>
        <w:tabs>
          <w:tab w:val="left" w:pos="6237"/>
        </w:tabs>
        <w:spacing w:after="0" w:line="240" w:lineRule="auto"/>
        <w:rPr>
          <w:rFonts w:ascii="Times New Roman" w:hAnsi="Times New Roman" w:cs="Times New Roman"/>
          <w:sz w:val="24"/>
          <w:szCs w:val="28"/>
        </w:rPr>
      </w:pPr>
    </w:p>
    <w:p w14:paraId="259ABC84" w14:textId="77777777" w:rsidR="006C11C2" w:rsidRDefault="006C11C2" w:rsidP="00894C55">
      <w:pPr>
        <w:tabs>
          <w:tab w:val="left" w:pos="6237"/>
        </w:tabs>
        <w:spacing w:after="0" w:line="240" w:lineRule="auto"/>
        <w:rPr>
          <w:rFonts w:ascii="Times New Roman" w:hAnsi="Times New Roman" w:cs="Times New Roman"/>
          <w:sz w:val="24"/>
          <w:szCs w:val="28"/>
        </w:rPr>
      </w:pPr>
    </w:p>
    <w:p w14:paraId="508F62F6" w14:textId="77777777" w:rsidR="006C11C2" w:rsidRDefault="006C11C2" w:rsidP="00894C55">
      <w:pPr>
        <w:tabs>
          <w:tab w:val="left" w:pos="6237"/>
        </w:tabs>
        <w:spacing w:after="0" w:line="240" w:lineRule="auto"/>
        <w:rPr>
          <w:rFonts w:ascii="Times New Roman" w:hAnsi="Times New Roman" w:cs="Times New Roman"/>
          <w:sz w:val="24"/>
          <w:szCs w:val="28"/>
        </w:rPr>
      </w:pPr>
    </w:p>
    <w:p w14:paraId="0560D860" w14:textId="4865582F" w:rsidR="00894C55" w:rsidRPr="00BF33C6" w:rsidRDefault="004D78E8" w:rsidP="00894C55">
      <w:pPr>
        <w:tabs>
          <w:tab w:val="left" w:pos="6237"/>
        </w:tabs>
        <w:spacing w:after="0" w:line="240" w:lineRule="auto"/>
        <w:rPr>
          <w:rFonts w:ascii="Times New Roman" w:hAnsi="Times New Roman" w:cs="Times New Roman"/>
          <w:sz w:val="24"/>
          <w:szCs w:val="28"/>
        </w:rPr>
      </w:pPr>
      <w:proofErr w:type="spellStart"/>
      <w:r w:rsidRPr="00BF33C6">
        <w:rPr>
          <w:rFonts w:ascii="Times New Roman" w:hAnsi="Times New Roman" w:cs="Times New Roman"/>
          <w:sz w:val="24"/>
          <w:szCs w:val="28"/>
        </w:rPr>
        <w:t>Kaupere</w:t>
      </w:r>
      <w:proofErr w:type="spellEnd"/>
      <w:r w:rsidR="00D133F8" w:rsidRPr="00BF33C6">
        <w:rPr>
          <w:rFonts w:ascii="Times New Roman" w:hAnsi="Times New Roman" w:cs="Times New Roman"/>
          <w:sz w:val="24"/>
          <w:szCs w:val="28"/>
        </w:rPr>
        <w:t xml:space="preserve"> 67</w:t>
      </w:r>
      <w:r w:rsidR="00EE351E" w:rsidRPr="00BF33C6">
        <w:rPr>
          <w:rFonts w:ascii="Times New Roman" w:hAnsi="Times New Roman" w:cs="Times New Roman"/>
          <w:sz w:val="24"/>
          <w:szCs w:val="28"/>
        </w:rPr>
        <w:t>8761</w:t>
      </w:r>
      <w:r w:rsidRPr="00BF33C6">
        <w:rPr>
          <w:rFonts w:ascii="Times New Roman" w:hAnsi="Times New Roman" w:cs="Times New Roman"/>
          <w:sz w:val="24"/>
          <w:szCs w:val="28"/>
        </w:rPr>
        <w:t>14</w:t>
      </w:r>
    </w:p>
    <w:p w14:paraId="6F5985CE" w14:textId="21CEECD6" w:rsidR="00894C55" w:rsidRPr="0020612A" w:rsidRDefault="00B22D02" w:rsidP="00894C55">
      <w:pPr>
        <w:tabs>
          <w:tab w:val="left" w:pos="6237"/>
        </w:tabs>
        <w:spacing w:after="0" w:line="240" w:lineRule="auto"/>
        <w:rPr>
          <w:rFonts w:ascii="Times New Roman" w:hAnsi="Times New Roman" w:cs="Times New Roman"/>
          <w:sz w:val="24"/>
          <w:szCs w:val="28"/>
        </w:rPr>
      </w:pPr>
      <w:hyperlink r:id="rId15" w:history="1">
        <w:r w:rsidR="00FA7FDC" w:rsidRPr="0020612A">
          <w:rPr>
            <w:rStyle w:val="Hyperlink"/>
            <w:rFonts w:ascii="Times New Roman" w:hAnsi="Times New Roman" w:cs="Times New Roman"/>
            <w:color w:val="auto"/>
            <w:sz w:val="24"/>
            <w:szCs w:val="28"/>
            <w:u w:val="none"/>
          </w:rPr>
          <w:t>inese.kaupere@vm.gov.lv</w:t>
        </w:r>
      </w:hyperlink>
    </w:p>
    <w:p w14:paraId="640B2D91" w14:textId="55FF5366" w:rsidR="004D78E8" w:rsidRPr="00BF33C6" w:rsidRDefault="004D78E8" w:rsidP="00894C55">
      <w:pPr>
        <w:tabs>
          <w:tab w:val="left" w:pos="6237"/>
        </w:tabs>
        <w:spacing w:after="0" w:line="240" w:lineRule="auto"/>
        <w:rPr>
          <w:rFonts w:ascii="Times New Roman" w:hAnsi="Times New Roman" w:cs="Times New Roman"/>
          <w:sz w:val="24"/>
          <w:szCs w:val="28"/>
        </w:rPr>
      </w:pPr>
    </w:p>
    <w:p w14:paraId="3F2F54AF" w14:textId="465CF269" w:rsidR="004D78E8" w:rsidRPr="00BF33C6" w:rsidRDefault="004D78E8" w:rsidP="00894C55">
      <w:pPr>
        <w:tabs>
          <w:tab w:val="left" w:pos="6237"/>
        </w:tabs>
        <w:spacing w:after="0" w:line="240" w:lineRule="auto"/>
        <w:rPr>
          <w:rFonts w:ascii="Times New Roman" w:hAnsi="Times New Roman" w:cs="Times New Roman"/>
          <w:sz w:val="24"/>
          <w:szCs w:val="28"/>
        </w:rPr>
      </w:pPr>
      <w:r w:rsidRPr="00BF33C6">
        <w:rPr>
          <w:rFonts w:ascii="Times New Roman" w:hAnsi="Times New Roman" w:cs="Times New Roman"/>
          <w:sz w:val="24"/>
          <w:szCs w:val="28"/>
        </w:rPr>
        <w:t>Mača 67876117</w:t>
      </w:r>
    </w:p>
    <w:p w14:paraId="76CC7F4E" w14:textId="742E1743" w:rsidR="004D78E8" w:rsidRPr="00BF33C6" w:rsidRDefault="004D78E8" w:rsidP="00894C55">
      <w:pPr>
        <w:tabs>
          <w:tab w:val="left" w:pos="6237"/>
        </w:tabs>
        <w:spacing w:after="0" w:line="240" w:lineRule="auto"/>
        <w:rPr>
          <w:rFonts w:ascii="Times New Roman" w:hAnsi="Times New Roman" w:cs="Times New Roman"/>
          <w:sz w:val="24"/>
          <w:szCs w:val="28"/>
        </w:rPr>
      </w:pPr>
      <w:r w:rsidRPr="00BF33C6">
        <w:rPr>
          <w:rFonts w:ascii="Times New Roman" w:hAnsi="Times New Roman" w:cs="Times New Roman"/>
          <w:sz w:val="24"/>
          <w:szCs w:val="28"/>
        </w:rPr>
        <w:t>inguna.maca@vm.gov.lv</w:t>
      </w:r>
    </w:p>
    <w:sectPr w:rsidR="004D78E8" w:rsidRPr="00BF33C6"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95CC" w14:textId="77777777" w:rsidR="008D29DB" w:rsidRDefault="008D29DB" w:rsidP="00894C55">
      <w:pPr>
        <w:spacing w:after="0" w:line="240" w:lineRule="auto"/>
      </w:pPr>
      <w:r>
        <w:separator/>
      </w:r>
    </w:p>
  </w:endnote>
  <w:endnote w:type="continuationSeparator" w:id="0">
    <w:p w14:paraId="5A0CDCC0" w14:textId="77777777" w:rsidR="008D29DB" w:rsidRDefault="008D29D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8AC5" w14:textId="10678630" w:rsidR="008D29DB" w:rsidRPr="009A2654" w:rsidRDefault="008D29DB" w:rsidP="00E00F2F">
    <w:pPr>
      <w:pStyle w:val="Footer"/>
      <w:rPr>
        <w:rFonts w:ascii="Times New Roman" w:hAnsi="Times New Roman" w:cs="Times New Roman"/>
        <w:sz w:val="20"/>
        <w:szCs w:val="20"/>
      </w:rPr>
    </w:pPr>
    <w:r>
      <w:rPr>
        <w:rFonts w:ascii="Times New Roman" w:hAnsi="Times New Roman" w:cs="Times New Roman"/>
        <w:sz w:val="20"/>
        <w:szCs w:val="20"/>
      </w:rPr>
      <w:t>VManot_251119_Groz416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6293" w14:textId="6F8B21EC" w:rsidR="008D29DB" w:rsidRPr="009A2654" w:rsidRDefault="008D29DB">
    <w:pPr>
      <w:pStyle w:val="Footer"/>
      <w:rPr>
        <w:rFonts w:ascii="Times New Roman" w:hAnsi="Times New Roman" w:cs="Times New Roman"/>
        <w:sz w:val="20"/>
        <w:szCs w:val="20"/>
      </w:rPr>
    </w:pPr>
    <w:r>
      <w:rPr>
        <w:rFonts w:ascii="Times New Roman" w:hAnsi="Times New Roman" w:cs="Times New Roman"/>
        <w:sz w:val="20"/>
        <w:szCs w:val="20"/>
      </w:rPr>
      <w:t>VManot_251119_Groz416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C542" w14:textId="77777777" w:rsidR="008D29DB" w:rsidRDefault="008D29DB" w:rsidP="00894C55">
      <w:pPr>
        <w:spacing w:after="0" w:line="240" w:lineRule="auto"/>
      </w:pPr>
      <w:r>
        <w:separator/>
      </w:r>
    </w:p>
  </w:footnote>
  <w:footnote w:type="continuationSeparator" w:id="0">
    <w:p w14:paraId="3C6D746D" w14:textId="77777777" w:rsidR="008D29DB" w:rsidRDefault="008D29D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098AD5" w14:textId="77777777" w:rsidR="008D29DB" w:rsidRPr="00C25B49" w:rsidRDefault="008D29D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800D9"/>
    <w:multiLevelType w:val="hybridMultilevel"/>
    <w:tmpl w:val="6F5EC36A"/>
    <w:lvl w:ilvl="0" w:tplc="40EAB2EE">
      <w:start w:val="1"/>
      <w:numFmt w:val="bullet"/>
      <w:lvlText w:val="-"/>
      <w:lvlJc w:val="left"/>
      <w:pPr>
        <w:tabs>
          <w:tab w:val="num" w:pos="720"/>
        </w:tabs>
        <w:ind w:left="720" w:hanging="360"/>
      </w:pPr>
      <w:rPr>
        <w:rFonts w:ascii="Times New Roman" w:hAnsi="Times New Roman" w:hint="default"/>
      </w:rPr>
    </w:lvl>
    <w:lvl w:ilvl="1" w:tplc="02EA17F4" w:tentative="1">
      <w:start w:val="1"/>
      <w:numFmt w:val="bullet"/>
      <w:lvlText w:val="-"/>
      <w:lvlJc w:val="left"/>
      <w:pPr>
        <w:tabs>
          <w:tab w:val="num" w:pos="1440"/>
        </w:tabs>
        <w:ind w:left="1440" w:hanging="360"/>
      </w:pPr>
      <w:rPr>
        <w:rFonts w:ascii="Times New Roman" w:hAnsi="Times New Roman" w:hint="default"/>
      </w:rPr>
    </w:lvl>
    <w:lvl w:ilvl="2" w:tplc="36280026" w:tentative="1">
      <w:start w:val="1"/>
      <w:numFmt w:val="bullet"/>
      <w:lvlText w:val="-"/>
      <w:lvlJc w:val="left"/>
      <w:pPr>
        <w:tabs>
          <w:tab w:val="num" w:pos="2160"/>
        </w:tabs>
        <w:ind w:left="2160" w:hanging="360"/>
      </w:pPr>
      <w:rPr>
        <w:rFonts w:ascii="Times New Roman" w:hAnsi="Times New Roman" w:hint="default"/>
      </w:rPr>
    </w:lvl>
    <w:lvl w:ilvl="3" w:tplc="0CF8DE2A" w:tentative="1">
      <w:start w:val="1"/>
      <w:numFmt w:val="bullet"/>
      <w:lvlText w:val="-"/>
      <w:lvlJc w:val="left"/>
      <w:pPr>
        <w:tabs>
          <w:tab w:val="num" w:pos="2880"/>
        </w:tabs>
        <w:ind w:left="2880" w:hanging="360"/>
      </w:pPr>
      <w:rPr>
        <w:rFonts w:ascii="Times New Roman" w:hAnsi="Times New Roman" w:hint="default"/>
      </w:rPr>
    </w:lvl>
    <w:lvl w:ilvl="4" w:tplc="93DCEE06" w:tentative="1">
      <w:start w:val="1"/>
      <w:numFmt w:val="bullet"/>
      <w:lvlText w:val="-"/>
      <w:lvlJc w:val="left"/>
      <w:pPr>
        <w:tabs>
          <w:tab w:val="num" w:pos="3600"/>
        </w:tabs>
        <w:ind w:left="3600" w:hanging="360"/>
      </w:pPr>
      <w:rPr>
        <w:rFonts w:ascii="Times New Roman" w:hAnsi="Times New Roman" w:hint="default"/>
      </w:rPr>
    </w:lvl>
    <w:lvl w:ilvl="5" w:tplc="239C652A" w:tentative="1">
      <w:start w:val="1"/>
      <w:numFmt w:val="bullet"/>
      <w:lvlText w:val="-"/>
      <w:lvlJc w:val="left"/>
      <w:pPr>
        <w:tabs>
          <w:tab w:val="num" w:pos="4320"/>
        </w:tabs>
        <w:ind w:left="4320" w:hanging="360"/>
      </w:pPr>
      <w:rPr>
        <w:rFonts w:ascii="Times New Roman" w:hAnsi="Times New Roman" w:hint="default"/>
      </w:rPr>
    </w:lvl>
    <w:lvl w:ilvl="6" w:tplc="920C4C28" w:tentative="1">
      <w:start w:val="1"/>
      <w:numFmt w:val="bullet"/>
      <w:lvlText w:val="-"/>
      <w:lvlJc w:val="left"/>
      <w:pPr>
        <w:tabs>
          <w:tab w:val="num" w:pos="5040"/>
        </w:tabs>
        <w:ind w:left="5040" w:hanging="360"/>
      </w:pPr>
      <w:rPr>
        <w:rFonts w:ascii="Times New Roman" w:hAnsi="Times New Roman" w:hint="default"/>
      </w:rPr>
    </w:lvl>
    <w:lvl w:ilvl="7" w:tplc="0F1AD4F2" w:tentative="1">
      <w:start w:val="1"/>
      <w:numFmt w:val="bullet"/>
      <w:lvlText w:val="-"/>
      <w:lvlJc w:val="left"/>
      <w:pPr>
        <w:tabs>
          <w:tab w:val="num" w:pos="5760"/>
        </w:tabs>
        <w:ind w:left="5760" w:hanging="360"/>
      </w:pPr>
      <w:rPr>
        <w:rFonts w:ascii="Times New Roman" w:hAnsi="Times New Roman" w:hint="default"/>
      </w:rPr>
    </w:lvl>
    <w:lvl w:ilvl="8" w:tplc="E53CF2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10E545E"/>
    <w:multiLevelType w:val="hybridMultilevel"/>
    <w:tmpl w:val="C19864F2"/>
    <w:lvl w:ilvl="0" w:tplc="F27AE208">
      <w:start w:val="1"/>
      <w:numFmt w:val="bullet"/>
      <w:lvlText w:val="-"/>
      <w:lvlJc w:val="left"/>
      <w:pPr>
        <w:tabs>
          <w:tab w:val="num" w:pos="720"/>
        </w:tabs>
        <w:ind w:left="720" w:hanging="360"/>
      </w:pPr>
      <w:rPr>
        <w:rFonts w:ascii="Times New Roman" w:hAnsi="Times New Roman" w:hint="default"/>
      </w:rPr>
    </w:lvl>
    <w:lvl w:ilvl="1" w:tplc="0BB6C3B2" w:tentative="1">
      <w:start w:val="1"/>
      <w:numFmt w:val="bullet"/>
      <w:lvlText w:val="-"/>
      <w:lvlJc w:val="left"/>
      <w:pPr>
        <w:tabs>
          <w:tab w:val="num" w:pos="1440"/>
        </w:tabs>
        <w:ind w:left="1440" w:hanging="360"/>
      </w:pPr>
      <w:rPr>
        <w:rFonts w:ascii="Times New Roman" w:hAnsi="Times New Roman" w:hint="default"/>
      </w:rPr>
    </w:lvl>
    <w:lvl w:ilvl="2" w:tplc="1AF0CEB8" w:tentative="1">
      <w:start w:val="1"/>
      <w:numFmt w:val="bullet"/>
      <w:lvlText w:val="-"/>
      <w:lvlJc w:val="left"/>
      <w:pPr>
        <w:tabs>
          <w:tab w:val="num" w:pos="2160"/>
        </w:tabs>
        <w:ind w:left="2160" w:hanging="360"/>
      </w:pPr>
      <w:rPr>
        <w:rFonts w:ascii="Times New Roman" w:hAnsi="Times New Roman" w:hint="default"/>
      </w:rPr>
    </w:lvl>
    <w:lvl w:ilvl="3" w:tplc="11566E62" w:tentative="1">
      <w:start w:val="1"/>
      <w:numFmt w:val="bullet"/>
      <w:lvlText w:val="-"/>
      <w:lvlJc w:val="left"/>
      <w:pPr>
        <w:tabs>
          <w:tab w:val="num" w:pos="2880"/>
        </w:tabs>
        <w:ind w:left="2880" w:hanging="360"/>
      </w:pPr>
      <w:rPr>
        <w:rFonts w:ascii="Times New Roman" w:hAnsi="Times New Roman" w:hint="default"/>
      </w:rPr>
    </w:lvl>
    <w:lvl w:ilvl="4" w:tplc="407C2782" w:tentative="1">
      <w:start w:val="1"/>
      <w:numFmt w:val="bullet"/>
      <w:lvlText w:val="-"/>
      <w:lvlJc w:val="left"/>
      <w:pPr>
        <w:tabs>
          <w:tab w:val="num" w:pos="3600"/>
        </w:tabs>
        <w:ind w:left="3600" w:hanging="360"/>
      </w:pPr>
      <w:rPr>
        <w:rFonts w:ascii="Times New Roman" w:hAnsi="Times New Roman" w:hint="default"/>
      </w:rPr>
    </w:lvl>
    <w:lvl w:ilvl="5" w:tplc="29D42D52" w:tentative="1">
      <w:start w:val="1"/>
      <w:numFmt w:val="bullet"/>
      <w:lvlText w:val="-"/>
      <w:lvlJc w:val="left"/>
      <w:pPr>
        <w:tabs>
          <w:tab w:val="num" w:pos="4320"/>
        </w:tabs>
        <w:ind w:left="4320" w:hanging="360"/>
      </w:pPr>
      <w:rPr>
        <w:rFonts w:ascii="Times New Roman" w:hAnsi="Times New Roman" w:hint="default"/>
      </w:rPr>
    </w:lvl>
    <w:lvl w:ilvl="6" w:tplc="2F6475DA" w:tentative="1">
      <w:start w:val="1"/>
      <w:numFmt w:val="bullet"/>
      <w:lvlText w:val="-"/>
      <w:lvlJc w:val="left"/>
      <w:pPr>
        <w:tabs>
          <w:tab w:val="num" w:pos="5040"/>
        </w:tabs>
        <w:ind w:left="5040" w:hanging="360"/>
      </w:pPr>
      <w:rPr>
        <w:rFonts w:ascii="Times New Roman" w:hAnsi="Times New Roman" w:hint="default"/>
      </w:rPr>
    </w:lvl>
    <w:lvl w:ilvl="7" w:tplc="BCB270C2" w:tentative="1">
      <w:start w:val="1"/>
      <w:numFmt w:val="bullet"/>
      <w:lvlText w:val="-"/>
      <w:lvlJc w:val="left"/>
      <w:pPr>
        <w:tabs>
          <w:tab w:val="num" w:pos="5760"/>
        </w:tabs>
        <w:ind w:left="5760" w:hanging="360"/>
      </w:pPr>
      <w:rPr>
        <w:rFonts w:ascii="Times New Roman" w:hAnsi="Times New Roman" w:hint="default"/>
      </w:rPr>
    </w:lvl>
    <w:lvl w:ilvl="8" w:tplc="595A3D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C385C47"/>
    <w:multiLevelType w:val="hybridMultilevel"/>
    <w:tmpl w:val="94248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10"/>
    <w:rsid w:val="00000105"/>
    <w:rsid w:val="000013A6"/>
    <w:rsid w:val="0000334D"/>
    <w:rsid w:val="0001375A"/>
    <w:rsid w:val="00014440"/>
    <w:rsid w:val="00015478"/>
    <w:rsid w:val="00017654"/>
    <w:rsid w:val="000227A4"/>
    <w:rsid w:val="00041AA8"/>
    <w:rsid w:val="00044187"/>
    <w:rsid w:val="00045E4E"/>
    <w:rsid w:val="0004715C"/>
    <w:rsid w:val="00052B56"/>
    <w:rsid w:val="000536A5"/>
    <w:rsid w:val="00053EB3"/>
    <w:rsid w:val="000566FD"/>
    <w:rsid w:val="0005727D"/>
    <w:rsid w:val="0006051B"/>
    <w:rsid w:val="00075409"/>
    <w:rsid w:val="000815A2"/>
    <w:rsid w:val="0008487C"/>
    <w:rsid w:val="000921FF"/>
    <w:rsid w:val="0009492E"/>
    <w:rsid w:val="000A40F3"/>
    <w:rsid w:val="000B0F75"/>
    <w:rsid w:val="000B3FBE"/>
    <w:rsid w:val="000B4B0F"/>
    <w:rsid w:val="000D2382"/>
    <w:rsid w:val="000D4634"/>
    <w:rsid w:val="000D6498"/>
    <w:rsid w:val="000E0DB8"/>
    <w:rsid w:val="000E7945"/>
    <w:rsid w:val="000F3DB8"/>
    <w:rsid w:val="0010015A"/>
    <w:rsid w:val="001023F3"/>
    <w:rsid w:val="00106DF6"/>
    <w:rsid w:val="00107CB9"/>
    <w:rsid w:val="00111898"/>
    <w:rsid w:val="00114072"/>
    <w:rsid w:val="0011576E"/>
    <w:rsid w:val="00116565"/>
    <w:rsid w:val="0011688B"/>
    <w:rsid w:val="00121E53"/>
    <w:rsid w:val="001250BD"/>
    <w:rsid w:val="001347AD"/>
    <w:rsid w:val="00135A6A"/>
    <w:rsid w:val="00144CD0"/>
    <w:rsid w:val="00146613"/>
    <w:rsid w:val="001545F2"/>
    <w:rsid w:val="00160B48"/>
    <w:rsid w:val="00161A9D"/>
    <w:rsid w:val="0016286A"/>
    <w:rsid w:val="00163EF2"/>
    <w:rsid w:val="00166CF8"/>
    <w:rsid w:val="001708CA"/>
    <w:rsid w:val="00170A7B"/>
    <w:rsid w:val="00173138"/>
    <w:rsid w:val="001827A6"/>
    <w:rsid w:val="001846FA"/>
    <w:rsid w:val="001868E6"/>
    <w:rsid w:val="00186CBD"/>
    <w:rsid w:val="00192081"/>
    <w:rsid w:val="00196C80"/>
    <w:rsid w:val="001A0456"/>
    <w:rsid w:val="001A51EB"/>
    <w:rsid w:val="001A72DE"/>
    <w:rsid w:val="001B1642"/>
    <w:rsid w:val="001B1C4F"/>
    <w:rsid w:val="001B28D1"/>
    <w:rsid w:val="001C0477"/>
    <w:rsid w:val="001C7BC7"/>
    <w:rsid w:val="001D3990"/>
    <w:rsid w:val="001E0744"/>
    <w:rsid w:val="001E564E"/>
    <w:rsid w:val="001E78D7"/>
    <w:rsid w:val="001F0946"/>
    <w:rsid w:val="001F478C"/>
    <w:rsid w:val="001F5147"/>
    <w:rsid w:val="001F7065"/>
    <w:rsid w:val="00200B21"/>
    <w:rsid w:val="00205483"/>
    <w:rsid w:val="0020612A"/>
    <w:rsid w:val="002071CC"/>
    <w:rsid w:val="002105C9"/>
    <w:rsid w:val="00213B1C"/>
    <w:rsid w:val="00214C9E"/>
    <w:rsid w:val="00221B34"/>
    <w:rsid w:val="00222E00"/>
    <w:rsid w:val="00223909"/>
    <w:rsid w:val="00225829"/>
    <w:rsid w:val="0022651C"/>
    <w:rsid w:val="00227AC7"/>
    <w:rsid w:val="002356EE"/>
    <w:rsid w:val="002410D5"/>
    <w:rsid w:val="00243426"/>
    <w:rsid w:val="00260305"/>
    <w:rsid w:val="00261514"/>
    <w:rsid w:val="00276102"/>
    <w:rsid w:val="00277688"/>
    <w:rsid w:val="00277895"/>
    <w:rsid w:val="0028499C"/>
    <w:rsid w:val="0029533C"/>
    <w:rsid w:val="002A3FD5"/>
    <w:rsid w:val="002A6887"/>
    <w:rsid w:val="002B2DD6"/>
    <w:rsid w:val="002C68C8"/>
    <w:rsid w:val="002C7E47"/>
    <w:rsid w:val="002D38E2"/>
    <w:rsid w:val="002D3CA2"/>
    <w:rsid w:val="002D58EC"/>
    <w:rsid w:val="002E1C05"/>
    <w:rsid w:val="002E25F2"/>
    <w:rsid w:val="002F4A1F"/>
    <w:rsid w:val="002F5262"/>
    <w:rsid w:val="003108D0"/>
    <w:rsid w:val="00312A6A"/>
    <w:rsid w:val="0031306A"/>
    <w:rsid w:val="00314023"/>
    <w:rsid w:val="003178A9"/>
    <w:rsid w:val="00317DDF"/>
    <w:rsid w:val="0032095A"/>
    <w:rsid w:val="00323D8A"/>
    <w:rsid w:val="0032483A"/>
    <w:rsid w:val="00344630"/>
    <w:rsid w:val="00345951"/>
    <w:rsid w:val="0035200A"/>
    <w:rsid w:val="00394C34"/>
    <w:rsid w:val="00397519"/>
    <w:rsid w:val="003A2439"/>
    <w:rsid w:val="003A2743"/>
    <w:rsid w:val="003B0BF9"/>
    <w:rsid w:val="003B12C7"/>
    <w:rsid w:val="003B2FF8"/>
    <w:rsid w:val="003B5972"/>
    <w:rsid w:val="003C22FA"/>
    <w:rsid w:val="003C4E88"/>
    <w:rsid w:val="003C537E"/>
    <w:rsid w:val="003C76F0"/>
    <w:rsid w:val="003D1BE4"/>
    <w:rsid w:val="003D6728"/>
    <w:rsid w:val="003E0791"/>
    <w:rsid w:val="003E1F05"/>
    <w:rsid w:val="003E509F"/>
    <w:rsid w:val="003E7250"/>
    <w:rsid w:val="003F0B64"/>
    <w:rsid w:val="003F0C4A"/>
    <w:rsid w:val="003F28AC"/>
    <w:rsid w:val="00403957"/>
    <w:rsid w:val="0040448F"/>
    <w:rsid w:val="00405BCF"/>
    <w:rsid w:val="004078D6"/>
    <w:rsid w:val="004101A4"/>
    <w:rsid w:val="004115F2"/>
    <w:rsid w:val="004116CD"/>
    <w:rsid w:val="00417606"/>
    <w:rsid w:val="00423B40"/>
    <w:rsid w:val="0043281B"/>
    <w:rsid w:val="0044184F"/>
    <w:rsid w:val="00442DB8"/>
    <w:rsid w:val="004454FE"/>
    <w:rsid w:val="00450F05"/>
    <w:rsid w:val="00456E40"/>
    <w:rsid w:val="0046383B"/>
    <w:rsid w:val="004678FA"/>
    <w:rsid w:val="00471F27"/>
    <w:rsid w:val="0049183D"/>
    <w:rsid w:val="00492E57"/>
    <w:rsid w:val="00495575"/>
    <w:rsid w:val="00497ED3"/>
    <w:rsid w:val="004A0CB5"/>
    <w:rsid w:val="004A2E2B"/>
    <w:rsid w:val="004A7F5F"/>
    <w:rsid w:val="004B7833"/>
    <w:rsid w:val="004C3B00"/>
    <w:rsid w:val="004C445C"/>
    <w:rsid w:val="004D05E0"/>
    <w:rsid w:val="004D2626"/>
    <w:rsid w:val="004D41D3"/>
    <w:rsid w:val="004D78E8"/>
    <w:rsid w:val="004F4181"/>
    <w:rsid w:val="004F5954"/>
    <w:rsid w:val="004F6880"/>
    <w:rsid w:val="004F7901"/>
    <w:rsid w:val="0050178F"/>
    <w:rsid w:val="00502AA8"/>
    <w:rsid w:val="005050A2"/>
    <w:rsid w:val="00506AA6"/>
    <w:rsid w:val="005071AD"/>
    <w:rsid w:val="00507D40"/>
    <w:rsid w:val="00513E7E"/>
    <w:rsid w:val="0051478C"/>
    <w:rsid w:val="00522736"/>
    <w:rsid w:val="005238D0"/>
    <w:rsid w:val="00523F29"/>
    <w:rsid w:val="00530F8A"/>
    <w:rsid w:val="0053105B"/>
    <w:rsid w:val="00533310"/>
    <w:rsid w:val="00542524"/>
    <w:rsid w:val="005435F9"/>
    <w:rsid w:val="005531AF"/>
    <w:rsid w:val="00557B2D"/>
    <w:rsid w:val="00564C17"/>
    <w:rsid w:val="005672A4"/>
    <w:rsid w:val="00567EED"/>
    <w:rsid w:val="00576D5E"/>
    <w:rsid w:val="005A1C80"/>
    <w:rsid w:val="005B3823"/>
    <w:rsid w:val="005B4823"/>
    <w:rsid w:val="005B658D"/>
    <w:rsid w:val="005C0613"/>
    <w:rsid w:val="005C584A"/>
    <w:rsid w:val="005D0EC4"/>
    <w:rsid w:val="005D3A87"/>
    <w:rsid w:val="005D5764"/>
    <w:rsid w:val="005E3B2F"/>
    <w:rsid w:val="005F330D"/>
    <w:rsid w:val="00601FA9"/>
    <w:rsid w:val="0061398A"/>
    <w:rsid w:val="00621D0F"/>
    <w:rsid w:val="00631A1D"/>
    <w:rsid w:val="00633A74"/>
    <w:rsid w:val="00635922"/>
    <w:rsid w:val="00635ED7"/>
    <w:rsid w:val="00637287"/>
    <w:rsid w:val="00640E70"/>
    <w:rsid w:val="00644CFB"/>
    <w:rsid w:val="0065204A"/>
    <w:rsid w:val="00653BA2"/>
    <w:rsid w:val="0065591E"/>
    <w:rsid w:val="00655F2C"/>
    <w:rsid w:val="0065785E"/>
    <w:rsid w:val="00667256"/>
    <w:rsid w:val="0067735B"/>
    <w:rsid w:val="00684556"/>
    <w:rsid w:val="006949B8"/>
    <w:rsid w:val="006A1378"/>
    <w:rsid w:val="006A6274"/>
    <w:rsid w:val="006B4ADC"/>
    <w:rsid w:val="006B5AFD"/>
    <w:rsid w:val="006C11C2"/>
    <w:rsid w:val="006C29FF"/>
    <w:rsid w:val="006C2EBD"/>
    <w:rsid w:val="006C4775"/>
    <w:rsid w:val="006E0150"/>
    <w:rsid w:val="006E1081"/>
    <w:rsid w:val="006E1200"/>
    <w:rsid w:val="006F12E6"/>
    <w:rsid w:val="006F430C"/>
    <w:rsid w:val="006F6A9C"/>
    <w:rsid w:val="006F72AE"/>
    <w:rsid w:val="00700214"/>
    <w:rsid w:val="00702FED"/>
    <w:rsid w:val="00704F50"/>
    <w:rsid w:val="007068D2"/>
    <w:rsid w:val="0071009F"/>
    <w:rsid w:val="00710B7A"/>
    <w:rsid w:val="00712E40"/>
    <w:rsid w:val="00717636"/>
    <w:rsid w:val="00717E10"/>
    <w:rsid w:val="00720585"/>
    <w:rsid w:val="00721C12"/>
    <w:rsid w:val="00721E1F"/>
    <w:rsid w:val="00751C28"/>
    <w:rsid w:val="00753291"/>
    <w:rsid w:val="007578E5"/>
    <w:rsid w:val="007645C0"/>
    <w:rsid w:val="007676EC"/>
    <w:rsid w:val="0077125E"/>
    <w:rsid w:val="00771E77"/>
    <w:rsid w:val="00773AF6"/>
    <w:rsid w:val="00774C26"/>
    <w:rsid w:val="00780B3E"/>
    <w:rsid w:val="00780DF5"/>
    <w:rsid w:val="00782EF9"/>
    <w:rsid w:val="00786F7F"/>
    <w:rsid w:val="007936A4"/>
    <w:rsid w:val="00795F71"/>
    <w:rsid w:val="007A20DE"/>
    <w:rsid w:val="007A332A"/>
    <w:rsid w:val="007A3E4B"/>
    <w:rsid w:val="007B0855"/>
    <w:rsid w:val="007B14B6"/>
    <w:rsid w:val="007B2D7A"/>
    <w:rsid w:val="007B73AF"/>
    <w:rsid w:val="007C1D2F"/>
    <w:rsid w:val="007C1F25"/>
    <w:rsid w:val="007D42E9"/>
    <w:rsid w:val="007D4CC6"/>
    <w:rsid w:val="007D5F65"/>
    <w:rsid w:val="007E5F7A"/>
    <w:rsid w:val="007E6A45"/>
    <w:rsid w:val="007E73AB"/>
    <w:rsid w:val="007F172F"/>
    <w:rsid w:val="007F5626"/>
    <w:rsid w:val="007F710E"/>
    <w:rsid w:val="00804AB9"/>
    <w:rsid w:val="008066A7"/>
    <w:rsid w:val="0080699C"/>
    <w:rsid w:val="008167FB"/>
    <w:rsid w:val="00816C11"/>
    <w:rsid w:val="008203F3"/>
    <w:rsid w:val="0082571B"/>
    <w:rsid w:val="008259B2"/>
    <w:rsid w:val="0083539C"/>
    <w:rsid w:val="008469E6"/>
    <w:rsid w:val="00847428"/>
    <w:rsid w:val="00847B07"/>
    <w:rsid w:val="00847DFF"/>
    <w:rsid w:val="0085466F"/>
    <w:rsid w:val="008546E6"/>
    <w:rsid w:val="00860CD1"/>
    <w:rsid w:val="00867D0B"/>
    <w:rsid w:val="0087172A"/>
    <w:rsid w:val="00871926"/>
    <w:rsid w:val="0088030F"/>
    <w:rsid w:val="00887A5F"/>
    <w:rsid w:val="00893F61"/>
    <w:rsid w:val="00894C55"/>
    <w:rsid w:val="00897540"/>
    <w:rsid w:val="008A164B"/>
    <w:rsid w:val="008A215B"/>
    <w:rsid w:val="008A6374"/>
    <w:rsid w:val="008A65BE"/>
    <w:rsid w:val="008A6835"/>
    <w:rsid w:val="008B26AC"/>
    <w:rsid w:val="008B3530"/>
    <w:rsid w:val="008B3839"/>
    <w:rsid w:val="008B3AE7"/>
    <w:rsid w:val="008C02F1"/>
    <w:rsid w:val="008C04BA"/>
    <w:rsid w:val="008C0BF2"/>
    <w:rsid w:val="008C3371"/>
    <w:rsid w:val="008C632A"/>
    <w:rsid w:val="008D1F1B"/>
    <w:rsid w:val="008D29DB"/>
    <w:rsid w:val="008D4B31"/>
    <w:rsid w:val="008D62E8"/>
    <w:rsid w:val="008D6A85"/>
    <w:rsid w:val="008D7D0D"/>
    <w:rsid w:val="008E7B5B"/>
    <w:rsid w:val="008E7FCB"/>
    <w:rsid w:val="008F7D1C"/>
    <w:rsid w:val="00900FDE"/>
    <w:rsid w:val="00901FA9"/>
    <w:rsid w:val="009065D0"/>
    <w:rsid w:val="0091499C"/>
    <w:rsid w:val="0091571B"/>
    <w:rsid w:val="009166EC"/>
    <w:rsid w:val="00922D27"/>
    <w:rsid w:val="0092340C"/>
    <w:rsid w:val="00937B89"/>
    <w:rsid w:val="009571D0"/>
    <w:rsid w:val="00957A07"/>
    <w:rsid w:val="0096079E"/>
    <w:rsid w:val="0096136F"/>
    <w:rsid w:val="00965F9F"/>
    <w:rsid w:val="0096717F"/>
    <w:rsid w:val="00977730"/>
    <w:rsid w:val="009A2654"/>
    <w:rsid w:val="009A6E39"/>
    <w:rsid w:val="009B2C32"/>
    <w:rsid w:val="009B45EA"/>
    <w:rsid w:val="009C04BB"/>
    <w:rsid w:val="009C4DD3"/>
    <w:rsid w:val="009C55F8"/>
    <w:rsid w:val="009D0CF7"/>
    <w:rsid w:val="009D26B8"/>
    <w:rsid w:val="009E372A"/>
    <w:rsid w:val="009E55FD"/>
    <w:rsid w:val="009E73BA"/>
    <w:rsid w:val="009F69B0"/>
    <w:rsid w:val="00A02FFC"/>
    <w:rsid w:val="00A038A7"/>
    <w:rsid w:val="00A10FC3"/>
    <w:rsid w:val="00A11D0D"/>
    <w:rsid w:val="00A16A3D"/>
    <w:rsid w:val="00A21228"/>
    <w:rsid w:val="00A224F5"/>
    <w:rsid w:val="00A25173"/>
    <w:rsid w:val="00A31FE2"/>
    <w:rsid w:val="00A331D2"/>
    <w:rsid w:val="00A407D0"/>
    <w:rsid w:val="00A40957"/>
    <w:rsid w:val="00A46E99"/>
    <w:rsid w:val="00A5186E"/>
    <w:rsid w:val="00A56DF6"/>
    <w:rsid w:val="00A6073E"/>
    <w:rsid w:val="00A60F54"/>
    <w:rsid w:val="00A631FE"/>
    <w:rsid w:val="00A70409"/>
    <w:rsid w:val="00A85E5C"/>
    <w:rsid w:val="00A9796E"/>
    <w:rsid w:val="00AA08FD"/>
    <w:rsid w:val="00AA3F5B"/>
    <w:rsid w:val="00AA4C88"/>
    <w:rsid w:val="00AB442E"/>
    <w:rsid w:val="00AB576D"/>
    <w:rsid w:val="00AB58C0"/>
    <w:rsid w:val="00AC4B5B"/>
    <w:rsid w:val="00AC6638"/>
    <w:rsid w:val="00AD748E"/>
    <w:rsid w:val="00AE0085"/>
    <w:rsid w:val="00AE5567"/>
    <w:rsid w:val="00AF1239"/>
    <w:rsid w:val="00AF5BC8"/>
    <w:rsid w:val="00AF5C5A"/>
    <w:rsid w:val="00B009EE"/>
    <w:rsid w:val="00B012B2"/>
    <w:rsid w:val="00B01A0F"/>
    <w:rsid w:val="00B16480"/>
    <w:rsid w:val="00B170C2"/>
    <w:rsid w:val="00B206F4"/>
    <w:rsid w:val="00B2165C"/>
    <w:rsid w:val="00B22D02"/>
    <w:rsid w:val="00B461E4"/>
    <w:rsid w:val="00B5166E"/>
    <w:rsid w:val="00B53F04"/>
    <w:rsid w:val="00B609CB"/>
    <w:rsid w:val="00B60A8B"/>
    <w:rsid w:val="00B639FF"/>
    <w:rsid w:val="00B66AE3"/>
    <w:rsid w:val="00B7327D"/>
    <w:rsid w:val="00B77F1E"/>
    <w:rsid w:val="00B822CC"/>
    <w:rsid w:val="00B83592"/>
    <w:rsid w:val="00B90BA8"/>
    <w:rsid w:val="00B91E7E"/>
    <w:rsid w:val="00BA20AA"/>
    <w:rsid w:val="00BA2738"/>
    <w:rsid w:val="00BA36A8"/>
    <w:rsid w:val="00BA3912"/>
    <w:rsid w:val="00BA4E1B"/>
    <w:rsid w:val="00BA69C0"/>
    <w:rsid w:val="00BA6A9F"/>
    <w:rsid w:val="00BB5242"/>
    <w:rsid w:val="00BB6D68"/>
    <w:rsid w:val="00BC1A4B"/>
    <w:rsid w:val="00BC7A7C"/>
    <w:rsid w:val="00BD0DC9"/>
    <w:rsid w:val="00BD2E9A"/>
    <w:rsid w:val="00BD4425"/>
    <w:rsid w:val="00BE1D3A"/>
    <w:rsid w:val="00BE4CF5"/>
    <w:rsid w:val="00BE5BBD"/>
    <w:rsid w:val="00BE5EA1"/>
    <w:rsid w:val="00BE6B7D"/>
    <w:rsid w:val="00BF00D5"/>
    <w:rsid w:val="00BF0EE0"/>
    <w:rsid w:val="00BF33C6"/>
    <w:rsid w:val="00BF4EAE"/>
    <w:rsid w:val="00C01F87"/>
    <w:rsid w:val="00C0639C"/>
    <w:rsid w:val="00C06BAF"/>
    <w:rsid w:val="00C21623"/>
    <w:rsid w:val="00C23CE2"/>
    <w:rsid w:val="00C25B49"/>
    <w:rsid w:val="00C33482"/>
    <w:rsid w:val="00C33C09"/>
    <w:rsid w:val="00C3486C"/>
    <w:rsid w:val="00C40DB2"/>
    <w:rsid w:val="00C43431"/>
    <w:rsid w:val="00C43F81"/>
    <w:rsid w:val="00C4490F"/>
    <w:rsid w:val="00C51CC1"/>
    <w:rsid w:val="00C56EC8"/>
    <w:rsid w:val="00C6096A"/>
    <w:rsid w:val="00C6140C"/>
    <w:rsid w:val="00C65B17"/>
    <w:rsid w:val="00C76BA5"/>
    <w:rsid w:val="00C770C6"/>
    <w:rsid w:val="00C80CBE"/>
    <w:rsid w:val="00C81105"/>
    <w:rsid w:val="00C838FA"/>
    <w:rsid w:val="00C83C65"/>
    <w:rsid w:val="00C871A0"/>
    <w:rsid w:val="00C91149"/>
    <w:rsid w:val="00C93460"/>
    <w:rsid w:val="00C94BA8"/>
    <w:rsid w:val="00C94E36"/>
    <w:rsid w:val="00CA0890"/>
    <w:rsid w:val="00CA1264"/>
    <w:rsid w:val="00CA6819"/>
    <w:rsid w:val="00CB2614"/>
    <w:rsid w:val="00CB2B1F"/>
    <w:rsid w:val="00CB3B99"/>
    <w:rsid w:val="00CB67D3"/>
    <w:rsid w:val="00CB7E04"/>
    <w:rsid w:val="00CC0D2D"/>
    <w:rsid w:val="00CC6764"/>
    <w:rsid w:val="00CD4985"/>
    <w:rsid w:val="00CD65E6"/>
    <w:rsid w:val="00CD6840"/>
    <w:rsid w:val="00CD6CBC"/>
    <w:rsid w:val="00CE2DBB"/>
    <w:rsid w:val="00CE4208"/>
    <w:rsid w:val="00CE5657"/>
    <w:rsid w:val="00CE737E"/>
    <w:rsid w:val="00CF0353"/>
    <w:rsid w:val="00CF7813"/>
    <w:rsid w:val="00D00958"/>
    <w:rsid w:val="00D048BD"/>
    <w:rsid w:val="00D05D4C"/>
    <w:rsid w:val="00D1193C"/>
    <w:rsid w:val="00D12E67"/>
    <w:rsid w:val="00D133F8"/>
    <w:rsid w:val="00D14A3E"/>
    <w:rsid w:val="00D16934"/>
    <w:rsid w:val="00D22C05"/>
    <w:rsid w:val="00D2360B"/>
    <w:rsid w:val="00D25DB9"/>
    <w:rsid w:val="00D272CA"/>
    <w:rsid w:val="00D424C4"/>
    <w:rsid w:val="00D44E6A"/>
    <w:rsid w:val="00D451F2"/>
    <w:rsid w:val="00D51F1A"/>
    <w:rsid w:val="00D627DC"/>
    <w:rsid w:val="00D6427C"/>
    <w:rsid w:val="00D8392C"/>
    <w:rsid w:val="00D95A75"/>
    <w:rsid w:val="00D95F93"/>
    <w:rsid w:val="00D97535"/>
    <w:rsid w:val="00DA0757"/>
    <w:rsid w:val="00DA464E"/>
    <w:rsid w:val="00DB7BF8"/>
    <w:rsid w:val="00DB7D6A"/>
    <w:rsid w:val="00DC39EF"/>
    <w:rsid w:val="00DC68E6"/>
    <w:rsid w:val="00DD04D3"/>
    <w:rsid w:val="00DD2BA1"/>
    <w:rsid w:val="00DE331E"/>
    <w:rsid w:val="00DE54C9"/>
    <w:rsid w:val="00DF7C47"/>
    <w:rsid w:val="00E00F2F"/>
    <w:rsid w:val="00E0312F"/>
    <w:rsid w:val="00E0511A"/>
    <w:rsid w:val="00E073BB"/>
    <w:rsid w:val="00E0775D"/>
    <w:rsid w:val="00E07CDA"/>
    <w:rsid w:val="00E120C5"/>
    <w:rsid w:val="00E1369D"/>
    <w:rsid w:val="00E13E5E"/>
    <w:rsid w:val="00E22D4F"/>
    <w:rsid w:val="00E2663F"/>
    <w:rsid w:val="00E27E19"/>
    <w:rsid w:val="00E3716B"/>
    <w:rsid w:val="00E403D5"/>
    <w:rsid w:val="00E43149"/>
    <w:rsid w:val="00E44473"/>
    <w:rsid w:val="00E5318A"/>
    <w:rsid w:val="00E5323B"/>
    <w:rsid w:val="00E53294"/>
    <w:rsid w:val="00E55AEF"/>
    <w:rsid w:val="00E60B83"/>
    <w:rsid w:val="00E60BB7"/>
    <w:rsid w:val="00E644DD"/>
    <w:rsid w:val="00E6491C"/>
    <w:rsid w:val="00E7223D"/>
    <w:rsid w:val="00E7234B"/>
    <w:rsid w:val="00E73AE5"/>
    <w:rsid w:val="00E73F95"/>
    <w:rsid w:val="00E7518A"/>
    <w:rsid w:val="00E8637B"/>
    <w:rsid w:val="00E8749E"/>
    <w:rsid w:val="00E878C4"/>
    <w:rsid w:val="00E90C01"/>
    <w:rsid w:val="00E977C6"/>
    <w:rsid w:val="00EA34AD"/>
    <w:rsid w:val="00EA3A83"/>
    <w:rsid w:val="00EA486E"/>
    <w:rsid w:val="00EB3A65"/>
    <w:rsid w:val="00EB4783"/>
    <w:rsid w:val="00EE351E"/>
    <w:rsid w:val="00EE369C"/>
    <w:rsid w:val="00EE3AF0"/>
    <w:rsid w:val="00EF2B30"/>
    <w:rsid w:val="00F0424C"/>
    <w:rsid w:val="00F1455E"/>
    <w:rsid w:val="00F231F6"/>
    <w:rsid w:val="00F37AA3"/>
    <w:rsid w:val="00F401B8"/>
    <w:rsid w:val="00F40F6F"/>
    <w:rsid w:val="00F44101"/>
    <w:rsid w:val="00F44CF6"/>
    <w:rsid w:val="00F500EB"/>
    <w:rsid w:val="00F50FA0"/>
    <w:rsid w:val="00F55732"/>
    <w:rsid w:val="00F57B0C"/>
    <w:rsid w:val="00F60837"/>
    <w:rsid w:val="00F628F2"/>
    <w:rsid w:val="00F66CD0"/>
    <w:rsid w:val="00F94173"/>
    <w:rsid w:val="00FA58E0"/>
    <w:rsid w:val="00FA7FDC"/>
    <w:rsid w:val="00FB04F6"/>
    <w:rsid w:val="00FB095E"/>
    <w:rsid w:val="00FB0D1F"/>
    <w:rsid w:val="00FB13F4"/>
    <w:rsid w:val="00FB5C76"/>
    <w:rsid w:val="00FC4CCF"/>
    <w:rsid w:val="00FC55F9"/>
    <w:rsid w:val="00FC6319"/>
    <w:rsid w:val="00FC7A9D"/>
    <w:rsid w:val="00FD310B"/>
    <w:rsid w:val="00FD72CD"/>
    <w:rsid w:val="00FE01CF"/>
    <w:rsid w:val="00FE2A78"/>
    <w:rsid w:val="00FF5A22"/>
    <w:rsid w:val="00FF699D"/>
    <w:rsid w:val="00FF7B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09BC7"/>
  <w15:docId w15:val="{DA50E9EC-6E6B-482F-B44E-3A428768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C348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486C"/>
    <w:rPr>
      <w:sz w:val="20"/>
      <w:szCs w:val="20"/>
    </w:rPr>
  </w:style>
  <w:style w:type="character" w:styleId="EndnoteReference">
    <w:name w:val="endnote reference"/>
    <w:basedOn w:val="DefaultParagraphFont"/>
    <w:uiPriority w:val="99"/>
    <w:semiHidden/>
    <w:unhideWhenUsed/>
    <w:rsid w:val="00C3486C"/>
    <w:rPr>
      <w:vertAlign w:val="superscript"/>
    </w:rPr>
  </w:style>
  <w:style w:type="paragraph" w:styleId="ListParagraph">
    <w:name w:val="List Paragraph"/>
    <w:basedOn w:val="Normal"/>
    <w:uiPriority w:val="34"/>
    <w:qFormat/>
    <w:rsid w:val="007E6A45"/>
    <w:pPr>
      <w:ind w:left="720"/>
      <w:contextualSpacing/>
    </w:pPr>
  </w:style>
  <w:style w:type="character" w:styleId="CommentReference">
    <w:name w:val="annotation reference"/>
    <w:basedOn w:val="DefaultParagraphFont"/>
    <w:uiPriority w:val="99"/>
    <w:semiHidden/>
    <w:unhideWhenUsed/>
    <w:rsid w:val="00E5318A"/>
    <w:rPr>
      <w:sz w:val="16"/>
      <w:szCs w:val="16"/>
    </w:rPr>
  </w:style>
  <w:style w:type="paragraph" w:styleId="CommentText">
    <w:name w:val="annotation text"/>
    <w:basedOn w:val="Normal"/>
    <w:link w:val="CommentTextChar"/>
    <w:uiPriority w:val="99"/>
    <w:unhideWhenUsed/>
    <w:rsid w:val="00E5318A"/>
    <w:pPr>
      <w:spacing w:line="240" w:lineRule="auto"/>
    </w:pPr>
    <w:rPr>
      <w:sz w:val="20"/>
      <w:szCs w:val="20"/>
    </w:rPr>
  </w:style>
  <w:style w:type="character" w:customStyle="1" w:styleId="CommentTextChar">
    <w:name w:val="Comment Text Char"/>
    <w:basedOn w:val="DefaultParagraphFont"/>
    <w:link w:val="CommentText"/>
    <w:uiPriority w:val="99"/>
    <w:rsid w:val="00E5318A"/>
    <w:rPr>
      <w:sz w:val="20"/>
      <w:szCs w:val="20"/>
    </w:rPr>
  </w:style>
  <w:style w:type="paragraph" w:styleId="CommentSubject">
    <w:name w:val="annotation subject"/>
    <w:basedOn w:val="CommentText"/>
    <w:next w:val="CommentText"/>
    <w:link w:val="CommentSubjectChar"/>
    <w:uiPriority w:val="99"/>
    <w:semiHidden/>
    <w:unhideWhenUsed/>
    <w:rsid w:val="00E5318A"/>
    <w:rPr>
      <w:b/>
      <w:bCs/>
    </w:rPr>
  </w:style>
  <w:style w:type="character" w:customStyle="1" w:styleId="CommentSubjectChar">
    <w:name w:val="Comment Subject Char"/>
    <w:basedOn w:val="CommentTextChar"/>
    <w:link w:val="CommentSubject"/>
    <w:uiPriority w:val="99"/>
    <w:semiHidden/>
    <w:rsid w:val="00E5318A"/>
    <w:rPr>
      <w:b/>
      <w:bCs/>
      <w:sz w:val="20"/>
      <w:szCs w:val="20"/>
    </w:rPr>
  </w:style>
  <w:style w:type="paragraph" w:styleId="Revision">
    <w:name w:val="Revision"/>
    <w:hidden/>
    <w:uiPriority w:val="99"/>
    <w:semiHidden/>
    <w:rsid w:val="00D424C4"/>
    <w:pPr>
      <w:spacing w:after="0" w:line="240" w:lineRule="auto"/>
    </w:pPr>
  </w:style>
  <w:style w:type="paragraph" w:styleId="Title">
    <w:name w:val="Title"/>
    <w:basedOn w:val="Normal"/>
    <w:next w:val="Normal"/>
    <w:link w:val="TitleChar"/>
    <w:uiPriority w:val="10"/>
    <w:qFormat/>
    <w:rsid w:val="00163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EF2"/>
    <w:rPr>
      <w:rFonts w:asciiTheme="majorHAnsi" w:eastAsiaTheme="majorEastAsia" w:hAnsiTheme="majorHAnsi" w:cstheme="majorBidi"/>
      <w:spacing w:val="-10"/>
      <w:kern w:val="28"/>
      <w:sz w:val="56"/>
      <w:szCs w:val="56"/>
    </w:rPr>
  </w:style>
  <w:style w:type="paragraph" w:styleId="NoSpacing">
    <w:name w:val="No Spacing"/>
    <w:uiPriority w:val="1"/>
    <w:qFormat/>
    <w:rsid w:val="00044187"/>
    <w:pPr>
      <w:spacing w:after="0" w:line="240" w:lineRule="auto"/>
    </w:pPr>
  </w:style>
  <w:style w:type="character" w:styleId="UnresolvedMention">
    <w:name w:val="Unresolved Mention"/>
    <w:basedOn w:val="DefaultParagraphFont"/>
    <w:uiPriority w:val="99"/>
    <w:semiHidden/>
    <w:unhideWhenUsed/>
    <w:rsid w:val="004D78E8"/>
    <w:rPr>
      <w:color w:val="605E5C"/>
      <w:shd w:val="clear" w:color="auto" w:fill="E1DFDD"/>
    </w:rPr>
  </w:style>
  <w:style w:type="paragraph" w:styleId="HTMLPreformatted">
    <w:name w:val="HTML Preformatted"/>
    <w:basedOn w:val="Normal"/>
    <w:link w:val="HTMLPreformattedChar"/>
    <w:uiPriority w:val="99"/>
    <w:semiHidden/>
    <w:unhideWhenUsed/>
    <w:rsid w:val="002B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B2DD6"/>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76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6828173">
      <w:bodyDiv w:val="1"/>
      <w:marLeft w:val="0"/>
      <w:marRight w:val="0"/>
      <w:marTop w:val="0"/>
      <w:marBottom w:val="0"/>
      <w:divBdr>
        <w:top w:val="none" w:sz="0" w:space="0" w:color="auto"/>
        <w:left w:val="none" w:sz="0" w:space="0" w:color="auto"/>
        <w:bottom w:val="none" w:sz="0" w:space="0" w:color="auto"/>
        <w:right w:val="none" w:sz="0" w:space="0" w:color="auto"/>
      </w:divBdr>
    </w:div>
    <w:div w:id="608004003">
      <w:bodyDiv w:val="1"/>
      <w:marLeft w:val="0"/>
      <w:marRight w:val="0"/>
      <w:marTop w:val="0"/>
      <w:marBottom w:val="0"/>
      <w:divBdr>
        <w:top w:val="none" w:sz="0" w:space="0" w:color="auto"/>
        <w:left w:val="none" w:sz="0" w:space="0" w:color="auto"/>
        <w:bottom w:val="none" w:sz="0" w:space="0" w:color="auto"/>
        <w:right w:val="none" w:sz="0" w:space="0" w:color="auto"/>
      </w:divBdr>
      <w:divsChild>
        <w:div w:id="1786346498">
          <w:marLeft w:val="0"/>
          <w:marRight w:val="0"/>
          <w:marTop w:val="480"/>
          <w:marBottom w:val="240"/>
          <w:divBdr>
            <w:top w:val="none" w:sz="0" w:space="0" w:color="auto"/>
            <w:left w:val="none" w:sz="0" w:space="0" w:color="auto"/>
            <w:bottom w:val="none" w:sz="0" w:space="0" w:color="auto"/>
            <w:right w:val="none" w:sz="0" w:space="0" w:color="auto"/>
          </w:divBdr>
        </w:div>
        <w:div w:id="1993872436">
          <w:marLeft w:val="0"/>
          <w:marRight w:val="0"/>
          <w:marTop w:val="0"/>
          <w:marBottom w:val="567"/>
          <w:divBdr>
            <w:top w:val="none" w:sz="0" w:space="0" w:color="auto"/>
            <w:left w:val="none" w:sz="0" w:space="0" w:color="auto"/>
            <w:bottom w:val="none" w:sz="0" w:space="0" w:color="auto"/>
            <w:right w:val="none" w:sz="0" w:space="0" w:color="auto"/>
          </w:divBdr>
        </w:div>
      </w:divsChild>
    </w:div>
    <w:div w:id="768307064">
      <w:bodyDiv w:val="1"/>
      <w:marLeft w:val="0"/>
      <w:marRight w:val="0"/>
      <w:marTop w:val="0"/>
      <w:marBottom w:val="0"/>
      <w:divBdr>
        <w:top w:val="none" w:sz="0" w:space="0" w:color="auto"/>
        <w:left w:val="none" w:sz="0" w:space="0" w:color="auto"/>
        <w:bottom w:val="none" w:sz="0" w:space="0" w:color="auto"/>
        <w:right w:val="none" w:sz="0" w:space="0" w:color="auto"/>
      </w:divBdr>
    </w:div>
    <w:div w:id="790128438">
      <w:bodyDiv w:val="1"/>
      <w:marLeft w:val="0"/>
      <w:marRight w:val="0"/>
      <w:marTop w:val="0"/>
      <w:marBottom w:val="0"/>
      <w:divBdr>
        <w:top w:val="none" w:sz="0" w:space="0" w:color="auto"/>
        <w:left w:val="none" w:sz="0" w:space="0" w:color="auto"/>
        <w:bottom w:val="none" w:sz="0" w:space="0" w:color="auto"/>
        <w:right w:val="none" w:sz="0" w:space="0" w:color="auto"/>
      </w:divBdr>
    </w:div>
    <w:div w:id="795877523">
      <w:bodyDiv w:val="1"/>
      <w:marLeft w:val="0"/>
      <w:marRight w:val="0"/>
      <w:marTop w:val="0"/>
      <w:marBottom w:val="0"/>
      <w:divBdr>
        <w:top w:val="none" w:sz="0" w:space="0" w:color="auto"/>
        <w:left w:val="none" w:sz="0" w:space="0" w:color="auto"/>
        <w:bottom w:val="none" w:sz="0" w:space="0" w:color="auto"/>
        <w:right w:val="none" w:sz="0" w:space="0" w:color="auto"/>
      </w:divBdr>
    </w:div>
    <w:div w:id="843283773">
      <w:bodyDiv w:val="1"/>
      <w:marLeft w:val="0"/>
      <w:marRight w:val="0"/>
      <w:marTop w:val="0"/>
      <w:marBottom w:val="0"/>
      <w:divBdr>
        <w:top w:val="none" w:sz="0" w:space="0" w:color="auto"/>
        <w:left w:val="none" w:sz="0" w:space="0" w:color="auto"/>
        <w:bottom w:val="none" w:sz="0" w:space="0" w:color="auto"/>
        <w:right w:val="none" w:sz="0" w:space="0" w:color="auto"/>
      </w:divBdr>
    </w:div>
    <w:div w:id="992567692">
      <w:bodyDiv w:val="1"/>
      <w:marLeft w:val="0"/>
      <w:marRight w:val="0"/>
      <w:marTop w:val="0"/>
      <w:marBottom w:val="0"/>
      <w:divBdr>
        <w:top w:val="none" w:sz="0" w:space="0" w:color="auto"/>
        <w:left w:val="none" w:sz="0" w:space="0" w:color="auto"/>
        <w:bottom w:val="none" w:sz="0" w:space="0" w:color="auto"/>
        <w:right w:val="none" w:sz="0" w:space="0" w:color="auto"/>
      </w:divBdr>
    </w:div>
    <w:div w:id="118347369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830411">
      <w:bodyDiv w:val="1"/>
      <w:marLeft w:val="0"/>
      <w:marRight w:val="0"/>
      <w:marTop w:val="0"/>
      <w:marBottom w:val="0"/>
      <w:divBdr>
        <w:top w:val="none" w:sz="0" w:space="0" w:color="auto"/>
        <w:left w:val="none" w:sz="0" w:space="0" w:color="auto"/>
        <w:bottom w:val="none" w:sz="0" w:space="0" w:color="auto"/>
        <w:right w:val="none" w:sz="0" w:space="0" w:color="auto"/>
      </w:divBdr>
      <w:divsChild>
        <w:div w:id="1960868194">
          <w:marLeft w:val="360"/>
          <w:marRight w:val="0"/>
          <w:marTop w:val="200"/>
          <w:marBottom w:val="0"/>
          <w:divBdr>
            <w:top w:val="none" w:sz="0" w:space="0" w:color="auto"/>
            <w:left w:val="none" w:sz="0" w:space="0" w:color="auto"/>
            <w:bottom w:val="none" w:sz="0" w:space="0" w:color="auto"/>
            <w:right w:val="none" w:sz="0" w:space="0" w:color="auto"/>
          </w:divBdr>
        </w:div>
      </w:divsChild>
    </w:div>
    <w:div w:id="1643803628">
      <w:bodyDiv w:val="1"/>
      <w:marLeft w:val="0"/>
      <w:marRight w:val="0"/>
      <w:marTop w:val="0"/>
      <w:marBottom w:val="0"/>
      <w:divBdr>
        <w:top w:val="none" w:sz="0" w:space="0" w:color="auto"/>
        <w:left w:val="none" w:sz="0" w:space="0" w:color="auto"/>
        <w:bottom w:val="none" w:sz="0" w:space="0" w:color="auto"/>
        <w:right w:val="none" w:sz="0" w:space="0" w:color="auto"/>
      </w:divBdr>
    </w:div>
    <w:div w:id="1771243806">
      <w:bodyDiv w:val="1"/>
      <w:marLeft w:val="0"/>
      <w:marRight w:val="0"/>
      <w:marTop w:val="0"/>
      <w:marBottom w:val="0"/>
      <w:divBdr>
        <w:top w:val="none" w:sz="0" w:space="0" w:color="auto"/>
        <w:left w:val="none" w:sz="0" w:space="0" w:color="auto"/>
        <w:bottom w:val="none" w:sz="0" w:space="0" w:color="auto"/>
        <w:right w:val="none" w:sz="0" w:space="0" w:color="auto"/>
      </w:divBdr>
    </w:div>
    <w:div w:id="1816335879">
      <w:bodyDiv w:val="1"/>
      <w:marLeft w:val="0"/>
      <w:marRight w:val="0"/>
      <w:marTop w:val="0"/>
      <w:marBottom w:val="0"/>
      <w:divBdr>
        <w:top w:val="none" w:sz="0" w:space="0" w:color="auto"/>
        <w:left w:val="none" w:sz="0" w:space="0" w:color="auto"/>
        <w:bottom w:val="none" w:sz="0" w:space="0" w:color="auto"/>
        <w:right w:val="none" w:sz="0" w:space="0" w:color="auto"/>
      </w:divBdr>
    </w:div>
    <w:div w:id="1821918023">
      <w:bodyDiv w:val="1"/>
      <w:marLeft w:val="0"/>
      <w:marRight w:val="0"/>
      <w:marTop w:val="0"/>
      <w:marBottom w:val="0"/>
      <w:divBdr>
        <w:top w:val="none" w:sz="0" w:space="0" w:color="auto"/>
        <w:left w:val="none" w:sz="0" w:space="0" w:color="auto"/>
        <w:bottom w:val="none" w:sz="0" w:space="0" w:color="auto"/>
        <w:right w:val="none" w:sz="0" w:space="0" w:color="auto"/>
      </w:divBdr>
    </w:div>
    <w:div w:id="1824002200">
      <w:bodyDiv w:val="1"/>
      <w:marLeft w:val="0"/>
      <w:marRight w:val="0"/>
      <w:marTop w:val="0"/>
      <w:marBottom w:val="0"/>
      <w:divBdr>
        <w:top w:val="none" w:sz="0" w:space="0" w:color="auto"/>
        <w:left w:val="none" w:sz="0" w:space="0" w:color="auto"/>
        <w:bottom w:val="none" w:sz="0" w:space="0" w:color="auto"/>
        <w:right w:val="none" w:sz="0" w:space="0" w:color="auto"/>
      </w:divBdr>
    </w:div>
    <w:div w:id="1961958458">
      <w:bodyDiv w:val="1"/>
      <w:marLeft w:val="0"/>
      <w:marRight w:val="0"/>
      <w:marTop w:val="0"/>
      <w:marBottom w:val="0"/>
      <w:divBdr>
        <w:top w:val="none" w:sz="0" w:space="0" w:color="auto"/>
        <w:left w:val="none" w:sz="0" w:space="0" w:color="auto"/>
        <w:bottom w:val="none" w:sz="0" w:space="0" w:color="auto"/>
        <w:right w:val="none" w:sz="0" w:space="0" w:color="auto"/>
      </w:divBdr>
    </w:div>
    <w:div w:id="2015181017">
      <w:bodyDiv w:val="1"/>
      <w:marLeft w:val="0"/>
      <w:marRight w:val="0"/>
      <w:marTop w:val="0"/>
      <w:marBottom w:val="0"/>
      <w:divBdr>
        <w:top w:val="none" w:sz="0" w:space="0" w:color="auto"/>
        <w:left w:val="none" w:sz="0" w:space="0" w:color="auto"/>
        <w:bottom w:val="none" w:sz="0" w:space="0" w:color="auto"/>
        <w:right w:val="none" w:sz="0" w:space="0" w:color="auto"/>
      </w:divBdr>
    </w:div>
    <w:div w:id="2039163444">
      <w:bodyDiv w:val="1"/>
      <w:marLeft w:val="0"/>
      <w:marRight w:val="0"/>
      <w:marTop w:val="0"/>
      <w:marBottom w:val="0"/>
      <w:divBdr>
        <w:top w:val="none" w:sz="0" w:space="0" w:color="auto"/>
        <w:left w:val="none" w:sz="0" w:space="0" w:color="auto"/>
        <w:bottom w:val="none" w:sz="0" w:space="0" w:color="auto"/>
        <w:right w:val="none" w:sz="0" w:space="0" w:color="auto"/>
      </w:divBdr>
    </w:div>
    <w:div w:id="2054496953">
      <w:bodyDiv w:val="1"/>
      <w:marLeft w:val="0"/>
      <w:marRight w:val="0"/>
      <w:marTop w:val="0"/>
      <w:marBottom w:val="0"/>
      <w:divBdr>
        <w:top w:val="none" w:sz="0" w:space="0" w:color="auto"/>
        <w:left w:val="none" w:sz="0" w:space="0" w:color="auto"/>
        <w:bottom w:val="none" w:sz="0" w:space="0" w:color="auto"/>
        <w:right w:val="none" w:sz="0" w:space="0" w:color="auto"/>
      </w:divBdr>
      <w:divsChild>
        <w:div w:id="19939424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va.gov.lv/lv/publikacijas-un-statistika/oficiala-statistika/zalu-paterina-statistika-gada-griezuma" TargetMode="External"/><Relationship Id="rId13" Type="http://schemas.openxmlformats.org/officeDocument/2006/relationships/hyperlink" Target="https://ec.europa.eu/health/sites/health/files/files/committee/ev_20180525_rd01_e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43127-farmacija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3127-farmacijas-likums" TargetMode="External"/><Relationship Id="rId5" Type="http://schemas.openxmlformats.org/officeDocument/2006/relationships/webSettings" Target="webSettings.xml"/><Relationship Id="rId15" Type="http://schemas.openxmlformats.org/officeDocument/2006/relationships/hyperlink" Target="mailto:inese.kaupere@vm.gov.lv" TargetMode="External"/><Relationship Id="rId10" Type="http://schemas.openxmlformats.org/officeDocument/2006/relationships/hyperlink" Target="http://eur-lex.europa.eu/eli/dir/2001/83/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2011/62/oj/?locale=LV" TargetMode="External"/><Relationship Id="rId14" Type="http://schemas.openxmlformats.org/officeDocument/2006/relationships/hyperlink" Target="http://www.vm.gov.lv/lv/aktualitates/sabiedribas_lidzdaliba/sabiedriska_apspr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95A3A-8DA4-46B8-8D49-53E3DC37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31501</Words>
  <Characters>17957</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Inguna Mača</cp:lastModifiedBy>
  <cp:revision>8</cp:revision>
  <dcterms:created xsi:type="dcterms:W3CDTF">2019-11-25T13:02:00Z</dcterms:created>
  <dcterms:modified xsi:type="dcterms:W3CDTF">2019-11-25T13:08:00Z</dcterms:modified>
</cp:coreProperties>
</file>