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EB03" w14:textId="77777777" w:rsidR="001D0C02" w:rsidRDefault="001D0C02" w:rsidP="004E2373">
      <w:pPr>
        <w:pStyle w:val="Parasts1"/>
        <w:rPr>
          <w:b/>
          <w:sz w:val="28"/>
          <w:szCs w:val="28"/>
        </w:rPr>
      </w:pPr>
    </w:p>
    <w:p w14:paraId="37D88C29" w14:textId="77777777" w:rsidR="002C4AB3" w:rsidRPr="001D0C02" w:rsidRDefault="002C4AB3" w:rsidP="004E2373">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14:paraId="6DD4DF19" w14:textId="77777777" w:rsidTr="00054DEB">
        <w:trPr>
          <w:tblCellSpacing w:w="0" w:type="dxa"/>
          <w:jc w:val="center"/>
        </w:trPr>
        <w:tc>
          <w:tcPr>
            <w:tcW w:w="10185" w:type="dxa"/>
            <w:tcBorders>
              <w:top w:val="nil"/>
              <w:left w:val="nil"/>
              <w:bottom w:val="single" w:sz="8" w:space="0" w:color="000000"/>
              <w:right w:val="nil"/>
            </w:tcBorders>
          </w:tcPr>
          <w:p w14:paraId="0985D1F8" w14:textId="77777777" w:rsidR="002C4AB3" w:rsidRPr="001D0C02" w:rsidRDefault="00EE42EC" w:rsidP="004E2373">
            <w:pPr>
              <w:pStyle w:val="Parasts1"/>
              <w:jc w:val="center"/>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2D7ED2">
              <w:t xml:space="preserve"> </w:t>
            </w:r>
            <w:r w:rsidR="002D7ED2" w:rsidRPr="002D7ED2">
              <w:rPr>
                <w:b/>
                <w:bCs/>
                <w:sz w:val="28"/>
                <w:szCs w:val="28"/>
              </w:rPr>
              <w:t>Valsts atbalsta programmas īstenošanas kārtība aizdevumiem apgrozāmo līdzekļu iegādei lauksaimniecības, mežsaimniecības, zvejniecības un akvakultūras nozarē</w:t>
            </w:r>
            <w:r w:rsidR="00A57A75" w:rsidRPr="00E145AD">
              <w:rPr>
                <w:b/>
                <w:sz w:val="28"/>
                <w:szCs w:val="28"/>
              </w:rPr>
              <w:t>”</w:t>
            </w:r>
          </w:p>
        </w:tc>
      </w:tr>
    </w:tbl>
    <w:p w14:paraId="1A7FB147" w14:textId="77777777" w:rsidR="002C4AB3" w:rsidRPr="001D0C02" w:rsidRDefault="002C4AB3" w:rsidP="002C4AB3">
      <w:pPr>
        <w:pStyle w:val="Parasts1"/>
        <w:jc w:val="center"/>
        <w:rPr>
          <w:b/>
          <w:sz w:val="28"/>
          <w:szCs w:val="28"/>
        </w:rPr>
      </w:pPr>
      <w:r w:rsidRPr="001D0C02">
        <w:rPr>
          <w:b/>
          <w:sz w:val="28"/>
          <w:szCs w:val="28"/>
        </w:rPr>
        <w:t>(dokumenta veids un nosaukums)</w:t>
      </w:r>
    </w:p>
    <w:p w14:paraId="2FC0B98D" w14:textId="77777777" w:rsidR="00E10B21" w:rsidRPr="00E11505" w:rsidRDefault="002C4AB3" w:rsidP="00E536CD">
      <w:pPr>
        <w:pStyle w:val="naislab"/>
        <w:jc w:val="both"/>
        <w:rPr>
          <w:b/>
          <w:sz w:val="28"/>
          <w:szCs w:val="28"/>
        </w:rPr>
      </w:pPr>
      <w:r w:rsidRPr="00E11505">
        <w:rPr>
          <w:b/>
          <w:sz w:val="28"/>
          <w:szCs w:val="28"/>
        </w:rPr>
        <w:t> </w:t>
      </w:r>
    </w:p>
    <w:p w14:paraId="0F9B1803" w14:textId="77777777"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14:paraId="48455962" w14:textId="77777777">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14:paraId="4BF4F0FF" w14:textId="77777777"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14:paraId="0ECE5289" w14:textId="77777777"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14:paraId="1C411AD4" w14:textId="77777777" w:rsidR="002C4AB3" w:rsidRDefault="002C4AB3" w:rsidP="002C4AB3">
            <w:pPr>
              <w:pStyle w:val="Parasts1"/>
              <w:jc w:val="both"/>
            </w:pPr>
            <w:r>
              <w:t>Atzinumā norādītais ministrijas (citas institūcijas) iebildums, kā arī saskaņošanā papildus izteiktais iebildums par projekta konkrēto punktu (pantu)</w:t>
            </w:r>
          </w:p>
          <w:p w14:paraId="08AEEE51" w14:textId="77777777" w:rsidR="004E2373" w:rsidRDefault="004E2373" w:rsidP="002C4AB3">
            <w:pPr>
              <w:pStyle w:val="Parasts1"/>
              <w:jc w:val="both"/>
            </w:pPr>
          </w:p>
        </w:tc>
        <w:tc>
          <w:tcPr>
            <w:tcW w:w="3014" w:type="dxa"/>
            <w:tcBorders>
              <w:top w:val="single" w:sz="6" w:space="0" w:color="808080"/>
              <w:left w:val="single" w:sz="6" w:space="0" w:color="808080"/>
              <w:bottom w:val="single" w:sz="6" w:space="0" w:color="808080"/>
              <w:right w:val="single" w:sz="6" w:space="0" w:color="808080"/>
            </w:tcBorders>
            <w:vAlign w:val="center"/>
          </w:tcPr>
          <w:p w14:paraId="39F94EDA" w14:textId="77777777"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14:paraId="2C52C83B" w14:textId="77777777"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14:paraId="7ED83A66" w14:textId="77777777" w:rsidR="002C4AB3" w:rsidRDefault="002C4AB3" w:rsidP="002C4AB3">
            <w:pPr>
              <w:pStyle w:val="Parasts1"/>
              <w:jc w:val="both"/>
            </w:pPr>
            <w:r>
              <w:t>Projekta attiecīgā punkta (panta) galīgā redakcija</w:t>
            </w:r>
          </w:p>
        </w:tc>
      </w:tr>
      <w:tr w:rsidR="002C4AB3" w14:paraId="036BA535" w14:textId="77777777">
        <w:trPr>
          <w:tblCellSpacing w:w="0" w:type="dxa"/>
        </w:trPr>
        <w:tc>
          <w:tcPr>
            <w:tcW w:w="716" w:type="dxa"/>
            <w:tcBorders>
              <w:top w:val="single" w:sz="6" w:space="0" w:color="808080"/>
              <w:left w:val="single" w:sz="6" w:space="0" w:color="808080"/>
              <w:bottom w:val="single" w:sz="6" w:space="0" w:color="808080"/>
              <w:right w:val="single" w:sz="6" w:space="0" w:color="808080"/>
            </w:tcBorders>
          </w:tcPr>
          <w:p w14:paraId="2782E809" w14:textId="77777777"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14:paraId="640C562B" w14:textId="77777777"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14:paraId="4852929A" w14:textId="77777777"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14:paraId="22CEF5C3" w14:textId="77777777"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14:paraId="78B70F2E" w14:textId="77777777"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14:paraId="21CE53A5" w14:textId="77777777" w:rsidR="002C4AB3" w:rsidRDefault="002C4AB3" w:rsidP="002C4AB3">
            <w:pPr>
              <w:pStyle w:val="Parasts1"/>
              <w:jc w:val="both"/>
            </w:pPr>
            <w:r>
              <w:t>6</w:t>
            </w:r>
          </w:p>
        </w:tc>
      </w:tr>
      <w:tr w:rsidR="002C4AB3" w14:paraId="5AC7AE08" w14:textId="77777777"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14:paraId="53AD8193" w14:textId="77777777"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14:paraId="4250BB65" w14:textId="77777777"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14:paraId="2E31E71C" w14:textId="77777777"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14:paraId="4B7BF9B5" w14:textId="77777777"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14:paraId="6E277B1A" w14:textId="77777777"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14:paraId="7BAA994A" w14:textId="77777777" w:rsidR="002C4AB3" w:rsidRDefault="00AD1EB9" w:rsidP="00AD1EB9">
            <w:pPr>
              <w:pStyle w:val="naislab"/>
              <w:jc w:val="center"/>
            </w:pPr>
            <w:r>
              <w:t>–</w:t>
            </w:r>
          </w:p>
        </w:tc>
      </w:tr>
    </w:tbl>
    <w:p w14:paraId="396C5661" w14:textId="77777777"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14:paraId="7D147D50" w14:textId="77777777" w:rsidTr="0011035C">
        <w:trPr>
          <w:tblCellSpacing w:w="0" w:type="dxa"/>
        </w:trPr>
        <w:tc>
          <w:tcPr>
            <w:tcW w:w="2826" w:type="dxa"/>
          </w:tcPr>
          <w:p w14:paraId="0C3A892E" w14:textId="77777777"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14:paraId="3CAD5731" w14:textId="77777777" w:rsidR="002C4AB3" w:rsidRDefault="00F26BA6" w:rsidP="00A767B5">
            <w:pPr>
              <w:pStyle w:val="naislab"/>
              <w:jc w:val="both"/>
            </w:pPr>
            <w:r>
              <w:t>Elektroniskā saskaņošana 26</w:t>
            </w:r>
            <w:r w:rsidR="00F17FC9">
              <w:t>.</w:t>
            </w:r>
            <w:r w:rsidR="008F7AE9">
              <w:t>0</w:t>
            </w:r>
            <w:r>
              <w:t>9</w:t>
            </w:r>
            <w:r w:rsidR="00F17FC9">
              <w:t>.201</w:t>
            </w:r>
            <w:r w:rsidR="008F7AE9">
              <w:t>9</w:t>
            </w:r>
            <w:r w:rsidR="00F17FC9">
              <w:t>.</w:t>
            </w:r>
          </w:p>
          <w:p w14:paraId="60F6D674" w14:textId="77777777" w:rsidR="00F26BA6" w:rsidRDefault="00F26BA6" w:rsidP="00A767B5">
            <w:pPr>
              <w:pStyle w:val="naislab"/>
              <w:jc w:val="both"/>
            </w:pPr>
            <w:r>
              <w:t>Atkārtota elektroniskā saskaņošana 18.10.2019.</w:t>
            </w:r>
          </w:p>
          <w:p w14:paraId="788E104E" w14:textId="77777777" w:rsidR="00E525CD" w:rsidRDefault="00E525CD" w:rsidP="00A767B5">
            <w:pPr>
              <w:pStyle w:val="naislab"/>
              <w:jc w:val="both"/>
            </w:pPr>
            <w:r w:rsidRPr="00E525CD">
              <w:t xml:space="preserve">Atkārtota elektroniskā saskaņošana </w:t>
            </w:r>
            <w:r>
              <w:t>29</w:t>
            </w:r>
            <w:r w:rsidRPr="00E525CD">
              <w:t>.10.2019.</w:t>
            </w:r>
          </w:p>
        </w:tc>
      </w:tr>
      <w:tr w:rsidR="002C4AB3" w14:paraId="154B0263" w14:textId="77777777" w:rsidTr="0011035C">
        <w:trPr>
          <w:tblCellSpacing w:w="0" w:type="dxa"/>
        </w:trPr>
        <w:tc>
          <w:tcPr>
            <w:tcW w:w="2826" w:type="dxa"/>
            <w:vAlign w:val="center"/>
          </w:tcPr>
          <w:p w14:paraId="1618655E" w14:textId="77777777" w:rsidR="002C4AB3" w:rsidRDefault="002C4AB3" w:rsidP="002C4AB3">
            <w:pPr>
              <w:pStyle w:val="Kjene"/>
              <w:jc w:val="both"/>
            </w:pPr>
            <w:r>
              <w:t>Saskaņošanas dalībnieki</w:t>
            </w:r>
          </w:p>
        </w:tc>
        <w:tc>
          <w:tcPr>
            <w:tcW w:w="9789" w:type="dxa"/>
            <w:vAlign w:val="center"/>
          </w:tcPr>
          <w:p w14:paraId="40F59201" w14:textId="77777777" w:rsidR="005379C7" w:rsidRDefault="00534801" w:rsidP="00227859">
            <w:pPr>
              <w:pStyle w:val="Parasts1"/>
              <w:rPr>
                <w:sz w:val="20"/>
                <w:szCs w:val="20"/>
              </w:rPr>
            </w:pPr>
            <w:r>
              <w:rPr>
                <w:sz w:val="20"/>
                <w:szCs w:val="20"/>
              </w:rPr>
              <w:t xml:space="preserve">E. </w:t>
            </w:r>
            <w:proofErr w:type="spellStart"/>
            <w:r>
              <w:rPr>
                <w:sz w:val="20"/>
                <w:szCs w:val="20"/>
              </w:rPr>
              <w:t>Mihejeva</w:t>
            </w:r>
            <w:proofErr w:type="spellEnd"/>
            <w:r>
              <w:rPr>
                <w:sz w:val="20"/>
                <w:szCs w:val="20"/>
              </w:rPr>
              <w:t xml:space="preserve">, Z. Liede, I. </w:t>
            </w:r>
            <w:proofErr w:type="spellStart"/>
            <w:r>
              <w:rPr>
                <w:sz w:val="20"/>
                <w:szCs w:val="20"/>
              </w:rPr>
              <w:t>Bobrovska</w:t>
            </w:r>
            <w:proofErr w:type="spellEnd"/>
            <w:r>
              <w:rPr>
                <w:sz w:val="20"/>
                <w:szCs w:val="20"/>
              </w:rPr>
              <w:t xml:space="preserve"> un G. Puķītis </w:t>
            </w:r>
            <w:r w:rsidR="005379C7">
              <w:rPr>
                <w:sz w:val="20"/>
                <w:szCs w:val="20"/>
              </w:rPr>
              <w:t>Finanšu ministrija</w:t>
            </w:r>
          </w:p>
          <w:p w14:paraId="27EEF573" w14:textId="77777777" w:rsidR="005379C7" w:rsidRPr="00227859" w:rsidRDefault="002A09C8" w:rsidP="00FD3A2F">
            <w:pPr>
              <w:pStyle w:val="Parasts1"/>
              <w:rPr>
                <w:sz w:val="20"/>
                <w:szCs w:val="20"/>
              </w:rPr>
            </w:pPr>
            <w:r>
              <w:rPr>
                <w:sz w:val="20"/>
                <w:szCs w:val="20"/>
              </w:rPr>
              <w:t>A. Reinfelde</w:t>
            </w:r>
            <w:r w:rsidR="00BF205D">
              <w:rPr>
                <w:sz w:val="20"/>
                <w:szCs w:val="20"/>
              </w:rPr>
              <w:t xml:space="preserve"> </w:t>
            </w:r>
            <w:r w:rsidR="00377BA3">
              <w:rPr>
                <w:sz w:val="20"/>
                <w:szCs w:val="20"/>
              </w:rPr>
              <w:t>Tieslietu ministrija</w:t>
            </w:r>
          </w:p>
        </w:tc>
      </w:tr>
      <w:tr w:rsidR="001F2B65" w14:paraId="7C0D8603" w14:textId="77777777" w:rsidTr="0011035C">
        <w:trPr>
          <w:tblCellSpacing w:w="0" w:type="dxa"/>
        </w:trPr>
        <w:tc>
          <w:tcPr>
            <w:tcW w:w="2826" w:type="dxa"/>
            <w:vAlign w:val="center"/>
          </w:tcPr>
          <w:p w14:paraId="79A75FFC" w14:textId="77777777"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14:paraId="251A4674" w14:textId="77777777" w:rsidR="001F2B65" w:rsidRDefault="001F2B65" w:rsidP="002C4AB3">
            <w:pPr>
              <w:pStyle w:val="Kjene"/>
              <w:jc w:val="both"/>
            </w:pPr>
          </w:p>
        </w:tc>
      </w:tr>
      <w:tr w:rsidR="001F2B65" w14:paraId="484BC694" w14:textId="77777777" w:rsidTr="0066517E">
        <w:trPr>
          <w:tblCellSpacing w:w="0" w:type="dxa"/>
        </w:trPr>
        <w:tc>
          <w:tcPr>
            <w:tcW w:w="12615" w:type="dxa"/>
            <w:gridSpan w:val="2"/>
            <w:vAlign w:val="center"/>
          </w:tcPr>
          <w:p w14:paraId="2DDB11EF" w14:textId="77777777" w:rsidR="001F2B65" w:rsidRPr="001F2B65" w:rsidRDefault="001F2B65" w:rsidP="001F2B65">
            <w:pPr>
              <w:pStyle w:val="Kjene"/>
              <w:ind w:firstLine="2835"/>
              <w:jc w:val="both"/>
              <w:rPr>
                <w:u w:val="single"/>
              </w:rPr>
            </w:pPr>
          </w:p>
        </w:tc>
      </w:tr>
    </w:tbl>
    <w:p w14:paraId="1E0E03EB" w14:textId="77777777"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14:paraId="426BDEB8" w14:textId="77777777" w:rsidTr="002068C5">
        <w:trPr>
          <w:trHeight w:val="241"/>
          <w:tblCellSpacing w:w="0" w:type="dxa"/>
        </w:trPr>
        <w:tc>
          <w:tcPr>
            <w:tcW w:w="7527" w:type="dxa"/>
          </w:tcPr>
          <w:p w14:paraId="1AB91448" w14:textId="77777777" w:rsidR="002C4AB3" w:rsidRDefault="002C4AB3" w:rsidP="002C4AB3">
            <w:pPr>
              <w:pStyle w:val="Kjene"/>
              <w:jc w:val="both"/>
            </w:pPr>
            <w:r>
              <w:t>Saskaņošanas dalībnieki izskatīja šādu ministriju (citu institūciju) iebildumus</w:t>
            </w:r>
          </w:p>
        </w:tc>
        <w:tc>
          <w:tcPr>
            <w:tcW w:w="4809" w:type="dxa"/>
          </w:tcPr>
          <w:p w14:paraId="494BD3B1" w14:textId="77777777" w:rsidR="00377BA3" w:rsidRDefault="002C4AB3" w:rsidP="00C31D2A">
            <w:pPr>
              <w:pStyle w:val="Kjene"/>
              <w:jc w:val="both"/>
            </w:pPr>
            <w:r>
              <w:t> </w:t>
            </w:r>
            <w:r w:rsidR="00377BA3">
              <w:t>Tieslietu ministrija</w:t>
            </w:r>
            <w:r w:rsidR="009B6CFF">
              <w:t>, Finanšu ministrija</w:t>
            </w:r>
          </w:p>
        </w:tc>
        <w:tc>
          <w:tcPr>
            <w:tcW w:w="1013" w:type="dxa"/>
          </w:tcPr>
          <w:p w14:paraId="7D04F65A" w14:textId="77777777" w:rsidR="002C4AB3" w:rsidRDefault="002C4AB3" w:rsidP="002C4AB3">
            <w:pPr>
              <w:pStyle w:val="Kjene"/>
              <w:jc w:val="both"/>
            </w:pPr>
            <w:r>
              <w:t> </w:t>
            </w:r>
          </w:p>
        </w:tc>
      </w:tr>
      <w:tr w:rsidR="002C4AB3" w14:paraId="1D9F0038" w14:textId="77777777" w:rsidTr="002068C5">
        <w:trPr>
          <w:trHeight w:val="373"/>
          <w:tblCellSpacing w:w="0" w:type="dxa"/>
        </w:trPr>
        <w:tc>
          <w:tcPr>
            <w:tcW w:w="7527" w:type="dxa"/>
          </w:tcPr>
          <w:p w14:paraId="3F4C14C8" w14:textId="77777777"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14:paraId="64C6119F" w14:textId="77777777" w:rsidR="002C4AB3" w:rsidRDefault="002C4AB3" w:rsidP="00AD1EB9">
            <w:pPr>
              <w:pStyle w:val="naislab"/>
              <w:jc w:val="both"/>
            </w:pPr>
          </w:p>
        </w:tc>
      </w:tr>
      <w:tr w:rsidR="002C4AB3" w14:paraId="37EB86E7" w14:textId="77777777" w:rsidTr="002068C5">
        <w:trPr>
          <w:trHeight w:val="241"/>
          <w:tblCellSpacing w:w="0" w:type="dxa"/>
        </w:trPr>
        <w:tc>
          <w:tcPr>
            <w:tcW w:w="13349" w:type="dxa"/>
            <w:gridSpan w:val="3"/>
            <w:vAlign w:val="center"/>
          </w:tcPr>
          <w:p w14:paraId="77D816B1" w14:textId="77777777" w:rsidR="002C4AB3" w:rsidRDefault="002C4AB3" w:rsidP="002C4AB3">
            <w:pPr>
              <w:pStyle w:val="Parasts1"/>
              <w:jc w:val="both"/>
            </w:pPr>
            <w:r>
              <w:t> </w:t>
            </w:r>
          </w:p>
        </w:tc>
      </w:tr>
      <w:tr w:rsidR="002C4AB3" w14:paraId="076F0A81" w14:textId="77777777" w:rsidTr="002068C5">
        <w:trPr>
          <w:trHeight w:val="493"/>
          <w:tblCellSpacing w:w="0" w:type="dxa"/>
        </w:trPr>
        <w:tc>
          <w:tcPr>
            <w:tcW w:w="7527" w:type="dxa"/>
            <w:vAlign w:val="center"/>
          </w:tcPr>
          <w:p w14:paraId="61A31678" w14:textId="77777777" w:rsidR="002C4AB3" w:rsidRDefault="002C4AB3" w:rsidP="002C4AB3">
            <w:pPr>
              <w:pStyle w:val="Kjene"/>
              <w:jc w:val="both"/>
            </w:pPr>
            <w:r>
              <w:lastRenderedPageBreak/>
              <w:t>Ministrijas (citas institūcijas), kuras nav ieradušās uz sanāksmi vai kuras nav atbildējušas uz uzaicinājumu piedalīties elektroniskajā saskaņošanā</w:t>
            </w:r>
          </w:p>
        </w:tc>
        <w:tc>
          <w:tcPr>
            <w:tcW w:w="5822" w:type="dxa"/>
            <w:gridSpan w:val="2"/>
            <w:vAlign w:val="center"/>
          </w:tcPr>
          <w:p w14:paraId="48A1EF88" w14:textId="77777777" w:rsidR="002C4AB3" w:rsidRDefault="002C4AB3" w:rsidP="002C4AB3">
            <w:pPr>
              <w:pStyle w:val="Kjene"/>
              <w:jc w:val="both"/>
            </w:pPr>
            <w:r>
              <w:t> </w:t>
            </w:r>
            <w:r w:rsidR="0069412A">
              <w:t>–</w:t>
            </w:r>
          </w:p>
        </w:tc>
      </w:tr>
      <w:tr w:rsidR="002C4AB3" w14:paraId="4B7F10B1" w14:textId="77777777" w:rsidTr="002068C5">
        <w:trPr>
          <w:trHeight w:val="241"/>
          <w:tblCellSpacing w:w="0" w:type="dxa"/>
        </w:trPr>
        <w:tc>
          <w:tcPr>
            <w:tcW w:w="7527" w:type="dxa"/>
            <w:vAlign w:val="center"/>
          </w:tcPr>
          <w:p w14:paraId="49F29F06" w14:textId="77777777"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14:paraId="7BCB90CD" w14:textId="77777777" w:rsidR="002C4AB3" w:rsidRDefault="002C4AB3" w:rsidP="002C4AB3">
            <w:pPr>
              <w:pStyle w:val="Kjene"/>
              <w:jc w:val="both"/>
            </w:pPr>
            <w:r>
              <w:t> </w:t>
            </w:r>
          </w:p>
        </w:tc>
      </w:tr>
    </w:tbl>
    <w:p w14:paraId="64B038D4" w14:textId="77777777" w:rsidR="00E10B21" w:rsidRDefault="00E10B21" w:rsidP="002C4AB3">
      <w:pPr>
        <w:pStyle w:val="Parasts1"/>
        <w:jc w:val="both"/>
        <w:rPr>
          <w:b/>
        </w:rPr>
      </w:pPr>
    </w:p>
    <w:p w14:paraId="578117BF" w14:textId="77777777" w:rsidR="002C4AB3" w:rsidRPr="00E536CD" w:rsidRDefault="002C4AB3" w:rsidP="002C4AB3">
      <w:pPr>
        <w:pStyle w:val="Parasts1"/>
        <w:jc w:val="both"/>
        <w:rPr>
          <w:b/>
        </w:rPr>
      </w:pPr>
      <w:r w:rsidRPr="00E536CD">
        <w:rPr>
          <w:b/>
        </w:rPr>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
        <w:gridCol w:w="426"/>
        <w:gridCol w:w="2693"/>
        <w:gridCol w:w="709"/>
        <w:gridCol w:w="4252"/>
        <w:gridCol w:w="370"/>
        <w:gridCol w:w="1473"/>
        <w:gridCol w:w="4379"/>
      </w:tblGrid>
      <w:tr w:rsidR="00615F31" w14:paraId="0C138B9E" w14:textId="77777777" w:rsidTr="005B7E71">
        <w:trPr>
          <w:tblCellSpacing w:w="0" w:type="dxa"/>
        </w:trPr>
        <w:tc>
          <w:tcPr>
            <w:tcW w:w="441" w:type="dxa"/>
            <w:gridSpan w:val="2"/>
            <w:vAlign w:val="center"/>
          </w:tcPr>
          <w:p w14:paraId="0E78E876" w14:textId="77777777" w:rsidR="002C4AB3" w:rsidRDefault="002C4AB3" w:rsidP="002C4AB3">
            <w:pPr>
              <w:pStyle w:val="Parasts1"/>
              <w:jc w:val="both"/>
            </w:pPr>
            <w:r>
              <w:t> Nr. p.k.</w:t>
            </w:r>
          </w:p>
        </w:tc>
        <w:tc>
          <w:tcPr>
            <w:tcW w:w="3402" w:type="dxa"/>
            <w:gridSpan w:val="2"/>
            <w:vAlign w:val="center"/>
          </w:tcPr>
          <w:p w14:paraId="4F7AA3D3" w14:textId="77777777" w:rsidR="002C4AB3" w:rsidRPr="00E3343C" w:rsidRDefault="002C4AB3" w:rsidP="002C4AB3">
            <w:pPr>
              <w:pStyle w:val="Parasts1"/>
              <w:jc w:val="both"/>
            </w:pPr>
            <w:r w:rsidRPr="00E3343C">
              <w:t>Saskaņošanai nosūtītā projekta redakcija (konkrēta punkta (panta) redakcija)</w:t>
            </w:r>
          </w:p>
        </w:tc>
        <w:tc>
          <w:tcPr>
            <w:tcW w:w="4252" w:type="dxa"/>
            <w:vAlign w:val="center"/>
          </w:tcPr>
          <w:p w14:paraId="2EEBAEE5" w14:textId="77777777"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1843" w:type="dxa"/>
            <w:gridSpan w:val="2"/>
            <w:vAlign w:val="center"/>
          </w:tcPr>
          <w:p w14:paraId="22A1477B" w14:textId="77777777" w:rsidR="004E2373" w:rsidRDefault="002C4AB3" w:rsidP="002C4AB3">
            <w:pPr>
              <w:pStyle w:val="Parasts1"/>
              <w:jc w:val="both"/>
            </w:pPr>
            <w:r>
              <w:t>Atbildīgās ministrijas norāde par to, ka iebildums ir ņemts vērā, vai informācija par saskaņošanā panākto alternatīvo risinājumu</w:t>
            </w:r>
          </w:p>
          <w:p w14:paraId="20400DAE" w14:textId="77777777" w:rsidR="004E2373" w:rsidRDefault="004E2373" w:rsidP="002C4AB3">
            <w:pPr>
              <w:pStyle w:val="Parasts1"/>
              <w:jc w:val="both"/>
            </w:pPr>
          </w:p>
        </w:tc>
        <w:tc>
          <w:tcPr>
            <w:tcW w:w="4379" w:type="dxa"/>
            <w:vAlign w:val="center"/>
          </w:tcPr>
          <w:p w14:paraId="54599770" w14:textId="77777777" w:rsidR="002C4AB3" w:rsidRDefault="002C4AB3" w:rsidP="002C4AB3">
            <w:pPr>
              <w:pStyle w:val="Parasts1"/>
              <w:jc w:val="both"/>
            </w:pPr>
            <w:r>
              <w:t>Projekta attiecīgā punkta (panta) galīgā redakcija</w:t>
            </w:r>
          </w:p>
        </w:tc>
      </w:tr>
      <w:tr w:rsidR="00615F31" w14:paraId="5E182E78" w14:textId="77777777" w:rsidTr="005B7E71">
        <w:trPr>
          <w:tblCellSpacing w:w="0" w:type="dxa"/>
        </w:trPr>
        <w:tc>
          <w:tcPr>
            <w:tcW w:w="441" w:type="dxa"/>
            <w:gridSpan w:val="2"/>
          </w:tcPr>
          <w:p w14:paraId="64DFDD66" w14:textId="77777777" w:rsidR="002C4AB3" w:rsidRDefault="002C4AB3" w:rsidP="002C4AB3">
            <w:pPr>
              <w:pStyle w:val="Parasts1"/>
              <w:jc w:val="center"/>
            </w:pPr>
            <w:r>
              <w:t>1</w:t>
            </w:r>
          </w:p>
        </w:tc>
        <w:tc>
          <w:tcPr>
            <w:tcW w:w="3402" w:type="dxa"/>
            <w:gridSpan w:val="2"/>
          </w:tcPr>
          <w:p w14:paraId="7B3D8A50" w14:textId="77777777" w:rsidR="002C4AB3" w:rsidRPr="00E3343C" w:rsidRDefault="002C4AB3" w:rsidP="002C4AB3">
            <w:pPr>
              <w:pStyle w:val="Parasts1"/>
              <w:jc w:val="center"/>
            </w:pPr>
            <w:r w:rsidRPr="00E3343C">
              <w:t>2</w:t>
            </w:r>
          </w:p>
        </w:tc>
        <w:tc>
          <w:tcPr>
            <w:tcW w:w="4252" w:type="dxa"/>
          </w:tcPr>
          <w:p w14:paraId="02F00D5C" w14:textId="77777777" w:rsidR="002C4AB3" w:rsidRDefault="002C4AB3" w:rsidP="002C4AB3">
            <w:pPr>
              <w:pStyle w:val="Parasts1"/>
              <w:jc w:val="center"/>
            </w:pPr>
            <w:r>
              <w:t>3</w:t>
            </w:r>
          </w:p>
        </w:tc>
        <w:tc>
          <w:tcPr>
            <w:tcW w:w="1843" w:type="dxa"/>
            <w:gridSpan w:val="2"/>
          </w:tcPr>
          <w:p w14:paraId="4E3D4449" w14:textId="77777777" w:rsidR="002C4AB3" w:rsidRDefault="002C4AB3" w:rsidP="002C4AB3">
            <w:pPr>
              <w:pStyle w:val="Parasts1"/>
              <w:jc w:val="center"/>
            </w:pPr>
            <w:r>
              <w:t>4</w:t>
            </w:r>
          </w:p>
        </w:tc>
        <w:tc>
          <w:tcPr>
            <w:tcW w:w="4379" w:type="dxa"/>
          </w:tcPr>
          <w:p w14:paraId="1F717167" w14:textId="77777777" w:rsidR="002C4AB3" w:rsidRDefault="002C4AB3" w:rsidP="002C4AB3">
            <w:pPr>
              <w:pStyle w:val="Parasts1"/>
              <w:jc w:val="center"/>
            </w:pPr>
            <w:r>
              <w:t>5</w:t>
            </w:r>
          </w:p>
        </w:tc>
      </w:tr>
      <w:tr w:rsidR="00615F31" w14:paraId="3E8882AD" w14:textId="77777777" w:rsidTr="005B7E71">
        <w:trPr>
          <w:trHeight w:val="275"/>
          <w:tblCellSpacing w:w="0" w:type="dxa"/>
        </w:trPr>
        <w:tc>
          <w:tcPr>
            <w:tcW w:w="441" w:type="dxa"/>
            <w:gridSpan w:val="2"/>
          </w:tcPr>
          <w:p w14:paraId="60BB9852" w14:textId="77777777" w:rsidR="00831EFD" w:rsidRDefault="00831EFD" w:rsidP="002C4AB3">
            <w:pPr>
              <w:pStyle w:val="Parasts1"/>
              <w:jc w:val="center"/>
            </w:pPr>
          </w:p>
        </w:tc>
        <w:tc>
          <w:tcPr>
            <w:tcW w:w="3402" w:type="dxa"/>
            <w:gridSpan w:val="2"/>
          </w:tcPr>
          <w:p w14:paraId="17CF5CC1" w14:textId="77777777" w:rsidR="00831EFD" w:rsidRPr="00E3343C" w:rsidRDefault="00831EFD" w:rsidP="005036BE">
            <w:pPr>
              <w:pStyle w:val="Parasts1"/>
              <w:jc w:val="both"/>
            </w:pPr>
          </w:p>
        </w:tc>
        <w:tc>
          <w:tcPr>
            <w:tcW w:w="4252" w:type="dxa"/>
          </w:tcPr>
          <w:p w14:paraId="09261F39" w14:textId="77777777" w:rsidR="004E2373" w:rsidRPr="00AD1268" w:rsidRDefault="00FA7268" w:rsidP="00DD5969">
            <w:pPr>
              <w:pStyle w:val="Parasts1"/>
              <w:jc w:val="both"/>
              <w:rPr>
                <w:b/>
              </w:rPr>
            </w:pPr>
            <w:r>
              <w:rPr>
                <w:b/>
              </w:rPr>
              <w:t>Finanšu</w:t>
            </w:r>
            <w:r w:rsidR="00367715">
              <w:rPr>
                <w:b/>
              </w:rPr>
              <w:t xml:space="preserve"> ministrija</w:t>
            </w:r>
            <w:r w:rsidR="004923E3" w:rsidRPr="004923E3">
              <w:rPr>
                <w:b/>
              </w:rPr>
              <w:t xml:space="preserve"> (26.09.2019.)</w:t>
            </w:r>
          </w:p>
        </w:tc>
        <w:tc>
          <w:tcPr>
            <w:tcW w:w="1843" w:type="dxa"/>
            <w:gridSpan w:val="2"/>
          </w:tcPr>
          <w:p w14:paraId="16888FA6" w14:textId="77777777" w:rsidR="00831EFD" w:rsidRDefault="00831EFD" w:rsidP="002C4AB3">
            <w:pPr>
              <w:pStyle w:val="Parasts1"/>
              <w:jc w:val="center"/>
            </w:pPr>
          </w:p>
        </w:tc>
        <w:tc>
          <w:tcPr>
            <w:tcW w:w="4379" w:type="dxa"/>
          </w:tcPr>
          <w:p w14:paraId="0FFB80CA" w14:textId="77777777" w:rsidR="00831EFD" w:rsidRDefault="00831EFD" w:rsidP="00931E24">
            <w:pPr>
              <w:pStyle w:val="Parasts1"/>
              <w:jc w:val="both"/>
            </w:pPr>
          </w:p>
        </w:tc>
      </w:tr>
      <w:tr w:rsidR="00534801" w14:paraId="43D851F7" w14:textId="77777777" w:rsidTr="005B7E71">
        <w:trPr>
          <w:tblCellSpacing w:w="0" w:type="dxa"/>
        </w:trPr>
        <w:tc>
          <w:tcPr>
            <w:tcW w:w="441" w:type="dxa"/>
            <w:gridSpan w:val="2"/>
          </w:tcPr>
          <w:p w14:paraId="1609F0A8" w14:textId="77777777" w:rsidR="00534801" w:rsidRDefault="002D7ED2" w:rsidP="002C4AB3">
            <w:pPr>
              <w:pStyle w:val="Parasts1"/>
              <w:jc w:val="center"/>
            </w:pPr>
            <w:r>
              <w:t>1.</w:t>
            </w:r>
          </w:p>
        </w:tc>
        <w:tc>
          <w:tcPr>
            <w:tcW w:w="3402" w:type="dxa"/>
            <w:gridSpan w:val="2"/>
          </w:tcPr>
          <w:p w14:paraId="16620D4A" w14:textId="77777777" w:rsidR="009828B3" w:rsidRPr="009828B3" w:rsidRDefault="009828B3" w:rsidP="009828B3">
            <w:pPr>
              <w:jc w:val="both"/>
              <w:rPr>
                <w:sz w:val="24"/>
                <w:szCs w:val="24"/>
                <w:lang w:eastAsia="en-US"/>
              </w:rPr>
            </w:pPr>
            <w:r>
              <w:rPr>
                <w:sz w:val="24"/>
                <w:szCs w:val="24"/>
                <w:lang w:eastAsia="en-US"/>
              </w:rPr>
              <w:t>8</w:t>
            </w:r>
            <w:r w:rsidRPr="009828B3">
              <w:rPr>
                <w:sz w:val="24"/>
                <w:szCs w:val="24"/>
                <w:lang w:eastAsia="en-US"/>
              </w:rPr>
              <w:t>. Aizdevumu nepiešķir:</w:t>
            </w:r>
          </w:p>
          <w:p w14:paraId="4AA48276" w14:textId="77777777" w:rsidR="009828B3" w:rsidRPr="009828B3" w:rsidRDefault="009828B3" w:rsidP="009828B3">
            <w:pPr>
              <w:jc w:val="both"/>
              <w:rPr>
                <w:sz w:val="24"/>
                <w:szCs w:val="24"/>
                <w:lang w:eastAsia="en-US"/>
              </w:rPr>
            </w:pPr>
            <w:r w:rsidRPr="009828B3">
              <w:rPr>
                <w:sz w:val="24"/>
                <w:szCs w:val="24"/>
                <w:lang w:eastAsia="en-US"/>
              </w:rPr>
              <w:t>8.1. pretendentam, kam aizdevuma piešķiršanas brīdī saskaņā ar Valsts ieņēmumu dienesta publiskojamo datubāzes informāciju ir nodokļu parāds, izņemot gadījumā, ja nodokļu parāda samaksas termiņš ir pagarināts un nodokļu parāda saistības tiek pildītas;</w:t>
            </w:r>
          </w:p>
          <w:p w14:paraId="242DB3A6" w14:textId="77777777" w:rsidR="009828B3" w:rsidRPr="009828B3" w:rsidRDefault="009828B3" w:rsidP="009828B3">
            <w:pPr>
              <w:jc w:val="both"/>
              <w:rPr>
                <w:sz w:val="24"/>
                <w:szCs w:val="24"/>
                <w:lang w:eastAsia="en-US"/>
              </w:rPr>
            </w:pPr>
            <w:r w:rsidRPr="009828B3">
              <w:rPr>
                <w:sz w:val="24"/>
                <w:szCs w:val="24"/>
                <w:lang w:eastAsia="en-US"/>
              </w:rPr>
              <w:t xml:space="preserve">8.2. saimnieciskās darbības veicējam par darbībām, kas noteiktas Komisijas regulas Nr. 1408/2013 1. panta 1. punktā un </w:t>
            </w:r>
            <w:r w:rsidRPr="009828B3">
              <w:rPr>
                <w:sz w:val="24"/>
                <w:szCs w:val="24"/>
                <w:lang w:eastAsia="en-US"/>
              </w:rPr>
              <w:lastRenderedPageBreak/>
              <w:t>Komisijas regulas Nr. 717/2014 1. panta 1. punktā;</w:t>
            </w:r>
          </w:p>
          <w:p w14:paraId="0851A56D" w14:textId="77777777" w:rsidR="009828B3" w:rsidRPr="009828B3" w:rsidRDefault="009828B3" w:rsidP="009828B3">
            <w:pPr>
              <w:jc w:val="both"/>
              <w:rPr>
                <w:sz w:val="24"/>
                <w:szCs w:val="24"/>
                <w:lang w:eastAsia="en-US"/>
              </w:rPr>
            </w:pPr>
            <w:r w:rsidRPr="009828B3">
              <w:rPr>
                <w:sz w:val="24"/>
                <w:szCs w:val="24"/>
                <w:lang w:eastAsia="en-US"/>
              </w:rPr>
              <w:t>8.3. atbilstīgai kooperatīvajai sabiedrībai, augļu un dārzeņu ražotāju organizācijai par nozarēm un darbībām, kas noteiktas Komisijas regulas Nr. 1407/2013 1. panta 1. punktā;</w:t>
            </w:r>
          </w:p>
          <w:p w14:paraId="3F43E9F7" w14:textId="77777777" w:rsidR="009828B3" w:rsidRPr="009828B3" w:rsidRDefault="009828B3" w:rsidP="009828B3">
            <w:pPr>
              <w:jc w:val="both"/>
              <w:rPr>
                <w:sz w:val="24"/>
                <w:szCs w:val="24"/>
                <w:lang w:eastAsia="en-US"/>
              </w:rPr>
            </w:pPr>
            <w:r w:rsidRPr="009828B3">
              <w:rPr>
                <w:sz w:val="24"/>
                <w:szCs w:val="24"/>
                <w:lang w:eastAsia="en-US"/>
              </w:rPr>
              <w:t>8.4. pretendentam, kurš ir uzskatāms par lielo uzņēmumu atbilstoši Komisijas 2014. gada 17. jūnija regulas Nr. 651/2014, ar ko noteiktas atbalsta kategorijas atzīst par saderīgām ar iekšējo tirgu, piemērojot Līguma 107. un 108. pantu, I pielikumā ietvertajai definīcijai un kura kredītreitings ir zemāks par “B–“;</w:t>
            </w:r>
          </w:p>
          <w:p w14:paraId="2B737861" w14:textId="77777777" w:rsidR="00534801" w:rsidRDefault="009828B3" w:rsidP="009828B3">
            <w:pPr>
              <w:jc w:val="both"/>
              <w:rPr>
                <w:sz w:val="24"/>
                <w:szCs w:val="24"/>
                <w:lang w:eastAsia="en-US"/>
              </w:rPr>
            </w:pPr>
            <w:r w:rsidRPr="009828B3">
              <w:rPr>
                <w:sz w:val="24"/>
                <w:szCs w:val="24"/>
                <w:lang w:eastAsia="en-US"/>
              </w:rPr>
              <w:t xml:space="preserve">8.5. pretendentam, kuram ar tiesas spriedumu ir pasludināts maksātnespējas process vai tiek īstenots tiesiskās aizsardzības process, ar tiesas lēmumu tiek īstenots ārpustiesas tiesiskās aizsardzības process, uzsākta bankrota procedūra, piemērota sanācija vai mierizlīgums vai kura saimnieciskā darbība ir izbeigta, vai kurš atbilst normatīvajos aktos maksātnespējas jomā noteiktajiem kritērijiem, uz kuriem pamatojoties </w:t>
            </w:r>
            <w:r w:rsidRPr="009828B3">
              <w:rPr>
                <w:sz w:val="24"/>
                <w:szCs w:val="24"/>
                <w:lang w:eastAsia="en-US"/>
              </w:rPr>
              <w:lastRenderedPageBreak/>
              <w:t>kreditors var pieprasīt maksātnespējas procedūru.</w:t>
            </w:r>
          </w:p>
          <w:p w14:paraId="07DDFE4E" w14:textId="77777777" w:rsidR="009828B3" w:rsidRDefault="009828B3" w:rsidP="009828B3">
            <w:pPr>
              <w:jc w:val="both"/>
              <w:rPr>
                <w:sz w:val="24"/>
                <w:szCs w:val="24"/>
                <w:lang w:eastAsia="en-US"/>
              </w:rPr>
            </w:pPr>
          </w:p>
          <w:p w14:paraId="6A719A60" w14:textId="77777777" w:rsidR="009828B3" w:rsidRPr="00DC09A7" w:rsidRDefault="009828B3" w:rsidP="009828B3">
            <w:pPr>
              <w:jc w:val="both"/>
              <w:rPr>
                <w:sz w:val="24"/>
                <w:szCs w:val="24"/>
                <w:lang w:eastAsia="en-US"/>
              </w:rPr>
            </w:pPr>
          </w:p>
        </w:tc>
        <w:tc>
          <w:tcPr>
            <w:tcW w:w="4252" w:type="dxa"/>
          </w:tcPr>
          <w:p w14:paraId="233C3CE1" w14:textId="77777777" w:rsidR="00534801" w:rsidRDefault="00534801" w:rsidP="00BF205D">
            <w:pPr>
              <w:pStyle w:val="Paraststmeklis"/>
              <w:ind w:right="11"/>
              <w:jc w:val="both"/>
            </w:pPr>
            <w:r w:rsidRPr="00534801">
              <w:lastRenderedPageBreak/>
              <w:t xml:space="preserve">Ievērojot to, ka noteikumu projekta ietvaros komercdarbības atbalsts tiek sniegts saskaņā ar Komisijas 2013. gada 18. decembra Regulu Nr. 1408/2013 par Līguma par Eiropas Savienības darbību 107. un 108. panta piemērošanu </w:t>
            </w:r>
            <w:proofErr w:type="spellStart"/>
            <w:r w:rsidRPr="009828B3">
              <w:rPr>
                <w:i/>
              </w:rPr>
              <w:t>de</w:t>
            </w:r>
            <w:proofErr w:type="spellEnd"/>
            <w:r w:rsidRPr="009828B3">
              <w:rPr>
                <w:i/>
              </w:rPr>
              <w:t xml:space="preserve"> </w:t>
            </w:r>
            <w:proofErr w:type="spellStart"/>
            <w:r w:rsidRPr="009828B3">
              <w:rPr>
                <w:i/>
              </w:rPr>
              <w:t>minimis</w:t>
            </w:r>
            <w:proofErr w:type="spellEnd"/>
            <w:r w:rsidRPr="00534801">
              <w:t xml:space="preserve"> atbalstam lauksaimniecības nozarē (turpmāk – Komisijas regula Nr. 1408/2013), Komisijas 2014. gada 27. jūnija Regulu (EK) Nr. 717/2014 par Līguma par Eiropas Savienības darbību 107. un 108. panta piemērošanu </w:t>
            </w:r>
            <w:proofErr w:type="spellStart"/>
            <w:r w:rsidRPr="009828B3">
              <w:rPr>
                <w:i/>
              </w:rPr>
              <w:t>de</w:t>
            </w:r>
            <w:proofErr w:type="spellEnd"/>
            <w:r w:rsidRPr="009828B3">
              <w:rPr>
                <w:i/>
              </w:rPr>
              <w:t xml:space="preserve"> </w:t>
            </w:r>
            <w:proofErr w:type="spellStart"/>
            <w:r w:rsidRPr="009828B3">
              <w:rPr>
                <w:i/>
              </w:rPr>
              <w:t>minimis</w:t>
            </w:r>
            <w:proofErr w:type="spellEnd"/>
            <w:r w:rsidRPr="00534801">
              <w:t xml:space="preserve"> atbalstam zvejniecības un akvakultūras nozarē (turpmāk – Komisijas regula Nr. 717/2014) </w:t>
            </w:r>
            <w:r w:rsidRPr="00534801">
              <w:lastRenderedPageBreak/>
              <w:t xml:space="preserve">un Komisijas 2013. gada 18. decembra Regulu Nr. 1407/2013 par Līguma par Eiropas Savienības darbību 107. un 108. panta piemērošanu </w:t>
            </w:r>
            <w:proofErr w:type="spellStart"/>
            <w:r w:rsidRPr="009828B3">
              <w:rPr>
                <w:i/>
              </w:rPr>
              <w:t>de</w:t>
            </w:r>
            <w:proofErr w:type="spellEnd"/>
            <w:r w:rsidRPr="009828B3">
              <w:rPr>
                <w:i/>
              </w:rPr>
              <w:t xml:space="preserve"> </w:t>
            </w:r>
            <w:proofErr w:type="spellStart"/>
            <w:r w:rsidRPr="009828B3">
              <w:rPr>
                <w:i/>
              </w:rPr>
              <w:t>minimis</w:t>
            </w:r>
            <w:proofErr w:type="spellEnd"/>
            <w:r w:rsidRPr="00534801">
              <w:t xml:space="preserve"> atbalstam (turpmāk – Komisijas regula Nr. 1407/2013), kuras paredz atšķirīgu piemērošanas jomu un atbalsta apjoma ierobežojumus, lūdzam precizēt noteikumu projektu, jo īpaši tā 8.,9.,14.punktus, ņemot vērā, ka noteiktie darbību un nozaru ierobežojumi tiek piemēroti atkarībā no piemērojamā komercdarbības atbalsta kontroles regulējuma konkrētajā gadījumā. Vienlaikus vēršam uzmanību, ka noteikumu projektā tiek lietoti dažādi termini komercdarbības atbalsta saņēmēja apzīmēšanai – atbalsta pretendents, pretendents, saimnieciskās darbības veicējs, atbilstīga kooperatīvā sabiedrība utt., kas potenciāli rada neskaidrību tiesību akta lietotājiem.</w:t>
            </w:r>
          </w:p>
        </w:tc>
        <w:tc>
          <w:tcPr>
            <w:tcW w:w="1843" w:type="dxa"/>
            <w:gridSpan w:val="2"/>
          </w:tcPr>
          <w:p w14:paraId="58F83BB5" w14:textId="77777777" w:rsidR="00534801" w:rsidRPr="00DD5969" w:rsidRDefault="00DD5969" w:rsidP="004B1391">
            <w:pPr>
              <w:pStyle w:val="Parasts1"/>
              <w:jc w:val="both"/>
            </w:pPr>
            <w:r>
              <w:rPr>
                <w:b/>
              </w:rPr>
              <w:lastRenderedPageBreak/>
              <w:t>Ņemts vērā</w:t>
            </w:r>
            <w:r w:rsidR="00F4129D">
              <w:rPr>
                <w:b/>
              </w:rPr>
              <w:t>.</w:t>
            </w:r>
          </w:p>
        </w:tc>
        <w:tc>
          <w:tcPr>
            <w:tcW w:w="4379" w:type="dxa"/>
          </w:tcPr>
          <w:p w14:paraId="461782E5" w14:textId="77777777" w:rsidR="009828B3" w:rsidRDefault="009828B3" w:rsidP="00BA0DEA">
            <w:pPr>
              <w:pStyle w:val="Parasts1"/>
              <w:jc w:val="both"/>
              <w:rPr>
                <w:lang w:eastAsia="en-US"/>
              </w:rPr>
            </w:pPr>
            <w:r>
              <w:rPr>
                <w:lang w:eastAsia="en-US"/>
              </w:rPr>
              <w:t>9. Aizdevumu nepiešķir:</w:t>
            </w:r>
          </w:p>
          <w:p w14:paraId="0F055380" w14:textId="40B71F44" w:rsidR="009828B3" w:rsidRDefault="009828B3" w:rsidP="00BA0DEA">
            <w:pPr>
              <w:pStyle w:val="Parasts1"/>
              <w:jc w:val="both"/>
              <w:rPr>
                <w:lang w:eastAsia="en-US"/>
              </w:rPr>
            </w:pPr>
            <w:r>
              <w:rPr>
                <w:lang w:eastAsia="en-US"/>
              </w:rPr>
              <w:t xml:space="preserve">9.1. atbalsta pretendentam, kam aizdevuma piešķiršanas brīdī saskaņā ar Valsts ieņēmumu dienesta publiskojamo datubāzes informāciju ir nodokļu parāds, izņemot gadījumā, </w:t>
            </w:r>
            <w:r w:rsidR="00C05503" w:rsidRPr="00C9281C">
              <w:rPr>
                <w:lang w:eastAsia="en-US"/>
              </w:rPr>
              <w:t xml:space="preserve">ja </w:t>
            </w:r>
            <w:r w:rsidR="00C05503">
              <w:rPr>
                <w:lang w:eastAsia="en-US"/>
              </w:rPr>
              <w:t xml:space="preserve">vien </w:t>
            </w:r>
            <w:r w:rsidR="00C05503" w:rsidRPr="00C9281C">
              <w:rPr>
                <w:lang w:eastAsia="en-US"/>
              </w:rPr>
              <w:t xml:space="preserve">nodokļu parāda samaksas termiņš </w:t>
            </w:r>
            <w:r w:rsidR="00C05503">
              <w:rPr>
                <w:lang w:eastAsia="en-US"/>
              </w:rPr>
              <w:t>nav</w:t>
            </w:r>
            <w:r w:rsidR="00C05503" w:rsidRPr="00C9281C">
              <w:rPr>
                <w:lang w:eastAsia="en-US"/>
              </w:rPr>
              <w:t xml:space="preserve"> pagarināts un nodokļu parāda saistības </w:t>
            </w:r>
            <w:r w:rsidR="00C05503">
              <w:rPr>
                <w:lang w:eastAsia="en-US"/>
              </w:rPr>
              <w:t>ne</w:t>
            </w:r>
            <w:r w:rsidR="00C05503" w:rsidRPr="00C9281C">
              <w:rPr>
                <w:lang w:eastAsia="en-US"/>
              </w:rPr>
              <w:t>tiek pildītas;</w:t>
            </w:r>
          </w:p>
          <w:p w14:paraId="5A6113D7" w14:textId="77777777" w:rsidR="009828B3" w:rsidRDefault="009828B3" w:rsidP="00BA0DEA">
            <w:pPr>
              <w:pStyle w:val="Parasts1"/>
              <w:jc w:val="both"/>
              <w:rPr>
                <w:lang w:eastAsia="en-US"/>
              </w:rPr>
            </w:pPr>
            <w:r>
              <w:rPr>
                <w:lang w:eastAsia="en-US"/>
              </w:rPr>
              <w:t xml:space="preserve">9.2. primārās lauksaimniecības produkcijas ražotājam par darbībām, kas noteiktas Komisijas regulas Nr. 1408/2013 1. panta 1. punktā; </w:t>
            </w:r>
          </w:p>
          <w:p w14:paraId="5942FDBD" w14:textId="77777777" w:rsidR="009828B3" w:rsidRDefault="009828B3" w:rsidP="00BA0DEA">
            <w:pPr>
              <w:pStyle w:val="Parasts1"/>
              <w:jc w:val="both"/>
              <w:rPr>
                <w:lang w:eastAsia="en-US"/>
              </w:rPr>
            </w:pPr>
            <w:r>
              <w:rPr>
                <w:lang w:eastAsia="en-US"/>
              </w:rPr>
              <w:t>9.3. zvejniecības vai akvakultūras produkcijas ražotājam un apstrādātāj</w:t>
            </w:r>
            <w:r w:rsidR="00C05503">
              <w:rPr>
                <w:lang w:eastAsia="en-US"/>
              </w:rPr>
              <w:t>a</w:t>
            </w:r>
            <w:r>
              <w:rPr>
                <w:lang w:eastAsia="en-US"/>
              </w:rPr>
              <w:t xml:space="preserve">m par </w:t>
            </w:r>
            <w:r>
              <w:rPr>
                <w:lang w:eastAsia="en-US"/>
              </w:rPr>
              <w:lastRenderedPageBreak/>
              <w:t>darbībām, kas noteiktas Komisijas regulas Nr. 717/2014 1. panta 1. punktā;</w:t>
            </w:r>
          </w:p>
          <w:p w14:paraId="7A0D254E" w14:textId="77777777" w:rsidR="009828B3" w:rsidRDefault="009828B3" w:rsidP="00BA0DEA">
            <w:pPr>
              <w:pStyle w:val="Parasts1"/>
              <w:jc w:val="both"/>
              <w:rPr>
                <w:lang w:eastAsia="en-US"/>
              </w:rPr>
            </w:pPr>
            <w:r>
              <w:rPr>
                <w:lang w:eastAsia="en-US"/>
              </w:rPr>
              <w:t>9.4. atbilstīgai kooperatīvajai sabiedrībai, augļu un dārzeņu ražotāju organizācijai par nozarēm un darbībām, kas noteiktas Komisijas regulas Nr. 1407/2013 1. panta 1. punktā “a” un “b” minētajās nozarēs un “c”, “d” un “e” apakšpunktā minētajām darbībām;</w:t>
            </w:r>
          </w:p>
          <w:p w14:paraId="655D25E2" w14:textId="77777777" w:rsidR="009828B3" w:rsidRDefault="009828B3" w:rsidP="00BA0DEA">
            <w:pPr>
              <w:pStyle w:val="Parasts1"/>
              <w:jc w:val="both"/>
              <w:rPr>
                <w:lang w:eastAsia="en-US"/>
              </w:rPr>
            </w:pPr>
            <w:r>
              <w:rPr>
                <w:lang w:eastAsia="en-US"/>
              </w:rPr>
              <w:t>9.5. atbalsta pretendentam, kurš ir uzskatāms par lielo uzņēmumu atbilstoši Komisijas 2014. gada 17. jūnija regulas Nr. 651/2014, ar ko noteiktas atbalsta kategorijas atzīst par saderīgām ar iekšējo tirgu, piemērojot Līguma 107. un 108. pantu, I pielikumā ietvertajai definīcijai un kura kredītreitings ir zemāks par “B–“;</w:t>
            </w:r>
          </w:p>
          <w:p w14:paraId="41833561" w14:textId="77777777" w:rsidR="00534801" w:rsidRDefault="009828B3" w:rsidP="00BA0DEA">
            <w:pPr>
              <w:pStyle w:val="Parasts1"/>
              <w:jc w:val="both"/>
              <w:rPr>
                <w:lang w:eastAsia="en-US"/>
              </w:rPr>
            </w:pPr>
            <w:r>
              <w:rPr>
                <w:lang w:eastAsia="en-US"/>
              </w:rPr>
              <w:t>9.6. atbalsta pretendentam, kuram ar tiesas spriedumu ir pasludināts maksātnespējas process vai tiek īstenots tiesiskās aizsardzības process, ar tiesas lēmumu tiek īstenots ārpustiesas tiesiskās aizsardzības process, uzsākta bankrota procedūra, piemērota sanācija vai mierizlīgums vai kura saimnieciskā darbība ir izbeigta, vai kurš atbilst normatīvajos aktos maksātnespējas jomā noteiktajiem kritērijiem, uz kuriem pamatojoties kreditors var pieprasīt maksātnespējas procedūru.</w:t>
            </w:r>
          </w:p>
          <w:p w14:paraId="61A3A1C1" w14:textId="77777777" w:rsidR="009828B3" w:rsidRDefault="009828B3" w:rsidP="00BA0DEA">
            <w:pPr>
              <w:pStyle w:val="Parasts1"/>
              <w:jc w:val="both"/>
              <w:rPr>
                <w:lang w:eastAsia="en-US"/>
              </w:rPr>
            </w:pPr>
          </w:p>
          <w:p w14:paraId="5D8148F2" w14:textId="77777777" w:rsidR="009828B3" w:rsidRPr="003B0D44" w:rsidRDefault="009828B3" w:rsidP="00BA0DEA">
            <w:pPr>
              <w:pStyle w:val="Parasts1"/>
              <w:jc w:val="both"/>
              <w:rPr>
                <w:lang w:eastAsia="en-US"/>
              </w:rPr>
            </w:pPr>
          </w:p>
        </w:tc>
      </w:tr>
      <w:tr w:rsidR="00534801" w14:paraId="6C1A0158" w14:textId="77777777" w:rsidTr="005B7E71">
        <w:trPr>
          <w:tblCellSpacing w:w="0" w:type="dxa"/>
        </w:trPr>
        <w:tc>
          <w:tcPr>
            <w:tcW w:w="441" w:type="dxa"/>
            <w:gridSpan w:val="2"/>
          </w:tcPr>
          <w:p w14:paraId="5CCD59B4" w14:textId="77777777" w:rsidR="00534801" w:rsidRDefault="002D7ED2" w:rsidP="002C4AB3">
            <w:pPr>
              <w:pStyle w:val="Parasts1"/>
              <w:jc w:val="center"/>
            </w:pPr>
            <w:r>
              <w:lastRenderedPageBreak/>
              <w:t>2.</w:t>
            </w:r>
          </w:p>
        </w:tc>
        <w:tc>
          <w:tcPr>
            <w:tcW w:w="3402" w:type="dxa"/>
            <w:gridSpan w:val="2"/>
          </w:tcPr>
          <w:p w14:paraId="4CF73A96" w14:textId="77777777" w:rsidR="00534801" w:rsidRPr="00DC09A7" w:rsidRDefault="009828B3" w:rsidP="00DC09A7">
            <w:pPr>
              <w:jc w:val="both"/>
              <w:rPr>
                <w:sz w:val="24"/>
                <w:szCs w:val="24"/>
                <w:lang w:eastAsia="en-US"/>
              </w:rPr>
            </w:pPr>
            <w:r w:rsidRPr="009828B3">
              <w:rPr>
                <w:sz w:val="24"/>
                <w:szCs w:val="24"/>
                <w:lang w:eastAsia="en-US"/>
              </w:rPr>
              <w:t>Noteikumi par aizdevumu programmu apgrozāmo līdzekļu iegādei lauksaimniecības, mežsaimniecības, zvejniecības un akvakultūras nozarē</w:t>
            </w:r>
          </w:p>
        </w:tc>
        <w:tc>
          <w:tcPr>
            <w:tcW w:w="4252" w:type="dxa"/>
          </w:tcPr>
          <w:p w14:paraId="438F716C" w14:textId="77777777" w:rsidR="00534801" w:rsidRDefault="00534801" w:rsidP="00BF205D">
            <w:pPr>
              <w:pStyle w:val="Paraststmeklis"/>
              <w:ind w:right="11"/>
              <w:jc w:val="both"/>
            </w:pPr>
            <w:r w:rsidRPr="00534801">
              <w:t>Lūdzam precizēt gan noteikumu projekta nosaukumu, gan attiecīgi noteikumu projekta punktu redakcijas, ņemot vērā, ka 2019.gada 13.augusta Ministru kabineta noteikumu Nr.362 “Kārtība, kādā ministrijas un citas centrālās valsts iestādes iekļauj gadskārtējā valsts budžeta likumprojektā valsts aizdevumu pieprasījumus, un valsts aizdevumu izsniegšanas un apkalpošanas kārtība” 54. punkts nosaka kārtību, kādā tiek izsniegts valsts aizdevums, ja Ministru kabinets ir apstiprinājis valsts atbalsta programmu, nosakot valsts atbalsta sniedzēju un valsts aizdevuma izsniegšanas nosacījumus, tai skaitā lēmis par paredzamo nodrošinājumu, riska procentu likmi un valsts aizdevuma atmaksas termiņu. Noteikumu projektā nav skaidri definēts, ka plānotā aizdevumu programma ir valsts atbalsta programma, kas potenciāli rada neskaidrību tiesību akta lietotājiem.</w:t>
            </w:r>
          </w:p>
        </w:tc>
        <w:tc>
          <w:tcPr>
            <w:tcW w:w="1843" w:type="dxa"/>
            <w:gridSpan w:val="2"/>
          </w:tcPr>
          <w:p w14:paraId="70FF0968" w14:textId="77777777" w:rsidR="00534801" w:rsidRPr="00367715" w:rsidRDefault="00DD5969" w:rsidP="004B1391">
            <w:pPr>
              <w:pStyle w:val="Parasts1"/>
              <w:jc w:val="both"/>
              <w:rPr>
                <w:b/>
              </w:rPr>
            </w:pPr>
            <w:r w:rsidRPr="00DD5969">
              <w:rPr>
                <w:b/>
              </w:rPr>
              <w:t>Ņemts vērā</w:t>
            </w:r>
            <w:r w:rsidR="00C05503">
              <w:rPr>
                <w:b/>
              </w:rPr>
              <w:t>.</w:t>
            </w:r>
          </w:p>
        </w:tc>
        <w:tc>
          <w:tcPr>
            <w:tcW w:w="4379" w:type="dxa"/>
          </w:tcPr>
          <w:p w14:paraId="0318DE6F" w14:textId="77777777" w:rsidR="00534801" w:rsidRPr="003B0D44" w:rsidRDefault="009828B3" w:rsidP="00BA0DEA">
            <w:pPr>
              <w:pStyle w:val="Parasts1"/>
              <w:jc w:val="both"/>
              <w:rPr>
                <w:lang w:eastAsia="en-US"/>
              </w:rPr>
            </w:pPr>
            <w:r w:rsidRPr="009828B3">
              <w:rPr>
                <w:lang w:eastAsia="en-US"/>
              </w:rPr>
              <w:t>Valsts atbalsta programmas īstenošanas kārtība aizdevumiem apgrozāmo līdzekļu iegādei lauksaimniecības, mežsaimniecības, zvejniecības un akvakultūras nozarē</w:t>
            </w:r>
          </w:p>
        </w:tc>
      </w:tr>
      <w:tr w:rsidR="00534801" w14:paraId="11F6D859" w14:textId="77777777" w:rsidTr="005B7E71">
        <w:trPr>
          <w:tblCellSpacing w:w="0" w:type="dxa"/>
        </w:trPr>
        <w:tc>
          <w:tcPr>
            <w:tcW w:w="441" w:type="dxa"/>
            <w:gridSpan w:val="2"/>
          </w:tcPr>
          <w:p w14:paraId="3CB26F94" w14:textId="77777777" w:rsidR="00534801" w:rsidRDefault="002D7ED2" w:rsidP="002C4AB3">
            <w:pPr>
              <w:pStyle w:val="Parasts1"/>
              <w:jc w:val="center"/>
            </w:pPr>
            <w:r>
              <w:t>3.</w:t>
            </w:r>
          </w:p>
        </w:tc>
        <w:tc>
          <w:tcPr>
            <w:tcW w:w="3402" w:type="dxa"/>
            <w:gridSpan w:val="2"/>
          </w:tcPr>
          <w:p w14:paraId="246F4CD2" w14:textId="77777777" w:rsidR="00534801" w:rsidRPr="00DC09A7" w:rsidRDefault="00D466A4" w:rsidP="00DC09A7">
            <w:pPr>
              <w:jc w:val="both"/>
              <w:rPr>
                <w:sz w:val="24"/>
                <w:szCs w:val="24"/>
                <w:lang w:eastAsia="en-US"/>
              </w:rPr>
            </w:pPr>
            <w:r w:rsidRPr="00D466A4">
              <w:rPr>
                <w:sz w:val="24"/>
                <w:szCs w:val="24"/>
                <w:lang w:eastAsia="en-US"/>
              </w:rPr>
              <w:t xml:space="preserve">4. Sabiedrība </w:t>
            </w:r>
            <w:proofErr w:type="spellStart"/>
            <w:r w:rsidRPr="00D466A4">
              <w:rPr>
                <w:sz w:val="24"/>
                <w:szCs w:val="24"/>
                <w:lang w:eastAsia="en-US"/>
              </w:rPr>
              <w:t>Altum</w:t>
            </w:r>
            <w:proofErr w:type="spellEnd"/>
            <w:r w:rsidRPr="00D466A4">
              <w:rPr>
                <w:sz w:val="24"/>
                <w:szCs w:val="24"/>
                <w:lang w:eastAsia="en-US"/>
              </w:rPr>
              <w:t xml:space="preserve"> aizdevumu finansēšanai piesaista valsts aizdevumu kredītlīnijas veidā saskaņā ar normatīvajiem aktiem par kārtību, kādā ministrijas un citas centrālās valsts iestādes </w:t>
            </w:r>
            <w:r w:rsidRPr="00D466A4">
              <w:rPr>
                <w:sz w:val="24"/>
                <w:szCs w:val="24"/>
                <w:lang w:eastAsia="en-US"/>
              </w:rPr>
              <w:lastRenderedPageBreak/>
              <w:t>iekļauj gadskārtējā valsts budžeta likumprojektā valsts aizdevumu pieprasījumus, un valsts aizdevumu izsniegšanas un apkalpošanas kārtību vai aizdevumu no Eiropas Savienības vai citām finanšu institūcijām. Finanšu ministrs valsts aizdevumam nepiemēro normatīvajos aktos noteikto aizdevumu riska procentu likmi, un valsts aizdevums tiek izsniegts kredītlīnijas veidā bez nodrošinājuma.</w:t>
            </w:r>
          </w:p>
        </w:tc>
        <w:tc>
          <w:tcPr>
            <w:tcW w:w="4252" w:type="dxa"/>
          </w:tcPr>
          <w:p w14:paraId="5CE2D5C6" w14:textId="77777777" w:rsidR="00534801" w:rsidRDefault="00534801" w:rsidP="00BF205D">
            <w:pPr>
              <w:pStyle w:val="Paraststmeklis"/>
              <w:ind w:right="11"/>
              <w:jc w:val="both"/>
            </w:pPr>
            <w:r w:rsidRPr="00534801">
              <w:lastRenderedPageBreak/>
              <w:t xml:space="preserve">Lūdzam sniegt skaidrojumu, uz kādiem kritērijiem, principiem ir pieņemts lēmums valsts aizdevumam nesniegt valsts aizdevuma nodrošinājumu un nepiemērot riska likmi, jo tas būtiski samazina potenciālos zaudējumus, ja valsts </w:t>
            </w:r>
            <w:r w:rsidRPr="00534801">
              <w:lastRenderedPageBreak/>
              <w:t>aizdevuma saņēmējs nespēs segt uzņemtās saistības.</w:t>
            </w:r>
          </w:p>
        </w:tc>
        <w:tc>
          <w:tcPr>
            <w:tcW w:w="1843" w:type="dxa"/>
            <w:gridSpan w:val="2"/>
          </w:tcPr>
          <w:p w14:paraId="053003B2" w14:textId="77777777" w:rsidR="00534801" w:rsidRPr="00367715" w:rsidRDefault="00DD5969" w:rsidP="004B1391">
            <w:pPr>
              <w:pStyle w:val="Parasts1"/>
              <w:jc w:val="both"/>
              <w:rPr>
                <w:b/>
              </w:rPr>
            </w:pPr>
            <w:r w:rsidRPr="00DD5969">
              <w:rPr>
                <w:b/>
              </w:rPr>
              <w:lastRenderedPageBreak/>
              <w:t>Ņemts vērā</w:t>
            </w:r>
            <w:r w:rsidR="00C05503">
              <w:rPr>
                <w:b/>
              </w:rPr>
              <w:t>.</w:t>
            </w:r>
          </w:p>
        </w:tc>
        <w:tc>
          <w:tcPr>
            <w:tcW w:w="4379" w:type="dxa"/>
          </w:tcPr>
          <w:p w14:paraId="1E0A7352" w14:textId="77777777" w:rsidR="00534801" w:rsidRPr="003B0D44" w:rsidRDefault="00D466A4" w:rsidP="00BA0DEA">
            <w:pPr>
              <w:pStyle w:val="Parasts1"/>
              <w:jc w:val="both"/>
              <w:rPr>
                <w:lang w:eastAsia="en-US"/>
              </w:rPr>
            </w:pPr>
            <w:r w:rsidRPr="00D466A4">
              <w:rPr>
                <w:lang w:eastAsia="en-US"/>
              </w:rPr>
              <w:t xml:space="preserve">4. Sabiedrība </w:t>
            </w:r>
            <w:proofErr w:type="spellStart"/>
            <w:r w:rsidRPr="00D466A4">
              <w:rPr>
                <w:lang w:eastAsia="en-US"/>
              </w:rPr>
              <w:t>Altum</w:t>
            </w:r>
            <w:proofErr w:type="spellEnd"/>
            <w:r w:rsidRPr="00D466A4">
              <w:rPr>
                <w:lang w:eastAsia="en-US"/>
              </w:rPr>
              <w:t xml:space="preserve"> aizdevumu finansēšanai piesaista valsts aizdevumu kredītlīnijas veidā saskaņā ar normatīvajiem aktiem par kārtību, kādā ministrijas un citas centrālās valsts iestādes iekļauj gadskārtējā valsts budžeta likumprojektā valsts aizdevumu </w:t>
            </w:r>
            <w:r w:rsidRPr="00D466A4">
              <w:rPr>
                <w:lang w:eastAsia="en-US"/>
              </w:rPr>
              <w:lastRenderedPageBreak/>
              <w:t>pieprasījumus, un valsts aizdevumu izsniegšanas un apkalpošanas kārtību vai aizdevumu no Eiropas Savienības vai citām finanšu institūcijām. Finanšu ministrs valsts aizdevumam nepiemēro normatīvajos aktos par kārtību, kādā ministrijas un citas centrālās valsts iestādes iekļauj gadskārtējā valsts budžeta likumprojektā valsts aizdevumu pieprasījumus, un valsts aizdevumu izsniegšanas un apkalpošanas kārtību vai aizdevumu no Eiropas Savienības vai citām finanšu institūcijām noteikto aizdevumu riska procentu likmi.</w:t>
            </w:r>
          </w:p>
        </w:tc>
      </w:tr>
      <w:tr w:rsidR="00534801" w14:paraId="14284A61" w14:textId="77777777" w:rsidTr="005B7E71">
        <w:trPr>
          <w:tblCellSpacing w:w="0" w:type="dxa"/>
        </w:trPr>
        <w:tc>
          <w:tcPr>
            <w:tcW w:w="441" w:type="dxa"/>
            <w:gridSpan w:val="2"/>
          </w:tcPr>
          <w:p w14:paraId="45D693B7" w14:textId="77777777" w:rsidR="00534801" w:rsidRDefault="002D7ED2" w:rsidP="002C4AB3">
            <w:pPr>
              <w:pStyle w:val="Parasts1"/>
              <w:jc w:val="center"/>
            </w:pPr>
            <w:r>
              <w:lastRenderedPageBreak/>
              <w:t>4.</w:t>
            </w:r>
          </w:p>
        </w:tc>
        <w:tc>
          <w:tcPr>
            <w:tcW w:w="3402" w:type="dxa"/>
            <w:gridSpan w:val="2"/>
          </w:tcPr>
          <w:p w14:paraId="53EDB4F6" w14:textId="77777777" w:rsidR="00534801" w:rsidRPr="00DC09A7" w:rsidRDefault="000533FC" w:rsidP="00DC09A7">
            <w:pPr>
              <w:jc w:val="both"/>
              <w:rPr>
                <w:sz w:val="24"/>
                <w:szCs w:val="24"/>
                <w:lang w:eastAsia="en-US"/>
              </w:rPr>
            </w:pPr>
            <w:r w:rsidRPr="000533FC">
              <w:rPr>
                <w:sz w:val="24"/>
                <w:szCs w:val="24"/>
                <w:lang w:eastAsia="en-US"/>
              </w:rPr>
              <w:t xml:space="preserve">15. Pretendentam saskaņā ar šiem noteikumiem piešķirto </w:t>
            </w:r>
            <w:proofErr w:type="spellStart"/>
            <w:r w:rsidRPr="000533FC">
              <w:rPr>
                <w:i/>
                <w:sz w:val="24"/>
                <w:szCs w:val="24"/>
                <w:lang w:eastAsia="en-US"/>
              </w:rPr>
              <w:t>de</w:t>
            </w:r>
            <w:proofErr w:type="spellEnd"/>
            <w:r w:rsidRPr="000533FC">
              <w:rPr>
                <w:i/>
                <w:sz w:val="24"/>
                <w:szCs w:val="24"/>
                <w:lang w:eastAsia="en-US"/>
              </w:rPr>
              <w:t xml:space="preserve"> </w:t>
            </w:r>
            <w:proofErr w:type="spellStart"/>
            <w:r w:rsidRPr="000533FC">
              <w:rPr>
                <w:i/>
                <w:sz w:val="24"/>
                <w:szCs w:val="24"/>
                <w:lang w:eastAsia="en-US"/>
              </w:rPr>
              <w:t>minimis</w:t>
            </w:r>
            <w:proofErr w:type="spellEnd"/>
            <w:r w:rsidRPr="000533FC">
              <w:rPr>
                <w:sz w:val="24"/>
                <w:szCs w:val="24"/>
                <w:lang w:eastAsia="en-US"/>
              </w:rPr>
              <w:t xml:space="preserve"> atbalstu drīkst </w:t>
            </w:r>
            <w:proofErr w:type="spellStart"/>
            <w:r w:rsidRPr="000533FC">
              <w:rPr>
                <w:sz w:val="24"/>
                <w:szCs w:val="24"/>
                <w:lang w:eastAsia="en-US"/>
              </w:rPr>
              <w:t>kumulēt</w:t>
            </w:r>
            <w:proofErr w:type="spellEnd"/>
            <w:r w:rsidRPr="000533FC">
              <w:rPr>
                <w:sz w:val="24"/>
                <w:szCs w:val="24"/>
                <w:lang w:eastAsia="en-US"/>
              </w:rPr>
              <w:t xml:space="preserve"> ar citu </w:t>
            </w:r>
            <w:proofErr w:type="spellStart"/>
            <w:r w:rsidRPr="000533FC">
              <w:rPr>
                <w:i/>
                <w:sz w:val="24"/>
                <w:szCs w:val="24"/>
                <w:lang w:eastAsia="en-US"/>
              </w:rPr>
              <w:t>de</w:t>
            </w:r>
            <w:proofErr w:type="spellEnd"/>
            <w:r w:rsidRPr="000533FC">
              <w:rPr>
                <w:i/>
                <w:sz w:val="24"/>
                <w:szCs w:val="24"/>
                <w:lang w:eastAsia="en-US"/>
              </w:rPr>
              <w:t xml:space="preserve"> </w:t>
            </w:r>
            <w:proofErr w:type="spellStart"/>
            <w:r w:rsidRPr="000533FC">
              <w:rPr>
                <w:i/>
                <w:sz w:val="24"/>
                <w:szCs w:val="24"/>
                <w:lang w:eastAsia="en-US"/>
              </w:rPr>
              <w:t>minimis</w:t>
            </w:r>
            <w:proofErr w:type="spellEnd"/>
            <w:r w:rsidRPr="000533FC">
              <w:rPr>
                <w:sz w:val="24"/>
                <w:szCs w:val="24"/>
                <w:lang w:eastAsia="en-US"/>
              </w:rPr>
              <w:t xml:space="preserve"> atbalstu līdz Komisijas regulas Nr. 1407/2013 3. panta 2. punktā vai Komisijas regulas Nr. 717/2014 3. panta 2. punktā, vai Komisijas regulas Nr. 1408/2013 3. panta 3.a punktā noteiktajam attiecīgajam robežlielumam un ar citu valsts atbalstu attiecībā uz vienām un tām pašām attiecināmajām izmaksām vai citu valsts atbalstu tam pašam riska finansējuma pasākumam, ja ar šo kumulāciju netiek pārsniegta attiecīgā maksimālā atbalsta intensitāte vai atbalsta summa, kas </w:t>
            </w:r>
            <w:r w:rsidRPr="000533FC">
              <w:rPr>
                <w:sz w:val="24"/>
                <w:szCs w:val="24"/>
                <w:lang w:eastAsia="en-US"/>
              </w:rPr>
              <w:lastRenderedPageBreak/>
              <w:t>noteikta citā valsts atbalsta programmā vai Eiropas Komisijas lēmumā, saskaņā ar Komisijas regulas Nr. 1407/2013 5. panta 1. un 2. punktu vai Komisijas regulas Nr. 717/2014 5. panta 1., 2. un 3. punktu, vai Komisijas regulas Nr. 1408/2013 5. panta 1., 2. un 3. punktu.</w:t>
            </w:r>
          </w:p>
        </w:tc>
        <w:tc>
          <w:tcPr>
            <w:tcW w:w="4252" w:type="dxa"/>
          </w:tcPr>
          <w:p w14:paraId="61442745" w14:textId="77777777" w:rsidR="00534801" w:rsidRDefault="002D7ED2" w:rsidP="00BF205D">
            <w:pPr>
              <w:pStyle w:val="Paraststmeklis"/>
              <w:ind w:right="11"/>
              <w:jc w:val="both"/>
            </w:pPr>
            <w:r w:rsidRPr="002D7ED2">
              <w:lastRenderedPageBreak/>
              <w:t xml:space="preserve">Aicinām pārskatīt noteikumu projekta 15.punktā ietvertos nosacījumus par </w:t>
            </w:r>
            <w:proofErr w:type="spellStart"/>
            <w:r w:rsidRPr="008F2D68">
              <w:rPr>
                <w:i/>
              </w:rPr>
              <w:t>de</w:t>
            </w:r>
            <w:proofErr w:type="spellEnd"/>
            <w:r w:rsidRPr="008F2D68">
              <w:rPr>
                <w:i/>
              </w:rPr>
              <w:t xml:space="preserve"> </w:t>
            </w:r>
            <w:proofErr w:type="spellStart"/>
            <w:r w:rsidRPr="008F2D68">
              <w:rPr>
                <w:i/>
              </w:rPr>
              <w:t>minimis</w:t>
            </w:r>
            <w:proofErr w:type="spellEnd"/>
            <w:r w:rsidRPr="002D7ED2">
              <w:t xml:space="preserve"> atbalsta apvienošanu, ņemot vērā, ka ir jāievēro piemērojamajā regulā noteiktie nosacījumi, un to, ka, piemēram, Komisijas regulā Nr. 717/2014 ietvertais </w:t>
            </w:r>
            <w:proofErr w:type="spellStart"/>
            <w:r w:rsidRPr="008F2D68">
              <w:rPr>
                <w:i/>
              </w:rPr>
              <w:t>de</w:t>
            </w:r>
            <w:proofErr w:type="spellEnd"/>
            <w:r w:rsidRPr="008F2D68">
              <w:rPr>
                <w:i/>
              </w:rPr>
              <w:t xml:space="preserve"> </w:t>
            </w:r>
            <w:proofErr w:type="spellStart"/>
            <w:r w:rsidRPr="008F2D68">
              <w:rPr>
                <w:i/>
              </w:rPr>
              <w:t>minimis</w:t>
            </w:r>
            <w:proofErr w:type="spellEnd"/>
            <w:r w:rsidRPr="002D7ED2">
              <w:t xml:space="preserve"> apjoma slieksnis ir ievērojami zemāks nekā tas noteikts gadījumos, kad atbalsts tiek sniegts saskaņā ar Komisijas regulu Nr. 1407/2013. No esošās noteikumu  projekta 15.punkta redakcijas var noprast, ka pretendējot uz </w:t>
            </w:r>
            <w:proofErr w:type="spellStart"/>
            <w:r w:rsidRPr="008F2D68">
              <w:rPr>
                <w:i/>
              </w:rPr>
              <w:t>de</w:t>
            </w:r>
            <w:proofErr w:type="spellEnd"/>
            <w:r w:rsidRPr="008F2D68">
              <w:rPr>
                <w:i/>
              </w:rPr>
              <w:t xml:space="preserve"> </w:t>
            </w:r>
            <w:proofErr w:type="spellStart"/>
            <w:r w:rsidRPr="008F2D68">
              <w:rPr>
                <w:i/>
              </w:rPr>
              <w:t>minimis</w:t>
            </w:r>
            <w:proofErr w:type="spellEnd"/>
            <w:r w:rsidRPr="002D7ED2">
              <w:t xml:space="preserve"> saskaņā ar Komisijas regulu Nr. 717/2014, būtu iespējams neievērot tās 3.panta 2.punktā noteikto </w:t>
            </w:r>
            <w:proofErr w:type="spellStart"/>
            <w:r w:rsidRPr="008F2D68">
              <w:rPr>
                <w:i/>
              </w:rPr>
              <w:t>de</w:t>
            </w:r>
            <w:proofErr w:type="spellEnd"/>
            <w:r w:rsidRPr="008F2D68">
              <w:rPr>
                <w:i/>
              </w:rPr>
              <w:t xml:space="preserve"> </w:t>
            </w:r>
            <w:proofErr w:type="spellStart"/>
            <w:r w:rsidRPr="008F2D68">
              <w:rPr>
                <w:i/>
              </w:rPr>
              <w:t>minimis</w:t>
            </w:r>
            <w:proofErr w:type="spellEnd"/>
            <w:r w:rsidRPr="002D7ED2">
              <w:t xml:space="preserve"> atbalsta limitu (EUR 30 000) un saņemt </w:t>
            </w:r>
            <w:proofErr w:type="spellStart"/>
            <w:r w:rsidRPr="008F2D68">
              <w:rPr>
                <w:i/>
              </w:rPr>
              <w:t>de</w:t>
            </w:r>
            <w:proofErr w:type="spellEnd"/>
            <w:r w:rsidRPr="008F2D68">
              <w:rPr>
                <w:i/>
              </w:rPr>
              <w:t xml:space="preserve"> </w:t>
            </w:r>
            <w:proofErr w:type="spellStart"/>
            <w:r w:rsidRPr="008F2D68">
              <w:rPr>
                <w:i/>
              </w:rPr>
              <w:t>minimis</w:t>
            </w:r>
            <w:proofErr w:type="spellEnd"/>
            <w:r w:rsidRPr="002D7ED2">
              <w:t xml:space="preserve"> atbalstu ar Komisijas regulu Nr. 717/2014 līdz Komisijas regulas Nr. 1407/2013 3.panta </w:t>
            </w:r>
            <w:r w:rsidRPr="002D7ED2">
              <w:lastRenderedPageBreak/>
              <w:t xml:space="preserve">2.punktā noteiktajam </w:t>
            </w:r>
            <w:proofErr w:type="spellStart"/>
            <w:r w:rsidRPr="008F2D68">
              <w:rPr>
                <w:i/>
              </w:rPr>
              <w:t>de</w:t>
            </w:r>
            <w:proofErr w:type="spellEnd"/>
            <w:r w:rsidRPr="008F2D68">
              <w:rPr>
                <w:i/>
              </w:rPr>
              <w:t xml:space="preserve"> </w:t>
            </w:r>
            <w:proofErr w:type="spellStart"/>
            <w:r w:rsidRPr="008F2D68">
              <w:rPr>
                <w:i/>
              </w:rPr>
              <w:t>minimis</w:t>
            </w:r>
            <w:proofErr w:type="spellEnd"/>
            <w:r w:rsidRPr="002D7ED2">
              <w:t xml:space="preserve"> atbalsta limitam (EUR 200 000) viena vienota uzņēmuma līmenī.</w:t>
            </w:r>
          </w:p>
        </w:tc>
        <w:tc>
          <w:tcPr>
            <w:tcW w:w="1843" w:type="dxa"/>
            <w:gridSpan w:val="2"/>
          </w:tcPr>
          <w:p w14:paraId="0EA35D1C" w14:textId="77777777" w:rsidR="00534801" w:rsidRPr="00367715" w:rsidRDefault="00DD5969" w:rsidP="004B1391">
            <w:pPr>
              <w:pStyle w:val="Parasts1"/>
              <w:jc w:val="both"/>
              <w:rPr>
                <w:b/>
              </w:rPr>
            </w:pPr>
            <w:r w:rsidRPr="00DD5969">
              <w:rPr>
                <w:b/>
              </w:rPr>
              <w:lastRenderedPageBreak/>
              <w:t>Ņemts vērā</w:t>
            </w:r>
          </w:p>
        </w:tc>
        <w:tc>
          <w:tcPr>
            <w:tcW w:w="4379" w:type="dxa"/>
          </w:tcPr>
          <w:p w14:paraId="2C37A2E3" w14:textId="77777777" w:rsidR="007D2789" w:rsidRPr="007D2789" w:rsidRDefault="007D2789" w:rsidP="00BA0DEA">
            <w:pPr>
              <w:jc w:val="both"/>
              <w:rPr>
                <w:sz w:val="24"/>
                <w:szCs w:val="24"/>
                <w:lang w:val="x-none" w:eastAsia="en-US"/>
              </w:rPr>
            </w:pPr>
            <w:bookmarkStart w:id="0" w:name="_Hlk20215863"/>
            <w:r w:rsidRPr="007D2789">
              <w:rPr>
                <w:sz w:val="24"/>
                <w:szCs w:val="24"/>
                <w:lang w:eastAsia="en-US"/>
              </w:rPr>
              <w:t>16.</w:t>
            </w:r>
            <w:r w:rsidRPr="007D2789">
              <w:rPr>
                <w:sz w:val="24"/>
                <w:szCs w:val="24"/>
                <w:lang w:val="x-none" w:eastAsia="en-US"/>
              </w:rPr>
              <w:t xml:space="preserve"> </w:t>
            </w:r>
            <w:r w:rsidRPr="007D2789">
              <w:rPr>
                <w:sz w:val="24"/>
                <w:szCs w:val="24"/>
                <w:lang w:eastAsia="en-US"/>
              </w:rPr>
              <w:t xml:space="preserve">Atbalsta pretendentam saskaņā ar šiem noteikumiem piešķirto </w:t>
            </w:r>
            <w:proofErr w:type="spellStart"/>
            <w:r w:rsidRPr="007D2789">
              <w:rPr>
                <w:i/>
                <w:sz w:val="24"/>
                <w:szCs w:val="24"/>
                <w:lang w:eastAsia="en-US"/>
              </w:rPr>
              <w:t>de</w:t>
            </w:r>
            <w:proofErr w:type="spellEnd"/>
            <w:r w:rsidRPr="007D2789">
              <w:rPr>
                <w:i/>
                <w:sz w:val="24"/>
                <w:szCs w:val="24"/>
                <w:lang w:eastAsia="en-US"/>
              </w:rPr>
              <w:t xml:space="preserve"> </w:t>
            </w:r>
            <w:proofErr w:type="spellStart"/>
            <w:r w:rsidRPr="007D2789">
              <w:rPr>
                <w:i/>
                <w:sz w:val="24"/>
                <w:szCs w:val="24"/>
                <w:lang w:eastAsia="en-US"/>
              </w:rPr>
              <w:t>minimis</w:t>
            </w:r>
            <w:proofErr w:type="spellEnd"/>
            <w:r w:rsidRPr="007D2789">
              <w:rPr>
                <w:sz w:val="24"/>
                <w:szCs w:val="24"/>
                <w:lang w:eastAsia="en-US"/>
              </w:rPr>
              <w:t xml:space="preserve"> atbalstu drīkst </w:t>
            </w:r>
            <w:proofErr w:type="spellStart"/>
            <w:r w:rsidRPr="007D2789">
              <w:rPr>
                <w:sz w:val="24"/>
                <w:szCs w:val="24"/>
                <w:lang w:eastAsia="en-US"/>
              </w:rPr>
              <w:t>kumulēt</w:t>
            </w:r>
            <w:proofErr w:type="spellEnd"/>
            <w:r w:rsidRPr="007D2789">
              <w:rPr>
                <w:sz w:val="24"/>
                <w:szCs w:val="24"/>
                <w:lang w:eastAsia="en-US"/>
              </w:rPr>
              <w:t xml:space="preserve"> ar citu </w:t>
            </w:r>
            <w:proofErr w:type="spellStart"/>
            <w:r w:rsidRPr="007D2789">
              <w:rPr>
                <w:i/>
                <w:sz w:val="24"/>
                <w:szCs w:val="24"/>
                <w:lang w:eastAsia="en-US"/>
              </w:rPr>
              <w:t>de</w:t>
            </w:r>
            <w:proofErr w:type="spellEnd"/>
            <w:r w:rsidRPr="007D2789">
              <w:rPr>
                <w:i/>
                <w:sz w:val="24"/>
                <w:szCs w:val="24"/>
                <w:lang w:eastAsia="en-US"/>
              </w:rPr>
              <w:t xml:space="preserve"> </w:t>
            </w:r>
            <w:proofErr w:type="spellStart"/>
            <w:r w:rsidRPr="007D2789">
              <w:rPr>
                <w:i/>
                <w:sz w:val="24"/>
                <w:szCs w:val="24"/>
                <w:lang w:eastAsia="en-US"/>
              </w:rPr>
              <w:t>minimis</w:t>
            </w:r>
            <w:proofErr w:type="spellEnd"/>
            <w:r w:rsidRPr="007D2789">
              <w:rPr>
                <w:sz w:val="24"/>
                <w:szCs w:val="24"/>
                <w:lang w:eastAsia="en-US"/>
              </w:rPr>
              <w:t xml:space="preserve"> atbalstu līdz Komisijas regulas Nr. 1407/2013 3. panta 2. punktā vai Komisijas regulas Nr. 717/2014 3. panta 2. punktā, vai Komisijas regulas Nr. 1408/2013 3. panta 3.a punktā noteiktajam attiecīgajam robežlielumam un ar citu valsts atbalstu attiecībā uz vienām un tām pašām attiecināmajām izmaksām vai citu valsts atbalstu tam pašam riska finansējuma pasākumam, ja ar šo kumulāciju netiek pārsniegta attiecīgā maksimālā atbalsta intensitāte vai atbalsta summa, kas noteikta citā valsts atbalsta programmā vai Eiropas Komisijas lēmumā, atbilstoši Komisijas regulas Nr. 1407/2013 5. panta 1. un 2. punktam vai Komisijas regulas Nr. 717/2014 </w:t>
            </w:r>
            <w:r w:rsidRPr="007D2789">
              <w:rPr>
                <w:sz w:val="24"/>
                <w:szCs w:val="24"/>
                <w:lang w:eastAsia="en-US"/>
              </w:rPr>
              <w:lastRenderedPageBreak/>
              <w:t>5. panta 1., 2. un 3. punktam, vai Komisijas regulas Nr. 1408/2013 5. panta 1., 2. un 3. punktam.</w:t>
            </w:r>
          </w:p>
          <w:bookmarkEnd w:id="0"/>
          <w:p w14:paraId="6D709C47" w14:textId="77777777" w:rsidR="00534801" w:rsidRPr="003B0D44" w:rsidRDefault="00534801" w:rsidP="00BA0DEA">
            <w:pPr>
              <w:pStyle w:val="Parasts1"/>
              <w:jc w:val="both"/>
              <w:rPr>
                <w:lang w:eastAsia="en-US"/>
              </w:rPr>
            </w:pPr>
          </w:p>
        </w:tc>
      </w:tr>
      <w:tr w:rsidR="00534801" w14:paraId="2A1CE489" w14:textId="77777777" w:rsidTr="005B7E71">
        <w:trPr>
          <w:tblCellSpacing w:w="0" w:type="dxa"/>
        </w:trPr>
        <w:tc>
          <w:tcPr>
            <w:tcW w:w="441" w:type="dxa"/>
            <w:gridSpan w:val="2"/>
          </w:tcPr>
          <w:p w14:paraId="68BA2501" w14:textId="77777777" w:rsidR="00534801" w:rsidRDefault="002D7ED2" w:rsidP="002C4AB3">
            <w:pPr>
              <w:pStyle w:val="Parasts1"/>
              <w:jc w:val="center"/>
            </w:pPr>
            <w:r>
              <w:lastRenderedPageBreak/>
              <w:t>5.</w:t>
            </w:r>
          </w:p>
        </w:tc>
        <w:tc>
          <w:tcPr>
            <w:tcW w:w="3402" w:type="dxa"/>
            <w:gridSpan w:val="2"/>
          </w:tcPr>
          <w:p w14:paraId="482A994A" w14:textId="77777777" w:rsidR="00534801" w:rsidRPr="00DC09A7" w:rsidRDefault="00534801" w:rsidP="00DC09A7">
            <w:pPr>
              <w:jc w:val="both"/>
              <w:rPr>
                <w:sz w:val="24"/>
                <w:szCs w:val="24"/>
                <w:lang w:eastAsia="en-US"/>
              </w:rPr>
            </w:pPr>
          </w:p>
        </w:tc>
        <w:tc>
          <w:tcPr>
            <w:tcW w:w="4252" w:type="dxa"/>
          </w:tcPr>
          <w:p w14:paraId="25478460" w14:textId="77777777" w:rsidR="00534801" w:rsidRDefault="002D7ED2" w:rsidP="00BF205D">
            <w:pPr>
              <w:pStyle w:val="Paraststmeklis"/>
              <w:ind w:right="11"/>
              <w:jc w:val="both"/>
            </w:pPr>
            <w:r w:rsidRPr="002D7ED2">
              <w:t>Ņemot vērā, ka noteikumu projektā nav iekļauts 1. pielikums “Riska likmes”, kā tas bija Ministru kabineta 2010. gada 27. aprīļa noteikumos Nr. 403 "Kārtība, kādā piešķir valsts atbalstu apgrozāmo līdzekļu iegādei lauksaimniecības produkcijas ražošanai", lai gūtu pārliecību, ka noteikumu projekta 17.punktā ietvertais nosacījums subsīdijas ekvivalenta aprēķinam atbilst Eiropas Komisijas paziņojumam “Par atsauces likmes un diskonta likmes noteikšanas metodes pārskatīšanu” (2008/C 14/02), jo īpaši nosacījumam par riska likmes piemērošanu atkarībā no atbalsta pretendenta novērtējuma kategorijas, lūdzam anotācijā sniegt skaidrojumu. Vienlaikus anotācijas V sadaļas 1.tabulā “Tiesību akta projekta atbilstība ES tiesību aktiem” lūdzam izvērtēt atbilstoši kuram ES līmeņa tiesību aktam ir ieviests šis noteikumu projekta punkts.</w:t>
            </w:r>
          </w:p>
        </w:tc>
        <w:tc>
          <w:tcPr>
            <w:tcW w:w="1843" w:type="dxa"/>
            <w:gridSpan w:val="2"/>
          </w:tcPr>
          <w:p w14:paraId="43AE1E35" w14:textId="77777777" w:rsidR="00534801" w:rsidRPr="00367715" w:rsidRDefault="00DD5969" w:rsidP="004B1391">
            <w:pPr>
              <w:pStyle w:val="Parasts1"/>
              <w:jc w:val="both"/>
              <w:rPr>
                <w:b/>
              </w:rPr>
            </w:pPr>
            <w:r w:rsidRPr="00DD5969">
              <w:rPr>
                <w:b/>
              </w:rPr>
              <w:t>Ņemts vērā</w:t>
            </w:r>
            <w:r w:rsidR="00CC6B5D">
              <w:t>, precizēta anotācija</w:t>
            </w:r>
          </w:p>
        </w:tc>
        <w:tc>
          <w:tcPr>
            <w:tcW w:w="4379" w:type="dxa"/>
          </w:tcPr>
          <w:p w14:paraId="09C9AE19" w14:textId="452F1417" w:rsidR="00A80172" w:rsidRDefault="00A80172" w:rsidP="00BA0DEA">
            <w:pPr>
              <w:pStyle w:val="Parasts1"/>
              <w:jc w:val="both"/>
              <w:rPr>
                <w:lang w:eastAsia="en-US"/>
              </w:rPr>
            </w:pPr>
            <w:r>
              <w:rPr>
                <w:lang w:eastAsia="en-US"/>
              </w:rPr>
              <w:t xml:space="preserve">Noteikumu projektā nav iekļauts noteikumu Nr.403 1.pielikums, jo risku un nodrošinājuma piemērošanas prasības noteiktas </w:t>
            </w:r>
            <w:proofErr w:type="spellStart"/>
            <w:r w:rsidRPr="00A80172">
              <w:rPr>
                <w:i/>
                <w:lang w:eastAsia="en-US"/>
              </w:rPr>
              <w:t>Altum</w:t>
            </w:r>
            <w:proofErr w:type="spellEnd"/>
            <w:r>
              <w:rPr>
                <w:lang w:eastAsia="en-US"/>
              </w:rPr>
              <w:t xml:space="preserve"> iekšējos noteikumos, ņemot vērā </w:t>
            </w:r>
            <w:proofErr w:type="spellStart"/>
            <w:r w:rsidRPr="00A80172">
              <w:rPr>
                <w:i/>
                <w:lang w:eastAsia="en-US"/>
              </w:rPr>
              <w:t>Altum</w:t>
            </w:r>
            <w:proofErr w:type="spellEnd"/>
            <w:r>
              <w:rPr>
                <w:lang w:eastAsia="en-US"/>
              </w:rPr>
              <w:t xml:space="preserve"> risku vadības metodiku, kurā iekļauti minētie nosacījumi atbilstoši </w:t>
            </w:r>
            <w:proofErr w:type="spellStart"/>
            <w:r w:rsidRPr="00A80172">
              <w:rPr>
                <w:i/>
                <w:lang w:eastAsia="en-US"/>
              </w:rPr>
              <w:t>Altum</w:t>
            </w:r>
            <w:proofErr w:type="spellEnd"/>
            <w:r>
              <w:rPr>
                <w:lang w:eastAsia="en-US"/>
              </w:rPr>
              <w:t xml:space="preserve"> kredītreitinga klasēm. Līdzīga </w:t>
            </w:r>
            <w:r w:rsidR="00C05503">
              <w:rPr>
                <w:lang w:eastAsia="en-US"/>
              </w:rPr>
              <w:t>norma</w:t>
            </w:r>
            <w:r>
              <w:rPr>
                <w:lang w:eastAsia="en-US"/>
              </w:rPr>
              <w:t xml:space="preserve"> tiek piemērota arī </w:t>
            </w:r>
            <w:r w:rsidR="00C05503">
              <w:rPr>
                <w:lang w:eastAsia="en-US"/>
              </w:rPr>
              <w:t xml:space="preserve">Ministru kabineta noteikumos par </w:t>
            </w:r>
            <w:r>
              <w:rPr>
                <w:lang w:eastAsia="en-US"/>
              </w:rPr>
              <w:t>cit</w:t>
            </w:r>
            <w:r w:rsidR="00C05503">
              <w:rPr>
                <w:lang w:eastAsia="en-US"/>
              </w:rPr>
              <w:t>iem</w:t>
            </w:r>
            <w:r>
              <w:rPr>
                <w:lang w:eastAsia="en-US"/>
              </w:rPr>
              <w:t xml:space="preserve"> finanšu instrument</w:t>
            </w:r>
            <w:r w:rsidR="00C05503">
              <w:rPr>
                <w:lang w:eastAsia="en-US"/>
              </w:rPr>
              <w:t>iem</w:t>
            </w:r>
            <w:r>
              <w:rPr>
                <w:lang w:eastAsia="en-US"/>
              </w:rPr>
              <w:t>, piemēram</w:t>
            </w:r>
            <w:r w:rsidR="00C05503">
              <w:rPr>
                <w:lang w:eastAsia="en-US"/>
              </w:rPr>
              <w:t>:</w:t>
            </w:r>
            <w:r>
              <w:rPr>
                <w:lang w:eastAsia="en-US"/>
              </w:rPr>
              <w:t xml:space="preserve"> </w:t>
            </w:r>
          </w:p>
          <w:p w14:paraId="1928BC91" w14:textId="5BDD1601" w:rsidR="00A80172" w:rsidRDefault="00A80172" w:rsidP="00192E55">
            <w:pPr>
              <w:pStyle w:val="Parasts1"/>
              <w:numPr>
                <w:ilvl w:val="0"/>
                <w:numId w:val="42"/>
              </w:numPr>
              <w:ind w:left="405"/>
              <w:jc w:val="both"/>
              <w:rPr>
                <w:lang w:eastAsia="en-US"/>
              </w:rPr>
            </w:pPr>
            <w:r>
              <w:rPr>
                <w:lang w:eastAsia="en-US"/>
              </w:rPr>
              <w:t>Ministru kabineta 2018. gada 24. jūlija noteikumu Nr.446 “Noteikumi par lauksaimniecības, lauku un zivsaimniecības saimnieciskās darbības veicēju aizdevumu programmu” 17.punkt</w:t>
            </w:r>
            <w:r w:rsidR="00F41CB5">
              <w:rPr>
                <w:lang w:eastAsia="en-US"/>
              </w:rPr>
              <w:t>ā</w:t>
            </w:r>
            <w:r>
              <w:rPr>
                <w:lang w:eastAsia="en-US"/>
              </w:rPr>
              <w:t xml:space="preserve">; </w:t>
            </w:r>
          </w:p>
          <w:p w14:paraId="4AD6C517" w14:textId="255EEBFD" w:rsidR="00A80172" w:rsidRDefault="00A80172" w:rsidP="00192E55">
            <w:pPr>
              <w:pStyle w:val="Parasts1"/>
              <w:numPr>
                <w:ilvl w:val="0"/>
                <w:numId w:val="42"/>
              </w:numPr>
              <w:ind w:left="405"/>
              <w:jc w:val="both"/>
              <w:rPr>
                <w:lang w:eastAsia="en-US"/>
              </w:rPr>
            </w:pPr>
            <w:r>
              <w:rPr>
                <w:lang w:eastAsia="en-US"/>
              </w:rPr>
              <w:t>Ministru kabineta 2009. gada 15. septembra noteikumu Nr.1065 "Noteikumi par aizdevumiem sīko (mikro), mazo un vidējo saimnieciskās darbības veicēju un lauksaimniecības pakalpojumu kooperatīvo sabiedrību attīstības veicināšanai" 31.punkt</w:t>
            </w:r>
            <w:r w:rsidR="00F41CB5">
              <w:rPr>
                <w:lang w:eastAsia="en-US"/>
              </w:rPr>
              <w:t>ā</w:t>
            </w:r>
            <w:r>
              <w:rPr>
                <w:lang w:eastAsia="en-US"/>
              </w:rPr>
              <w:t xml:space="preserve">; </w:t>
            </w:r>
          </w:p>
          <w:p w14:paraId="2C53E8F6" w14:textId="4398082F" w:rsidR="00534801" w:rsidRPr="003B0D44" w:rsidRDefault="00A80172" w:rsidP="00192E55">
            <w:pPr>
              <w:pStyle w:val="Parasts1"/>
              <w:numPr>
                <w:ilvl w:val="0"/>
                <w:numId w:val="42"/>
              </w:numPr>
              <w:ind w:left="405"/>
              <w:jc w:val="both"/>
              <w:rPr>
                <w:lang w:eastAsia="en-US"/>
              </w:rPr>
            </w:pPr>
            <w:r>
              <w:rPr>
                <w:lang w:eastAsia="en-US"/>
              </w:rPr>
              <w:lastRenderedPageBreak/>
              <w:t xml:space="preserve">Ministru kabineta 2016.gada 31. maija noteikumi Nr.328 “Noteikumi par </w:t>
            </w:r>
            <w:proofErr w:type="spellStart"/>
            <w:r>
              <w:rPr>
                <w:lang w:eastAsia="en-US"/>
              </w:rPr>
              <w:t>mikroaizdevumiem</w:t>
            </w:r>
            <w:proofErr w:type="spellEnd"/>
            <w:r>
              <w:rPr>
                <w:lang w:eastAsia="en-US"/>
              </w:rPr>
              <w:t xml:space="preserve"> un starta aizdevumiem“ 35.punkt</w:t>
            </w:r>
            <w:r w:rsidR="00F41CB5">
              <w:rPr>
                <w:lang w:eastAsia="en-US"/>
              </w:rPr>
              <w:t>ā</w:t>
            </w:r>
            <w:r>
              <w:rPr>
                <w:lang w:eastAsia="en-US"/>
              </w:rPr>
              <w:t>.</w:t>
            </w:r>
          </w:p>
        </w:tc>
      </w:tr>
      <w:tr w:rsidR="00534801" w14:paraId="01B0CD97" w14:textId="77777777" w:rsidTr="005B7E71">
        <w:trPr>
          <w:tblCellSpacing w:w="0" w:type="dxa"/>
        </w:trPr>
        <w:tc>
          <w:tcPr>
            <w:tcW w:w="441" w:type="dxa"/>
            <w:gridSpan w:val="2"/>
          </w:tcPr>
          <w:p w14:paraId="317813F8" w14:textId="77777777" w:rsidR="00534801" w:rsidRDefault="002D7ED2" w:rsidP="002C4AB3">
            <w:pPr>
              <w:pStyle w:val="Parasts1"/>
              <w:jc w:val="center"/>
            </w:pPr>
            <w:r>
              <w:lastRenderedPageBreak/>
              <w:t>6.</w:t>
            </w:r>
          </w:p>
        </w:tc>
        <w:tc>
          <w:tcPr>
            <w:tcW w:w="3402" w:type="dxa"/>
            <w:gridSpan w:val="2"/>
          </w:tcPr>
          <w:p w14:paraId="66A2CD69" w14:textId="77777777" w:rsidR="00534801" w:rsidRPr="00DC09A7" w:rsidRDefault="00A80172" w:rsidP="00DC09A7">
            <w:pPr>
              <w:jc w:val="both"/>
              <w:rPr>
                <w:sz w:val="24"/>
                <w:szCs w:val="24"/>
                <w:lang w:eastAsia="en-US"/>
              </w:rPr>
            </w:pPr>
            <w:r w:rsidRPr="00A80172">
              <w:rPr>
                <w:sz w:val="24"/>
                <w:szCs w:val="24"/>
                <w:lang w:eastAsia="en-US"/>
              </w:rPr>
              <w:t>20. Aizdevuma līgumus noslēdz attiecīgi līdz Komisijas regulas Nr. 1408/2013, Komisijas regulas Nr. 1407/2014 un Komisijas regulas Nr. 717/2014 piemērošanas termiņa beigām.</w:t>
            </w:r>
          </w:p>
        </w:tc>
        <w:tc>
          <w:tcPr>
            <w:tcW w:w="4252" w:type="dxa"/>
          </w:tcPr>
          <w:p w14:paraId="0EAF1774" w14:textId="77777777" w:rsidR="00534801" w:rsidRDefault="002D7ED2" w:rsidP="00BF205D">
            <w:pPr>
              <w:pStyle w:val="Paraststmeklis"/>
              <w:ind w:right="11"/>
              <w:jc w:val="both"/>
            </w:pPr>
            <w:r w:rsidRPr="002D7ED2">
              <w:t>Ievērojot to, ka Komisijas regula Nr. 1407/2013, Komisijas regula Nr. 1408/2013, Komisijas regula Nr. 717/2014 paredz atšķirīgus piemērošanas termiņus, lūdzam precizēt noteikumu projekta 20.punktu, to papildinot ar atsaucēm uz regulu pantiem un punktiem, kas nosaka katras konkrētās regulas piemērošanas termiņu.</w:t>
            </w:r>
          </w:p>
        </w:tc>
        <w:tc>
          <w:tcPr>
            <w:tcW w:w="1843" w:type="dxa"/>
            <w:gridSpan w:val="2"/>
          </w:tcPr>
          <w:p w14:paraId="6E237C9A" w14:textId="77777777" w:rsidR="00534801" w:rsidRPr="00367715" w:rsidRDefault="00DD5969" w:rsidP="004B1391">
            <w:pPr>
              <w:pStyle w:val="Parasts1"/>
              <w:jc w:val="both"/>
              <w:rPr>
                <w:b/>
              </w:rPr>
            </w:pPr>
            <w:r w:rsidRPr="00DD5969">
              <w:rPr>
                <w:b/>
              </w:rPr>
              <w:t>Ņemts vērā</w:t>
            </w:r>
            <w:r w:rsidR="00F41CB5">
              <w:rPr>
                <w:b/>
              </w:rPr>
              <w:t>.</w:t>
            </w:r>
          </w:p>
        </w:tc>
        <w:tc>
          <w:tcPr>
            <w:tcW w:w="4379" w:type="dxa"/>
          </w:tcPr>
          <w:p w14:paraId="62701A60" w14:textId="77777777" w:rsidR="00534801" w:rsidRPr="003B0D44" w:rsidRDefault="00A80172" w:rsidP="00BA0DEA">
            <w:pPr>
              <w:pStyle w:val="Parasts1"/>
              <w:jc w:val="both"/>
              <w:rPr>
                <w:lang w:eastAsia="en-US"/>
              </w:rPr>
            </w:pPr>
            <w:r w:rsidRPr="00A80172">
              <w:rPr>
                <w:lang w:eastAsia="en-US"/>
              </w:rPr>
              <w:t>22. Aizdevuma līgumus noslēdz attiecīgi līdz Komisijas regulas Nr. 1408/2013 8. pantā, Komisijas regulas Nr. 1407/2014 8. pantā vai Komisijas regulas Nr. 717/2014 8. pantā noteiktā piemērošanas termiņa beigām.</w:t>
            </w:r>
          </w:p>
        </w:tc>
      </w:tr>
      <w:tr w:rsidR="00534801" w14:paraId="08BD0238" w14:textId="77777777" w:rsidTr="005B7E71">
        <w:trPr>
          <w:tblCellSpacing w:w="0" w:type="dxa"/>
        </w:trPr>
        <w:tc>
          <w:tcPr>
            <w:tcW w:w="441" w:type="dxa"/>
            <w:gridSpan w:val="2"/>
          </w:tcPr>
          <w:p w14:paraId="76CBBEDE" w14:textId="77777777" w:rsidR="00534801" w:rsidRDefault="002D7ED2" w:rsidP="002C4AB3">
            <w:pPr>
              <w:pStyle w:val="Parasts1"/>
              <w:jc w:val="center"/>
            </w:pPr>
            <w:r>
              <w:t>7.</w:t>
            </w:r>
          </w:p>
        </w:tc>
        <w:tc>
          <w:tcPr>
            <w:tcW w:w="3402" w:type="dxa"/>
            <w:gridSpan w:val="2"/>
          </w:tcPr>
          <w:p w14:paraId="01664084" w14:textId="77777777" w:rsidR="00534801" w:rsidRPr="00DC09A7" w:rsidRDefault="00534801" w:rsidP="00DC09A7">
            <w:pPr>
              <w:jc w:val="both"/>
              <w:rPr>
                <w:sz w:val="24"/>
                <w:szCs w:val="24"/>
                <w:lang w:eastAsia="en-US"/>
              </w:rPr>
            </w:pPr>
          </w:p>
        </w:tc>
        <w:tc>
          <w:tcPr>
            <w:tcW w:w="4252" w:type="dxa"/>
          </w:tcPr>
          <w:p w14:paraId="4AC5C7B7" w14:textId="77777777" w:rsidR="00534801" w:rsidRDefault="002D7ED2" w:rsidP="00BF205D">
            <w:pPr>
              <w:pStyle w:val="Paraststmeklis"/>
              <w:ind w:right="11"/>
              <w:jc w:val="both"/>
            </w:pPr>
            <w:r w:rsidRPr="002D7ED2">
              <w:t xml:space="preserve">Ievērojot Komisijas regulas Nr. 1407/2013 6.panta 4.punktā ietverto nosacījumu par informācijas par piešķirto </w:t>
            </w:r>
            <w:proofErr w:type="spellStart"/>
            <w:r w:rsidRPr="002D7ED2">
              <w:t>de</w:t>
            </w:r>
            <w:proofErr w:type="spellEnd"/>
            <w:r w:rsidRPr="002D7ED2">
              <w:t xml:space="preserve"> </w:t>
            </w:r>
            <w:proofErr w:type="spellStart"/>
            <w:r w:rsidRPr="002D7ED2">
              <w:t>minimis</w:t>
            </w:r>
            <w:proofErr w:type="spellEnd"/>
            <w:r w:rsidRPr="002D7ED2">
              <w:t xml:space="preserve"> atbalstu uzglabāšanu, lūdzam papildināt noteikumu projektu ar atbilstošiem nosacījumiem, kas nodrošinātu Komisijas regulas Nr. 1407/2013 6.panta 4.punkta nosacījumu ievērošanu gan atbalsta sniedzēja, gan atbalsta saņēmēju līmenī.</w:t>
            </w:r>
          </w:p>
        </w:tc>
        <w:tc>
          <w:tcPr>
            <w:tcW w:w="1843" w:type="dxa"/>
            <w:gridSpan w:val="2"/>
          </w:tcPr>
          <w:p w14:paraId="208BA76D" w14:textId="77777777" w:rsidR="00534801" w:rsidRPr="00367715" w:rsidRDefault="00DD5969" w:rsidP="004B1391">
            <w:pPr>
              <w:pStyle w:val="Parasts1"/>
              <w:jc w:val="both"/>
              <w:rPr>
                <w:b/>
              </w:rPr>
            </w:pPr>
            <w:r w:rsidRPr="00DD5969">
              <w:rPr>
                <w:b/>
              </w:rPr>
              <w:t>Ņemts vērā</w:t>
            </w:r>
            <w:r w:rsidR="00F41CB5">
              <w:rPr>
                <w:b/>
              </w:rPr>
              <w:t>.</w:t>
            </w:r>
          </w:p>
        </w:tc>
        <w:tc>
          <w:tcPr>
            <w:tcW w:w="4379" w:type="dxa"/>
          </w:tcPr>
          <w:p w14:paraId="28A2CDC7" w14:textId="77777777" w:rsidR="00534801" w:rsidRPr="003B0D44" w:rsidRDefault="00100D9E" w:rsidP="00BA0DEA">
            <w:pPr>
              <w:pStyle w:val="Parasts1"/>
              <w:jc w:val="both"/>
              <w:rPr>
                <w:lang w:eastAsia="en-US"/>
              </w:rPr>
            </w:pPr>
            <w:r w:rsidRPr="00100D9E">
              <w:rPr>
                <w:lang w:eastAsia="en-US"/>
              </w:rPr>
              <w:t xml:space="preserve">20. Informāciju par </w:t>
            </w:r>
            <w:r w:rsidR="00BA0DEA">
              <w:rPr>
                <w:lang w:eastAsia="en-US"/>
              </w:rPr>
              <w:t>piešķiro</w:t>
            </w:r>
            <w:r w:rsidRPr="00100D9E">
              <w:rPr>
                <w:lang w:eastAsia="en-US"/>
              </w:rPr>
              <w:t xml:space="preserve"> </w:t>
            </w:r>
            <w:proofErr w:type="spellStart"/>
            <w:r w:rsidRPr="005413C8">
              <w:rPr>
                <w:i/>
                <w:lang w:eastAsia="en-US"/>
              </w:rPr>
              <w:t>de</w:t>
            </w:r>
            <w:proofErr w:type="spellEnd"/>
            <w:r w:rsidRPr="005413C8">
              <w:rPr>
                <w:i/>
                <w:lang w:eastAsia="en-US"/>
              </w:rPr>
              <w:t xml:space="preserve"> </w:t>
            </w:r>
            <w:proofErr w:type="spellStart"/>
            <w:r w:rsidRPr="005413C8">
              <w:rPr>
                <w:i/>
                <w:lang w:eastAsia="en-US"/>
              </w:rPr>
              <w:t>minimis</w:t>
            </w:r>
            <w:proofErr w:type="spellEnd"/>
            <w:r w:rsidRPr="00100D9E">
              <w:rPr>
                <w:lang w:eastAsia="en-US"/>
              </w:rPr>
              <w:t xml:space="preserve"> atbalstu saskaņā ar Komisijas regulas Nr. 1407/2013, Komisijas regulas Nr. 1408/2013 vai Komisijas regulas Nr. 717/2014 atbalsta saņēmējs un sabiedrība </w:t>
            </w:r>
            <w:proofErr w:type="spellStart"/>
            <w:r w:rsidRPr="005413C8">
              <w:rPr>
                <w:i/>
                <w:lang w:eastAsia="en-US"/>
              </w:rPr>
              <w:t>Altum</w:t>
            </w:r>
            <w:proofErr w:type="spellEnd"/>
            <w:r w:rsidRPr="00100D9E">
              <w:rPr>
                <w:lang w:eastAsia="en-US"/>
              </w:rPr>
              <w:t xml:space="preserve"> glabā 10 gadus no atbalsta saņemšanas dienas.</w:t>
            </w:r>
          </w:p>
        </w:tc>
      </w:tr>
      <w:tr w:rsidR="00534801" w14:paraId="67EB343D" w14:textId="77777777" w:rsidTr="005B7E71">
        <w:trPr>
          <w:tblCellSpacing w:w="0" w:type="dxa"/>
        </w:trPr>
        <w:tc>
          <w:tcPr>
            <w:tcW w:w="441" w:type="dxa"/>
            <w:gridSpan w:val="2"/>
          </w:tcPr>
          <w:p w14:paraId="560AD74A" w14:textId="77777777" w:rsidR="00534801" w:rsidRDefault="002D7ED2" w:rsidP="002C4AB3">
            <w:pPr>
              <w:pStyle w:val="Parasts1"/>
              <w:jc w:val="center"/>
            </w:pPr>
            <w:r>
              <w:t>8.</w:t>
            </w:r>
          </w:p>
        </w:tc>
        <w:tc>
          <w:tcPr>
            <w:tcW w:w="3402" w:type="dxa"/>
            <w:gridSpan w:val="2"/>
          </w:tcPr>
          <w:p w14:paraId="78F20D84" w14:textId="77777777" w:rsidR="00534801" w:rsidRPr="00DC09A7" w:rsidRDefault="00534801" w:rsidP="00DC09A7">
            <w:pPr>
              <w:jc w:val="both"/>
              <w:rPr>
                <w:sz w:val="24"/>
                <w:szCs w:val="24"/>
                <w:lang w:eastAsia="en-US"/>
              </w:rPr>
            </w:pPr>
          </w:p>
        </w:tc>
        <w:tc>
          <w:tcPr>
            <w:tcW w:w="4252" w:type="dxa"/>
          </w:tcPr>
          <w:p w14:paraId="78FD86C6" w14:textId="77777777" w:rsidR="00534801" w:rsidRDefault="002D7ED2" w:rsidP="00BF205D">
            <w:pPr>
              <w:pStyle w:val="Paraststmeklis"/>
              <w:ind w:right="11"/>
              <w:jc w:val="both"/>
            </w:pPr>
            <w:r w:rsidRPr="002D7ED2">
              <w:t>Attiecīgi pēc veiktajiem precizējumiem noteikuma projektā lūdzam pārskatīt un papildināt anotācijas V sadaļas 1.tabulu “Tiesību akta projekta atbilstība ES tiesību aktiem.”</w:t>
            </w:r>
          </w:p>
        </w:tc>
        <w:tc>
          <w:tcPr>
            <w:tcW w:w="1843" w:type="dxa"/>
            <w:gridSpan w:val="2"/>
          </w:tcPr>
          <w:p w14:paraId="312843A8" w14:textId="77777777" w:rsidR="00534801" w:rsidRPr="00367715" w:rsidRDefault="00DD5969" w:rsidP="004B1391">
            <w:pPr>
              <w:pStyle w:val="Parasts1"/>
              <w:jc w:val="both"/>
              <w:rPr>
                <w:b/>
              </w:rPr>
            </w:pPr>
            <w:r w:rsidRPr="00DD5969">
              <w:rPr>
                <w:b/>
              </w:rPr>
              <w:t>Ņemts vērā</w:t>
            </w:r>
            <w:r w:rsidR="00100D9E" w:rsidRPr="00100D9E">
              <w:t xml:space="preserve">, </w:t>
            </w:r>
            <w:r w:rsidR="00100D9E">
              <w:t>precizēta anotācija</w:t>
            </w:r>
            <w:r w:rsidR="00F41CB5">
              <w:t>.</w:t>
            </w:r>
          </w:p>
        </w:tc>
        <w:tc>
          <w:tcPr>
            <w:tcW w:w="4379" w:type="dxa"/>
          </w:tcPr>
          <w:p w14:paraId="70B842E5" w14:textId="77777777" w:rsidR="00534801" w:rsidRPr="003B0D44" w:rsidRDefault="00100D9E" w:rsidP="00BA0DEA">
            <w:pPr>
              <w:pStyle w:val="Parasts1"/>
              <w:jc w:val="both"/>
              <w:rPr>
                <w:lang w:eastAsia="en-US"/>
              </w:rPr>
            </w:pPr>
            <w:r>
              <w:rPr>
                <w:lang w:eastAsia="en-US"/>
              </w:rPr>
              <w:t>Skatīt anotācijas V sadaļu.</w:t>
            </w:r>
          </w:p>
        </w:tc>
      </w:tr>
      <w:tr w:rsidR="00534801" w14:paraId="27490B32" w14:textId="77777777" w:rsidTr="005B7E71">
        <w:trPr>
          <w:tblCellSpacing w:w="0" w:type="dxa"/>
        </w:trPr>
        <w:tc>
          <w:tcPr>
            <w:tcW w:w="441" w:type="dxa"/>
            <w:gridSpan w:val="2"/>
          </w:tcPr>
          <w:p w14:paraId="453FFB7A" w14:textId="77777777" w:rsidR="00534801" w:rsidRDefault="002D7ED2" w:rsidP="002C4AB3">
            <w:pPr>
              <w:pStyle w:val="Parasts1"/>
              <w:jc w:val="center"/>
            </w:pPr>
            <w:r>
              <w:t>9.</w:t>
            </w:r>
          </w:p>
        </w:tc>
        <w:tc>
          <w:tcPr>
            <w:tcW w:w="3402" w:type="dxa"/>
            <w:gridSpan w:val="2"/>
          </w:tcPr>
          <w:p w14:paraId="429F3FB4" w14:textId="77777777" w:rsidR="00534801" w:rsidRPr="00DC09A7" w:rsidRDefault="00534801" w:rsidP="00DC09A7">
            <w:pPr>
              <w:jc w:val="both"/>
              <w:rPr>
                <w:sz w:val="24"/>
                <w:szCs w:val="24"/>
                <w:lang w:eastAsia="en-US"/>
              </w:rPr>
            </w:pPr>
          </w:p>
        </w:tc>
        <w:tc>
          <w:tcPr>
            <w:tcW w:w="4252" w:type="dxa"/>
          </w:tcPr>
          <w:p w14:paraId="725BA1B2" w14:textId="77777777" w:rsidR="00534801" w:rsidRDefault="002D7ED2" w:rsidP="00BF205D">
            <w:pPr>
              <w:pStyle w:val="Paraststmeklis"/>
              <w:ind w:right="11"/>
              <w:jc w:val="both"/>
            </w:pPr>
            <w:r w:rsidRPr="002D7ED2">
              <w:t xml:space="preserve">Attiecība uz noteikumu projekta 13.punktu lūdzam skaidrot nepieciešamību noteikt aizdevuma restrukturizācijas termiņu līdz trim gadiem, t.i., garāku par pašu aizdevuma pamata termiņu, kā arī izvērtēt lietderību </w:t>
            </w:r>
            <w:r w:rsidRPr="002D7ED2">
              <w:lastRenderedPageBreak/>
              <w:t>iespējai, atbilstoši aizņēmēja situāciju, pārvērtēt kredīta statusu, lai pēc iespējas ātrāk nodrošinātu darbu pie maksimālas aizdevuma summas atgūšanas un kā tiks nodrošināta aizņēmēja restrukturizācija.</w:t>
            </w:r>
          </w:p>
        </w:tc>
        <w:tc>
          <w:tcPr>
            <w:tcW w:w="1843" w:type="dxa"/>
            <w:gridSpan w:val="2"/>
          </w:tcPr>
          <w:p w14:paraId="40572A8B" w14:textId="77777777" w:rsidR="00534801" w:rsidRPr="00367715" w:rsidRDefault="00DD5969" w:rsidP="004B1391">
            <w:pPr>
              <w:pStyle w:val="Parasts1"/>
              <w:jc w:val="both"/>
              <w:rPr>
                <w:b/>
              </w:rPr>
            </w:pPr>
            <w:r w:rsidRPr="00DD5969">
              <w:rPr>
                <w:b/>
              </w:rPr>
              <w:lastRenderedPageBreak/>
              <w:t>Ņemts vērā</w:t>
            </w:r>
            <w:r w:rsidR="00F41CB5">
              <w:rPr>
                <w:b/>
              </w:rPr>
              <w:t>.</w:t>
            </w:r>
          </w:p>
        </w:tc>
        <w:tc>
          <w:tcPr>
            <w:tcW w:w="4379" w:type="dxa"/>
          </w:tcPr>
          <w:p w14:paraId="6B07DA27" w14:textId="27E312CE" w:rsidR="00534801" w:rsidRPr="003B0D44" w:rsidRDefault="00FA3E9E" w:rsidP="00BA0DEA">
            <w:pPr>
              <w:pStyle w:val="Parasts1"/>
              <w:jc w:val="both"/>
              <w:rPr>
                <w:lang w:eastAsia="en-US"/>
              </w:rPr>
            </w:pPr>
            <w:r w:rsidRPr="00FA3E9E">
              <w:rPr>
                <w:lang w:eastAsia="en-US"/>
              </w:rPr>
              <w:t>Noteikumu projektā aizdevuma atmaksas pagarināšanas termiņš noteikts, izvērtējot lauksaimniecības nozares specifiku un iespējamos risk</w:t>
            </w:r>
            <w:r w:rsidR="00F41CB5">
              <w:rPr>
                <w:lang w:eastAsia="en-US"/>
              </w:rPr>
              <w:t>a faktorus</w:t>
            </w:r>
            <w:r w:rsidRPr="00FA3E9E">
              <w:rPr>
                <w:lang w:eastAsia="en-US"/>
              </w:rPr>
              <w:t xml:space="preserve">, </w:t>
            </w:r>
            <w:r w:rsidR="00F41CB5">
              <w:rPr>
                <w:lang w:eastAsia="en-US"/>
              </w:rPr>
              <w:t xml:space="preserve">kā arī </w:t>
            </w:r>
            <w:r w:rsidRPr="00FA3E9E">
              <w:rPr>
                <w:lang w:eastAsia="en-US"/>
              </w:rPr>
              <w:t xml:space="preserve">klimata apstākļu ietekmi uz lauksaimniecības </w:t>
            </w:r>
            <w:r w:rsidRPr="00FA3E9E">
              <w:rPr>
                <w:lang w:eastAsia="en-US"/>
              </w:rPr>
              <w:lastRenderedPageBreak/>
              <w:t>darbību. Apgrozāmo līdzekļu aizdevumu lauksaimnieki spēj atmaksāt no realizētās produkcijas ienākumiem. Pēdējos trīs gados dabas apstākļi negatīvi ietekmēja lauksaimniecības darbību</w:t>
            </w:r>
            <w:r w:rsidR="00F41CB5">
              <w:rPr>
                <w:lang w:eastAsia="en-US"/>
              </w:rPr>
              <w:t>:</w:t>
            </w:r>
            <w:r w:rsidRPr="00FA3E9E">
              <w:rPr>
                <w:lang w:eastAsia="en-US"/>
              </w:rPr>
              <w:t xml:space="preserve"> 2018.</w:t>
            </w:r>
            <w:r>
              <w:rPr>
                <w:lang w:eastAsia="en-US"/>
              </w:rPr>
              <w:t xml:space="preserve"> </w:t>
            </w:r>
            <w:r w:rsidRPr="00FA3E9E">
              <w:rPr>
                <w:lang w:eastAsia="en-US"/>
              </w:rPr>
              <w:t xml:space="preserve">gadā </w:t>
            </w:r>
            <w:r w:rsidR="00F41CB5">
              <w:rPr>
                <w:lang w:eastAsia="en-US"/>
              </w:rPr>
              <w:t xml:space="preserve">tas bija </w:t>
            </w:r>
            <w:r w:rsidRPr="00FA3E9E">
              <w:rPr>
                <w:lang w:eastAsia="en-US"/>
              </w:rPr>
              <w:t>sausums, 2017.</w:t>
            </w:r>
            <w:r>
              <w:rPr>
                <w:lang w:eastAsia="en-US"/>
              </w:rPr>
              <w:t xml:space="preserve"> </w:t>
            </w:r>
            <w:r w:rsidRPr="00FA3E9E">
              <w:rPr>
                <w:lang w:eastAsia="en-US"/>
              </w:rPr>
              <w:t>gada rudens lietavās izmirka raža un daudzviet to nevarēja novākt, 2016.</w:t>
            </w:r>
            <w:r>
              <w:rPr>
                <w:lang w:eastAsia="en-US"/>
              </w:rPr>
              <w:t xml:space="preserve"> </w:t>
            </w:r>
            <w:r w:rsidRPr="00FA3E9E">
              <w:rPr>
                <w:lang w:eastAsia="en-US"/>
              </w:rPr>
              <w:t xml:space="preserve">gadā </w:t>
            </w:r>
            <w:r w:rsidR="00F41CB5">
              <w:rPr>
                <w:lang w:eastAsia="en-US"/>
              </w:rPr>
              <w:t xml:space="preserve">bija </w:t>
            </w:r>
            <w:r w:rsidRPr="00FA3E9E">
              <w:rPr>
                <w:lang w:eastAsia="en-US"/>
              </w:rPr>
              <w:t xml:space="preserve">kailsals, </w:t>
            </w:r>
            <w:r w:rsidR="00F41CB5">
              <w:rPr>
                <w:lang w:eastAsia="en-US"/>
              </w:rPr>
              <w:t>tāpēc</w:t>
            </w:r>
            <w:r w:rsidRPr="00FA3E9E">
              <w:rPr>
                <w:lang w:eastAsia="en-US"/>
              </w:rPr>
              <w:t xml:space="preserve"> lauksaimniekiem nebija ienākum</w:t>
            </w:r>
            <w:r w:rsidR="00F41CB5">
              <w:rPr>
                <w:lang w:eastAsia="en-US"/>
              </w:rPr>
              <w:t>u</w:t>
            </w:r>
            <w:r w:rsidRPr="00FA3E9E">
              <w:rPr>
                <w:lang w:eastAsia="en-US"/>
              </w:rPr>
              <w:t xml:space="preserve">, lai </w:t>
            </w:r>
            <w:r w:rsidR="00F41CB5" w:rsidRPr="00FA3E9E">
              <w:rPr>
                <w:lang w:eastAsia="en-US"/>
              </w:rPr>
              <w:t>piln</w:t>
            </w:r>
            <w:r w:rsidR="00F41CB5">
              <w:rPr>
                <w:lang w:eastAsia="en-US"/>
              </w:rPr>
              <w:t>īb</w:t>
            </w:r>
            <w:r w:rsidR="00F41CB5" w:rsidRPr="00FA3E9E">
              <w:rPr>
                <w:lang w:eastAsia="en-US"/>
              </w:rPr>
              <w:t>ā vai daļēj</w:t>
            </w:r>
            <w:r w:rsidR="00F41CB5">
              <w:rPr>
                <w:lang w:eastAsia="en-US"/>
              </w:rPr>
              <w:t>i</w:t>
            </w:r>
            <w:r w:rsidR="00F41CB5" w:rsidRPr="00FA3E9E">
              <w:rPr>
                <w:lang w:eastAsia="en-US"/>
              </w:rPr>
              <w:t xml:space="preserve"> </w:t>
            </w:r>
            <w:r w:rsidRPr="00FA3E9E">
              <w:rPr>
                <w:lang w:eastAsia="en-US"/>
              </w:rPr>
              <w:t xml:space="preserve">atmaksātu aizdevumu. </w:t>
            </w:r>
            <w:r w:rsidR="00F41CB5">
              <w:rPr>
                <w:lang w:eastAsia="en-US"/>
              </w:rPr>
              <w:t>L</w:t>
            </w:r>
            <w:r w:rsidRPr="00FA3E9E">
              <w:rPr>
                <w:lang w:eastAsia="en-US"/>
              </w:rPr>
              <w:t xml:space="preserve">auksaimnieku aizdevumu nodrošinājums </w:t>
            </w:r>
            <w:r w:rsidR="00F41CB5">
              <w:rPr>
                <w:lang w:eastAsia="en-US"/>
              </w:rPr>
              <w:t>g</w:t>
            </w:r>
            <w:r w:rsidR="00F41CB5" w:rsidRPr="00FA3E9E">
              <w:rPr>
                <w:lang w:eastAsia="en-US"/>
              </w:rPr>
              <w:t xml:space="preserve">alvenokārt </w:t>
            </w:r>
            <w:r w:rsidRPr="00FA3E9E">
              <w:rPr>
                <w:lang w:eastAsia="en-US"/>
              </w:rPr>
              <w:t xml:space="preserve">ir lauksaimniecības zeme, kas ir ātri realizējams likvīds nodrošinājums ar augošu cenu. Realizējot ķīlu, </w:t>
            </w:r>
            <w:proofErr w:type="spellStart"/>
            <w:r w:rsidRPr="00FA3E9E">
              <w:rPr>
                <w:i/>
                <w:lang w:eastAsia="en-US"/>
              </w:rPr>
              <w:t>Altum</w:t>
            </w:r>
            <w:proofErr w:type="spellEnd"/>
            <w:r w:rsidRPr="00FA3E9E">
              <w:rPr>
                <w:lang w:eastAsia="en-US"/>
              </w:rPr>
              <w:t xml:space="preserve"> segtu visas saistības, bet klienta saimnieciskā darbība </w:t>
            </w:r>
            <w:r w:rsidR="00F41CB5">
              <w:rPr>
                <w:lang w:eastAsia="en-US"/>
              </w:rPr>
              <w:t>būtībā</w:t>
            </w:r>
            <w:r w:rsidRPr="00FA3E9E">
              <w:rPr>
                <w:lang w:eastAsia="en-US"/>
              </w:rPr>
              <w:t xml:space="preserve"> tiktu iznīcināta – atņemts galvenais aktīvs lauksaimniecības zeme. Aizdevuma termiņa pagarināšana nerada risku no nodrošinājuma viedokļa un nodrošinājuma finanšu instrumenta pieejamību atbilstoši lauksaimniecības specifikai.</w:t>
            </w:r>
          </w:p>
        </w:tc>
      </w:tr>
      <w:tr w:rsidR="00534801" w14:paraId="3AB46CED" w14:textId="77777777" w:rsidTr="005B7E71">
        <w:trPr>
          <w:tblCellSpacing w:w="0" w:type="dxa"/>
        </w:trPr>
        <w:tc>
          <w:tcPr>
            <w:tcW w:w="441" w:type="dxa"/>
            <w:gridSpan w:val="2"/>
          </w:tcPr>
          <w:p w14:paraId="383F4EE9" w14:textId="77777777" w:rsidR="00534801" w:rsidRDefault="002D7ED2" w:rsidP="002C4AB3">
            <w:pPr>
              <w:pStyle w:val="Parasts1"/>
              <w:jc w:val="center"/>
            </w:pPr>
            <w:r>
              <w:lastRenderedPageBreak/>
              <w:t>10.</w:t>
            </w:r>
          </w:p>
        </w:tc>
        <w:tc>
          <w:tcPr>
            <w:tcW w:w="3402" w:type="dxa"/>
            <w:gridSpan w:val="2"/>
          </w:tcPr>
          <w:p w14:paraId="6FC32100" w14:textId="77777777" w:rsidR="00534801" w:rsidRPr="00DC09A7" w:rsidRDefault="00100D9E" w:rsidP="00DC09A7">
            <w:pPr>
              <w:jc w:val="both"/>
              <w:rPr>
                <w:sz w:val="24"/>
                <w:szCs w:val="24"/>
                <w:lang w:eastAsia="en-US"/>
              </w:rPr>
            </w:pPr>
            <w:r w:rsidRPr="00100D9E">
              <w:rPr>
                <w:sz w:val="24"/>
                <w:szCs w:val="24"/>
                <w:lang w:eastAsia="en-US"/>
              </w:rPr>
              <w:t xml:space="preserve">13. Ja aizņēmējs nespēj nodrošināt aizdevuma līgumā paredzēto saistību izpildi, bet naudas plūsma vai saimniecības attīstības plāns apliecina aizņēmēja spēju atmaksāt aizdevumu nākotnē, sabiedrība </w:t>
            </w:r>
            <w:proofErr w:type="spellStart"/>
            <w:r w:rsidRPr="00100D9E">
              <w:rPr>
                <w:sz w:val="24"/>
                <w:szCs w:val="24"/>
                <w:lang w:eastAsia="en-US"/>
              </w:rPr>
              <w:t>Altum</w:t>
            </w:r>
            <w:proofErr w:type="spellEnd"/>
            <w:r w:rsidRPr="00100D9E">
              <w:rPr>
                <w:sz w:val="24"/>
                <w:szCs w:val="24"/>
                <w:lang w:eastAsia="en-US"/>
              </w:rPr>
              <w:t xml:space="preserve"> ir tiesīga veikt aizņēmēja un aizdevuma restrukturizāciju, pagarinot aizdevuma termiņu līdz pieciem gadiem, kā arī mainot maksājuma kārtību (apmēru) un </w:t>
            </w:r>
            <w:r w:rsidRPr="00100D9E">
              <w:rPr>
                <w:sz w:val="24"/>
                <w:szCs w:val="24"/>
                <w:lang w:eastAsia="en-US"/>
              </w:rPr>
              <w:lastRenderedPageBreak/>
              <w:t xml:space="preserve">maksājumu struktūru (periodiskums). Ja nepieciešams, sabiedrība </w:t>
            </w:r>
            <w:proofErr w:type="spellStart"/>
            <w:r w:rsidRPr="00100D9E">
              <w:rPr>
                <w:sz w:val="24"/>
                <w:szCs w:val="24"/>
                <w:lang w:eastAsia="en-US"/>
              </w:rPr>
              <w:t>Altum</w:t>
            </w:r>
            <w:proofErr w:type="spellEnd"/>
            <w:r w:rsidRPr="00100D9E">
              <w:rPr>
                <w:sz w:val="24"/>
                <w:szCs w:val="24"/>
                <w:lang w:eastAsia="en-US"/>
              </w:rPr>
              <w:t xml:space="preserve"> aizņēmēja restrukturizācijas plānu saskaņo ar sabiedrību ar ierobežotu atbildību "Latvijas Lauku konsultāciju un izglītības centrs".</w:t>
            </w:r>
          </w:p>
        </w:tc>
        <w:tc>
          <w:tcPr>
            <w:tcW w:w="4252" w:type="dxa"/>
          </w:tcPr>
          <w:p w14:paraId="2BD5ED78" w14:textId="77777777" w:rsidR="00534801" w:rsidRDefault="002D7ED2" w:rsidP="00BF205D">
            <w:pPr>
              <w:pStyle w:val="Paraststmeklis"/>
              <w:ind w:right="11"/>
              <w:jc w:val="both"/>
            </w:pPr>
            <w:r w:rsidRPr="002D7ED2">
              <w:lastRenderedPageBreak/>
              <w:t>Lūdzam skaidrot, pamatojoties uz kādiem kritērijiem, principiem un darbībām tiks pieņemts lēmums par nepieciešamību restrukturizācijas plānu saskaņot ar sabiedrību ar ierobežotu atbildību "Latvijas Lauku konsultāciju un izglītības centrs," kā tas norādīts noteikumu projekta 13.punktā.</w:t>
            </w:r>
          </w:p>
        </w:tc>
        <w:tc>
          <w:tcPr>
            <w:tcW w:w="1843" w:type="dxa"/>
            <w:gridSpan w:val="2"/>
          </w:tcPr>
          <w:p w14:paraId="4903E0CC" w14:textId="77777777" w:rsidR="00534801" w:rsidRPr="00367715" w:rsidRDefault="00DD5969" w:rsidP="004B1391">
            <w:pPr>
              <w:pStyle w:val="Parasts1"/>
              <w:jc w:val="both"/>
              <w:rPr>
                <w:b/>
              </w:rPr>
            </w:pPr>
            <w:r w:rsidRPr="00DD5969">
              <w:rPr>
                <w:b/>
              </w:rPr>
              <w:t>Ņemts vērā</w:t>
            </w:r>
            <w:r w:rsidR="00F41CB5">
              <w:rPr>
                <w:b/>
              </w:rPr>
              <w:t>.</w:t>
            </w:r>
          </w:p>
        </w:tc>
        <w:tc>
          <w:tcPr>
            <w:tcW w:w="4379" w:type="dxa"/>
          </w:tcPr>
          <w:p w14:paraId="34D3C189" w14:textId="34F7C99F" w:rsidR="00534801" w:rsidRPr="003B0D44" w:rsidRDefault="00100D9E" w:rsidP="00BA0DEA">
            <w:pPr>
              <w:pStyle w:val="Parasts1"/>
              <w:jc w:val="both"/>
              <w:rPr>
                <w:lang w:eastAsia="en-US"/>
              </w:rPr>
            </w:pPr>
            <w:r w:rsidRPr="00100D9E">
              <w:rPr>
                <w:lang w:eastAsia="en-US"/>
              </w:rPr>
              <w:t xml:space="preserve">14. Ja aizņēmējs nespēj nodrošināt aizdevuma līgumā paredzēto saistību izpildi, bet naudas plūsma vai saimniecības attīstības plāns apliecina aizņēmēja spēju atmaksāt aizdevumu nākotnē, sabiedrība </w:t>
            </w:r>
            <w:proofErr w:type="spellStart"/>
            <w:r w:rsidRPr="00100D9E">
              <w:rPr>
                <w:lang w:eastAsia="en-US"/>
              </w:rPr>
              <w:t>Altum</w:t>
            </w:r>
            <w:proofErr w:type="spellEnd"/>
            <w:r w:rsidRPr="00100D9E">
              <w:rPr>
                <w:lang w:eastAsia="en-US"/>
              </w:rPr>
              <w:t xml:space="preserve"> ir tiesīga </w:t>
            </w:r>
            <w:r w:rsidR="00F41CB5">
              <w:rPr>
                <w:lang w:eastAsia="en-US"/>
              </w:rPr>
              <w:t xml:space="preserve">restrukturizēt </w:t>
            </w:r>
            <w:r w:rsidRPr="00100D9E">
              <w:rPr>
                <w:lang w:eastAsia="en-US"/>
              </w:rPr>
              <w:t>aizdevumu, pagarinot aizdevuma termiņu līdz pieciem gadiem, kā arī mainot maksājuma kārtību (apmēru) un struktūru (periodiskum</w:t>
            </w:r>
            <w:r w:rsidR="00F41CB5">
              <w:rPr>
                <w:lang w:eastAsia="en-US"/>
              </w:rPr>
              <w:t>u</w:t>
            </w:r>
            <w:r w:rsidRPr="00100D9E">
              <w:rPr>
                <w:lang w:eastAsia="en-US"/>
              </w:rPr>
              <w:t>).</w:t>
            </w:r>
          </w:p>
        </w:tc>
      </w:tr>
      <w:tr w:rsidR="00534801" w14:paraId="2E3D0108" w14:textId="77777777" w:rsidTr="005B7E71">
        <w:trPr>
          <w:tblCellSpacing w:w="0" w:type="dxa"/>
        </w:trPr>
        <w:tc>
          <w:tcPr>
            <w:tcW w:w="441" w:type="dxa"/>
            <w:gridSpan w:val="2"/>
          </w:tcPr>
          <w:p w14:paraId="36C396DE" w14:textId="77777777" w:rsidR="00534801" w:rsidRDefault="002D7ED2" w:rsidP="002C4AB3">
            <w:pPr>
              <w:pStyle w:val="Parasts1"/>
              <w:jc w:val="center"/>
            </w:pPr>
            <w:r>
              <w:t>11.</w:t>
            </w:r>
          </w:p>
        </w:tc>
        <w:tc>
          <w:tcPr>
            <w:tcW w:w="3402" w:type="dxa"/>
            <w:gridSpan w:val="2"/>
          </w:tcPr>
          <w:p w14:paraId="087F832A" w14:textId="77777777" w:rsidR="00534801" w:rsidRPr="00DC09A7" w:rsidRDefault="00534801" w:rsidP="00DC09A7">
            <w:pPr>
              <w:jc w:val="both"/>
              <w:rPr>
                <w:sz w:val="24"/>
                <w:szCs w:val="24"/>
                <w:lang w:eastAsia="en-US"/>
              </w:rPr>
            </w:pPr>
          </w:p>
        </w:tc>
        <w:tc>
          <w:tcPr>
            <w:tcW w:w="4252" w:type="dxa"/>
          </w:tcPr>
          <w:p w14:paraId="1ED7A4CC" w14:textId="77777777" w:rsidR="00534801" w:rsidRDefault="002D7ED2" w:rsidP="00BF205D">
            <w:pPr>
              <w:pStyle w:val="Paraststmeklis"/>
              <w:ind w:right="11"/>
              <w:jc w:val="both"/>
            </w:pPr>
            <w:r w:rsidRPr="002D7ED2">
              <w:t>Atbilstoši Attīstības finanšu institūcijas likuma 12. panta trešajā daļā noteiktajam lūdzam izstrādāt un pievienot noteikumu projektam programmas izvērtējumu, kurā izvērtēta programmas ietekme, riski un sagaidāmie zaudējumi, finansiālais rezultāts un programmas īstenošanas izmaksu noteikšanas principi un iekļaut informāciju par zaudējumu segšanu, kas pārsniedz pirmo zaudējumu noteikto robežu no piesaistītiem finanšu resursiem.</w:t>
            </w:r>
          </w:p>
        </w:tc>
        <w:tc>
          <w:tcPr>
            <w:tcW w:w="1843" w:type="dxa"/>
            <w:gridSpan w:val="2"/>
          </w:tcPr>
          <w:p w14:paraId="51D9E4F9" w14:textId="77777777" w:rsidR="00534801" w:rsidRPr="00367715" w:rsidRDefault="00DD5969" w:rsidP="004B1391">
            <w:pPr>
              <w:pStyle w:val="Parasts1"/>
              <w:jc w:val="both"/>
              <w:rPr>
                <w:b/>
              </w:rPr>
            </w:pPr>
            <w:r w:rsidRPr="00DD5969">
              <w:rPr>
                <w:b/>
              </w:rPr>
              <w:t>Ņemts vērā</w:t>
            </w:r>
            <w:r w:rsidR="00F41CB5">
              <w:rPr>
                <w:b/>
              </w:rPr>
              <w:t>.</w:t>
            </w:r>
          </w:p>
        </w:tc>
        <w:tc>
          <w:tcPr>
            <w:tcW w:w="4379" w:type="dxa"/>
          </w:tcPr>
          <w:p w14:paraId="2F320D82" w14:textId="77777777" w:rsidR="00534801" w:rsidRPr="003B0D44" w:rsidRDefault="00020E13" w:rsidP="00BA0DEA">
            <w:pPr>
              <w:pStyle w:val="Parasts1"/>
              <w:jc w:val="both"/>
              <w:rPr>
                <w:lang w:eastAsia="en-US"/>
              </w:rPr>
            </w:pPr>
            <w:r w:rsidRPr="00020E13">
              <w:rPr>
                <w:lang w:eastAsia="en-US"/>
              </w:rPr>
              <w:t>Atbilstoši Attīstības finanšu institūcijas likuma 12. panta trešajā daļā noteiktajam</w:t>
            </w:r>
            <w:r>
              <w:rPr>
                <w:lang w:eastAsia="en-US"/>
              </w:rPr>
              <w:t xml:space="preserve"> ir</w:t>
            </w:r>
            <w:r w:rsidRPr="00020E13">
              <w:rPr>
                <w:lang w:eastAsia="en-US"/>
              </w:rPr>
              <w:t xml:space="preserve"> izstrādāt</w:t>
            </w:r>
            <w:r>
              <w:rPr>
                <w:lang w:eastAsia="en-US"/>
              </w:rPr>
              <w:t>s</w:t>
            </w:r>
            <w:r w:rsidRPr="00020E13">
              <w:rPr>
                <w:lang w:eastAsia="en-US"/>
              </w:rPr>
              <w:t xml:space="preserve"> un pievienot</w:t>
            </w:r>
            <w:r>
              <w:rPr>
                <w:lang w:eastAsia="en-US"/>
              </w:rPr>
              <w:t>s</w:t>
            </w:r>
            <w:r w:rsidRPr="00020E13">
              <w:rPr>
                <w:lang w:eastAsia="en-US"/>
              </w:rPr>
              <w:t xml:space="preserve"> noteikumu projektam programmas izvērtējum</w:t>
            </w:r>
            <w:r>
              <w:rPr>
                <w:lang w:eastAsia="en-US"/>
              </w:rPr>
              <w:t>s kā ierobežotas pieejamības dokuments.</w:t>
            </w:r>
          </w:p>
        </w:tc>
      </w:tr>
      <w:tr w:rsidR="00534801" w14:paraId="013DED3D" w14:textId="77777777" w:rsidTr="005B7E71">
        <w:trPr>
          <w:tblCellSpacing w:w="0" w:type="dxa"/>
        </w:trPr>
        <w:tc>
          <w:tcPr>
            <w:tcW w:w="441" w:type="dxa"/>
            <w:gridSpan w:val="2"/>
          </w:tcPr>
          <w:p w14:paraId="755D4A59" w14:textId="77777777" w:rsidR="00534801" w:rsidRDefault="00534801" w:rsidP="002C4AB3">
            <w:pPr>
              <w:pStyle w:val="Parasts1"/>
              <w:jc w:val="center"/>
            </w:pPr>
          </w:p>
        </w:tc>
        <w:tc>
          <w:tcPr>
            <w:tcW w:w="3402" w:type="dxa"/>
            <w:gridSpan w:val="2"/>
          </w:tcPr>
          <w:p w14:paraId="16FA2C40" w14:textId="77777777" w:rsidR="00534801" w:rsidRPr="00DC09A7" w:rsidRDefault="00534801" w:rsidP="00DC09A7">
            <w:pPr>
              <w:jc w:val="both"/>
              <w:rPr>
                <w:sz w:val="24"/>
                <w:szCs w:val="24"/>
                <w:lang w:eastAsia="en-US"/>
              </w:rPr>
            </w:pPr>
          </w:p>
        </w:tc>
        <w:tc>
          <w:tcPr>
            <w:tcW w:w="4252" w:type="dxa"/>
          </w:tcPr>
          <w:p w14:paraId="168046BB" w14:textId="77777777" w:rsidR="00534801" w:rsidRPr="002D7ED2" w:rsidRDefault="002D7ED2" w:rsidP="00BF205D">
            <w:pPr>
              <w:pStyle w:val="Paraststmeklis"/>
              <w:ind w:right="11"/>
              <w:jc w:val="both"/>
              <w:rPr>
                <w:b/>
              </w:rPr>
            </w:pPr>
            <w:r w:rsidRPr="002D7ED2">
              <w:rPr>
                <w:b/>
              </w:rPr>
              <w:t>Tieslietu ministrija</w:t>
            </w:r>
            <w:r w:rsidR="004923E3">
              <w:rPr>
                <w:b/>
              </w:rPr>
              <w:t xml:space="preserve"> </w:t>
            </w:r>
            <w:r w:rsidR="004923E3" w:rsidRPr="004923E3">
              <w:rPr>
                <w:b/>
              </w:rPr>
              <w:t>(26.09.2019.)</w:t>
            </w:r>
          </w:p>
        </w:tc>
        <w:tc>
          <w:tcPr>
            <w:tcW w:w="1843" w:type="dxa"/>
            <w:gridSpan w:val="2"/>
          </w:tcPr>
          <w:p w14:paraId="52261F3E" w14:textId="77777777" w:rsidR="00534801" w:rsidRPr="00367715" w:rsidRDefault="00534801" w:rsidP="004B1391">
            <w:pPr>
              <w:pStyle w:val="Parasts1"/>
              <w:jc w:val="both"/>
              <w:rPr>
                <w:b/>
              </w:rPr>
            </w:pPr>
          </w:p>
        </w:tc>
        <w:tc>
          <w:tcPr>
            <w:tcW w:w="4379" w:type="dxa"/>
          </w:tcPr>
          <w:p w14:paraId="1B8966EA" w14:textId="77777777" w:rsidR="00534801" w:rsidRPr="003B0D44" w:rsidRDefault="00534801" w:rsidP="00BA0DEA">
            <w:pPr>
              <w:pStyle w:val="Parasts1"/>
              <w:jc w:val="both"/>
              <w:rPr>
                <w:lang w:eastAsia="en-US"/>
              </w:rPr>
            </w:pPr>
          </w:p>
        </w:tc>
      </w:tr>
      <w:tr w:rsidR="002D7ED2" w14:paraId="4CD93C85" w14:textId="77777777" w:rsidTr="005B7E71">
        <w:trPr>
          <w:tblCellSpacing w:w="0" w:type="dxa"/>
        </w:trPr>
        <w:tc>
          <w:tcPr>
            <w:tcW w:w="441" w:type="dxa"/>
            <w:gridSpan w:val="2"/>
          </w:tcPr>
          <w:p w14:paraId="3FC2E28D" w14:textId="77777777" w:rsidR="002D7ED2" w:rsidRDefault="002D7ED2" w:rsidP="002C4AB3">
            <w:pPr>
              <w:pStyle w:val="Parasts1"/>
              <w:jc w:val="center"/>
            </w:pPr>
            <w:r>
              <w:t>12.</w:t>
            </w:r>
          </w:p>
        </w:tc>
        <w:tc>
          <w:tcPr>
            <w:tcW w:w="3402" w:type="dxa"/>
            <w:gridSpan w:val="2"/>
          </w:tcPr>
          <w:p w14:paraId="327A0734" w14:textId="77777777" w:rsidR="002D7ED2" w:rsidRPr="00DC09A7" w:rsidRDefault="00DD5969" w:rsidP="00DC09A7">
            <w:pPr>
              <w:jc w:val="both"/>
              <w:rPr>
                <w:sz w:val="24"/>
                <w:szCs w:val="24"/>
                <w:lang w:eastAsia="en-US"/>
              </w:rPr>
            </w:pPr>
            <w:r w:rsidRPr="00DD5969">
              <w:rPr>
                <w:sz w:val="24"/>
                <w:szCs w:val="24"/>
                <w:lang w:eastAsia="en-US"/>
              </w:rPr>
              <w:t>Noteikumi par aizdevumu programmu apgrozāmo līdzekļu iegādei lauksaimniecības, mežsaimniecības, zvejniecības un akvakultūras nozarē</w:t>
            </w:r>
          </w:p>
        </w:tc>
        <w:tc>
          <w:tcPr>
            <w:tcW w:w="4252" w:type="dxa"/>
          </w:tcPr>
          <w:p w14:paraId="0E731BE1" w14:textId="77777777" w:rsidR="002D7ED2" w:rsidRDefault="002D7ED2" w:rsidP="00BF205D">
            <w:pPr>
              <w:pStyle w:val="Paraststmeklis"/>
              <w:ind w:right="11"/>
              <w:jc w:val="both"/>
            </w:pPr>
            <w:r w:rsidRPr="002D7ED2">
              <w:t xml:space="preserve">Vēršam uzmanību, ka projekta nosaukums neatbilst Ministru kabineta 2009. gada 3. februāra noteikumu Nr. 108 „Normatīvo aktu projektu sagatavošanas noteikumi” (turpmāk – NAP noteikumi) 90., 91. un 92. punktam, kas noteic, ka noteikumu projekta nosaukumu veido iespējami īsu un atbilstošu likumā noteiktajam pilnvarojumam Ministru kabinetam un noteikumu saturam, vārdus “kārtība”, “noteikumi” </w:t>
            </w:r>
            <w:proofErr w:type="spellStart"/>
            <w:r w:rsidRPr="002D7ED2">
              <w:t>v.tml</w:t>
            </w:r>
            <w:proofErr w:type="spellEnd"/>
            <w:r w:rsidRPr="002D7ED2">
              <w:t xml:space="preserve">. rakstot kā nosaukuma pēdējo vārdu un ka nosaukumu ar vārdiem “Noteikumi par” iesāk tikai retos izņēmuma </w:t>
            </w:r>
            <w:r w:rsidRPr="002D7ED2">
              <w:lastRenderedPageBreak/>
              <w:t>gadījumos. Ievērojot minēto, lūdzam precizēt projekta nosaukumu.</w:t>
            </w:r>
          </w:p>
        </w:tc>
        <w:tc>
          <w:tcPr>
            <w:tcW w:w="1843" w:type="dxa"/>
            <w:gridSpan w:val="2"/>
          </w:tcPr>
          <w:p w14:paraId="71012CE0" w14:textId="63F46830" w:rsidR="002D7ED2" w:rsidRPr="00DD5969" w:rsidRDefault="00DD5969" w:rsidP="004B1391">
            <w:pPr>
              <w:pStyle w:val="Parasts1"/>
              <w:jc w:val="both"/>
            </w:pPr>
            <w:r w:rsidRPr="00DD5969">
              <w:rPr>
                <w:b/>
              </w:rPr>
              <w:lastRenderedPageBreak/>
              <w:t>Ņemts vērā</w:t>
            </w:r>
            <w:r>
              <w:t>, precizēts noteikumu projekta nosaukums,</w:t>
            </w:r>
            <w:r w:rsidR="00305F9A">
              <w:t xml:space="preserve"> pamatojoties uz NAP noteikumu 4. punktu</w:t>
            </w:r>
            <w:r w:rsidR="00F41CB5">
              <w:t>, ka</w:t>
            </w:r>
            <w:r w:rsidR="00305F9A">
              <w:t xml:space="preserve"> </w:t>
            </w:r>
            <w:r w:rsidR="00F41CB5">
              <w:t>v</w:t>
            </w:r>
            <w:r w:rsidR="00305F9A">
              <w:t xml:space="preserve">ārds “kārtība” labskanības dēļ  netiek lietots </w:t>
            </w:r>
            <w:r w:rsidR="00F41CB5">
              <w:t>M</w:t>
            </w:r>
            <w:r w:rsidR="00305F9A">
              <w:t xml:space="preserve">inistru kabineta noteikumu </w:t>
            </w:r>
            <w:r w:rsidR="00305F9A">
              <w:lastRenderedPageBreak/>
              <w:t>projekta nosaukuma beigās.</w:t>
            </w:r>
          </w:p>
        </w:tc>
        <w:tc>
          <w:tcPr>
            <w:tcW w:w="4379" w:type="dxa"/>
          </w:tcPr>
          <w:p w14:paraId="552378AC" w14:textId="77777777" w:rsidR="002D7ED2" w:rsidRPr="003B0D44" w:rsidRDefault="00FA3E9E" w:rsidP="00BA0DEA">
            <w:pPr>
              <w:pStyle w:val="Parasts1"/>
              <w:jc w:val="both"/>
              <w:rPr>
                <w:lang w:eastAsia="en-US"/>
              </w:rPr>
            </w:pPr>
            <w:r w:rsidRPr="00FA3E9E">
              <w:rPr>
                <w:lang w:eastAsia="en-US"/>
              </w:rPr>
              <w:lastRenderedPageBreak/>
              <w:t>Valsts atbalsta programmas īstenošanas kārtība aizdevumiem apgrozāmo līdzekļu iegādei lauksaimniecības, mežsaimniecības, zvejniecības un akvakultūras nozarē</w:t>
            </w:r>
          </w:p>
        </w:tc>
      </w:tr>
      <w:tr w:rsidR="002D7ED2" w14:paraId="7E7600FF" w14:textId="77777777" w:rsidTr="005B7E71">
        <w:trPr>
          <w:tblCellSpacing w:w="0" w:type="dxa"/>
        </w:trPr>
        <w:tc>
          <w:tcPr>
            <w:tcW w:w="441" w:type="dxa"/>
            <w:gridSpan w:val="2"/>
          </w:tcPr>
          <w:p w14:paraId="44F39295" w14:textId="77777777" w:rsidR="002D7ED2" w:rsidRDefault="002D7ED2" w:rsidP="002C4AB3">
            <w:pPr>
              <w:pStyle w:val="Parasts1"/>
              <w:jc w:val="center"/>
            </w:pPr>
            <w:r>
              <w:t>13.</w:t>
            </w:r>
          </w:p>
        </w:tc>
        <w:tc>
          <w:tcPr>
            <w:tcW w:w="3402" w:type="dxa"/>
            <w:gridSpan w:val="2"/>
          </w:tcPr>
          <w:p w14:paraId="4F4B36EB" w14:textId="77777777" w:rsidR="002D7ED2" w:rsidRPr="00DC09A7" w:rsidRDefault="00305F9A" w:rsidP="00DC09A7">
            <w:pPr>
              <w:jc w:val="both"/>
              <w:rPr>
                <w:sz w:val="24"/>
                <w:szCs w:val="24"/>
                <w:lang w:eastAsia="en-US"/>
              </w:rPr>
            </w:pPr>
            <w:r w:rsidRPr="00305F9A">
              <w:rPr>
                <w:sz w:val="24"/>
                <w:szCs w:val="24"/>
                <w:lang w:eastAsia="en-US"/>
              </w:rPr>
              <w:t>1. Noteikumi nosaka aizdevumu programmas īstenošanas kārtību apgrozāmo līdzekļu iegādei lauksaimniecības, mežsaimniecības, zvejniecības un akvakultūras nozarē, finansējumu un atbalstāmās darbības.</w:t>
            </w:r>
          </w:p>
        </w:tc>
        <w:tc>
          <w:tcPr>
            <w:tcW w:w="4252" w:type="dxa"/>
          </w:tcPr>
          <w:p w14:paraId="1386B894" w14:textId="77777777" w:rsidR="002D7ED2" w:rsidRDefault="002D7ED2" w:rsidP="00BF205D">
            <w:pPr>
              <w:pStyle w:val="Paraststmeklis"/>
              <w:ind w:right="11"/>
              <w:jc w:val="both"/>
            </w:pPr>
            <w:r w:rsidRPr="002D7ED2">
              <w:t>Lūdzam precizēt projekta 1. punktu, precīzāk atspoguļojot Attīstības finanšu institūcijas likuma (turpmāk – Likums) 12. panta ceturtajā daļā ietverto pilnvarojumu Ministru kabineta noteikumu izdošanai, proti, “Ministru kabinets apstiprina programmas un nosaka to īstenošanas kārtību, finansējumu, atbalstāmo darbību un izmaksu attiecināmības nosacījumus, tai skaitā finansējumu Finanšu institūcijas izdevumu segšanai”.</w:t>
            </w:r>
          </w:p>
        </w:tc>
        <w:tc>
          <w:tcPr>
            <w:tcW w:w="1843" w:type="dxa"/>
            <w:gridSpan w:val="2"/>
          </w:tcPr>
          <w:p w14:paraId="3263CC20" w14:textId="77777777" w:rsidR="002D7ED2" w:rsidRPr="00367715" w:rsidRDefault="00DD5969" w:rsidP="004B1391">
            <w:pPr>
              <w:pStyle w:val="Parasts1"/>
              <w:jc w:val="both"/>
              <w:rPr>
                <w:b/>
              </w:rPr>
            </w:pPr>
            <w:r w:rsidRPr="00DD5969">
              <w:rPr>
                <w:b/>
              </w:rPr>
              <w:t>Ņemts vērā</w:t>
            </w:r>
            <w:r w:rsidR="00F41CB5">
              <w:rPr>
                <w:b/>
              </w:rPr>
              <w:t>.</w:t>
            </w:r>
          </w:p>
        </w:tc>
        <w:tc>
          <w:tcPr>
            <w:tcW w:w="4379" w:type="dxa"/>
          </w:tcPr>
          <w:p w14:paraId="399AB09B" w14:textId="324DE290" w:rsidR="002D7ED2" w:rsidRPr="003B0D44" w:rsidRDefault="00305F9A" w:rsidP="00BA0DEA">
            <w:pPr>
              <w:pStyle w:val="Parasts1"/>
              <w:jc w:val="both"/>
              <w:rPr>
                <w:lang w:eastAsia="en-US"/>
              </w:rPr>
            </w:pPr>
            <w:r w:rsidRPr="00305F9A">
              <w:rPr>
                <w:lang w:eastAsia="en-US"/>
              </w:rPr>
              <w:t xml:space="preserve">1. Noteikumi nosaka valsts atbalsta programmas īstenošanas kārtību aizdevumiem apgrozāmo līdzekļu iegādei lauksaimniecības, mežsaimniecības, zvejniecības un akvakultūras nozarē (turpmāk </w:t>
            </w:r>
            <w:r w:rsidR="00F41CB5">
              <w:rPr>
                <w:lang w:eastAsia="en-US"/>
              </w:rPr>
              <w:t>–</w:t>
            </w:r>
            <w:r w:rsidRPr="00305F9A">
              <w:rPr>
                <w:lang w:eastAsia="en-US"/>
              </w:rPr>
              <w:t xml:space="preserve"> aizdevums), finansējumu, atbalstāmās darbības un izmaksu attiecināmības nosacījumus.</w:t>
            </w:r>
          </w:p>
        </w:tc>
      </w:tr>
      <w:tr w:rsidR="002D7ED2" w14:paraId="2936B0A4" w14:textId="77777777" w:rsidTr="005B7E71">
        <w:trPr>
          <w:tblCellSpacing w:w="0" w:type="dxa"/>
        </w:trPr>
        <w:tc>
          <w:tcPr>
            <w:tcW w:w="441" w:type="dxa"/>
            <w:gridSpan w:val="2"/>
          </w:tcPr>
          <w:p w14:paraId="10113CE9" w14:textId="77777777" w:rsidR="002D7ED2" w:rsidRDefault="002D7ED2" w:rsidP="002C4AB3">
            <w:pPr>
              <w:pStyle w:val="Parasts1"/>
              <w:jc w:val="center"/>
            </w:pPr>
            <w:r>
              <w:t>14.</w:t>
            </w:r>
          </w:p>
        </w:tc>
        <w:tc>
          <w:tcPr>
            <w:tcW w:w="3402" w:type="dxa"/>
            <w:gridSpan w:val="2"/>
          </w:tcPr>
          <w:p w14:paraId="005A7D4E" w14:textId="77777777" w:rsidR="002D7ED2" w:rsidRPr="00DC09A7" w:rsidRDefault="002D7ED2" w:rsidP="00DC09A7">
            <w:pPr>
              <w:jc w:val="both"/>
              <w:rPr>
                <w:sz w:val="24"/>
                <w:szCs w:val="24"/>
                <w:lang w:eastAsia="en-US"/>
              </w:rPr>
            </w:pPr>
          </w:p>
        </w:tc>
        <w:tc>
          <w:tcPr>
            <w:tcW w:w="4252" w:type="dxa"/>
          </w:tcPr>
          <w:p w14:paraId="2A85D7D4" w14:textId="77777777" w:rsidR="002D7ED2" w:rsidRDefault="002D7ED2" w:rsidP="00BF205D">
            <w:pPr>
              <w:pStyle w:val="Paraststmeklis"/>
              <w:ind w:right="11"/>
              <w:jc w:val="both"/>
            </w:pPr>
            <w:r w:rsidRPr="002D7ED2">
              <w:t>Projekta 3. punkts paredz, ka “aizdevumu faktūrkreditēšanas pakalpojuma izmantošanai piešķir tikai atbilstīgām kooperatīvajām sabiedrībām graudkopības nozarē”. Lūdzam projektā vai tā anotācijā skaidrot, kas ir šajā punktā minētais “faktūrkreditēšanas pakalpojums”, ņemot vērā, ka minētais termins nav skaidrots ne projektā, ne Likumā. Minētais iebildums attiecas arī uz projekta 12. punktu.</w:t>
            </w:r>
          </w:p>
        </w:tc>
        <w:tc>
          <w:tcPr>
            <w:tcW w:w="1843" w:type="dxa"/>
            <w:gridSpan w:val="2"/>
          </w:tcPr>
          <w:p w14:paraId="6BB5A639" w14:textId="77777777" w:rsidR="002D7ED2" w:rsidRPr="00305F9A" w:rsidRDefault="00DD5969" w:rsidP="004B1391">
            <w:pPr>
              <w:pStyle w:val="Parasts1"/>
              <w:jc w:val="both"/>
            </w:pPr>
            <w:r w:rsidRPr="00DD5969">
              <w:rPr>
                <w:b/>
              </w:rPr>
              <w:t>Ņemts vērā</w:t>
            </w:r>
            <w:r w:rsidR="00305F9A">
              <w:t>, skaidrojums iekļauts anotācijā</w:t>
            </w:r>
            <w:r w:rsidR="00F41CB5">
              <w:t>.</w:t>
            </w:r>
          </w:p>
        </w:tc>
        <w:tc>
          <w:tcPr>
            <w:tcW w:w="4379" w:type="dxa"/>
          </w:tcPr>
          <w:p w14:paraId="32B6C880" w14:textId="77777777" w:rsidR="002D7ED2" w:rsidRPr="003B0D44" w:rsidRDefault="00305F9A" w:rsidP="00BA0DEA">
            <w:pPr>
              <w:pStyle w:val="Parasts1"/>
              <w:jc w:val="both"/>
              <w:rPr>
                <w:lang w:eastAsia="en-US"/>
              </w:rPr>
            </w:pPr>
            <w:r w:rsidRPr="00305F9A">
              <w:rPr>
                <w:lang w:eastAsia="en-US"/>
              </w:rPr>
              <w:t>Noteikumu projektā paredzētā faktūrkreditēšana jeb faktorings ir kredīta izsniegšana uzņēmuma vai finanšu institūcijas darba kapitāla finansēšanai, pārskata sniedzējam iegādājoties šā uzņēmuma vai finanšu institūcijas debitoru parādus (prasības), pārņemot uzņēmuma vai finanšu institūcijas prasījuma tiesības pret preču vai pakalpojumu saņēmēju un uzņemoties kredītrisku.</w:t>
            </w:r>
          </w:p>
        </w:tc>
      </w:tr>
      <w:tr w:rsidR="00534801" w14:paraId="7EF6F15B" w14:textId="77777777" w:rsidTr="005B7E71">
        <w:trPr>
          <w:tblCellSpacing w:w="0" w:type="dxa"/>
        </w:trPr>
        <w:tc>
          <w:tcPr>
            <w:tcW w:w="441" w:type="dxa"/>
            <w:gridSpan w:val="2"/>
          </w:tcPr>
          <w:p w14:paraId="32234AC3" w14:textId="77777777" w:rsidR="00534801" w:rsidRDefault="002D7ED2" w:rsidP="002C4AB3">
            <w:pPr>
              <w:pStyle w:val="Parasts1"/>
              <w:jc w:val="center"/>
            </w:pPr>
            <w:r>
              <w:t>15.</w:t>
            </w:r>
          </w:p>
        </w:tc>
        <w:tc>
          <w:tcPr>
            <w:tcW w:w="3402" w:type="dxa"/>
            <w:gridSpan w:val="2"/>
          </w:tcPr>
          <w:p w14:paraId="0EF7E3C0" w14:textId="77777777" w:rsidR="00534801" w:rsidRPr="00DC09A7" w:rsidRDefault="00B937A8" w:rsidP="00DC09A7">
            <w:pPr>
              <w:jc w:val="both"/>
              <w:rPr>
                <w:sz w:val="24"/>
                <w:szCs w:val="24"/>
                <w:lang w:eastAsia="en-US"/>
              </w:rPr>
            </w:pPr>
            <w:r w:rsidRPr="00B937A8">
              <w:rPr>
                <w:sz w:val="24"/>
                <w:szCs w:val="24"/>
                <w:lang w:eastAsia="en-US"/>
              </w:rPr>
              <w:t xml:space="preserve">4. Sabiedrība </w:t>
            </w:r>
            <w:proofErr w:type="spellStart"/>
            <w:r w:rsidRPr="00B937A8">
              <w:rPr>
                <w:sz w:val="24"/>
                <w:szCs w:val="24"/>
                <w:lang w:eastAsia="en-US"/>
              </w:rPr>
              <w:t>Altum</w:t>
            </w:r>
            <w:proofErr w:type="spellEnd"/>
            <w:r w:rsidRPr="00B937A8">
              <w:rPr>
                <w:sz w:val="24"/>
                <w:szCs w:val="24"/>
                <w:lang w:eastAsia="en-US"/>
              </w:rPr>
              <w:t xml:space="preserve"> aizdevumu finansēšanai piesaista valsts aizdevumu kredītlīnijas veidā saskaņā ar normatīvajiem aktiem par kārtību, kādā ministrijas un citas centrālās valsts iestādes iekļauj gadskārtējā valsts budžeta likumprojektā valsts aizdevumu pieprasījumus, un valsts </w:t>
            </w:r>
            <w:r w:rsidRPr="00B937A8">
              <w:rPr>
                <w:sz w:val="24"/>
                <w:szCs w:val="24"/>
                <w:lang w:eastAsia="en-US"/>
              </w:rPr>
              <w:lastRenderedPageBreak/>
              <w:t>aizdevumu izsniegšanas un apkalpošanas kārtību vai aizdevumu no Eiropas Savienības vai citām finanšu institūcijām. Finanšu ministrs valsts aizdevumam nepiemēro normatīvajos aktos noteikto aizdevumu riska procentu likmi, un valsts aizdevums tiek izsniegts kredītlīnijas veidā bez nodrošinājuma.</w:t>
            </w:r>
          </w:p>
        </w:tc>
        <w:tc>
          <w:tcPr>
            <w:tcW w:w="4252" w:type="dxa"/>
          </w:tcPr>
          <w:p w14:paraId="56E8E61C" w14:textId="77777777" w:rsidR="00534801" w:rsidRDefault="00DD5969" w:rsidP="00BF205D">
            <w:pPr>
              <w:pStyle w:val="Paraststmeklis"/>
              <w:ind w:right="11"/>
              <w:jc w:val="both"/>
            </w:pPr>
            <w:r w:rsidRPr="00DD5969">
              <w:lastRenderedPageBreak/>
              <w:t xml:space="preserve">Norādām, ka nav skaidrs, kas ir domāts ar projekta 4. punktā minēto, ka “Finanšu ministrs valsts aizdevumam nepiemēro normatīvajos aktos noteikto aizdevumu riska procentu likmi, un valsts aizdevums tiek izsniegts kredītlīnijas veidā bez nodrošinājuma.” Proti, lūdzam projekta 4. punktā norādīt konkrētu normatīvo aktu jomu atbilstoši NAP noteikumu 137. </w:t>
            </w:r>
            <w:r w:rsidRPr="00DD5969">
              <w:lastRenderedPageBreak/>
              <w:t>punktam. Tāpat vēršam uzmanību, ka gadījumā, ja nosacījums par aizdevumu riska procenta likmi ietverts augstāka juridiskā spēka normatīvajā aktā (likumā), projekta 4. punkts precizējams, svītrojot augstāka juridiskā spēka normatīvajam aktam pretrunā esošus nosacījumus.</w:t>
            </w:r>
          </w:p>
        </w:tc>
        <w:tc>
          <w:tcPr>
            <w:tcW w:w="1843" w:type="dxa"/>
            <w:gridSpan w:val="2"/>
          </w:tcPr>
          <w:p w14:paraId="3FD0A434" w14:textId="77777777" w:rsidR="00534801" w:rsidRPr="00367715" w:rsidRDefault="00DD5969" w:rsidP="004B1391">
            <w:pPr>
              <w:pStyle w:val="Parasts1"/>
              <w:jc w:val="both"/>
              <w:rPr>
                <w:b/>
              </w:rPr>
            </w:pPr>
            <w:r w:rsidRPr="00DD5969">
              <w:rPr>
                <w:b/>
              </w:rPr>
              <w:lastRenderedPageBreak/>
              <w:t>Ņemts vērā</w:t>
            </w:r>
            <w:r w:rsidR="00F41CB5">
              <w:rPr>
                <w:b/>
              </w:rPr>
              <w:t>.</w:t>
            </w:r>
          </w:p>
        </w:tc>
        <w:tc>
          <w:tcPr>
            <w:tcW w:w="4379" w:type="dxa"/>
          </w:tcPr>
          <w:p w14:paraId="4238252C" w14:textId="77777777" w:rsidR="00534801" w:rsidRPr="003B0D44" w:rsidRDefault="00B937A8" w:rsidP="00BA0DEA">
            <w:pPr>
              <w:pStyle w:val="Parasts1"/>
              <w:jc w:val="both"/>
              <w:rPr>
                <w:lang w:eastAsia="en-US"/>
              </w:rPr>
            </w:pPr>
            <w:r w:rsidRPr="00B937A8">
              <w:rPr>
                <w:lang w:eastAsia="en-US"/>
              </w:rPr>
              <w:t xml:space="preserve">4. Sabiedrība </w:t>
            </w:r>
            <w:proofErr w:type="spellStart"/>
            <w:r w:rsidRPr="00B937A8">
              <w:rPr>
                <w:lang w:eastAsia="en-US"/>
              </w:rPr>
              <w:t>Altum</w:t>
            </w:r>
            <w:proofErr w:type="spellEnd"/>
            <w:r w:rsidRPr="00B937A8">
              <w:rPr>
                <w:lang w:eastAsia="en-US"/>
              </w:rPr>
              <w:t xml:space="preserve"> aizdevumu finansēšanai piesaista valsts aizdevumu kredītlīnijas veidā saskaņā ar normatīvajiem aktiem par kārtību, kādā ministrijas un citas centrālās valsts iestādes iekļauj gadskārtējā valsts budžeta likumprojektā valsts aizdevumu pieprasījumus, un valsts aizdevumu izsniegšanas un apkalpošanas kārtību vai aizdevumu no Eiropas Savienības vai citām </w:t>
            </w:r>
            <w:r w:rsidRPr="00B937A8">
              <w:rPr>
                <w:lang w:eastAsia="en-US"/>
              </w:rPr>
              <w:lastRenderedPageBreak/>
              <w:t>finanšu institūcijām. Finanšu ministrs valsts aizdevumam nepiemēro normatīvajos aktos par kārtību, kādā ministrijas un citas centrālās valsts iestādes iekļauj gadskārtējā valsts budžeta likumprojektā valsts aizdevumu pieprasījumus, un valsts aizdevumu izsniegšanas un apkalpošanas kārtību vai aizdevumu no Eiropas Savienības vai citām finanšu institūcijām noteikto aizdevumu riska procentu likmi.</w:t>
            </w:r>
          </w:p>
        </w:tc>
      </w:tr>
      <w:tr w:rsidR="00534801" w14:paraId="6B933CD0" w14:textId="77777777" w:rsidTr="005B7E71">
        <w:trPr>
          <w:tblCellSpacing w:w="0" w:type="dxa"/>
        </w:trPr>
        <w:tc>
          <w:tcPr>
            <w:tcW w:w="441" w:type="dxa"/>
            <w:gridSpan w:val="2"/>
          </w:tcPr>
          <w:p w14:paraId="6296313C" w14:textId="77777777" w:rsidR="00534801" w:rsidRDefault="002D7ED2" w:rsidP="002C4AB3">
            <w:pPr>
              <w:pStyle w:val="Parasts1"/>
              <w:jc w:val="center"/>
            </w:pPr>
            <w:r>
              <w:lastRenderedPageBreak/>
              <w:t>16.</w:t>
            </w:r>
          </w:p>
        </w:tc>
        <w:tc>
          <w:tcPr>
            <w:tcW w:w="3402" w:type="dxa"/>
            <w:gridSpan w:val="2"/>
          </w:tcPr>
          <w:p w14:paraId="36EBAA55" w14:textId="77777777" w:rsidR="00534801" w:rsidRPr="00DC09A7" w:rsidRDefault="00305F9A" w:rsidP="00DC09A7">
            <w:pPr>
              <w:jc w:val="both"/>
              <w:rPr>
                <w:sz w:val="24"/>
                <w:szCs w:val="24"/>
                <w:lang w:eastAsia="en-US"/>
              </w:rPr>
            </w:pPr>
            <w:r w:rsidRPr="00305F9A">
              <w:rPr>
                <w:sz w:val="24"/>
                <w:szCs w:val="24"/>
                <w:lang w:eastAsia="en-US"/>
              </w:rPr>
              <w:t xml:space="preserve">10. Valsts aizdevuma summa ir 25 611 693 </w:t>
            </w:r>
            <w:proofErr w:type="spellStart"/>
            <w:r w:rsidRPr="00305F9A">
              <w:rPr>
                <w:i/>
                <w:sz w:val="24"/>
                <w:szCs w:val="24"/>
                <w:lang w:eastAsia="en-US"/>
              </w:rPr>
              <w:t>euro</w:t>
            </w:r>
            <w:proofErr w:type="spellEnd"/>
            <w:r w:rsidRPr="00305F9A">
              <w:rPr>
                <w:sz w:val="24"/>
                <w:szCs w:val="24"/>
                <w:lang w:eastAsia="en-US"/>
              </w:rPr>
              <w:t>.</w:t>
            </w:r>
          </w:p>
        </w:tc>
        <w:tc>
          <w:tcPr>
            <w:tcW w:w="4252" w:type="dxa"/>
          </w:tcPr>
          <w:p w14:paraId="09F24910" w14:textId="77777777" w:rsidR="00534801" w:rsidRDefault="00DD5969" w:rsidP="00BF205D">
            <w:pPr>
              <w:pStyle w:val="Paraststmeklis"/>
              <w:ind w:right="11"/>
              <w:jc w:val="both"/>
            </w:pPr>
            <w:r w:rsidRPr="00DD5969">
              <w:t xml:space="preserve">Tiesiskās skaidrības nolūkos lūdzam precizēt projekta 10. punktā noteikto, ka “Valsts aizdevuma summa ir 25 611 693 </w:t>
            </w:r>
            <w:proofErr w:type="spellStart"/>
            <w:r w:rsidRPr="00305F9A">
              <w:rPr>
                <w:i/>
              </w:rPr>
              <w:t>euro</w:t>
            </w:r>
            <w:proofErr w:type="spellEnd"/>
            <w:r w:rsidRPr="00305F9A">
              <w:rPr>
                <w:i/>
              </w:rPr>
              <w:t>”</w:t>
            </w:r>
            <w:r w:rsidRPr="00DD5969">
              <w:t>. Vēršam uzmanību, ka šobrīd nav saprotams, vai minētā aizdevuma summa ir projekta finansējums (saskaņā ar Likuma 12. panta ceturtajā daļā noteikto) vai kāds cits aizdevums.</w:t>
            </w:r>
          </w:p>
        </w:tc>
        <w:tc>
          <w:tcPr>
            <w:tcW w:w="1843" w:type="dxa"/>
            <w:gridSpan w:val="2"/>
          </w:tcPr>
          <w:p w14:paraId="2EE9978C" w14:textId="77777777" w:rsidR="00534801" w:rsidRPr="00367715" w:rsidRDefault="00DD5969" w:rsidP="004B1391">
            <w:pPr>
              <w:pStyle w:val="Parasts1"/>
              <w:jc w:val="both"/>
              <w:rPr>
                <w:b/>
              </w:rPr>
            </w:pPr>
            <w:r w:rsidRPr="00DD5969">
              <w:rPr>
                <w:b/>
              </w:rPr>
              <w:t>Ņemts vērā</w:t>
            </w:r>
            <w:r w:rsidR="00F41CB5">
              <w:rPr>
                <w:b/>
              </w:rPr>
              <w:t>.</w:t>
            </w:r>
          </w:p>
        </w:tc>
        <w:tc>
          <w:tcPr>
            <w:tcW w:w="4379" w:type="dxa"/>
          </w:tcPr>
          <w:p w14:paraId="52679A31" w14:textId="77777777" w:rsidR="00534801" w:rsidRPr="003B0D44" w:rsidRDefault="00305F9A" w:rsidP="00BA0DEA">
            <w:pPr>
              <w:pStyle w:val="Parasts1"/>
              <w:jc w:val="both"/>
              <w:rPr>
                <w:lang w:eastAsia="en-US"/>
              </w:rPr>
            </w:pPr>
            <w:r w:rsidRPr="00305F9A">
              <w:rPr>
                <w:lang w:eastAsia="en-US"/>
              </w:rPr>
              <w:t xml:space="preserve">11. Valsts atbalsta programmas summa aizdevumiem apgrozāmo līdzekļu iegādei lauksaimniecības, mežsaimniecības, zvejniecības un akvakultūras nozarē ir 25 611 693 </w:t>
            </w:r>
            <w:proofErr w:type="spellStart"/>
            <w:r w:rsidRPr="00305F9A">
              <w:rPr>
                <w:i/>
                <w:lang w:eastAsia="en-US"/>
              </w:rPr>
              <w:t>euro</w:t>
            </w:r>
            <w:proofErr w:type="spellEnd"/>
            <w:r w:rsidRPr="00305F9A">
              <w:rPr>
                <w:lang w:eastAsia="en-US"/>
              </w:rPr>
              <w:t>.</w:t>
            </w:r>
          </w:p>
        </w:tc>
      </w:tr>
      <w:tr w:rsidR="00615F31" w14:paraId="636579AD" w14:textId="77777777" w:rsidTr="005B7E71">
        <w:trPr>
          <w:tblCellSpacing w:w="0" w:type="dxa"/>
        </w:trPr>
        <w:tc>
          <w:tcPr>
            <w:tcW w:w="441" w:type="dxa"/>
            <w:gridSpan w:val="2"/>
          </w:tcPr>
          <w:p w14:paraId="0A90F0CD" w14:textId="77777777" w:rsidR="00831EFD" w:rsidRDefault="002D7ED2" w:rsidP="002C4AB3">
            <w:pPr>
              <w:pStyle w:val="Parasts1"/>
              <w:jc w:val="center"/>
            </w:pPr>
            <w:r>
              <w:t>17.</w:t>
            </w:r>
          </w:p>
        </w:tc>
        <w:tc>
          <w:tcPr>
            <w:tcW w:w="3402" w:type="dxa"/>
            <w:gridSpan w:val="2"/>
          </w:tcPr>
          <w:p w14:paraId="7572980D" w14:textId="77777777" w:rsidR="00147E13" w:rsidRPr="00DC09A7" w:rsidRDefault="00147E13" w:rsidP="00DC09A7">
            <w:pPr>
              <w:jc w:val="both"/>
              <w:rPr>
                <w:sz w:val="24"/>
                <w:szCs w:val="24"/>
                <w:lang w:eastAsia="en-US"/>
              </w:rPr>
            </w:pPr>
          </w:p>
        </w:tc>
        <w:tc>
          <w:tcPr>
            <w:tcW w:w="4252" w:type="dxa"/>
          </w:tcPr>
          <w:p w14:paraId="484011AD" w14:textId="77777777" w:rsidR="00831EFD" w:rsidRPr="00DC09A7" w:rsidRDefault="00DD5969" w:rsidP="00FD3A2F">
            <w:pPr>
              <w:pStyle w:val="Sarakstarindkopa"/>
              <w:widowControl w:val="0"/>
              <w:tabs>
                <w:tab w:val="left" w:pos="0"/>
                <w:tab w:val="left" w:pos="993"/>
              </w:tabs>
              <w:ind w:left="0"/>
              <w:contextualSpacing/>
              <w:jc w:val="both"/>
              <w:rPr>
                <w:lang w:val="lv-LV"/>
              </w:rPr>
            </w:pPr>
            <w:r w:rsidRPr="00DD5969">
              <w:rPr>
                <w:lang w:val="lv-LV"/>
              </w:rPr>
              <w:t>Lūdzam precizēt projekta 16. punktu, skaidrojot, kas ir tajā minētie “bāzes punkti”. Vēršam uzmanību, ka šajā projekta punktā minētajā Komisijas 2004. gada 21. aprīļa Regulas (EK) Nr. 794/2004, ar ko īsteno Padomes Regulu (ES) 2015/1589, ar ko nosaka sīki izstrādātus noteikumus Līguma par Eiropas Savienības darbību 108. panta piemērošanai, kā arī Padomes 2015. gada 13. jūlija Regulā (ES) 2015/1589, ar ko nosaka sīki izstrādātus noteikumus Līguma par Eiropas Savienības darbību 108. panta piemērošanai, šāds termins netiek lietots.</w:t>
            </w:r>
          </w:p>
        </w:tc>
        <w:tc>
          <w:tcPr>
            <w:tcW w:w="1843" w:type="dxa"/>
            <w:gridSpan w:val="2"/>
          </w:tcPr>
          <w:p w14:paraId="5CF2E380" w14:textId="77777777" w:rsidR="003E7AA5" w:rsidRPr="00305F9A" w:rsidRDefault="009828B3" w:rsidP="004B1391">
            <w:pPr>
              <w:pStyle w:val="Parasts1"/>
              <w:jc w:val="both"/>
            </w:pPr>
            <w:r>
              <w:rPr>
                <w:b/>
              </w:rPr>
              <w:t>Panākta vienošanās</w:t>
            </w:r>
            <w:r w:rsidR="00305F9A">
              <w:t>, skaidrojums iekļauts anotācijā</w:t>
            </w:r>
            <w:r w:rsidR="00F41CB5">
              <w:t>.</w:t>
            </w:r>
          </w:p>
        </w:tc>
        <w:tc>
          <w:tcPr>
            <w:tcW w:w="4379" w:type="dxa"/>
          </w:tcPr>
          <w:p w14:paraId="6D0E948B" w14:textId="321787EB" w:rsidR="004E2373" w:rsidRPr="009B16C1" w:rsidRDefault="00FA3E9E" w:rsidP="00BA0DEA">
            <w:pPr>
              <w:pStyle w:val="Parasts1"/>
              <w:jc w:val="both"/>
              <w:rPr>
                <w:color w:val="000000" w:themeColor="text1"/>
                <w:lang w:eastAsia="en-US"/>
              </w:rPr>
            </w:pPr>
            <w:r w:rsidRPr="00FA3E9E">
              <w:rPr>
                <w:color w:val="000000" w:themeColor="text1"/>
                <w:lang w:eastAsia="en-US"/>
              </w:rPr>
              <w:t>Komisijas 2004. gada 21. aprīļa Regul</w:t>
            </w:r>
            <w:r w:rsidR="00F41CB5">
              <w:rPr>
                <w:color w:val="000000" w:themeColor="text1"/>
                <w:lang w:eastAsia="en-US"/>
              </w:rPr>
              <w:t>ā</w:t>
            </w:r>
            <w:r w:rsidRPr="00FA3E9E">
              <w:rPr>
                <w:color w:val="000000" w:themeColor="text1"/>
                <w:lang w:eastAsia="en-US"/>
              </w:rPr>
              <w:t xml:space="preserve"> (EK) Nr. 794/2004, ar ko īsteno Padomes Regulu (ES) 2015/1589, ar ko nosaka sīki izstrādātus noteikumus Līguma par Eiropas Savienības darbību 108. panta piemērošanai, kā arī Padomes 2015. gada 13. jūlija Regulā (ES) 2015/1589, ar ko nosaka sīki izstrādātus noteikumus Līguma par Eiropas Savienības darbību 108. panta piemērošanai</w:t>
            </w:r>
            <w:r w:rsidR="00F41CB5">
              <w:rPr>
                <w:color w:val="000000" w:themeColor="text1"/>
                <w:lang w:eastAsia="en-US"/>
              </w:rPr>
              <w:t>,</w:t>
            </w:r>
            <w:r w:rsidRPr="00FA3E9E">
              <w:rPr>
                <w:color w:val="000000" w:themeColor="text1"/>
                <w:lang w:eastAsia="en-US"/>
              </w:rPr>
              <w:t xml:space="preserve"> (turpmāk – Regula Nr. 794/2004) angļu valodā tiek lietots termins “</w:t>
            </w:r>
            <w:proofErr w:type="spellStart"/>
            <w:r w:rsidRPr="0007639C">
              <w:rPr>
                <w:i/>
                <w:color w:val="000000" w:themeColor="text1"/>
                <w:lang w:eastAsia="en-US"/>
              </w:rPr>
              <w:t>basis</w:t>
            </w:r>
            <w:proofErr w:type="spellEnd"/>
            <w:r w:rsidRPr="0007639C">
              <w:rPr>
                <w:i/>
                <w:color w:val="000000" w:themeColor="text1"/>
                <w:lang w:eastAsia="en-US"/>
              </w:rPr>
              <w:t xml:space="preserve"> </w:t>
            </w:r>
            <w:proofErr w:type="spellStart"/>
            <w:r w:rsidRPr="0007639C">
              <w:rPr>
                <w:i/>
                <w:color w:val="000000" w:themeColor="text1"/>
                <w:lang w:eastAsia="en-US"/>
              </w:rPr>
              <w:t>points</w:t>
            </w:r>
            <w:proofErr w:type="spellEnd"/>
            <w:r w:rsidRPr="00FA3E9E">
              <w:rPr>
                <w:color w:val="000000" w:themeColor="text1"/>
                <w:lang w:eastAsia="en-US"/>
              </w:rPr>
              <w:t>”, k</w:t>
            </w:r>
            <w:r w:rsidR="00F41CB5">
              <w:rPr>
                <w:color w:val="000000" w:themeColor="text1"/>
                <w:lang w:eastAsia="en-US"/>
              </w:rPr>
              <w:t>ura</w:t>
            </w:r>
            <w:r w:rsidRPr="00FA3E9E">
              <w:rPr>
                <w:color w:val="000000" w:themeColor="text1"/>
                <w:lang w:eastAsia="en-US"/>
              </w:rPr>
              <w:t xml:space="preserve"> tulkojums ir arī “bāzes punkti”, bet  latviešu valodā Regulā Nr. 794/2004 tiek lietots termins </w:t>
            </w:r>
            <w:r w:rsidRPr="00FA3E9E">
              <w:rPr>
                <w:color w:val="000000" w:themeColor="text1"/>
                <w:lang w:eastAsia="en-US"/>
              </w:rPr>
              <w:lastRenderedPageBreak/>
              <w:t xml:space="preserve">“pamata punkti”. </w:t>
            </w:r>
            <w:r w:rsidR="00F41CB5">
              <w:rPr>
                <w:color w:val="000000" w:themeColor="text1"/>
                <w:lang w:eastAsia="en-US"/>
              </w:rPr>
              <w:t>Tā kā</w:t>
            </w:r>
            <w:r w:rsidRPr="00FA3E9E">
              <w:rPr>
                <w:color w:val="000000" w:themeColor="text1"/>
                <w:lang w:eastAsia="en-US"/>
              </w:rPr>
              <w:t xml:space="preserve"> praksē tiek lietots termins “bāzes punkti” nevis “pamata punkti”</w:t>
            </w:r>
            <w:r w:rsidR="00F41CB5">
              <w:rPr>
                <w:color w:val="000000" w:themeColor="text1"/>
                <w:lang w:eastAsia="en-US"/>
              </w:rPr>
              <w:t>,</w:t>
            </w:r>
            <w:r w:rsidRPr="00FA3E9E">
              <w:rPr>
                <w:color w:val="000000" w:themeColor="text1"/>
                <w:lang w:eastAsia="en-US"/>
              </w:rPr>
              <w:t xml:space="preserve"> varētu ra</w:t>
            </w:r>
            <w:r w:rsidR="00F41CB5">
              <w:rPr>
                <w:color w:val="000000" w:themeColor="text1"/>
                <w:lang w:eastAsia="en-US"/>
              </w:rPr>
              <w:t>stie</w:t>
            </w:r>
            <w:r w:rsidRPr="00FA3E9E">
              <w:rPr>
                <w:color w:val="000000" w:themeColor="text1"/>
                <w:lang w:eastAsia="en-US"/>
              </w:rPr>
              <w:t>s neskaidrības termina “pamata punkti” piemērošanā, tādēļ noteikumu projektā tiek lietots termins “bāzes punkti”. Bāzes punkts vai pamata punkts</w:t>
            </w:r>
            <w:r w:rsidR="00F41CB5">
              <w:rPr>
                <w:color w:val="000000" w:themeColor="text1"/>
                <w:lang w:eastAsia="en-US"/>
              </w:rPr>
              <w:t xml:space="preserve"> (</w:t>
            </w:r>
            <w:r w:rsidRPr="00FA3E9E">
              <w:rPr>
                <w:color w:val="000000" w:themeColor="text1"/>
                <w:lang w:eastAsia="en-US"/>
              </w:rPr>
              <w:t xml:space="preserve">saīsinājums </w:t>
            </w:r>
            <w:r w:rsidR="00F41CB5">
              <w:rPr>
                <w:color w:val="000000" w:themeColor="text1"/>
                <w:lang w:eastAsia="en-US"/>
              </w:rPr>
              <w:t xml:space="preserve">– </w:t>
            </w:r>
            <w:r w:rsidRPr="00FA3E9E">
              <w:rPr>
                <w:color w:val="000000" w:themeColor="text1"/>
                <w:lang w:eastAsia="en-US"/>
              </w:rPr>
              <w:t>BPS</w:t>
            </w:r>
            <w:r w:rsidR="00F41CB5">
              <w:rPr>
                <w:color w:val="000000" w:themeColor="text1"/>
                <w:lang w:eastAsia="en-US"/>
              </w:rPr>
              <w:t>)</w:t>
            </w:r>
            <w:r w:rsidRPr="00FA3E9E">
              <w:rPr>
                <w:color w:val="000000" w:themeColor="text1"/>
                <w:lang w:eastAsia="en-US"/>
              </w:rPr>
              <w:t xml:space="preserve"> ir mērvienība finanšu procentu likmju izmaiņām.</w:t>
            </w:r>
            <w:r w:rsidR="00F41CB5">
              <w:rPr>
                <w:color w:val="000000" w:themeColor="text1"/>
                <w:lang w:eastAsia="en-US"/>
              </w:rPr>
              <w:t xml:space="preserve"> </w:t>
            </w:r>
            <w:r w:rsidRPr="00FA3E9E">
              <w:rPr>
                <w:color w:val="000000" w:themeColor="text1"/>
                <w:lang w:eastAsia="en-US"/>
              </w:rPr>
              <w:t xml:space="preserve">0,01% izmaiņa </w:t>
            </w:r>
            <w:r w:rsidR="00F41CB5">
              <w:rPr>
                <w:color w:val="000000" w:themeColor="text1"/>
                <w:lang w:eastAsia="en-US"/>
              </w:rPr>
              <w:t>nozīmē</w:t>
            </w:r>
            <w:r w:rsidRPr="00FA3E9E">
              <w:rPr>
                <w:color w:val="000000" w:themeColor="text1"/>
                <w:lang w:eastAsia="en-US"/>
              </w:rPr>
              <w:t xml:space="preserve"> 1</w:t>
            </w:r>
            <w:r w:rsidR="00F41CB5">
              <w:rPr>
                <w:color w:val="000000" w:themeColor="text1"/>
                <w:lang w:eastAsia="en-US"/>
              </w:rPr>
              <w:t> </w:t>
            </w:r>
            <w:r w:rsidRPr="00FA3E9E">
              <w:rPr>
                <w:color w:val="000000" w:themeColor="text1"/>
                <w:lang w:eastAsia="en-US"/>
              </w:rPr>
              <w:t>bāzes punkt</w:t>
            </w:r>
            <w:r w:rsidR="00F41CB5">
              <w:rPr>
                <w:color w:val="000000" w:themeColor="text1"/>
                <w:lang w:eastAsia="en-US"/>
              </w:rPr>
              <w:t>u</w:t>
            </w:r>
            <w:r w:rsidRPr="00FA3E9E">
              <w:rPr>
                <w:color w:val="000000" w:themeColor="text1"/>
                <w:lang w:eastAsia="en-US"/>
              </w:rPr>
              <w:t>. Lielas 100% izmaiņas atbilst 10 000 BPS.</w:t>
            </w:r>
            <w:r w:rsidR="00CB0A64" w:rsidRPr="00CB0A64">
              <w:rPr>
                <w:color w:val="000000" w:themeColor="text1"/>
                <w:lang w:eastAsia="en-US"/>
              </w:rPr>
              <w:t xml:space="preserve"> </w:t>
            </w:r>
          </w:p>
        </w:tc>
      </w:tr>
      <w:tr w:rsidR="00CE12FA" w14:paraId="10F02E74" w14:textId="77777777" w:rsidTr="005B7E71">
        <w:trPr>
          <w:tblCellSpacing w:w="0" w:type="dxa"/>
        </w:trPr>
        <w:tc>
          <w:tcPr>
            <w:tcW w:w="441" w:type="dxa"/>
            <w:gridSpan w:val="2"/>
          </w:tcPr>
          <w:p w14:paraId="46F9D251" w14:textId="77777777" w:rsidR="00CE12FA" w:rsidRDefault="00CE12FA" w:rsidP="002C4AB3">
            <w:pPr>
              <w:pStyle w:val="Parasts1"/>
              <w:jc w:val="center"/>
            </w:pPr>
          </w:p>
        </w:tc>
        <w:tc>
          <w:tcPr>
            <w:tcW w:w="3402" w:type="dxa"/>
            <w:gridSpan w:val="2"/>
          </w:tcPr>
          <w:p w14:paraId="7906398D" w14:textId="77777777" w:rsidR="00CE12FA" w:rsidRPr="00DC09A7" w:rsidRDefault="00CE12FA" w:rsidP="00DC09A7">
            <w:pPr>
              <w:jc w:val="both"/>
              <w:rPr>
                <w:sz w:val="24"/>
                <w:szCs w:val="24"/>
                <w:lang w:eastAsia="en-US"/>
              </w:rPr>
            </w:pPr>
          </w:p>
        </w:tc>
        <w:tc>
          <w:tcPr>
            <w:tcW w:w="4252" w:type="dxa"/>
          </w:tcPr>
          <w:p w14:paraId="7EDAC50A" w14:textId="77777777" w:rsidR="00CE12FA" w:rsidRPr="00CE12FA" w:rsidRDefault="00CE12FA" w:rsidP="00FD3A2F">
            <w:pPr>
              <w:pStyle w:val="Sarakstarindkopa"/>
              <w:widowControl w:val="0"/>
              <w:tabs>
                <w:tab w:val="left" w:pos="0"/>
                <w:tab w:val="left" w:pos="993"/>
              </w:tabs>
              <w:ind w:left="0"/>
              <w:contextualSpacing/>
              <w:jc w:val="both"/>
              <w:rPr>
                <w:b/>
                <w:lang w:val="lv-LV"/>
              </w:rPr>
            </w:pPr>
            <w:r w:rsidRPr="00CE12FA">
              <w:rPr>
                <w:b/>
                <w:lang w:val="lv-LV"/>
              </w:rPr>
              <w:t>Finanšu ministrija (18.10.2019.)</w:t>
            </w:r>
          </w:p>
        </w:tc>
        <w:tc>
          <w:tcPr>
            <w:tcW w:w="1843" w:type="dxa"/>
            <w:gridSpan w:val="2"/>
          </w:tcPr>
          <w:p w14:paraId="29C6035A" w14:textId="77777777" w:rsidR="00CE12FA" w:rsidRDefault="00CE12FA" w:rsidP="004B1391">
            <w:pPr>
              <w:pStyle w:val="Parasts1"/>
              <w:jc w:val="both"/>
              <w:rPr>
                <w:b/>
              </w:rPr>
            </w:pPr>
          </w:p>
        </w:tc>
        <w:tc>
          <w:tcPr>
            <w:tcW w:w="4379" w:type="dxa"/>
          </w:tcPr>
          <w:p w14:paraId="2C7B4AC5" w14:textId="77777777" w:rsidR="00CE12FA" w:rsidRPr="00FA3E9E" w:rsidRDefault="00CE12FA" w:rsidP="00BA0DEA">
            <w:pPr>
              <w:pStyle w:val="Parasts1"/>
              <w:jc w:val="both"/>
              <w:rPr>
                <w:color w:val="000000" w:themeColor="text1"/>
                <w:lang w:eastAsia="en-US"/>
              </w:rPr>
            </w:pPr>
          </w:p>
        </w:tc>
      </w:tr>
      <w:tr w:rsidR="00CE12FA" w14:paraId="0F56BD65" w14:textId="77777777" w:rsidTr="005B7E71">
        <w:trPr>
          <w:tblCellSpacing w:w="0" w:type="dxa"/>
        </w:trPr>
        <w:tc>
          <w:tcPr>
            <w:tcW w:w="441" w:type="dxa"/>
            <w:gridSpan w:val="2"/>
          </w:tcPr>
          <w:p w14:paraId="6932C52C" w14:textId="77777777" w:rsidR="00CE12FA" w:rsidRDefault="00CE12FA" w:rsidP="002C4AB3">
            <w:pPr>
              <w:pStyle w:val="Parasts1"/>
              <w:jc w:val="center"/>
            </w:pPr>
            <w:r>
              <w:t>18.</w:t>
            </w:r>
          </w:p>
        </w:tc>
        <w:tc>
          <w:tcPr>
            <w:tcW w:w="3402" w:type="dxa"/>
            <w:gridSpan w:val="2"/>
          </w:tcPr>
          <w:p w14:paraId="5BC30931" w14:textId="77777777" w:rsidR="00CE12FA" w:rsidRPr="00DC09A7" w:rsidRDefault="002615E6" w:rsidP="00DC09A7">
            <w:pPr>
              <w:jc w:val="both"/>
              <w:rPr>
                <w:sz w:val="24"/>
                <w:szCs w:val="24"/>
                <w:lang w:eastAsia="en-US"/>
              </w:rPr>
            </w:pPr>
            <w:r w:rsidRPr="002615E6">
              <w:rPr>
                <w:sz w:val="24"/>
                <w:szCs w:val="24"/>
                <w:lang w:eastAsia="en-US"/>
              </w:rPr>
              <w:t xml:space="preserve">4. Sabiedrība </w:t>
            </w:r>
            <w:proofErr w:type="spellStart"/>
            <w:r w:rsidRPr="002615E6">
              <w:rPr>
                <w:sz w:val="24"/>
                <w:szCs w:val="24"/>
                <w:lang w:eastAsia="en-US"/>
              </w:rPr>
              <w:t>Altum</w:t>
            </w:r>
            <w:proofErr w:type="spellEnd"/>
            <w:r w:rsidRPr="002615E6">
              <w:rPr>
                <w:sz w:val="24"/>
                <w:szCs w:val="24"/>
                <w:lang w:eastAsia="en-US"/>
              </w:rPr>
              <w:t xml:space="preserve"> aizdevumu finansēšanai piesaista valsts aizdevumu kredītlīnijas veidā saskaņā ar normatīvajiem aktiem par kārtību, kādā ministrijas un citas centrālās valsts iestādes iekļauj gadskārtējā valsts budžeta likumprojektā valsts aizdevumu pieprasījumus, un valsts aizdevumu izsniegšanas un apkalpošanas kārtību vai aizdevumu no Eiropas Savienības vai citām finanšu institūcijām. Finanšu ministrs valsts aizdevumam nepiemēro normatīvajos aktos par kārtību, kādā ministrijas un citas centrālās valsts iestādes iekļauj gadskārtējā valsts budžeta likumprojektā valsts aizdevumu pieprasījumus, un valsts aizdevumu izsniegšanas un </w:t>
            </w:r>
            <w:r w:rsidRPr="002615E6">
              <w:rPr>
                <w:sz w:val="24"/>
                <w:szCs w:val="24"/>
                <w:lang w:eastAsia="en-US"/>
              </w:rPr>
              <w:lastRenderedPageBreak/>
              <w:t>apkalpošanas kārtību vai aizdevumu no Eiropas Savienības vai citām finanšu institūcijām noteikto aizdevumu riska procentu likmi.</w:t>
            </w:r>
          </w:p>
        </w:tc>
        <w:tc>
          <w:tcPr>
            <w:tcW w:w="4252" w:type="dxa"/>
          </w:tcPr>
          <w:p w14:paraId="64447F54" w14:textId="77777777" w:rsidR="00CE12FA" w:rsidRPr="00CE12FA" w:rsidRDefault="00CE12FA" w:rsidP="00CE12FA">
            <w:pPr>
              <w:pStyle w:val="Sarakstarindkopa"/>
              <w:widowControl w:val="0"/>
              <w:tabs>
                <w:tab w:val="left" w:pos="0"/>
                <w:tab w:val="left" w:pos="993"/>
              </w:tabs>
              <w:ind w:left="0"/>
              <w:contextualSpacing/>
              <w:jc w:val="both"/>
              <w:rPr>
                <w:lang w:val="lv-LV"/>
              </w:rPr>
            </w:pPr>
            <w:r w:rsidRPr="00CE12FA">
              <w:rPr>
                <w:lang w:val="lv-LV"/>
              </w:rPr>
              <w:lastRenderedPageBreak/>
              <w:t xml:space="preserve">1. Noteikumu projekta 4.punktā noteikts, ka finanšu ministrs valsts aizdevumam nepiemēro normatīvajos aktos par kārtību, kādā ministrijas un citas centrālās valsts iestādes iekļauj gadskārtējā valsts budžeta likumprojektā valsts aizdevumu pieprasījumus, un valsts aizdevumu izsniegšanas un apkalpošanas kārtību vai aizdevumu no Eiropas Savienības vai citām finanšu institūcijām noteikto aizdevumu riska procentu likmi.  </w:t>
            </w:r>
          </w:p>
          <w:p w14:paraId="32D5B440" w14:textId="77777777" w:rsidR="00CE12FA" w:rsidRPr="00DD5969" w:rsidRDefault="00CE12FA" w:rsidP="00CE12FA">
            <w:pPr>
              <w:pStyle w:val="Sarakstarindkopa"/>
              <w:widowControl w:val="0"/>
              <w:tabs>
                <w:tab w:val="left" w:pos="0"/>
                <w:tab w:val="left" w:pos="993"/>
              </w:tabs>
              <w:ind w:left="0"/>
              <w:contextualSpacing/>
              <w:jc w:val="both"/>
              <w:rPr>
                <w:lang w:val="lv-LV"/>
              </w:rPr>
            </w:pPr>
            <w:r w:rsidRPr="00CE12FA">
              <w:rPr>
                <w:lang w:val="lv-LV"/>
              </w:rPr>
              <w:t>Lūdzam precizēt noteikumu projektu un, ja nepieciešams, anotāciju par aizdevumu finanšu avotiem no Eiropas Savienības, kā arī lūdzam precizēt noteikumu projektu ar informāciju un skaidrot anotācijā par mandātu finanšu ministram nepiemērot aizdevumiem no Eiropas Savienības vai citām finanšu institūcijām noteikto aizdevumu riska procentu likmi.</w:t>
            </w:r>
          </w:p>
        </w:tc>
        <w:tc>
          <w:tcPr>
            <w:tcW w:w="1843" w:type="dxa"/>
            <w:gridSpan w:val="2"/>
          </w:tcPr>
          <w:p w14:paraId="4B70C2F5" w14:textId="77777777" w:rsidR="00CE12FA" w:rsidRDefault="002615E6" w:rsidP="004B1391">
            <w:pPr>
              <w:pStyle w:val="Parasts1"/>
              <w:jc w:val="both"/>
              <w:rPr>
                <w:b/>
              </w:rPr>
            </w:pPr>
            <w:r w:rsidRPr="002615E6">
              <w:rPr>
                <w:b/>
              </w:rPr>
              <w:t>Ņemts vērā</w:t>
            </w:r>
            <w:r w:rsidR="00F41CB5">
              <w:rPr>
                <w:b/>
              </w:rPr>
              <w:t>.</w:t>
            </w:r>
          </w:p>
        </w:tc>
        <w:tc>
          <w:tcPr>
            <w:tcW w:w="4379" w:type="dxa"/>
          </w:tcPr>
          <w:p w14:paraId="3FF40453" w14:textId="77777777" w:rsidR="00CE12FA" w:rsidRPr="00FA3E9E" w:rsidRDefault="002615E6" w:rsidP="00BA0DEA">
            <w:pPr>
              <w:pStyle w:val="Parasts1"/>
              <w:jc w:val="both"/>
              <w:rPr>
                <w:color w:val="000000" w:themeColor="text1"/>
                <w:lang w:eastAsia="en-US"/>
              </w:rPr>
            </w:pPr>
            <w:r w:rsidRPr="002615E6">
              <w:rPr>
                <w:color w:val="000000" w:themeColor="text1"/>
                <w:lang w:eastAsia="en-US"/>
              </w:rPr>
              <w:t xml:space="preserve">4. Sabiedrība </w:t>
            </w:r>
            <w:proofErr w:type="spellStart"/>
            <w:r w:rsidRPr="00C41C7F">
              <w:rPr>
                <w:i/>
                <w:color w:val="000000" w:themeColor="text1"/>
                <w:lang w:eastAsia="en-US"/>
              </w:rPr>
              <w:t>Altum</w:t>
            </w:r>
            <w:proofErr w:type="spellEnd"/>
            <w:r w:rsidRPr="002615E6">
              <w:rPr>
                <w:color w:val="000000" w:themeColor="text1"/>
                <w:lang w:eastAsia="en-US"/>
              </w:rPr>
              <w:t xml:space="preserve"> aizdevumu finansēšanai piesaista valsts aizdevumu kredītlīnijas veidā saskaņā ar normatīvajiem aktiem par kārtību, kādā ministrijas un citas centrālās valsts iestādes iekļauj gadskārtējā valsts budžeta likumprojektā valsts aizdevumu pieprasījumus, un valsts aizdevumu izsniegšanas un apkalpošanas kārtību vai aizdevumu no Eiropas Savienības vai citām finanšu institūcijām. Finanšu ministrs valsts aizdevumam nepiemēro normatīvajos aktos par kārtību, kādā ministrijas un citas centrālās valsts iestādes iekļauj gadskārtējā valsts budžeta likumprojektā valsts aizdevumu pieprasījumus, un valsts aizdevumu izsniegšanas un apkalpošanas kārtību vai aizdevumu noteikto aizdevumu riska procentu likmi.</w:t>
            </w:r>
          </w:p>
        </w:tc>
      </w:tr>
      <w:tr w:rsidR="00CE12FA" w14:paraId="3531BDDC" w14:textId="77777777" w:rsidTr="005B7E71">
        <w:trPr>
          <w:tblCellSpacing w:w="0" w:type="dxa"/>
        </w:trPr>
        <w:tc>
          <w:tcPr>
            <w:tcW w:w="441" w:type="dxa"/>
            <w:gridSpan w:val="2"/>
          </w:tcPr>
          <w:p w14:paraId="0DAC8BFC" w14:textId="77777777" w:rsidR="00CE12FA" w:rsidRDefault="00CE12FA" w:rsidP="002C4AB3">
            <w:pPr>
              <w:pStyle w:val="Parasts1"/>
              <w:jc w:val="center"/>
            </w:pPr>
            <w:r>
              <w:t>19.</w:t>
            </w:r>
          </w:p>
        </w:tc>
        <w:tc>
          <w:tcPr>
            <w:tcW w:w="3402" w:type="dxa"/>
            <w:gridSpan w:val="2"/>
          </w:tcPr>
          <w:p w14:paraId="2F82F02E" w14:textId="77777777" w:rsidR="00CE12FA" w:rsidRPr="00DC09A7" w:rsidRDefault="00CE12FA" w:rsidP="00DC09A7">
            <w:pPr>
              <w:jc w:val="both"/>
              <w:rPr>
                <w:sz w:val="24"/>
                <w:szCs w:val="24"/>
                <w:lang w:eastAsia="en-US"/>
              </w:rPr>
            </w:pPr>
          </w:p>
        </w:tc>
        <w:tc>
          <w:tcPr>
            <w:tcW w:w="4252" w:type="dxa"/>
          </w:tcPr>
          <w:p w14:paraId="4D44DFF0" w14:textId="77777777" w:rsidR="00C41C7F" w:rsidRDefault="00C41C7F" w:rsidP="00C41C7F">
            <w:pPr>
              <w:jc w:val="both"/>
            </w:pPr>
            <w:r>
              <w:rPr>
                <w:sz w:val="24"/>
                <w:szCs w:val="24"/>
              </w:rPr>
              <w:t>2. Uzturam spēkā Finanšu ministrijas 2019.gada 13.septembrī izteikto iebildumu par nepieciešamību noteikt aizdevuma restrukturizācijas termiņu līdz trim gadiem, t.i., garāku par pašu aizdevuma pamata termiņu. Ministru kabineta 2010.gada 27.aprīļa noteikumos nr.403 “</w:t>
            </w:r>
            <w:r>
              <w:rPr>
                <w:sz w:val="24"/>
                <w:szCs w:val="24"/>
                <w:shd w:val="clear" w:color="auto" w:fill="FFFFFF"/>
              </w:rPr>
              <w:t xml:space="preserve">Kārtība, kādā piešķir valsts atbalstu apgrozāmo līdzekļu iegādei lauksaimniecības produkcijas ražošanai” (turpmāk – Noteikumi nr.403) sākotnēji tika noteikts, ka Aizdevuma termiņš nav ilgāks par diviem gadiem. Par aizdevuma atmaksas termiņu maiņu Noteikumi nr.403 tika grozīti 2014.gadā, 2015.gadā un 2018.gadā sākumā paredzot aizdevuma termiņu pagarinājumu līdz diviem gadiem pēc tam līdz trīs un līdz pieciem gadiem, kas liecina par </w:t>
            </w:r>
            <w:r>
              <w:rPr>
                <w:sz w:val="24"/>
                <w:szCs w:val="24"/>
              </w:rPr>
              <w:t xml:space="preserve">iespējamiem riskiem, kas pamatoti ar lauksaimniecības nozares specifiku. Lai neradītu papildu finanšu slogu t.i. papildus izdevumus saimnieciskās darbības veicējiem saistībā aizdevuma izmaksām, aicinām izvērtēt iespēju mainīt modeli attiecībā uz </w:t>
            </w:r>
            <w:r>
              <w:rPr>
                <w:sz w:val="24"/>
                <w:szCs w:val="24"/>
                <w:shd w:val="clear" w:color="auto" w:fill="FFFFFF"/>
              </w:rPr>
              <w:t xml:space="preserve">aizdevuma atmaksas termiņu nosakot to līdz trim gadiem ar pagarināšanas </w:t>
            </w:r>
            <w:r>
              <w:rPr>
                <w:sz w:val="24"/>
                <w:szCs w:val="24"/>
                <w:shd w:val="clear" w:color="auto" w:fill="FFFFFF"/>
              </w:rPr>
              <w:lastRenderedPageBreak/>
              <w:t>iespēju līdz diviem gadiem t.i. kopējais aizdevuma atmaksas termiņš pieci gadi.</w:t>
            </w:r>
            <w:r>
              <w:rPr>
                <w:sz w:val="24"/>
                <w:szCs w:val="24"/>
              </w:rPr>
              <w:t xml:space="preserve"> </w:t>
            </w:r>
          </w:p>
          <w:p w14:paraId="664FE21C" w14:textId="77777777" w:rsidR="00CE12FA" w:rsidRPr="00DD5969" w:rsidRDefault="00CE12FA" w:rsidP="00CE12FA">
            <w:pPr>
              <w:pStyle w:val="Sarakstarindkopa"/>
              <w:widowControl w:val="0"/>
              <w:tabs>
                <w:tab w:val="left" w:pos="0"/>
                <w:tab w:val="left" w:pos="993"/>
              </w:tabs>
              <w:ind w:left="0"/>
              <w:contextualSpacing/>
              <w:jc w:val="both"/>
              <w:rPr>
                <w:lang w:val="lv-LV"/>
              </w:rPr>
            </w:pPr>
          </w:p>
        </w:tc>
        <w:tc>
          <w:tcPr>
            <w:tcW w:w="1843" w:type="dxa"/>
            <w:gridSpan w:val="2"/>
          </w:tcPr>
          <w:p w14:paraId="21A249E7" w14:textId="77777777" w:rsidR="00CE12FA" w:rsidRDefault="00C41C7F" w:rsidP="004B1391">
            <w:pPr>
              <w:pStyle w:val="Parasts1"/>
              <w:jc w:val="both"/>
              <w:rPr>
                <w:b/>
              </w:rPr>
            </w:pPr>
            <w:r>
              <w:rPr>
                <w:b/>
              </w:rPr>
              <w:lastRenderedPageBreak/>
              <w:t xml:space="preserve">Panākta vienošanās, </w:t>
            </w:r>
            <w:r w:rsidRPr="00C41C7F">
              <w:t>precizēta anotācija</w:t>
            </w:r>
            <w:r w:rsidR="00F41CB5">
              <w:t>.</w:t>
            </w:r>
          </w:p>
        </w:tc>
        <w:tc>
          <w:tcPr>
            <w:tcW w:w="4379" w:type="dxa"/>
          </w:tcPr>
          <w:p w14:paraId="69F9F4D0" w14:textId="77777777" w:rsidR="00CE12FA" w:rsidRPr="00FA3E9E" w:rsidRDefault="00CE12FA" w:rsidP="00BA0DEA">
            <w:pPr>
              <w:pStyle w:val="Parasts1"/>
              <w:jc w:val="both"/>
              <w:rPr>
                <w:color w:val="000000" w:themeColor="text1"/>
                <w:lang w:eastAsia="en-US"/>
              </w:rPr>
            </w:pPr>
          </w:p>
        </w:tc>
      </w:tr>
      <w:tr w:rsidR="00CE12FA" w14:paraId="0EF42D79" w14:textId="77777777" w:rsidTr="005B7E71">
        <w:trPr>
          <w:tblCellSpacing w:w="0" w:type="dxa"/>
        </w:trPr>
        <w:tc>
          <w:tcPr>
            <w:tcW w:w="441" w:type="dxa"/>
            <w:gridSpan w:val="2"/>
          </w:tcPr>
          <w:p w14:paraId="504D62C8" w14:textId="77777777" w:rsidR="00CE12FA" w:rsidRDefault="00CE12FA" w:rsidP="002C4AB3">
            <w:pPr>
              <w:pStyle w:val="Parasts1"/>
              <w:jc w:val="center"/>
            </w:pPr>
            <w:r>
              <w:t>20.</w:t>
            </w:r>
          </w:p>
        </w:tc>
        <w:tc>
          <w:tcPr>
            <w:tcW w:w="3402" w:type="dxa"/>
            <w:gridSpan w:val="2"/>
          </w:tcPr>
          <w:p w14:paraId="43D385E5" w14:textId="77777777" w:rsidR="00CE12FA" w:rsidRPr="00DC09A7" w:rsidRDefault="00C41C7F" w:rsidP="00DC09A7">
            <w:pPr>
              <w:jc w:val="both"/>
              <w:rPr>
                <w:sz w:val="24"/>
                <w:szCs w:val="24"/>
                <w:lang w:eastAsia="en-US"/>
              </w:rPr>
            </w:pPr>
            <w:r w:rsidRPr="00C41C7F">
              <w:rPr>
                <w:sz w:val="24"/>
                <w:szCs w:val="24"/>
                <w:lang w:eastAsia="en-US"/>
              </w:rPr>
              <w:t>18. Subsīdijas ekvivalentu atbalsta pretendentam aprēķina, faktiski piemēroto procentu summu atskaitot no procentu summas, kas jāmaksā saskaņā ar Eiropas Komisijas konkrētajam periodam noteikto bāzes likmi (publicēta Eiropas Komisijas Konkurences ģenerāldirektorāta tīmekļvietnē).</w:t>
            </w:r>
          </w:p>
        </w:tc>
        <w:tc>
          <w:tcPr>
            <w:tcW w:w="4252" w:type="dxa"/>
          </w:tcPr>
          <w:p w14:paraId="24C489F8" w14:textId="77777777" w:rsidR="00CE12FA" w:rsidRPr="00DD5969" w:rsidRDefault="00CE12FA" w:rsidP="00FD3A2F">
            <w:pPr>
              <w:pStyle w:val="Sarakstarindkopa"/>
              <w:widowControl w:val="0"/>
              <w:tabs>
                <w:tab w:val="left" w:pos="0"/>
                <w:tab w:val="left" w:pos="993"/>
              </w:tabs>
              <w:ind w:left="0"/>
              <w:contextualSpacing/>
              <w:jc w:val="both"/>
              <w:rPr>
                <w:lang w:val="lv-LV"/>
              </w:rPr>
            </w:pPr>
            <w:r w:rsidRPr="00CE12FA">
              <w:rPr>
                <w:lang w:val="lv-LV"/>
              </w:rPr>
              <w:t xml:space="preserve">3. Lūdzam Noteikumu projektam pievienot pielikumu, kurā noteikta riska likme, kuras procentuālais apmērs tiek noteikts atbilstoši akciju sabiedrības “Attīstības finanšu institūcija </w:t>
            </w:r>
            <w:proofErr w:type="spellStart"/>
            <w:r w:rsidRPr="00CE12FA">
              <w:rPr>
                <w:lang w:val="lv-LV"/>
              </w:rPr>
              <w:t>Altum</w:t>
            </w:r>
            <w:proofErr w:type="spellEnd"/>
            <w:r w:rsidRPr="00CE12FA">
              <w:rPr>
                <w:lang w:val="lv-LV"/>
              </w:rPr>
              <w:t xml:space="preserve">” (turpmāk – </w:t>
            </w:r>
            <w:proofErr w:type="spellStart"/>
            <w:r w:rsidRPr="00CE12FA">
              <w:rPr>
                <w:lang w:val="lv-LV"/>
              </w:rPr>
              <w:t>Altum</w:t>
            </w:r>
            <w:proofErr w:type="spellEnd"/>
            <w:r w:rsidRPr="00CE12FA">
              <w:rPr>
                <w:lang w:val="lv-LV"/>
              </w:rPr>
              <w:t xml:space="preserve">) izsniegtajam aizdevuma saņēmēja reitingam un piedāvātajam nodrošinājumam. Informējam, ka valsts atbalsta programmas ieviešanu nosaka Ministru kabineta noteikumi, kuri apstiprināti Attīstības finanšu institūcijas likumā noteiktajā kārtībā, nevis </w:t>
            </w:r>
            <w:proofErr w:type="spellStart"/>
            <w:r w:rsidRPr="00CE12FA">
              <w:rPr>
                <w:lang w:val="lv-LV"/>
              </w:rPr>
              <w:t>Altum</w:t>
            </w:r>
            <w:proofErr w:type="spellEnd"/>
            <w:r w:rsidRPr="00CE12FA">
              <w:rPr>
                <w:lang w:val="lv-LV"/>
              </w:rPr>
              <w:t xml:space="preserve"> risku vadības metodika, jo </w:t>
            </w:r>
            <w:proofErr w:type="spellStart"/>
            <w:r w:rsidRPr="00CE12FA">
              <w:rPr>
                <w:lang w:val="lv-LV"/>
              </w:rPr>
              <w:t>Altum</w:t>
            </w:r>
            <w:proofErr w:type="spellEnd"/>
            <w:r w:rsidRPr="00CE12FA">
              <w:rPr>
                <w:lang w:val="lv-LV"/>
              </w:rPr>
              <w:t xml:space="preserve"> risku vadības metodikas dokumenti nav uzskatāmi par ārējiem normatīvajiem aktiem.</w:t>
            </w:r>
          </w:p>
        </w:tc>
        <w:tc>
          <w:tcPr>
            <w:tcW w:w="1843" w:type="dxa"/>
            <w:gridSpan w:val="2"/>
          </w:tcPr>
          <w:p w14:paraId="22EDB887" w14:textId="77777777" w:rsidR="00CE12FA" w:rsidRDefault="002615E6" w:rsidP="004B1391">
            <w:pPr>
              <w:pStyle w:val="Parasts1"/>
              <w:jc w:val="both"/>
              <w:rPr>
                <w:b/>
              </w:rPr>
            </w:pPr>
            <w:r w:rsidRPr="002615E6">
              <w:rPr>
                <w:b/>
              </w:rPr>
              <w:t>Ņemts vērā</w:t>
            </w:r>
            <w:r w:rsidR="00C41C7F">
              <w:rPr>
                <w:color w:val="000000" w:themeColor="text1"/>
                <w:lang w:eastAsia="en-US"/>
              </w:rPr>
              <w:t>, noteikumu projektam pievienots pielikums ar riska likmēm.</w:t>
            </w:r>
          </w:p>
        </w:tc>
        <w:tc>
          <w:tcPr>
            <w:tcW w:w="4379" w:type="dxa"/>
          </w:tcPr>
          <w:p w14:paraId="14CCC6D2" w14:textId="4BC621AE" w:rsidR="00CE12FA" w:rsidRPr="00FA3E9E" w:rsidRDefault="005D2198" w:rsidP="00BA0DEA">
            <w:pPr>
              <w:pStyle w:val="Parasts1"/>
              <w:jc w:val="both"/>
              <w:rPr>
                <w:color w:val="000000" w:themeColor="text1"/>
                <w:lang w:eastAsia="en-US"/>
              </w:rPr>
            </w:pPr>
            <w:r w:rsidRPr="00775E61">
              <w:rPr>
                <w:lang w:eastAsia="en-US"/>
              </w:rPr>
              <w:t>18. Subsīdijas ekvivalentu atbalsta pretendentam aprēķina, faktiski piemēroto procentu summu atskaitot no procentu summas, kas jāmaksā saskaņā ar Eiropas Komisijas konkrētajam periodam noteikto bāzes likmi (publicēta Eiropas Komisijas Konkurences ģenerāldirektorāta tīmekļvietnē)</w:t>
            </w:r>
            <w:r>
              <w:rPr>
                <w:lang w:eastAsia="en-US"/>
              </w:rPr>
              <w:t xml:space="preserve"> un</w:t>
            </w:r>
            <w:r w:rsidRPr="00775E61">
              <w:rPr>
                <w:lang w:val="x-none" w:eastAsia="en-US"/>
              </w:rPr>
              <w:t xml:space="preserve"> riska likmi, kuras procentuālais apmērs tiek noteikts atbilstoši sabiedrības</w:t>
            </w:r>
            <w:r w:rsidRPr="00775E61">
              <w:rPr>
                <w:lang w:eastAsia="en-US"/>
              </w:rPr>
              <w:t xml:space="preserve"> </w:t>
            </w:r>
            <w:proofErr w:type="spellStart"/>
            <w:r w:rsidRPr="00775E61">
              <w:rPr>
                <w:i/>
                <w:lang w:eastAsia="en-US"/>
              </w:rPr>
              <w:t>Altum</w:t>
            </w:r>
            <w:proofErr w:type="spellEnd"/>
            <w:r w:rsidRPr="00775E61">
              <w:rPr>
                <w:lang w:val="x-none" w:eastAsia="en-US"/>
              </w:rPr>
              <w:t xml:space="preserve"> izsniegtajam aizdevuma saņēmēja reitingam un piedāvātajam nodrošinājumam (</w:t>
            </w:r>
            <w:r w:rsidR="00F41CB5">
              <w:rPr>
                <w:lang w:eastAsia="en-US"/>
              </w:rPr>
              <w:t>p</w:t>
            </w:r>
            <w:r w:rsidRPr="00775E61">
              <w:rPr>
                <w:lang w:val="x-none" w:eastAsia="en-US"/>
              </w:rPr>
              <w:t>ielikums</w:t>
            </w:r>
            <w:r w:rsidRPr="007C4A4B">
              <w:rPr>
                <w:lang w:val="x-none"/>
              </w:rPr>
              <w:t>)</w:t>
            </w:r>
            <w:r>
              <w:t>.</w:t>
            </w:r>
          </w:p>
        </w:tc>
      </w:tr>
      <w:tr w:rsidR="00CE12FA" w14:paraId="7BBE3501" w14:textId="77777777" w:rsidTr="005B7E71">
        <w:trPr>
          <w:tblCellSpacing w:w="0" w:type="dxa"/>
        </w:trPr>
        <w:tc>
          <w:tcPr>
            <w:tcW w:w="441" w:type="dxa"/>
            <w:gridSpan w:val="2"/>
          </w:tcPr>
          <w:p w14:paraId="488143DD" w14:textId="77777777" w:rsidR="00CE12FA" w:rsidRDefault="00CE12FA" w:rsidP="002C4AB3">
            <w:pPr>
              <w:pStyle w:val="Parasts1"/>
              <w:jc w:val="center"/>
            </w:pPr>
            <w:r>
              <w:t>21.</w:t>
            </w:r>
          </w:p>
        </w:tc>
        <w:tc>
          <w:tcPr>
            <w:tcW w:w="3402" w:type="dxa"/>
            <w:gridSpan w:val="2"/>
          </w:tcPr>
          <w:p w14:paraId="22154503" w14:textId="77777777" w:rsidR="00CE12FA" w:rsidRPr="00DC09A7" w:rsidRDefault="00CE12FA" w:rsidP="00DC09A7">
            <w:pPr>
              <w:jc w:val="both"/>
              <w:rPr>
                <w:sz w:val="24"/>
                <w:szCs w:val="24"/>
                <w:lang w:eastAsia="en-US"/>
              </w:rPr>
            </w:pPr>
          </w:p>
        </w:tc>
        <w:tc>
          <w:tcPr>
            <w:tcW w:w="4252" w:type="dxa"/>
          </w:tcPr>
          <w:p w14:paraId="250541C2" w14:textId="77777777" w:rsidR="00CE12FA" w:rsidRPr="00DD5969" w:rsidRDefault="00CE12FA" w:rsidP="00FD3A2F">
            <w:pPr>
              <w:pStyle w:val="Sarakstarindkopa"/>
              <w:widowControl w:val="0"/>
              <w:tabs>
                <w:tab w:val="left" w:pos="0"/>
                <w:tab w:val="left" w:pos="993"/>
              </w:tabs>
              <w:ind w:left="0"/>
              <w:contextualSpacing/>
              <w:jc w:val="both"/>
              <w:rPr>
                <w:lang w:val="lv-LV"/>
              </w:rPr>
            </w:pPr>
            <w:r w:rsidRPr="00CE12FA">
              <w:rPr>
                <w:lang w:val="lv-LV"/>
              </w:rPr>
              <w:t xml:space="preserve">4. Lūdzam precizēt anotācijas pielikuma programmas rādītāju izvērtējumu 1.punktu  Programmas īstenošanas laiks ar programmas uzsākšanas datumu, lai objektīvāk tiktu atspoguļoti administratīvie izdevumi un 5.punktu FINANSIĀLAIS REZULTĀTS UN PROGRAMMAS ĪSTENOŠANAS IZMAKSAS ar zem tabulas atsauci, ka Administratīvie izdevumi var tikt koriģēti atbilstoši </w:t>
            </w:r>
            <w:proofErr w:type="spellStart"/>
            <w:r w:rsidRPr="00CE12FA">
              <w:rPr>
                <w:lang w:val="lv-LV"/>
              </w:rPr>
              <w:t>Altum</w:t>
            </w:r>
            <w:proofErr w:type="spellEnd"/>
            <w:r w:rsidRPr="00CE12FA">
              <w:rPr>
                <w:lang w:val="lv-LV"/>
              </w:rPr>
              <w:t xml:space="preserve"> kārtēja gada budžetam vai aktualizētajam programmas ieviešanas plānam.</w:t>
            </w:r>
          </w:p>
        </w:tc>
        <w:tc>
          <w:tcPr>
            <w:tcW w:w="1843" w:type="dxa"/>
            <w:gridSpan w:val="2"/>
          </w:tcPr>
          <w:p w14:paraId="55B875C2" w14:textId="77777777" w:rsidR="00CE12FA" w:rsidRDefault="002615E6" w:rsidP="004B1391">
            <w:pPr>
              <w:pStyle w:val="Parasts1"/>
              <w:jc w:val="both"/>
              <w:rPr>
                <w:b/>
              </w:rPr>
            </w:pPr>
            <w:r w:rsidRPr="002615E6">
              <w:rPr>
                <w:b/>
              </w:rPr>
              <w:t>Ņemts vērā</w:t>
            </w:r>
            <w:r w:rsidR="00F41CB5">
              <w:rPr>
                <w:b/>
              </w:rPr>
              <w:t>.</w:t>
            </w:r>
          </w:p>
        </w:tc>
        <w:tc>
          <w:tcPr>
            <w:tcW w:w="4379" w:type="dxa"/>
          </w:tcPr>
          <w:p w14:paraId="208A7BDB" w14:textId="77777777" w:rsidR="00CE12FA" w:rsidRPr="00FA3E9E" w:rsidRDefault="002615E6" w:rsidP="00BA0DEA">
            <w:pPr>
              <w:pStyle w:val="Parasts1"/>
              <w:jc w:val="both"/>
              <w:rPr>
                <w:color w:val="000000" w:themeColor="text1"/>
                <w:lang w:eastAsia="en-US"/>
              </w:rPr>
            </w:pPr>
            <w:r>
              <w:rPr>
                <w:color w:val="000000" w:themeColor="text1"/>
                <w:lang w:eastAsia="en-US"/>
              </w:rPr>
              <w:t>Precizēts ierobežotas pieejamības noteikumu projekta anotācijas pielikums.</w:t>
            </w:r>
          </w:p>
        </w:tc>
      </w:tr>
      <w:tr w:rsidR="00CE12FA" w14:paraId="47090680" w14:textId="77777777" w:rsidTr="005B7E71">
        <w:trPr>
          <w:tblCellSpacing w:w="0" w:type="dxa"/>
        </w:trPr>
        <w:tc>
          <w:tcPr>
            <w:tcW w:w="441" w:type="dxa"/>
            <w:gridSpan w:val="2"/>
          </w:tcPr>
          <w:p w14:paraId="4B046D43" w14:textId="77777777" w:rsidR="00CE12FA" w:rsidRDefault="00CE12FA" w:rsidP="002C4AB3">
            <w:pPr>
              <w:pStyle w:val="Parasts1"/>
              <w:jc w:val="center"/>
            </w:pPr>
            <w:r>
              <w:t>22.</w:t>
            </w:r>
          </w:p>
        </w:tc>
        <w:tc>
          <w:tcPr>
            <w:tcW w:w="3402" w:type="dxa"/>
            <w:gridSpan w:val="2"/>
          </w:tcPr>
          <w:p w14:paraId="03E06D99" w14:textId="77777777" w:rsidR="00CE12FA" w:rsidRPr="00DC09A7" w:rsidRDefault="00D379D0" w:rsidP="00DC09A7">
            <w:pPr>
              <w:jc w:val="both"/>
              <w:rPr>
                <w:sz w:val="24"/>
                <w:szCs w:val="24"/>
                <w:lang w:eastAsia="en-US"/>
              </w:rPr>
            </w:pPr>
            <w:r w:rsidRPr="00D379D0">
              <w:rPr>
                <w:sz w:val="24"/>
                <w:szCs w:val="24"/>
                <w:lang w:eastAsia="en-US"/>
              </w:rPr>
              <w:t xml:space="preserve">20. Informāciju par piešķirto </w:t>
            </w:r>
            <w:proofErr w:type="spellStart"/>
            <w:r w:rsidRPr="00D379D0">
              <w:rPr>
                <w:i/>
                <w:sz w:val="24"/>
                <w:szCs w:val="24"/>
                <w:lang w:eastAsia="en-US"/>
              </w:rPr>
              <w:t>de</w:t>
            </w:r>
            <w:proofErr w:type="spellEnd"/>
            <w:r w:rsidRPr="00D379D0">
              <w:rPr>
                <w:i/>
                <w:sz w:val="24"/>
                <w:szCs w:val="24"/>
                <w:lang w:eastAsia="en-US"/>
              </w:rPr>
              <w:t xml:space="preserve"> </w:t>
            </w:r>
            <w:proofErr w:type="spellStart"/>
            <w:r w:rsidRPr="00D379D0">
              <w:rPr>
                <w:i/>
                <w:sz w:val="24"/>
                <w:szCs w:val="24"/>
                <w:lang w:eastAsia="en-US"/>
              </w:rPr>
              <w:t>minimis</w:t>
            </w:r>
            <w:proofErr w:type="spellEnd"/>
            <w:r w:rsidRPr="00D379D0">
              <w:rPr>
                <w:sz w:val="24"/>
                <w:szCs w:val="24"/>
                <w:lang w:eastAsia="en-US"/>
              </w:rPr>
              <w:t xml:space="preserve"> atbalstu saskaņā ar </w:t>
            </w:r>
            <w:r w:rsidRPr="00D379D0">
              <w:rPr>
                <w:sz w:val="24"/>
                <w:szCs w:val="24"/>
                <w:lang w:eastAsia="en-US"/>
              </w:rPr>
              <w:lastRenderedPageBreak/>
              <w:t xml:space="preserve">Komisijas regulas Nr. 1407/2013, Komisijas regulas Nr. 1408/2013 vai Komisijas regulas Nr. 717/2014 atbalsta saņēmējs un sabiedrība </w:t>
            </w:r>
            <w:proofErr w:type="spellStart"/>
            <w:r w:rsidRPr="00D379D0">
              <w:rPr>
                <w:i/>
                <w:sz w:val="24"/>
                <w:szCs w:val="24"/>
                <w:lang w:eastAsia="en-US"/>
              </w:rPr>
              <w:t>Altum</w:t>
            </w:r>
            <w:proofErr w:type="spellEnd"/>
            <w:r w:rsidRPr="00D379D0">
              <w:rPr>
                <w:sz w:val="24"/>
                <w:szCs w:val="24"/>
                <w:lang w:eastAsia="en-US"/>
              </w:rPr>
              <w:t xml:space="preserve"> glabā 10 gadus no atbalsta saņemšanas dienas.</w:t>
            </w:r>
          </w:p>
        </w:tc>
        <w:tc>
          <w:tcPr>
            <w:tcW w:w="4252" w:type="dxa"/>
          </w:tcPr>
          <w:p w14:paraId="53D93A48" w14:textId="77777777" w:rsidR="00CE12FA" w:rsidRPr="00DD5969" w:rsidRDefault="00CE12FA" w:rsidP="00FD3A2F">
            <w:pPr>
              <w:pStyle w:val="Sarakstarindkopa"/>
              <w:widowControl w:val="0"/>
              <w:tabs>
                <w:tab w:val="left" w:pos="0"/>
                <w:tab w:val="left" w:pos="993"/>
              </w:tabs>
              <w:ind w:left="0"/>
              <w:contextualSpacing/>
              <w:jc w:val="both"/>
              <w:rPr>
                <w:lang w:val="lv-LV"/>
              </w:rPr>
            </w:pPr>
            <w:r w:rsidRPr="00CE12FA">
              <w:rPr>
                <w:lang w:val="lv-LV"/>
              </w:rPr>
              <w:lastRenderedPageBreak/>
              <w:t xml:space="preserve">5. Vēršam uzmanību, ka saskaņā ar Komisijas 2013. gada 18. decembra Regulas </w:t>
            </w:r>
            <w:r w:rsidRPr="00CE12FA">
              <w:rPr>
                <w:lang w:val="lv-LV"/>
              </w:rPr>
              <w:lastRenderedPageBreak/>
              <w:t xml:space="preserve">Nr. 1407/2013 par Līguma par Eiropas Savienības darbību 107. un 108. panta piemērošanu </w:t>
            </w:r>
            <w:proofErr w:type="spellStart"/>
            <w:r w:rsidRPr="00CE12FA">
              <w:rPr>
                <w:i/>
                <w:lang w:val="lv-LV"/>
              </w:rPr>
              <w:t>de</w:t>
            </w:r>
            <w:proofErr w:type="spellEnd"/>
            <w:r w:rsidRPr="00CE12FA">
              <w:rPr>
                <w:i/>
                <w:lang w:val="lv-LV"/>
              </w:rPr>
              <w:t xml:space="preserve"> </w:t>
            </w:r>
            <w:proofErr w:type="spellStart"/>
            <w:r w:rsidRPr="00CE12FA">
              <w:rPr>
                <w:i/>
                <w:lang w:val="lv-LV"/>
              </w:rPr>
              <w:t>minimis</w:t>
            </w:r>
            <w:proofErr w:type="spellEnd"/>
            <w:r w:rsidRPr="00CE12FA">
              <w:rPr>
                <w:lang w:val="lv-LV"/>
              </w:rPr>
              <w:t xml:space="preserve"> atbalstam (turpmāk – Komisijas regula Nr. 1407/2013) 6. panta 4. punktu, atbalsta sniedzējam informāciju par piešķirto </w:t>
            </w:r>
            <w:proofErr w:type="spellStart"/>
            <w:r w:rsidRPr="00CE12FA">
              <w:rPr>
                <w:i/>
                <w:lang w:val="lv-LV"/>
              </w:rPr>
              <w:t>de</w:t>
            </w:r>
            <w:proofErr w:type="spellEnd"/>
            <w:r w:rsidRPr="00CE12FA">
              <w:rPr>
                <w:i/>
                <w:lang w:val="lv-LV"/>
              </w:rPr>
              <w:t xml:space="preserve"> </w:t>
            </w:r>
            <w:proofErr w:type="spellStart"/>
            <w:r w:rsidRPr="00CE12FA">
              <w:rPr>
                <w:i/>
                <w:lang w:val="lv-LV"/>
              </w:rPr>
              <w:t>minimis</w:t>
            </w:r>
            <w:proofErr w:type="spellEnd"/>
            <w:r w:rsidRPr="00CE12FA">
              <w:rPr>
                <w:lang w:val="lv-LV"/>
              </w:rPr>
              <w:t xml:space="preserve"> atbalstu jāglabā 10 gadus, sākot no dienas, kad saskaņā ar šo shēmu piešķirts pēdējais individuālais atbalsts, savukārt atbalsta saņēmējam, 10 gadus no atbalsta piešķiršanas brīža.  Lūdzam atbilstoši precizēt MK noteikumu projekta 20. punktu.</w:t>
            </w:r>
          </w:p>
        </w:tc>
        <w:tc>
          <w:tcPr>
            <w:tcW w:w="1843" w:type="dxa"/>
            <w:gridSpan w:val="2"/>
          </w:tcPr>
          <w:p w14:paraId="4F9DC2BC" w14:textId="77777777" w:rsidR="00CE12FA" w:rsidRDefault="002615E6" w:rsidP="004B1391">
            <w:pPr>
              <w:pStyle w:val="Parasts1"/>
              <w:jc w:val="both"/>
              <w:rPr>
                <w:b/>
              </w:rPr>
            </w:pPr>
            <w:r w:rsidRPr="002615E6">
              <w:rPr>
                <w:b/>
              </w:rPr>
              <w:lastRenderedPageBreak/>
              <w:t>Ņemts vērā</w:t>
            </w:r>
            <w:r w:rsidR="00F41CB5">
              <w:rPr>
                <w:b/>
              </w:rPr>
              <w:t>.</w:t>
            </w:r>
          </w:p>
        </w:tc>
        <w:tc>
          <w:tcPr>
            <w:tcW w:w="4379" w:type="dxa"/>
          </w:tcPr>
          <w:p w14:paraId="72447352" w14:textId="77777777" w:rsidR="00CE12FA" w:rsidRPr="00FA3E9E" w:rsidRDefault="00CD4C3F" w:rsidP="002C77CE">
            <w:pPr>
              <w:pStyle w:val="Parasts1"/>
              <w:jc w:val="both"/>
              <w:rPr>
                <w:color w:val="000000" w:themeColor="text1"/>
                <w:lang w:eastAsia="en-US"/>
              </w:rPr>
            </w:pPr>
            <w:r w:rsidRPr="00775E61">
              <w:rPr>
                <w:lang w:eastAsia="en-US"/>
              </w:rPr>
              <w:t xml:space="preserve">20. Informāciju par piešķirto </w:t>
            </w:r>
            <w:proofErr w:type="spellStart"/>
            <w:r w:rsidRPr="00775E61">
              <w:rPr>
                <w:i/>
                <w:lang w:eastAsia="en-US"/>
              </w:rPr>
              <w:t>de</w:t>
            </w:r>
            <w:proofErr w:type="spellEnd"/>
            <w:r w:rsidRPr="00775E61">
              <w:rPr>
                <w:i/>
                <w:lang w:eastAsia="en-US"/>
              </w:rPr>
              <w:t xml:space="preserve"> </w:t>
            </w:r>
            <w:proofErr w:type="spellStart"/>
            <w:r w:rsidRPr="00775E61">
              <w:rPr>
                <w:i/>
                <w:lang w:eastAsia="en-US"/>
              </w:rPr>
              <w:t>minimis</w:t>
            </w:r>
            <w:proofErr w:type="spellEnd"/>
            <w:r w:rsidRPr="00775E61">
              <w:rPr>
                <w:lang w:eastAsia="en-US"/>
              </w:rPr>
              <w:t xml:space="preserve"> atbalstu glabā 10 gadus saskaņā ar Komisijas </w:t>
            </w:r>
            <w:r w:rsidRPr="00775E61">
              <w:rPr>
                <w:lang w:eastAsia="en-US"/>
              </w:rPr>
              <w:lastRenderedPageBreak/>
              <w:t>regulas Nr. 1407/2013</w:t>
            </w:r>
            <w:r>
              <w:rPr>
                <w:lang w:eastAsia="en-US"/>
              </w:rPr>
              <w:t xml:space="preserve"> 6. panta 4. punktu</w:t>
            </w:r>
            <w:r w:rsidRPr="00775E61">
              <w:rPr>
                <w:lang w:eastAsia="en-US"/>
              </w:rPr>
              <w:t>, Komisijas regulas Nr. 1408/2013</w:t>
            </w:r>
            <w:r>
              <w:rPr>
                <w:lang w:eastAsia="en-US"/>
              </w:rPr>
              <w:t xml:space="preserve"> 6. panta 4. punktu</w:t>
            </w:r>
            <w:r w:rsidRPr="00775E61">
              <w:rPr>
                <w:lang w:eastAsia="en-US"/>
              </w:rPr>
              <w:t xml:space="preserve"> vai Komisijas regulas Nr. 717/2014</w:t>
            </w:r>
            <w:r>
              <w:rPr>
                <w:lang w:eastAsia="en-US"/>
              </w:rPr>
              <w:t xml:space="preserve"> 6. panta 4. punktu.</w:t>
            </w:r>
          </w:p>
        </w:tc>
      </w:tr>
      <w:tr w:rsidR="00CE12FA" w14:paraId="156F232A" w14:textId="77777777" w:rsidTr="005B7E71">
        <w:trPr>
          <w:tblCellSpacing w:w="0" w:type="dxa"/>
        </w:trPr>
        <w:tc>
          <w:tcPr>
            <w:tcW w:w="441" w:type="dxa"/>
            <w:gridSpan w:val="2"/>
          </w:tcPr>
          <w:p w14:paraId="404B4420" w14:textId="77777777" w:rsidR="00CE12FA" w:rsidRDefault="00CE12FA" w:rsidP="002C4AB3">
            <w:pPr>
              <w:pStyle w:val="Parasts1"/>
              <w:jc w:val="center"/>
            </w:pPr>
            <w:r>
              <w:lastRenderedPageBreak/>
              <w:t>2</w:t>
            </w:r>
            <w:r w:rsidR="002615E6">
              <w:t>3</w:t>
            </w:r>
            <w:r>
              <w:t>.</w:t>
            </w:r>
          </w:p>
        </w:tc>
        <w:tc>
          <w:tcPr>
            <w:tcW w:w="3402" w:type="dxa"/>
            <w:gridSpan w:val="2"/>
          </w:tcPr>
          <w:p w14:paraId="2281617C" w14:textId="77777777" w:rsidR="00CE12FA" w:rsidRPr="00DC09A7" w:rsidRDefault="00C41C7F" w:rsidP="00DC09A7">
            <w:pPr>
              <w:jc w:val="both"/>
              <w:rPr>
                <w:sz w:val="24"/>
                <w:szCs w:val="24"/>
                <w:lang w:eastAsia="en-US"/>
              </w:rPr>
            </w:pPr>
            <w:r w:rsidRPr="00C41C7F">
              <w:rPr>
                <w:sz w:val="24"/>
                <w:szCs w:val="24"/>
                <w:lang w:eastAsia="en-US"/>
              </w:rPr>
              <w:t>18. Subsīdijas ekvivalentu atbalsta pretendentam aprēķina, faktiski piemēroto procentu summu atskaitot no procentu summas, kas jāmaksā saskaņā ar Eiropas Komisijas konkrētajam periodam noteikto bāzes likmi (publicēta Eiropas Komisijas Konkurences ģenerāldirektorāta tīmekļvietnē).</w:t>
            </w:r>
          </w:p>
        </w:tc>
        <w:tc>
          <w:tcPr>
            <w:tcW w:w="4252" w:type="dxa"/>
          </w:tcPr>
          <w:p w14:paraId="58858E10" w14:textId="77777777" w:rsidR="00CE12FA" w:rsidRPr="00CE12FA" w:rsidRDefault="00CE12FA" w:rsidP="00CE12FA">
            <w:pPr>
              <w:pStyle w:val="Sarakstarindkopa"/>
              <w:widowControl w:val="0"/>
              <w:tabs>
                <w:tab w:val="left" w:pos="0"/>
                <w:tab w:val="left" w:pos="993"/>
              </w:tabs>
              <w:ind w:left="0"/>
              <w:contextualSpacing/>
              <w:jc w:val="both"/>
              <w:rPr>
                <w:lang w:val="lv-LV"/>
              </w:rPr>
            </w:pPr>
            <w:r w:rsidRPr="00CE12FA">
              <w:rPr>
                <w:lang w:val="lv-LV"/>
              </w:rPr>
              <w:t xml:space="preserve">6. Uzturam Finanšu ministrijas iepriekš izteikto iebildumu, kas atspoguļots izziņas 5.punktā. Papildus lūdzam ņemt vērā, ka šobrīd nav saprotams, atbilstoši kurai Komisijas regulas Nr. 1407/2013 normai tiek veikts  MK noteikumu projekta 18.punktā minētais subsīdijas ekvivalenta aprēķins. Ievērojot MK noteikumu projekta 12.punktā ietverto iespējamo aizdevuma apmēru atbilstīgai kooperatīvajai sabiedrībai lauksaimniecības nozarē, bruto dotācijas ekvivalenta aprēķins būtu veicams, ievērojot Komisijas regulas Nr. 1407/2013 4.panta 3.punkta c)apakšpunktā noteikto. </w:t>
            </w:r>
          </w:p>
          <w:p w14:paraId="16A7E89C" w14:textId="77777777" w:rsidR="00CE12FA" w:rsidRPr="00DD5969" w:rsidRDefault="00CE12FA" w:rsidP="00CE12FA">
            <w:pPr>
              <w:pStyle w:val="Sarakstarindkopa"/>
              <w:widowControl w:val="0"/>
              <w:tabs>
                <w:tab w:val="left" w:pos="0"/>
                <w:tab w:val="left" w:pos="993"/>
              </w:tabs>
              <w:ind w:left="0"/>
              <w:contextualSpacing/>
              <w:jc w:val="both"/>
              <w:rPr>
                <w:lang w:val="lv-LV"/>
              </w:rPr>
            </w:pPr>
            <w:r w:rsidRPr="00CE12FA">
              <w:rPr>
                <w:lang w:val="lv-LV"/>
              </w:rPr>
              <w:t xml:space="preserve">Vēršam uzmanību, ka bruto dotācijas ekvivalents nav tikai procentu likmju starpība, bet bruto dotācijas ekvivalentu veido aizdevuma summa, kas reizināta ar atsauces likmes un piemērojamās procentu </w:t>
            </w:r>
            <w:r w:rsidRPr="00CE12FA">
              <w:rPr>
                <w:lang w:val="lv-LV"/>
              </w:rPr>
              <w:lastRenderedPageBreak/>
              <w:t xml:space="preserve">likmes starpību (Plašāku skaidrojumu lūdzam skatīt Finanšu ministrijas izstrādātās rokasgrāmatas par </w:t>
            </w:r>
            <w:proofErr w:type="spellStart"/>
            <w:r w:rsidRPr="00CE12FA">
              <w:rPr>
                <w:lang w:val="lv-LV"/>
              </w:rPr>
              <w:t>de</w:t>
            </w:r>
            <w:proofErr w:type="spellEnd"/>
            <w:r w:rsidRPr="00CE12FA">
              <w:rPr>
                <w:lang w:val="lv-LV"/>
              </w:rPr>
              <w:t xml:space="preserve"> </w:t>
            </w:r>
            <w:proofErr w:type="spellStart"/>
            <w:r w:rsidRPr="00CE12FA">
              <w:rPr>
                <w:lang w:val="lv-LV"/>
              </w:rPr>
              <w:t>minimis</w:t>
            </w:r>
            <w:proofErr w:type="spellEnd"/>
            <w:r w:rsidRPr="00CE12FA">
              <w:rPr>
                <w:lang w:val="lv-LV"/>
              </w:rPr>
              <w:t xml:space="preserve"> atbalsta piešķiršanu 3. pielikumā. Pieejams: https://www.fm.gov.lv/files/komerdarbbasatbalsta/Rokasgramata%20de%20minimis%20atbalsta%20pieskirsanai%20(aktualizets%202019.%20septembri). </w:t>
            </w:r>
            <w:proofErr w:type="spellStart"/>
            <w:r w:rsidRPr="00CE12FA">
              <w:rPr>
                <w:lang w:val="lv-LV"/>
              </w:rPr>
              <w:t>pdf</w:t>
            </w:r>
            <w:proofErr w:type="spellEnd"/>
            <w:r w:rsidRPr="00CE12FA">
              <w:rPr>
                <w:lang w:val="lv-LV"/>
              </w:rPr>
              <w:t>). Ievērojot minēto, lūdzam precizēt MK noteikumu projekta 18.punktu, sniegt tā piemērošanas skaidrojumu anotācijas I. sadaļas 2.punktā un veikt MK noteikumu projekta 18.punkta atbilstības izvērtējumu anotācijas V sadaļas 1.tabulā.</w:t>
            </w:r>
          </w:p>
        </w:tc>
        <w:tc>
          <w:tcPr>
            <w:tcW w:w="1843" w:type="dxa"/>
            <w:gridSpan w:val="2"/>
          </w:tcPr>
          <w:p w14:paraId="4293789F" w14:textId="0B06EBDA" w:rsidR="00CE12FA" w:rsidRDefault="00C41C7F" w:rsidP="004B1391">
            <w:pPr>
              <w:pStyle w:val="Parasts1"/>
              <w:jc w:val="both"/>
              <w:rPr>
                <w:b/>
              </w:rPr>
            </w:pPr>
            <w:r>
              <w:rPr>
                <w:b/>
              </w:rPr>
              <w:lastRenderedPageBreak/>
              <w:t>Ņemts vērā</w:t>
            </w:r>
            <w:r w:rsidR="00F41CB5">
              <w:rPr>
                <w:b/>
              </w:rPr>
              <w:t>.</w:t>
            </w:r>
          </w:p>
        </w:tc>
        <w:tc>
          <w:tcPr>
            <w:tcW w:w="4379" w:type="dxa"/>
          </w:tcPr>
          <w:p w14:paraId="2E873E56" w14:textId="2392C34B" w:rsidR="00CE12FA" w:rsidRPr="00FA3E9E" w:rsidRDefault="005D2198" w:rsidP="00BA0DEA">
            <w:pPr>
              <w:pStyle w:val="Parasts1"/>
              <w:jc w:val="both"/>
              <w:rPr>
                <w:color w:val="000000" w:themeColor="text1"/>
                <w:lang w:eastAsia="en-US"/>
              </w:rPr>
            </w:pPr>
            <w:r w:rsidRPr="00775E61">
              <w:rPr>
                <w:lang w:eastAsia="en-US"/>
              </w:rPr>
              <w:t>18. Subsīdijas ekvivalentu atbalsta pretendentam aprēķina, faktiski piemēroto procentu summu atskaitot no procentu summas, kas jāmaksā saskaņā ar Eiropas Komisijas konkrētajam periodam noteikto bāzes likmi (publicēta Eiropas Komisijas Konkurences ģenerāldirektorāta tīmekļvietnē)</w:t>
            </w:r>
            <w:r>
              <w:rPr>
                <w:lang w:eastAsia="en-US"/>
              </w:rPr>
              <w:t xml:space="preserve"> un</w:t>
            </w:r>
            <w:r w:rsidRPr="00775E61">
              <w:rPr>
                <w:lang w:val="x-none" w:eastAsia="en-US"/>
              </w:rPr>
              <w:t xml:space="preserve"> riska likmi, kuras procentuālais apmērs tiek noteikts atbilstoši sabiedrības</w:t>
            </w:r>
            <w:r w:rsidRPr="00775E61">
              <w:rPr>
                <w:lang w:eastAsia="en-US"/>
              </w:rPr>
              <w:t xml:space="preserve"> </w:t>
            </w:r>
            <w:proofErr w:type="spellStart"/>
            <w:r w:rsidRPr="00775E61">
              <w:rPr>
                <w:i/>
                <w:lang w:eastAsia="en-US"/>
              </w:rPr>
              <w:t>Altum</w:t>
            </w:r>
            <w:proofErr w:type="spellEnd"/>
            <w:r w:rsidRPr="00775E61">
              <w:rPr>
                <w:lang w:val="x-none" w:eastAsia="en-US"/>
              </w:rPr>
              <w:t xml:space="preserve"> izsniegtajam aizdevuma saņēmēja reitingam un piedāvātajam nodrošinājumam (</w:t>
            </w:r>
            <w:r w:rsidR="00F41CB5">
              <w:rPr>
                <w:lang w:eastAsia="en-US"/>
              </w:rPr>
              <w:t>p</w:t>
            </w:r>
            <w:r w:rsidRPr="00775E61">
              <w:rPr>
                <w:lang w:val="x-none" w:eastAsia="en-US"/>
              </w:rPr>
              <w:t>ielikums</w:t>
            </w:r>
            <w:r w:rsidRPr="007C4A4B">
              <w:rPr>
                <w:lang w:val="x-none"/>
              </w:rPr>
              <w:t>)</w:t>
            </w:r>
            <w:r>
              <w:t>.</w:t>
            </w:r>
          </w:p>
        </w:tc>
      </w:tr>
      <w:tr w:rsidR="00E525CD" w14:paraId="6F95C35E" w14:textId="77777777" w:rsidTr="005B7E71">
        <w:trPr>
          <w:tblCellSpacing w:w="0" w:type="dxa"/>
        </w:trPr>
        <w:tc>
          <w:tcPr>
            <w:tcW w:w="441" w:type="dxa"/>
            <w:gridSpan w:val="2"/>
          </w:tcPr>
          <w:p w14:paraId="63A4C564" w14:textId="77777777" w:rsidR="00E525CD" w:rsidRDefault="00E525CD" w:rsidP="002C4AB3">
            <w:pPr>
              <w:pStyle w:val="Parasts1"/>
              <w:jc w:val="center"/>
            </w:pPr>
          </w:p>
        </w:tc>
        <w:tc>
          <w:tcPr>
            <w:tcW w:w="3402" w:type="dxa"/>
            <w:gridSpan w:val="2"/>
          </w:tcPr>
          <w:p w14:paraId="433583F1" w14:textId="77777777" w:rsidR="00E525CD" w:rsidRPr="00C41C7F" w:rsidRDefault="00E525CD" w:rsidP="00DC09A7">
            <w:pPr>
              <w:jc w:val="both"/>
              <w:rPr>
                <w:sz w:val="24"/>
                <w:szCs w:val="24"/>
                <w:lang w:eastAsia="en-US"/>
              </w:rPr>
            </w:pPr>
          </w:p>
        </w:tc>
        <w:tc>
          <w:tcPr>
            <w:tcW w:w="4252" w:type="dxa"/>
          </w:tcPr>
          <w:p w14:paraId="77137CA1" w14:textId="77777777" w:rsidR="00E525CD" w:rsidRPr="00E525CD" w:rsidRDefault="00E525CD" w:rsidP="00CE12FA">
            <w:pPr>
              <w:pStyle w:val="Sarakstarindkopa"/>
              <w:widowControl w:val="0"/>
              <w:tabs>
                <w:tab w:val="left" w:pos="0"/>
                <w:tab w:val="left" w:pos="993"/>
              </w:tabs>
              <w:ind w:left="0"/>
              <w:contextualSpacing/>
              <w:jc w:val="both"/>
              <w:rPr>
                <w:b/>
                <w:lang w:val="lv-LV"/>
              </w:rPr>
            </w:pPr>
            <w:r w:rsidRPr="00E525CD">
              <w:rPr>
                <w:b/>
                <w:lang w:val="lv-LV"/>
              </w:rPr>
              <w:t>Finanšu ministrija (</w:t>
            </w:r>
            <w:r>
              <w:rPr>
                <w:b/>
                <w:lang w:val="lv-LV"/>
              </w:rPr>
              <w:t>2</w:t>
            </w:r>
            <w:r w:rsidRPr="00E525CD">
              <w:rPr>
                <w:b/>
                <w:lang w:val="lv-LV"/>
              </w:rPr>
              <w:t>8.10.2019.)</w:t>
            </w:r>
          </w:p>
        </w:tc>
        <w:tc>
          <w:tcPr>
            <w:tcW w:w="1843" w:type="dxa"/>
            <w:gridSpan w:val="2"/>
          </w:tcPr>
          <w:p w14:paraId="41A122A7" w14:textId="77777777" w:rsidR="00E525CD" w:rsidRDefault="00E525CD" w:rsidP="004B1391">
            <w:pPr>
              <w:pStyle w:val="Parasts1"/>
              <w:jc w:val="both"/>
              <w:rPr>
                <w:b/>
              </w:rPr>
            </w:pPr>
          </w:p>
        </w:tc>
        <w:tc>
          <w:tcPr>
            <w:tcW w:w="4379" w:type="dxa"/>
          </w:tcPr>
          <w:p w14:paraId="5DBB2560" w14:textId="77777777" w:rsidR="00E525CD" w:rsidRPr="00775E61" w:rsidRDefault="00E525CD" w:rsidP="00BA0DEA">
            <w:pPr>
              <w:pStyle w:val="Parasts1"/>
              <w:jc w:val="both"/>
              <w:rPr>
                <w:lang w:eastAsia="en-US"/>
              </w:rPr>
            </w:pPr>
          </w:p>
        </w:tc>
      </w:tr>
      <w:tr w:rsidR="00E525CD" w14:paraId="4FB1C9FE" w14:textId="77777777" w:rsidTr="005B7E71">
        <w:trPr>
          <w:tblCellSpacing w:w="0" w:type="dxa"/>
        </w:trPr>
        <w:tc>
          <w:tcPr>
            <w:tcW w:w="441" w:type="dxa"/>
            <w:gridSpan w:val="2"/>
          </w:tcPr>
          <w:p w14:paraId="5F74D1C7" w14:textId="77777777" w:rsidR="00E525CD" w:rsidRDefault="00E525CD" w:rsidP="002C4AB3">
            <w:pPr>
              <w:pStyle w:val="Parasts1"/>
              <w:jc w:val="center"/>
            </w:pPr>
            <w:r>
              <w:t>24.</w:t>
            </w:r>
          </w:p>
        </w:tc>
        <w:tc>
          <w:tcPr>
            <w:tcW w:w="3402" w:type="dxa"/>
            <w:gridSpan w:val="2"/>
          </w:tcPr>
          <w:p w14:paraId="1FA09709" w14:textId="77777777" w:rsidR="00E525CD" w:rsidRPr="00C41C7F" w:rsidRDefault="00E525CD" w:rsidP="00DC09A7">
            <w:pPr>
              <w:jc w:val="both"/>
              <w:rPr>
                <w:sz w:val="24"/>
                <w:szCs w:val="24"/>
                <w:lang w:eastAsia="en-US"/>
              </w:rPr>
            </w:pPr>
            <w:r w:rsidRPr="00E525CD">
              <w:rPr>
                <w:sz w:val="24"/>
                <w:szCs w:val="24"/>
                <w:lang w:eastAsia="en-US"/>
              </w:rPr>
              <w:t xml:space="preserve">4. Sabiedrība </w:t>
            </w:r>
            <w:proofErr w:type="spellStart"/>
            <w:r w:rsidRPr="00E525CD">
              <w:rPr>
                <w:i/>
                <w:sz w:val="24"/>
                <w:szCs w:val="24"/>
                <w:lang w:eastAsia="en-US"/>
              </w:rPr>
              <w:t>Altum</w:t>
            </w:r>
            <w:proofErr w:type="spellEnd"/>
            <w:r w:rsidRPr="00E525CD">
              <w:rPr>
                <w:sz w:val="24"/>
                <w:szCs w:val="24"/>
                <w:lang w:eastAsia="en-US"/>
              </w:rPr>
              <w:t xml:space="preserve"> aizdevumu finansēšanai piesaista valsts aizdevumu kredītlīnijas veidā saskaņā ar normatīvajiem aktiem par kārtību, kādā ministrijas un citas centrālās valsts iestādes iekļauj gadskārtējā valsts budžeta likumprojektā valsts aizdevumu pieprasījumus, un valsts aizdevumu izsniegšanas un apkalpošanas kārtību vai aizdevumu no Eiropas Savienības vai citām finanšu institūcijām. Finanšu ministrs valsts aizdevumam nepiemēro normatīvajos aktos par kārtību, kādā ministrijas un citas centrālās </w:t>
            </w:r>
            <w:r w:rsidRPr="00E525CD">
              <w:rPr>
                <w:sz w:val="24"/>
                <w:szCs w:val="24"/>
                <w:lang w:eastAsia="en-US"/>
              </w:rPr>
              <w:lastRenderedPageBreak/>
              <w:t>valsts iestādes iekļauj gadskārtējā valsts budžeta likumprojektā valsts aizdevumu pieprasījumus, un valsts aizdevumu izsniegšanas un apkalpošanas kārtību vai aizdevumu noteikto aizdevumu riska procentu likmi.</w:t>
            </w:r>
          </w:p>
        </w:tc>
        <w:tc>
          <w:tcPr>
            <w:tcW w:w="4252" w:type="dxa"/>
          </w:tcPr>
          <w:p w14:paraId="6ECF02A4" w14:textId="77777777" w:rsidR="00E525CD" w:rsidRPr="00E525CD" w:rsidRDefault="00E525CD" w:rsidP="00E525CD">
            <w:pPr>
              <w:pStyle w:val="Sarakstarindkopa"/>
              <w:widowControl w:val="0"/>
              <w:tabs>
                <w:tab w:val="left" w:pos="0"/>
                <w:tab w:val="left" w:pos="993"/>
              </w:tabs>
              <w:ind w:left="0"/>
              <w:contextualSpacing/>
              <w:jc w:val="both"/>
              <w:rPr>
                <w:lang w:val="lv-LV"/>
              </w:rPr>
            </w:pPr>
            <w:r w:rsidRPr="00E525CD">
              <w:rPr>
                <w:lang w:val="lv-LV"/>
              </w:rPr>
              <w:lastRenderedPageBreak/>
              <w:t>Lūdzam izteikt noteikumu projekta 4.</w:t>
            </w:r>
            <w:r>
              <w:rPr>
                <w:lang w:val="lv-LV"/>
              </w:rPr>
              <w:t xml:space="preserve"> </w:t>
            </w:r>
            <w:r w:rsidRPr="00E525CD">
              <w:rPr>
                <w:lang w:val="lv-LV"/>
              </w:rPr>
              <w:t xml:space="preserve">pantu šādā redakcijā: </w:t>
            </w:r>
          </w:p>
          <w:p w14:paraId="16A54DA2" w14:textId="77777777" w:rsidR="00E525CD" w:rsidRPr="00CE12FA" w:rsidRDefault="00E525CD" w:rsidP="00E525CD">
            <w:pPr>
              <w:pStyle w:val="Sarakstarindkopa"/>
              <w:widowControl w:val="0"/>
              <w:tabs>
                <w:tab w:val="left" w:pos="0"/>
                <w:tab w:val="left" w:pos="993"/>
              </w:tabs>
              <w:ind w:left="0"/>
              <w:contextualSpacing/>
              <w:jc w:val="both"/>
              <w:rPr>
                <w:lang w:val="lv-LV"/>
              </w:rPr>
            </w:pPr>
            <w:r w:rsidRPr="00E525CD">
              <w:rPr>
                <w:lang w:val="lv-LV"/>
              </w:rPr>
              <w:t xml:space="preserve">“4. Sabiedrība </w:t>
            </w:r>
            <w:proofErr w:type="spellStart"/>
            <w:r w:rsidRPr="00E525CD">
              <w:rPr>
                <w:lang w:val="lv-LV"/>
              </w:rPr>
              <w:t>Altum</w:t>
            </w:r>
            <w:proofErr w:type="spellEnd"/>
            <w:r w:rsidRPr="00E525CD">
              <w:rPr>
                <w:lang w:val="lv-LV"/>
              </w:rPr>
              <w:t xml:space="preserve"> valsts atbalsts programmas īstenošanai apgrozāmo līdzekļu iegādei lauksaimniecības, mežsaimniecības, zvejniecības un akvakultūras nozarē finansēšanas nodrošināšanai piesaista valsts aizdevumu kredītlīnijas veidā saskaņā ar normatīvajiem aktiem par kārtību, kādā ministrijas un citas centrālās valsts iestādes iekļauj gadskārtējā valsts budžeta likumprojektā valsts aizdevumu pieprasījumus, un valsts aizdevumu izsniegšanas un apkalpošanas kārtību vai aizdevumu no Eiropas Savienības vai citām starptautiskajām finanšu institūcijām. Valsts aizdevuma </w:t>
            </w:r>
            <w:r w:rsidRPr="00E525CD">
              <w:rPr>
                <w:lang w:val="lv-LV"/>
              </w:rPr>
              <w:lastRenderedPageBreak/>
              <w:t>atmaksa termiņš ir līdz 2031.gada 30.jūnijam. Valsts aizdevumam nepiemēro riska likmi.”</w:t>
            </w:r>
          </w:p>
        </w:tc>
        <w:tc>
          <w:tcPr>
            <w:tcW w:w="1843" w:type="dxa"/>
            <w:gridSpan w:val="2"/>
          </w:tcPr>
          <w:p w14:paraId="5EA003A9" w14:textId="77777777" w:rsidR="00E525CD" w:rsidRDefault="00E525CD" w:rsidP="004B1391">
            <w:pPr>
              <w:pStyle w:val="Parasts1"/>
              <w:jc w:val="both"/>
              <w:rPr>
                <w:b/>
              </w:rPr>
            </w:pPr>
            <w:r w:rsidRPr="00E525CD">
              <w:rPr>
                <w:b/>
              </w:rPr>
              <w:lastRenderedPageBreak/>
              <w:t>Ņemts vērā</w:t>
            </w:r>
            <w:r w:rsidR="00F41CB5">
              <w:rPr>
                <w:b/>
              </w:rPr>
              <w:t>.</w:t>
            </w:r>
          </w:p>
        </w:tc>
        <w:tc>
          <w:tcPr>
            <w:tcW w:w="4379" w:type="dxa"/>
          </w:tcPr>
          <w:p w14:paraId="3BB952FF" w14:textId="6D1979BF" w:rsidR="00E525CD" w:rsidRPr="00775E61" w:rsidRDefault="00192E55" w:rsidP="00BA0DEA">
            <w:pPr>
              <w:pStyle w:val="Parasts1"/>
              <w:jc w:val="both"/>
              <w:rPr>
                <w:lang w:eastAsia="en-US"/>
              </w:rPr>
            </w:pPr>
            <w:r w:rsidRPr="003A5073">
              <w:rPr>
                <w:lang w:eastAsia="en-US"/>
              </w:rPr>
              <w:t xml:space="preserve">4. Sabiedrība </w:t>
            </w:r>
            <w:proofErr w:type="spellStart"/>
            <w:r w:rsidRPr="001D5472">
              <w:rPr>
                <w:i/>
                <w:lang w:eastAsia="en-US"/>
              </w:rPr>
              <w:t>Altum</w:t>
            </w:r>
            <w:proofErr w:type="spellEnd"/>
            <w:r>
              <w:rPr>
                <w:lang w:eastAsia="en-US"/>
              </w:rPr>
              <w:t xml:space="preserve">, īstenojot </w:t>
            </w:r>
            <w:r w:rsidRPr="003A5073">
              <w:rPr>
                <w:lang w:eastAsia="en-US"/>
              </w:rPr>
              <w:t>valsts atbalst</w:t>
            </w:r>
            <w:r>
              <w:rPr>
                <w:lang w:eastAsia="en-US"/>
              </w:rPr>
              <w:t>a</w:t>
            </w:r>
            <w:r w:rsidRPr="003A5073">
              <w:rPr>
                <w:lang w:eastAsia="en-US"/>
              </w:rPr>
              <w:t xml:space="preserve"> programm</w:t>
            </w:r>
            <w:r>
              <w:rPr>
                <w:lang w:eastAsia="en-US"/>
              </w:rPr>
              <w:t>u</w:t>
            </w:r>
            <w:r w:rsidRPr="003A5073">
              <w:rPr>
                <w:lang w:eastAsia="en-US"/>
              </w:rPr>
              <w:t xml:space="preserve"> apgrozāmo līdzekļu iegādei lauksaimniecības, mežsaimniecības, zvejniecības un akvakultūras nozarē</w:t>
            </w:r>
            <w:r>
              <w:rPr>
                <w:lang w:eastAsia="en-US"/>
              </w:rPr>
              <w:t>,</w:t>
            </w:r>
            <w:r w:rsidRPr="003A5073">
              <w:rPr>
                <w:lang w:eastAsia="en-US"/>
              </w:rPr>
              <w:t xml:space="preserve"> finansēšanas nodrošināšanai piesaista valsts aizdevumu kredītlīnijas veidā saskaņā ar normatīvajiem aktiem par kārtību, kādā ministrijas un citas centrālās valsts iestādes iekļauj gadskārtējā valsts budžeta likumprojektā valsts aizdevumu pieprasījumus, un valsts aizdevumu izsniegšanas un apkalpošanas kārtību vai aizdevumu no Eiropas Savienības vai citām starptautiskajām finanšu institūcijām. Valsts aizdevuma atmaksa</w:t>
            </w:r>
            <w:r>
              <w:rPr>
                <w:lang w:eastAsia="en-US"/>
              </w:rPr>
              <w:t>s</w:t>
            </w:r>
            <w:r w:rsidRPr="003A5073">
              <w:rPr>
                <w:lang w:eastAsia="en-US"/>
              </w:rPr>
              <w:t xml:space="preserve"> termiņš ir līdz 2031.</w:t>
            </w:r>
            <w:r>
              <w:rPr>
                <w:lang w:eastAsia="en-US"/>
              </w:rPr>
              <w:t> </w:t>
            </w:r>
            <w:r w:rsidRPr="003A5073">
              <w:rPr>
                <w:lang w:eastAsia="en-US"/>
              </w:rPr>
              <w:t>gada 30.</w:t>
            </w:r>
            <w:r>
              <w:rPr>
                <w:lang w:eastAsia="en-US"/>
              </w:rPr>
              <w:t> </w:t>
            </w:r>
            <w:r w:rsidRPr="003A5073">
              <w:rPr>
                <w:lang w:eastAsia="en-US"/>
              </w:rPr>
              <w:t>jūnijam. Valsts aizdevumam nepiemēro riska likmi</w:t>
            </w:r>
            <w:r>
              <w:rPr>
                <w:lang w:eastAsia="en-US"/>
              </w:rPr>
              <w:t>.</w:t>
            </w:r>
          </w:p>
        </w:tc>
      </w:tr>
      <w:tr w:rsidR="004E2373" w:rsidRPr="00651E4A" w14:paraId="70C5BA6C" w14:textId="77777777" w:rsidTr="004E237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2"/>
          <w:wBefore w:w="15" w:type="dxa"/>
          <w:wAfter w:w="5852" w:type="dxa"/>
        </w:trPr>
        <w:tc>
          <w:tcPr>
            <w:tcW w:w="3119" w:type="dxa"/>
            <w:gridSpan w:val="2"/>
          </w:tcPr>
          <w:p w14:paraId="554828B7" w14:textId="77777777" w:rsidR="004E2373" w:rsidRDefault="004E2373" w:rsidP="00AC22C7">
            <w:pPr>
              <w:pStyle w:val="naiskr"/>
              <w:spacing w:before="0" w:after="0"/>
              <w:ind w:right="-1100"/>
            </w:pPr>
          </w:p>
          <w:p w14:paraId="4C4EE373" w14:textId="77777777" w:rsidR="004E2373" w:rsidRPr="00651E4A" w:rsidRDefault="004E2373" w:rsidP="00AC22C7">
            <w:pPr>
              <w:pStyle w:val="naiskr"/>
              <w:spacing w:before="0" w:after="0"/>
              <w:ind w:right="-1100"/>
            </w:pPr>
            <w:r w:rsidRPr="00651E4A">
              <w:t>Atbildīgā amatpersona</w:t>
            </w:r>
          </w:p>
        </w:tc>
        <w:tc>
          <w:tcPr>
            <w:tcW w:w="5331" w:type="dxa"/>
            <w:gridSpan w:val="3"/>
          </w:tcPr>
          <w:p w14:paraId="09788CFF" w14:textId="77777777" w:rsidR="004E2373" w:rsidRPr="00651E4A" w:rsidRDefault="004E2373" w:rsidP="00AC22C7">
            <w:pPr>
              <w:pStyle w:val="naiskr"/>
              <w:spacing w:before="0" w:after="0"/>
              <w:ind w:firstLine="720"/>
            </w:pPr>
            <w:r w:rsidRPr="00651E4A">
              <w:t>  </w:t>
            </w:r>
          </w:p>
        </w:tc>
      </w:tr>
      <w:tr w:rsidR="004E2373" w:rsidRPr="00651E4A" w14:paraId="303CA25A" w14:textId="77777777" w:rsidTr="004E237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2"/>
          <w:wBefore w:w="15" w:type="dxa"/>
          <w:wAfter w:w="5852" w:type="dxa"/>
        </w:trPr>
        <w:tc>
          <w:tcPr>
            <w:tcW w:w="3119" w:type="dxa"/>
            <w:gridSpan w:val="2"/>
          </w:tcPr>
          <w:p w14:paraId="6C8DAC61" w14:textId="77777777" w:rsidR="004E2373" w:rsidRPr="00651E4A" w:rsidRDefault="004E2373" w:rsidP="00AC22C7">
            <w:pPr>
              <w:pStyle w:val="naiskr"/>
              <w:spacing w:before="0" w:after="0"/>
              <w:ind w:firstLine="720"/>
            </w:pPr>
          </w:p>
        </w:tc>
        <w:tc>
          <w:tcPr>
            <w:tcW w:w="5331" w:type="dxa"/>
            <w:gridSpan w:val="3"/>
            <w:tcBorders>
              <w:top w:val="single" w:sz="6" w:space="0" w:color="000000"/>
            </w:tcBorders>
          </w:tcPr>
          <w:p w14:paraId="121AFBDA" w14:textId="77777777" w:rsidR="004E2373" w:rsidRPr="00651E4A" w:rsidRDefault="004E2373" w:rsidP="00AC22C7">
            <w:pPr>
              <w:pStyle w:val="naisc"/>
              <w:spacing w:before="0" w:after="0"/>
              <w:ind w:firstLine="1735"/>
            </w:pPr>
            <w:r w:rsidRPr="00651E4A">
              <w:t>(</w:t>
            </w:r>
            <w:proofErr w:type="spellStart"/>
            <w:r w:rsidRPr="00651E4A">
              <w:t>paraksts</w:t>
            </w:r>
            <w:proofErr w:type="spellEnd"/>
            <w:r w:rsidRPr="00651E4A">
              <w:t>*)</w:t>
            </w:r>
          </w:p>
        </w:tc>
      </w:tr>
    </w:tbl>
    <w:p w14:paraId="212D2D77" w14:textId="77777777" w:rsidR="004E2373" w:rsidRDefault="004E2373" w:rsidP="004E2373">
      <w:pPr>
        <w:pStyle w:val="naisf"/>
        <w:spacing w:before="0" w:after="0"/>
        <w:ind w:firstLine="720"/>
      </w:pPr>
    </w:p>
    <w:p w14:paraId="5D35EEBE" w14:textId="77777777" w:rsidR="004E2373" w:rsidRDefault="004E2373" w:rsidP="004E2373">
      <w:pPr>
        <w:pStyle w:val="naisf"/>
        <w:spacing w:before="0" w:after="0"/>
        <w:ind w:firstLine="720"/>
      </w:pPr>
      <w:r w:rsidRPr="00651E4A">
        <w:t>Piezīme. * D</w:t>
      </w:r>
      <w:bookmarkStart w:id="1" w:name="_GoBack"/>
      <w:bookmarkEnd w:id="1"/>
      <w:r w:rsidRPr="00651E4A">
        <w:t>okumenta rekvizītu "paraksts" neaizpilda, ja elektroniskais dokuments ir sagatavots atbilstoši normatīvajiem aktiem par elektronisko dokumentu noformēšanu.</w:t>
      </w:r>
    </w:p>
    <w:p w14:paraId="7914D7EB" w14:textId="77777777" w:rsidR="004E2373" w:rsidRDefault="004E2373" w:rsidP="004E2373">
      <w:pPr>
        <w:pStyle w:val="naisf"/>
        <w:spacing w:before="0" w:after="0"/>
        <w:ind w:firstLine="3402"/>
      </w:pPr>
    </w:p>
    <w:p w14:paraId="2FAC5DF7" w14:textId="77777777" w:rsidR="004E2373" w:rsidRPr="00651E4A" w:rsidRDefault="004E2373" w:rsidP="004E2373">
      <w:pPr>
        <w:pStyle w:val="naisf"/>
        <w:spacing w:before="0" w:after="0"/>
        <w:ind w:firstLine="3402"/>
      </w:pPr>
      <w:r w:rsidRPr="00651E4A">
        <w:t>Linda Voiče</w:t>
      </w:r>
    </w:p>
    <w:tbl>
      <w:tblPr>
        <w:tblW w:w="0" w:type="auto"/>
        <w:tblLook w:val="00A0" w:firstRow="1" w:lastRow="0" w:firstColumn="1" w:lastColumn="0" w:noHBand="0" w:noVBand="0"/>
      </w:tblPr>
      <w:tblGrid>
        <w:gridCol w:w="8268"/>
      </w:tblGrid>
      <w:tr w:rsidR="004E2373" w:rsidRPr="00651E4A" w14:paraId="3BCCB92F" w14:textId="77777777" w:rsidTr="00AC22C7">
        <w:tc>
          <w:tcPr>
            <w:tcW w:w="8268" w:type="dxa"/>
            <w:tcBorders>
              <w:top w:val="single" w:sz="4" w:space="0" w:color="000000"/>
            </w:tcBorders>
          </w:tcPr>
          <w:p w14:paraId="029D8F7F" w14:textId="77777777" w:rsidR="004E2373" w:rsidRDefault="004E2373" w:rsidP="004E2373">
            <w:pPr>
              <w:jc w:val="center"/>
              <w:rPr>
                <w:sz w:val="24"/>
                <w:szCs w:val="24"/>
              </w:rPr>
            </w:pPr>
            <w:r w:rsidRPr="00651E4A">
              <w:rPr>
                <w:sz w:val="24"/>
                <w:szCs w:val="24"/>
              </w:rPr>
              <w:t>(par projektu atbildīgās amatpersonas vārds un uzvārds)</w:t>
            </w:r>
          </w:p>
          <w:p w14:paraId="7196A88A" w14:textId="77777777" w:rsidR="004E2373" w:rsidRPr="00651E4A" w:rsidRDefault="004E2373" w:rsidP="004E2373">
            <w:pPr>
              <w:jc w:val="center"/>
              <w:rPr>
                <w:sz w:val="24"/>
                <w:szCs w:val="24"/>
              </w:rPr>
            </w:pPr>
          </w:p>
        </w:tc>
      </w:tr>
      <w:tr w:rsidR="004E2373" w:rsidRPr="00651E4A" w14:paraId="063D648B" w14:textId="77777777" w:rsidTr="00AC22C7">
        <w:tc>
          <w:tcPr>
            <w:tcW w:w="8268" w:type="dxa"/>
            <w:tcBorders>
              <w:bottom w:val="single" w:sz="4" w:space="0" w:color="000000"/>
            </w:tcBorders>
          </w:tcPr>
          <w:p w14:paraId="37E92501" w14:textId="77777777" w:rsidR="004E2373" w:rsidRPr="00651E4A" w:rsidRDefault="004E2373" w:rsidP="00AC22C7">
            <w:pPr>
              <w:jc w:val="center"/>
              <w:rPr>
                <w:sz w:val="24"/>
                <w:szCs w:val="24"/>
              </w:rPr>
            </w:pPr>
            <w:r w:rsidRPr="00651E4A">
              <w:rPr>
                <w:sz w:val="24"/>
                <w:szCs w:val="24"/>
              </w:rPr>
              <w:t>Vecākā referente</w:t>
            </w:r>
          </w:p>
        </w:tc>
      </w:tr>
      <w:tr w:rsidR="004E2373" w:rsidRPr="00651E4A" w14:paraId="064C1F5A" w14:textId="77777777" w:rsidTr="00AC22C7">
        <w:tc>
          <w:tcPr>
            <w:tcW w:w="8268" w:type="dxa"/>
            <w:tcBorders>
              <w:top w:val="single" w:sz="4" w:space="0" w:color="000000"/>
            </w:tcBorders>
          </w:tcPr>
          <w:p w14:paraId="7C46DF6A" w14:textId="77777777" w:rsidR="004E2373" w:rsidRDefault="004E2373" w:rsidP="004E2373">
            <w:pPr>
              <w:jc w:val="center"/>
              <w:rPr>
                <w:sz w:val="24"/>
                <w:szCs w:val="24"/>
              </w:rPr>
            </w:pPr>
            <w:r w:rsidRPr="00651E4A">
              <w:rPr>
                <w:sz w:val="24"/>
                <w:szCs w:val="24"/>
              </w:rPr>
              <w:t>(amats)</w:t>
            </w:r>
          </w:p>
          <w:p w14:paraId="45F5EB2E" w14:textId="77777777" w:rsidR="004E2373" w:rsidRPr="00651E4A" w:rsidRDefault="004E2373" w:rsidP="004E2373">
            <w:pPr>
              <w:jc w:val="center"/>
              <w:rPr>
                <w:sz w:val="24"/>
                <w:szCs w:val="24"/>
              </w:rPr>
            </w:pPr>
          </w:p>
        </w:tc>
      </w:tr>
      <w:tr w:rsidR="004E2373" w:rsidRPr="00651E4A" w14:paraId="1D35C6F6" w14:textId="77777777" w:rsidTr="00AC22C7">
        <w:tc>
          <w:tcPr>
            <w:tcW w:w="8268" w:type="dxa"/>
            <w:tcBorders>
              <w:bottom w:val="single" w:sz="4" w:space="0" w:color="000000"/>
            </w:tcBorders>
          </w:tcPr>
          <w:p w14:paraId="315B78CB" w14:textId="77777777" w:rsidR="004E2373" w:rsidRPr="00651E4A" w:rsidRDefault="004E2373" w:rsidP="00AC22C7">
            <w:pPr>
              <w:jc w:val="center"/>
              <w:rPr>
                <w:sz w:val="24"/>
                <w:szCs w:val="24"/>
              </w:rPr>
            </w:pPr>
            <w:r w:rsidRPr="00651E4A">
              <w:rPr>
                <w:sz w:val="24"/>
                <w:szCs w:val="24"/>
              </w:rPr>
              <w:t>tālr. 67027121; fakss: 67878722</w:t>
            </w:r>
          </w:p>
        </w:tc>
      </w:tr>
      <w:tr w:rsidR="004E2373" w:rsidRPr="00651E4A" w14:paraId="43F3224B" w14:textId="77777777" w:rsidTr="00AC22C7">
        <w:tc>
          <w:tcPr>
            <w:tcW w:w="8268" w:type="dxa"/>
            <w:tcBorders>
              <w:top w:val="single" w:sz="4" w:space="0" w:color="000000"/>
            </w:tcBorders>
          </w:tcPr>
          <w:p w14:paraId="331E7C39" w14:textId="77777777" w:rsidR="004E2373" w:rsidRDefault="004E2373" w:rsidP="004E2373">
            <w:pPr>
              <w:jc w:val="center"/>
              <w:rPr>
                <w:sz w:val="24"/>
                <w:szCs w:val="24"/>
              </w:rPr>
            </w:pPr>
            <w:r w:rsidRPr="00651E4A">
              <w:rPr>
                <w:sz w:val="24"/>
                <w:szCs w:val="24"/>
              </w:rPr>
              <w:t>(tālruņa un faksa numurs)</w:t>
            </w:r>
          </w:p>
          <w:p w14:paraId="33905AAB" w14:textId="77777777" w:rsidR="004E2373" w:rsidRPr="00651E4A" w:rsidRDefault="004E2373" w:rsidP="004E2373">
            <w:pPr>
              <w:jc w:val="center"/>
              <w:rPr>
                <w:sz w:val="24"/>
                <w:szCs w:val="24"/>
              </w:rPr>
            </w:pPr>
          </w:p>
        </w:tc>
      </w:tr>
      <w:tr w:rsidR="004E2373" w:rsidRPr="00651E4A" w14:paraId="40455321" w14:textId="77777777" w:rsidTr="00AC22C7">
        <w:tc>
          <w:tcPr>
            <w:tcW w:w="8268" w:type="dxa"/>
            <w:tcBorders>
              <w:bottom w:val="single" w:sz="4" w:space="0" w:color="000000"/>
            </w:tcBorders>
          </w:tcPr>
          <w:p w14:paraId="61777EB8" w14:textId="77777777" w:rsidR="004E2373" w:rsidRPr="00651E4A" w:rsidRDefault="004E2373" w:rsidP="00AC22C7">
            <w:pPr>
              <w:jc w:val="center"/>
              <w:rPr>
                <w:sz w:val="24"/>
                <w:szCs w:val="24"/>
              </w:rPr>
            </w:pPr>
            <w:r w:rsidRPr="00651E4A">
              <w:rPr>
                <w:sz w:val="24"/>
                <w:szCs w:val="24"/>
              </w:rPr>
              <w:t>Linda.Voice@zm.gov.lv</w:t>
            </w:r>
          </w:p>
        </w:tc>
      </w:tr>
      <w:tr w:rsidR="004E2373" w:rsidRPr="00651E4A" w14:paraId="233EA5EF" w14:textId="77777777" w:rsidTr="004E2373">
        <w:trPr>
          <w:trHeight w:val="70"/>
        </w:trPr>
        <w:tc>
          <w:tcPr>
            <w:tcW w:w="8268" w:type="dxa"/>
            <w:tcBorders>
              <w:top w:val="single" w:sz="4" w:space="0" w:color="000000"/>
            </w:tcBorders>
          </w:tcPr>
          <w:p w14:paraId="3E92DD40" w14:textId="77777777" w:rsidR="004E2373" w:rsidRPr="00651E4A" w:rsidRDefault="004E2373" w:rsidP="00AC22C7">
            <w:pPr>
              <w:jc w:val="center"/>
              <w:rPr>
                <w:sz w:val="24"/>
                <w:szCs w:val="24"/>
              </w:rPr>
            </w:pPr>
            <w:r w:rsidRPr="00651E4A">
              <w:rPr>
                <w:sz w:val="24"/>
                <w:szCs w:val="24"/>
              </w:rPr>
              <w:t>(e-pasta adrese)</w:t>
            </w:r>
          </w:p>
        </w:tc>
      </w:tr>
    </w:tbl>
    <w:p w14:paraId="357098D1" w14:textId="77777777" w:rsidR="005B79B3" w:rsidRDefault="005B79B3" w:rsidP="00E536CD">
      <w:pPr>
        <w:pStyle w:val="Parasts1"/>
      </w:pPr>
    </w:p>
    <w:sectPr w:rsidR="005B79B3" w:rsidSect="00AB0166">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7A3E" w14:textId="77777777" w:rsidR="00326DC0" w:rsidRDefault="00326DC0">
      <w:pPr>
        <w:pStyle w:val="Parasts1"/>
      </w:pPr>
      <w:r>
        <w:separator/>
      </w:r>
    </w:p>
  </w:endnote>
  <w:endnote w:type="continuationSeparator" w:id="0">
    <w:p w14:paraId="0098910D" w14:textId="77777777" w:rsidR="00326DC0" w:rsidRDefault="00326DC0">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35A2" w14:textId="6A895450" w:rsidR="00B962E2" w:rsidRPr="00AB0166" w:rsidRDefault="00AB0166" w:rsidP="00AB0166">
    <w:pPr>
      <w:pStyle w:val="Kjene"/>
    </w:pPr>
    <w:r w:rsidRPr="00AB0166">
      <w:rPr>
        <w:sz w:val="20"/>
        <w:szCs w:val="20"/>
      </w:rPr>
      <w:t>ZMIzz_051119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FD95" w14:textId="2AE34A81" w:rsidR="00B962E2" w:rsidRPr="00AB0166" w:rsidRDefault="00AB0166" w:rsidP="00AB0166">
    <w:pPr>
      <w:pStyle w:val="Kjene"/>
    </w:pPr>
    <w:r w:rsidRPr="00AB0166">
      <w:rPr>
        <w:sz w:val="20"/>
        <w:szCs w:val="20"/>
      </w:rPr>
      <w:t>ZMIzz_051119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1AAA" w14:textId="77777777" w:rsidR="00326DC0" w:rsidRDefault="00326DC0">
      <w:pPr>
        <w:pStyle w:val="Parasts1"/>
      </w:pPr>
      <w:r>
        <w:separator/>
      </w:r>
    </w:p>
  </w:footnote>
  <w:footnote w:type="continuationSeparator" w:id="0">
    <w:p w14:paraId="6D1FE559" w14:textId="77777777" w:rsidR="00326DC0" w:rsidRDefault="00326DC0">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B404" w14:textId="77777777"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14:paraId="30DFF0C5" w14:textId="77777777"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9897" w14:textId="77777777"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FC0919">
      <w:rPr>
        <w:rStyle w:val="Lappusesnumurs"/>
        <w:noProof/>
      </w:rPr>
      <w:t>9</w:t>
    </w:r>
    <w:r>
      <w:rPr>
        <w:rStyle w:val="Lappusesnumurs"/>
      </w:rPr>
      <w:fldChar w:fldCharType="end"/>
    </w:r>
  </w:p>
  <w:p w14:paraId="02EA8D02" w14:textId="77777777"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2170924"/>
    <w:multiLevelType w:val="hybridMultilevel"/>
    <w:tmpl w:val="61821CC6"/>
    <w:lvl w:ilvl="0" w:tplc="9D6E23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1"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9"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2"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3015E8B"/>
    <w:multiLevelType w:val="hybridMultilevel"/>
    <w:tmpl w:val="75E2E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5"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6"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7"/>
  </w:num>
  <w:num w:numId="5">
    <w:abstractNumId w:val="5"/>
  </w:num>
  <w:num w:numId="6">
    <w:abstractNumId w:val="2"/>
  </w:num>
  <w:num w:numId="7">
    <w:abstractNumId w:val="31"/>
  </w:num>
  <w:num w:numId="8">
    <w:abstractNumId w:val="34"/>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29"/>
  </w:num>
  <w:num w:numId="15">
    <w:abstractNumId w:val="24"/>
  </w:num>
  <w:num w:numId="16">
    <w:abstractNumId w:val="32"/>
  </w:num>
  <w:num w:numId="17">
    <w:abstractNumId w:val="3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5"/>
  </w:num>
  <w:num w:numId="21">
    <w:abstractNumId w:val="1"/>
  </w:num>
  <w:num w:numId="22">
    <w:abstractNumId w:val="7"/>
  </w:num>
  <w:num w:numId="23">
    <w:abstractNumId w:val="28"/>
  </w:num>
  <w:num w:numId="24">
    <w:abstractNumId w:val="25"/>
  </w:num>
  <w:num w:numId="25">
    <w:abstractNumId w:val="38"/>
  </w:num>
  <w:num w:numId="26">
    <w:abstractNumId w:val="16"/>
  </w:num>
  <w:num w:numId="27">
    <w:abstractNumId w:val="10"/>
  </w:num>
  <w:num w:numId="28">
    <w:abstractNumId w:val="20"/>
  </w:num>
  <w:num w:numId="29">
    <w:abstractNumId w:val="6"/>
  </w:num>
  <w:num w:numId="30">
    <w:abstractNumId w:val="2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1"/>
  </w:num>
  <w:num w:numId="38">
    <w:abstractNumId w:val="0"/>
  </w:num>
  <w:num w:numId="39">
    <w:abstractNumId w:val="11"/>
  </w:num>
  <w:num w:numId="40">
    <w:abstractNumId w:val="19"/>
  </w:num>
  <w:num w:numId="41">
    <w:abstractNumId w:val="39"/>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B3"/>
    <w:rsid w:val="000143AC"/>
    <w:rsid w:val="000209CF"/>
    <w:rsid w:val="00020E13"/>
    <w:rsid w:val="00021BAB"/>
    <w:rsid w:val="0002257D"/>
    <w:rsid w:val="00023B79"/>
    <w:rsid w:val="000255D5"/>
    <w:rsid w:val="0003201B"/>
    <w:rsid w:val="0003415E"/>
    <w:rsid w:val="000344B9"/>
    <w:rsid w:val="00037398"/>
    <w:rsid w:val="0004021A"/>
    <w:rsid w:val="000407C0"/>
    <w:rsid w:val="0005086D"/>
    <w:rsid w:val="00050D2A"/>
    <w:rsid w:val="000533FC"/>
    <w:rsid w:val="00054DEB"/>
    <w:rsid w:val="00055E5F"/>
    <w:rsid w:val="00063788"/>
    <w:rsid w:val="00066005"/>
    <w:rsid w:val="00070E7F"/>
    <w:rsid w:val="00072C64"/>
    <w:rsid w:val="000733EE"/>
    <w:rsid w:val="0007639C"/>
    <w:rsid w:val="000850CA"/>
    <w:rsid w:val="000873E6"/>
    <w:rsid w:val="00087814"/>
    <w:rsid w:val="00091EEA"/>
    <w:rsid w:val="0009351F"/>
    <w:rsid w:val="00093703"/>
    <w:rsid w:val="000953A9"/>
    <w:rsid w:val="000B0745"/>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100D9E"/>
    <w:rsid w:val="00107D72"/>
    <w:rsid w:val="0011035C"/>
    <w:rsid w:val="0011169C"/>
    <w:rsid w:val="00114EFB"/>
    <w:rsid w:val="00130C06"/>
    <w:rsid w:val="00133061"/>
    <w:rsid w:val="00135703"/>
    <w:rsid w:val="00143806"/>
    <w:rsid w:val="001473AC"/>
    <w:rsid w:val="00147E13"/>
    <w:rsid w:val="001506BE"/>
    <w:rsid w:val="00162F5D"/>
    <w:rsid w:val="00165E45"/>
    <w:rsid w:val="00167211"/>
    <w:rsid w:val="00180D2B"/>
    <w:rsid w:val="00187DB2"/>
    <w:rsid w:val="00192E55"/>
    <w:rsid w:val="00195D94"/>
    <w:rsid w:val="00195F2C"/>
    <w:rsid w:val="00197C96"/>
    <w:rsid w:val="001A3AA6"/>
    <w:rsid w:val="001A57B7"/>
    <w:rsid w:val="001A6488"/>
    <w:rsid w:val="001B02A2"/>
    <w:rsid w:val="001B0B31"/>
    <w:rsid w:val="001B2F72"/>
    <w:rsid w:val="001B3D76"/>
    <w:rsid w:val="001C3146"/>
    <w:rsid w:val="001C404E"/>
    <w:rsid w:val="001C483D"/>
    <w:rsid w:val="001D068C"/>
    <w:rsid w:val="001D0C02"/>
    <w:rsid w:val="001D3712"/>
    <w:rsid w:val="001D383C"/>
    <w:rsid w:val="001D3964"/>
    <w:rsid w:val="001E61BD"/>
    <w:rsid w:val="001F2B65"/>
    <w:rsid w:val="001F6469"/>
    <w:rsid w:val="00201EE0"/>
    <w:rsid w:val="0020476C"/>
    <w:rsid w:val="002068C5"/>
    <w:rsid w:val="00210078"/>
    <w:rsid w:val="002162E8"/>
    <w:rsid w:val="0022049B"/>
    <w:rsid w:val="00225A6F"/>
    <w:rsid w:val="00227859"/>
    <w:rsid w:val="002305B5"/>
    <w:rsid w:val="00232543"/>
    <w:rsid w:val="0025412E"/>
    <w:rsid w:val="002615E6"/>
    <w:rsid w:val="00262F05"/>
    <w:rsid w:val="0027057B"/>
    <w:rsid w:val="00275E91"/>
    <w:rsid w:val="002879C5"/>
    <w:rsid w:val="00295DD3"/>
    <w:rsid w:val="002A09C8"/>
    <w:rsid w:val="002A2046"/>
    <w:rsid w:val="002A5995"/>
    <w:rsid w:val="002A663C"/>
    <w:rsid w:val="002A7A89"/>
    <w:rsid w:val="002B156F"/>
    <w:rsid w:val="002B17D7"/>
    <w:rsid w:val="002B1D75"/>
    <w:rsid w:val="002B3673"/>
    <w:rsid w:val="002C4AB3"/>
    <w:rsid w:val="002C5703"/>
    <w:rsid w:val="002C77CE"/>
    <w:rsid w:val="002D2605"/>
    <w:rsid w:val="002D6389"/>
    <w:rsid w:val="002D7ED2"/>
    <w:rsid w:val="002E0A6D"/>
    <w:rsid w:val="002E3A2B"/>
    <w:rsid w:val="002E4DC8"/>
    <w:rsid w:val="002E7229"/>
    <w:rsid w:val="002E7C04"/>
    <w:rsid w:val="002F0765"/>
    <w:rsid w:val="002F4B2D"/>
    <w:rsid w:val="002F5A9F"/>
    <w:rsid w:val="002F5D3F"/>
    <w:rsid w:val="00302FEA"/>
    <w:rsid w:val="00305F9A"/>
    <w:rsid w:val="00307F05"/>
    <w:rsid w:val="00310132"/>
    <w:rsid w:val="00317E0B"/>
    <w:rsid w:val="00321650"/>
    <w:rsid w:val="0032559E"/>
    <w:rsid w:val="00326DC0"/>
    <w:rsid w:val="00330016"/>
    <w:rsid w:val="003329A3"/>
    <w:rsid w:val="00341E8B"/>
    <w:rsid w:val="00343BD7"/>
    <w:rsid w:val="00352DA5"/>
    <w:rsid w:val="00352E84"/>
    <w:rsid w:val="003541FC"/>
    <w:rsid w:val="00354384"/>
    <w:rsid w:val="003636EF"/>
    <w:rsid w:val="00367715"/>
    <w:rsid w:val="00371548"/>
    <w:rsid w:val="00377BA3"/>
    <w:rsid w:val="00377CEE"/>
    <w:rsid w:val="00387758"/>
    <w:rsid w:val="00391758"/>
    <w:rsid w:val="003A58C3"/>
    <w:rsid w:val="003A7DB2"/>
    <w:rsid w:val="003A7F82"/>
    <w:rsid w:val="003B0829"/>
    <w:rsid w:val="003B0D44"/>
    <w:rsid w:val="003B2277"/>
    <w:rsid w:val="003B3991"/>
    <w:rsid w:val="003B40B6"/>
    <w:rsid w:val="003B65DB"/>
    <w:rsid w:val="003C13D2"/>
    <w:rsid w:val="003C50E2"/>
    <w:rsid w:val="003D10B7"/>
    <w:rsid w:val="003E206F"/>
    <w:rsid w:val="003E3B4A"/>
    <w:rsid w:val="003E7AA5"/>
    <w:rsid w:val="003E7F50"/>
    <w:rsid w:val="003F55C2"/>
    <w:rsid w:val="003F5D53"/>
    <w:rsid w:val="003F7A95"/>
    <w:rsid w:val="004022B2"/>
    <w:rsid w:val="00404D72"/>
    <w:rsid w:val="004139F4"/>
    <w:rsid w:val="0041615D"/>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23E3"/>
    <w:rsid w:val="0049351F"/>
    <w:rsid w:val="004A14AB"/>
    <w:rsid w:val="004B0656"/>
    <w:rsid w:val="004B1391"/>
    <w:rsid w:val="004B1C3B"/>
    <w:rsid w:val="004C0C1B"/>
    <w:rsid w:val="004C4F50"/>
    <w:rsid w:val="004D763D"/>
    <w:rsid w:val="004E2373"/>
    <w:rsid w:val="004E521B"/>
    <w:rsid w:val="004F0C41"/>
    <w:rsid w:val="004F1C53"/>
    <w:rsid w:val="00502228"/>
    <w:rsid w:val="005036BE"/>
    <w:rsid w:val="00507356"/>
    <w:rsid w:val="005157F2"/>
    <w:rsid w:val="00522B66"/>
    <w:rsid w:val="00530160"/>
    <w:rsid w:val="00530770"/>
    <w:rsid w:val="00530C81"/>
    <w:rsid w:val="00532DBB"/>
    <w:rsid w:val="00534801"/>
    <w:rsid w:val="005379C7"/>
    <w:rsid w:val="00540F41"/>
    <w:rsid w:val="005413C8"/>
    <w:rsid w:val="005413D5"/>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79B3"/>
    <w:rsid w:val="005B7E71"/>
    <w:rsid w:val="005C022A"/>
    <w:rsid w:val="005D2198"/>
    <w:rsid w:val="005D49EF"/>
    <w:rsid w:val="005E013A"/>
    <w:rsid w:val="005E1D64"/>
    <w:rsid w:val="005F2419"/>
    <w:rsid w:val="005F5D6D"/>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463B6"/>
    <w:rsid w:val="00652C31"/>
    <w:rsid w:val="0065380F"/>
    <w:rsid w:val="0065467B"/>
    <w:rsid w:val="0066305A"/>
    <w:rsid w:val="0066517E"/>
    <w:rsid w:val="0066659B"/>
    <w:rsid w:val="00673373"/>
    <w:rsid w:val="006734CF"/>
    <w:rsid w:val="00676262"/>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3CBB"/>
    <w:rsid w:val="00704C3E"/>
    <w:rsid w:val="00706E25"/>
    <w:rsid w:val="00720858"/>
    <w:rsid w:val="007254E7"/>
    <w:rsid w:val="00726FAC"/>
    <w:rsid w:val="00727992"/>
    <w:rsid w:val="0073233D"/>
    <w:rsid w:val="007324B3"/>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0DB5"/>
    <w:rsid w:val="007D2789"/>
    <w:rsid w:val="007D3449"/>
    <w:rsid w:val="007D63B5"/>
    <w:rsid w:val="007D6C87"/>
    <w:rsid w:val="007E2663"/>
    <w:rsid w:val="007E26CC"/>
    <w:rsid w:val="007E506B"/>
    <w:rsid w:val="008009D8"/>
    <w:rsid w:val="00804C96"/>
    <w:rsid w:val="00807769"/>
    <w:rsid w:val="0081173D"/>
    <w:rsid w:val="00812270"/>
    <w:rsid w:val="00816C8E"/>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93623"/>
    <w:rsid w:val="0089690F"/>
    <w:rsid w:val="008A66DE"/>
    <w:rsid w:val="008B0E40"/>
    <w:rsid w:val="008B670D"/>
    <w:rsid w:val="008C3358"/>
    <w:rsid w:val="008C7413"/>
    <w:rsid w:val="008C7780"/>
    <w:rsid w:val="008D1011"/>
    <w:rsid w:val="008D20BF"/>
    <w:rsid w:val="008D2B7F"/>
    <w:rsid w:val="008D2F4A"/>
    <w:rsid w:val="008D55C3"/>
    <w:rsid w:val="008E7DB4"/>
    <w:rsid w:val="008F14C3"/>
    <w:rsid w:val="008F2D68"/>
    <w:rsid w:val="008F3A97"/>
    <w:rsid w:val="008F4B34"/>
    <w:rsid w:val="008F7AE9"/>
    <w:rsid w:val="00906AA9"/>
    <w:rsid w:val="00915857"/>
    <w:rsid w:val="009238FF"/>
    <w:rsid w:val="00925058"/>
    <w:rsid w:val="00925B3A"/>
    <w:rsid w:val="00931E24"/>
    <w:rsid w:val="00932AD1"/>
    <w:rsid w:val="009419A8"/>
    <w:rsid w:val="00947D79"/>
    <w:rsid w:val="0095009A"/>
    <w:rsid w:val="00950CD0"/>
    <w:rsid w:val="00951DCA"/>
    <w:rsid w:val="00953BA7"/>
    <w:rsid w:val="00955393"/>
    <w:rsid w:val="009607E6"/>
    <w:rsid w:val="009610C3"/>
    <w:rsid w:val="00964826"/>
    <w:rsid w:val="009655CF"/>
    <w:rsid w:val="009657BA"/>
    <w:rsid w:val="0096622F"/>
    <w:rsid w:val="009663BC"/>
    <w:rsid w:val="00966E32"/>
    <w:rsid w:val="009709CD"/>
    <w:rsid w:val="00970C06"/>
    <w:rsid w:val="00974AD2"/>
    <w:rsid w:val="009828B3"/>
    <w:rsid w:val="009944D4"/>
    <w:rsid w:val="009A6DAD"/>
    <w:rsid w:val="009B16C1"/>
    <w:rsid w:val="009B1FDD"/>
    <w:rsid w:val="009B6576"/>
    <w:rsid w:val="009B6CFF"/>
    <w:rsid w:val="009B70F5"/>
    <w:rsid w:val="009B7416"/>
    <w:rsid w:val="009C0736"/>
    <w:rsid w:val="009C0B8A"/>
    <w:rsid w:val="009D039C"/>
    <w:rsid w:val="009D2BE6"/>
    <w:rsid w:val="009E5D45"/>
    <w:rsid w:val="009E7B99"/>
    <w:rsid w:val="009F6596"/>
    <w:rsid w:val="009F7764"/>
    <w:rsid w:val="009F7896"/>
    <w:rsid w:val="00A075BA"/>
    <w:rsid w:val="00A12B28"/>
    <w:rsid w:val="00A17B47"/>
    <w:rsid w:val="00A206FA"/>
    <w:rsid w:val="00A30A29"/>
    <w:rsid w:val="00A3536B"/>
    <w:rsid w:val="00A4015B"/>
    <w:rsid w:val="00A463D0"/>
    <w:rsid w:val="00A47BC4"/>
    <w:rsid w:val="00A571FB"/>
    <w:rsid w:val="00A57A75"/>
    <w:rsid w:val="00A6097A"/>
    <w:rsid w:val="00A61D49"/>
    <w:rsid w:val="00A63F01"/>
    <w:rsid w:val="00A6646E"/>
    <w:rsid w:val="00A72259"/>
    <w:rsid w:val="00A7374D"/>
    <w:rsid w:val="00A767B5"/>
    <w:rsid w:val="00A80172"/>
    <w:rsid w:val="00A94118"/>
    <w:rsid w:val="00A94ADF"/>
    <w:rsid w:val="00AA03AE"/>
    <w:rsid w:val="00AA0C0D"/>
    <w:rsid w:val="00AA43C3"/>
    <w:rsid w:val="00AB0166"/>
    <w:rsid w:val="00AB0202"/>
    <w:rsid w:val="00AB0CFD"/>
    <w:rsid w:val="00AB5D7F"/>
    <w:rsid w:val="00AB7243"/>
    <w:rsid w:val="00AC7675"/>
    <w:rsid w:val="00AD1268"/>
    <w:rsid w:val="00AD1EB9"/>
    <w:rsid w:val="00AD2A67"/>
    <w:rsid w:val="00AD5EF2"/>
    <w:rsid w:val="00AE05B3"/>
    <w:rsid w:val="00AE538E"/>
    <w:rsid w:val="00AE5F9C"/>
    <w:rsid w:val="00AE6138"/>
    <w:rsid w:val="00AE644C"/>
    <w:rsid w:val="00B021C2"/>
    <w:rsid w:val="00B022B7"/>
    <w:rsid w:val="00B05925"/>
    <w:rsid w:val="00B0674B"/>
    <w:rsid w:val="00B12FF4"/>
    <w:rsid w:val="00B13019"/>
    <w:rsid w:val="00B1410D"/>
    <w:rsid w:val="00B15E10"/>
    <w:rsid w:val="00B17878"/>
    <w:rsid w:val="00B22E93"/>
    <w:rsid w:val="00B23399"/>
    <w:rsid w:val="00B27158"/>
    <w:rsid w:val="00B27672"/>
    <w:rsid w:val="00B33832"/>
    <w:rsid w:val="00B43EA4"/>
    <w:rsid w:val="00B47064"/>
    <w:rsid w:val="00B5460B"/>
    <w:rsid w:val="00B64C34"/>
    <w:rsid w:val="00B67274"/>
    <w:rsid w:val="00B67461"/>
    <w:rsid w:val="00B677CE"/>
    <w:rsid w:val="00B8010C"/>
    <w:rsid w:val="00B838AB"/>
    <w:rsid w:val="00B83C64"/>
    <w:rsid w:val="00B87332"/>
    <w:rsid w:val="00B90370"/>
    <w:rsid w:val="00B9313D"/>
    <w:rsid w:val="00B937A8"/>
    <w:rsid w:val="00B9560D"/>
    <w:rsid w:val="00B962E2"/>
    <w:rsid w:val="00BA0DEA"/>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5503"/>
    <w:rsid w:val="00C072C5"/>
    <w:rsid w:val="00C14754"/>
    <w:rsid w:val="00C26E24"/>
    <w:rsid w:val="00C274ED"/>
    <w:rsid w:val="00C302A9"/>
    <w:rsid w:val="00C31D2A"/>
    <w:rsid w:val="00C320E7"/>
    <w:rsid w:val="00C32A7C"/>
    <w:rsid w:val="00C41C7F"/>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0A64"/>
    <w:rsid w:val="00CB1FDD"/>
    <w:rsid w:val="00CB2F1C"/>
    <w:rsid w:val="00CB418E"/>
    <w:rsid w:val="00CB51A3"/>
    <w:rsid w:val="00CB7926"/>
    <w:rsid w:val="00CC31B0"/>
    <w:rsid w:val="00CC6788"/>
    <w:rsid w:val="00CC6B5D"/>
    <w:rsid w:val="00CD2883"/>
    <w:rsid w:val="00CD4C3F"/>
    <w:rsid w:val="00CE12FA"/>
    <w:rsid w:val="00CE55ED"/>
    <w:rsid w:val="00CE79C9"/>
    <w:rsid w:val="00CF0C5D"/>
    <w:rsid w:val="00CF20BB"/>
    <w:rsid w:val="00D0226F"/>
    <w:rsid w:val="00D05317"/>
    <w:rsid w:val="00D05AF4"/>
    <w:rsid w:val="00D07FA2"/>
    <w:rsid w:val="00D10772"/>
    <w:rsid w:val="00D169D7"/>
    <w:rsid w:val="00D27332"/>
    <w:rsid w:val="00D379D0"/>
    <w:rsid w:val="00D43CCD"/>
    <w:rsid w:val="00D44AD0"/>
    <w:rsid w:val="00D466A4"/>
    <w:rsid w:val="00D5461E"/>
    <w:rsid w:val="00D5605D"/>
    <w:rsid w:val="00D564E8"/>
    <w:rsid w:val="00D5664B"/>
    <w:rsid w:val="00D609AF"/>
    <w:rsid w:val="00D60CCB"/>
    <w:rsid w:val="00D62774"/>
    <w:rsid w:val="00D634BE"/>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D5969"/>
    <w:rsid w:val="00DE2770"/>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25CD"/>
    <w:rsid w:val="00E536CD"/>
    <w:rsid w:val="00E606A7"/>
    <w:rsid w:val="00E60F70"/>
    <w:rsid w:val="00E613E4"/>
    <w:rsid w:val="00E64504"/>
    <w:rsid w:val="00E72411"/>
    <w:rsid w:val="00E725E5"/>
    <w:rsid w:val="00E73B14"/>
    <w:rsid w:val="00E75EF4"/>
    <w:rsid w:val="00E76182"/>
    <w:rsid w:val="00E76DF5"/>
    <w:rsid w:val="00E80E53"/>
    <w:rsid w:val="00E8248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798A"/>
    <w:rsid w:val="00F13653"/>
    <w:rsid w:val="00F17FC9"/>
    <w:rsid w:val="00F204BA"/>
    <w:rsid w:val="00F231A6"/>
    <w:rsid w:val="00F2572A"/>
    <w:rsid w:val="00F26691"/>
    <w:rsid w:val="00F26BA6"/>
    <w:rsid w:val="00F32B27"/>
    <w:rsid w:val="00F334B4"/>
    <w:rsid w:val="00F3404C"/>
    <w:rsid w:val="00F353C2"/>
    <w:rsid w:val="00F4129D"/>
    <w:rsid w:val="00F41CB5"/>
    <w:rsid w:val="00F521AA"/>
    <w:rsid w:val="00F530E8"/>
    <w:rsid w:val="00F546C0"/>
    <w:rsid w:val="00F55D18"/>
    <w:rsid w:val="00F579E5"/>
    <w:rsid w:val="00F654BB"/>
    <w:rsid w:val="00F67220"/>
    <w:rsid w:val="00F7282C"/>
    <w:rsid w:val="00F73D89"/>
    <w:rsid w:val="00F74917"/>
    <w:rsid w:val="00F74E83"/>
    <w:rsid w:val="00F92972"/>
    <w:rsid w:val="00F959F8"/>
    <w:rsid w:val="00FA2E3A"/>
    <w:rsid w:val="00FA3503"/>
    <w:rsid w:val="00FA3E9E"/>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D41110"/>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basedOn w:val="Parasts1"/>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911624214">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180047929">
      <w:bodyDiv w:val="1"/>
      <w:marLeft w:val="0"/>
      <w:marRight w:val="0"/>
      <w:marTop w:val="0"/>
      <w:marBottom w:val="0"/>
      <w:divBdr>
        <w:top w:val="none" w:sz="0" w:space="0" w:color="auto"/>
        <w:left w:val="none" w:sz="0" w:space="0" w:color="auto"/>
        <w:bottom w:val="none" w:sz="0" w:space="0" w:color="auto"/>
        <w:right w:val="none" w:sz="0" w:space="0" w:color="auto"/>
      </w:divBdr>
      <w:divsChild>
        <w:div w:id="324238133">
          <w:marLeft w:val="0"/>
          <w:marRight w:val="0"/>
          <w:marTop w:val="0"/>
          <w:marBottom w:val="0"/>
          <w:divBdr>
            <w:top w:val="none" w:sz="0" w:space="0" w:color="auto"/>
            <w:left w:val="none" w:sz="0" w:space="0" w:color="auto"/>
            <w:bottom w:val="none" w:sz="0" w:space="0" w:color="auto"/>
            <w:right w:val="none" w:sz="0" w:space="0" w:color="auto"/>
          </w:divBdr>
          <w:divsChild>
            <w:div w:id="1938323008">
              <w:marLeft w:val="0"/>
              <w:marRight w:val="0"/>
              <w:marTop w:val="0"/>
              <w:marBottom w:val="0"/>
              <w:divBdr>
                <w:top w:val="none" w:sz="0" w:space="0" w:color="auto"/>
                <w:left w:val="none" w:sz="0" w:space="0" w:color="auto"/>
                <w:bottom w:val="none" w:sz="0" w:space="0" w:color="auto"/>
                <w:right w:val="none" w:sz="0" w:space="0" w:color="auto"/>
              </w:divBdr>
              <w:divsChild>
                <w:div w:id="1821655658">
                  <w:marLeft w:val="0"/>
                  <w:marRight w:val="0"/>
                  <w:marTop w:val="0"/>
                  <w:marBottom w:val="0"/>
                  <w:divBdr>
                    <w:top w:val="none" w:sz="0" w:space="0" w:color="auto"/>
                    <w:left w:val="none" w:sz="0" w:space="0" w:color="auto"/>
                    <w:bottom w:val="none" w:sz="0" w:space="0" w:color="auto"/>
                    <w:right w:val="none" w:sz="0" w:space="0" w:color="auto"/>
                  </w:divBdr>
                  <w:divsChild>
                    <w:div w:id="1070999821">
                      <w:marLeft w:val="0"/>
                      <w:marRight w:val="0"/>
                      <w:marTop w:val="0"/>
                      <w:marBottom w:val="0"/>
                      <w:divBdr>
                        <w:top w:val="none" w:sz="0" w:space="0" w:color="auto"/>
                        <w:left w:val="none" w:sz="0" w:space="0" w:color="auto"/>
                        <w:bottom w:val="none" w:sz="0" w:space="0" w:color="auto"/>
                        <w:right w:val="none" w:sz="0" w:space="0" w:color="auto"/>
                      </w:divBdr>
                      <w:divsChild>
                        <w:div w:id="1926378788">
                          <w:marLeft w:val="0"/>
                          <w:marRight w:val="0"/>
                          <w:marTop w:val="0"/>
                          <w:marBottom w:val="0"/>
                          <w:divBdr>
                            <w:top w:val="none" w:sz="0" w:space="0" w:color="auto"/>
                            <w:left w:val="none" w:sz="0" w:space="0" w:color="auto"/>
                            <w:bottom w:val="none" w:sz="0" w:space="0" w:color="auto"/>
                            <w:right w:val="none" w:sz="0" w:space="0" w:color="auto"/>
                          </w:divBdr>
                          <w:divsChild>
                            <w:div w:id="1286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B9A3-C49D-4218-8D8B-62131951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4477</Words>
  <Characters>31765</Characters>
  <Application>Microsoft Office Word</Application>
  <DocSecurity>0</DocSecurity>
  <Lines>264</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 „Grozījumi Ministru kabineta 2015. gada 3. februāra noteikumos Nr. 59 „Valsts un Eiropas Savienības atbalsta piešķiršanas kārtība investīciju veicināšanai lauksaimniecībā””</vt:lpstr>
      <vt:lpstr>Par Ministru kabineta noteikumu projektu „Grozījumi Ministru kabineta 2015. gada 3. februāra noteikumos Nr. 59 „Valsts un Eiropas Savienības atbalsta piešķiršanas kārtība investīciju veicināšanai lauksaimniecībā””</vt:lpstr>
    </vt:vector>
  </TitlesOfParts>
  <Company>Zemkopības Ministrija</Company>
  <LinksUpToDate>false</LinksUpToDate>
  <CharactersWithSpaces>36170</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3. februāra noteikumos Nr. 59 „Valsts un Eiropas Savienības atbalsta piešķiršanas kārtība investīciju veicināšanai lauksaimniecībā””</dc:title>
  <dc:subject>izziņa</dc:subject>
  <dc:creator>Linda Voiče</dc:creator>
  <dc:description>Voiče 67027121_x000d_
Linda.Voice@zm.gov.lv</dc:description>
  <cp:lastModifiedBy>Kristiāna Sebre</cp:lastModifiedBy>
  <cp:revision>3</cp:revision>
  <cp:lastPrinted>2019-10-17T09:08:00Z</cp:lastPrinted>
  <dcterms:created xsi:type="dcterms:W3CDTF">2019-11-05T10:32:00Z</dcterms:created>
  <dcterms:modified xsi:type="dcterms:W3CDTF">2019-11-05T11:17:00Z</dcterms:modified>
</cp:coreProperties>
</file>