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A01C" w14:textId="250EBF8F" w:rsidR="006457F2" w:rsidRDefault="006457F2" w:rsidP="00BF196C">
      <w:pPr>
        <w:tabs>
          <w:tab w:val="left" w:pos="6663"/>
        </w:tabs>
        <w:rPr>
          <w:sz w:val="28"/>
          <w:szCs w:val="28"/>
        </w:rPr>
      </w:pPr>
    </w:p>
    <w:p w14:paraId="41D79C67" w14:textId="0797F1E4" w:rsidR="00A85710" w:rsidRDefault="00A85710" w:rsidP="00BF196C">
      <w:pPr>
        <w:tabs>
          <w:tab w:val="left" w:pos="6663"/>
        </w:tabs>
        <w:rPr>
          <w:sz w:val="28"/>
          <w:szCs w:val="28"/>
        </w:rPr>
      </w:pPr>
    </w:p>
    <w:p w14:paraId="6B275C77" w14:textId="3C238201" w:rsidR="00A85710" w:rsidRDefault="00A85710" w:rsidP="00BF196C">
      <w:pPr>
        <w:tabs>
          <w:tab w:val="left" w:pos="6663"/>
        </w:tabs>
        <w:rPr>
          <w:sz w:val="28"/>
          <w:szCs w:val="28"/>
        </w:rPr>
      </w:pPr>
    </w:p>
    <w:p w14:paraId="393F2B84" w14:textId="77777777" w:rsidR="009A3508" w:rsidRPr="00CC0B07" w:rsidRDefault="009A3508" w:rsidP="00BF196C">
      <w:pPr>
        <w:tabs>
          <w:tab w:val="left" w:pos="6663"/>
        </w:tabs>
        <w:rPr>
          <w:sz w:val="28"/>
          <w:szCs w:val="28"/>
        </w:rPr>
      </w:pPr>
    </w:p>
    <w:p w14:paraId="7E025D64" w14:textId="3D9F9C40" w:rsidR="00A85710" w:rsidRPr="007779EA" w:rsidRDefault="00A85710"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0243B8">
        <w:rPr>
          <w:sz w:val="28"/>
          <w:szCs w:val="28"/>
        </w:rPr>
        <w:t>7. janvārī</w:t>
      </w:r>
      <w:r w:rsidRPr="007779EA">
        <w:rPr>
          <w:sz w:val="28"/>
          <w:szCs w:val="28"/>
        </w:rPr>
        <w:tab/>
        <w:t>Noteikumi Nr.</w:t>
      </w:r>
      <w:r w:rsidR="000243B8">
        <w:rPr>
          <w:sz w:val="28"/>
          <w:szCs w:val="28"/>
        </w:rPr>
        <w:t> 1</w:t>
      </w:r>
    </w:p>
    <w:p w14:paraId="3BC5B785" w14:textId="299873F5" w:rsidR="00A85710" w:rsidRPr="007779EA" w:rsidRDefault="00A85710" w:rsidP="00C91CA9">
      <w:pPr>
        <w:tabs>
          <w:tab w:val="left" w:pos="6663"/>
        </w:tabs>
        <w:rPr>
          <w:sz w:val="28"/>
          <w:szCs w:val="28"/>
        </w:rPr>
      </w:pPr>
      <w:r w:rsidRPr="007779EA">
        <w:rPr>
          <w:sz w:val="28"/>
          <w:szCs w:val="28"/>
        </w:rPr>
        <w:t>Rīgā</w:t>
      </w:r>
      <w:r w:rsidRPr="007779EA">
        <w:rPr>
          <w:sz w:val="28"/>
          <w:szCs w:val="28"/>
        </w:rPr>
        <w:tab/>
        <w:t>(prot. Nr.</w:t>
      </w:r>
      <w:r w:rsidR="000243B8">
        <w:rPr>
          <w:sz w:val="28"/>
          <w:szCs w:val="28"/>
        </w:rPr>
        <w:t> 1 2</w:t>
      </w:r>
      <w:bookmarkStart w:id="0" w:name="_GoBack"/>
      <w:bookmarkEnd w:id="0"/>
      <w:r w:rsidRPr="007779EA">
        <w:rPr>
          <w:sz w:val="28"/>
          <w:szCs w:val="28"/>
        </w:rPr>
        <w:t>. §)</w:t>
      </w:r>
    </w:p>
    <w:p w14:paraId="23E78E69" w14:textId="77777777" w:rsidR="006934B8" w:rsidRPr="006934B8" w:rsidRDefault="006934B8" w:rsidP="006934B8">
      <w:pPr>
        <w:jc w:val="both"/>
        <w:rPr>
          <w:sz w:val="28"/>
          <w:szCs w:val="28"/>
        </w:rPr>
      </w:pPr>
      <w:bookmarkStart w:id="1" w:name="_Hlk26443367"/>
    </w:p>
    <w:p w14:paraId="1EA15B74" w14:textId="1AE5F321" w:rsidR="00FB47BE" w:rsidRDefault="00854589" w:rsidP="005A3F9D">
      <w:pPr>
        <w:jc w:val="center"/>
        <w:rPr>
          <w:b/>
          <w:bCs/>
          <w:sz w:val="28"/>
          <w:szCs w:val="28"/>
        </w:rPr>
      </w:pPr>
      <w:r>
        <w:rPr>
          <w:rFonts w:eastAsia="PMingLiU"/>
          <w:b/>
          <w:sz w:val="28"/>
          <w:szCs w:val="28"/>
          <w:lang w:eastAsia="ja-JP"/>
        </w:rPr>
        <w:t>Grozījum</w:t>
      </w:r>
      <w:r w:rsidR="005A3F9D">
        <w:rPr>
          <w:rFonts w:eastAsia="PMingLiU"/>
          <w:b/>
          <w:sz w:val="28"/>
          <w:szCs w:val="28"/>
          <w:lang w:eastAsia="ja-JP"/>
        </w:rPr>
        <w:t>i</w:t>
      </w:r>
      <w:r w:rsidR="00EE26A2" w:rsidRPr="00CC0B07">
        <w:rPr>
          <w:rFonts w:eastAsia="PMingLiU"/>
          <w:b/>
          <w:sz w:val="28"/>
          <w:szCs w:val="28"/>
          <w:lang w:eastAsia="ja-JP"/>
        </w:rPr>
        <w:t xml:space="preserve"> </w:t>
      </w:r>
      <w:r w:rsidR="005A3F9D">
        <w:rPr>
          <w:rFonts w:eastAsia="PMingLiU"/>
          <w:b/>
          <w:sz w:val="28"/>
          <w:szCs w:val="28"/>
          <w:lang w:eastAsia="ja-JP"/>
        </w:rPr>
        <w:t>Ministru kabineta 2015</w:t>
      </w:r>
      <w:r w:rsidR="00A85710">
        <w:rPr>
          <w:rFonts w:eastAsia="PMingLiU"/>
          <w:b/>
          <w:sz w:val="28"/>
          <w:szCs w:val="28"/>
          <w:lang w:eastAsia="ja-JP"/>
        </w:rPr>
        <w:t>. ga</w:t>
      </w:r>
      <w:r w:rsidR="005A3F9D">
        <w:rPr>
          <w:rFonts w:eastAsia="PMingLiU"/>
          <w:b/>
          <w:sz w:val="28"/>
          <w:szCs w:val="28"/>
          <w:lang w:eastAsia="ja-JP"/>
        </w:rPr>
        <w:t>da 22.</w:t>
      </w:r>
      <w:r w:rsidR="00A85710">
        <w:rPr>
          <w:rFonts w:eastAsia="PMingLiU"/>
          <w:b/>
          <w:sz w:val="28"/>
          <w:szCs w:val="28"/>
          <w:lang w:eastAsia="ja-JP"/>
        </w:rPr>
        <w:t> </w:t>
      </w:r>
      <w:r w:rsidR="005A3F9D">
        <w:rPr>
          <w:rFonts w:eastAsia="PMingLiU"/>
          <w:b/>
          <w:sz w:val="28"/>
          <w:szCs w:val="28"/>
          <w:lang w:eastAsia="ja-JP"/>
        </w:rPr>
        <w:t>decembra noteikumos Nr.</w:t>
      </w:r>
      <w:r w:rsidR="00A85710">
        <w:rPr>
          <w:rFonts w:eastAsia="PMingLiU"/>
          <w:b/>
          <w:sz w:val="28"/>
          <w:szCs w:val="28"/>
          <w:lang w:eastAsia="ja-JP"/>
        </w:rPr>
        <w:t> </w:t>
      </w:r>
      <w:r w:rsidR="005A3F9D">
        <w:rPr>
          <w:rFonts w:eastAsia="PMingLiU"/>
          <w:b/>
          <w:sz w:val="28"/>
          <w:szCs w:val="28"/>
          <w:lang w:eastAsia="ja-JP"/>
        </w:rPr>
        <w:t xml:space="preserve">806 </w:t>
      </w:r>
      <w:r w:rsidR="00A85710">
        <w:rPr>
          <w:rFonts w:eastAsia="PMingLiU"/>
          <w:b/>
          <w:sz w:val="28"/>
          <w:szCs w:val="28"/>
          <w:lang w:eastAsia="ja-JP"/>
        </w:rPr>
        <w:t>"</w:t>
      </w:r>
      <w:bookmarkStart w:id="2" w:name="_Hlk23228023"/>
      <w:r w:rsidR="005A3F9D" w:rsidRPr="005A3F9D">
        <w:rPr>
          <w:b/>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bookmarkEnd w:id="2"/>
      <w:r w:rsidR="00A85710">
        <w:rPr>
          <w:b/>
          <w:bCs/>
          <w:sz w:val="28"/>
          <w:szCs w:val="28"/>
        </w:rPr>
        <w:t>"</w:t>
      </w:r>
    </w:p>
    <w:bookmarkEnd w:id="1"/>
    <w:p w14:paraId="4960DC13" w14:textId="77777777" w:rsidR="006934B8" w:rsidRPr="006934B8" w:rsidRDefault="006934B8" w:rsidP="006934B8">
      <w:pPr>
        <w:jc w:val="both"/>
        <w:rPr>
          <w:sz w:val="28"/>
          <w:szCs w:val="28"/>
        </w:rPr>
      </w:pPr>
    </w:p>
    <w:p w14:paraId="10692777" w14:textId="7EA75632" w:rsidR="00B80B43" w:rsidRDefault="005A3F9D" w:rsidP="005A3F9D">
      <w:pPr>
        <w:pStyle w:val="Title"/>
        <w:ind w:firstLine="709"/>
        <w:jc w:val="right"/>
        <w:outlineLvl w:val="0"/>
        <w:rPr>
          <w:color w:val="000000" w:themeColor="text1"/>
          <w:szCs w:val="28"/>
          <w:lang w:eastAsia="lv-LV"/>
        </w:rPr>
      </w:pPr>
      <w:r w:rsidRPr="00F9316C">
        <w:rPr>
          <w:color w:val="000000" w:themeColor="text1"/>
          <w:szCs w:val="28"/>
          <w:lang w:eastAsia="lv-LV"/>
        </w:rPr>
        <w:t>Izdoti saskaņā ar</w:t>
      </w:r>
    </w:p>
    <w:p w14:paraId="440B26EE" w14:textId="1B831FD6" w:rsidR="005A3F9D" w:rsidRPr="00F9316C" w:rsidRDefault="00605368" w:rsidP="005A3F9D">
      <w:pPr>
        <w:pStyle w:val="Title"/>
        <w:ind w:firstLine="709"/>
        <w:jc w:val="right"/>
        <w:outlineLvl w:val="0"/>
        <w:rPr>
          <w:color w:val="000000" w:themeColor="text1"/>
          <w:szCs w:val="28"/>
          <w:lang w:eastAsia="lv-LV"/>
        </w:rPr>
      </w:pPr>
      <w:r w:rsidRPr="00F9316C">
        <w:rPr>
          <w:color w:val="000000" w:themeColor="text1"/>
          <w:szCs w:val="28"/>
          <w:lang w:eastAsia="lv-LV"/>
        </w:rPr>
        <w:t>L</w:t>
      </w:r>
      <w:r w:rsidR="005A3F9D" w:rsidRPr="00F9316C">
        <w:rPr>
          <w:color w:val="000000" w:themeColor="text1"/>
          <w:szCs w:val="28"/>
          <w:lang w:eastAsia="lv-LV"/>
        </w:rPr>
        <w:t xml:space="preserve">ikuma </w:t>
      </w:r>
      <w:r w:rsidRPr="00F9316C">
        <w:rPr>
          <w:color w:val="000000" w:themeColor="text1"/>
          <w:szCs w:val="28"/>
          <w:lang w:eastAsia="lv-LV"/>
        </w:rPr>
        <w:t>p</w:t>
      </w:r>
      <w:r w:rsidR="00E1169D" w:rsidRPr="00F9316C">
        <w:rPr>
          <w:color w:val="000000" w:themeColor="text1"/>
          <w:szCs w:val="28"/>
          <w:lang w:eastAsia="lv-LV"/>
        </w:rPr>
        <w:t xml:space="preserve">ar </w:t>
      </w:r>
      <w:r w:rsidR="005A3F9D" w:rsidRPr="00F9316C">
        <w:rPr>
          <w:color w:val="000000" w:themeColor="text1"/>
          <w:szCs w:val="28"/>
          <w:lang w:eastAsia="lv-LV"/>
        </w:rPr>
        <w:t>budžetu un finanšu vadību</w:t>
      </w:r>
    </w:p>
    <w:p w14:paraId="1DD7D540" w14:textId="201BCB2D" w:rsidR="00B80B43" w:rsidRDefault="005A3F9D" w:rsidP="005A3F9D">
      <w:pPr>
        <w:pStyle w:val="Title"/>
        <w:ind w:firstLine="709"/>
        <w:jc w:val="right"/>
        <w:outlineLvl w:val="0"/>
        <w:rPr>
          <w:color w:val="000000" w:themeColor="text1"/>
          <w:szCs w:val="28"/>
          <w:lang w:eastAsia="lv-LV"/>
        </w:rPr>
      </w:pPr>
      <w:r w:rsidRPr="00F9316C">
        <w:rPr>
          <w:color w:val="000000" w:themeColor="text1"/>
          <w:szCs w:val="28"/>
          <w:lang w:eastAsia="lv-LV"/>
        </w:rPr>
        <w:t>5</w:t>
      </w:r>
      <w:r w:rsidR="00A85710">
        <w:rPr>
          <w:color w:val="000000" w:themeColor="text1"/>
          <w:szCs w:val="28"/>
          <w:lang w:eastAsia="lv-LV"/>
        </w:rPr>
        <w:t>. pa</w:t>
      </w:r>
      <w:r w:rsidRPr="00F9316C">
        <w:rPr>
          <w:color w:val="000000" w:themeColor="text1"/>
          <w:szCs w:val="28"/>
          <w:lang w:eastAsia="lv-LV"/>
        </w:rPr>
        <w:t>nta otro daļu un</w:t>
      </w:r>
    </w:p>
    <w:p w14:paraId="48FC66FF" w14:textId="2D1BC817" w:rsidR="005A3F9D" w:rsidRPr="00F9316C" w:rsidRDefault="005A3F9D" w:rsidP="005A3F9D">
      <w:pPr>
        <w:pStyle w:val="Title"/>
        <w:ind w:firstLine="709"/>
        <w:jc w:val="right"/>
        <w:outlineLvl w:val="0"/>
        <w:rPr>
          <w:color w:val="000000" w:themeColor="text1"/>
          <w:szCs w:val="28"/>
          <w:lang w:eastAsia="lv-LV"/>
        </w:rPr>
      </w:pPr>
      <w:r w:rsidRPr="00F9316C">
        <w:rPr>
          <w:color w:val="000000" w:themeColor="text1"/>
          <w:szCs w:val="28"/>
          <w:lang w:eastAsia="lv-LV"/>
        </w:rPr>
        <w:t>Publiskas personas kapitāla daļu un</w:t>
      </w:r>
    </w:p>
    <w:p w14:paraId="77615D49" w14:textId="74A2AEE0" w:rsidR="00B80B43" w:rsidRDefault="005A3F9D" w:rsidP="005A3F9D">
      <w:pPr>
        <w:pStyle w:val="Title"/>
        <w:ind w:firstLine="709"/>
        <w:jc w:val="right"/>
        <w:outlineLvl w:val="0"/>
        <w:rPr>
          <w:color w:val="000000" w:themeColor="text1"/>
          <w:szCs w:val="28"/>
          <w:lang w:eastAsia="lv-LV"/>
        </w:rPr>
      </w:pPr>
      <w:r w:rsidRPr="00F9316C">
        <w:rPr>
          <w:color w:val="000000" w:themeColor="text1"/>
          <w:szCs w:val="28"/>
          <w:lang w:eastAsia="lv-LV"/>
        </w:rPr>
        <w:t>kapitālsabiedrību pārvaldības likuma</w:t>
      </w:r>
    </w:p>
    <w:p w14:paraId="58AA495D" w14:textId="654E444E" w:rsidR="00625C06" w:rsidRPr="00F9316C" w:rsidRDefault="005A3F9D" w:rsidP="005A3F9D">
      <w:pPr>
        <w:pStyle w:val="Title"/>
        <w:ind w:firstLine="709"/>
        <w:jc w:val="right"/>
        <w:outlineLvl w:val="0"/>
        <w:rPr>
          <w:color w:val="000000" w:themeColor="text1"/>
          <w:szCs w:val="28"/>
          <w:lang w:eastAsia="lv-LV"/>
        </w:rPr>
      </w:pPr>
      <w:r w:rsidRPr="00F9316C">
        <w:rPr>
          <w:color w:val="000000" w:themeColor="text1"/>
          <w:szCs w:val="28"/>
          <w:lang w:eastAsia="lv-LV"/>
        </w:rPr>
        <w:t>28</w:t>
      </w:r>
      <w:r w:rsidR="00A85710">
        <w:rPr>
          <w:color w:val="000000" w:themeColor="text1"/>
          <w:szCs w:val="28"/>
          <w:lang w:eastAsia="lv-LV"/>
        </w:rPr>
        <w:t>. pa</w:t>
      </w:r>
      <w:r w:rsidRPr="00F9316C">
        <w:rPr>
          <w:color w:val="000000" w:themeColor="text1"/>
          <w:szCs w:val="28"/>
          <w:lang w:eastAsia="lv-LV"/>
        </w:rPr>
        <w:t>nta sesto daļu</w:t>
      </w:r>
    </w:p>
    <w:p w14:paraId="4E3459AB" w14:textId="77777777" w:rsidR="006934B8" w:rsidRPr="00DC5519" w:rsidRDefault="006934B8" w:rsidP="006934B8">
      <w:pPr>
        <w:pStyle w:val="ListParagraph"/>
        <w:ind w:left="0" w:firstLine="709"/>
        <w:jc w:val="both"/>
        <w:rPr>
          <w:sz w:val="28"/>
          <w:szCs w:val="28"/>
        </w:rPr>
      </w:pPr>
    </w:p>
    <w:p w14:paraId="6B0FCC81" w14:textId="07345BAD" w:rsidR="00EE26A2" w:rsidRDefault="004020AD" w:rsidP="00A85710">
      <w:pPr>
        <w:pStyle w:val="ListParagraph"/>
        <w:ind w:left="0" w:firstLine="709"/>
        <w:jc w:val="both"/>
        <w:rPr>
          <w:sz w:val="28"/>
          <w:szCs w:val="28"/>
        </w:rPr>
      </w:pPr>
      <w:r w:rsidRPr="002016A6">
        <w:rPr>
          <w:sz w:val="28"/>
          <w:szCs w:val="28"/>
        </w:rPr>
        <w:t xml:space="preserve">Izdarīt Ministru kabineta </w:t>
      </w:r>
      <w:r w:rsidR="00625C06" w:rsidRPr="002016A6">
        <w:rPr>
          <w:sz w:val="28"/>
          <w:szCs w:val="28"/>
        </w:rPr>
        <w:t>201</w:t>
      </w:r>
      <w:r w:rsidR="00093742" w:rsidRPr="002016A6">
        <w:rPr>
          <w:sz w:val="28"/>
          <w:szCs w:val="28"/>
        </w:rPr>
        <w:t>5</w:t>
      </w:r>
      <w:r w:rsidR="00A85710">
        <w:rPr>
          <w:sz w:val="28"/>
          <w:szCs w:val="28"/>
        </w:rPr>
        <w:t>. ga</w:t>
      </w:r>
      <w:r w:rsidR="00625C06" w:rsidRPr="002016A6">
        <w:rPr>
          <w:sz w:val="28"/>
          <w:szCs w:val="28"/>
        </w:rPr>
        <w:t>da 2</w:t>
      </w:r>
      <w:r w:rsidR="00093742" w:rsidRPr="002016A6">
        <w:rPr>
          <w:sz w:val="28"/>
          <w:szCs w:val="28"/>
        </w:rPr>
        <w:t>2</w:t>
      </w:r>
      <w:r w:rsidR="00625C06" w:rsidRPr="002016A6">
        <w:rPr>
          <w:sz w:val="28"/>
          <w:szCs w:val="28"/>
        </w:rPr>
        <w:t>.</w:t>
      </w:r>
      <w:r w:rsidR="00A85710">
        <w:rPr>
          <w:sz w:val="28"/>
          <w:szCs w:val="28"/>
        </w:rPr>
        <w:t> </w:t>
      </w:r>
      <w:r w:rsidR="00093742" w:rsidRPr="002016A6">
        <w:rPr>
          <w:sz w:val="28"/>
          <w:szCs w:val="28"/>
        </w:rPr>
        <w:t xml:space="preserve">decembra </w:t>
      </w:r>
      <w:r w:rsidRPr="002016A6">
        <w:rPr>
          <w:sz w:val="28"/>
          <w:szCs w:val="28"/>
        </w:rPr>
        <w:t>noteikumos Nr.</w:t>
      </w:r>
      <w:r w:rsidR="00A85710">
        <w:rPr>
          <w:sz w:val="28"/>
          <w:szCs w:val="28"/>
        </w:rPr>
        <w:t> </w:t>
      </w:r>
      <w:r w:rsidR="00093742" w:rsidRPr="002016A6">
        <w:rPr>
          <w:sz w:val="28"/>
          <w:szCs w:val="28"/>
        </w:rPr>
        <w:t>806</w:t>
      </w:r>
      <w:r w:rsidR="00625C06" w:rsidRPr="002016A6">
        <w:rPr>
          <w:sz w:val="28"/>
          <w:szCs w:val="28"/>
        </w:rPr>
        <w:t xml:space="preserve"> </w:t>
      </w:r>
      <w:r w:rsidR="00A85710">
        <w:rPr>
          <w:sz w:val="28"/>
          <w:szCs w:val="28"/>
        </w:rPr>
        <w:t>"</w:t>
      </w:r>
      <w:r w:rsidR="00093742" w:rsidRPr="002016A6">
        <w:rPr>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A85710">
        <w:rPr>
          <w:sz w:val="28"/>
          <w:szCs w:val="28"/>
        </w:rPr>
        <w:t>"</w:t>
      </w:r>
      <w:r w:rsidR="00093742" w:rsidRPr="002016A6">
        <w:rPr>
          <w:sz w:val="28"/>
          <w:szCs w:val="28"/>
        </w:rPr>
        <w:t xml:space="preserve"> </w:t>
      </w:r>
      <w:proofErr w:type="gramStart"/>
      <w:r w:rsidR="00093742" w:rsidRPr="002016A6">
        <w:rPr>
          <w:sz w:val="28"/>
          <w:szCs w:val="28"/>
        </w:rPr>
        <w:t>(</w:t>
      </w:r>
      <w:proofErr w:type="gramEnd"/>
      <w:r w:rsidR="00093742" w:rsidRPr="002016A6">
        <w:rPr>
          <w:sz w:val="28"/>
          <w:szCs w:val="28"/>
        </w:rPr>
        <w:t>Latvijas Vēstnesis, 2015, 30</w:t>
      </w:r>
      <w:r w:rsidR="006934B8" w:rsidRPr="002016A6">
        <w:rPr>
          <w:sz w:val="28"/>
          <w:szCs w:val="28"/>
        </w:rPr>
        <w:t>.</w:t>
      </w:r>
      <w:r w:rsidR="006934B8">
        <w:rPr>
          <w:sz w:val="28"/>
          <w:szCs w:val="28"/>
        </w:rPr>
        <w:t> </w:t>
      </w:r>
      <w:r w:rsidR="00093742" w:rsidRPr="002016A6">
        <w:rPr>
          <w:sz w:val="28"/>
          <w:szCs w:val="28"/>
        </w:rPr>
        <w:t>nr.) šādus grozījumus:</w:t>
      </w:r>
    </w:p>
    <w:p w14:paraId="35E95588" w14:textId="77777777" w:rsidR="009A3508" w:rsidRDefault="009A3508" w:rsidP="00A85710">
      <w:pPr>
        <w:ind w:firstLine="709"/>
        <w:jc w:val="both"/>
        <w:rPr>
          <w:sz w:val="28"/>
          <w:szCs w:val="28"/>
        </w:rPr>
      </w:pPr>
    </w:p>
    <w:p w14:paraId="30845202" w14:textId="766C33AA" w:rsidR="00801A29" w:rsidRPr="00BF196C" w:rsidRDefault="00BF196C" w:rsidP="00A85710">
      <w:pPr>
        <w:ind w:firstLine="709"/>
        <w:jc w:val="both"/>
        <w:rPr>
          <w:sz w:val="28"/>
          <w:szCs w:val="28"/>
        </w:rPr>
      </w:pPr>
      <w:r>
        <w:rPr>
          <w:sz w:val="28"/>
          <w:szCs w:val="28"/>
        </w:rPr>
        <w:t>1. </w:t>
      </w:r>
      <w:r w:rsidR="009A3508">
        <w:rPr>
          <w:sz w:val="28"/>
          <w:szCs w:val="28"/>
        </w:rPr>
        <w:t>A</w:t>
      </w:r>
      <w:r>
        <w:rPr>
          <w:sz w:val="28"/>
          <w:szCs w:val="28"/>
        </w:rPr>
        <w:t xml:space="preserve">izstāt </w:t>
      </w:r>
      <w:r w:rsidR="00801A29" w:rsidRPr="00BF196C">
        <w:rPr>
          <w:sz w:val="28"/>
          <w:szCs w:val="28"/>
        </w:rPr>
        <w:t xml:space="preserve">noteikumu tekstā vārdus </w:t>
      </w:r>
      <w:r w:rsidR="00A85710">
        <w:rPr>
          <w:sz w:val="28"/>
          <w:szCs w:val="28"/>
        </w:rPr>
        <w:t>"</w:t>
      </w:r>
      <w:r w:rsidR="00801A29" w:rsidRPr="00BF196C">
        <w:rPr>
          <w:sz w:val="28"/>
          <w:szCs w:val="28"/>
        </w:rPr>
        <w:t>tīrā peļņa</w:t>
      </w:r>
      <w:r w:rsidR="00A85710">
        <w:rPr>
          <w:sz w:val="28"/>
          <w:szCs w:val="28"/>
        </w:rPr>
        <w:t>"</w:t>
      </w:r>
      <w:r w:rsidR="00801A29" w:rsidRPr="00BF196C">
        <w:rPr>
          <w:sz w:val="28"/>
          <w:szCs w:val="28"/>
        </w:rPr>
        <w:t xml:space="preserve"> </w:t>
      </w:r>
      <w:r>
        <w:rPr>
          <w:sz w:val="28"/>
          <w:szCs w:val="28"/>
        </w:rPr>
        <w:t xml:space="preserve">(attiecīgā locījumā) </w:t>
      </w:r>
      <w:r w:rsidR="00801A29" w:rsidRPr="00BF196C">
        <w:rPr>
          <w:sz w:val="28"/>
          <w:szCs w:val="28"/>
        </w:rPr>
        <w:t xml:space="preserve">ar vārdiem </w:t>
      </w:r>
      <w:r w:rsidR="00A85710">
        <w:rPr>
          <w:sz w:val="28"/>
          <w:szCs w:val="28"/>
        </w:rPr>
        <w:t>"</w:t>
      </w:r>
      <w:r w:rsidR="00801A29" w:rsidRPr="00BF196C">
        <w:rPr>
          <w:sz w:val="28"/>
          <w:szCs w:val="28"/>
        </w:rPr>
        <w:t>pārskata gada peļņa</w:t>
      </w:r>
      <w:r w:rsidR="00A85710">
        <w:rPr>
          <w:sz w:val="28"/>
          <w:szCs w:val="28"/>
        </w:rPr>
        <w:t>"</w:t>
      </w:r>
      <w:r w:rsidR="00801A29" w:rsidRPr="00BF196C">
        <w:rPr>
          <w:sz w:val="28"/>
          <w:szCs w:val="28"/>
        </w:rPr>
        <w:t xml:space="preserve"> </w:t>
      </w:r>
      <w:r>
        <w:rPr>
          <w:sz w:val="28"/>
          <w:szCs w:val="28"/>
        </w:rPr>
        <w:t>(</w:t>
      </w:r>
      <w:r w:rsidR="00801A29" w:rsidRPr="00BF196C">
        <w:rPr>
          <w:sz w:val="28"/>
          <w:szCs w:val="28"/>
        </w:rPr>
        <w:t>at</w:t>
      </w:r>
      <w:r>
        <w:rPr>
          <w:sz w:val="28"/>
          <w:szCs w:val="28"/>
        </w:rPr>
        <w:t>tiecīgā</w:t>
      </w:r>
      <w:r w:rsidR="00801A29" w:rsidRPr="00BF196C">
        <w:rPr>
          <w:sz w:val="28"/>
          <w:szCs w:val="28"/>
        </w:rPr>
        <w:t xml:space="preserve"> locījumā</w:t>
      </w:r>
      <w:r>
        <w:rPr>
          <w:sz w:val="28"/>
          <w:szCs w:val="28"/>
        </w:rPr>
        <w:t>)</w:t>
      </w:r>
      <w:r w:rsidR="009A3508">
        <w:rPr>
          <w:sz w:val="28"/>
          <w:szCs w:val="28"/>
        </w:rPr>
        <w:t>.</w:t>
      </w:r>
    </w:p>
    <w:p w14:paraId="1C730297" w14:textId="77777777" w:rsidR="009A3508" w:rsidRDefault="009A3508" w:rsidP="00A85710">
      <w:pPr>
        <w:ind w:firstLine="709"/>
        <w:jc w:val="both"/>
        <w:rPr>
          <w:sz w:val="28"/>
          <w:szCs w:val="28"/>
        </w:rPr>
      </w:pPr>
    </w:p>
    <w:p w14:paraId="5C9D1862" w14:textId="14306EE9" w:rsidR="002016A6" w:rsidRPr="00BF196C" w:rsidRDefault="00BF196C" w:rsidP="00A85710">
      <w:pPr>
        <w:ind w:firstLine="709"/>
        <w:jc w:val="both"/>
        <w:rPr>
          <w:sz w:val="28"/>
          <w:szCs w:val="28"/>
        </w:rPr>
      </w:pPr>
      <w:r>
        <w:rPr>
          <w:sz w:val="28"/>
          <w:szCs w:val="28"/>
        </w:rPr>
        <w:t>2. </w:t>
      </w:r>
      <w:r w:rsidR="009A3508">
        <w:rPr>
          <w:sz w:val="28"/>
          <w:szCs w:val="28"/>
        </w:rPr>
        <w:t>I</w:t>
      </w:r>
      <w:r w:rsidR="002016A6" w:rsidRPr="00BF196C">
        <w:rPr>
          <w:sz w:val="28"/>
          <w:szCs w:val="28"/>
        </w:rPr>
        <w:t>zteikt 3</w:t>
      </w:r>
      <w:r w:rsidR="006934B8" w:rsidRPr="002016A6">
        <w:rPr>
          <w:sz w:val="28"/>
          <w:szCs w:val="28"/>
        </w:rPr>
        <w:t>.</w:t>
      </w:r>
      <w:r w:rsidR="006934B8">
        <w:rPr>
          <w:sz w:val="28"/>
          <w:szCs w:val="28"/>
        </w:rPr>
        <w:t> </w:t>
      </w:r>
      <w:r w:rsidR="002016A6" w:rsidRPr="00BF196C">
        <w:rPr>
          <w:sz w:val="28"/>
          <w:szCs w:val="28"/>
        </w:rPr>
        <w:t>punktu šādā redakcijā:</w:t>
      </w:r>
    </w:p>
    <w:p w14:paraId="1A347E19" w14:textId="77777777" w:rsidR="00A85710" w:rsidRDefault="00A85710" w:rsidP="00A85710">
      <w:pPr>
        <w:pStyle w:val="ListParagraph"/>
        <w:ind w:left="0" w:firstLine="709"/>
        <w:jc w:val="both"/>
        <w:rPr>
          <w:sz w:val="28"/>
          <w:szCs w:val="28"/>
        </w:rPr>
      </w:pPr>
    </w:p>
    <w:p w14:paraId="5E363838" w14:textId="3C5096E0" w:rsidR="002016A6" w:rsidRDefault="00A85710" w:rsidP="00A85710">
      <w:pPr>
        <w:pStyle w:val="ListParagraph"/>
        <w:ind w:left="0" w:firstLine="709"/>
        <w:jc w:val="both"/>
        <w:rPr>
          <w:sz w:val="28"/>
          <w:szCs w:val="28"/>
        </w:rPr>
      </w:pPr>
      <w:r>
        <w:rPr>
          <w:sz w:val="28"/>
          <w:szCs w:val="28"/>
        </w:rPr>
        <w:t>"</w:t>
      </w:r>
      <w:r w:rsidR="00BF196C">
        <w:rPr>
          <w:sz w:val="28"/>
          <w:szCs w:val="28"/>
        </w:rPr>
        <w:t>3. </w:t>
      </w:r>
      <w:r w:rsidR="002016A6" w:rsidRPr="00DC5519">
        <w:rPr>
          <w:sz w:val="28"/>
          <w:szCs w:val="28"/>
        </w:rPr>
        <w:t xml:space="preserve">Minimālā prognozējamā peļņas daļa, kas izmaksājama dividendēs, un dividendēs izmaksājamā peļņas daļa ir </w:t>
      </w:r>
      <w:r w:rsidR="00833885" w:rsidRPr="00DC5519">
        <w:rPr>
          <w:sz w:val="28"/>
          <w:szCs w:val="28"/>
        </w:rPr>
        <w:t>80</w:t>
      </w:r>
      <w:r w:rsidR="006934B8">
        <w:rPr>
          <w:sz w:val="28"/>
          <w:szCs w:val="28"/>
        </w:rPr>
        <w:t> </w:t>
      </w:r>
      <w:r w:rsidR="002016A6" w:rsidRPr="00DC5519">
        <w:rPr>
          <w:sz w:val="28"/>
          <w:szCs w:val="28"/>
        </w:rPr>
        <w:t>% no kapitālsabiedrības pārskata gada peļņas, ja atbilstoši šo noteikumu II</w:t>
      </w:r>
      <w:r w:rsidR="006934B8">
        <w:rPr>
          <w:sz w:val="28"/>
          <w:szCs w:val="28"/>
        </w:rPr>
        <w:t> </w:t>
      </w:r>
      <w:r w:rsidR="002016A6" w:rsidRPr="00DC5519">
        <w:rPr>
          <w:sz w:val="28"/>
          <w:szCs w:val="28"/>
        </w:rPr>
        <w:t>nodaļai kapitālsabiedrības vidēj</w:t>
      </w:r>
      <w:r w:rsidR="00DB392B">
        <w:rPr>
          <w:sz w:val="28"/>
          <w:szCs w:val="28"/>
        </w:rPr>
        <w:t>a</w:t>
      </w:r>
      <w:r w:rsidR="002016A6" w:rsidRPr="00DC5519">
        <w:rPr>
          <w:sz w:val="28"/>
          <w:szCs w:val="28"/>
        </w:rPr>
        <w:t xml:space="preserve"> termiņa darbības stratēģijā (turpmāk – stratēģija) nav noteikts citādi.</w:t>
      </w:r>
      <w:r w:rsidR="00E651FF" w:rsidRPr="00DC5519">
        <w:rPr>
          <w:sz w:val="28"/>
          <w:szCs w:val="28"/>
        </w:rPr>
        <w:t xml:space="preserve"> Dividendēs izmaksājamā peļņas daļa ietver maksājumu par valsts kapitāla izmantošanu un uzņēmumu ienākuma nodokli.</w:t>
      </w:r>
      <w:r>
        <w:rPr>
          <w:sz w:val="28"/>
          <w:szCs w:val="28"/>
        </w:rPr>
        <w:t>"</w:t>
      </w:r>
    </w:p>
    <w:p w14:paraId="2C697D09" w14:textId="77777777" w:rsidR="00894848" w:rsidRPr="00DC5519" w:rsidRDefault="00894848" w:rsidP="00A85710">
      <w:pPr>
        <w:pStyle w:val="ListParagraph"/>
        <w:ind w:left="0" w:firstLine="709"/>
        <w:jc w:val="both"/>
        <w:rPr>
          <w:sz w:val="28"/>
          <w:szCs w:val="28"/>
        </w:rPr>
      </w:pPr>
    </w:p>
    <w:p w14:paraId="4758274E" w14:textId="77777777" w:rsidR="009A3508" w:rsidRDefault="009A3508">
      <w:pPr>
        <w:rPr>
          <w:sz w:val="28"/>
          <w:szCs w:val="28"/>
        </w:rPr>
      </w:pPr>
      <w:r>
        <w:rPr>
          <w:sz w:val="28"/>
          <w:szCs w:val="28"/>
        </w:rPr>
        <w:br w:type="page"/>
      </w:r>
    </w:p>
    <w:p w14:paraId="19A5E35E" w14:textId="7A1D0BBC" w:rsidR="00E651FF" w:rsidRDefault="00801A29" w:rsidP="00A85710">
      <w:pPr>
        <w:ind w:firstLine="709"/>
        <w:jc w:val="both"/>
        <w:rPr>
          <w:sz w:val="28"/>
          <w:szCs w:val="28"/>
        </w:rPr>
      </w:pPr>
      <w:r>
        <w:rPr>
          <w:sz w:val="28"/>
          <w:szCs w:val="28"/>
        </w:rPr>
        <w:lastRenderedPageBreak/>
        <w:t>3</w:t>
      </w:r>
      <w:r w:rsidR="006934B8" w:rsidRPr="002016A6">
        <w:rPr>
          <w:sz w:val="28"/>
          <w:szCs w:val="28"/>
        </w:rPr>
        <w:t>.</w:t>
      </w:r>
      <w:r w:rsidR="006934B8">
        <w:rPr>
          <w:sz w:val="28"/>
          <w:szCs w:val="28"/>
        </w:rPr>
        <w:t> </w:t>
      </w:r>
      <w:r w:rsidR="009A3508">
        <w:rPr>
          <w:sz w:val="28"/>
          <w:szCs w:val="28"/>
        </w:rPr>
        <w:t>I</w:t>
      </w:r>
      <w:r w:rsidR="00E651FF">
        <w:rPr>
          <w:sz w:val="28"/>
          <w:szCs w:val="28"/>
        </w:rPr>
        <w:t>zteikt 11.2.5</w:t>
      </w:r>
      <w:r w:rsidR="006934B8" w:rsidRPr="002016A6">
        <w:rPr>
          <w:sz w:val="28"/>
          <w:szCs w:val="28"/>
        </w:rPr>
        <w:t>.</w:t>
      </w:r>
      <w:r w:rsidR="006934B8">
        <w:rPr>
          <w:sz w:val="28"/>
          <w:szCs w:val="28"/>
        </w:rPr>
        <w:t> </w:t>
      </w:r>
      <w:r w:rsidR="00E651FF">
        <w:rPr>
          <w:sz w:val="28"/>
          <w:szCs w:val="28"/>
        </w:rPr>
        <w:t>apakšpunktu šādā redakcijā:</w:t>
      </w:r>
    </w:p>
    <w:p w14:paraId="3B4F6910" w14:textId="77777777" w:rsidR="00A85710" w:rsidRDefault="00A85710" w:rsidP="00A85710">
      <w:pPr>
        <w:ind w:firstLine="709"/>
        <w:jc w:val="both"/>
        <w:rPr>
          <w:sz w:val="28"/>
          <w:szCs w:val="28"/>
        </w:rPr>
      </w:pPr>
    </w:p>
    <w:p w14:paraId="1554C0D0" w14:textId="0255967C" w:rsidR="00E651FF" w:rsidRDefault="00A85710" w:rsidP="00A85710">
      <w:pPr>
        <w:ind w:firstLine="709"/>
        <w:jc w:val="both"/>
        <w:rPr>
          <w:sz w:val="28"/>
          <w:szCs w:val="28"/>
        </w:rPr>
      </w:pPr>
      <w:r>
        <w:rPr>
          <w:sz w:val="28"/>
          <w:szCs w:val="28"/>
        </w:rPr>
        <w:t>"</w:t>
      </w:r>
      <w:r w:rsidR="00BF196C">
        <w:rPr>
          <w:sz w:val="28"/>
          <w:szCs w:val="28"/>
        </w:rPr>
        <w:t>11.2.5</w:t>
      </w:r>
      <w:r w:rsidR="006934B8" w:rsidRPr="002016A6">
        <w:rPr>
          <w:sz w:val="28"/>
          <w:szCs w:val="28"/>
        </w:rPr>
        <w:t>.</w:t>
      </w:r>
      <w:r w:rsidR="006934B8">
        <w:rPr>
          <w:sz w:val="28"/>
          <w:szCs w:val="28"/>
        </w:rPr>
        <w:t> </w:t>
      </w:r>
      <w:r w:rsidR="00CE7E8B">
        <w:rPr>
          <w:sz w:val="28"/>
          <w:szCs w:val="28"/>
        </w:rPr>
        <w:t>daļa peļņas gūta, pārvērtējot kapitālsabiedrības ilgtermiņa ieguldījumus vai dzēšot uzkrātās saistības</w:t>
      </w:r>
      <w:r w:rsidR="00605368">
        <w:rPr>
          <w:sz w:val="28"/>
          <w:szCs w:val="28"/>
        </w:rPr>
        <w:t xml:space="preserve"> </w:t>
      </w:r>
      <w:r w:rsidR="00DB392B">
        <w:rPr>
          <w:sz w:val="28"/>
          <w:szCs w:val="28"/>
        </w:rPr>
        <w:t>vai</w:t>
      </w:r>
      <w:r w:rsidR="00605368">
        <w:rPr>
          <w:sz w:val="28"/>
          <w:szCs w:val="28"/>
        </w:rPr>
        <w:t xml:space="preserve"> uzkrājumus</w:t>
      </w:r>
      <w:r w:rsidR="005A73D0">
        <w:rPr>
          <w:sz w:val="28"/>
          <w:szCs w:val="28"/>
        </w:rPr>
        <w:t>.</w:t>
      </w:r>
      <w:r>
        <w:rPr>
          <w:sz w:val="28"/>
          <w:szCs w:val="28"/>
        </w:rPr>
        <w:t>"</w:t>
      </w:r>
    </w:p>
    <w:p w14:paraId="6670A8D6" w14:textId="77777777" w:rsidR="005F5FF3" w:rsidRDefault="005F5FF3" w:rsidP="00A85710">
      <w:pPr>
        <w:ind w:firstLine="709"/>
        <w:jc w:val="both"/>
        <w:rPr>
          <w:sz w:val="28"/>
          <w:szCs w:val="28"/>
        </w:rPr>
      </w:pPr>
    </w:p>
    <w:p w14:paraId="20EDE3A2" w14:textId="77777777" w:rsidR="00A85710" w:rsidRPr="00DC2AA7" w:rsidRDefault="00A85710" w:rsidP="006934B8">
      <w:pPr>
        <w:pStyle w:val="BodyTextIndent"/>
        <w:ind w:left="0" w:firstLine="709"/>
        <w:rPr>
          <w:szCs w:val="28"/>
        </w:rPr>
      </w:pPr>
    </w:p>
    <w:p w14:paraId="6142809C" w14:textId="77777777" w:rsidR="00A85710" w:rsidRPr="00DC2AA7" w:rsidRDefault="00A85710" w:rsidP="006934B8">
      <w:pPr>
        <w:pStyle w:val="BodyTextIndent"/>
        <w:ind w:left="0" w:firstLine="709"/>
        <w:rPr>
          <w:szCs w:val="28"/>
        </w:rPr>
      </w:pPr>
    </w:p>
    <w:p w14:paraId="5272ED85" w14:textId="77777777" w:rsidR="00A85710" w:rsidRPr="00DC2AA7" w:rsidRDefault="00A85710" w:rsidP="006934B8">
      <w:pPr>
        <w:pStyle w:val="BodyTextIndent"/>
        <w:tabs>
          <w:tab w:val="left" w:pos="6521"/>
        </w:tabs>
        <w:ind w:left="0" w:firstLine="709"/>
        <w:rPr>
          <w:szCs w:val="28"/>
        </w:rPr>
      </w:pPr>
      <w:r w:rsidRPr="00DC2AA7">
        <w:rPr>
          <w:szCs w:val="28"/>
        </w:rPr>
        <w:t>Ministru prezidents</w:t>
      </w:r>
      <w:r w:rsidRPr="00DC2AA7">
        <w:rPr>
          <w:szCs w:val="28"/>
        </w:rPr>
        <w:tab/>
        <w:t>A. K. Kariņš</w:t>
      </w:r>
    </w:p>
    <w:p w14:paraId="1E0EFB9C" w14:textId="77777777" w:rsidR="00A85710" w:rsidRPr="00DC2AA7" w:rsidRDefault="00A85710" w:rsidP="006934B8">
      <w:pPr>
        <w:pStyle w:val="BodyTextIndent"/>
        <w:ind w:left="0" w:firstLine="709"/>
        <w:rPr>
          <w:szCs w:val="28"/>
        </w:rPr>
      </w:pPr>
    </w:p>
    <w:p w14:paraId="3FD73F8D" w14:textId="77777777" w:rsidR="00A85710" w:rsidRPr="00DC2AA7" w:rsidRDefault="00A85710" w:rsidP="006934B8">
      <w:pPr>
        <w:pStyle w:val="BodyTextIndent"/>
        <w:ind w:left="0" w:firstLine="709"/>
        <w:rPr>
          <w:szCs w:val="28"/>
        </w:rPr>
      </w:pPr>
    </w:p>
    <w:p w14:paraId="3FADE0AF" w14:textId="77777777" w:rsidR="00A85710" w:rsidRPr="00DC2AA7" w:rsidRDefault="00A85710" w:rsidP="006934B8">
      <w:pPr>
        <w:pStyle w:val="BodyTextIndent"/>
        <w:ind w:left="0" w:firstLine="709"/>
        <w:rPr>
          <w:szCs w:val="28"/>
        </w:rPr>
      </w:pPr>
    </w:p>
    <w:p w14:paraId="0C9178F6" w14:textId="77777777" w:rsidR="00A85710" w:rsidRPr="00DC2AA7" w:rsidRDefault="00A85710" w:rsidP="006934B8">
      <w:pPr>
        <w:pStyle w:val="BodyTextIndent"/>
        <w:tabs>
          <w:tab w:val="left" w:pos="6521"/>
        </w:tabs>
        <w:ind w:left="0" w:firstLine="709"/>
        <w:rPr>
          <w:szCs w:val="28"/>
        </w:rPr>
      </w:pPr>
      <w:r w:rsidRPr="00DC2AA7">
        <w:rPr>
          <w:szCs w:val="28"/>
        </w:rPr>
        <w:t>Finanšu ministrs</w:t>
      </w:r>
      <w:r w:rsidRPr="00DC2AA7">
        <w:rPr>
          <w:szCs w:val="28"/>
        </w:rPr>
        <w:tab/>
        <w:t>J. Reirs</w:t>
      </w:r>
    </w:p>
    <w:sectPr w:rsidR="00A85710" w:rsidRPr="00DC2AA7" w:rsidSect="00A857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D4BB" w14:textId="77777777" w:rsidR="00BF196C" w:rsidRDefault="00BF196C">
      <w:r>
        <w:separator/>
      </w:r>
    </w:p>
  </w:endnote>
  <w:endnote w:type="continuationSeparator" w:id="0">
    <w:p w14:paraId="693F3E0E" w14:textId="77777777" w:rsidR="00BF196C" w:rsidRDefault="00BF196C">
      <w:r>
        <w:continuationSeparator/>
      </w:r>
    </w:p>
  </w:endnote>
  <w:endnote w:type="continuationNotice" w:id="1">
    <w:p w14:paraId="7662C945" w14:textId="77777777" w:rsidR="00BC77C9" w:rsidRDefault="00BC7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59C7" w14:textId="77777777" w:rsidR="00A85710" w:rsidRPr="00A85710" w:rsidRDefault="00A85710" w:rsidP="00A85710">
    <w:pPr>
      <w:pStyle w:val="Footer"/>
      <w:rPr>
        <w:sz w:val="16"/>
        <w:szCs w:val="16"/>
      </w:rPr>
    </w:pPr>
    <w:r>
      <w:rPr>
        <w:sz w:val="16"/>
        <w:szCs w:val="16"/>
      </w:rPr>
      <w:t>N2523_9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68F2" w14:textId="4860A354" w:rsidR="00A85710" w:rsidRPr="00A85710" w:rsidRDefault="00A85710">
    <w:pPr>
      <w:pStyle w:val="Footer"/>
      <w:rPr>
        <w:sz w:val="16"/>
        <w:szCs w:val="16"/>
      </w:rPr>
    </w:pPr>
    <w:r>
      <w:rPr>
        <w:sz w:val="16"/>
        <w:szCs w:val="16"/>
      </w:rPr>
      <w:t>N2523_9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344B" w14:textId="77777777" w:rsidR="00BF196C" w:rsidRDefault="00BF196C">
      <w:r>
        <w:separator/>
      </w:r>
    </w:p>
  </w:footnote>
  <w:footnote w:type="continuationSeparator" w:id="0">
    <w:p w14:paraId="36A6A2C3" w14:textId="77777777" w:rsidR="00BF196C" w:rsidRDefault="00BF196C">
      <w:r>
        <w:continuationSeparator/>
      </w:r>
    </w:p>
  </w:footnote>
  <w:footnote w:type="continuationNotice" w:id="1">
    <w:p w14:paraId="340B0AE6" w14:textId="77777777" w:rsidR="00BC77C9" w:rsidRDefault="00BC7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4C57CA17" w:rsidR="00BF196C" w:rsidRDefault="00BF19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C677" w14:textId="4A49D066" w:rsidR="00A85710" w:rsidRDefault="00A85710">
    <w:pPr>
      <w:pStyle w:val="Header"/>
    </w:pPr>
  </w:p>
  <w:p w14:paraId="1AE25C13" w14:textId="77777777" w:rsidR="00A85710" w:rsidRDefault="00A85710">
    <w:pPr>
      <w:pStyle w:val="Header"/>
    </w:pPr>
    <w:r>
      <w:rPr>
        <w:noProof/>
      </w:rPr>
      <w:drawing>
        <wp:inline distT="0" distB="0" distL="0" distR="0" wp14:anchorId="78F31226" wp14:editId="200C466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8BC"/>
    <w:multiLevelType w:val="hybridMultilevel"/>
    <w:tmpl w:val="1720838A"/>
    <w:lvl w:ilvl="0" w:tplc="5FC0A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D4F12"/>
    <w:multiLevelType w:val="multilevel"/>
    <w:tmpl w:val="B412AA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0970674"/>
    <w:multiLevelType w:val="hybridMultilevel"/>
    <w:tmpl w:val="EDDEF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EA447A"/>
    <w:multiLevelType w:val="hybridMultilevel"/>
    <w:tmpl w:val="A8BA8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473733"/>
    <w:multiLevelType w:val="multilevel"/>
    <w:tmpl w:val="CCB84F84"/>
    <w:lvl w:ilvl="0">
      <w:start w:val="3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007404D"/>
    <w:multiLevelType w:val="hybridMultilevel"/>
    <w:tmpl w:val="4EBE3A6C"/>
    <w:lvl w:ilvl="0" w:tplc="EC948E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D10"/>
    <w:rsid w:val="0001382E"/>
    <w:rsid w:val="000149FD"/>
    <w:rsid w:val="00014E0B"/>
    <w:rsid w:val="00023004"/>
    <w:rsid w:val="000243B8"/>
    <w:rsid w:val="000343F2"/>
    <w:rsid w:val="0005027B"/>
    <w:rsid w:val="00054E1A"/>
    <w:rsid w:val="00064A65"/>
    <w:rsid w:val="00065417"/>
    <w:rsid w:val="00093457"/>
    <w:rsid w:val="00093597"/>
    <w:rsid w:val="00093742"/>
    <w:rsid w:val="00097A3F"/>
    <w:rsid w:val="000A0207"/>
    <w:rsid w:val="000A5426"/>
    <w:rsid w:val="000A7BCC"/>
    <w:rsid w:val="000A7D69"/>
    <w:rsid w:val="000B318D"/>
    <w:rsid w:val="000B40B5"/>
    <w:rsid w:val="000B5288"/>
    <w:rsid w:val="000D0BD6"/>
    <w:rsid w:val="000D1B5F"/>
    <w:rsid w:val="000E705C"/>
    <w:rsid w:val="000F2D8F"/>
    <w:rsid w:val="001032EA"/>
    <w:rsid w:val="00113125"/>
    <w:rsid w:val="00122A47"/>
    <w:rsid w:val="001254CA"/>
    <w:rsid w:val="001270F2"/>
    <w:rsid w:val="00137AC9"/>
    <w:rsid w:val="00143392"/>
    <w:rsid w:val="00143694"/>
    <w:rsid w:val="00145EF0"/>
    <w:rsid w:val="00146F5E"/>
    <w:rsid w:val="00162B07"/>
    <w:rsid w:val="001638C8"/>
    <w:rsid w:val="00166916"/>
    <w:rsid w:val="00166FCA"/>
    <w:rsid w:val="00173848"/>
    <w:rsid w:val="0017478B"/>
    <w:rsid w:val="001758E5"/>
    <w:rsid w:val="00181AD6"/>
    <w:rsid w:val="00183DD4"/>
    <w:rsid w:val="00187E2D"/>
    <w:rsid w:val="001920E1"/>
    <w:rsid w:val="00196238"/>
    <w:rsid w:val="00196CBC"/>
    <w:rsid w:val="001A0C91"/>
    <w:rsid w:val="001A2194"/>
    <w:rsid w:val="001A29BC"/>
    <w:rsid w:val="001B0464"/>
    <w:rsid w:val="001B5FEE"/>
    <w:rsid w:val="001C2481"/>
    <w:rsid w:val="001C3E34"/>
    <w:rsid w:val="001C54BD"/>
    <w:rsid w:val="001D31F3"/>
    <w:rsid w:val="001D7F58"/>
    <w:rsid w:val="001E501F"/>
    <w:rsid w:val="001E7CF0"/>
    <w:rsid w:val="001F6A2E"/>
    <w:rsid w:val="002016A6"/>
    <w:rsid w:val="002040C5"/>
    <w:rsid w:val="00216C6D"/>
    <w:rsid w:val="002324E9"/>
    <w:rsid w:val="00240843"/>
    <w:rsid w:val="00242C98"/>
    <w:rsid w:val="00247CB9"/>
    <w:rsid w:val="00275051"/>
    <w:rsid w:val="002803C4"/>
    <w:rsid w:val="00286C1B"/>
    <w:rsid w:val="002916DB"/>
    <w:rsid w:val="00294ED1"/>
    <w:rsid w:val="00297BE2"/>
    <w:rsid w:val="002A52F6"/>
    <w:rsid w:val="002A72A1"/>
    <w:rsid w:val="002B1439"/>
    <w:rsid w:val="002C07C9"/>
    <w:rsid w:val="002C51C0"/>
    <w:rsid w:val="002D4BBA"/>
    <w:rsid w:val="002D5D3B"/>
    <w:rsid w:val="002D5FC0"/>
    <w:rsid w:val="002F09CE"/>
    <w:rsid w:val="002F71E6"/>
    <w:rsid w:val="003122C6"/>
    <w:rsid w:val="00332F81"/>
    <w:rsid w:val="00343C6B"/>
    <w:rsid w:val="00345827"/>
    <w:rsid w:val="003460CE"/>
    <w:rsid w:val="003461B0"/>
    <w:rsid w:val="00352C6A"/>
    <w:rsid w:val="00356DC7"/>
    <w:rsid w:val="003657FB"/>
    <w:rsid w:val="00370725"/>
    <w:rsid w:val="003719CF"/>
    <w:rsid w:val="00376CF7"/>
    <w:rsid w:val="00381D2A"/>
    <w:rsid w:val="00394279"/>
    <w:rsid w:val="00395176"/>
    <w:rsid w:val="00395BC5"/>
    <w:rsid w:val="003A464B"/>
    <w:rsid w:val="003A4722"/>
    <w:rsid w:val="003B3FD8"/>
    <w:rsid w:val="003B6775"/>
    <w:rsid w:val="003B6A8B"/>
    <w:rsid w:val="003C00D0"/>
    <w:rsid w:val="003C368A"/>
    <w:rsid w:val="003E1992"/>
    <w:rsid w:val="003E30A5"/>
    <w:rsid w:val="003E7D23"/>
    <w:rsid w:val="003F2AFD"/>
    <w:rsid w:val="003F437E"/>
    <w:rsid w:val="00401250"/>
    <w:rsid w:val="004020AD"/>
    <w:rsid w:val="00404CAA"/>
    <w:rsid w:val="00404F05"/>
    <w:rsid w:val="0041685A"/>
    <w:rsid w:val="00420148"/>
    <w:rsid w:val="004203E7"/>
    <w:rsid w:val="00424AD7"/>
    <w:rsid w:val="0043108A"/>
    <w:rsid w:val="00433DAD"/>
    <w:rsid w:val="00437256"/>
    <w:rsid w:val="00437E13"/>
    <w:rsid w:val="0044267E"/>
    <w:rsid w:val="004466A0"/>
    <w:rsid w:val="00452998"/>
    <w:rsid w:val="00482603"/>
    <w:rsid w:val="00486C7F"/>
    <w:rsid w:val="004944D5"/>
    <w:rsid w:val="0049500D"/>
    <w:rsid w:val="00497C20"/>
    <w:rsid w:val="004A04BB"/>
    <w:rsid w:val="004B4E10"/>
    <w:rsid w:val="004B6E00"/>
    <w:rsid w:val="004C0159"/>
    <w:rsid w:val="004C4223"/>
    <w:rsid w:val="004C4463"/>
    <w:rsid w:val="004C4CE1"/>
    <w:rsid w:val="004C5A07"/>
    <w:rsid w:val="004C60C4"/>
    <w:rsid w:val="004D04A7"/>
    <w:rsid w:val="004D2FB3"/>
    <w:rsid w:val="004D44C8"/>
    <w:rsid w:val="004D4846"/>
    <w:rsid w:val="004D60A9"/>
    <w:rsid w:val="004E1207"/>
    <w:rsid w:val="004E3E9C"/>
    <w:rsid w:val="004E5A1D"/>
    <w:rsid w:val="004E74DA"/>
    <w:rsid w:val="004F2A29"/>
    <w:rsid w:val="005003A0"/>
    <w:rsid w:val="00505BCC"/>
    <w:rsid w:val="0052288E"/>
    <w:rsid w:val="00523B02"/>
    <w:rsid w:val="005256C0"/>
    <w:rsid w:val="00537199"/>
    <w:rsid w:val="005570D2"/>
    <w:rsid w:val="005700CF"/>
    <w:rsid w:val="00572852"/>
    <w:rsid w:val="00574B34"/>
    <w:rsid w:val="005762AF"/>
    <w:rsid w:val="0057698E"/>
    <w:rsid w:val="00577A1C"/>
    <w:rsid w:val="0058034F"/>
    <w:rsid w:val="00581CBE"/>
    <w:rsid w:val="00591539"/>
    <w:rsid w:val="005966AB"/>
    <w:rsid w:val="0059785F"/>
    <w:rsid w:val="005A2632"/>
    <w:rsid w:val="005A3F9D"/>
    <w:rsid w:val="005A5E08"/>
    <w:rsid w:val="005A6234"/>
    <w:rsid w:val="005A73D0"/>
    <w:rsid w:val="005B747F"/>
    <w:rsid w:val="005C2492"/>
    <w:rsid w:val="005C2A8B"/>
    <w:rsid w:val="005C2E05"/>
    <w:rsid w:val="005C43F9"/>
    <w:rsid w:val="005C78D9"/>
    <w:rsid w:val="005C7F82"/>
    <w:rsid w:val="005D285F"/>
    <w:rsid w:val="005D534B"/>
    <w:rsid w:val="005D65F9"/>
    <w:rsid w:val="005D6622"/>
    <w:rsid w:val="005E2B87"/>
    <w:rsid w:val="005E559B"/>
    <w:rsid w:val="005F0119"/>
    <w:rsid w:val="005F066E"/>
    <w:rsid w:val="005F3858"/>
    <w:rsid w:val="005F5401"/>
    <w:rsid w:val="005F5FF3"/>
    <w:rsid w:val="00600472"/>
    <w:rsid w:val="0060088B"/>
    <w:rsid w:val="00601A37"/>
    <w:rsid w:val="00602F95"/>
    <w:rsid w:val="00605368"/>
    <w:rsid w:val="00615BB4"/>
    <w:rsid w:val="00623DF2"/>
    <w:rsid w:val="00624970"/>
    <w:rsid w:val="00625C06"/>
    <w:rsid w:val="00636574"/>
    <w:rsid w:val="006457F2"/>
    <w:rsid w:val="00651934"/>
    <w:rsid w:val="00664357"/>
    <w:rsid w:val="00665111"/>
    <w:rsid w:val="00671D14"/>
    <w:rsid w:val="00681F12"/>
    <w:rsid w:val="00684B30"/>
    <w:rsid w:val="0068514E"/>
    <w:rsid w:val="006873DD"/>
    <w:rsid w:val="00692104"/>
    <w:rsid w:val="00692C5C"/>
    <w:rsid w:val="006934B8"/>
    <w:rsid w:val="006954C0"/>
    <w:rsid w:val="00695B9B"/>
    <w:rsid w:val="0069709B"/>
    <w:rsid w:val="006A4F8B"/>
    <w:rsid w:val="006B3713"/>
    <w:rsid w:val="006B60F9"/>
    <w:rsid w:val="006B798A"/>
    <w:rsid w:val="006C4B76"/>
    <w:rsid w:val="006D746F"/>
    <w:rsid w:val="006E5D5F"/>
    <w:rsid w:val="006E5FE2"/>
    <w:rsid w:val="006E6314"/>
    <w:rsid w:val="006E7C7C"/>
    <w:rsid w:val="006F1D73"/>
    <w:rsid w:val="007078FB"/>
    <w:rsid w:val="00712BFD"/>
    <w:rsid w:val="00712C2B"/>
    <w:rsid w:val="00721036"/>
    <w:rsid w:val="00734A2D"/>
    <w:rsid w:val="0074161D"/>
    <w:rsid w:val="00746861"/>
    <w:rsid w:val="00746F4F"/>
    <w:rsid w:val="00750EE3"/>
    <w:rsid w:val="00755ECE"/>
    <w:rsid w:val="00766BB3"/>
    <w:rsid w:val="007701C1"/>
    <w:rsid w:val="00774A4B"/>
    <w:rsid w:val="00775F74"/>
    <w:rsid w:val="00787DA8"/>
    <w:rsid w:val="00791982"/>
    <w:rsid w:val="007947CC"/>
    <w:rsid w:val="00796BFD"/>
    <w:rsid w:val="007B23A0"/>
    <w:rsid w:val="007B5DBD"/>
    <w:rsid w:val="007C45E5"/>
    <w:rsid w:val="007C4643"/>
    <w:rsid w:val="007C4838"/>
    <w:rsid w:val="007C63F0"/>
    <w:rsid w:val="007E2A5E"/>
    <w:rsid w:val="007E5053"/>
    <w:rsid w:val="007E6756"/>
    <w:rsid w:val="007F24AD"/>
    <w:rsid w:val="007F7F31"/>
    <w:rsid w:val="0080189A"/>
    <w:rsid w:val="00801A29"/>
    <w:rsid w:val="008052CD"/>
    <w:rsid w:val="0080678E"/>
    <w:rsid w:val="00806BAB"/>
    <w:rsid w:val="008116E0"/>
    <w:rsid w:val="00812AFA"/>
    <w:rsid w:val="00817609"/>
    <w:rsid w:val="00827EF1"/>
    <w:rsid w:val="00833885"/>
    <w:rsid w:val="008363D9"/>
    <w:rsid w:val="008370E0"/>
    <w:rsid w:val="00837BBE"/>
    <w:rsid w:val="008467C5"/>
    <w:rsid w:val="0085136C"/>
    <w:rsid w:val="00854589"/>
    <w:rsid w:val="0086399E"/>
    <w:rsid w:val="008644A0"/>
    <w:rsid w:val="00864D00"/>
    <w:rsid w:val="008678E7"/>
    <w:rsid w:val="00871391"/>
    <w:rsid w:val="008769BC"/>
    <w:rsid w:val="0087760E"/>
    <w:rsid w:val="00880D18"/>
    <w:rsid w:val="0088178F"/>
    <w:rsid w:val="00885D10"/>
    <w:rsid w:val="0088735C"/>
    <w:rsid w:val="00894848"/>
    <w:rsid w:val="008A7539"/>
    <w:rsid w:val="008B225F"/>
    <w:rsid w:val="008B5133"/>
    <w:rsid w:val="008B5A9F"/>
    <w:rsid w:val="008C2E28"/>
    <w:rsid w:val="008C3B12"/>
    <w:rsid w:val="008C550E"/>
    <w:rsid w:val="008C7A3B"/>
    <w:rsid w:val="008D168E"/>
    <w:rsid w:val="008D3151"/>
    <w:rsid w:val="008D5CC2"/>
    <w:rsid w:val="008E738A"/>
    <w:rsid w:val="008E7807"/>
    <w:rsid w:val="008F7429"/>
    <w:rsid w:val="00900023"/>
    <w:rsid w:val="00900662"/>
    <w:rsid w:val="00901D19"/>
    <w:rsid w:val="009047EF"/>
    <w:rsid w:val="00907025"/>
    <w:rsid w:val="009079D9"/>
    <w:rsid w:val="00910156"/>
    <w:rsid w:val="009172AE"/>
    <w:rsid w:val="0092016B"/>
    <w:rsid w:val="00926072"/>
    <w:rsid w:val="00932D89"/>
    <w:rsid w:val="00944469"/>
    <w:rsid w:val="00946C2E"/>
    <w:rsid w:val="00947B4D"/>
    <w:rsid w:val="00961C10"/>
    <w:rsid w:val="009671A8"/>
    <w:rsid w:val="009717A0"/>
    <w:rsid w:val="009758AE"/>
    <w:rsid w:val="00980D1E"/>
    <w:rsid w:val="00980D4D"/>
    <w:rsid w:val="00981229"/>
    <w:rsid w:val="00982648"/>
    <w:rsid w:val="0098390C"/>
    <w:rsid w:val="009859EB"/>
    <w:rsid w:val="009972A5"/>
    <w:rsid w:val="009A0F58"/>
    <w:rsid w:val="009A3508"/>
    <w:rsid w:val="009A7A12"/>
    <w:rsid w:val="009A7E60"/>
    <w:rsid w:val="009B5C46"/>
    <w:rsid w:val="009C5A63"/>
    <w:rsid w:val="009C5D72"/>
    <w:rsid w:val="009D1238"/>
    <w:rsid w:val="009E3D3C"/>
    <w:rsid w:val="009F1E4B"/>
    <w:rsid w:val="009F3EFB"/>
    <w:rsid w:val="009F415C"/>
    <w:rsid w:val="009F7E26"/>
    <w:rsid w:val="00A02F96"/>
    <w:rsid w:val="00A04A33"/>
    <w:rsid w:val="00A16CE2"/>
    <w:rsid w:val="00A442F3"/>
    <w:rsid w:val="00A52B4C"/>
    <w:rsid w:val="00A56B39"/>
    <w:rsid w:val="00A6794B"/>
    <w:rsid w:val="00A75F12"/>
    <w:rsid w:val="00A8000E"/>
    <w:rsid w:val="00A816A6"/>
    <w:rsid w:val="00A81C8B"/>
    <w:rsid w:val="00A85710"/>
    <w:rsid w:val="00A8698D"/>
    <w:rsid w:val="00A90F18"/>
    <w:rsid w:val="00A94F3A"/>
    <w:rsid w:val="00A955E2"/>
    <w:rsid w:val="00A97155"/>
    <w:rsid w:val="00AB0AC9"/>
    <w:rsid w:val="00AC23DE"/>
    <w:rsid w:val="00AC3989"/>
    <w:rsid w:val="00AD28A5"/>
    <w:rsid w:val="00AD3414"/>
    <w:rsid w:val="00AE4529"/>
    <w:rsid w:val="00AF5AB5"/>
    <w:rsid w:val="00B017E7"/>
    <w:rsid w:val="00B01E63"/>
    <w:rsid w:val="00B10616"/>
    <w:rsid w:val="00B12F17"/>
    <w:rsid w:val="00B1583A"/>
    <w:rsid w:val="00B2033D"/>
    <w:rsid w:val="00B249E8"/>
    <w:rsid w:val="00B25E77"/>
    <w:rsid w:val="00B30445"/>
    <w:rsid w:val="00B30876"/>
    <w:rsid w:val="00B30D1A"/>
    <w:rsid w:val="00B35076"/>
    <w:rsid w:val="00B36ABB"/>
    <w:rsid w:val="00B44387"/>
    <w:rsid w:val="00B46CA0"/>
    <w:rsid w:val="00B50C7B"/>
    <w:rsid w:val="00B57ACD"/>
    <w:rsid w:val="00B60DB3"/>
    <w:rsid w:val="00B769AE"/>
    <w:rsid w:val="00B77A0F"/>
    <w:rsid w:val="00B80B43"/>
    <w:rsid w:val="00B81177"/>
    <w:rsid w:val="00B83E78"/>
    <w:rsid w:val="00B92A21"/>
    <w:rsid w:val="00B9584F"/>
    <w:rsid w:val="00B9767D"/>
    <w:rsid w:val="00BA21BE"/>
    <w:rsid w:val="00BA4F66"/>
    <w:rsid w:val="00BA506B"/>
    <w:rsid w:val="00BB487A"/>
    <w:rsid w:val="00BC0CF5"/>
    <w:rsid w:val="00BC4543"/>
    <w:rsid w:val="00BC6611"/>
    <w:rsid w:val="00BC77C9"/>
    <w:rsid w:val="00BD0F11"/>
    <w:rsid w:val="00BD217A"/>
    <w:rsid w:val="00BD688C"/>
    <w:rsid w:val="00BF196C"/>
    <w:rsid w:val="00C00364"/>
    <w:rsid w:val="00C00A8E"/>
    <w:rsid w:val="00C07594"/>
    <w:rsid w:val="00C07A9E"/>
    <w:rsid w:val="00C242B6"/>
    <w:rsid w:val="00C27AF9"/>
    <w:rsid w:val="00C31E7D"/>
    <w:rsid w:val="00C3291B"/>
    <w:rsid w:val="00C406ED"/>
    <w:rsid w:val="00C44DE9"/>
    <w:rsid w:val="00C53AD0"/>
    <w:rsid w:val="00C5583C"/>
    <w:rsid w:val="00C56AD8"/>
    <w:rsid w:val="00C63FC7"/>
    <w:rsid w:val="00C65AD4"/>
    <w:rsid w:val="00C750AA"/>
    <w:rsid w:val="00C84D13"/>
    <w:rsid w:val="00C903DE"/>
    <w:rsid w:val="00C93126"/>
    <w:rsid w:val="00C94388"/>
    <w:rsid w:val="00CA30A6"/>
    <w:rsid w:val="00CA59C0"/>
    <w:rsid w:val="00CA7A60"/>
    <w:rsid w:val="00CB31B0"/>
    <w:rsid w:val="00CB6776"/>
    <w:rsid w:val="00CC0B07"/>
    <w:rsid w:val="00CE04CC"/>
    <w:rsid w:val="00CE7E8B"/>
    <w:rsid w:val="00CF14BD"/>
    <w:rsid w:val="00CF5499"/>
    <w:rsid w:val="00D1431D"/>
    <w:rsid w:val="00D145F2"/>
    <w:rsid w:val="00D14B43"/>
    <w:rsid w:val="00D3071D"/>
    <w:rsid w:val="00D34E8D"/>
    <w:rsid w:val="00D46149"/>
    <w:rsid w:val="00D53187"/>
    <w:rsid w:val="00D544FA"/>
    <w:rsid w:val="00D602C1"/>
    <w:rsid w:val="00D65840"/>
    <w:rsid w:val="00D67379"/>
    <w:rsid w:val="00D74666"/>
    <w:rsid w:val="00D76D68"/>
    <w:rsid w:val="00D81E23"/>
    <w:rsid w:val="00D86459"/>
    <w:rsid w:val="00D90E0C"/>
    <w:rsid w:val="00D92529"/>
    <w:rsid w:val="00D962ED"/>
    <w:rsid w:val="00D96584"/>
    <w:rsid w:val="00D97AC9"/>
    <w:rsid w:val="00DA4BAA"/>
    <w:rsid w:val="00DB392B"/>
    <w:rsid w:val="00DC24DA"/>
    <w:rsid w:val="00DC25B2"/>
    <w:rsid w:val="00DC4F3C"/>
    <w:rsid w:val="00DC5519"/>
    <w:rsid w:val="00DF7E0E"/>
    <w:rsid w:val="00E04F13"/>
    <w:rsid w:val="00E1021B"/>
    <w:rsid w:val="00E1169D"/>
    <w:rsid w:val="00E25C04"/>
    <w:rsid w:val="00E342AE"/>
    <w:rsid w:val="00E36A1B"/>
    <w:rsid w:val="00E43197"/>
    <w:rsid w:val="00E456FF"/>
    <w:rsid w:val="00E478FE"/>
    <w:rsid w:val="00E555E7"/>
    <w:rsid w:val="00E603CC"/>
    <w:rsid w:val="00E62695"/>
    <w:rsid w:val="00E6461F"/>
    <w:rsid w:val="00E651FF"/>
    <w:rsid w:val="00E73B6E"/>
    <w:rsid w:val="00E90142"/>
    <w:rsid w:val="00E90477"/>
    <w:rsid w:val="00E94494"/>
    <w:rsid w:val="00EA19B1"/>
    <w:rsid w:val="00EA43C2"/>
    <w:rsid w:val="00EA441A"/>
    <w:rsid w:val="00EA7694"/>
    <w:rsid w:val="00EB0545"/>
    <w:rsid w:val="00EB16AA"/>
    <w:rsid w:val="00EC14D1"/>
    <w:rsid w:val="00EC33B3"/>
    <w:rsid w:val="00EC5657"/>
    <w:rsid w:val="00EC6F18"/>
    <w:rsid w:val="00EC7F10"/>
    <w:rsid w:val="00ED0F23"/>
    <w:rsid w:val="00ED5162"/>
    <w:rsid w:val="00EE26A2"/>
    <w:rsid w:val="00EE770C"/>
    <w:rsid w:val="00EF258D"/>
    <w:rsid w:val="00F04334"/>
    <w:rsid w:val="00F0572A"/>
    <w:rsid w:val="00F12337"/>
    <w:rsid w:val="00F14001"/>
    <w:rsid w:val="00F14B7D"/>
    <w:rsid w:val="00F16AAC"/>
    <w:rsid w:val="00F16D93"/>
    <w:rsid w:val="00F23BB8"/>
    <w:rsid w:val="00F2734A"/>
    <w:rsid w:val="00F27951"/>
    <w:rsid w:val="00F416E7"/>
    <w:rsid w:val="00F42B56"/>
    <w:rsid w:val="00F43C28"/>
    <w:rsid w:val="00F5229D"/>
    <w:rsid w:val="00F535D1"/>
    <w:rsid w:val="00F540EF"/>
    <w:rsid w:val="00F62C80"/>
    <w:rsid w:val="00F64617"/>
    <w:rsid w:val="00F749DB"/>
    <w:rsid w:val="00F77E25"/>
    <w:rsid w:val="00F801B9"/>
    <w:rsid w:val="00F811D6"/>
    <w:rsid w:val="00F844B6"/>
    <w:rsid w:val="00F85B78"/>
    <w:rsid w:val="00F900BC"/>
    <w:rsid w:val="00F9316C"/>
    <w:rsid w:val="00F94A5A"/>
    <w:rsid w:val="00F94B09"/>
    <w:rsid w:val="00F95368"/>
    <w:rsid w:val="00F961BA"/>
    <w:rsid w:val="00FA01B9"/>
    <w:rsid w:val="00FA08B2"/>
    <w:rsid w:val="00FB0A38"/>
    <w:rsid w:val="00FB16E8"/>
    <w:rsid w:val="00FB47BE"/>
    <w:rsid w:val="00FB7CF0"/>
    <w:rsid w:val="00FC1833"/>
    <w:rsid w:val="00FD34BC"/>
    <w:rsid w:val="00FD3805"/>
    <w:rsid w:val="00FD6ABD"/>
    <w:rsid w:val="00FE0D5E"/>
    <w:rsid w:val="00FE53E0"/>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F861EF6C-7479-4F48-B61A-4B445A00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2">
    <w:name w:val="tv2132"/>
    <w:basedOn w:val="Normal"/>
    <w:rsid w:val="00BD217A"/>
    <w:pPr>
      <w:spacing w:line="360" w:lineRule="auto"/>
      <w:ind w:firstLine="300"/>
    </w:pPr>
    <w:rPr>
      <w:color w:val="414142"/>
      <w:sz w:val="20"/>
      <w:szCs w:val="20"/>
    </w:rPr>
  </w:style>
  <w:style w:type="paragraph" w:customStyle="1" w:styleId="Default">
    <w:name w:val="Default"/>
    <w:rsid w:val="00D67379"/>
    <w:pPr>
      <w:autoSpaceDE w:val="0"/>
      <w:autoSpaceDN w:val="0"/>
      <w:adjustRightInd w:val="0"/>
    </w:pPr>
    <w:rPr>
      <w:rFonts w:ascii="Times New Roman" w:eastAsiaTheme="minorHAnsi" w:hAnsi="Times New Roman"/>
      <w:color w:val="000000"/>
      <w:sz w:val="24"/>
      <w:szCs w:val="24"/>
      <w:lang w:eastAsia="en-US"/>
    </w:rPr>
  </w:style>
  <w:style w:type="paragraph" w:styleId="BodyTextIndent">
    <w:name w:val="Body Text Indent"/>
    <w:basedOn w:val="Normal"/>
    <w:link w:val="BodyTextIndentChar"/>
    <w:rsid w:val="00A85710"/>
    <w:pPr>
      <w:ind w:left="142" w:firstLine="578"/>
      <w:jc w:val="both"/>
    </w:pPr>
    <w:rPr>
      <w:sz w:val="28"/>
      <w:szCs w:val="20"/>
      <w:lang w:eastAsia="en-US"/>
    </w:rPr>
  </w:style>
  <w:style w:type="character" w:customStyle="1" w:styleId="BodyTextIndentChar">
    <w:name w:val="Body Text Indent Char"/>
    <w:basedOn w:val="DefaultParagraphFont"/>
    <w:link w:val="BodyTextIndent"/>
    <w:rsid w:val="00A85710"/>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89196452">
      <w:bodyDiv w:val="1"/>
      <w:marLeft w:val="0"/>
      <w:marRight w:val="0"/>
      <w:marTop w:val="0"/>
      <w:marBottom w:val="0"/>
      <w:divBdr>
        <w:top w:val="none" w:sz="0" w:space="0" w:color="auto"/>
        <w:left w:val="none" w:sz="0" w:space="0" w:color="auto"/>
        <w:bottom w:val="none" w:sz="0" w:space="0" w:color="auto"/>
        <w:right w:val="none" w:sz="0" w:space="0" w:color="auto"/>
      </w:divBdr>
      <w:divsChild>
        <w:div w:id="1683126862">
          <w:marLeft w:val="0"/>
          <w:marRight w:val="0"/>
          <w:marTop w:val="0"/>
          <w:marBottom w:val="0"/>
          <w:divBdr>
            <w:top w:val="none" w:sz="0" w:space="0" w:color="auto"/>
            <w:left w:val="none" w:sz="0" w:space="0" w:color="auto"/>
            <w:bottom w:val="none" w:sz="0" w:space="0" w:color="auto"/>
            <w:right w:val="none" w:sz="0" w:space="0" w:color="auto"/>
          </w:divBdr>
          <w:divsChild>
            <w:div w:id="1439712310">
              <w:marLeft w:val="0"/>
              <w:marRight w:val="0"/>
              <w:marTop w:val="0"/>
              <w:marBottom w:val="0"/>
              <w:divBdr>
                <w:top w:val="none" w:sz="0" w:space="0" w:color="auto"/>
                <w:left w:val="none" w:sz="0" w:space="0" w:color="auto"/>
                <w:bottom w:val="none" w:sz="0" w:space="0" w:color="auto"/>
                <w:right w:val="none" w:sz="0" w:space="0" w:color="auto"/>
              </w:divBdr>
              <w:divsChild>
                <w:div w:id="1860660828">
                  <w:marLeft w:val="0"/>
                  <w:marRight w:val="0"/>
                  <w:marTop w:val="0"/>
                  <w:marBottom w:val="0"/>
                  <w:divBdr>
                    <w:top w:val="none" w:sz="0" w:space="0" w:color="auto"/>
                    <w:left w:val="none" w:sz="0" w:space="0" w:color="auto"/>
                    <w:bottom w:val="none" w:sz="0" w:space="0" w:color="auto"/>
                    <w:right w:val="none" w:sz="0" w:space="0" w:color="auto"/>
                  </w:divBdr>
                  <w:divsChild>
                    <w:div w:id="1141532342">
                      <w:marLeft w:val="0"/>
                      <w:marRight w:val="0"/>
                      <w:marTop w:val="0"/>
                      <w:marBottom w:val="0"/>
                      <w:divBdr>
                        <w:top w:val="none" w:sz="0" w:space="0" w:color="auto"/>
                        <w:left w:val="none" w:sz="0" w:space="0" w:color="auto"/>
                        <w:bottom w:val="none" w:sz="0" w:space="0" w:color="auto"/>
                        <w:right w:val="none" w:sz="0" w:space="0" w:color="auto"/>
                      </w:divBdr>
                      <w:divsChild>
                        <w:div w:id="85466633">
                          <w:marLeft w:val="0"/>
                          <w:marRight w:val="0"/>
                          <w:marTop w:val="0"/>
                          <w:marBottom w:val="0"/>
                          <w:divBdr>
                            <w:top w:val="none" w:sz="0" w:space="0" w:color="auto"/>
                            <w:left w:val="none" w:sz="0" w:space="0" w:color="auto"/>
                            <w:bottom w:val="none" w:sz="0" w:space="0" w:color="auto"/>
                            <w:right w:val="none" w:sz="0" w:space="0" w:color="auto"/>
                          </w:divBdr>
                          <w:divsChild>
                            <w:div w:id="1439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 Bērziņa (JD)</Vad_x012b_t_x0101_js>
    <Kategorija xmlns="2e5bb04e-596e-45bd-9003-43ca78b1ba16">MK noteikumu projekts</Kategorija>
    <TAP xmlns="49b0bb89-35b3-4114-9b1c-a376ef2ba045">72</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5EDF-E168-445A-9AC5-6853E9E3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3E45D-ABF8-4B78-8FC1-B8BE39DB17F6}">
  <ds:schemaRefs>
    <ds:schemaRef ds:uri="http://schemas.microsoft.com/sharepoint/v3/contenttype/forms"/>
  </ds:schemaRefs>
</ds:datastoreItem>
</file>

<file path=customXml/itemProps3.xml><?xml version="1.0" encoding="utf-8"?>
<ds:datastoreItem xmlns:ds="http://schemas.openxmlformats.org/officeDocument/2006/customXml" ds:itemID="{2876D2FF-31F0-4688-B03B-068739A8C12C}">
  <ds:schemaRefs>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s>
</ds:datastoreItem>
</file>

<file path=customXml/itemProps4.xml><?xml version="1.0" encoding="utf-8"?>
<ds:datastoreItem xmlns:ds="http://schemas.openxmlformats.org/officeDocument/2006/customXml" ds:itemID="{C99D5DE7-E17B-41E2-9FEE-FE6AFD9D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1106</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22.decembra noteikumos Nr.806  Kārtība, kādā valsts kapitālsabiedrības un publiski privātās kapitālsabiedrības, kurās valsts ir dalībnieks (akcionārs), prognozē un nosaka dividendēs izmaksājamo peļņas daļu un veic mak</vt:lpstr>
    </vt:vector>
  </TitlesOfParts>
  <Company>Finanšu ministrija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dc:title>
  <dc:subject>Noteikumu projekts</dc:subject>
  <dc:creator>Sarmite Ozola</dc:creator>
  <dc:description>Sarmīte Ozola, Pārresoru koordinācijas centra Kapitālsabiedrību pārvaldības nodaļas konsultante. E-pasts Sarmite.Ozola@pkc.mk.gov.lv, tālr.: 67082815</dc:description>
  <cp:lastModifiedBy>Leontine Babkina</cp:lastModifiedBy>
  <cp:revision>10</cp:revision>
  <cp:lastPrinted>2019-12-17T10:12:00Z</cp:lastPrinted>
  <dcterms:created xsi:type="dcterms:W3CDTF">2019-12-11T14:28:00Z</dcterms:created>
  <dcterms:modified xsi:type="dcterms:W3CDTF">2020-01-08T08:05:00Z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