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EF7" w:rsidRDefault="004D337E" w:rsidP="004D337E">
      <w:pPr>
        <w:spacing w:after="0" w:line="240" w:lineRule="auto"/>
        <w:jc w:val="center"/>
        <w:rPr>
          <w:rFonts w:ascii="Times New Roman" w:eastAsia="Times New Roman" w:hAnsi="Times New Roman" w:cs="Times New Roman"/>
          <w:sz w:val="24"/>
          <w:szCs w:val="24"/>
          <w:lang w:eastAsia="lv-LV"/>
        </w:rPr>
      </w:pPr>
      <w:bookmarkStart w:id="0" w:name="_GoBack"/>
      <w:bookmarkEnd w:id="0"/>
      <w:r w:rsidRPr="004D337E">
        <w:rPr>
          <w:rFonts w:ascii="Times New Roman" w:eastAsia="Times New Roman" w:hAnsi="Times New Roman" w:cs="Times New Roman"/>
          <w:sz w:val="24"/>
          <w:szCs w:val="24"/>
          <w:lang w:eastAsia="lv-LV"/>
        </w:rPr>
        <w:t>Izziņa par atzinumos sniegtajiem iebildumiem</w:t>
      </w:r>
      <w:r w:rsidR="00242EF7">
        <w:rPr>
          <w:rFonts w:ascii="Times New Roman" w:eastAsia="Times New Roman" w:hAnsi="Times New Roman" w:cs="Times New Roman"/>
          <w:sz w:val="24"/>
          <w:szCs w:val="24"/>
          <w:lang w:eastAsia="lv-LV"/>
        </w:rPr>
        <w:t xml:space="preserve"> </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4570"/>
      </w:tblGrid>
      <w:tr w:rsidR="004D337E" w:rsidRPr="004D337E" w:rsidTr="004D337E">
        <w:trPr>
          <w:trHeight w:val="150"/>
          <w:tblCellSpacing w:w="15" w:type="dxa"/>
        </w:trPr>
        <w:tc>
          <w:tcPr>
            <w:tcW w:w="0" w:type="auto"/>
            <w:tcBorders>
              <w:bottom w:val="single" w:sz="6" w:space="0" w:color="auto"/>
            </w:tcBorders>
            <w:hideMark/>
          </w:tcPr>
          <w:p w:rsidR="00242EF7" w:rsidRDefault="00242EF7" w:rsidP="00242EF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par Ministru kabineta noteikumu projektu </w:t>
            </w:r>
          </w:p>
          <w:p w:rsidR="004D337E" w:rsidRPr="004D337E" w:rsidRDefault="00242EF7" w:rsidP="00242EF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“Grozījumi</w:t>
            </w:r>
            <w:r w:rsidR="004D337E">
              <w:rPr>
                <w:rFonts w:ascii="Times New Roman" w:eastAsia="Times New Roman" w:hAnsi="Times New Roman" w:cs="Times New Roman"/>
                <w:sz w:val="24"/>
                <w:szCs w:val="24"/>
                <w:lang w:eastAsia="lv-LV"/>
              </w:rPr>
              <w:t xml:space="preserve"> Ministru kabineta 201</w:t>
            </w:r>
            <w:r w:rsidR="00CE46D4">
              <w:rPr>
                <w:rFonts w:ascii="Times New Roman" w:eastAsia="Times New Roman" w:hAnsi="Times New Roman" w:cs="Times New Roman"/>
                <w:sz w:val="24"/>
                <w:szCs w:val="24"/>
                <w:lang w:eastAsia="lv-LV"/>
              </w:rPr>
              <w:t>8. gada 14. augusta noteikumos Nr. 502</w:t>
            </w:r>
            <w:r w:rsidR="004D337E">
              <w:rPr>
                <w:rFonts w:ascii="Times New Roman" w:eastAsia="Times New Roman" w:hAnsi="Times New Roman" w:cs="Times New Roman"/>
                <w:sz w:val="24"/>
                <w:szCs w:val="24"/>
                <w:lang w:eastAsia="lv-LV"/>
              </w:rPr>
              <w:t xml:space="preserve"> “</w:t>
            </w:r>
            <w:r w:rsidR="00CE46D4" w:rsidRPr="00CE46D4">
              <w:rPr>
                <w:rFonts w:ascii="Times New Roman" w:eastAsia="Times New Roman" w:hAnsi="Times New Roman" w:cs="Times New Roman"/>
                <w:sz w:val="24"/>
                <w:szCs w:val="24"/>
                <w:lang w:eastAsia="lv-LV"/>
              </w:rPr>
              <w:t>Kārtība, kādā Ziemeļatlantijas līguma organizācijas un Eiropas Savienības dalībvalstu bruņoto spēku militārpersonām, bruņotajos spēkos nodarbinātajām civilpersonām, šo militārpersonu vai civilpersonu apgādājamajiem un citām ar bruņotajiem spēkiem saistītām personām izsniedz apliecinājumu par tiesībām uzturēties Latvijas Republikā</w:t>
            </w:r>
            <w:r w:rsidR="004D337E">
              <w:rPr>
                <w:rFonts w:ascii="Times New Roman" w:eastAsia="Times New Roman" w:hAnsi="Times New Roman" w:cs="Times New Roman"/>
                <w:sz w:val="24"/>
                <w:szCs w:val="24"/>
                <w:lang w:eastAsia="lv-LV"/>
              </w:rPr>
              <w:t>”</w:t>
            </w:r>
          </w:p>
        </w:tc>
      </w:tr>
    </w:tbl>
    <w:p w:rsidR="004D337E" w:rsidRPr="004D337E" w:rsidRDefault="004D337E" w:rsidP="004D337E">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4D337E">
        <w:rPr>
          <w:rFonts w:ascii="Times New Roman" w:eastAsia="Times New Roman" w:hAnsi="Times New Roman" w:cs="Times New Roman"/>
          <w:b/>
          <w:bCs/>
          <w:sz w:val="24"/>
          <w:szCs w:val="24"/>
          <w:lang w:eastAsia="lv-LV"/>
        </w:rPr>
        <w:t>I. Jautājumi, par kuriem saskaņošanā vienošanās nav panākta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4"/>
        <w:gridCol w:w="3169"/>
        <w:gridCol w:w="3169"/>
        <w:gridCol w:w="3026"/>
        <w:gridCol w:w="2451"/>
        <w:gridCol w:w="1895"/>
      </w:tblGrid>
      <w:tr w:rsidR="004D337E" w:rsidRPr="004D337E" w:rsidTr="001F7E0F">
        <w:trPr>
          <w:tblCellSpacing w:w="15" w:type="dxa"/>
        </w:trPr>
        <w:tc>
          <w:tcPr>
            <w:tcW w:w="274" w:type="pct"/>
            <w:tcBorders>
              <w:top w:val="outset" w:sz="6" w:space="0" w:color="auto"/>
              <w:left w:val="outset" w:sz="6" w:space="0" w:color="auto"/>
              <w:bottom w:val="outset" w:sz="6" w:space="0" w:color="auto"/>
              <w:right w:val="outset" w:sz="6" w:space="0" w:color="auto"/>
            </w:tcBorders>
            <w:noWrap/>
            <w:vAlign w:val="center"/>
            <w:hideMark/>
          </w:tcPr>
          <w:p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Nr.p.k.</w:t>
            </w:r>
          </w:p>
        </w:tc>
        <w:tc>
          <w:tcPr>
            <w:tcW w:w="1078" w:type="pct"/>
            <w:tcBorders>
              <w:top w:val="outset" w:sz="6" w:space="0" w:color="auto"/>
              <w:left w:val="outset" w:sz="6" w:space="0" w:color="auto"/>
              <w:bottom w:val="outset" w:sz="6" w:space="0" w:color="auto"/>
              <w:right w:val="outset" w:sz="6" w:space="0" w:color="auto"/>
            </w:tcBorders>
            <w:vAlign w:val="center"/>
            <w:hideMark/>
          </w:tcPr>
          <w:p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Saskaņošanai nosūtītā projekta redakcija (konkrēta punkta (panta) redakcija)</w:t>
            </w:r>
          </w:p>
        </w:tc>
        <w:tc>
          <w:tcPr>
            <w:tcW w:w="1078" w:type="pct"/>
            <w:tcBorders>
              <w:top w:val="outset" w:sz="6" w:space="0" w:color="auto"/>
              <w:left w:val="outset" w:sz="6" w:space="0" w:color="auto"/>
              <w:bottom w:val="outset" w:sz="6" w:space="0" w:color="auto"/>
              <w:right w:val="outset" w:sz="6" w:space="0" w:color="auto"/>
            </w:tcBorders>
            <w:vAlign w:val="center"/>
            <w:hideMark/>
          </w:tcPr>
          <w:p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1029" w:type="pct"/>
            <w:tcBorders>
              <w:top w:val="outset" w:sz="6" w:space="0" w:color="auto"/>
              <w:left w:val="outset" w:sz="6" w:space="0" w:color="auto"/>
              <w:bottom w:val="outset" w:sz="6" w:space="0" w:color="auto"/>
              <w:right w:val="outset" w:sz="6" w:space="0" w:color="auto"/>
            </w:tcBorders>
            <w:vAlign w:val="center"/>
            <w:hideMark/>
          </w:tcPr>
          <w:p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Atbildīgās ministrijas pamatojums iebilduma noraidījumam</w:t>
            </w:r>
          </w:p>
        </w:tc>
        <w:tc>
          <w:tcPr>
            <w:tcW w:w="832" w:type="pct"/>
            <w:tcBorders>
              <w:top w:val="outset" w:sz="6" w:space="0" w:color="auto"/>
              <w:left w:val="outset" w:sz="6" w:space="0" w:color="auto"/>
              <w:bottom w:val="outset" w:sz="6" w:space="0" w:color="auto"/>
              <w:right w:val="outset" w:sz="6" w:space="0" w:color="auto"/>
            </w:tcBorders>
            <w:vAlign w:val="center"/>
            <w:hideMark/>
          </w:tcPr>
          <w:p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Atzinuma sniedzēja uzturētais iebildums, ja tas atšķiras no atzinumā norādītā iebilduma pamatojuma</w:t>
            </w:r>
          </w:p>
        </w:tc>
        <w:tc>
          <w:tcPr>
            <w:tcW w:w="635" w:type="pct"/>
            <w:tcBorders>
              <w:top w:val="outset" w:sz="6" w:space="0" w:color="auto"/>
              <w:left w:val="outset" w:sz="6" w:space="0" w:color="auto"/>
              <w:bottom w:val="outset" w:sz="6" w:space="0" w:color="auto"/>
              <w:right w:val="outset" w:sz="6" w:space="0" w:color="auto"/>
            </w:tcBorders>
            <w:vAlign w:val="center"/>
            <w:hideMark/>
          </w:tcPr>
          <w:p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Projekta attiecīgā punkta (panta) galīgā redakcija</w:t>
            </w:r>
          </w:p>
        </w:tc>
      </w:tr>
      <w:tr w:rsidR="004D337E" w:rsidRPr="004D337E" w:rsidTr="001F7E0F">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1</w:t>
            </w:r>
          </w:p>
        </w:tc>
        <w:tc>
          <w:tcPr>
            <w:tcW w:w="1078" w:type="pct"/>
            <w:tcBorders>
              <w:top w:val="outset" w:sz="6" w:space="0" w:color="auto"/>
              <w:left w:val="outset" w:sz="6" w:space="0" w:color="auto"/>
              <w:bottom w:val="outset" w:sz="6" w:space="0" w:color="auto"/>
              <w:right w:val="outset" w:sz="6" w:space="0" w:color="auto"/>
            </w:tcBorders>
            <w:hideMark/>
          </w:tcPr>
          <w:p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2</w:t>
            </w:r>
          </w:p>
        </w:tc>
        <w:tc>
          <w:tcPr>
            <w:tcW w:w="1078" w:type="pct"/>
            <w:tcBorders>
              <w:top w:val="outset" w:sz="6" w:space="0" w:color="auto"/>
              <w:left w:val="outset" w:sz="6" w:space="0" w:color="auto"/>
              <w:bottom w:val="outset" w:sz="6" w:space="0" w:color="auto"/>
              <w:right w:val="outset" w:sz="6" w:space="0" w:color="auto"/>
            </w:tcBorders>
            <w:hideMark/>
          </w:tcPr>
          <w:p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3</w:t>
            </w:r>
          </w:p>
        </w:tc>
        <w:tc>
          <w:tcPr>
            <w:tcW w:w="1029" w:type="pct"/>
            <w:tcBorders>
              <w:top w:val="outset" w:sz="6" w:space="0" w:color="auto"/>
              <w:left w:val="outset" w:sz="6" w:space="0" w:color="auto"/>
              <w:bottom w:val="outset" w:sz="6" w:space="0" w:color="auto"/>
              <w:right w:val="outset" w:sz="6" w:space="0" w:color="auto"/>
            </w:tcBorders>
            <w:hideMark/>
          </w:tcPr>
          <w:p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4</w:t>
            </w:r>
          </w:p>
        </w:tc>
        <w:tc>
          <w:tcPr>
            <w:tcW w:w="832" w:type="pct"/>
            <w:tcBorders>
              <w:top w:val="outset" w:sz="6" w:space="0" w:color="auto"/>
              <w:left w:val="outset" w:sz="6" w:space="0" w:color="auto"/>
              <w:bottom w:val="outset" w:sz="6" w:space="0" w:color="auto"/>
              <w:right w:val="outset" w:sz="6" w:space="0" w:color="auto"/>
            </w:tcBorders>
            <w:hideMark/>
          </w:tcPr>
          <w:p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5</w:t>
            </w:r>
          </w:p>
        </w:tc>
        <w:tc>
          <w:tcPr>
            <w:tcW w:w="635" w:type="pct"/>
            <w:tcBorders>
              <w:top w:val="outset" w:sz="6" w:space="0" w:color="auto"/>
              <w:left w:val="outset" w:sz="6" w:space="0" w:color="auto"/>
              <w:bottom w:val="outset" w:sz="6" w:space="0" w:color="auto"/>
              <w:right w:val="outset" w:sz="6" w:space="0" w:color="auto"/>
            </w:tcBorders>
            <w:hideMark/>
          </w:tcPr>
          <w:p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6</w:t>
            </w:r>
          </w:p>
        </w:tc>
      </w:tr>
      <w:tr w:rsidR="004D337E" w:rsidRPr="004D337E" w:rsidTr="001F7E0F">
        <w:trPr>
          <w:trHeight w:val="300"/>
          <w:tblCellSpacing w:w="15" w:type="dxa"/>
        </w:trPr>
        <w:tc>
          <w:tcPr>
            <w:tcW w:w="274" w:type="pct"/>
            <w:tcBorders>
              <w:top w:val="outset" w:sz="6" w:space="0" w:color="auto"/>
              <w:left w:val="outset" w:sz="6" w:space="0" w:color="auto"/>
              <w:bottom w:val="outset" w:sz="6" w:space="0" w:color="auto"/>
              <w:right w:val="outset" w:sz="6" w:space="0" w:color="auto"/>
            </w:tcBorders>
            <w:hideMark/>
          </w:tcPr>
          <w:p w:rsidR="004D337E" w:rsidRPr="004D337E" w:rsidRDefault="004D337E" w:rsidP="004D337E">
            <w:pPr>
              <w:spacing w:after="0"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 </w:t>
            </w:r>
          </w:p>
        </w:tc>
        <w:tc>
          <w:tcPr>
            <w:tcW w:w="1078" w:type="pct"/>
            <w:tcBorders>
              <w:top w:val="outset" w:sz="6" w:space="0" w:color="auto"/>
              <w:left w:val="outset" w:sz="6" w:space="0" w:color="auto"/>
              <w:bottom w:val="outset" w:sz="6" w:space="0" w:color="auto"/>
              <w:right w:val="outset" w:sz="6" w:space="0" w:color="auto"/>
            </w:tcBorders>
            <w:hideMark/>
          </w:tcPr>
          <w:p w:rsidR="004D337E" w:rsidRPr="004D337E" w:rsidRDefault="004D337E" w:rsidP="004D337E">
            <w:pPr>
              <w:spacing w:after="0"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 </w:t>
            </w:r>
          </w:p>
        </w:tc>
        <w:tc>
          <w:tcPr>
            <w:tcW w:w="1078" w:type="pct"/>
            <w:tcBorders>
              <w:top w:val="outset" w:sz="6" w:space="0" w:color="auto"/>
              <w:left w:val="outset" w:sz="6" w:space="0" w:color="auto"/>
              <w:bottom w:val="outset" w:sz="6" w:space="0" w:color="auto"/>
              <w:right w:val="outset" w:sz="6" w:space="0" w:color="auto"/>
            </w:tcBorders>
            <w:hideMark/>
          </w:tcPr>
          <w:p w:rsidR="004D337E" w:rsidRPr="004D337E" w:rsidRDefault="004D337E" w:rsidP="004D337E">
            <w:pPr>
              <w:spacing w:after="0"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 </w:t>
            </w:r>
          </w:p>
        </w:tc>
        <w:tc>
          <w:tcPr>
            <w:tcW w:w="1029" w:type="pct"/>
            <w:tcBorders>
              <w:top w:val="outset" w:sz="6" w:space="0" w:color="auto"/>
              <w:left w:val="outset" w:sz="6" w:space="0" w:color="auto"/>
              <w:bottom w:val="outset" w:sz="6" w:space="0" w:color="auto"/>
              <w:right w:val="outset" w:sz="6" w:space="0" w:color="auto"/>
            </w:tcBorders>
            <w:hideMark/>
          </w:tcPr>
          <w:p w:rsidR="004D337E" w:rsidRPr="004D337E" w:rsidRDefault="004D337E" w:rsidP="004D337E">
            <w:pPr>
              <w:spacing w:after="0"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 </w:t>
            </w:r>
          </w:p>
        </w:tc>
        <w:tc>
          <w:tcPr>
            <w:tcW w:w="832" w:type="pct"/>
            <w:tcBorders>
              <w:top w:val="outset" w:sz="6" w:space="0" w:color="auto"/>
              <w:left w:val="outset" w:sz="6" w:space="0" w:color="auto"/>
              <w:bottom w:val="outset" w:sz="6" w:space="0" w:color="auto"/>
              <w:right w:val="outset" w:sz="6" w:space="0" w:color="auto"/>
            </w:tcBorders>
            <w:hideMark/>
          </w:tcPr>
          <w:p w:rsidR="004D337E" w:rsidRPr="004D337E" w:rsidRDefault="004D337E" w:rsidP="004D337E">
            <w:pPr>
              <w:spacing w:after="0"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 </w:t>
            </w:r>
          </w:p>
        </w:tc>
        <w:tc>
          <w:tcPr>
            <w:tcW w:w="635" w:type="pct"/>
            <w:tcBorders>
              <w:top w:val="outset" w:sz="6" w:space="0" w:color="auto"/>
              <w:left w:val="outset" w:sz="6" w:space="0" w:color="auto"/>
              <w:bottom w:val="outset" w:sz="6" w:space="0" w:color="auto"/>
              <w:right w:val="outset" w:sz="6" w:space="0" w:color="auto"/>
            </w:tcBorders>
            <w:hideMark/>
          </w:tcPr>
          <w:p w:rsidR="004D337E" w:rsidRPr="004D337E" w:rsidRDefault="004D337E" w:rsidP="004D337E">
            <w:pPr>
              <w:spacing w:after="0"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 </w:t>
            </w:r>
          </w:p>
        </w:tc>
      </w:tr>
    </w:tbl>
    <w:p w:rsidR="004D337E" w:rsidRPr="004D337E" w:rsidRDefault="004D337E" w:rsidP="004D337E">
      <w:pPr>
        <w:spacing w:before="100" w:beforeAutospacing="1" w:after="100" w:afterAutospacing="1" w:line="240" w:lineRule="auto"/>
        <w:rPr>
          <w:rFonts w:ascii="Times New Roman" w:eastAsia="Times New Roman" w:hAnsi="Times New Roman" w:cs="Times New Roman"/>
          <w:b/>
          <w:bCs/>
          <w:sz w:val="24"/>
          <w:szCs w:val="24"/>
          <w:lang w:eastAsia="lv-LV"/>
        </w:rPr>
      </w:pPr>
      <w:r w:rsidRPr="004D337E">
        <w:rPr>
          <w:rFonts w:ascii="Times New Roman" w:eastAsia="Times New Roman" w:hAnsi="Times New Roman" w:cs="Times New Roman"/>
          <w:b/>
          <w:bCs/>
          <w:sz w:val="24"/>
          <w:szCs w:val="24"/>
          <w:lang w:eastAsia="lv-LV"/>
        </w:rPr>
        <w:t>Informācija par starpministriju (starpinstitūciju) sanāksmi vai elektronisko saskaņošanu</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288"/>
        <w:gridCol w:w="96"/>
        <w:gridCol w:w="9186"/>
      </w:tblGrid>
      <w:tr w:rsidR="004D337E" w:rsidRPr="004D337E" w:rsidTr="00385DCC">
        <w:trPr>
          <w:tblCellSpacing w:w="15" w:type="dxa"/>
        </w:trPr>
        <w:tc>
          <w:tcPr>
            <w:tcW w:w="1803" w:type="pct"/>
            <w:noWrap/>
            <w:vAlign w:val="bottom"/>
            <w:hideMark/>
          </w:tcPr>
          <w:p w:rsidR="004D337E" w:rsidRPr="004D337E" w:rsidRDefault="004D337E" w:rsidP="004D337E">
            <w:pPr>
              <w:spacing w:after="0"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Datums</w:t>
            </w:r>
          </w:p>
        </w:tc>
        <w:tc>
          <w:tcPr>
            <w:tcW w:w="3166" w:type="pct"/>
            <w:gridSpan w:val="2"/>
            <w:tcBorders>
              <w:bottom w:val="single" w:sz="6" w:space="0" w:color="auto"/>
            </w:tcBorders>
            <w:hideMark/>
          </w:tcPr>
          <w:p w:rsidR="004D337E" w:rsidRPr="004D337E" w:rsidRDefault="004D337E" w:rsidP="004D337E">
            <w:pPr>
              <w:spacing w:after="0"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 </w:t>
            </w:r>
          </w:p>
        </w:tc>
      </w:tr>
      <w:tr w:rsidR="004D337E" w:rsidRPr="004D337E" w:rsidTr="00385DCC">
        <w:trPr>
          <w:tblCellSpacing w:w="15" w:type="dxa"/>
        </w:trPr>
        <w:tc>
          <w:tcPr>
            <w:tcW w:w="1803" w:type="pct"/>
            <w:noWrap/>
            <w:vAlign w:val="bottom"/>
            <w:hideMark/>
          </w:tcPr>
          <w:p w:rsidR="004D337E" w:rsidRPr="004D337E" w:rsidRDefault="004D337E" w:rsidP="004D337E">
            <w:pPr>
              <w:spacing w:after="0"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Saskaņošanas dalībnieki</w:t>
            </w:r>
          </w:p>
        </w:tc>
        <w:tc>
          <w:tcPr>
            <w:tcW w:w="3166" w:type="pct"/>
            <w:gridSpan w:val="2"/>
            <w:tcBorders>
              <w:bottom w:val="single" w:sz="6" w:space="0" w:color="auto"/>
            </w:tcBorders>
            <w:hideMark/>
          </w:tcPr>
          <w:p w:rsidR="004D337E" w:rsidRPr="004D337E" w:rsidRDefault="004D337E" w:rsidP="004D337E">
            <w:pPr>
              <w:spacing w:after="0"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 </w:t>
            </w:r>
          </w:p>
        </w:tc>
      </w:tr>
      <w:tr w:rsidR="004D337E" w:rsidRPr="004D337E" w:rsidTr="00385DCC">
        <w:trPr>
          <w:trHeight w:val="300"/>
          <w:tblCellSpacing w:w="15" w:type="dxa"/>
        </w:trPr>
        <w:tc>
          <w:tcPr>
            <w:tcW w:w="1826" w:type="pct"/>
            <w:gridSpan w:val="2"/>
            <w:vAlign w:val="bottom"/>
            <w:hideMark/>
          </w:tcPr>
          <w:p w:rsidR="004D337E" w:rsidRPr="004D337E" w:rsidRDefault="004D337E" w:rsidP="004D337E">
            <w:pPr>
              <w:spacing w:after="0"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Saskaņošanas dalībnieki izskatīja šādu ministriju (citu institūciju) iebildumus</w:t>
            </w:r>
          </w:p>
        </w:tc>
        <w:tc>
          <w:tcPr>
            <w:tcW w:w="3143" w:type="pct"/>
            <w:tcBorders>
              <w:bottom w:val="single" w:sz="6" w:space="0" w:color="auto"/>
            </w:tcBorders>
            <w:hideMark/>
          </w:tcPr>
          <w:p w:rsidR="004D337E" w:rsidRPr="004D337E" w:rsidRDefault="004D337E" w:rsidP="004D337E">
            <w:pPr>
              <w:spacing w:after="0"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Tieslietu ministrijas iebildumi</w:t>
            </w:r>
          </w:p>
        </w:tc>
      </w:tr>
      <w:tr w:rsidR="004D337E" w:rsidRPr="004D337E" w:rsidTr="00385DCC">
        <w:trPr>
          <w:trHeight w:val="300"/>
          <w:tblCellSpacing w:w="15" w:type="dxa"/>
        </w:trPr>
        <w:tc>
          <w:tcPr>
            <w:tcW w:w="1826" w:type="pct"/>
            <w:gridSpan w:val="2"/>
            <w:vAlign w:val="bottom"/>
            <w:hideMark/>
          </w:tcPr>
          <w:p w:rsidR="004D337E" w:rsidRPr="004D337E" w:rsidRDefault="004D337E" w:rsidP="004D337E">
            <w:pPr>
              <w:spacing w:after="0"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tc>
        <w:tc>
          <w:tcPr>
            <w:tcW w:w="3143" w:type="pct"/>
            <w:tcBorders>
              <w:bottom w:val="single" w:sz="6" w:space="0" w:color="auto"/>
            </w:tcBorders>
            <w:hideMark/>
          </w:tcPr>
          <w:p w:rsidR="004D337E" w:rsidRPr="004D337E" w:rsidRDefault="004D337E" w:rsidP="004D337E">
            <w:pPr>
              <w:spacing w:after="0"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 </w:t>
            </w:r>
          </w:p>
        </w:tc>
      </w:tr>
    </w:tbl>
    <w:p w:rsidR="00385DCC" w:rsidRDefault="00385DCC" w:rsidP="004D337E">
      <w:pPr>
        <w:spacing w:before="100" w:beforeAutospacing="1" w:after="100" w:afterAutospacing="1" w:line="240" w:lineRule="auto"/>
        <w:jc w:val="center"/>
        <w:rPr>
          <w:rFonts w:ascii="Times New Roman" w:eastAsia="Times New Roman" w:hAnsi="Times New Roman" w:cs="Times New Roman"/>
          <w:b/>
          <w:bCs/>
          <w:sz w:val="24"/>
          <w:szCs w:val="24"/>
          <w:lang w:eastAsia="lv-LV"/>
        </w:rPr>
      </w:pPr>
    </w:p>
    <w:p w:rsidR="004D337E" w:rsidRPr="004D337E" w:rsidRDefault="004D337E" w:rsidP="004D337E">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4D337E">
        <w:rPr>
          <w:rFonts w:ascii="Times New Roman" w:eastAsia="Times New Roman" w:hAnsi="Times New Roman" w:cs="Times New Roman"/>
          <w:b/>
          <w:bCs/>
          <w:sz w:val="24"/>
          <w:szCs w:val="24"/>
          <w:lang w:eastAsia="lv-LV"/>
        </w:rPr>
        <w:t>II. Jautājumi, par kuriem saskaņošanā vienošanās ir panākta</w:t>
      </w:r>
    </w:p>
    <w:tbl>
      <w:tblPr>
        <w:tblW w:w="4821"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6"/>
        <w:gridCol w:w="794"/>
        <w:gridCol w:w="2643"/>
        <w:gridCol w:w="3921"/>
        <w:gridCol w:w="3196"/>
        <w:gridCol w:w="1447"/>
        <w:gridCol w:w="1716"/>
      </w:tblGrid>
      <w:tr w:rsidR="00385DCC" w:rsidRPr="004D337E" w:rsidTr="00B00C39">
        <w:trPr>
          <w:gridBefore w:val="1"/>
          <w:wBefore w:w="98" w:type="pct"/>
          <w:tblCellSpacing w:w="15" w:type="dxa"/>
        </w:trPr>
        <w:tc>
          <w:tcPr>
            <w:tcW w:w="272" w:type="pct"/>
            <w:tcBorders>
              <w:top w:val="outset" w:sz="6" w:space="0" w:color="auto"/>
              <w:left w:val="outset" w:sz="6" w:space="0" w:color="auto"/>
              <w:bottom w:val="outset" w:sz="6" w:space="0" w:color="auto"/>
              <w:right w:val="outset" w:sz="6" w:space="0" w:color="auto"/>
            </w:tcBorders>
            <w:noWrap/>
            <w:vAlign w:val="center"/>
            <w:hideMark/>
          </w:tcPr>
          <w:p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Nr.p.k.</w:t>
            </w:r>
          </w:p>
        </w:tc>
        <w:tc>
          <w:tcPr>
            <w:tcW w:w="942" w:type="pct"/>
            <w:tcBorders>
              <w:top w:val="outset" w:sz="6" w:space="0" w:color="auto"/>
              <w:left w:val="outset" w:sz="6" w:space="0" w:color="auto"/>
              <w:bottom w:val="outset" w:sz="6" w:space="0" w:color="auto"/>
              <w:right w:val="outset" w:sz="6" w:space="0" w:color="auto"/>
            </w:tcBorders>
            <w:vAlign w:val="center"/>
            <w:hideMark/>
          </w:tcPr>
          <w:p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Saskaņošanai nosūtītā projekta redakcija (konkrēta punkta (panta) redakcija)</w:t>
            </w:r>
          </w:p>
        </w:tc>
        <w:tc>
          <w:tcPr>
            <w:tcW w:w="1402" w:type="pct"/>
            <w:tcBorders>
              <w:top w:val="outset" w:sz="6" w:space="0" w:color="auto"/>
              <w:left w:val="outset" w:sz="6" w:space="0" w:color="auto"/>
              <w:bottom w:val="outset" w:sz="6" w:space="0" w:color="auto"/>
              <w:right w:val="outset" w:sz="6" w:space="0" w:color="auto"/>
            </w:tcBorders>
            <w:vAlign w:val="center"/>
            <w:hideMark/>
          </w:tcPr>
          <w:p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1141" w:type="pct"/>
            <w:tcBorders>
              <w:top w:val="outset" w:sz="6" w:space="0" w:color="auto"/>
              <w:left w:val="outset" w:sz="6" w:space="0" w:color="auto"/>
              <w:bottom w:val="outset" w:sz="6" w:space="0" w:color="auto"/>
              <w:right w:val="outset" w:sz="6" w:space="0" w:color="auto"/>
            </w:tcBorders>
            <w:vAlign w:val="center"/>
            <w:hideMark/>
          </w:tcPr>
          <w:p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1071" w:type="pct"/>
            <w:gridSpan w:val="2"/>
            <w:tcBorders>
              <w:top w:val="outset" w:sz="6" w:space="0" w:color="auto"/>
              <w:left w:val="outset" w:sz="6" w:space="0" w:color="auto"/>
              <w:bottom w:val="outset" w:sz="6" w:space="0" w:color="auto"/>
              <w:right w:val="outset" w:sz="6" w:space="0" w:color="auto"/>
            </w:tcBorders>
            <w:vAlign w:val="center"/>
            <w:hideMark/>
          </w:tcPr>
          <w:p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Projekta attiecīgā punkta (panta) galīgā redakcija</w:t>
            </w:r>
          </w:p>
        </w:tc>
      </w:tr>
      <w:tr w:rsidR="00385DCC" w:rsidRPr="004D337E" w:rsidTr="00B00C39">
        <w:trPr>
          <w:gridBefore w:val="1"/>
          <w:wBefore w:w="98" w:type="pct"/>
          <w:tblCellSpacing w:w="15" w:type="dxa"/>
        </w:trPr>
        <w:tc>
          <w:tcPr>
            <w:tcW w:w="272" w:type="pct"/>
            <w:tcBorders>
              <w:top w:val="outset" w:sz="6" w:space="0" w:color="auto"/>
              <w:left w:val="outset" w:sz="6" w:space="0" w:color="auto"/>
              <w:bottom w:val="outset" w:sz="6" w:space="0" w:color="auto"/>
              <w:right w:val="outset" w:sz="6" w:space="0" w:color="auto"/>
            </w:tcBorders>
            <w:hideMark/>
          </w:tcPr>
          <w:p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1</w:t>
            </w:r>
          </w:p>
        </w:tc>
        <w:tc>
          <w:tcPr>
            <w:tcW w:w="942" w:type="pct"/>
            <w:tcBorders>
              <w:top w:val="outset" w:sz="6" w:space="0" w:color="auto"/>
              <w:left w:val="outset" w:sz="6" w:space="0" w:color="auto"/>
              <w:bottom w:val="outset" w:sz="6" w:space="0" w:color="auto"/>
              <w:right w:val="outset" w:sz="6" w:space="0" w:color="auto"/>
            </w:tcBorders>
            <w:hideMark/>
          </w:tcPr>
          <w:p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2</w:t>
            </w:r>
          </w:p>
        </w:tc>
        <w:tc>
          <w:tcPr>
            <w:tcW w:w="1402" w:type="pct"/>
            <w:tcBorders>
              <w:top w:val="outset" w:sz="6" w:space="0" w:color="auto"/>
              <w:left w:val="outset" w:sz="6" w:space="0" w:color="auto"/>
              <w:bottom w:val="outset" w:sz="6" w:space="0" w:color="auto"/>
              <w:right w:val="outset" w:sz="6" w:space="0" w:color="auto"/>
            </w:tcBorders>
            <w:hideMark/>
          </w:tcPr>
          <w:p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3</w:t>
            </w:r>
          </w:p>
        </w:tc>
        <w:tc>
          <w:tcPr>
            <w:tcW w:w="1141" w:type="pct"/>
            <w:tcBorders>
              <w:top w:val="outset" w:sz="6" w:space="0" w:color="auto"/>
              <w:left w:val="outset" w:sz="6" w:space="0" w:color="auto"/>
              <w:bottom w:val="outset" w:sz="6" w:space="0" w:color="auto"/>
              <w:right w:val="outset" w:sz="6" w:space="0" w:color="auto"/>
            </w:tcBorders>
            <w:hideMark/>
          </w:tcPr>
          <w:p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4</w:t>
            </w:r>
          </w:p>
        </w:tc>
        <w:tc>
          <w:tcPr>
            <w:tcW w:w="1071" w:type="pct"/>
            <w:gridSpan w:val="2"/>
            <w:tcBorders>
              <w:top w:val="outset" w:sz="6" w:space="0" w:color="auto"/>
              <w:left w:val="outset" w:sz="6" w:space="0" w:color="auto"/>
              <w:bottom w:val="outset" w:sz="6" w:space="0" w:color="auto"/>
              <w:right w:val="outset" w:sz="6" w:space="0" w:color="auto"/>
            </w:tcBorders>
            <w:hideMark/>
          </w:tcPr>
          <w:p w:rsidR="004D337E" w:rsidRPr="004D337E" w:rsidRDefault="004D337E" w:rsidP="004D337E">
            <w:pPr>
              <w:spacing w:after="0" w:line="240" w:lineRule="auto"/>
              <w:jc w:val="center"/>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5</w:t>
            </w:r>
          </w:p>
        </w:tc>
      </w:tr>
      <w:tr w:rsidR="00385DCC" w:rsidRPr="004D337E" w:rsidTr="00B00C39">
        <w:trPr>
          <w:gridBefore w:val="1"/>
          <w:wBefore w:w="98" w:type="pct"/>
          <w:trHeight w:val="300"/>
          <w:tblCellSpacing w:w="15" w:type="dxa"/>
        </w:trPr>
        <w:tc>
          <w:tcPr>
            <w:tcW w:w="272" w:type="pct"/>
            <w:vMerge w:val="restart"/>
            <w:tcBorders>
              <w:top w:val="outset" w:sz="6" w:space="0" w:color="auto"/>
              <w:left w:val="outset" w:sz="6" w:space="0" w:color="auto"/>
              <w:right w:val="outset" w:sz="6" w:space="0" w:color="auto"/>
            </w:tcBorders>
            <w:hideMark/>
          </w:tcPr>
          <w:p w:rsidR="00D15DBD" w:rsidRPr="00CE46D4" w:rsidRDefault="00D15DBD" w:rsidP="00D559F1">
            <w:pPr>
              <w:spacing w:after="0" w:line="240" w:lineRule="auto"/>
              <w:rPr>
                <w:rFonts w:ascii="Times New Roman" w:eastAsia="Times New Roman" w:hAnsi="Times New Roman" w:cs="Times New Roman"/>
                <w:sz w:val="24"/>
                <w:szCs w:val="24"/>
                <w:lang w:eastAsia="lv-LV"/>
              </w:rPr>
            </w:pPr>
            <w:r w:rsidRPr="00CE46D4">
              <w:rPr>
                <w:rFonts w:ascii="Times New Roman" w:eastAsia="Times New Roman" w:hAnsi="Times New Roman" w:cs="Times New Roman"/>
                <w:sz w:val="24"/>
                <w:szCs w:val="24"/>
                <w:lang w:eastAsia="lv-LV"/>
              </w:rPr>
              <w:t> 1.</w:t>
            </w:r>
          </w:p>
        </w:tc>
        <w:tc>
          <w:tcPr>
            <w:tcW w:w="942" w:type="pct"/>
            <w:vMerge w:val="restart"/>
            <w:tcBorders>
              <w:top w:val="outset" w:sz="6" w:space="0" w:color="auto"/>
              <w:left w:val="outset" w:sz="6" w:space="0" w:color="auto"/>
              <w:right w:val="outset" w:sz="6" w:space="0" w:color="auto"/>
            </w:tcBorders>
          </w:tcPr>
          <w:p w:rsidR="00D15DBD" w:rsidRDefault="00D15DBD" w:rsidP="00CE46D4">
            <w:pPr>
              <w:numPr>
                <w:ilvl w:val="1"/>
                <w:numId w:val="1"/>
              </w:numPr>
              <w:spacing w:after="0" w:line="240" w:lineRule="auto"/>
              <w:ind w:left="0" w:hanging="19"/>
              <w:jc w:val="both"/>
              <w:rPr>
                <w:rFonts w:ascii="Times New Roman" w:eastAsia="Calibri" w:hAnsi="Times New Roman" w:cs="Times New Roman"/>
                <w:sz w:val="24"/>
                <w:szCs w:val="24"/>
              </w:rPr>
            </w:pPr>
            <w:r w:rsidRPr="00CE46D4">
              <w:rPr>
                <w:rFonts w:ascii="Times New Roman" w:eastAsia="Calibri" w:hAnsi="Times New Roman" w:cs="Times New Roman"/>
                <w:sz w:val="24"/>
                <w:szCs w:val="24"/>
              </w:rPr>
              <w:t xml:space="preserve">Aizstāt </w:t>
            </w:r>
            <w:r w:rsidRPr="00146F25">
              <w:rPr>
                <w:rFonts w:ascii="Times New Roman" w:eastAsia="Calibri" w:hAnsi="Times New Roman" w:cs="Times New Roman"/>
                <w:sz w:val="24"/>
                <w:szCs w:val="24"/>
              </w:rPr>
              <w:t>3., 4., 5., 11., 12., 13., 14., 15., 16., 17. punktā un 9.1. </w:t>
            </w:r>
            <w:r w:rsidRPr="00146F25">
              <w:rPr>
                <w:rFonts w:ascii="Times New Roman" w:eastAsia="Calibri" w:hAnsi="Times New Roman" w:cs="Times New Roman"/>
                <w:b/>
                <w:sz w:val="24"/>
                <w:szCs w:val="24"/>
              </w:rPr>
              <w:t>un 13.1.</w:t>
            </w:r>
            <w:r w:rsidRPr="00146F25">
              <w:rPr>
                <w:rFonts w:ascii="Times New Roman" w:eastAsia="Calibri" w:hAnsi="Times New Roman" w:cs="Times New Roman"/>
                <w:sz w:val="24"/>
                <w:szCs w:val="24"/>
              </w:rPr>
              <w:t> apakšpunktā</w:t>
            </w:r>
            <w:r w:rsidRPr="00CE46D4">
              <w:rPr>
                <w:rFonts w:ascii="Times New Roman" w:eastAsia="Calibri" w:hAnsi="Times New Roman" w:cs="Times New Roman"/>
                <w:sz w:val="24"/>
                <w:szCs w:val="24"/>
              </w:rPr>
              <w:t xml:space="preserve"> vārdus </w:t>
            </w:r>
            <w:r w:rsidRPr="00CE46D4">
              <w:rPr>
                <w:rFonts w:ascii="Times New Roman" w:hAnsi="Times New Roman" w:cs="Times New Roman"/>
                <w:sz w:val="24"/>
                <w:szCs w:val="24"/>
              </w:rPr>
              <w:t>"</w:t>
            </w:r>
            <w:r w:rsidRPr="00CE46D4">
              <w:rPr>
                <w:rFonts w:ascii="Times New Roman" w:eastAsia="Calibri" w:hAnsi="Times New Roman" w:cs="Times New Roman"/>
                <w:sz w:val="24"/>
                <w:szCs w:val="24"/>
              </w:rPr>
              <w:t>Aizsardzības ministrija</w:t>
            </w:r>
            <w:r w:rsidRPr="00CE46D4">
              <w:rPr>
                <w:rFonts w:ascii="Times New Roman" w:hAnsi="Times New Roman" w:cs="Times New Roman"/>
                <w:sz w:val="24"/>
                <w:szCs w:val="24"/>
              </w:rPr>
              <w:t>"</w:t>
            </w:r>
            <w:r w:rsidRPr="00CE46D4">
              <w:rPr>
                <w:rFonts w:ascii="Times New Roman" w:eastAsia="Calibri" w:hAnsi="Times New Roman" w:cs="Times New Roman"/>
                <w:sz w:val="24"/>
                <w:szCs w:val="24"/>
              </w:rPr>
              <w:t xml:space="preserve"> ar vārdiem </w:t>
            </w:r>
            <w:r w:rsidRPr="00CE46D4">
              <w:rPr>
                <w:rFonts w:ascii="Times New Roman" w:hAnsi="Times New Roman" w:cs="Times New Roman"/>
                <w:sz w:val="24"/>
                <w:szCs w:val="24"/>
              </w:rPr>
              <w:t>"</w:t>
            </w:r>
            <w:r w:rsidRPr="00CE46D4">
              <w:rPr>
                <w:rFonts w:ascii="Times New Roman" w:eastAsia="Calibri" w:hAnsi="Times New Roman" w:cs="Times New Roman"/>
                <w:sz w:val="24"/>
                <w:szCs w:val="24"/>
              </w:rPr>
              <w:t>Nacionālie bruņotie spēki</w:t>
            </w:r>
            <w:r w:rsidRPr="00CE46D4">
              <w:rPr>
                <w:rFonts w:ascii="Times New Roman" w:hAnsi="Times New Roman" w:cs="Times New Roman"/>
                <w:sz w:val="24"/>
                <w:szCs w:val="24"/>
              </w:rPr>
              <w:t>"</w:t>
            </w:r>
            <w:r w:rsidRPr="00CE46D4">
              <w:rPr>
                <w:rFonts w:ascii="Times New Roman" w:eastAsia="Calibri" w:hAnsi="Times New Roman" w:cs="Times New Roman"/>
                <w:sz w:val="24"/>
                <w:szCs w:val="24"/>
              </w:rPr>
              <w:t xml:space="preserve"> (attiecīgā locījumā).</w:t>
            </w:r>
          </w:p>
          <w:p w:rsidR="006E00A5" w:rsidRPr="00CE46D4" w:rsidRDefault="006E00A5" w:rsidP="006E00A5">
            <w:pPr>
              <w:spacing w:after="0" w:line="240" w:lineRule="auto"/>
              <w:jc w:val="both"/>
              <w:rPr>
                <w:rFonts w:ascii="Times New Roman" w:eastAsia="Calibri" w:hAnsi="Times New Roman" w:cs="Times New Roman"/>
                <w:sz w:val="24"/>
                <w:szCs w:val="24"/>
              </w:rPr>
            </w:pPr>
          </w:p>
          <w:p w:rsidR="00D15DBD" w:rsidRPr="00CE46D4" w:rsidRDefault="00D15DBD" w:rsidP="00D559F1">
            <w:pPr>
              <w:pStyle w:val="NormalWeb"/>
              <w:spacing w:before="0" w:after="0"/>
              <w:ind w:right="11"/>
              <w:jc w:val="both"/>
              <w:rPr>
                <w:lang w:val="lv-LV"/>
              </w:rPr>
            </w:pPr>
          </w:p>
        </w:tc>
        <w:tc>
          <w:tcPr>
            <w:tcW w:w="1402" w:type="pct"/>
            <w:tcBorders>
              <w:top w:val="outset" w:sz="6" w:space="0" w:color="auto"/>
              <w:left w:val="outset" w:sz="6" w:space="0" w:color="auto"/>
              <w:bottom w:val="outset" w:sz="6" w:space="0" w:color="auto"/>
              <w:right w:val="outset" w:sz="6" w:space="0" w:color="auto"/>
            </w:tcBorders>
            <w:hideMark/>
          </w:tcPr>
          <w:p w:rsidR="00D15DBD" w:rsidRPr="00CE46D4" w:rsidRDefault="00D15DBD" w:rsidP="00CE46D4">
            <w:pPr>
              <w:pStyle w:val="NormalWeb"/>
              <w:spacing w:before="0" w:after="0"/>
              <w:ind w:right="11"/>
              <w:jc w:val="both"/>
              <w:rPr>
                <w:b/>
                <w:lang w:val="lv-LV"/>
              </w:rPr>
            </w:pPr>
            <w:r w:rsidRPr="00CE46D4">
              <w:rPr>
                <w:b/>
                <w:lang w:val="lv-LV"/>
              </w:rPr>
              <w:t>Tieslietu ministrija</w:t>
            </w:r>
          </w:p>
          <w:p w:rsidR="00D15DBD" w:rsidRPr="00CE46D4" w:rsidRDefault="00D15DBD" w:rsidP="004B2464">
            <w:pPr>
              <w:pStyle w:val="NormalWeb"/>
              <w:spacing w:before="0" w:after="0"/>
              <w:ind w:right="11"/>
              <w:jc w:val="both"/>
              <w:rPr>
                <w:lang w:val="lv-LV"/>
              </w:rPr>
            </w:pPr>
            <w:r w:rsidRPr="00CE46D4">
              <w:rPr>
                <w:rFonts w:eastAsia="Calibri"/>
                <w:lang w:val="lv-LV"/>
              </w:rPr>
              <w:t xml:space="preserve">Lūdzam skaidrot, kādēļ saistībā ar projekta 1.1. apakšpunktā ietvertajiem Ministru kabineta 2018. gada 14. augusta noteikumu Nr. 502 “Kārtība, kādā Ziemeļatlantijas līguma organizācijas un Eiropas Savienības dalībvalstu bruņoto spēku militārpersonām, bruņotajos spēkos nodarbinātajām civilpersonām, šo militārpersonu vai civilpersonu apgādājamajiem un citām ar bruņotajiem spēkiem saistītām personām izsniedz apliecinājumu par tiesībām uzturēties Latvijas Republikā” (turpmāk – noteikumi) grozījumiem, netiek grozīts arī noteikumu 10. punkts, nepieciešamības gadījumā precizējot projektu. </w:t>
            </w:r>
          </w:p>
        </w:tc>
        <w:tc>
          <w:tcPr>
            <w:tcW w:w="1141" w:type="pct"/>
            <w:tcBorders>
              <w:top w:val="outset" w:sz="6" w:space="0" w:color="auto"/>
              <w:left w:val="outset" w:sz="6" w:space="0" w:color="auto"/>
              <w:bottom w:val="outset" w:sz="6" w:space="0" w:color="auto"/>
              <w:right w:val="outset" w:sz="6" w:space="0" w:color="auto"/>
            </w:tcBorders>
            <w:hideMark/>
          </w:tcPr>
          <w:p w:rsidR="00D15DBD" w:rsidRPr="00D559F1" w:rsidRDefault="00242EF7" w:rsidP="00D559F1">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Ņemt</w:t>
            </w:r>
            <w:r w:rsidR="00D15DBD" w:rsidRPr="00D559F1">
              <w:rPr>
                <w:rFonts w:ascii="Times New Roman" w:eastAsia="Times New Roman" w:hAnsi="Times New Roman" w:cs="Times New Roman"/>
                <w:b/>
                <w:sz w:val="24"/>
                <w:szCs w:val="24"/>
                <w:lang w:eastAsia="lv-LV"/>
              </w:rPr>
              <w:t>s vērā</w:t>
            </w:r>
          </w:p>
          <w:p w:rsidR="00146F25" w:rsidRDefault="00D15DBD" w:rsidP="00146F2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noteikumu projekts</w:t>
            </w:r>
            <w:r w:rsidR="00146F25">
              <w:rPr>
                <w:rFonts w:ascii="Times New Roman" w:eastAsia="Times New Roman" w:hAnsi="Times New Roman" w:cs="Times New Roman"/>
                <w:sz w:val="24"/>
                <w:szCs w:val="24"/>
                <w:lang w:eastAsia="lv-LV"/>
              </w:rPr>
              <w:t xml:space="preserve"> izstrādāts</w:t>
            </w:r>
            <w:r>
              <w:rPr>
                <w:rFonts w:ascii="Times New Roman" w:eastAsia="Times New Roman" w:hAnsi="Times New Roman" w:cs="Times New Roman"/>
                <w:sz w:val="24"/>
                <w:szCs w:val="24"/>
                <w:lang w:eastAsia="lv-LV"/>
              </w:rPr>
              <w:t xml:space="preserve">, lai administratīvi vienkāršotu bruņoto spēku personām apliecinājumu par to tiesībām uzturēties Latvijā izsniegšanu, paredzot, ka </w:t>
            </w:r>
            <w:r w:rsidRPr="00146F25">
              <w:rPr>
                <w:rFonts w:ascii="Times New Roman" w:eastAsia="Times New Roman" w:hAnsi="Times New Roman" w:cs="Times New Roman"/>
                <w:sz w:val="24"/>
                <w:szCs w:val="24"/>
                <w:u w:val="single"/>
                <w:lang w:eastAsia="lv-LV"/>
              </w:rPr>
              <w:t>apliecinājumus izsniedz Nacionālie bruņotie spēki.</w:t>
            </w:r>
            <w:r>
              <w:rPr>
                <w:rFonts w:ascii="Times New Roman" w:eastAsia="Times New Roman" w:hAnsi="Times New Roman" w:cs="Times New Roman"/>
                <w:sz w:val="24"/>
                <w:szCs w:val="24"/>
                <w:lang w:eastAsia="lv-LV"/>
              </w:rPr>
              <w:t xml:space="preserve"> </w:t>
            </w:r>
          </w:p>
          <w:p w:rsidR="00D15DBD" w:rsidRPr="004D337E" w:rsidRDefault="00146F25" w:rsidP="00146F2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D15DBD">
              <w:rPr>
                <w:rFonts w:ascii="Times New Roman" w:eastAsia="Times New Roman" w:hAnsi="Times New Roman" w:cs="Times New Roman"/>
                <w:sz w:val="24"/>
                <w:szCs w:val="24"/>
                <w:lang w:eastAsia="lv-LV"/>
              </w:rPr>
              <w:t>dentifi</w:t>
            </w:r>
            <w:r>
              <w:rPr>
                <w:rFonts w:ascii="Times New Roman" w:eastAsia="Times New Roman" w:hAnsi="Times New Roman" w:cs="Times New Roman"/>
                <w:sz w:val="24"/>
                <w:szCs w:val="24"/>
                <w:lang w:eastAsia="lv-LV"/>
              </w:rPr>
              <w:t>kācijas kartes paraugu</w:t>
            </w:r>
            <w:r w:rsidR="00D15DBD">
              <w:rPr>
                <w:rFonts w:ascii="Times New Roman" w:eastAsia="Times New Roman" w:hAnsi="Times New Roman" w:cs="Times New Roman"/>
                <w:sz w:val="24"/>
                <w:szCs w:val="24"/>
                <w:lang w:eastAsia="lv-LV"/>
              </w:rPr>
              <w:t xml:space="preserve"> arī turpmāk ap</w:t>
            </w:r>
            <w:r>
              <w:rPr>
                <w:rFonts w:ascii="Times New Roman" w:eastAsia="Times New Roman" w:hAnsi="Times New Roman" w:cs="Times New Roman"/>
                <w:sz w:val="24"/>
                <w:szCs w:val="24"/>
                <w:lang w:eastAsia="lv-LV"/>
              </w:rPr>
              <w:t>stiprinās aizsardzības ministrs, savukārt</w:t>
            </w:r>
            <w:r w:rsidR="00D15DBD">
              <w:rPr>
                <w:rFonts w:ascii="Times New Roman" w:eastAsia="Times New Roman" w:hAnsi="Times New Roman" w:cs="Times New Roman"/>
                <w:sz w:val="24"/>
                <w:szCs w:val="24"/>
                <w:lang w:eastAsia="lv-LV"/>
              </w:rPr>
              <w:t xml:space="preserve"> Aizsardzības ministrija </w:t>
            </w:r>
            <w:r>
              <w:rPr>
                <w:rFonts w:ascii="Times New Roman" w:eastAsia="Times New Roman" w:hAnsi="Times New Roman" w:cs="Times New Roman"/>
                <w:sz w:val="24"/>
                <w:szCs w:val="24"/>
                <w:lang w:eastAsia="lv-LV"/>
              </w:rPr>
              <w:t>nosūtīs identifikācijas paraugu Iekšlietu ministrijai.</w:t>
            </w:r>
          </w:p>
        </w:tc>
        <w:tc>
          <w:tcPr>
            <w:tcW w:w="1071" w:type="pct"/>
            <w:gridSpan w:val="2"/>
            <w:vMerge w:val="restart"/>
            <w:tcBorders>
              <w:top w:val="outset" w:sz="6" w:space="0" w:color="auto"/>
              <w:left w:val="outset" w:sz="6" w:space="0" w:color="auto"/>
              <w:right w:val="outset" w:sz="6" w:space="0" w:color="auto"/>
            </w:tcBorders>
          </w:tcPr>
          <w:p w:rsidR="00146F25" w:rsidRPr="00146F25" w:rsidRDefault="006E00A5" w:rsidP="00146F25">
            <w:pPr>
              <w:spacing w:after="0" w:line="240" w:lineRule="auto"/>
              <w:jc w:val="both"/>
              <w:rPr>
                <w:rFonts w:ascii="Times New Roman" w:eastAsia="Times New Roman" w:hAnsi="Times New Roman" w:cs="Times New Roman"/>
                <w:sz w:val="24"/>
                <w:szCs w:val="24"/>
                <w:lang w:eastAsia="lv-LV"/>
              </w:rPr>
            </w:pPr>
            <w:r w:rsidRPr="00146F25">
              <w:rPr>
                <w:rFonts w:ascii="Times New Roman" w:eastAsia="Times New Roman" w:hAnsi="Times New Roman" w:cs="Times New Roman"/>
                <w:sz w:val="24"/>
                <w:szCs w:val="24"/>
                <w:lang w:eastAsia="lv-LV"/>
              </w:rPr>
              <w:t xml:space="preserve">1.1. </w:t>
            </w:r>
            <w:r w:rsidR="00146F25" w:rsidRPr="00146F25">
              <w:rPr>
                <w:rFonts w:ascii="Times New Roman" w:eastAsia="Times New Roman" w:hAnsi="Times New Roman" w:cs="Times New Roman"/>
                <w:sz w:val="24"/>
                <w:szCs w:val="24"/>
                <w:lang w:eastAsia="lv-LV"/>
              </w:rPr>
              <w:t xml:space="preserve">Aizstāt 3., 4., 5., 11., 12., 13., 14., 15., 16., 17. punktā </w:t>
            </w:r>
            <w:r w:rsidR="00146F25" w:rsidRPr="00146F25">
              <w:rPr>
                <w:rFonts w:ascii="Times New Roman" w:eastAsia="Times New Roman" w:hAnsi="Times New Roman" w:cs="Times New Roman"/>
                <w:b/>
                <w:sz w:val="24"/>
                <w:szCs w:val="24"/>
                <w:lang w:eastAsia="lv-LV"/>
              </w:rPr>
              <w:t>un 9.1. apakšpunktā</w:t>
            </w:r>
            <w:r w:rsidR="00146F25" w:rsidRPr="00146F25">
              <w:rPr>
                <w:rFonts w:ascii="Times New Roman" w:eastAsia="Times New Roman" w:hAnsi="Times New Roman" w:cs="Times New Roman"/>
                <w:sz w:val="24"/>
                <w:szCs w:val="24"/>
                <w:lang w:eastAsia="lv-LV"/>
              </w:rPr>
              <w:t xml:space="preserve"> vārdus "Aizsardzības ministrija" ar vārdiem "Nacionālie bruņotie spēki" (attiecīgā locījumā).</w:t>
            </w:r>
          </w:p>
          <w:p w:rsidR="00D15DBD" w:rsidRPr="00CE46D4" w:rsidRDefault="00D15DBD" w:rsidP="00D559F1">
            <w:pPr>
              <w:pStyle w:val="NormalWeb"/>
              <w:spacing w:before="0" w:after="0"/>
              <w:ind w:right="11"/>
              <w:jc w:val="both"/>
              <w:rPr>
                <w:lang w:val="lv-LV"/>
              </w:rPr>
            </w:pPr>
          </w:p>
        </w:tc>
      </w:tr>
      <w:tr w:rsidR="00385DCC" w:rsidRPr="004D337E" w:rsidTr="00B00C39">
        <w:trPr>
          <w:gridBefore w:val="1"/>
          <w:wBefore w:w="98" w:type="pct"/>
          <w:trHeight w:val="300"/>
          <w:tblCellSpacing w:w="15" w:type="dxa"/>
        </w:trPr>
        <w:tc>
          <w:tcPr>
            <w:tcW w:w="272" w:type="pct"/>
            <w:vMerge/>
            <w:tcBorders>
              <w:left w:val="outset" w:sz="6" w:space="0" w:color="auto"/>
              <w:bottom w:val="outset" w:sz="6" w:space="0" w:color="auto"/>
              <w:right w:val="outset" w:sz="6" w:space="0" w:color="auto"/>
            </w:tcBorders>
          </w:tcPr>
          <w:p w:rsidR="00D15DBD" w:rsidRDefault="00D15DBD" w:rsidP="00D559F1">
            <w:pPr>
              <w:spacing w:after="0" w:line="240" w:lineRule="auto"/>
              <w:rPr>
                <w:rFonts w:ascii="Times New Roman" w:eastAsia="Times New Roman" w:hAnsi="Times New Roman" w:cs="Times New Roman"/>
                <w:sz w:val="24"/>
                <w:szCs w:val="24"/>
                <w:lang w:eastAsia="lv-LV"/>
              </w:rPr>
            </w:pPr>
          </w:p>
        </w:tc>
        <w:tc>
          <w:tcPr>
            <w:tcW w:w="942" w:type="pct"/>
            <w:vMerge/>
            <w:tcBorders>
              <w:left w:val="outset" w:sz="6" w:space="0" w:color="auto"/>
              <w:right w:val="outset" w:sz="6" w:space="0" w:color="auto"/>
            </w:tcBorders>
          </w:tcPr>
          <w:p w:rsidR="00D15DBD" w:rsidRPr="004D337E" w:rsidRDefault="00D15DBD" w:rsidP="00D559F1">
            <w:pPr>
              <w:jc w:val="both"/>
              <w:rPr>
                <w:rFonts w:ascii="Times New Roman" w:eastAsia="Times New Roman" w:hAnsi="Times New Roman" w:cs="Times New Roman"/>
                <w:sz w:val="24"/>
                <w:szCs w:val="24"/>
                <w:lang w:eastAsia="lv-LV"/>
              </w:rPr>
            </w:pPr>
          </w:p>
        </w:tc>
        <w:tc>
          <w:tcPr>
            <w:tcW w:w="1402" w:type="pct"/>
            <w:tcBorders>
              <w:top w:val="outset" w:sz="6" w:space="0" w:color="auto"/>
              <w:left w:val="outset" w:sz="6" w:space="0" w:color="auto"/>
              <w:bottom w:val="outset" w:sz="6" w:space="0" w:color="auto"/>
              <w:right w:val="outset" w:sz="6" w:space="0" w:color="auto"/>
            </w:tcBorders>
          </w:tcPr>
          <w:p w:rsidR="00D15DBD" w:rsidRPr="00973381" w:rsidRDefault="00D15DBD" w:rsidP="00973381">
            <w:pPr>
              <w:pStyle w:val="NormalWeb"/>
              <w:spacing w:before="0" w:after="0"/>
              <w:ind w:right="11"/>
              <w:jc w:val="both"/>
              <w:rPr>
                <w:rFonts w:eastAsia="Calibri"/>
                <w:lang w:val="lv-LV"/>
              </w:rPr>
            </w:pPr>
            <w:r w:rsidRPr="00973381">
              <w:rPr>
                <w:rFonts w:eastAsia="Calibri"/>
                <w:lang w:val="lv-LV"/>
              </w:rPr>
              <w:t xml:space="preserve">Vienlaikus lūdzam projekta 1.1. apakšpunktā svītrot atsauci uz noteikumu 13.1. apakšpunktu, jo tā jau tiek aptverta ar grozījumu izdarīšanu noteikumu 13. punktā. </w:t>
            </w:r>
          </w:p>
        </w:tc>
        <w:tc>
          <w:tcPr>
            <w:tcW w:w="1141" w:type="pct"/>
            <w:tcBorders>
              <w:top w:val="outset" w:sz="6" w:space="0" w:color="auto"/>
              <w:left w:val="outset" w:sz="6" w:space="0" w:color="auto"/>
              <w:bottom w:val="outset" w:sz="6" w:space="0" w:color="auto"/>
              <w:right w:val="outset" w:sz="6" w:space="0" w:color="auto"/>
            </w:tcBorders>
          </w:tcPr>
          <w:p w:rsidR="00D15DBD" w:rsidRDefault="00C62731" w:rsidP="00D559F1">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Ņemts vērā</w:t>
            </w:r>
          </w:p>
          <w:p w:rsidR="006E00A5" w:rsidRPr="00C62731" w:rsidRDefault="006E00A5" w:rsidP="00146F25">
            <w:pPr>
              <w:spacing w:after="0" w:line="240" w:lineRule="auto"/>
              <w:jc w:val="both"/>
              <w:rPr>
                <w:rFonts w:ascii="Times New Roman" w:eastAsia="Times New Roman" w:hAnsi="Times New Roman" w:cs="Times New Roman"/>
                <w:sz w:val="24"/>
                <w:szCs w:val="24"/>
                <w:lang w:eastAsia="lv-LV"/>
              </w:rPr>
            </w:pPr>
          </w:p>
        </w:tc>
        <w:tc>
          <w:tcPr>
            <w:tcW w:w="1071" w:type="pct"/>
            <w:gridSpan w:val="2"/>
            <w:vMerge/>
            <w:tcBorders>
              <w:left w:val="outset" w:sz="6" w:space="0" w:color="auto"/>
              <w:bottom w:val="outset" w:sz="6" w:space="0" w:color="auto"/>
              <w:right w:val="outset" w:sz="6" w:space="0" w:color="auto"/>
            </w:tcBorders>
          </w:tcPr>
          <w:p w:rsidR="00D15DBD" w:rsidRPr="004D337E" w:rsidRDefault="00D15DBD" w:rsidP="00D559F1">
            <w:pPr>
              <w:spacing w:after="0" w:line="240" w:lineRule="auto"/>
              <w:rPr>
                <w:rFonts w:ascii="Times New Roman" w:eastAsia="Times New Roman" w:hAnsi="Times New Roman" w:cs="Times New Roman"/>
                <w:sz w:val="24"/>
                <w:szCs w:val="24"/>
                <w:lang w:eastAsia="lv-LV"/>
              </w:rPr>
            </w:pPr>
          </w:p>
        </w:tc>
      </w:tr>
      <w:tr w:rsidR="00385DCC" w:rsidRPr="004D337E" w:rsidTr="00B00C39">
        <w:trPr>
          <w:gridBefore w:val="1"/>
          <w:wBefore w:w="98" w:type="pct"/>
          <w:trHeight w:val="300"/>
          <w:tblCellSpacing w:w="15" w:type="dxa"/>
        </w:trPr>
        <w:tc>
          <w:tcPr>
            <w:tcW w:w="272" w:type="pct"/>
            <w:vMerge w:val="restart"/>
            <w:tcBorders>
              <w:top w:val="outset" w:sz="6" w:space="0" w:color="auto"/>
              <w:left w:val="outset" w:sz="6" w:space="0" w:color="auto"/>
              <w:right w:val="outset" w:sz="6" w:space="0" w:color="auto"/>
            </w:tcBorders>
          </w:tcPr>
          <w:p w:rsidR="0071543A" w:rsidRPr="004D337E" w:rsidRDefault="0071543A" w:rsidP="0071543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942" w:type="pct"/>
            <w:vMerge w:val="restart"/>
            <w:tcBorders>
              <w:top w:val="outset" w:sz="6" w:space="0" w:color="auto"/>
              <w:left w:val="outset" w:sz="6" w:space="0" w:color="auto"/>
              <w:right w:val="outset" w:sz="6" w:space="0" w:color="auto"/>
            </w:tcBorders>
          </w:tcPr>
          <w:p w:rsidR="0071543A" w:rsidRPr="00CE46D4" w:rsidRDefault="0071543A" w:rsidP="0071543A">
            <w:pPr>
              <w:spacing w:after="0" w:line="240" w:lineRule="auto"/>
              <w:jc w:val="both"/>
              <w:rPr>
                <w:rFonts w:ascii="Times New Roman" w:eastAsia="Calibri" w:hAnsi="Times New Roman" w:cs="Times New Roman"/>
                <w:sz w:val="24"/>
                <w:szCs w:val="24"/>
              </w:rPr>
            </w:pPr>
            <w:r w:rsidRPr="00CE46D4">
              <w:rPr>
                <w:rFonts w:ascii="Times New Roman" w:hAnsi="Times New Roman" w:cs="Times New Roman"/>
                <w:sz w:val="24"/>
                <w:szCs w:val="24"/>
              </w:rPr>
              <w:t xml:space="preserve">1.3. Papildināt </w:t>
            </w:r>
            <w:r w:rsidRPr="0071543A">
              <w:rPr>
                <w:rFonts w:ascii="Times New Roman" w:hAnsi="Times New Roman" w:cs="Times New Roman"/>
                <w:b/>
                <w:sz w:val="24"/>
                <w:szCs w:val="24"/>
              </w:rPr>
              <w:t xml:space="preserve">IV nodaļu </w:t>
            </w:r>
            <w:r w:rsidRPr="00CE46D4">
              <w:rPr>
                <w:rFonts w:ascii="Times New Roman" w:hAnsi="Times New Roman" w:cs="Times New Roman"/>
                <w:sz w:val="24"/>
                <w:szCs w:val="24"/>
              </w:rPr>
              <w:t xml:space="preserve">ar 19., 20. un 21. punktu šādā redakcijā: </w:t>
            </w:r>
          </w:p>
          <w:p w:rsidR="0071543A" w:rsidRPr="00CE46D4" w:rsidRDefault="0071543A" w:rsidP="0071543A">
            <w:pPr>
              <w:jc w:val="both"/>
              <w:rPr>
                <w:rFonts w:ascii="Times New Roman" w:hAnsi="Times New Roman" w:cs="Times New Roman"/>
                <w:sz w:val="24"/>
                <w:szCs w:val="24"/>
              </w:rPr>
            </w:pPr>
            <w:r w:rsidRPr="00CE46D4">
              <w:rPr>
                <w:rFonts w:ascii="Times New Roman" w:hAnsi="Times New Roman" w:cs="Times New Roman"/>
                <w:sz w:val="24"/>
                <w:szCs w:val="24"/>
              </w:rPr>
              <w:t>"19. Aizsardzības ministrijas izsniegtās identifikācijas kartes ir spēkā līdz tajā norādītajam derīguma termiņam vai līdz identifikācijas kartes anulēšanas dienai.</w:t>
            </w:r>
          </w:p>
          <w:p w:rsidR="0071543A" w:rsidRPr="00CE46D4" w:rsidRDefault="0071543A" w:rsidP="0071543A">
            <w:pPr>
              <w:jc w:val="both"/>
              <w:rPr>
                <w:rFonts w:ascii="Times New Roman" w:hAnsi="Times New Roman" w:cs="Times New Roman"/>
                <w:sz w:val="24"/>
                <w:szCs w:val="24"/>
              </w:rPr>
            </w:pPr>
            <w:r w:rsidRPr="00CE46D4">
              <w:rPr>
                <w:rFonts w:ascii="Times New Roman" w:hAnsi="Times New Roman" w:cs="Times New Roman"/>
                <w:sz w:val="24"/>
                <w:szCs w:val="24"/>
              </w:rPr>
              <w:t xml:space="preserve">20. Aizsardzības ministrija nodod Nacionālajiem bruņotajiem spēkiem glabāšanai šo noteikumu 12. un 17. punktā minētos dokumentus. </w:t>
            </w:r>
          </w:p>
          <w:p w:rsidR="0071543A" w:rsidRPr="00CE46D4" w:rsidRDefault="0071543A" w:rsidP="002C6E75">
            <w:pPr>
              <w:jc w:val="both"/>
              <w:rPr>
                <w:rFonts w:ascii="Times New Roman" w:eastAsia="Times New Roman" w:hAnsi="Times New Roman" w:cs="Times New Roman"/>
                <w:sz w:val="24"/>
                <w:szCs w:val="24"/>
                <w:lang w:eastAsia="lv-LV"/>
              </w:rPr>
            </w:pPr>
            <w:r w:rsidRPr="00CE46D4">
              <w:rPr>
                <w:rFonts w:ascii="Times New Roman" w:hAnsi="Times New Roman" w:cs="Times New Roman"/>
                <w:sz w:val="24"/>
                <w:szCs w:val="24"/>
              </w:rPr>
              <w:lastRenderedPageBreak/>
              <w:t>21. Aizsardzības ministrija nodod Nacionālajiem bruņotajiem spēkiem iznīcināšanai no apgrozības izņemtas identifikācijas kartes"</w:t>
            </w:r>
            <w:r>
              <w:rPr>
                <w:rFonts w:ascii="Times New Roman" w:hAnsi="Times New Roman" w:cs="Times New Roman"/>
                <w:sz w:val="24"/>
                <w:szCs w:val="24"/>
              </w:rPr>
              <w:t>.</w:t>
            </w:r>
          </w:p>
        </w:tc>
        <w:tc>
          <w:tcPr>
            <w:tcW w:w="1402" w:type="pct"/>
            <w:tcBorders>
              <w:top w:val="outset" w:sz="6" w:space="0" w:color="auto"/>
              <w:left w:val="outset" w:sz="6" w:space="0" w:color="auto"/>
              <w:bottom w:val="outset" w:sz="6" w:space="0" w:color="auto"/>
              <w:right w:val="outset" w:sz="6" w:space="0" w:color="auto"/>
            </w:tcBorders>
          </w:tcPr>
          <w:p w:rsidR="0071543A" w:rsidRPr="00CE46D4" w:rsidRDefault="0071543A" w:rsidP="0071543A">
            <w:pPr>
              <w:pStyle w:val="NormalWeb"/>
              <w:spacing w:before="0" w:after="0"/>
              <w:ind w:right="11"/>
              <w:jc w:val="both"/>
              <w:rPr>
                <w:rFonts w:eastAsia="Calibri"/>
                <w:b/>
                <w:lang w:val="lv-LV"/>
              </w:rPr>
            </w:pPr>
            <w:r w:rsidRPr="00CE46D4">
              <w:rPr>
                <w:rFonts w:eastAsia="Calibri"/>
                <w:b/>
                <w:lang w:val="lv-LV"/>
              </w:rPr>
              <w:lastRenderedPageBreak/>
              <w:t>Tieslietu ministrija</w:t>
            </w:r>
          </w:p>
          <w:p w:rsidR="0071543A" w:rsidRPr="00CE46D4" w:rsidRDefault="0071543A" w:rsidP="0071543A">
            <w:pPr>
              <w:ind w:right="12" w:firstLine="27"/>
              <w:jc w:val="both"/>
              <w:rPr>
                <w:rFonts w:ascii="Times New Roman" w:eastAsia="Calibri" w:hAnsi="Times New Roman" w:cs="Times New Roman"/>
                <w:sz w:val="24"/>
                <w:szCs w:val="24"/>
                <w:lang w:eastAsia="lv-LV"/>
              </w:rPr>
            </w:pPr>
            <w:r w:rsidRPr="00CE46D4">
              <w:rPr>
                <w:rFonts w:ascii="Times New Roman" w:eastAsia="Calibri" w:hAnsi="Times New Roman" w:cs="Times New Roman"/>
                <w:sz w:val="24"/>
                <w:szCs w:val="24"/>
                <w:lang w:eastAsia="lv-LV"/>
              </w:rPr>
              <w:t>2. Lūdzam projekta 1.3. apakšpunkta ievaddaļā svītrot atsauci uz “IV nodaļu”, jo atsauci uz grozāmo noteikumu nodaļu norāda, ja tas skaidri neizriet jau no pašām grozāmo noteikumu vienībām.</w:t>
            </w:r>
          </w:p>
          <w:p w:rsidR="0071543A" w:rsidRPr="00CE46D4" w:rsidRDefault="0071543A" w:rsidP="0071543A">
            <w:pPr>
              <w:ind w:right="12" w:firstLine="567"/>
              <w:rPr>
                <w:rFonts w:ascii="Times New Roman" w:eastAsia="Calibri" w:hAnsi="Times New Roman" w:cs="Times New Roman"/>
                <w:sz w:val="24"/>
                <w:szCs w:val="24"/>
                <w:lang w:eastAsia="lv-LV"/>
              </w:rPr>
            </w:pPr>
          </w:p>
        </w:tc>
        <w:tc>
          <w:tcPr>
            <w:tcW w:w="1141" w:type="pct"/>
            <w:tcBorders>
              <w:top w:val="outset" w:sz="6" w:space="0" w:color="auto"/>
              <w:left w:val="outset" w:sz="6" w:space="0" w:color="auto"/>
              <w:bottom w:val="outset" w:sz="6" w:space="0" w:color="auto"/>
              <w:right w:val="outset" w:sz="6" w:space="0" w:color="auto"/>
            </w:tcBorders>
          </w:tcPr>
          <w:p w:rsidR="0071543A" w:rsidRDefault="00C62731" w:rsidP="0071543A">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Ņ</w:t>
            </w:r>
            <w:r w:rsidR="0071543A" w:rsidRPr="001A6FB5">
              <w:rPr>
                <w:rFonts w:ascii="Times New Roman" w:eastAsia="Times New Roman" w:hAnsi="Times New Roman" w:cs="Times New Roman"/>
                <w:b/>
                <w:sz w:val="24"/>
                <w:szCs w:val="24"/>
                <w:lang w:eastAsia="lv-LV"/>
              </w:rPr>
              <w:t>emts vērā</w:t>
            </w:r>
          </w:p>
          <w:p w:rsidR="0071543A" w:rsidRPr="001A6FB5" w:rsidRDefault="0071543A" w:rsidP="00146F25">
            <w:pPr>
              <w:pStyle w:val="tv213"/>
              <w:spacing w:before="0" w:beforeAutospacing="0" w:after="0" w:afterAutospacing="0"/>
            </w:pPr>
          </w:p>
        </w:tc>
        <w:tc>
          <w:tcPr>
            <w:tcW w:w="1071" w:type="pct"/>
            <w:gridSpan w:val="2"/>
            <w:vMerge w:val="restart"/>
            <w:tcBorders>
              <w:top w:val="outset" w:sz="6" w:space="0" w:color="auto"/>
              <w:left w:val="outset" w:sz="6" w:space="0" w:color="auto"/>
              <w:right w:val="outset" w:sz="6" w:space="0" w:color="auto"/>
            </w:tcBorders>
          </w:tcPr>
          <w:p w:rsidR="0071543A" w:rsidRPr="00CE46D4" w:rsidRDefault="0071543A" w:rsidP="0071543A">
            <w:pPr>
              <w:spacing w:after="0" w:line="240" w:lineRule="auto"/>
              <w:jc w:val="both"/>
              <w:rPr>
                <w:rFonts w:ascii="Times New Roman" w:eastAsia="Calibri" w:hAnsi="Times New Roman" w:cs="Times New Roman"/>
                <w:sz w:val="24"/>
                <w:szCs w:val="24"/>
              </w:rPr>
            </w:pPr>
            <w:r w:rsidRPr="00CE46D4">
              <w:rPr>
                <w:rFonts w:ascii="Times New Roman" w:hAnsi="Times New Roman" w:cs="Times New Roman"/>
                <w:sz w:val="24"/>
                <w:szCs w:val="24"/>
              </w:rPr>
              <w:t xml:space="preserve">1.3. Papildināt </w:t>
            </w:r>
            <w:r w:rsidR="00C62731" w:rsidRPr="00C62731">
              <w:rPr>
                <w:rFonts w:ascii="Times New Roman" w:hAnsi="Times New Roman" w:cs="Times New Roman"/>
                <w:b/>
                <w:sz w:val="24"/>
                <w:szCs w:val="24"/>
              </w:rPr>
              <w:t>noteikumus</w:t>
            </w:r>
            <w:r w:rsidRPr="00CE46D4">
              <w:rPr>
                <w:rFonts w:ascii="Times New Roman" w:hAnsi="Times New Roman" w:cs="Times New Roman"/>
                <w:sz w:val="24"/>
                <w:szCs w:val="24"/>
              </w:rPr>
              <w:t xml:space="preserve"> ar 19., 20. un 21. punktu šādā redakcijā: </w:t>
            </w:r>
          </w:p>
          <w:p w:rsidR="0071543A" w:rsidRPr="00CE46D4" w:rsidRDefault="0071543A" w:rsidP="0071543A">
            <w:pPr>
              <w:jc w:val="both"/>
              <w:rPr>
                <w:rFonts w:ascii="Times New Roman" w:hAnsi="Times New Roman" w:cs="Times New Roman"/>
                <w:sz w:val="24"/>
                <w:szCs w:val="24"/>
              </w:rPr>
            </w:pPr>
            <w:r w:rsidRPr="00CE46D4">
              <w:rPr>
                <w:rFonts w:ascii="Times New Roman" w:hAnsi="Times New Roman" w:cs="Times New Roman"/>
                <w:sz w:val="24"/>
                <w:szCs w:val="24"/>
              </w:rPr>
              <w:t>"19. Aizsardzības ministrijas izsniegtās identifikācijas kartes ir spēkā līdz tajā norādītajam derīguma termiņam vai līdz identifikācijas kartes anulēšanas dienai.</w:t>
            </w:r>
          </w:p>
          <w:p w:rsidR="0071543A" w:rsidRPr="00CE46D4" w:rsidRDefault="0071543A" w:rsidP="0071543A">
            <w:pPr>
              <w:jc w:val="both"/>
              <w:rPr>
                <w:rFonts w:ascii="Times New Roman" w:hAnsi="Times New Roman" w:cs="Times New Roman"/>
                <w:sz w:val="24"/>
                <w:szCs w:val="24"/>
              </w:rPr>
            </w:pPr>
            <w:r w:rsidRPr="00CE46D4">
              <w:rPr>
                <w:rFonts w:ascii="Times New Roman" w:hAnsi="Times New Roman" w:cs="Times New Roman"/>
                <w:sz w:val="24"/>
                <w:szCs w:val="24"/>
              </w:rPr>
              <w:t xml:space="preserve">20. Aizsardzības ministrija </w:t>
            </w:r>
            <w:r w:rsidR="006E00A5" w:rsidRPr="006E00A5">
              <w:rPr>
                <w:rFonts w:ascii="Times New Roman" w:hAnsi="Times New Roman" w:cs="Times New Roman"/>
                <w:b/>
                <w:sz w:val="24"/>
                <w:szCs w:val="24"/>
              </w:rPr>
              <w:t xml:space="preserve">līdz 2020. gada 1. martam </w:t>
            </w:r>
            <w:r w:rsidRPr="00CE46D4">
              <w:rPr>
                <w:rFonts w:ascii="Times New Roman" w:hAnsi="Times New Roman" w:cs="Times New Roman"/>
                <w:sz w:val="24"/>
                <w:szCs w:val="24"/>
              </w:rPr>
              <w:t xml:space="preserve">nodod Nacionālajiem bruņotajiem spēkiem glabāšanai šo noteikumu 12. un 17. punktā minētos dokumentus. </w:t>
            </w:r>
          </w:p>
          <w:p w:rsidR="0071543A" w:rsidRPr="00CE46D4" w:rsidRDefault="0071543A" w:rsidP="00EA1706">
            <w:pPr>
              <w:spacing w:after="0" w:line="240" w:lineRule="auto"/>
              <w:jc w:val="both"/>
              <w:rPr>
                <w:rFonts w:ascii="Times New Roman" w:eastAsia="Times New Roman" w:hAnsi="Times New Roman" w:cs="Times New Roman"/>
                <w:sz w:val="24"/>
                <w:szCs w:val="24"/>
                <w:lang w:eastAsia="lv-LV"/>
              </w:rPr>
            </w:pPr>
            <w:r w:rsidRPr="00CE46D4">
              <w:rPr>
                <w:rFonts w:ascii="Times New Roman" w:hAnsi="Times New Roman" w:cs="Times New Roman"/>
                <w:sz w:val="24"/>
                <w:szCs w:val="24"/>
              </w:rPr>
              <w:t xml:space="preserve">21. Aizsardzības ministrija </w:t>
            </w:r>
            <w:r w:rsidR="006E00A5" w:rsidRPr="006E00A5">
              <w:rPr>
                <w:rFonts w:ascii="Times New Roman" w:hAnsi="Times New Roman" w:cs="Times New Roman"/>
                <w:b/>
                <w:sz w:val="24"/>
                <w:szCs w:val="24"/>
              </w:rPr>
              <w:t xml:space="preserve">līdz 2020. gada 1. martam </w:t>
            </w:r>
            <w:r w:rsidRPr="00CE46D4">
              <w:rPr>
                <w:rFonts w:ascii="Times New Roman" w:hAnsi="Times New Roman" w:cs="Times New Roman"/>
                <w:sz w:val="24"/>
                <w:szCs w:val="24"/>
              </w:rPr>
              <w:t xml:space="preserve">nodod Nacionālajiem bruņotajiem spēkiem </w:t>
            </w:r>
            <w:r w:rsidRPr="00CE46D4">
              <w:rPr>
                <w:rFonts w:ascii="Times New Roman" w:hAnsi="Times New Roman" w:cs="Times New Roman"/>
                <w:sz w:val="24"/>
                <w:szCs w:val="24"/>
              </w:rPr>
              <w:lastRenderedPageBreak/>
              <w:t>iznīcināšanai no apgrozības izņemtas identifikācijas kartes"</w:t>
            </w:r>
            <w:r>
              <w:rPr>
                <w:rFonts w:ascii="Times New Roman" w:hAnsi="Times New Roman" w:cs="Times New Roman"/>
                <w:sz w:val="24"/>
                <w:szCs w:val="24"/>
              </w:rPr>
              <w:t>.</w:t>
            </w:r>
          </w:p>
        </w:tc>
      </w:tr>
      <w:tr w:rsidR="00385DCC" w:rsidRPr="004D337E" w:rsidTr="00B00C39">
        <w:trPr>
          <w:gridBefore w:val="1"/>
          <w:wBefore w:w="98" w:type="pct"/>
          <w:trHeight w:val="300"/>
          <w:tblCellSpacing w:w="15" w:type="dxa"/>
        </w:trPr>
        <w:tc>
          <w:tcPr>
            <w:tcW w:w="272" w:type="pct"/>
            <w:vMerge/>
            <w:tcBorders>
              <w:left w:val="outset" w:sz="6" w:space="0" w:color="auto"/>
              <w:bottom w:val="outset" w:sz="6" w:space="0" w:color="auto"/>
              <w:right w:val="outset" w:sz="6" w:space="0" w:color="auto"/>
            </w:tcBorders>
          </w:tcPr>
          <w:p w:rsidR="0071543A" w:rsidRDefault="0071543A" w:rsidP="0071543A">
            <w:pPr>
              <w:spacing w:after="0" w:line="240" w:lineRule="auto"/>
              <w:rPr>
                <w:rFonts w:ascii="Times New Roman" w:eastAsia="Times New Roman" w:hAnsi="Times New Roman" w:cs="Times New Roman"/>
                <w:sz w:val="24"/>
                <w:szCs w:val="24"/>
                <w:lang w:eastAsia="lv-LV"/>
              </w:rPr>
            </w:pPr>
          </w:p>
        </w:tc>
        <w:tc>
          <w:tcPr>
            <w:tcW w:w="942" w:type="pct"/>
            <w:vMerge/>
            <w:tcBorders>
              <w:left w:val="outset" w:sz="6" w:space="0" w:color="auto"/>
              <w:bottom w:val="outset" w:sz="6" w:space="0" w:color="auto"/>
              <w:right w:val="outset" w:sz="6" w:space="0" w:color="auto"/>
            </w:tcBorders>
          </w:tcPr>
          <w:p w:rsidR="0071543A" w:rsidRDefault="0071543A" w:rsidP="0071543A">
            <w:pPr>
              <w:ind w:firstLine="720"/>
              <w:jc w:val="both"/>
            </w:pPr>
          </w:p>
        </w:tc>
        <w:tc>
          <w:tcPr>
            <w:tcW w:w="1402" w:type="pct"/>
            <w:tcBorders>
              <w:top w:val="outset" w:sz="6" w:space="0" w:color="auto"/>
              <w:left w:val="outset" w:sz="6" w:space="0" w:color="auto"/>
              <w:bottom w:val="outset" w:sz="6" w:space="0" w:color="auto"/>
              <w:right w:val="outset" w:sz="6" w:space="0" w:color="auto"/>
            </w:tcBorders>
          </w:tcPr>
          <w:p w:rsidR="0071543A" w:rsidRPr="00CE46D4" w:rsidRDefault="0071543A" w:rsidP="0071543A">
            <w:pPr>
              <w:ind w:right="12" w:firstLine="27"/>
              <w:jc w:val="both"/>
              <w:rPr>
                <w:rFonts w:ascii="Times New Roman" w:eastAsia="Calibri" w:hAnsi="Times New Roman" w:cs="Times New Roman"/>
                <w:sz w:val="24"/>
                <w:szCs w:val="24"/>
                <w:lang w:eastAsia="lv-LV"/>
              </w:rPr>
            </w:pPr>
            <w:r w:rsidRPr="00CE46D4">
              <w:rPr>
                <w:rFonts w:ascii="Times New Roman" w:eastAsia="Calibri" w:hAnsi="Times New Roman" w:cs="Times New Roman"/>
                <w:sz w:val="24"/>
                <w:szCs w:val="24"/>
                <w:lang w:eastAsia="lv-LV"/>
              </w:rPr>
              <w:t> Vienlaikus lūdzam projekta 1.3. apakšpunktā izteiktajā noteikumu 20. un 21. punktā norādīt Aizsardzības ministrijas pienākuma īstenošanas termiņu, tādējādi nodrošinot skaidru tiesību normu.</w:t>
            </w:r>
          </w:p>
          <w:p w:rsidR="0071543A" w:rsidRPr="00CE46D4" w:rsidRDefault="0071543A" w:rsidP="0071543A">
            <w:pPr>
              <w:ind w:right="12" w:firstLine="27"/>
              <w:rPr>
                <w:rFonts w:ascii="Times New Roman" w:eastAsia="Calibri" w:hAnsi="Times New Roman" w:cs="Times New Roman"/>
                <w:sz w:val="24"/>
                <w:szCs w:val="24"/>
                <w:lang w:eastAsia="lv-LV"/>
              </w:rPr>
            </w:pPr>
          </w:p>
        </w:tc>
        <w:tc>
          <w:tcPr>
            <w:tcW w:w="1141" w:type="pct"/>
            <w:tcBorders>
              <w:top w:val="outset" w:sz="6" w:space="0" w:color="auto"/>
              <w:left w:val="outset" w:sz="6" w:space="0" w:color="auto"/>
              <w:bottom w:val="outset" w:sz="6" w:space="0" w:color="auto"/>
              <w:right w:val="outset" w:sz="6" w:space="0" w:color="auto"/>
            </w:tcBorders>
          </w:tcPr>
          <w:p w:rsidR="00D15DBD" w:rsidRPr="00EA1706" w:rsidRDefault="006E00A5" w:rsidP="0071543A">
            <w:pPr>
              <w:jc w:val="both"/>
              <w:rPr>
                <w:rFonts w:ascii="Times New Roman" w:hAnsi="Times New Roman"/>
                <w:b/>
                <w:iCs/>
                <w:color w:val="000000"/>
                <w:sz w:val="24"/>
                <w:szCs w:val="24"/>
                <w:lang w:eastAsia="lv-LV"/>
              </w:rPr>
            </w:pPr>
            <w:r w:rsidRPr="00EA1706">
              <w:rPr>
                <w:rFonts w:ascii="Times New Roman" w:hAnsi="Times New Roman"/>
                <w:b/>
                <w:iCs/>
                <w:color w:val="000000"/>
                <w:sz w:val="24"/>
                <w:szCs w:val="24"/>
                <w:lang w:eastAsia="lv-LV"/>
              </w:rPr>
              <w:t>Ņ</w:t>
            </w:r>
            <w:r w:rsidR="00D15DBD" w:rsidRPr="00EA1706">
              <w:rPr>
                <w:rFonts w:ascii="Times New Roman" w:hAnsi="Times New Roman"/>
                <w:b/>
                <w:iCs/>
                <w:color w:val="000000"/>
                <w:sz w:val="24"/>
                <w:szCs w:val="24"/>
                <w:lang w:eastAsia="lv-LV"/>
              </w:rPr>
              <w:t>emts vērā</w:t>
            </w:r>
          </w:p>
          <w:p w:rsidR="0071543A" w:rsidRPr="001A6FB5" w:rsidRDefault="0071543A" w:rsidP="0071543A">
            <w:pPr>
              <w:jc w:val="both"/>
              <w:rPr>
                <w:rFonts w:ascii="Times New Roman" w:hAnsi="Times New Roman"/>
                <w:i/>
                <w:iCs/>
                <w:color w:val="000000"/>
                <w:sz w:val="24"/>
                <w:szCs w:val="24"/>
                <w:lang w:eastAsia="lv-LV"/>
              </w:rPr>
            </w:pPr>
          </w:p>
        </w:tc>
        <w:tc>
          <w:tcPr>
            <w:tcW w:w="1071" w:type="pct"/>
            <w:gridSpan w:val="2"/>
            <w:vMerge/>
            <w:tcBorders>
              <w:left w:val="outset" w:sz="6" w:space="0" w:color="auto"/>
              <w:bottom w:val="outset" w:sz="6" w:space="0" w:color="auto"/>
              <w:right w:val="outset" w:sz="6" w:space="0" w:color="auto"/>
            </w:tcBorders>
          </w:tcPr>
          <w:p w:rsidR="0071543A" w:rsidRPr="004D337E" w:rsidRDefault="0071543A" w:rsidP="0071543A">
            <w:pPr>
              <w:spacing w:after="0" w:line="240" w:lineRule="auto"/>
              <w:rPr>
                <w:rFonts w:ascii="Times New Roman" w:eastAsia="Times New Roman" w:hAnsi="Times New Roman" w:cs="Times New Roman"/>
                <w:sz w:val="24"/>
                <w:szCs w:val="24"/>
                <w:lang w:eastAsia="lv-LV"/>
              </w:rPr>
            </w:pPr>
          </w:p>
        </w:tc>
      </w:tr>
      <w:tr w:rsidR="00385DCC" w:rsidRPr="004D337E" w:rsidTr="00B00C39">
        <w:trPr>
          <w:gridBefore w:val="1"/>
          <w:wBefore w:w="98" w:type="pct"/>
          <w:trHeight w:val="300"/>
          <w:tblCellSpacing w:w="15" w:type="dxa"/>
        </w:trPr>
        <w:tc>
          <w:tcPr>
            <w:tcW w:w="272" w:type="pct"/>
            <w:tcBorders>
              <w:top w:val="outset" w:sz="6" w:space="0" w:color="auto"/>
              <w:left w:val="outset" w:sz="6" w:space="0" w:color="auto"/>
              <w:bottom w:val="outset" w:sz="6" w:space="0" w:color="auto"/>
              <w:right w:val="outset" w:sz="6" w:space="0" w:color="auto"/>
            </w:tcBorders>
            <w:hideMark/>
          </w:tcPr>
          <w:p w:rsidR="0071543A" w:rsidRPr="004D337E" w:rsidRDefault="0071543A" w:rsidP="0071543A">
            <w:pPr>
              <w:spacing w:after="0"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 </w:t>
            </w:r>
            <w:r w:rsidR="006E00A5">
              <w:rPr>
                <w:rFonts w:ascii="Times New Roman" w:eastAsia="Times New Roman" w:hAnsi="Times New Roman" w:cs="Times New Roman"/>
                <w:sz w:val="24"/>
                <w:szCs w:val="24"/>
                <w:lang w:eastAsia="lv-LV"/>
              </w:rPr>
              <w:t>3.</w:t>
            </w:r>
          </w:p>
        </w:tc>
        <w:tc>
          <w:tcPr>
            <w:tcW w:w="942" w:type="pct"/>
            <w:tcBorders>
              <w:top w:val="outset" w:sz="6" w:space="0" w:color="auto"/>
              <w:left w:val="outset" w:sz="6" w:space="0" w:color="auto"/>
              <w:bottom w:val="outset" w:sz="6" w:space="0" w:color="auto"/>
              <w:right w:val="outset" w:sz="6" w:space="0" w:color="auto"/>
            </w:tcBorders>
            <w:hideMark/>
          </w:tcPr>
          <w:p w:rsidR="0071543A" w:rsidRPr="004D337E" w:rsidRDefault="0071543A" w:rsidP="0071543A">
            <w:pPr>
              <w:spacing w:after="0"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 </w:t>
            </w:r>
          </w:p>
        </w:tc>
        <w:tc>
          <w:tcPr>
            <w:tcW w:w="1402" w:type="pct"/>
            <w:tcBorders>
              <w:top w:val="outset" w:sz="6" w:space="0" w:color="auto"/>
              <w:left w:val="outset" w:sz="6" w:space="0" w:color="auto"/>
              <w:bottom w:val="outset" w:sz="6" w:space="0" w:color="auto"/>
              <w:right w:val="outset" w:sz="6" w:space="0" w:color="auto"/>
            </w:tcBorders>
            <w:hideMark/>
          </w:tcPr>
          <w:p w:rsidR="0071543A" w:rsidRPr="00A46A16" w:rsidRDefault="0071543A" w:rsidP="0071543A">
            <w:pPr>
              <w:ind w:right="12" w:firstLine="27"/>
              <w:jc w:val="both"/>
              <w:rPr>
                <w:rFonts w:ascii="Times New Roman" w:eastAsia="Calibri" w:hAnsi="Times New Roman" w:cs="Times New Roman"/>
                <w:sz w:val="24"/>
                <w:szCs w:val="24"/>
                <w:lang w:eastAsia="lv-LV"/>
              </w:rPr>
            </w:pPr>
            <w:r w:rsidRPr="00A46A16">
              <w:rPr>
                <w:rFonts w:ascii="Times New Roman" w:eastAsia="Calibri" w:hAnsi="Times New Roman" w:cs="Times New Roman"/>
                <w:sz w:val="24"/>
                <w:szCs w:val="24"/>
                <w:lang w:eastAsia="lv-LV"/>
              </w:rPr>
              <w:t>3. Saistībā ar projekta I sadaļas 4. punkta norādīto atsauci uz Eiropas Savienības regulu lūdzam aizpildīt projekta anotācijas V sadaļas 1. punktu un 1. tabulu atbilstoši Ministru kabineta 2009. gada 15. decembra instrukcijas Nr. 19 “Tiesību akta projekta sākotnējās ietekmes izvērtēšanas kārtība” 55. un 56. punktam.</w:t>
            </w:r>
          </w:p>
        </w:tc>
        <w:tc>
          <w:tcPr>
            <w:tcW w:w="1141" w:type="pct"/>
            <w:tcBorders>
              <w:top w:val="outset" w:sz="6" w:space="0" w:color="auto"/>
              <w:left w:val="outset" w:sz="6" w:space="0" w:color="auto"/>
              <w:bottom w:val="outset" w:sz="6" w:space="0" w:color="auto"/>
              <w:right w:val="outset" w:sz="6" w:space="0" w:color="auto"/>
            </w:tcBorders>
            <w:hideMark/>
          </w:tcPr>
          <w:p w:rsidR="0071543A" w:rsidRPr="0071543A" w:rsidRDefault="0071543A" w:rsidP="0071543A">
            <w:pPr>
              <w:spacing w:after="0" w:line="240" w:lineRule="auto"/>
              <w:rPr>
                <w:rFonts w:ascii="Times New Roman" w:eastAsia="Times New Roman" w:hAnsi="Times New Roman" w:cs="Times New Roman"/>
                <w:b/>
                <w:sz w:val="24"/>
                <w:szCs w:val="24"/>
                <w:lang w:eastAsia="lv-LV"/>
              </w:rPr>
            </w:pPr>
            <w:r w:rsidRPr="004D337E">
              <w:rPr>
                <w:rFonts w:ascii="Times New Roman" w:eastAsia="Times New Roman" w:hAnsi="Times New Roman" w:cs="Times New Roman"/>
                <w:sz w:val="24"/>
                <w:szCs w:val="24"/>
                <w:lang w:eastAsia="lv-LV"/>
              </w:rPr>
              <w:t> </w:t>
            </w:r>
            <w:r w:rsidRPr="0071543A">
              <w:rPr>
                <w:rFonts w:ascii="Times New Roman" w:eastAsia="Times New Roman" w:hAnsi="Times New Roman" w:cs="Times New Roman"/>
                <w:b/>
                <w:sz w:val="24"/>
                <w:szCs w:val="24"/>
                <w:lang w:eastAsia="lv-LV"/>
              </w:rPr>
              <w:t>Nav ņemts vērā</w:t>
            </w:r>
          </w:p>
          <w:p w:rsidR="0071543A" w:rsidRPr="00D15DBD" w:rsidRDefault="0071543A" w:rsidP="00146F25">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4"/>
                <w:szCs w:val="24"/>
                <w:lang w:eastAsia="lv-LV"/>
              </w:rPr>
              <w:t>Ar MK noteikumu projekt</w:t>
            </w:r>
            <w:r w:rsidR="002C6E75">
              <w:rPr>
                <w:rFonts w:ascii="Times New Roman" w:eastAsia="Times New Roman" w:hAnsi="Times New Roman" w:cs="Times New Roman"/>
                <w:sz w:val="24"/>
                <w:szCs w:val="24"/>
                <w:lang w:eastAsia="lv-LV"/>
              </w:rPr>
              <w:t>u nav paredzēts</w:t>
            </w:r>
            <w:r w:rsidR="00D15DB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pārņemt vai ieviest ES tiesību akta normas</w:t>
            </w:r>
            <w:r w:rsidR="00D15DBD">
              <w:rPr>
                <w:rFonts w:ascii="Times New Roman" w:eastAsia="Times New Roman" w:hAnsi="Times New Roman" w:cs="Times New Roman"/>
                <w:sz w:val="24"/>
                <w:szCs w:val="24"/>
                <w:lang w:eastAsia="lv-LV"/>
              </w:rPr>
              <w:t xml:space="preserve">, </w:t>
            </w:r>
            <w:r w:rsidR="002C6E75">
              <w:rPr>
                <w:rFonts w:ascii="Times New Roman" w:eastAsia="Times New Roman" w:hAnsi="Times New Roman" w:cs="Times New Roman"/>
                <w:sz w:val="24"/>
                <w:szCs w:val="24"/>
                <w:lang w:eastAsia="lv-LV"/>
              </w:rPr>
              <w:t>izbeigt</w:t>
            </w:r>
            <w:r w:rsidR="00D15DBD" w:rsidRPr="00D15DBD">
              <w:rPr>
                <w:rFonts w:ascii="Times New Roman" w:eastAsia="Times New Roman" w:hAnsi="Times New Roman" w:cs="Times New Roman"/>
                <w:sz w:val="24"/>
                <w:szCs w:val="24"/>
                <w:lang w:eastAsia="lv-LV"/>
              </w:rPr>
              <w:t xml:space="preserve"> pret Latvijas Republiku uzsāktu pārkāpuma procedūras vai tiesvedības Eiropas Savienības Tiesā lietu</w:t>
            </w:r>
            <w:r w:rsidR="00D15DBD">
              <w:rPr>
                <w:rFonts w:ascii="Times New Roman" w:eastAsia="Times New Roman" w:hAnsi="Times New Roman" w:cs="Times New Roman"/>
                <w:sz w:val="24"/>
                <w:szCs w:val="24"/>
                <w:lang w:eastAsia="lv-LV"/>
              </w:rPr>
              <w:t>, attiecīgi, mūsuprāt, instrukcija neparedz MK noteikumu</w:t>
            </w:r>
            <w:r w:rsidR="006B6766">
              <w:rPr>
                <w:rFonts w:ascii="Times New Roman" w:eastAsia="Times New Roman" w:hAnsi="Times New Roman" w:cs="Times New Roman"/>
                <w:sz w:val="24"/>
                <w:szCs w:val="24"/>
                <w:lang w:eastAsia="lv-LV"/>
              </w:rPr>
              <w:t xml:space="preserve"> projekta</w:t>
            </w:r>
            <w:r w:rsidR="00D15DBD">
              <w:rPr>
                <w:rFonts w:ascii="Times New Roman" w:eastAsia="Times New Roman" w:hAnsi="Times New Roman" w:cs="Times New Roman"/>
                <w:sz w:val="24"/>
                <w:szCs w:val="24"/>
                <w:lang w:eastAsia="lv-LV"/>
              </w:rPr>
              <w:t xml:space="preserve"> anotācijas V sadaļas aizpildīšanu.</w:t>
            </w:r>
          </w:p>
        </w:tc>
        <w:tc>
          <w:tcPr>
            <w:tcW w:w="1071" w:type="pct"/>
            <w:gridSpan w:val="2"/>
            <w:tcBorders>
              <w:top w:val="outset" w:sz="6" w:space="0" w:color="auto"/>
              <w:left w:val="outset" w:sz="6" w:space="0" w:color="auto"/>
              <w:bottom w:val="outset" w:sz="6" w:space="0" w:color="auto"/>
              <w:right w:val="outset" w:sz="6" w:space="0" w:color="auto"/>
            </w:tcBorders>
            <w:hideMark/>
          </w:tcPr>
          <w:p w:rsidR="0071543A" w:rsidRPr="004D337E" w:rsidRDefault="0071543A" w:rsidP="0071543A">
            <w:pPr>
              <w:spacing w:after="0"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 </w:t>
            </w:r>
          </w:p>
        </w:tc>
      </w:tr>
      <w:tr w:rsidR="002A244E" w:rsidRPr="004D337E" w:rsidTr="00B00C39">
        <w:tblPrEx>
          <w:tblBorders>
            <w:top w:val="none" w:sz="0" w:space="0" w:color="auto"/>
            <w:left w:val="none" w:sz="0" w:space="0" w:color="auto"/>
            <w:bottom w:val="none" w:sz="0" w:space="0" w:color="auto"/>
            <w:right w:val="none" w:sz="0" w:space="0" w:color="auto"/>
          </w:tblBorders>
        </w:tblPrEx>
        <w:trPr>
          <w:gridAfter w:val="1"/>
          <w:wAfter w:w="602" w:type="pct"/>
          <w:trHeight w:val="450"/>
          <w:tblCellSpacing w:w="15" w:type="dxa"/>
        </w:trPr>
        <w:tc>
          <w:tcPr>
            <w:tcW w:w="4366" w:type="pct"/>
            <w:gridSpan w:val="6"/>
            <w:noWrap/>
            <w:vAlign w:val="bottom"/>
            <w:hideMark/>
          </w:tcPr>
          <w:p w:rsidR="002A244E" w:rsidRPr="004D337E" w:rsidRDefault="002A244E" w:rsidP="004D337E">
            <w:pPr>
              <w:spacing w:after="0" w:line="240" w:lineRule="auto"/>
              <w:rPr>
                <w:rFonts w:ascii="Times New Roman" w:eastAsia="Times New Roman" w:hAnsi="Times New Roman" w:cs="Times New Roman"/>
                <w:sz w:val="24"/>
                <w:szCs w:val="24"/>
                <w:lang w:eastAsia="lv-LV"/>
              </w:rPr>
            </w:pPr>
            <w:r w:rsidRPr="004D337E">
              <w:rPr>
                <w:rFonts w:ascii="Times New Roman" w:eastAsia="Times New Roman" w:hAnsi="Times New Roman" w:cs="Times New Roman"/>
                <w:sz w:val="24"/>
                <w:szCs w:val="24"/>
                <w:lang w:eastAsia="lv-LV"/>
              </w:rPr>
              <w:t>Atbildīgā amatpersona</w:t>
            </w:r>
            <w:r>
              <w:rPr>
                <w:rFonts w:ascii="Times New Roman" w:eastAsia="Times New Roman" w:hAnsi="Times New Roman" w:cs="Times New Roman"/>
                <w:sz w:val="24"/>
                <w:szCs w:val="24"/>
                <w:lang w:eastAsia="lv-LV"/>
              </w:rPr>
              <w:t xml:space="preserve">: </w:t>
            </w:r>
            <w:r w:rsidRPr="006B6766">
              <w:rPr>
                <w:rFonts w:ascii="Times New Roman" w:eastAsia="Times New Roman" w:hAnsi="Times New Roman" w:cs="Times New Roman"/>
                <w:sz w:val="24"/>
                <w:szCs w:val="24"/>
                <w:lang w:eastAsia="lv-LV"/>
              </w:rPr>
              <w:t>Anželika Ņik</w:t>
            </w:r>
            <w:r w:rsidR="00F95572">
              <w:rPr>
                <w:rFonts w:ascii="Times New Roman" w:eastAsia="Times New Roman" w:hAnsi="Times New Roman" w:cs="Times New Roman"/>
                <w:sz w:val="24"/>
                <w:szCs w:val="24"/>
                <w:lang w:eastAsia="lv-LV"/>
              </w:rPr>
              <w:t>i</w:t>
            </w:r>
            <w:r w:rsidRPr="006B6766">
              <w:rPr>
                <w:rFonts w:ascii="Times New Roman" w:eastAsia="Times New Roman" w:hAnsi="Times New Roman" w:cs="Times New Roman"/>
                <w:sz w:val="24"/>
                <w:szCs w:val="24"/>
                <w:lang w:eastAsia="lv-LV"/>
              </w:rPr>
              <w:t>tina</w:t>
            </w:r>
          </w:p>
        </w:tc>
      </w:tr>
    </w:tbl>
    <w:p w:rsidR="006B6766" w:rsidRDefault="006B6766" w:rsidP="004D337E">
      <w:pPr>
        <w:spacing w:before="100" w:beforeAutospacing="1" w:after="100" w:afterAutospacing="1" w:line="240" w:lineRule="auto"/>
        <w:rPr>
          <w:rFonts w:ascii="Times New Roman" w:eastAsia="Times New Roman" w:hAnsi="Times New Roman" w:cs="Times New Roman"/>
          <w:sz w:val="24"/>
          <w:szCs w:val="24"/>
          <w:lang w:eastAsia="lv-LV"/>
        </w:rPr>
      </w:pPr>
    </w:p>
    <w:p w:rsidR="006B6766" w:rsidRPr="006B6766" w:rsidRDefault="006B6766" w:rsidP="006B6766">
      <w:pPr>
        <w:spacing w:after="0" w:line="240" w:lineRule="auto"/>
        <w:rPr>
          <w:rFonts w:ascii="Times New Roman" w:eastAsia="Times New Roman" w:hAnsi="Times New Roman" w:cs="Times New Roman"/>
          <w:sz w:val="20"/>
          <w:szCs w:val="20"/>
          <w:lang w:eastAsia="lv-LV"/>
        </w:rPr>
      </w:pPr>
      <w:r w:rsidRPr="006B6766">
        <w:rPr>
          <w:rFonts w:ascii="Times New Roman" w:eastAsia="Times New Roman" w:hAnsi="Times New Roman" w:cs="Times New Roman"/>
          <w:sz w:val="20"/>
          <w:szCs w:val="20"/>
          <w:lang w:eastAsia="lv-LV"/>
        </w:rPr>
        <w:t>Anželika Ņikitina</w:t>
      </w:r>
    </w:p>
    <w:p w:rsidR="006B6766" w:rsidRPr="006B6766" w:rsidRDefault="006B6766" w:rsidP="006B6766">
      <w:pPr>
        <w:spacing w:after="0" w:line="240" w:lineRule="auto"/>
        <w:rPr>
          <w:rFonts w:ascii="Times New Roman" w:eastAsia="Times New Roman" w:hAnsi="Times New Roman" w:cs="Times New Roman"/>
          <w:sz w:val="20"/>
          <w:szCs w:val="20"/>
          <w:lang w:eastAsia="lv-LV"/>
        </w:rPr>
      </w:pPr>
      <w:r w:rsidRPr="006B6766">
        <w:rPr>
          <w:rFonts w:ascii="Times New Roman" w:eastAsia="Times New Roman" w:hAnsi="Times New Roman" w:cs="Times New Roman"/>
          <w:sz w:val="20"/>
          <w:szCs w:val="20"/>
          <w:lang w:eastAsia="lv-LV"/>
        </w:rPr>
        <w:t>Aizsardzības ministrijas Juridiskā departamenta Starptautisko tiesību nodaļas vecākā referente</w:t>
      </w:r>
    </w:p>
    <w:p w:rsidR="006B6766" w:rsidRPr="006B6766" w:rsidRDefault="006B6766" w:rsidP="006B6766">
      <w:pPr>
        <w:spacing w:after="0" w:line="240" w:lineRule="auto"/>
        <w:rPr>
          <w:rFonts w:ascii="Times New Roman" w:eastAsia="Times New Roman" w:hAnsi="Times New Roman" w:cs="Times New Roman"/>
          <w:sz w:val="20"/>
          <w:szCs w:val="20"/>
          <w:lang w:eastAsia="lv-LV"/>
        </w:rPr>
      </w:pPr>
      <w:r w:rsidRPr="006B6766">
        <w:rPr>
          <w:rFonts w:ascii="Times New Roman" w:eastAsia="Times New Roman" w:hAnsi="Times New Roman" w:cs="Times New Roman"/>
          <w:sz w:val="20"/>
          <w:szCs w:val="20"/>
          <w:lang w:eastAsia="lv-LV"/>
        </w:rPr>
        <w:t>Tālr. 67335249</w:t>
      </w:r>
    </w:p>
    <w:p w:rsidR="006B6766" w:rsidRPr="006B6766" w:rsidRDefault="006B6766" w:rsidP="006B6766">
      <w:pPr>
        <w:spacing w:after="0" w:line="240" w:lineRule="auto"/>
        <w:rPr>
          <w:rFonts w:ascii="Times New Roman" w:eastAsia="Times New Roman" w:hAnsi="Times New Roman" w:cs="Times New Roman"/>
          <w:sz w:val="24"/>
          <w:szCs w:val="24"/>
          <w:lang w:eastAsia="lv-LV"/>
        </w:rPr>
      </w:pPr>
      <w:r w:rsidRPr="006B6766">
        <w:rPr>
          <w:rFonts w:ascii="Times New Roman" w:eastAsia="Times New Roman" w:hAnsi="Times New Roman" w:cs="Times New Roman"/>
          <w:sz w:val="20"/>
          <w:szCs w:val="20"/>
          <w:lang w:eastAsia="lv-LV"/>
        </w:rPr>
        <w:t>anzelika.nikitina@mod.gov.lv</w:t>
      </w:r>
    </w:p>
    <w:sectPr w:rsidR="006B6766" w:rsidRPr="006B6766" w:rsidSect="002A244E">
      <w:headerReference w:type="default" r:id="rId7"/>
      <w:footerReference w:type="default" r:id="rId8"/>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CF8" w:rsidRDefault="008C2CF8" w:rsidP="008C2CF8">
      <w:pPr>
        <w:spacing w:after="0" w:line="240" w:lineRule="auto"/>
      </w:pPr>
      <w:r>
        <w:separator/>
      </w:r>
    </w:p>
  </w:endnote>
  <w:endnote w:type="continuationSeparator" w:id="0">
    <w:p w:rsidR="008C2CF8" w:rsidRDefault="008C2CF8" w:rsidP="008C2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CF8" w:rsidRPr="008C2CF8" w:rsidRDefault="008C2CF8">
    <w:pPr>
      <w:pStyle w:val="Footer"/>
      <w:rPr>
        <w:rFonts w:ascii="Times New Roman" w:hAnsi="Times New Roman" w:cs="Times New Roman"/>
        <w:sz w:val="20"/>
        <w:szCs w:val="20"/>
      </w:rPr>
    </w:pPr>
    <w:r w:rsidRPr="008C2CF8">
      <w:rPr>
        <w:rFonts w:ascii="Times New Roman" w:hAnsi="Times New Roman" w:cs="Times New Roman"/>
        <w:sz w:val="20"/>
        <w:szCs w:val="20"/>
      </w:rPr>
      <w:t>AIMIzz_</w:t>
    </w:r>
    <w:r w:rsidR="00973381">
      <w:rPr>
        <w:rFonts w:ascii="Times New Roman" w:hAnsi="Times New Roman" w:cs="Times New Roman"/>
        <w:sz w:val="20"/>
        <w:szCs w:val="20"/>
      </w:rPr>
      <w:t>071119_VSS-1078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CF8" w:rsidRDefault="008C2CF8" w:rsidP="008C2CF8">
      <w:pPr>
        <w:spacing w:after="0" w:line="240" w:lineRule="auto"/>
      </w:pPr>
      <w:r>
        <w:separator/>
      </w:r>
    </w:p>
  </w:footnote>
  <w:footnote w:type="continuationSeparator" w:id="0">
    <w:p w:rsidR="008C2CF8" w:rsidRDefault="008C2CF8" w:rsidP="008C2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014485"/>
      <w:docPartObj>
        <w:docPartGallery w:val="Page Numbers (Top of Page)"/>
        <w:docPartUnique/>
      </w:docPartObj>
    </w:sdtPr>
    <w:sdtEndPr>
      <w:rPr>
        <w:noProof/>
      </w:rPr>
    </w:sdtEndPr>
    <w:sdtContent>
      <w:p w:rsidR="002A244E" w:rsidRDefault="002A244E">
        <w:pPr>
          <w:pStyle w:val="Header"/>
          <w:jc w:val="center"/>
        </w:pPr>
        <w:r>
          <w:fldChar w:fldCharType="begin"/>
        </w:r>
        <w:r>
          <w:instrText xml:space="preserve"> PAGE   \* MERGEFORMAT </w:instrText>
        </w:r>
        <w:r>
          <w:fldChar w:fldCharType="separate"/>
        </w:r>
        <w:r w:rsidR="003D0D00">
          <w:rPr>
            <w:noProof/>
          </w:rPr>
          <w:t>2</w:t>
        </w:r>
        <w:r>
          <w:rPr>
            <w:noProof/>
          </w:rPr>
          <w:fldChar w:fldCharType="end"/>
        </w:r>
      </w:p>
    </w:sdtContent>
  </w:sdt>
  <w:p w:rsidR="002A244E" w:rsidRDefault="002A2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A1878"/>
    <w:multiLevelType w:val="multilevel"/>
    <w:tmpl w:val="9C02A07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5B436836"/>
    <w:multiLevelType w:val="multilevel"/>
    <w:tmpl w:val="9C02A07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711D2740"/>
    <w:multiLevelType w:val="multilevel"/>
    <w:tmpl w:val="9C02A07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7FFB2436"/>
    <w:multiLevelType w:val="multilevel"/>
    <w:tmpl w:val="9C02A07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37E"/>
    <w:rsid w:val="00146F25"/>
    <w:rsid w:val="001A6FB5"/>
    <w:rsid w:val="001F7E0F"/>
    <w:rsid w:val="00242EF7"/>
    <w:rsid w:val="00283764"/>
    <w:rsid w:val="002A244E"/>
    <w:rsid w:val="002B7096"/>
    <w:rsid w:val="002C6E75"/>
    <w:rsid w:val="00385DCC"/>
    <w:rsid w:val="003C0FA0"/>
    <w:rsid w:val="003D0D00"/>
    <w:rsid w:val="004B2464"/>
    <w:rsid w:val="004C515A"/>
    <w:rsid w:val="004D337E"/>
    <w:rsid w:val="004D3719"/>
    <w:rsid w:val="004F7D8E"/>
    <w:rsid w:val="00586B59"/>
    <w:rsid w:val="005D6040"/>
    <w:rsid w:val="00676B71"/>
    <w:rsid w:val="006A36E1"/>
    <w:rsid w:val="006B6766"/>
    <w:rsid w:val="006E00A5"/>
    <w:rsid w:val="0071543A"/>
    <w:rsid w:val="007C2B6E"/>
    <w:rsid w:val="00822634"/>
    <w:rsid w:val="008C2CF8"/>
    <w:rsid w:val="00973381"/>
    <w:rsid w:val="0098782D"/>
    <w:rsid w:val="00A123DB"/>
    <w:rsid w:val="00A46A16"/>
    <w:rsid w:val="00AA53D5"/>
    <w:rsid w:val="00AA63C5"/>
    <w:rsid w:val="00B00C39"/>
    <w:rsid w:val="00C5408B"/>
    <w:rsid w:val="00C62731"/>
    <w:rsid w:val="00CE46D4"/>
    <w:rsid w:val="00D15DBD"/>
    <w:rsid w:val="00D35694"/>
    <w:rsid w:val="00D559F1"/>
    <w:rsid w:val="00D87969"/>
    <w:rsid w:val="00EA1706"/>
    <w:rsid w:val="00ED6219"/>
    <w:rsid w:val="00F95572"/>
    <w:rsid w:val="00F97863"/>
    <w:rsid w:val="00FA44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E90F3-7899-4448-9EB5-425E4AD4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4D337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rsid w:val="004D337E"/>
    <w:pPr>
      <w:spacing w:before="75" w:after="75" w:line="240" w:lineRule="auto"/>
    </w:pPr>
    <w:rPr>
      <w:rFonts w:ascii="Times New Roman" w:eastAsia="Times New Roman" w:hAnsi="Times New Roman" w:cs="Times New Roman"/>
      <w:sz w:val="24"/>
      <w:szCs w:val="24"/>
      <w:lang w:val="en-US" w:eastAsia="lv-LV"/>
    </w:rPr>
  </w:style>
  <w:style w:type="character" w:styleId="Hyperlink">
    <w:name w:val="Hyperlink"/>
    <w:basedOn w:val="DefaultParagraphFont"/>
    <w:uiPriority w:val="99"/>
    <w:unhideWhenUsed/>
    <w:rsid w:val="004D337E"/>
    <w:rPr>
      <w:color w:val="0563C1" w:themeColor="hyperlink"/>
      <w:u w:val="single"/>
    </w:rPr>
  </w:style>
  <w:style w:type="paragraph" w:styleId="Header">
    <w:name w:val="header"/>
    <w:basedOn w:val="Normal"/>
    <w:link w:val="HeaderChar"/>
    <w:uiPriority w:val="99"/>
    <w:unhideWhenUsed/>
    <w:rsid w:val="008C2C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2CF8"/>
  </w:style>
  <w:style w:type="paragraph" w:styleId="Footer">
    <w:name w:val="footer"/>
    <w:basedOn w:val="Normal"/>
    <w:link w:val="FooterChar"/>
    <w:uiPriority w:val="99"/>
    <w:unhideWhenUsed/>
    <w:rsid w:val="008C2C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2CF8"/>
  </w:style>
  <w:style w:type="paragraph" w:styleId="BalloonText">
    <w:name w:val="Balloon Text"/>
    <w:basedOn w:val="Normal"/>
    <w:link w:val="BalloonTextChar"/>
    <w:uiPriority w:val="99"/>
    <w:semiHidden/>
    <w:unhideWhenUsed/>
    <w:rsid w:val="00C540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08B"/>
    <w:rPr>
      <w:rFonts w:ascii="Segoe UI" w:hAnsi="Segoe UI" w:cs="Segoe UI"/>
      <w:sz w:val="18"/>
      <w:szCs w:val="18"/>
    </w:rPr>
  </w:style>
  <w:style w:type="paragraph" w:styleId="ListParagraph">
    <w:name w:val="List Paragraph"/>
    <w:basedOn w:val="Normal"/>
    <w:uiPriority w:val="34"/>
    <w:qFormat/>
    <w:rsid w:val="00CE46D4"/>
    <w:pPr>
      <w:ind w:left="720"/>
      <w:contextualSpacing/>
    </w:pPr>
  </w:style>
  <w:style w:type="paragraph" w:customStyle="1" w:styleId="tv213">
    <w:name w:val="tv213"/>
    <w:basedOn w:val="Normal"/>
    <w:rsid w:val="00ED621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337764">
      <w:bodyDiv w:val="1"/>
      <w:marLeft w:val="0"/>
      <w:marRight w:val="0"/>
      <w:marTop w:val="0"/>
      <w:marBottom w:val="0"/>
      <w:divBdr>
        <w:top w:val="none" w:sz="0" w:space="0" w:color="auto"/>
        <w:left w:val="none" w:sz="0" w:space="0" w:color="auto"/>
        <w:bottom w:val="none" w:sz="0" w:space="0" w:color="auto"/>
        <w:right w:val="none" w:sz="0" w:space="0" w:color="auto"/>
      </w:divBdr>
    </w:div>
    <w:div w:id="698701603">
      <w:bodyDiv w:val="1"/>
      <w:marLeft w:val="0"/>
      <w:marRight w:val="0"/>
      <w:marTop w:val="0"/>
      <w:marBottom w:val="0"/>
      <w:divBdr>
        <w:top w:val="none" w:sz="0" w:space="0" w:color="auto"/>
        <w:left w:val="none" w:sz="0" w:space="0" w:color="auto"/>
        <w:bottom w:val="none" w:sz="0" w:space="0" w:color="auto"/>
        <w:right w:val="none" w:sz="0" w:space="0" w:color="auto"/>
      </w:divBdr>
      <w:divsChild>
        <w:div w:id="2052025475">
          <w:marLeft w:val="0"/>
          <w:marRight w:val="0"/>
          <w:marTop w:val="0"/>
          <w:marBottom w:val="0"/>
          <w:divBdr>
            <w:top w:val="none" w:sz="0" w:space="0" w:color="auto"/>
            <w:left w:val="none" w:sz="0" w:space="0" w:color="auto"/>
            <w:bottom w:val="none" w:sz="0" w:space="0" w:color="auto"/>
            <w:right w:val="none" w:sz="0" w:space="0" w:color="auto"/>
          </w:divBdr>
        </w:div>
        <w:div w:id="57095950">
          <w:marLeft w:val="0"/>
          <w:marRight w:val="0"/>
          <w:marTop w:val="0"/>
          <w:marBottom w:val="0"/>
          <w:divBdr>
            <w:top w:val="none" w:sz="0" w:space="0" w:color="auto"/>
            <w:left w:val="none" w:sz="0" w:space="0" w:color="auto"/>
            <w:bottom w:val="none" w:sz="0" w:space="0" w:color="auto"/>
            <w:right w:val="none" w:sz="0" w:space="0" w:color="auto"/>
          </w:divBdr>
        </w:div>
      </w:divsChild>
    </w:div>
    <w:div w:id="698703916">
      <w:bodyDiv w:val="1"/>
      <w:marLeft w:val="0"/>
      <w:marRight w:val="0"/>
      <w:marTop w:val="0"/>
      <w:marBottom w:val="0"/>
      <w:divBdr>
        <w:top w:val="none" w:sz="0" w:space="0" w:color="auto"/>
        <w:left w:val="none" w:sz="0" w:space="0" w:color="auto"/>
        <w:bottom w:val="none" w:sz="0" w:space="0" w:color="auto"/>
        <w:right w:val="none" w:sz="0" w:space="0" w:color="auto"/>
      </w:divBdr>
    </w:div>
    <w:div w:id="1029447710">
      <w:bodyDiv w:val="1"/>
      <w:marLeft w:val="0"/>
      <w:marRight w:val="0"/>
      <w:marTop w:val="0"/>
      <w:marBottom w:val="0"/>
      <w:divBdr>
        <w:top w:val="none" w:sz="0" w:space="0" w:color="auto"/>
        <w:left w:val="none" w:sz="0" w:space="0" w:color="auto"/>
        <w:bottom w:val="none" w:sz="0" w:space="0" w:color="auto"/>
        <w:right w:val="none" w:sz="0" w:space="0" w:color="auto"/>
      </w:divBdr>
      <w:divsChild>
        <w:div w:id="1023439765">
          <w:marLeft w:val="0"/>
          <w:marRight w:val="0"/>
          <w:marTop w:val="0"/>
          <w:marBottom w:val="0"/>
          <w:divBdr>
            <w:top w:val="none" w:sz="0" w:space="0" w:color="auto"/>
            <w:left w:val="none" w:sz="0" w:space="0" w:color="auto"/>
            <w:bottom w:val="none" w:sz="0" w:space="0" w:color="auto"/>
            <w:right w:val="none" w:sz="0" w:space="0" w:color="auto"/>
          </w:divBdr>
        </w:div>
        <w:div w:id="118111852">
          <w:marLeft w:val="0"/>
          <w:marRight w:val="0"/>
          <w:marTop w:val="0"/>
          <w:marBottom w:val="0"/>
          <w:divBdr>
            <w:top w:val="none" w:sz="0" w:space="0" w:color="auto"/>
            <w:left w:val="none" w:sz="0" w:space="0" w:color="auto"/>
            <w:bottom w:val="none" w:sz="0" w:space="0" w:color="auto"/>
            <w:right w:val="none" w:sz="0" w:space="0" w:color="auto"/>
          </w:divBdr>
        </w:div>
      </w:divsChild>
    </w:div>
    <w:div w:id="1344354644">
      <w:bodyDiv w:val="1"/>
      <w:marLeft w:val="0"/>
      <w:marRight w:val="0"/>
      <w:marTop w:val="0"/>
      <w:marBottom w:val="0"/>
      <w:divBdr>
        <w:top w:val="none" w:sz="0" w:space="0" w:color="auto"/>
        <w:left w:val="none" w:sz="0" w:space="0" w:color="auto"/>
        <w:bottom w:val="none" w:sz="0" w:space="0" w:color="auto"/>
        <w:right w:val="none" w:sz="0" w:space="0" w:color="auto"/>
      </w:divBdr>
      <w:divsChild>
        <w:div w:id="1200626471">
          <w:marLeft w:val="0"/>
          <w:marRight w:val="0"/>
          <w:marTop w:val="0"/>
          <w:marBottom w:val="0"/>
          <w:divBdr>
            <w:top w:val="none" w:sz="0" w:space="0" w:color="auto"/>
            <w:left w:val="none" w:sz="0" w:space="0" w:color="auto"/>
            <w:bottom w:val="none" w:sz="0" w:space="0" w:color="auto"/>
            <w:right w:val="none" w:sz="0" w:space="0" w:color="auto"/>
          </w:divBdr>
        </w:div>
        <w:div w:id="852691971">
          <w:marLeft w:val="0"/>
          <w:marRight w:val="0"/>
          <w:marTop w:val="0"/>
          <w:marBottom w:val="0"/>
          <w:divBdr>
            <w:top w:val="none" w:sz="0" w:space="0" w:color="auto"/>
            <w:left w:val="none" w:sz="0" w:space="0" w:color="auto"/>
            <w:bottom w:val="none" w:sz="0" w:space="0" w:color="auto"/>
            <w:right w:val="none" w:sz="0" w:space="0" w:color="auto"/>
          </w:divBdr>
        </w:div>
      </w:divsChild>
    </w:div>
    <w:div w:id="161555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3673</Words>
  <Characters>2094</Characters>
  <Application>Microsoft Office Word</Application>
  <DocSecurity>4</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Anželika Ņikitina</dc:creator>
  <cp:keywords/>
  <dc:description/>
  <cp:lastModifiedBy>Ingūna Ernštreite</cp:lastModifiedBy>
  <cp:revision>2</cp:revision>
  <cp:lastPrinted>2019-11-20T10:38:00Z</cp:lastPrinted>
  <dcterms:created xsi:type="dcterms:W3CDTF">2019-12-06T08:48:00Z</dcterms:created>
  <dcterms:modified xsi:type="dcterms:W3CDTF">2019-12-06T08:48:00Z</dcterms:modified>
</cp:coreProperties>
</file>