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6F67" w14:textId="77777777" w:rsidR="008F090E" w:rsidRDefault="008F090E" w:rsidP="008F090E">
      <w:pPr>
        <w:shd w:val="clear" w:color="auto" w:fill="FFFFFF"/>
        <w:spacing w:after="0" w:line="240" w:lineRule="auto"/>
        <w:contextualSpacing/>
        <w:jc w:val="center"/>
        <w:rPr>
          <w:rFonts w:ascii="Times New Roman" w:eastAsia="Times New Roman" w:hAnsi="Times New Roman"/>
          <w:b/>
          <w:bCs/>
          <w:sz w:val="28"/>
          <w:szCs w:val="28"/>
          <w:lang w:eastAsia="lv-LV"/>
        </w:rPr>
      </w:pPr>
      <w:r w:rsidRPr="00B811BC">
        <w:rPr>
          <w:rFonts w:ascii="Times New Roman" w:eastAsia="Times New Roman" w:hAnsi="Times New Roman"/>
          <w:b/>
          <w:bCs/>
          <w:sz w:val="28"/>
          <w:szCs w:val="28"/>
          <w:lang w:eastAsia="lv-LV"/>
        </w:rPr>
        <w:t>Ministru kabineta noteikumu projekta “Grozījumi Ministru kabineta 2017.</w:t>
      </w:r>
      <w:r>
        <w:rPr>
          <w:rFonts w:ascii="Times New Roman" w:eastAsia="Times New Roman" w:hAnsi="Times New Roman"/>
          <w:b/>
          <w:bCs/>
          <w:sz w:val="28"/>
          <w:szCs w:val="28"/>
          <w:lang w:eastAsia="lv-LV"/>
        </w:rPr>
        <w:t> </w:t>
      </w:r>
      <w:r w:rsidRPr="00B811BC">
        <w:rPr>
          <w:rFonts w:ascii="Times New Roman" w:eastAsia="Times New Roman" w:hAnsi="Times New Roman"/>
          <w:b/>
          <w:bCs/>
          <w:sz w:val="28"/>
          <w:szCs w:val="28"/>
          <w:lang w:eastAsia="lv-LV"/>
        </w:rPr>
        <w:t>gada 7.</w:t>
      </w:r>
      <w:r>
        <w:rPr>
          <w:rFonts w:ascii="Times New Roman" w:eastAsia="Times New Roman" w:hAnsi="Times New Roman"/>
          <w:b/>
          <w:bCs/>
          <w:sz w:val="28"/>
          <w:szCs w:val="28"/>
          <w:lang w:eastAsia="lv-LV"/>
        </w:rPr>
        <w:t xml:space="preserve"> </w:t>
      </w:r>
      <w:r w:rsidRPr="00B811BC">
        <w:rPr>
          <w:rFonts w:ascii="Times New Roman" w:eastAsia="Times New Roman" w:hAnsi="Times New Roman"/>
          <w:b/>
          <w:bCs/>
          <w:sz w:val="28"/>
          <w:szCs w:val="28"/>
          <w:lang w:eastAsia="lv-LV"/>
        </w:rPr>
        <w:t>februāra noteikumos Nr.</w:t>
      </w:r>
      <w:r>
        <w:rPr>
          <w:rFonts w:ascii="Times New Roman" w:eastAsia="Times New Roman" w:hAnsi="Times New Roman"/>
          <w:b/>
          <w:bCs/>
          <w:sz w:val="28"/>
          <w:szCs w:val="28"/>
          <w:lang w:eastAsia="lv-LV"/>
        </w:rPr>
        <w:t xml:space="preserve"> </w:t>
      </w:r>
      <w:r w:rsidRPr="00B811BC">
        <w:rPr>
          <w:rFonts w:ascii="Times New Roman" w:eastAsia="Times New Roman" w:hAnsi="Times New Roman"/>
          <w:b/>
          <w:bCs/>
          <w:sz w:val="28"/>
          <w:szCs w:val="28"/>
          <w:lang w:eastAsia="lv-LV"/>
        </w:rPr>
        <w:t>78 “Dabasgāzes tirdzniecības un lietošanas noteikumi”” sākotnējās ietekmes novērtējuma ziņojums (anotācija)</w:t>
      </w:r>
    </w:p>
    <w:p w14:paraId="17E7B716"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8"/>
        <w:gridCol w:w="6087"/>
      </w:tblGrid>
      <w:tr w:rsidR="008F090E" w:rsidRPr="00D90BE1" w14:paraId="2EC10B8E" w14:textId="77777777" w:rsidTr="006E74B7">
        <w:trPr>
          <w:trHeight w:val="45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F67735A" w14:textId="77777777" w:rsidR="008F090E" w:rsidRPr="00636AEA" w:rsidRDefault="008F090E" w:rsidP="006E74B7">
            <w:pPr>
              <w:spacing w:after="0" w:line="240" w:lineRule="auto"/>
              <w:jc w:val="center"/>
              <w:rPr>
                <w:rFonts w:ascii="Times New Roman" w:eastAsia="Times New Roman" w:hAnsi="Times New Roman"/>
                <w:b/>
                <w:sz w:val="28"/>
                <w:szCs w:val="28"/>
                <w:lang w:eastAsia="lv-LV"/>
              </w:rPr>
            </w:pPr>
            <w:r w:rsidRPr="00636AEA">
              <w:rPr>
                <w:rFonts w:ascii="Times New Roman" w:eastAsia="Times New Roman" w:hAnsi="Times New Roman"/>
                <w:b/>
                <w:sz w:val="28"/>
                <w:szCs w:val="28"/>
                <w:lang w:eastAsia="lv-LV"/>
              </w:rPr>
              <w:t>Tiesību akta projekta anotācijas kopsavilkums</w:t>
            </w:r>
          </w:p>
        </w:tc>
      </w:tr>
      <w:tr w:rsidR="008F090E" w:rsidRPr="00D90BE1" w14:paraId="15B5A1FD" w14:textId="77777777" w:rsidTr="006E74B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1639" w:type="pct"/>
            <w:tcBorders>
              <w:top w:val="outset" w:sz="6" w:space="0" w:color="auto"/>
              <w:left w:val="outset" w:sz="6" w:space="0" w:color="auto"/>
              <w:bottom w:val="outset" w:sz="6" w:space="0" w:color="auto"/>
              <w:right w:val="outset" w:sz="6" w:space="0" w:color="auto"/>
            </w:tcBorders>
          </w:tcPr>
          <w:p w14:paraId="3EE5017B" w14:textId="77777777" w:rsidR="008F090E" w:rsidRPr="00636AEA" w:rsidRDefault="008F090E" w:rsidP="006E74B7">
            <w:pPr>
              <w:spacing w:after="0" w:line="240" w:lineRule="auto"/>
              <w:rPr>
                <w:rFonts w:ascii="Times New Roman" w:eastAsia="Times New Roman" w:hAnsi="Times New Roman"/>
                <w:sz w:val="28"/>
                <w:szCs w:val="28"/>
                <w:lang w:eastAsia="lv-LV"/>
              </w:rPr>
            </w:pPr>
            <w:r w:rsidRPr="00636AEA">
              <w:rPr>
                <w:rFonts w:ascii="Times New Roman" w:eastAsia="Times New Roman" w:hAnsi="Times New Roman"/>
                <w:sz w:val="28"/>
                <w:szCs w:val="28"/>
                <w:lang w:eastAsia="lv-LV"/>
              </w:rPr>
              <w:t>Mērķis, risinājums un projekta spēkā stāšanās laiks (500 zīmes bez atstarpēm)</w:t>
            </w:r>
          </w:p>
        </w:tc>
        <w:tc>
          <w:tcPr>
            <w:tcW w:w="3361" w:type="pct"/>
            <w:tcBorders>
              <w:top w:val="outset" w:sz="6" w:space="0" w:color="auto"/>
              <w:left w:val="outset" w:sz="6" w:space="0" w:color="auto"/>
              <w:bottom w:val="outset" w:sz="6" w:space="0" w:color="auto"/>
              <w:right w:val="outset" w:sz="6" w:space="0" w:color="auto"/>
            </w:tcBorders>
          </w:tcPr>
          <w:p w14:paraId="72769CAE" w14:textId="77777777" w:rsidR="008F090E" w:rsidRPr="00B91165" w:rsidRDefault="008F090E" w:rsidP="006E74B7">
            <w:pPr>
              <w:spacing w:after="0" w:line="240" w:lineRule="auto"/>
              <w:ind w:left="43" w:firstLine="418"/>
              <w:contextualSpacing/>
              <w:jc w:val="both"/>
              <w:rPr>
                <w:rFonts w:ascii="Times New Roman" w:hAnsi="Times New Roman"/>
                <w:color w:val="0D0D0D"/>
                <w:sz w:val="28"/>
                <w:szCs w:val="28"/>
                <w:lang w:eastAsia="lv-LV"/>
              </w:rPr>
            </w:pPr>
            <w:r w:rsidRPr="00F96D5D">
              <w:rPr>
                <w:rFonts w:ascii="Times New Roman" w:hAnsi="Times New Roman"/>
                <w:sz w:val="28"/>
                <w:szCs w:val="28"/>
                <w:lang w:eastAsia="lv-LV"/>
              </w:rPr>
              <w:t>Ministru kabinet</w:t>
            </w:r>
            <w:r>
              <w:rPr>
                <w:rFonts w:ascii="Times New Roman" w:hAnsi="Times New Roman"/>
                <w:sz w:val="28"/>
                <w:szCs w:val="28"/>
                <w:lang w:eastAsia="lv-LV"/>
              </w:rPr>
              <w:t>a 2017. gada 7. februāra noteikumu</w:t>
            </w:r>
            <w:r w:rsidRPr="00F96D5D">
              <w:rPr>
                <w:rFonts w:ascii="Times New Roman" w:hAnsi="Times New Roman"/>
                <w:sz w:val="28"/>
                <w:szCs w:val="28"/>
                <w:lang w:eastAsia="lv-LV"/>
              </w:rPr>
              <w:t xml:space="preserve"> Nr.</w:t>
            </w:r>
            <w:r>
              <w:rPr>
                <w:rFonts w:ascii="Times New Roman" w:hAnsi="Times New Roman"/>
                <w:sz w:val="28"/>
                <w:szCs w:val="28"/>
                <w:lang w:eastAsia="lv-LV"/>
              </w:rPr>
              <w:t xml:space="preserve"> </w:t>
            </w:r>
            <w:r w:rsidRPr="00F96D5D">
              <w:rPr>
                <w:rFonts w:ascii="Times New Roman" w:hAnsi="Times New Roman"/>
                <w:sz w:val="28"/>
                <w:szCs w:val="28"/>
                <w:lang w:eastAsia="lv-LV"/>
              </w:rPr>
              <w:t>78 “Dabasgāzes tirdzniecības un lietošanas noteikumi”</w:t>
            </w:r>
            <w:r>
              <w:rPr>
                <w:rFonts w:ascii="Times New Roman" w:hAnsi="Times New Roman"/>
                <w:sz w:val="28"/>
                <w:szCs w:val="28"/>
                <w:lang w:eastAsia="lv-LV"/>
              </w:rPr>
              <w:t xml:space="preserve"> (turpmāk – Noteikumi) pārskatīšana nepieciešama, jo spēkā stājušies jauni dabasgāzes sadales sistēmas pakalpojuma tarifi, ar </w:t>
            </w:r>
            <w:r w:rsidRPr="00B91165">
              <w:rPr>
                <w:rFonts w:ascii="Times New Roman" w:hAnsi="Times New Roman"/>
                <w:color w:val="0D0D0D"/>
                <w:sz w:val="28"/>
                <w:szCs w:val="28"/>
                <w:lang w:eastAsia="lv-LV"/>
              </w:rPr>
              <w:t>mērķi padarīt dabasgāzes sadales sistēmas izmantošanu efektīvāku.</w:t>
            </w:r>
          </w:p>
          <w:p w14:paraId="4B65A69D" w14:textId="77777777" w:rsidR="008F090E" w:rsidRPr="00636AEA" w:rsidRDefault="008F090E" w:rsidP="006E74B7">
            <w:pPr>
              <w:spacing w:after="0" w:line="240" w:lineRule="auto"/>
              <w:ind w:left="43" w:firstLine="418"/>
              <w:contextualSpacing/>
              <w:jc w:val="both"/>
              <w:rPr>
                <w:rFonts w:ascii="Times New Roman" w:hAnsi="Times New Roman"/>
                <w:sz w:val="28"/>
                <w:szCs w:val="28"/>
                <w:lang w:eastAsia="lv-LV"/>
              </w:rPr>
            </w:pPr>
            <w:r w:rsidRPr="00B91165">
              <w:rPr>
                <w:rFonts w:ascii="Times New Roman" w:hAnsi="Times New Roman"/>
                <w:color w:val="0D0D0D"/>
                <w:sz w:val="28"/>
                <w:szCs w:val="28"/>
              </w:rPr>
              <w:t>Noteikumu projekts</w:t>
            </w:r>
            <w:r w:rsidRPr="00D90BE1">
              <w:rPr>
                <w:rFonts w:ascii="Times New Roman" w:hAnsi="Times New Roman"/>
                <w:sz w:val="28"/>
                <w:szCs w:val="28"/>
              </w:rPr>
              <w:t xml:space="preserve"> “Grozījumi Ministru kabineta 2017.</w:t>
            </w:r>
            <w:r>
              <w:rPr>
                <w:rFonts w:ascii="Times New Roman" w:hAnsi="Times New Roman"/>
                <w:sz w:val="28"/>
                <w:szCs w:val="28"/>
              </w:rPr>
              <w:t xml:space="preserve"> </w:t>
            </w:r>
            <w:r w:rsidRPr="00D90BE1">
              <w:rPr>
                <w:rFonts w:ascii="Times New Roman" w:hAnsi="Times New Roman"/>
                <w:sz w:val="28"/>
                <w:szCs w:val="28"/>
              </w:rPr>
              <w:t>gada 7.</w:t>
            </w:r>
            <w:r>
              <w:rPr>
                <w:rFonts w:ascii="Times New Roman" w:hAnsi="Times New Roman"/>
                <w:sz w:val="28"/>
                <w:szCs w:val="28"/>
              </w:rPr>
              <w:t xml:space="preserve"> </w:t>
            </w:r>
            <w:r w:rsidRPr="00D90BE1">
              <w:rPr>
                <w:rFonts w:ascii="Times New Roman" w:hAnsi="Times New Roman"/>
                <w:sz w:val="28"/>
                <w:szCs w:val="28"/>
              </w:rPr>
              <w:t>februāra noteikumos Nr.</w:t>
            </w:r>
            <w:r>
              <w:rPr>
                <w:rFonts w:ascii="Times New Roman" w:hAnsi="Times New Roman"/>
                <w:sz w:val="28"/>
                <w:szCs w:val="28"/>
              </w:rPr>
              <w:t xml:space="preserve"> </w:t>
            </w:r>
            <w:r w:rsidRPr="00D90BE1">
              <w:rPr>
                <w:rFonts w:ascii="Times New Roman" w:hAnsi="Times New Roman"/>
                <w:sz w:val="28"/>
                <w:szCs w:val="28"/>
              </w:rPr>
              <w:t>78 “Dabasgāzes tirdzniecības un lietošanas noteikumi”” (turpmāk – Projekts) stāsies spēkā vispārējā kārtībā atbilstoši Oficiālo publikāciju un tiesiskās informācijas likumam.</w:t>
            </w:r>
          </w:p>
        </w:tc>
      </w:tr>
    </w:tbl>
    <w:p w14:paraId="74142F4A" w14:textId="77777777" w:rsidR="008F090E" w:rsidRPr="00261D45"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543"/>
        <w:gridCol w:w="6089"/>
      </w:tblGrid>
      <w:tr w:rsidR="008F090E" w:rsidRPr="00D90BE1" w14:paraId="1EB2C32D" w14:textId="77777777" w:rsidTr="006E74B7">
        <w:trPr>
          <w:trHeight w:val="454"/>
        </w:trPr>
        <w:tc>
          <w:tcPr>
            <w:tcW w:w="5000" w:type="pct"/>
            <w:gridSpan w:val="3"/>
            <w:shd w:val="clear" w:color="auto" w:fill="auto"/>
            <w:vAlign w:val="center"/>
            <w:hideMark/>
          </w:tcPr>
          <w:p w14:paraId="4567158E"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 Tiesību akta projekta izstrādes nepieciešamība</w:t>
            </w:r>
          </w:p>
        </w:tc>
      </w:tr>
      <w:tr w:rsidR="008F090E" w:rsidRPr="00D90BE1" w14:paraId="1AE74E61" w14:textId="77777777" w:rsidTr="006E74B7">
        <w:tc>
          <w:tcPr>
            <w:tcW w:w="237" w:type="pct"/>
            <w:shd w:val="clear" w:color="auto" w:fill="auto"/>
            <w:hideMark/>
          </w:tcPr>
          <w:p w14:paraId="4AF65FF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403" w:type="pct"/>
            <w:shd w:val="clear" w:color="auto" w:fill="auto"/>
            <w:hideMark/>
          </w:tcPr>
          <w:p w14:paraId="68CCD05C"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Pamatojums</w:t>
            </w:r>
          </w:p>
        </w:tc>
        <w:tc>
          <w:tcPr>
            <w:tcW w:w="3360" w:type="pct"/>
            <w:shd w:val="clear" w:color="auto" w:fill="auto"/>
          </w:tcPr>
          <w:p w14:paraId="146251C2" w14:textId="77777777" w:rsidR="008F090E" w:rsidRPr="00D90BE1" w:rsidRDefault="008F090E" w:rsidP="006E74B7">
            <w:pPr>
              <w:spacing w:before="60" w:after="60" w:line="240" w:lineRule="auto"/>
              <w:ind w:right="65" w:firstLine="484"/>
              <w:jc w:val="both"/>
              <w:rPr>
                <w:rFonts w:ascii="Times New Roman" w:eastAsia="Times New Roman" w:hAnsi="Times New Roman"/>
                <w:sz w:val="28"/>
                <w:szCs w:val="28"/>
                <w:lang w:eastAsia="lv-LV"/>
              </w:rPr>
            </w:pPr>
            <w:r w:rsidRPr="004E4D30">
              <w:rPr>
                <w:rFonts w:ascii="Times New Roman" w:hAnsi="Times New Roman"/>
                <w:sz w:val="28"/>
                <w:szCs w:val="28"/>
              </w:rPr>
              <w:t>Projekts izstrādāts pēc dabasgāzes sadales sistēmas operatora AS “Gaso” un Ekonomikas ministrijas iniciatīvas, saskaņā ar Enerģētikas likuma 107.panta trešo, piekto un septīto daļu un 109.panta ceturto daļu</w:t>
            </w:r>
            <w:r>
              <w:rPr>
                <w:rFonts w:ascii="Times New Roman" w:hAnsi="Times New Roman"/>
                <w:sz w:val="28"/>
                <w:szCs w:val="28"/>
              </w:rPr>
              <w:t xml:space="preserve"> un </w:t>
            </w:r>
            <w:r w:rsidRPr="00D90BE1">
              <w:rPr>
                <w:rFonts w:ascii="Times New Roman" w:hAnsi="Times New Roman"/>
                <w:sz w:val="28"/>
                <w:szCs w:val="28"/>
              </w:rPr>
              <w:t>Sabiedrisko pakalpojumu regulēšanas komisijas (turpmāk – Regulators) 2018.</w:t>
            </w:r>
            <w:r>
              <w:rPr>
                <w:rFonts w:ascii="Times New Roman" w:hAnsi="Times New Roman"/>
                <w:sz w:val="28"/>
                <w:szCs w:val="28"/>
              </w:rPr>
              <w:t xml:space="preserve"> </w:t>
            </w:r>
            <w:r w:rsidRPr="00D90BE1">
              <w:rPr>
                <w:rFonts w:ascii="Times New Roman" w:hAnsi="Times New Roman"/>
                <w:sz w:val="28"/>
                <w:szCs w:val="28"/>
              </w:rPr>
              <w:t>gada 25.</w:t>
            </w:r>
            <w:r>
              <w:rPr>
                <w:rFonts w:ascii="Times New Roman" w:hAnsi="Times New Roman"/>
                <w:sz w:val="28"/>
                <w:szCs w:val="28"/>
              </w:rPr>
              <w:t xml:space="preserve"> </w:t>
            </w:r>
            <w:r w:rsidRPr="00D90BE1">
              <w:rPr>
                <w:rFonts w:ascii="Times New Roman" w:hAnsi="Times New Roman"/>
                <w:sz w:val="28"/>
                <w:szCs w:val="28"/>
              </w:rPr>
              <w:t>septembra padomes lēmum</w:t>
            </w:r>
            <w:r>
              <w:rPr>
                <w:rFonts w:ascii="Times New Roman" w:hAnsi="Times New Roman"/>
                <w:sz w:val="28"/>
                <w:szCs w:val="28"/>
              </w:rPr>
              <w:t>u</w:t>
            </w:r>
            <w:r w:rsidRPr="00D90BE1">
              <w:rPr>
                <w:rFonts w:ascii="Times New Roman" w:hAnsi="Times New Roman"/>
                <w:sz w:val="28"/>
                <w:szCs w:val="28"/>
              </w:rPr>
              <w:t xml:space="preserve"> Nr.</w:t>
            </w:r>
            <w:r>
              <w:rPr>
                <w:rFonts w:ascii="Times New Roman" w:hAnsi="Times New Roman"/>
                <w:sz w:val="28"/>
                <w:szCs w:val="28"/>
              </w:rPr>
              <w:t xml:space="preserve"> </w:t>
            </w:r>
            <w:r w:rsidRPr="00D90BE1">
              <w:rPr>
                <w:rFonts w:ascii="Times New Roman" w:hAnsi="Times New Roman"/>
                <w:sz w:val="28"/>
                <w:szCs w:val="28"/>
              </w:rPr>
              <w:t>107 “Par akciju sabiedrības “Gaso” dabasgāzes sadales sistēmas pakalpojuma diferencētajiem tarifiem” (turpmāk – Regulatora lēmums Nr.107).</w:t>
            </w:r>
          </w:p>
        </w:tc>
      </w:tr>
      <w:tr w:rsidR="008F090E" w:rsidRPr="00D90BE1" w14:paraId="48EB56D4" w14:textId="77777777" w:rsidTr="006E74B7">
        <w:tc>
          <w:tcPr>
            <w:tcW w:w="237" w:type="pct"/>
            <w:shd w:val="clear" w:color="auto" w:fill="auto"/>
            <w:hideMark/>
          </w:tcPr>
          <w:p w14:paraId="36B69CF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403" w:type="pct"/>
            <w:shd w:val="clear" w:color="auto" w:fill="auto"/>
            <w:hideMark/>
          </w:tcPr>
          <w:p w14:paraId="16B11670" w14:textId="77777777" w:rsidR="008F090E" w:rsidRPr="003507FB"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Pašreizējā situācija un problēmas, kuru risināšanai tiesību akta projekts izstrādāts, tiesiskā regulējuma mērķis un būtība</w:t>
            </w:r>
          </w:p>
        </w:tc>
        <w:tc>
          <w:tcPr>
            <w:tcW w:w="3360" w:type="pct"/>
            <w:shd w:val="clear" w:color="auto" w:fill="auto"/>
            <w:hideMark/>
          </w:tcPr>
          <w:p w14:paraId="22B68495" w14:textId="59823154" w:rsidR="008F090E" w:rsidRPr="00D90BE1" w:rsidRDefault="008F090E" w:rsidP="006E74B7">
            <w:pPr>
              <w:spacing w:before="60" w:after="60" w:line="240" w:lineRule="auto"/>
              <w:ind w:right="65" w:firstLine="349"/>
              <w:jc w:val="both"/>
              <w:rPr>
                <w:rFonts w:ascii="Times New Roman" w:hAnsi="Times New Roman"/>
                <w:sz w:val="28"/>
                <w:szCs w:val="28"/>
              </w:rPr>
            </w:pPr>
            <w:r>
              <w:rPr>
                <w:rFonts w:ascii="Times New Roman" w:hAnsi="Times New Roman"/>
                <w:sz w:val="28"/>
                <w:szCs w:val="28"/>
              </w:rPr>
              <w:t xml:space="preserve">Projekts izstrādāts, </w:t>
            </w:r>
            <w:r w:rsidRPr="00D90BE1">
              <w:rPr>
                <w:rFonts w:ascii="Times New Roman" w:hAnsi="Times New Roman"/>
                <w:sz w:val="28"/>
                <w:szCs w:val="28"/>
              </w:rPr>
              <w:t xml:space="preserve">lai nodrošinātu Noteikumu aktualizēšanu un novērstu potenciālās domstarpības, kuras var rasties starp dabasgāzes lietotāju vai gazificētā objekta īpašnieku un dabasgāzes tirgotāju, publisko tirgotāju vai pēdējās garantētās piegādes pakalpojuma sniedzēju, ņemot vērā, ka Regulators ir apstiprinājis jaunus dabasgāzes sadales sistēmas pakalpojuma diferencētos tarifus, </w:t>
            </w:r>
            <w:r>
              <w:rPr>
                <w:rFonts w:ascii="Times New Roman" w:hAnsi="Times New Roman"/>
                <w:sz w:val="28"/>
                <w:szCs w:val="28"/>
              </w:rPr>
              <w:t>kas</w:t>
            </w:r>
            <w:r w:rsidRPr="00D90BE1">
              <w:rPr>
                <w:rFonts w:ascii="Times New Roman" w:hAnsi="Times New Roman"/>
                <w:sz w:val="28"/>
                <w:szCs w:val="28"/>
              </w:rPr>
              <w:t xml:space="preserve"> saskaņā ar Regulatora lēmuma Nr.107 nolēmuma daļas 2.punktu  stājās spēkā 2019.gada 1.janvārī. </w:t>
            </w:r>
          </w:p>
          <w:p w14:paraId="1C6D04C0" w14:textId="77777777" w:rsidR="000B5B53" w:rsidRDefault="008F090E" w:rsidP="006E74B7">
            <w:pPr>
              <w:spacing w:before="60" w:after="60" w:line="240" w:lineRule="auto"/>
              <w:ind w:right="65" w:firstLine="349"/>
              <w:jc w:val="both"/>
              <w:rPr>
                <w:rFonts w:ascii="Times New Roman" w:hAnsi="Times New Roman"/>
                <w:sz w:val="28"/>
                <w:szCs w:val="28"/>
              </w:rPr>
            </w:pPr>
            <w:r w:rsidRPr="00D90BE1">
              <w:rPr>
                <w:rFonts w:ascii="Times New Roman" w:hAnsi="Times New Roman"/>
                <w:sz w:val="28"/>
                <w:szCs w:val="28"/>
              </w:rPr>
              <w:lastRenderedPageBreak/>
              <w:t xml:space="preserve">Projekta mērķis ir aktualizēt Noteikumus, atbilstoši faktiskajai situācijai un būtiskām izmaiņām dabasgāzes sektorā. No 2019.gada 1.janvāra stājās spēkā jauni dabasgāzes sadales sistēmas pakalpojuma tarifi, kur iekļauta ne tikai tarifa mainīgā, bet arī fiksētā daļa. </w:t>
            </w:r>
          </w:p>
          <w:p w14:paraId="6B077779" w14:textId="0DA74D01" w:rsidR="000B5B53" w:rsidRDefault="002E3C9F" w:rsidP="006E74B7">
            <w:pPr>
              <w:spacing w:before="60" w:after="60" w:line="240" w:lineRule="auto"/>
              <w:ind w:right="65" w:firstLine="349"/>
              <w:jc w:val="both"/>
              <w:rPr>
                <w:rFonts w:ascii="Times New Roman" w:hAnsi="Times New Roman"/>
                <w:sz w:val="28"/>
                <w:szCs w:val="28"/>
              </w:rPr>
            </w:pPr>
            <w:r>
              <w:rPr>
                <w:rFonts w:ascii="Times New Roman" w:hAnsi="Times New Roman"/>
                <w:sz w:val="28"/>
                <w:szCs w:val="28"/>
              </w:rPr>
              <w:t xml:space="preserve">Sadales sistēmas operatoram ir pienākums nodrošināt </w:t>
            </w:r>
            <w:r w:rsidRPr="002E3C9F">
              <w:rPr>
                <w:rFonts w:ascii="Times New Roman" w:hAnsi="Times New Roman"/>
                <w:sz w:val="28"/>
                <w:szCs w:val="28"/>
              </w:rPr>
              <w:t>dabasgāzes transportēšan</w:t>
            </w:r>
            <w:r>
              <w:rPr>
                <w:rFonts w:ascii="Times New Roman" w:hAnsi="Times New Roman"/>
                <w:sz w:val="28"/>
                <w:szCs w:val="28"/>
              </w:rPr>
              <w:t xml:space="preserve">u </w:t>
            </w:r>
            <w:r w:rsidRPr="002E3C9F">
              <w:rPr>
                <w:rFonts w:ascii="Times New Roman" w:hAnsi="Times New Roman"/>
                <w:sz w:val="28"/>
                <w:szCs w:val="28"/>
              </w:rPr>
              <w:t xml:space="preserve">sadales sistēmā, </w:t>
            </w:r>
            <w:r>
              <w:rPr>
                <w:rFonts w:ascii="Times New Roman" w:hAnsi="Times New Roman"/>
                <w:sz w:val="28"/>
                <w:szCs w:val="28"/>
              </w:rPr>
              <w:t>kā arī nodrošināt</w:t>
            </w:r>
            <w:r w:rsidRPr="002E3C9F">
              <w:rPr>
                <w:rFonts w:ascii="Times New Roman" w:hAnsi="Times New Roman"/>
                <w:sz w:val="28"/>
                <w:szCs w:val="28"/>
              </w:rPr>
              <w:t xml:space="preserve"> sadales sistēmas jaudas uzturēšan</w:t>
            </w:r>
            <w:r>
              <w:rPr>
                <w:rFonts w:ascii="Times New Roman" w:hAnsi="Times New Roman"/>
                <w:sz w:val="28"/>
                <w:szCs w:val="28"/>
              </w:rPr>
              <w:t>u</w:t>
            </w:r>
            <w:r w:rsidRPr="002E3C9F">
              <w:rPr>
                <w:rFonts w:ascii="Times New Roman" w:hAnsi="Times New Roman"/>
                <w:sz w:val="28"/>
                <w:szCs w:val="28"/>
              </w:rPr>
              <w:t xml:space="preserve"> un attīstīšan</w:t>
            </w:r>
            <w:r>
              <w:rPr>
                <w:rFonts w:ascii="Times New Roman" w:hAnsi="Times New Roman"/>
                <w:sz w:val="28"/>
                <w:szCs w:val="28"/>
              </w:rPr>
              <w:t>u.</w:t>
            </w:r>
            <w:r w:rsidR="00E00254">
              <w:rPr>
                <w:rFonts w:ascii="Times New Roman" w:hAnsi="Times New Roman"/>
                <w:sz w:val="28"/>
                <w:szCs w:val="28"/>
              </w:rPr>
              <w:t xml:space="preserve"> Lietotājam ir pienākums norēķināties par patērēto dabasgāzi un visiem sadales sistēmas operatora sniegtajiem pakalpojumiem. </w:t>
            </w:r>
            <w:r w:rsidRPr="002E3C9F">
              <w:rPr>
                <w:rFonts w:ascii="Times New Roman" w:hAnsi="Times New Roman"/>
                <w:sz w:val="28"/>
                <w:szCs w:val="28"/>
              </w:rPr>
              <w:t xml:space="preserve"> </w:t>
            </w:r>
          </w:p>
          <w:p w14:paraId="4F08FCF4" w14:textId="1D5BEFB3" w:rsidR="008F090E" w:rsidRDefault="008F090E" w:rsidP="006E74B7">
            <w:pPr>
              <w:spacing w:before="60" w:after="60" w:line="240" w:lineRule="auto"/>
              <w:ind w:right="65" w:firstLine="349"/>
              <w:jc w:val="both"/>
              <w:rPr>
                <w:rFonts w:ascii="Times New Roman" w:hAnsi="Times New Roman"/>
                <w:sz w:val="28"/>
                <w:szCs w:val="28"/>
              </w:rPr>
            </w:pPr>
            <w:r w:rsidRPr="00D90BE1">
              <w:rPr>
                <w:rFonts w:ascii="Times New Roman" w:hAnsi="Times New Roman"/>
                <w:sz w:val="28"/>
                <w:szCs w:val="28"/>
              </w:rPr>
              <w:t>Projekts papildina esošo Noteikumu redakciju</w:t>
            </w:r>
            <w:r>
              <w:rPr>
                <w:rFonts w:ascii="Times New Roman" w:hAnsi="Times New Roman"/>
                <w:sz w:val="28"/>
                <w:szCs w:val="28"/>
              </w:rPr>
              <w:t>,</w:t>
            </w:r>
            <w:r w:rsidRPr="00D90BE1">
              <w:rPr>
                <w:rFonts w:ascii="Times New Roman" w:hAnsi="Times New Roman"/>
                <w:sz w:val="28"/>
                <w:szCs w:val="28"/>
              </w:rPr>
              <w:t xml:space="preserve"> padarot to konkrētāku un skaidrāku. </w:t>
            </w:r>
            <w:r>
              <w:rPr>
                <w:rFonts w:ascii="Times New Roman" w:hAnsi="Times New Roman"/>
                <w:sz w:val="28"/>
                <w:szCs w:val="28"/>
              </w:rPr>
              <w:t xml:space="preserve">Noteikumos ieviesta jauna iespēja lietotājiem, kuru gazificētais objekts aprīkots ar telemetrijas sistēmu – samazinātas slodzes pieteikšana jeb pieteiktā slodze. Tās mērķis ir rast iespēju šāda gazificētā objekta lietotājam maksāt mazāk un ietaupīt finanšu līdzekļus, ja tā gazificētajam objektam nav nepieciešama visa maksimālā atļautā slodze. </w:t>
            </w:r>
          </w:p>
          <w:p w14:paraId="26DCF8A8" w14:textId="77777777" w:rsidR="008F090E" w:rsidRPr="00547683" w:rsidRDefault="008F090E" w:rsidP="006E74B7">
            <w:pPr>
              <w:spacing w:before="60" w:after="60" w:line="240" w:lineRule="auto"/>
              <w:ind w:right="65" w:firstLine="349"/>
              <w:jc w:val="both"/>
              <w:rPr>
                <w:rFonts w:ascii="Times New Roman" w:hAnsi="Times New Roman"/>
                <w:sz w:val="28"/>
                <w:szCs w:val="28"/>
              </w:rPr>
            </w:pPr>
            <w:r w:rsidRPr="00547683">
              <w:rPr>
                <w:rFonts w:ascii="Times New Roman" w:hAnsi="Times New Roman"/>
                <w:sz w:val="28"/>
                <w:szCs w:val="28"/>
              </w:rPr>
              <w:t>Projektā plānoti šādi Noteikumu grozījumi:</w:t>
            </w:r>
          </w:p>
          <w:p w14:paraId="063BFA9C" w14:textId="6DC70CA7" w:rsidR="008F090E" w:rsidRPr="00B740C5"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sidRPr="00547683">
              <w:rPr>
                <w:rFonts w:ascii="Times New Roman" w:hAnsi="Times New Roman"/>
                <w:sz w:val="28"/>
                <w:szCs w:val="28"/>
              </w:rPr>
              <w:t xml:space="preserve">Papildināts Noteikumu </w:t>
            </w:r>
            <w:bookmarkStart w:id="0" w:name="_Hlk3878294"/>
            <w:r w:rsidRPr="00547683">
              <w:rPr>
                <w:rFonts w:ascii="Times New Roman" w:hAnsi="Times New Roman"/>
                <w:sz w:val="28"/>
                <w:szCs w:val="28"/>
              </w:rPr>
              <w:t>4.punkts</w:t>
            </w:r>
            <w:bookmarkEnd w:id="0"/>
            <w:r w:rsidRPr="00547683">
              <w:rPr>
                <w:rFonts w:ascii="Times New Roman" w:hAnsi="Times New Roman"/>
                <w:sz w:val="28"/>
                <w:szCs w:val="28"/>
              </w:rPr>
              <w:t xml:space="preserve">, </w:t>
            </w:r>
            <w:r>
              <w:rPr>
                <w:rFonts w:ascii="Times New Roman" w:hAnsi="Times New Roman"/>
                <w:sz w:val="28"/>
                <w:szCs w:val="28"/>
              </w:rPr>
              <w:t>kas</w:t>
            </w:r>
            <w:r w:rsidRPr="00547683">
              <w:rPr>
                <w:rFonts w:ascii="Times New Roman" w:hAnsi="Times New Roman"/>
                <w:sz w:val="28"/>
                <w:szCs w:val="28"/>
              </w:rPr>
              <w:t xml:space="preserve"> paplašina dabasgāzes lietotāja iespējas</w:t>
            </w:r>
            <w:r>
              <w:rPr>
                <w:rFonts w:ascii="Times New Roman" w:hAnsi="Times New Roman"/>
                <w:sz w:val="28"/>
                <w:szCs w:val="28"/>
              </w:rPr>
              <w:t>,</w:t>
            </w:r>
            <w:r w:rsidRPr="00547683">
              <w:rPr>
                <w:rFonts w:ascii="Times New Roman" w:hAnsi="Times New Roman"/>
                <w:sz w:val="28"/>
                <w:szCs w:val="28"/>
              </w:rPr>
              <w:t xml:space="preserve"> nosakot, ka lietotājs</w:t>
            </w:r>
            <w:r w:rsidR="009F3AFA">
              <w:rPr>
                <w:rFonts w:ascii="Times New Roman" w:hAnsi="Times New Roman"/>
                <w:sz w:val="28"/>
                <w:szCs w:val="28"/>
              </w:rPr>
              <w:t xml:space="preserve"> </w:t>
            </w:r>
            <w:r w:rsidR="00A932D5">
              <w:rPr>
                <w:rFonts w:ascii="Times New Roman" w:hAnsi="Times New Roman"/>
                <w:sz w:val="28"/>
                <w:szCs w:val="28"/>
              </w:rPr>
              <w:t>var vienoties ar</w:t>
            </w:r>
            <w:r w:rsidR="009F3AFA">
              <w:rPr>
                <w:rFonts w:ascii="Times New Roman" w:hAnsi="Times New Roman"/>
                <w:sz w:val="28"/>
                <w:szCs w:val="28"/>
              </w:rPr>
              <w:t xml:space="preserve"> sadales sistēmas operatoru </w:t>
            </w:r>
            <w:r w:rsidR="00A932D5">
              <w:rPr>
                <w:rFonts w:ascii="Times New Roman" w:hAnsi="Times New Roman"/>
                <w:sz w:val="28"/>
                <w:szCs w:val="28"/>
              </w:rPr>
              <w:t xml:space="preserve">gan </w:t>
            </w:r>
            <w:r w:rsidR="009F3AFA">
              <w:rPr>
                <w:rFonts w:ascii="Times New Roman" w:hAnsi="Times New Roman"/>
                <w:sz w:val="28"/>
                <w:szCs w:val="28"/>
              </w:rPr>
              <w:t>par atļautās maksimālās slodzes samazināšanu</w:t>
            </w:r>
            <w:r w:rsidR="00A932D5">
              <w:rPr>
                <w:rFonts w:ascii="Times New Roman" w:hAnsi="Times New Roman"/>
                <w:sz w:val="28"/>
                <w:szCs w:val="28"/>
              </w:rPr>
              <w:t>, gan</w:t>
            </w:r>
            <w:r w:rsidR="009F3AFA">
              <w:rPr>
                <w:rFonts w:ascii="Times New Roman" w:hAnsi="Times New Roman"/>
                <w:sz w:val="28"/>
                <w:szCs w:val="28"/>
              </w:rPr>
              <w:t xml:space="preserve"> palielināšanu gazificētajā objektā</w:t>
            </w:r>
            <w:r w:rsidR="00A932D5">
              <w:rPr>
                <w:rFonts w:ascii="Times New Roman" w:hAnsi="Times New Roman"/>
                <w:sz w:val="28"/>
                <w:szCs w:val="28"/>
              </w:rPr>
              <w:t xml:space="preserve"> un šādā gadījumā</w:t>
            </w:r>
            <w:r w:rsidRPr="00547683">
              <w:rPr>
                <w:rFonts w:ascii="Times New Roman" w:hAnsi="Times New Roman"/>
                <w:sz w:val="28"/>
                <w:szCs w:val="28"/>
              </w:rPr>
              <w:t xml:space="preserve"> </w:t>
            </w:r>
            <w:r w:rsidR="009F3AFA">
              <w:rPr>
                <w:rFonts w:ascii="Times New Roman" w:hAnsi="Times New Roman"/>
                <w:sz w:val="28"/>
                <w:szCs w:val="28"/>
              </w:rPr>
              <w:t xml:space="preserve">sadales sistēmas operators par to informē </w:t>
            </w:r>
            <w:r w:rsidR="00A932D5">
              <w:rPr>
                <w:rFonts w:ascii="Times New Roman" w:hAnsi="Times New Roman"/>
                <w:sz w:val="28"/>
                <w:szCs w:val="28"/>
              </w:rPr>
              <w:t xml:space="preserve">dabasgāzes </w:t>
            </w:r>
            <w:r w:rsidR="009F3AFA">
              <w:rPr>
                <w:rFonts w:ascii="Times New Roman" w:hAnsi="Times New Roman"/>
                <w:sz w:val="28"/>
                <w:szCs w:val="28"/>
              </w:rPr>
              <w:t>tirgotāju</w:t>
            </w:r>
            <w:r w:rsidR="00A932D5">
              <w:rPr>
                <w:rFonts w:ascii="Times New Roman" w:hAnsi="Times New Roman"/>
                <w:sz w:val="28"/>
                <w:szCs w:val="28"/>
              </w:rPr>
              <w:t xml:space="preserve"> ar ko lietotājam noslēgts dabasgāzes tirdzniecības līgums</w:t>
            </w:r>
            <w:r w:rsidRPr="00D843EF">
              <w:rPr>
                <w:rFonts w:ascii="Times New Roman" w:hAnsi="Times New Roman"/>
                <w:sz w:val="28"/>
                <w:szCs w:val="28"/>
              </w:rPr>
              <w:t>.</w:t>
            </w:r>
            <w:r w:rsidRPr="00D843EF">
              <w:rPr>
                <w:sz w:val="28"/>
                <w:szCs w:val="28"/>
              </w:rPr>
              <w:t xml:space="preserve"> </w:t>
            </w:r>
            <w:bookmarkStart w:id="1" w:name="_Hlk3882264"/>
          </w:p>
          <w:p w14:paraId="4609E147" w14:textId="77777777" w:rsidR="008F090E"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Noteikumi papildināti ar</w:t>
            </w:r>
            <w:r w:rsidRPr="00547683">
              <w:rPr>
                <w:rFonts w:ascii="Times New Roman" w:hAnsi="Times New Roman"/>
                <w:sz w:val="28"/>
                <w:szCs w:val="28"/>
              </w:rPr>
              <w:t xml:space="preserve"> </w:t>
            </w:r>
            <w:bookmarkStart w:id="2" w:name="_Hlk3884201"/>
            <w:r w:rsidRPr="00547683">
              <w:rPr>
                <w:rFonts w:ascii="Times New Roman" w:hAnsi="Times New Roman"/>
                <w:sz w:val="28"/>
                <w:szCs w:val="28"/>
              </w:rPr>
              <w:t>4.</w:t>
            </w:r>
            <w:r w:rsidRPr="00547683">
              <w:rPr>
                <w:rFonts w:ascii="Times New Roman" w:hAnsi="Times New Roman"/>
                <w:sz w:val="28"/>
                <w:szCs w:val="28"/>
                <w:vertAlign w:val="superscript"/>
              </w:rPr>
              <w:t>1</w:t>
            </w:r>
            <w:r>
              <w:rPr>
                <w:rFonts w:ascii="Times New Roman" w:hAnsi="Times New Roman"/>
                <w:sz w:val="28"/>
                <w:szCs w:val="28"/>
                <w:vertAlign w:val="superscript"/>
              </w:rPr>
              <w:t xml:space="preserve"> </w:t>
            </w:r>
            <w:r w:rsidRPr="00547683">
              <w:rPr>
                <w:rFonts w:ascii="Times New Roman" w:hAnsi="Times New Roman"/>
                <w:sz w:val="28"/>
                <w:szCs w:val="28"/>
              </w:rPr>
              <w:t>punkt</w:t>
            </w:r>
            <w:r>
              <w:rPr>
                <w:rFonts w:ascii="Times New Roman" w:hAnsi="Times New Roman"/>
                <w:sz w:val="28"/>
                <w:szCs w:val="28"/>
              </w:rPr>
              <w:t>u</w:t>
            </w:r>
            <w:bookmarkEnd w:id="1"/>
            <w:bookmarkEnd w:id="2"/>
            <w:r w:rsidRPr="00547683">
              <w:rPr>
                <w:rFonts w:ascii="Times New Roman" w:hAnsi="Times New Roman"/>
                <w:sz w:val="28"/>
                <w:szCs w:val="28"/>
              </w:rPr>
              <w:t xml:space="preserve">, </w:t>
            </w:r>
            <w:r>
              <w:rPr>
                <w:rFonts w:ascii="Times New Roman" w:hAnsi="Times New Roman"/>
                <w:sz w:val="28"/>
                <w:szCs w:val="28"/>
              </w:rPr>
              <w:t xml:space="preserve">kas </w:t>
            </w:r>
            <w:r w:rsidRPr="00B730B6">
              <w:rPr>
                <w:rFonts w:ascii="Times New Roman" w:hAnsi="Times New Roman"/>
                <w:sz w:val="28"/>
                <w:szCs w:val="28"/>
              </w:rPr>
              <w:t>noteic to</w:t>
            </w:r>
            <w:r>
              <w:rPr>
                <w:rFonts w:ascii="Times New Roman" w:hAnsi="Times New Roman"/>
                <w:sz w:val="28"/>
                <w:szCs w:val="28"/>
              </w:rPr>
              <w:t>,</w:t>
            </w:r>
            <w:r w:rsidRPr="00B730B6">
              <w:rPr>
                <w:rFonts w:ascii="Times New Roman" w:hAnsi="Times New Roman"/>
                <w:sz w:val="28"/>
                <w:szCs w:val="28"/>
              </w:rPr>
              <w:t xml:space="preserve"> kādam jābūt tehniski aprīkotam gazificētajam objektam, lai </w:t>
            </w:r>
            <w:bookmarkStart w:id="3" w:name="_Hlk3882500"/>
            <w:r w:rsidRPr="00B730B6">
              <w:rPr>
                <w:rFonts w:ascii="Times New Roman" w:hAnsi="Times New Roman"/>
                <w:sz w:val="28"/>
                <w:szCs w:val="28"/>
              </w:rPr>
              <w:t xml:space="preserve">lietotājs varētu pieteikt sadales sistēmas operatoram </w:t>
            </w:r>
            <w:r>
              <w:rPr>
                <w:rFonts w:ascii="Times New Roman" w:hAnsi="Times New Roman"/>
                <w:sz w:val="28"/>
                <w:szCs w:val="28"/>
              </w:rPr>
              <w:t xml:space="preserve">slodzi, kas </w:t>
            </w:r>
            <w:r w:rsidRPr="00B730B6">
              <w:rPr>
                <w:rFonts w:ascii="Times New Roman" w:hAnsi="Times New Roman"/>
                <w:sz w:val="28"/>
                <w:szCs w:val="28"/>
              </w:rPr>
              <w:t>mazāk</w:t>
            </w:r>
            <w:r>
              <w:rPr>
                <w:rFonts w:ascii="Times New Roman" w:hAnsi="Times New Roman"/>
                <w:sz w:val="28"/>
                <w:szCs w:val="28"/>
              </w:rPr>
              <w:t>a</w:t>
            </w:r>
            <w:r w:rsidRPr="00B730B6">
              <w:rPr>
                <w:rFonts w:ascii="Times New Roman" w:hAnsi="Times New Roman"/>
                <w:sz w:val="28"/>
                <w:szCs w:val="28"/>
              </w:rPr>
              <w:t xml:space="preserve"> par atļauto maksimālo slodzi gazificētajā objektā</w:t>
            </w:r>
            <w:bookmarkEnd w:id="3"/>
            <w:r>
              <w:rPr>
                <w:rFonts w:ascii="Times New Roman" w:hAnsi="Times New Roman"/>
                <w:sz w:val="28"/>
                <w:szCs w:val="28"/>
              </w:rPr>
              <w:t xml:space="preserve"> (pieteiktā slodze)</w:t>
            </w:r>
            <w:r w:rsidRPr="00B730B6">
              <w:rPr>
                <w:rFonts w:ascii="Times New Roman" w:hAnsi="Times New Roman"/>
                <w:sz w:val="28"/>
                <w:szCs w:val="28"/>
              </w:rPr>
              <w:t>.</w:t>
            </w:r>
            <w:r>
              <w:rPr>
                <w:rFonts w:ascii="Times New Roman" w:hAnsi="Times New Roman"/>
                <w:sz w:val="28"/>
                <w:szCs w:val="28"/>
              </w:rPr>
              <w:t xml:space="preserve"> </w:t>
            </w:r>
            <w:r w:rsidRPr="00852CA5">
              <w:rPr>
                <w:rFonts w:ascii="Times New Roman" w:hAnsi="Times New Roman"/>
                <w:sz w:val="28"/>
                <w:szCs w:val="28"/>
              </w:rPr>
              <w:t>4.</w:t>
            </w:r>
            <w:r w:rsidRPr="00852CA5">
              <w:rPr>
                <w:rFonts w:ascii="Times New Roman" w:hAnsi="Times New Roman"/>
                <w:sz w:val="28"/>
                <w:szCs w:val="28"/>
                <w:vertAlign w:val="superscript"/>
              </w:rPr>
              <w:t>1</w:t>
            </w:r>
            <w:r w:rsidRPr="00852CA5">
              <w:rPr>
                <w:rFonts w:ascii="Times New Roman" w:hAnsi="Times New Roman"/>
                <w:sz w:val="28"/>
                <w:szCs w:val="28"/>
              </w:rPr>
              <w:t>1. 4.</w:t>
            </w:r>
            <w:r w:rsidRPr="00852CA5">
              <w:rPr>
                <w:rFonts w:ascii="Times New Roman" w:hAnsi="Times New Roman"/>
                <w:sz w:val="28"/>
                <w:szCs w:val="28"/>
                <w:vertAlign w:val="superscript"/>
              </w:rPr>
              <w:t>1</w:t>
            </w:r>
            <w:r w:rsidRPr="00852CA5">
              <w:rPr>
                <w:rFonts w:ascii="Times New Roman" w:hAnsi="Times New Roman"/>
                <w:sz w:val="28"/>
                <w:szCs w:val="28"/>
              </w:rPr>
              <w:t>2. un  4.</w:t>
            </w:r>
            <w:r w:rsidRPr="00852CA5">
              <w:rPr>
                <w:rFonts w:ascii="Times New Roman" w:hAnsi="Times New Roman"/>
                <w:sz w:val="28"/>
                <w:szCs w:val="28"/>
                <w:vertAlign w:val="superscript"/>
              </w:rPr>
              <w:t>1</w:t>
            </w:r>
            <w:r w:rsidRPr="00852CA5">
              <w:rPr>
                <w:rFonts w:ascii="Times New Roman" w:hAnsi="Times New Roman"/>
                <w:sz w:val="28"/>
                <w:szCs w:val="28"/>
              </w:rPr>
              <w:t>3.</w:t>
            </w:r>
            <w:r>
              <w:rPr>
                <w:rFonts w:ascii="Times New Roman" w:hAnsi="Times New Roman"/>
                <w:sz w:val="28"/>
                <w:szCs w:val="28"/>
              </w:rPr>
              <w:t> </w:t>
            </w:r>
            <w:r w:rsidRPr="00852CA5">
              <w:rPr>
                <w:rFonts w:ascii="Times New Roman" w:hAnsi="Times New Roman"/>
                <w:sz w:val="28"/>
                <w:szCs w:val="28"/>
              </w:rPr>
              <w:t>apakšpunkt</w:t>
            </w:r>
            <w:r>
              <w:rPr>
                <w:rFonts w:ascii="Times New Roman" w:hAnsi="Times New Roman"/>
                <w:sz w:val="28"/>
                <w:szCs w:val="28"/>
              </w:rPr>
              <w:t>s nosaka apstākļus jeb kritērijus, kad lietotājs var pieteikt zemāku slodzi</w:t>
            </w:r>
            <w:r w:rsidRPr="00852CA5">
              <w:rPr>
                <w:rFonts w:ascii="Times New Roman" w:hAnsi="Times New Roman"/>
                <w:sz w:val="28"/>
                <w:szCs w:val="28"/>
              </w:rPr>
              <w:t xml:space="preserve">. </w:t>
            </w:r>
            <w:r>
              <w:rPr>
                <w:rFonts w:ascii="Times New Roman" w:hAnsi="Times New Roman"/>
                <w:sz w:val="28"/>
                <w:szCs w:val="28"/>
              </w:rPr>
              <w:t>Šāds mehānisms ir nepieciešams, lai nodrošinātu elastīgus un pēc iespējas ekonomiski izdevīgākus apstākļus dabasgāzes lietotājiem.</w:t>
            </w:r>
          </w:p>
          <w:p w14:paraId="041439E3" w14:textId="083D61D3" w:rsidR="008F090E" w:rsidRPr="006C756D" w:rsidRDefault="008F090E" w:rsidP="006E74B7">
            <w:pPr>
              <w:spacing w:before="60" w:after="60" w:line="240" w:lineRule="auto"/>
              <w:ind w:right="65" w:firstLine="349"/>
              <w:jc w:val="both"/>
              <w:rPr>
                <w:rFonts w:ascii="Times New Roman" w:hAnsi="Times New Roman"/>
                <w:sz w:val="28"/>
                <w:szCs w:val="28"/>
              </w:rPr>
            </w:pPr>
            <w:r>
              <w:rPr>
                <w:rFonts w:ascii="Times New Roman" w:hAnsi="Times New Roman"/>
                <w:sz w:val="28"/>
                <w:szCs w:val="28"/>
              </w:rPr>
              <w:lastRenderedPageBreak/>
              <w:t xml:space="preserve">Noteikumu </w:t>
            </w:r>
            <w:r w:rsidRPr="006C756D">
              <w:rPr>
                <w:rFonts w:ascii="Times New Roman" w:hAnsi="Times New Roman"/>
                <w:sz w:val="28"/>
                <w:szCs w:val="28"/>
              </w:rPr>
              <w:t>4.</w:t>
            </w:r>
            <w:r w:rsidRPr="006C756D">
              <w:rPr>
                <w:rFonts w:ascii="Times New Roman" w:hAnsi="Times New Roman"/>
                <w:sz w:val="28"/>
                <w:szCs w:val="28"/>
                <w:vertAlign w:val="superscript"/>
              </w:rPr>
              <w:t>1</w:t>
            </w:r>
            <w:r>
              <w:rPr>
                <w:rFonts w:ascii="Times New Roman" w:hAnsi="Times New Roman"/>
                <w:sz w:val="28"/>
                <w:szCs w:val="28"/>
                <w:vertAlign w:val="superscript"/>
              </w:rPr>
              <w:t xml:space="preserve"> </w:t>
            </w:r>
            <w:r w:rsidRPr="006C756D">
              <w:rPr>
                <w:rFonts w:ascii="Times New Roman" w:hAnsi="Times New Roman"/>
                <w:sz w:val="28"/>
                <w:szCs w:val="28"/>
              </w:rPr>
              <w:t>punktā noteiktās prasības saistītas ar to, k</w:t>
            </w:r>
            <w:r>
              <w:rPr>
                <w:rFonts w:ascii="Times New Roman" w:hAnsi="Times New Roman"/>
                <w:sz w:val="28"/>
                <w:szCs w:val="28"/>
              </w:rPr>
              <w:t>ā</w:t>
            </w:r>
            <w:r w:rsidRPr="006C756D">
              <w:rPr>
                <w:rFonts w:ascii="Times New Roman" w:hAnsi="Times New Roman"/>
                <w:sz w:val="28"/>
                <w:szCs w:val="28"/>
              </w:rPr>
              <w:t xml:space="preserve"> kontrolēt</w:t>
            </w:r>
            <w:r>
              <w:rPr>
                <w:rFonts w:ascii="Times New Roman" w:hAnsi="Times New Roman"/>
                <w:sz w:val="28"/>
                <w:szCs w:val="28"/>
              </w:rPr>
              <w:t>,</w:t>
            </w:r>
            <w:r w:rsidRPr="006C756D">
              <w:rPr>
                <w:rFonts w:ascii="Times New Roman" w:hAnsi="Times New Roman"/>
                <w:sz w:val="28"/>
                <w:szCs w:val="28"/>
              </w:rPr>
              <w:t xml:space="preserve"> vai lietotājs faktiski izmanto pieteikto slodzi tikai objektam, k</w:t>
            </w:r>
            <w:r>
              <w:rPr>
                <w:rFonts w:ascii="Times New Roman" w:hAnsi="Times New Roman"/>
                <w:sz w:val="28"/>
                <w:szCs w:val="28"/>
              </w:rPr>
              <w:t xml:space="preserve">as </w:t>
            </w:r>
            <w:r w:rsidRPr="006C756D">
              <w:rPr>
                <w:rFonts w:ascii="Times New Roman" w:hAnsi="Times New Roman"/>
                <w:sz w:val="28"/>
                <w:szCs w:val="28"/>
              </w:rPr>
              <w:t xml:space="preserve">ir aprīkots ar ikdienas uzskaites vietu, kur ierīkota telemetrijas sistēma komercuzskaites mēraparātu operatīvo datu automatizētai attālinātai nolasīšanai. Šāds regulējums dod lietotājam iespēju izmantot zemāku slodzi nekā pieslēguma atļautā maksimālā slodze, nemainot pieslēguma tehnisko risinājumu, attiecīgi samazinot arī lietotāja izmaksas par sadales sistēmas pakalpojumu. Lietotājam tiek saglabāta iespēja bez papildu izmaksām atjaunot </w:t>
            </w:r>
            <w:r w:rsidRPr="006C756D">
              <w:rPr>
                <w:rFonts w:ascii="Times New Roman" w:hAnsi="Times New Roman"/>
                <w:sz w:val="28"/>
                <w:szCs w:val="28"/>
                <w:lang w:eastAsia="ja-JP"/>
              </w:rPr>
              <w:t>dabasgāzes pieslēguma līgumā vai dabasgāzes tirdzniecības līgumā</w:t>
            </w:r>
            <w:r w:rsidRPr="006C756D">
              <w:rPr>
                <w:rFonts w:ascii="Times New Roman" w:hAnsi="Times New Roman"/>
                <w:sz w:val="28"/>
                <w:szCs w:val="28"/>
              </w:rPr>
              <w:t xml:space="preserve"> noteikto atļauto maksimālo slodzi. Lietotājam noderīgu informāciju par slodzes pieteikšanu sadales sistēmas operators publicē savā tīmekļvietnē, taču gadījumi un kārtība</w:t>
            </w:r>
            <w:r>
              <w:rPr>
                <w:rFonts w:ascii="Times New Roman" w:hAnsi="Times New Roman"/>
                <w:sz w:val="28"/>
                <w:szCs w:val="28"/>
              </w:rPr>
              <w:t>,</w:t>
            </w:r>
            <w:r w:rsidRPr="006C756D">
              <w:rPr>
                <w:rFonts w:ascii="Times New Roman" w:hAnsi="Times New Roman"/>
                <w:sz w:val="28"/>
                <w:szCs w:val="28"/>
              </w:rPr>
              <w:t xml:space="preserve"> kā</w:t>
            </w:r>
            <w:r>
              <w:rPr>
                <w:rFonts w:ascii="Times New Roman" w:hAnsi="Times New Roman"/>
                <w:sz w:val="28"/>
                <w:szCs w:val="28"/>
              </w:rPr>
              <w:t>dā</w:t>
            </w:r>
            <w:r w:rsidRPr="006C756D">
              <w:rPr>
                <w:rFonts w:ascii="Times New Roman" w:hAnsi="Times New Roman"/>
                <w:sz w:val="28"/>
                <w:szCs w:val="28"/>
              </w:rPr>
              <w:t xml:space="preserve"> lietotājs var pieteikt</w:t>
            </w:r>
            <w:r>
              <w:rPr>
                <w:rFonts w:ascii="Times New Roman" w:hAnsi="Times New Roman"/>
                <w:sz w:val="28"/>
                <w:szCs w:val="28"/>
              </w:rPr>
              <w:t xml:space="preserve"> </w:t>
            </w:r>
            <w:r w:rsidRPr="006C756D">
              <w:rPr>
                <w:rFonts w:ascii="Times New Roman" w:hAnsi="Times New Roman"/>
                <w:sz w:val="28"/>
                <w:szCs w:val="28"/>
              </w:rPr>
              <w:t>samazinātu slodzi</w:t>
            </w:r>
            <w:r>
              <w:rPr>
                <w:rFonts w:ascii="Times New Roman" w:hAnsi="Times New Roman"/>
                <w:sz w:val="28"/>
                <w:szCs w:val="28"/>
              </w:rPr>
              <w:t>,</w:t>
            </w:r>
            <w:r w:rsidRPr="006C756D">
              <w:rPr>
                <w:rFonts w:ascii="Times New Roman" w:hAnsi="Times New Roman"/>
                <w:sz w:val="28"/>
                <w:szCs w:val="28"/>
              </w:rPr>
              <w:t xml:space="preserve"> ietverti 4.</w:t>
            </w:r>
            <w:r w:rsidRPr="006C756D">
              <w:rPr>
                <w:rFonts w:ascii="Times New Roman" w:hAnsi="Times New Roman"/>
                <w:sz w:val="28"/>
                <w:szCs w:val="28"/>
                <w:vertAlign w:val="superscript"/>
              </w:rPr>
              <w:t>1</w:t>
            </w:r>
            <w:r>
              <w:rPr>
                <w:rFonts w:ascii="Times New Roman" w:hAnsi="Times New Roman"/>
                <w:sz w:val="28"/>
                <w:szCs w:val="28"/>
                <w:vertAlign w:val="superscript"/>
              </w:rPr>
              <w:t xml:space="preserve"> </w:t>
            </w:r>
            <w:r w:rsidRPr="00F016F3">
              <w:rPr>
                <w:rFonts w:ascii="Times New Roman" w:hAnsi="Times New Roman"/>
                <w:sz w:val="28"/>
                <w:szCs w:val="28"/>
              </w:rPr>
              <w:t>punkta</w:t>
            </w:r>
            <w:r>
              <w:rPr>
                <w:rFonts w:ascii="Times New Roman" w:hAnsi="Times New Roman"/>
                <w:sz w:val="28"/>
                <w:szCs w:val="28"/>
                <w:vertAlign w:val="superscript"/>
              </w:rPr>
              <w:t xml:space="preserve"> </w:t>
            </w:r>
            <w:r w:rsidRPr="006C756D">
              <w:rPr>
                <w:rFonts w:ascii="Times New Roman" w:hAnsi="Times New Roman"/>
                <w:sz w:val="28"/>
                <w:szCs w:val="28"/>
              </w:rPr>
              <w:t>apakšpunktos. Savukārt 4.</w:t>
            </w:r>
            <w:r w:rsidRPr="006C756D">
              <w:rPr>
                <w:rFonts w:ascii="Times New Roman" w:hAnsi="Times New Roman"/>
                <w:sz w:val="28"/>
                <w:szCs w:val="28"/>
                <w:vertAlign w:val="superscript"/>
              </w:rPr>
              <w:t>2</w:t>
            </w:r>
            <w:r>
              <w:rPr>
                <w:rFonts w:ascii="Times New Roman" w:hAnsi="Times New Roman"/>
                <w:sz w:val="28"/>
                <w:szCs w:val="28"/>
                <w:vertAlign w:val="superscript"/>
              </w:rPr>
              <w:t xml:space="preserve"> </w:t>
            </w:r>
            <w:r w:rsidRPr="006C756D">
              <w:rPr>
                <w:rFonts w:ascii="Times New Roman" w:hAnsi="Times New Roman"/>
                <w:sz w:val="28"/>
                <w:szCs w:val="28"/>
              </w:rPr>
              <w:t xml:space="preserve">punkts nosaka slodzes pieteikšanas maksimālo biežumu </w:t>
            </w:r>
            <w:r>
              <w:rPr>
                <w:rFonts w:ascii="Times New Roman" w:hAnsi="Times New Roman"/>
                <w:sz w:val="28"/>
                <w:szCs w:val="28"/>
              </w:rPr>
              <w:t>–</w:t>
            </w:r>
            <w:r w:rsidR="00A932D5">
              <w:rPr>
                <w:rFonts w:ascii="Times New Roman" w:hAnsi="Times New Roman"/>
                <w:sz w:val="28"/>
                <w:szCs w:val="28"/>
              </w:rPr>
              <w:t xml:space="preserve"> </w:t>
            </w:r>
            <w:r w:rsidRPr="006C756D">
              <w:rPr>
                <w:rFonts w:ascii="Times New Roman" w:hAnsi="Times New Roman"/>
                <w:sz w:val="28"/>
                <w:szCs w:val="28"/>
              </w:rPr>
              <w:t>vienu</w:t>
            </w:r>
            <w:r>
              <w:rPr>
                <w:rFonts w:ascii="Times New Roman" w:hAnsi="Times New Roman"/>
                <w:sz w:val="28"/>
                <w:szCs w:val="28"/>
              </w:rPr>
              <w:t xml:space="preserve"> </w:t>
            </w:r>
            <w:r w:rsidRPr="006C756D">
              <w:rPr>
                <w:rFonts w:ascii="Times New Roman" w:hAnsi="Times New Roman"/>
                <w:sz w:val="28"/>
                <w:szCs w:val="28"/>
              </w:rPr>
              <w:t xml:space="preserve">reizi gadā, un slodzes pieteikums ir spēkā uz laiku līdz lietotājs lūdz atjaunot maksimālo slodzi. Šāds nosacījums saistīts </w:t>
            </w:r>
            <w:r>
              <w:rPr>
                <w:rFonts w:ascii="Times New Roman" w:hAnsi="Times New Roman"/>
                <w:sz w:val="28"/>
                <w:szCs w:val="28"/>
              </w:rPr>
              <w:t>mērķi</w:t>
            </w:r>
            <w:r w:rsidRPr="006C756D">
              <w:rPr>
                <w:rFonts w:ascii="Times New Roman" w:hAnsi="Times New Roman"/>
                <w:sz w:val="28"/>
                <w:szCs w:val="28"/>
              </w:rPr>
              <w:t xml:space="preserve"> neradīt pārlieku lielu administratīvo slogu dabasgāzes sadales sistēmas operatoram.</w:t>
            </w:r>
          </w:p>
          <w:p w14:paraId="16FD6BD2" w14:textId="77777777" w:rsidR="008F090E"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bookmarkStart w:id="4" w:name="_Hlk3882181"/>
            <w:r>
              <w:rPr>
                <w:rFonts w:ascii="Times New Roman" w:hAnsi="Times New Roman"/>
                <w:sz w:val="28"/>
                <w:szCs w:val="28"/>
              </w:rPr>
              <w:t>Grozīts</w:t>
            </w:r>
            <w:r w:rsidRPr="00D90BE1" w:rsidDel="00E817F9">
              <w:rPr>
                <w:rFonts w:ascii="Times New Roman" w:hAnsi="Times New Roman"/>
                <w:sz w:val="28"/>
                <w:szCs w:val="28"/>
              </w:rPr>
              <w:t xml:space="preserve"> </w:t>
            </w:r>
            <w:r w:rsidRPr="009C35AB">
              <w:rPr>
                <w:rFonts w:ascii="Times New Roman" w:hAnsi="Times New Roman"/>
                <w:sz w:val="28"/>
                <w:szCs w:val="28"/>
              </w:rPr>
              <w:t>Noteikumu 14.</w:t>
            </w:r>
            <w:r>
              <w:rPr>
                <w:rFonts w:ascii="Times New Roman" w:hAnsi="Times New Roman"/>
                <w:sz w:val="28"/>
                <w:szCs w:val="28"/>
              </w:rPr>
              <w:t> </w:t>
            </w:r>
            <w:r w:rsidRPr="009C35AB">
              <w:rPr>
                <w:rFonts w:ascii="Times New Roman" w:hAnsi="Times New Roman"/>
                <w:sz w:val="28"/>
                <w:szCs w:val="28"/>
              </w:rPr>
              <w:t>punkt</w:t>
            </w:r>
            <w:r>
              <w:rPr>
                <w:rFonts w:ascii="Times New Roman" w:hAnsi="Times New Roman"/>
                <w:sz w:val="28"/>
                <w:szCs w:val="28"/>
              </w:rPr>
              <w:t>s</w:t>
            </w:r>
            <w:r w:rsidRPr="009C35AB">
              <w:rPr>
                <w:rFonts w:ascii="Times New Roman" w:hAnsi="Times New Roman"/>
                <w:sz w:val="28"/>
                <w:szCs w:val="28"/>
              </w:rPr>
              <w:t xml:space="preserve">, lai nepārprotami palīdzētu sasniegt normas mērķi, proti, ar ļoti minimālu ietekmi uz sabiedrību (aptuveni </w:t>
            </w:r>
            <w:r>
              <w:rPr>
                <w:rFonts w:ascii="Times New Roman" w:hAnsi="Times New Roman"/>
                <w:sz w:val="28"/>
                <w:szCs w:val="28"/>
              </w:rPr>
              <w:t>četri</w:t>
            </w:r>
            <w:r w:rsidRPr="009C35AB">
              <w:rPr>
                <w:rFonts w:ascii="Times New Roman" w:hAnsi="Times New Roman"/>
                <w:sz w:val="28"/>
                <w:szCs w:val="28"/>
              </w:rPr>
              <w:t xml:space="preserve"> uzņēmumiem gadā</w:t>
            </w:r>
            <w:r>
              <w:rPr>
                <w:rFonts w:ascii="Times New Roman" w:hAnsi="Times New Roman"/>
                <w:sz w:val="28"/>
                <w:szCs w:val="28"/>
              </w:rPr>
              <w:t xml:space="preserve"> – saskaņā ar sadales sistēmas operatora sniegto informāciju</w:t>
            </w:r>
            <w:r w:rsidRPr="009C35AB">
              <w:rPr>
                <w:rFonts w:ascii="Times New Roman" w:hAnsi="Times New Roman"/>
                <w:sz w:val="28"/>
                <w:szCs w:val="28"/>
              </w:rPr>
              <w:t>) uzlabotu un veicinātu drošumu gazificētajā objektā ar lielu dabasgāzes patēriņu. Nav šaubu, ka Noteikumu 14.</w:t>
            </w:r>
            <w:r>
              <w:rPr>
                <w:rFonts w:ascii="Times New Roman" w:hAnsi="Times New Roman"/>
                <w:sz w:val="28"/>
                <w:szCs w:val="28"/>
              </w:rPr>
              <w:t> </w:t>
            </w:r>
            <w:r w:rsidRPr="009C35AB">
              <w:rPr>
                <w:rFonts w:ascii="Times New Roman" w:hAnsi="Times New Roman"/>
                <w:sz w:val="28"/>
                <w:szCs w:val="28"/>
              </w:rPr>
              <w:t>punkts nav saistīts ar katra gāzes aparāta jaudu, bet gan gāzes aparātu kopējo jaudu, ja šādi aparāti ir vairāki.</w:t>
            </w:r>
          </w:p>
          <w:p w14:paraId="131E0D2A"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Grozīts</w:t>
            </w:r>
            <w:r w:rsidRPr="00D90BE1" w:rsidDel="00E817F9">
              <w:rPr>
                <w:rFonts w:ascii="Times New Roman" w:hAnsi="Times New Roman"/>
                <w:sz w:val="28"/>
                <w:szCs w:val="28"/>
              </w:rPr>
              <w:t xml:space="preserve"> </w:t>
            </w:r>
            <w:bookmarkEnd w:id="4"/>
            <w:r>
              <w:rPr>
                <w:rFonts w:ascii="Times New Roman" w:hAnsi="Times New Roman"/>
                <w:sz w:val="28"/>
                <w:szCs w:val="28"/>
              </w:rPr>
              <w:t xml:space="preserve">Noteikumu 26.6. apakšpunkts, nosakot dabasgāzes tirgotājam tiesības, nevis pienākumu izbeigt dabasgāzes tirdzniecības līgumu, ja kļuvis zināms, ka lietotājs ir zaudējis gazificētā objekta </w:t>
            </w:r>
            <w:bookmarkStart w:id="5" w:name="_Hlk3877783"/>
            <w:r>
              <w:rPr>
                <w:rFonts w:ascii="Times New Roman" w:hAnsi="Times New Roman"/>
                <w:sz w:val="28"/>
                <w:szCs w:val="28"/>
              </w:rPr>
              <w:t>īpašuma, lietošanas vai valdījuma tiesības</w:t>
            </w:r>
            <w:bookmarkEnd w:id="5"/>
            <w:r>
              <w:rPr>
                <w:rFonts w:ascii="Times New Roman" w:hAnsi="Times New Roman"/>
                <w:sz w:val="28"/>
                <w:szCs w:val="28"/>
              </w:rPr>
              <w:t>.</w:t>
            </w:r>
            <w:r w:rsidRPr="00D90BE1">
              <w:rPr>
                <w:rFonts w:ascii="Times New Roman" w:hAnsi="Times New Roman"/>
                <w:sz w:val="28"/>
                <w:szCs w:val="28"/>
              </w:rPr>
              <w:t xml:space="preserve"> </w:t>
            </w:r>
          </w:p>
          <w:p w14:paraId="02EBCEBE" w14:textId="3F029CBA"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 xml:space="preserve">Noteikumi </w:t>
            </w:r>
            <w:r w:rsidRPr="00D90BE1">
              <w:rPr>
                <w:rFonts w:ascii="Times New Roman" w:hAnsi="Times New Roman"/>
                <w:sz w:val="28"/>
                <w:szCs w:val="28"/>
              </w:rPr>
              <w:t>papildināt</w:t>
            </w:r>
            <w:r>
              <w:rPr>
                <w:rFonts w:ascii="Times New Roman" w:hAnsi="Times New Roman"/>
                <w:sz w:val="28"/>
                <w:szCs w:val="28"/>
              </w:rPr>
              <w:t>i</w:t>
            </w:r>
            <w:r w:rsidRPr="00D90BE1">
              <w:rPr>
                <w:rFonts w:ascii="Times New Roman" w:hAnsi="Times New Roman"/>
                <w:sz w:val="28"/>
                <w:szCs w:val="28"/>
              </w:rPr>
              <w:t xml:space="preserve"> ar </w:t>
            </w:r>
            <w:bookmarkStart w:id="6" w:name="_Hlk3880566"/>
            <w:r w:rsidRPr="00D90BE1">
              <w:rPr>
                <w:rFonts w:ascii="Times New Roman" w:hAnsi="Times New Roman"/>
                <w:sz w:val="28"/>
                <w:szCs w:val="28"/>
              </w:rPr>
              <w:t>31.</w:t>
            </w:r>
            <w:r w:rsidRPr="00D90BE1">
              <w:rPr>
                <w:rFonts w:ascii="Times New Roman" w:hAnsi="Times New Roman"/>
                <w:sz w:val="28"/>
                <w:szCs w:val="28"/>
                <w:vertAlign w:val="superscript"/>
              </w:rPr>
              <w:t>1</w:t>
            </w:r>
            <w:r>
              <w:rPr>
                <w:rFonts w:ascii="Times New Roman" w:hAnsi="Times New Roman"/>
                <w:sz w:val="28"/>
                <w:szCs w:val="28"/>
                <w:vertAlign w:val="superscript"/>
              </w:rPr>
              <w:t xml:space="preserve"> </w:t>
            </w:r>
            <w:r w:rsidRPr="00D90BE1">
              <w:rPr>
                <w:rFonts w:ascii="Times New Roman" w:hAnsi="Times New Roman"/>
                <w:sz w:val="28"/>
                <w:szCs w:val="28"/>
              </w:rPr>
              <w:t>punktu</w:t>
            </w:r>
            <w:bookmarkEnd w:id="6"/>
            <w:r w:rsidRPr="00D90BE1">
              <w:rPr>
                <w:rFonts w:ascii="Times New Roman" w:hAnsi="Times New Roman"/>
                <w:sz w:val="28"/>
                <w:szCs w:val="28"/>
              </w:rPr>
              <w:t>, lai nodrošinātu regulējumu situācijai, kur tiek izbeigts dabasgāzes tirdzniecības līgums</w:t>
            </w:r>
            <w:r>
              <w:rPr>
                <w:rFonts w:ascii="Times New Roman" w:hAnsi="Times New Roman"/>
                <w:sz w:val="28"/>
                <w:szCs w:val="28"/>
              </w:rPr>
              <w:t>, bet</w:t>
            </w:r>
            <w:r w:rsidRPr="00D90BE1">
              <w:rPr>
                <w:rFonts w:ascii="Times New Roman" w:hAnsi="Times New Roman"/>
                <w:sz w:val="28"/>
                <w:szCs w:val="28"/>
              </w:rPr>
              <w:t xml:space="preserve"> lietotājs</w:t>
            </w:r>
            <w:r>
              <w:rPr>
                <w:rFonts w:ascii="Times New Roman" w:hAnsi="Times New Roman"/>
                <w:sz w:val="28"/>
                <w:szCs w:val="28"/>
              </w:rPr>
              <w:t>, visbiežāk nezināšanas dēļ,</w:t>
            </w:r>
            <w:r w:rsidRPr="00D90BE1">
              <w:rPr>
                <w:rFonts w:ascii="Times New Roman" w:hAnsi="Times New Roman"/>
                <w:sz w:val="28"/>
                <w:szCs w:val="28"/>
              </w:rPr>
              <w:t xml:space="preserve"> </w:t>
            </w:r>
            <w:r>
              <w:rPr>
                <w:rFonts w:ascii="Times New Roman" w:hAnsi="Times New Roman"/>
                <w:sz w:val="28"/>
                <w:szCs w:val="28"/>
              </w:rPr>
              <w:t xml:space="preserve">nav izpildījis </w:t>
            </w:r>
            <w:r w:rsidRPr="00D90BE1">
              <w:rPr>
                <w:rFonts w:ascii="Times New Roman" w:hAnsi="Times New Roman"/>
                <w:sz w:val="28"/>
                <w:szCs w:val="28"/>
              </w:rPr>
              <w:t xml:space="preserve">Noteikumu </w:t>
            </w:r>
            <w:bookmarkStart w:id="7" w:name="_Hlk3880610"/>
            <w:r w:rsidRPr="00D90BE1">
              <w:rPr>
                <w:rFonts w:ascii="Times New Roman" w:hAnsi="Times New Roman"/>
                <w:sz w:val="28"/>
                <w:szCs w:val="28"/>
              </w:rPr>
              <w:t>31.</w:t>
            </w:r>
            <w:r w:rsidRPr="00824A4D">
              <w:rPr>
                <w:rFonts w:ascii="Times New Roman" w:hAnsi="Times New Roman"/>
                <w:sz w:val="28"/>
                <w:szCs w:val="28"/>
              </w:rPr>
              <w:t>3</w:t>
            </w:r>
            <w:r>
              <w:rPr>
                <w:rFonts w:ascii="Times New Roman" w:hAnsi="Times New Roman"/>
                <w:sz w:val="28"/>
                <w:szCs w:val="28"/>
              </w:rPr>
              <w:t> apakš</w:t>
            </w:r>
            <w:r w:rsidRPr="00D90BE1">
              <w:rPr>
                <w:rFonts w:ascii="Times New Roman" w:hAnsi="Times New Roman"/>
                <w:sz w:val="28"/>
                <w:szCs w:val="28"/>
              </w:rPr>
              <w:t xml:space="preserve">punktā </w:t>
            </w:r>
            <w:bookmarkEnd w:id="7"/>
            <w:r w:rsidRPr="00D90BE1">
              <w:rPr>
                <w:rFonts w:ascii="Times New Roman" w:hAnsi="Times New Roman"/>
                <w:sz w:val="28"/>
                <w:szCs w:val="28"/>
              </w:rPr>
              <w:t>noteikto prasību</w:t>
            </w:r>
            <w:r>
              <w:rPr>
                <w:rFonts w:ascii="Times New Roman" w:hAnsi="Times New Roman"/>
                <w:sz w:val="28"/>
                <w:szCs w:val="28"/>
              </w:rPr>
              <w:t xml:space="preserve"> (</w:t>
            </w:r>
            <w:r w:rsidRPr="00D976AB">
              <w:rPr>
                <w:rFonts w:ascii="Times New Roman" w:hAnsi="Times New Roman"/>
                <w:sz w:val="28"/>
                <w:szCs w:val="28"/>
              </w:rPr>
              <w:t xml:space="preserve">nodrošināt </w:t>
            </w:r>
            <w:r w:rsidRPr="00D976AB">
              <w:rPr>
                <w:rFonts w:ascii="Times New Roman" w:hAnsi="Times New Roman"/>
                <w:sz w:val="28"/>
                <w:szCs w:val="28"/>
              </w:rPr>
              <w:lastRenderedPageBreak/>
              <w:t>sadales sistēmas operatoram piekļuvi dabasgāzes apgādes sistēmai gazificētajā objektā</w:t>
            </w:r>
            <w:r>
              <w:rPr>
                <w:rFonts w:ascii="Times New Roman" w:hAnsi="Times New Roman"/>
                <w:sz w:val="28"/>
                <w:szCs w:val="28"/>
              </w:rPr>
              <w:t xml:space="preserve">, </w:t>
            </w:r>
            <w:r w:rsidRPr="00773C26">
              <w:rPr>
                <w:rFonts w:ascii="Times New Roman" w:hAnsi="Times New Roman"/>
                <w:sz w:val="28"/>
                <w:szCs w:val="28"/>
              </w:rPr>
              <w:t>lai pārtrauktu dabasgāzes padevi</w:t>
            </w:r>
            <w:r>
              <w:rPr>
                <w:rFonts w:ascii="Times New Roman" w:hAnsi="Times New Roman"/>
                <w:sz w:val="28"/>
                <w:szCs w:val="28"/>
              </w:rPr>
              <w:t>),</w:t>
            </w:r>
            <w:r>
              <w:t xml:space="preserve"> </w:t>
            </w:r>
            <w:r w:rsidRPr="00EA4985">
              <w:rPr>
                <w:rFonts w:ascii="Times New Roman" w:hAnsi="Times New Roman"/>
                <w:sz w:val="28"/>
                <w:szCs w:val="28"/>
              </w:rPr>
              <w:t>bet objektīvi vairs nevar to izpildīt</w:t>
            </w:r>
            <w:r w:rsidR="00BE29A0">
              <w:rPr>
                <w:rFonts w:ascii="Times New Roman" w:hAnsi="Times New Roman"/>
                <w:sz w:val="28"/>
                <w:szCs w:val="28"/>
              </w:rPr>
              <w:t xml:space="preserve"> un var sniegt pierādījumus, ka šo prasību nevar izpildīt</w:t>
            </w:r>
            <w:r w:rsidRPr="00EA4985">
              <w:rPr>
                <w:rFonts w:ascii="Times New Roman" w:hAnsi="Times New Roman"/>
                <w:sz w:val="28"/>
                <w:szCs w:val="28"/>
              </w:rPr>
              <w:t>, jo objekts pieder vai objektu izmanto cita persona un iekļūšana objektā atkarīga tikai no šīs personas gribas</w:t>
            </w:r>
            <w:r w:rsidRPr="00D90BE1">
              <w:rPr>
                <w:rFonts w:ascii="Times New Roman" w:hAnsi="Times New Roman"/>
                <w:sz w:val="28"/>
                <w:szCs w:val="28"/>
              </w:rPr>
              <w:t>. Noteikumu 30.</w:t>
            </w:r>
            <w:r>
              <w:rPr>
                <w:rFonts w:ascii="Times New Roman" w:hAnsi="Times New Roman"/>
                <w:sz w:val="28"/>
                <w:szCs w:val="28"/>
              </w:rPr>
              <w:t xml:space="preserve"> punktā </w:t>
            </w:r>
            <w:r w:rsidRPr="00D90BE1">
              <w:rPr>
                <w:rFonts w:ascii="Times New Roman" w:hAnsi="Times New Roman"/>
                <w:sz w:val="28"/>
                <w:szCs w:val="28"/>
              </w:rPr>
              <w:t>un 31.</w:t>
            </w:r>
            <w:r>
              <w:rPr>
                <w:rFonts w:ascii="Times New Roman" w:hAnsi="Times New Roman"/>
                <w:sz w:val="28"/>
                <w:szCs w:val="28"/>
              </w:rPr>
              <w:t> </w:t>
            </w:r>
            <w:r w:rsidRPr="00D90BE1">
              <w:rPr>
                <w:rFonts w:ascii="Times New Roman" w:hAnsi="Times New Roman"/>
                <w:sz w:val="28"/>
                <w:szCs w:val="28"/>
              </w:rPr>
              <w:t>punktā noteiktas darbības, kas lietotājam jāveic, lai izbeigtu dabasgāzes tirdzniecības līgumu. Ja lietotājs nav veicis visas minētajos punktos noteiktās darbības, atbilstoši Noteikumu 32.</w:t>
            </w:r>
            <w:r>
              <w:rPr>
                <w:rFonts w:ascii="Times New Roman" w:hAnsi="Times New Roman"/>
                <w:sz w:val="28"/>
                <w:szCs w:val="28"/>
              </w:rPr>
              <w:t> </w:t>
            </w:r>
            <w:r w:rsidRPr="00D90BE1">
              <w:rPr>
                <w:rFonts w:ascii="Times New Roman" w:hAnsi="Times New Roman"/>
                <w:sz w:val="28"/>
                <w:szCs w:val="28"/>
              </w:rPr>
              <w:t>punktam lietotājs ir atbildīgs par norēķiniem par patērēto dabasgāzi un saņemtajiem sistēmas pakalpojumiem līdz brīdim, kad tiek izbeigts minētais līgums.  Tomēr Noteikumos nav regulējuma, kādā veidā līgumu izbeidz, ja lietotājam vairs objektīvi nav iespēju izpildīt Noteikumu 31.3.</w:t>
            </w:r>
            <w:r>
              <w:rPr>
                <w:rFonts w:ascii="Times New Roman" w:hAnsi="Times New Roman"/>
                <w:sz w:val="28"/>
                <w:szCs w:val="28"/>
              </w:rPr>
              <w:t> </w:t>
            </w:r>
            <w:r w:rsidRPr="00D90BE1">
              <w:rPr>
                <w:rFonts w:ascii="Times New Roman" w:hAnsi="Times New Roman"/>
                <w:sz w:val="28"/>
                <w:szCs w:val="28"/>
              </w:rPr>
              <w:t>apakšpunktā noteikto prasību nodrošināt sadales sistēmas operatoram piekļuvi dabasgāzes apgādes sistēmai gazificētajā objektā. Noteikumu 32.</w:t>
            </w:r>
            <w:r>
              <w:rPr>
                <w:rFonts w:ascii="Times New Roman" w:hAnsi="Times New Roman"/>
                <w:sz w:val="28"/>
                <w:szCs w:val="28"/>
              </w:rPr>
              <w:t> </w:t>
            </w:r>
            <w:r w:rsidRPr="00D90BE1">
              <w:rPr>
                <w:rFonts w:ascii="Times New Roman" w:hAnsi="Times New Roman"/>
                <w:sz w:val="28"/>
                <w:szCs w:val="28"/>
              </w:rPr>
              <w:t>punktā noteiktajai lietotāja atbildībai par norēķiniem nevajadzētu pastāvēt neierobežoti ilgi. Jāņem vēra, ka pēc objekta īpašuma vai lietošanas tiesību zaudēšanas lietotājam faktiski vairs var nebūt iespējas nodrošināt sadales sistēmas operatoram piekļuvi dabasgāzes apgādes sistēmai gazificētajā objektā. Savukārt objekta jaunajam īpašniekam vai lietotājam (īrniekam) rodas iespēja lietot dabasgāzi</w:t>
            </w:r>
            <w:r>
              <w:rPr>
                <w:rFonts w:ascii="Times New Roman" w:hAnsi="Times New Roman"/>
                <w:sz w:val="28"/>
                <w:szCs w:val="28"/>
              </w:rPr>
              <w:t>,</w:t>
            </w:r>
            <w:r w:rsidRPr="00D90BE1">
              <w:rPr>
                <w:rFonts w:ascii="Times New Roman" w:hAnsi="Times New Roman"/>
                <w:sz w:val="28"/>
                <w:szCs w:val="28"/>
              </w:rPr>
              <w:t xml:space="preserve"> nenoslēdzot līgumu, bet atbildīgs par norēķiniem joprojām bū</w:t>
            </w:r>
            <w:r>
              <w:rPr>
                <w:rFonts w:ascii="Times New Roman" w:hAnsi="Times New Roman"/>
                <w:sz w:val="28"/>
                <w:szCs w:val="28"/>
              </w:rPr>
              <w:t>tu</w:t>
            </w:r>
            <w:r w:rsidRPr="00D90BE1">
              <w:rPr>
                <w:rFonts w:ascii="Times New Roman" w:hAnsi="Times New Roman"/>
                <w:sz w:val="28"/>
                <w:szCs w:val="28"/>
              </w:rPr>
              <w:t xml:space="preserve"> lietotājs, ar kuru līgums nav izbeigts. </w:t>
            </w:r>
            <w:r w:rsidRPr="00BB03E4">
              <w:rPr>
                <w:rFonts w:ascii="Times New Roman" w:hAnsi="Times New Roman"/>
                <w:sz w:val="28"/>
                <w:szCs w:val="28"/>
              </w:rPr>
              <w:t>Noteikumu 100.6.</w:t>
            </w:r>
            <w:r>
              <w:rPr>
                <w:rFonts w:ascii="Times New Roman" w:hAnsi="Times New Roman"/>
                <w:sz w:val="28"/>
                <w:szCs w:val="28"/>
              </w:rPr>
              <w:t> </w:t>
            </w:r>
            <w:r w:rsidRPr="00BB03E4">
              <w:rPr>
                <w:rFonts w:ascii="Times New Roman" w:hAnsi="Times New Roman"/>
                <w:sz w:val="28"/>
                <w:szCs w:val="28"/>
              </w:rPr>
              <w:t xml:space="preserve">apakšpunkts noteic gazificētā objekta īpašnieka pienākumu par gazificētajā objektā patērētās dabasgāzes </w:t>
            </w:r>
            <w:r w:rsidR="0073304C">
              <w:rPr>
                <w:rFonts w:ascii="Times New Roman" w:hAnsi="Times New Roman"/>
                <w:sz w:val="28"/>
                <w:szCs w:val="28"/>
              </w:rPr>
              <w:t xml:space="preserve">un sadales sistēmas pakalpojuma </w:t>
            </w:r>
            <w:r w:rsidRPr="00BB03E4">
              <w:rPr>
                <w:rFonts w:ascii="Times New Roman" w:hAnsi="Times New Roman"/>
                <w:sz w:val="28"/>
                <w:szCs w:val="28"/>
              </w:rPr>
              <w:t>norēķiniem un šajos noteikumos lietotājam paredzēto pienākumu izpildi, ja gazificētajā objektā nav noslēgts dabasgāzes tirdzniecības līgums vai tas ir zaudējis spēku</w:t>
            </w:r>
            <w:r>
              <w:rPr>
                <w:rFonts w:ascii="Times New Roman" w:hAnsi="Times New Roman"/>
                <w:sz w:val="28"/>
                <w:szCs w:val="28"/>
              </w:rPr>
              <w:t>. A</w:t>
            </w:r>
            <w:r w:rsidRPr="00BB03E4">
              <w:rPr>
                <w:rFonts w:ascii="Times New Roman" w:hAnsi="Times New Roman"/>
                <w:sz w:val="28"/>
                <w:szCs w:val="28"/>
              </w:rPr>
              <w:t xml:space="preserve">ttiecīgi ar Noteikumu </w:t>
            </w:r>
            <w:r w:rsidRPr="00D90BE1">
              <w:rPr>
                <w:rFonts w:ascii="Times New Roman" w:hAnsi="Times New Roman"/>
                <w:sz w:val="28"/>
                <w:szCs w:val="28"/>
              </w:rPr>
              <w:t>31.</w:t>
            </w:r>
            <w:r w:rsidRPr="00D90BE1">
              <w:rPr>
                <w:rFonts w:ascii="Times New Roman" w:hAnsi="Times New Roman"/>
                <w:sz w:val="28"/>
                <w:szCs w:val="28"/>
                <w:vertAlign w:val="superscript"/>
              </w:rPr>
              <w:t>1</w:t>
            </w:r>
            <w:r>
              <w:rPr>
                <w:rFonts w:ascii="Times New Roman" w:hAnsi="Times New Roman"/>
                <w:sz w:val="28"/>
                <w:szCs w:val="28"/>
                <w:vertAlign w:val="superscript"/>
              </w:rPr>
              <w:t> </w:t>
            </w:r>
            <w:r w:rsidRPr="00BB03E4">
              <w:rPr>
                <w:rFonts w:ascii="Times New Roman" w:hAnsi="Times New Roman"/>
                <w:sz w:val="28"/>
                <w:szCs w:val="28"/>
              </w:rPr>
              <w:t xml:space="preserve">punktu tiek novērsta situācija, kur īpašnieks </w:t>
            </w:r>
            <w:r>
              <w:rPr>
                <w:rFonts w:ascii="Times New Roman" w:hAnsi="Times New Roman"/>
                <w:sz w:val="28"/>
                <w:szCs w:val="28"/>
              </w:rPr>
              <w:t xml:space="preserve">vai cita persona, kurai ir tiesības izmantot objektu, </w:t>
            </w:r>
            <w:r w:rsidRPr="00BB03E4">
              <w:rPr>
                <w:rFonts w:ascii="Times New Roman" w:hAnsi="Times New Roman"/>
                <w:sz w:val="28"/>
                <w:szCs w:val="28"/>
              </w:rPr>
              <w:t xml:space="preserve">ļaunprātīgi </w:t>
            </w:r>
            <w:r>
              <w:rPr>
                <w:rFonts w:ascii="Times New Roman" w:hAnsi="Times New Roman"/>
                <w:sz w:val="28"/>
                <w:szCs w:val="28"/>
              </w:rPr>
              <w:t xml:space="preserve">liedz </w:t>
            </w:r>
            <w:r w:rsidRPr="00D90BE1">
              <w:rPr>
                <w:rFonts w:ascii="Times New Roman" w:hAnsi="Times New Roman"/>
                <w:sz w:val="28"/>
                <w:szCs w:val="28"/>
              </w:rPr>
              <w:t xml:space="preserve">sadales sistēmas operatoram </w:t>
            </w:r>
            <w:r w:rsidRPr="00BB03E4">
              <w:rPr>
                <w:rFonts w:ascii="Times New Roman" w:hAnsi="Times New Roman"/>
                <w:sz w:val="28"/>
                <w:szCs w:val="28"/>
              </w:rPr>
              <w:t>piekļuvi gazificētajam objektam.</w:t>
            </w:r>
          </w:p>
          <w:p w14:paraId="2B66F144" w14:textId="77777777"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 xml:space="preserve">Grozīts </w:t>
            </w:r>
            <w:r w:rsidRPr="00D90BE1">
              <w:rPr>
                <w:rFonts w:ascii="Times New Roman" w:hAnsi="Times New Roman"/>
                <w:sz w:val="28"/>
                <w:szCs w:val="28"/>
              </w:rPr>
              <w:t>Noteikumu 58.punkts</w:t>
            </w:r>
            <w:r>
              <w:rPr>
                <w:rFonts w:ascii="Times New Roman" w:hAnsi="Times New Roman"/>
                <w:sz w:val="28"/>
                <w:szCs w:val="28"/>
              </w:rPr>
              <w:t>,</w:t>
            </w:r>
            <w:r w:rsidRPr="00D90BE1">
              <w:rPr>
                <w:rFonts w:ascii="Times New Roman" w:hAnsi="Times New Roman"/>
                <w:sz w:val="28"/>
                <w:szCs w:val="28"/>
              </w:rPr>
              <w:t xml:space="preserve"> </w:t>
            </w:r>
            <w:r>
              <w:rPr>
                <w:rFonts w:ascii="Times New Roman" w:hAnsi="Times New Roman"/>
                <w:sz w:val="28"/>
                <w:szCs w:val="28"/>
              </w:rPr>
              <w:t xml:space="preserve">kas </w:t>
            </w:r>
            <w:r w:rsidRPr="00D90BE1">
              <w:rPr>
                <w:rFonts w:ascii="Times New Roman" w:hAnsi="Times New Roman"/>
                <w:sz w:val="28"/>
                <w:szCs w:val="28"/>
              </w:rPr>
              <w:t>no</w:t>
            </w:r>
            <w:r>
              <w:rPr>
                <w:rFonts w:ascii="Times New Roman" w:hAnsi="Times New Roman"/>
                <w:sz w:val="28"/>
                <w:szCs w:val="28"/>
              </w:rPr>
              <w:t xml:space="preserve">saka </w:t>
            </w:r>
            <w:r w:rsidRPr="00D90BE1">
              <w:rPr>
                <w:rFonts w:ascii="Times New Roman" w:hAnsi="Times New Roman"/>
                <w:sz w:val="28"/>
                <w:szCs w:val="28"/>
              </w:rPr>
              <w:t xml:space="preserve">informāciju, ko sadales sistēmas operatoram </w:t>
            </w:r>
            <w:r w:rsidRPr="00D90BE1">
              <w:rPr>
                <w:rFonts w:ascii="Times New Roman" w:hAnsi="Times New Roman"/>
                <w:sz w:val="28"/>
                <w:szCs w:val="28"/>
              </w:rPr>
              <w:lastRenderedPageBreak/>
              <w:t>jāiesniedz dabasgāzes tirgotājam pēc tā pieprasījuma, lai tirgotājs varētu sagatavot dabasgāzes tirdzniecības piedāvājumu vai līgumu. Ņemot vērā Regulatora lēmumā Nr.</w:t>
            </w:r>
            <w:r>
              <w:rPr>
                <w:rFonts w:ascii="Times New Roman" w:hAnsi="Times New Roman"/>
                <w:sz w:val="28"/>
                <w:szCs w:val="28"/>
              </w:rPr>
              <w:t> </w:t>
            </w:r>
            <w:r w:rsidRPr="00D90BE1">
              <w:rPr>
                <w:rFonts w:ascii="Times New Roman" w:hAnsi="Times New Roman"/>
                <w:sz w:val="28"/>
                <w:szCs w:val="28"/>
              </w:rPr>
              <w:t>107 noteiktās tarifu struktūras izmaiņas, nepieciešams atbilstoši izteikt Noteikumu 58.</w:t>
            </w:r>
            <w:r>
              <w:rPr>
                <w:rFonts w:ascii="Times New Roman" w:hAnsi="Times New Roman"/>
                <w:sz w:val="28"/>
                <w:szCs w:val="28"/>
              </w:rPr>
              <w:t> </w:t>
            </w:r>
            <w:r w:rsidRPr="00D90BE1">
              <w:rPr>
                <w:rFonts w:ascii="Times New Roman" w:hAnsi="Times New Roman"/>
                <w:sz w:val="28"/>
                <w:szCs w:val="28"/>
              </w:rPr>
              <w:t>punktu jaunā redakcijā</w:t>
            </w:r>
            <w:r>
              <w:rPr>
                <w:rFonts w:ascii="Times New Roman" w:hAnsi="Times New Roman"/>
                <w:sz w:val="28"/>
                <w:szCs w:val="28"/>
              </w:rPr>
              <w:t xml:space="preserve"> (</w:t>
            </w:r>
            <w:r w:rsidRPr="00D90BE1">
              <w:rPr>
                <w:rFonts w:ascii="Times New Roman" w:hAnsi="Times New Roman"/>
                <w:sz w:val="28"/>
                <w:szCs w:val="28"/>
              </w:rPr>
              <w:t>papildinot to</w:t>
            </w:r>
            <w:r>
              <w:rPr>
                <w:rFonts w:ascii="Times New Roman" w:hAnsi="Times New Roman"/>
                <w:sz w:val="28"/>
                <w:szCs w:val="28"/>
              </w:rPr>
              <w:t>)</w:t>
            </w:r>
            <w:r w:rsidRPr="00D90BE1">
              <w:rPr>
                <w:rFonts w:ascii="Times New Roman" w:hAnsi="Times New Roman"/>
                <w:sz w:val="28"/>
                <w:szCs w:val="28"/>
              </w:rPr>
              <w:t xml:space="preserve">, </w:t>
            </w:r>
            <w:r>
              <w:rPr>
                <w:rFonts w:ascii="Times New Roman" w:hAnsi="Times New Roman"/>
                <w:sz w:val="28"/>
                <w:szCs w:val="28"/>
              </w:rPr>
              <w:t xml:space="preserve">lai </w:t>
            </w:r>
            <w:r w:rsidRPr="00D90BE1">
              <w:rPr>
                <w:rFonts w:ascii="Times New Roman" w:hAnsi="Times New Roman"/>
                <w:sz w:val="28"/>
                <w:szCs w:val="28"/>
              </w:rPr>
              <w:t>no</w:t>
            </w:r>
            <w:r>
              <w:rPr>
                <w:rFonts w:ascii="Times New Roman" w:hAnsi="Times New Roman"/>
                <w:sz w:val="28"/>
                <w:szCs w:val="28"/>
              </w:rPr>
              <w:t>teiktu</w:t>
            </w:r>
            <w:r w:rsidRPr="00D90BE1">
              <w:rPr>
                <w:rFonts w:ascii="Times New Roman" w:hAnsi="Times New Roman"/>
                <w:sz w:val="28"/>
                <w:szCs w:val="28"/>
              </w:rPr>
              <w:t xml:space="preserve"> sadales sistēmas operatora pienākumu pēc dabasgāzes tirgotāja pieprasījuma tam sniegt informāciju ne tikai par lietotāja patēriņu, bet arī atļautās slodzes lielumu lietotāja objektos. Lai tirgotājs no sadales sistēmas operatora saņemtu datus par lietotāja dabasgāzes patēriņu, tam ir jāsaņem piekrišana no lietotāja un līdz šim punkts noteica, ka sadales sistēmas operatoram ir tiesības pārliecināties, kā lietotājs ir devis piekrišanu. Šādas sadales sistēmas operatora tiesības rada slogu un papildu procesus gan pašam operatoram, gan arī dabasgāzes tirgotājiem, jo operators var pieprasīt informāciju par visiem klientiem un to dotajām piekrišanām, pieprasot noteiktas formas lietotāju akceptu. Izvērtējot visu pušu ieguvumus un atvieglotos procesus, Ekonomikas ministrijas ieskatā</w:t>
            </w:r>
            <w:r>
              <w:rPr>
                <w:rFonts w:ascii="Times New Roman" w:hAnsi="Times New Roman"/>
                <w:sz w:val="28"/>
                <w:szCs w:val="28"/>
              </w:rPr>
              <w:t>,</w:t>
            </w:r>
            <w:r w:rsidRPr="00D90BE1">
              <w:rPr>
                <w:rFonts w:ascii="Times New Roman" w:hAnsi="Times New Roman"/>
                <w:sz w:val="28"/>
                <w:szCs w:val="28"/>
              </w:rPr>
              <w:t xml:space="preserve"> ir samērīgi veikt plānotos grozījumus dabasgāzes tirgus regulējumā</w:t>
            </w:r>
            <w:r>
              <w:rPr>
                <w:rFonts w:ascii="Times New Roman" w:hAnsi="Times New Roman"/>
                <w:sz w:val="28"/>
                <w:szCs w:val="28"/>
              </w:rPr>
              <w:t xml:space="preserve"> nosakot, ka p</w:t>
            </w:r>
            <w:r w:rsidRPr="002D3908">
              <w:rPr>
                <w:rFonts w:ascii="Times New Roman" w:hAnsi="Times New Roman"/>
                <w:sz w:val="28"/>
                <w:szCs w:val="28"/>
              </w:rPr>
              <w:t>ar lietotāja saņemtās piekrišanas patiesumu un no sadales sistēmas operatora saņemto datu aizsardzību ir atbildīgs tirgotājs.</w:t>
            </w:r>
          </w:p>
          <w:p w14:paraId="274297EC" w14:textId="0B420C3A"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r w:rsidRPr="00D90BE1">
              <w:rPr>
                <w:rFonts w:ascii="Times New Roman" w:hAnsi="Times New Roman"/>
                <w:sz w:val="28"/>
                <w:szCs w:val="28"/>
              </w:rPr>
              <w:t xml:space="preserve"> </w:t>
            </w:r>
            <w:r>
              <w:rPr>
                <w:rFonts w:ascii="Times New Roman" w:hAnsi="Times New Roman"/>
                <w:sz w:val="28"/>
                <w:szCs w:val="28"/>
              </w:rPr>
              <w:t xml:space="preserve">Grozīts </w:t>
            </w:r>
            <w:r w:rsidRPr="00D90BE1">
              <w:rPr>
                <w:rFonts w:ascii="Times New Roman" w:hAnsi="Times New Roman"/>
                <w:sz w:val="28"/>
                <w:szCs w:val="28"/>
              </w:rPr>
              <w:t>Noteikumu 82.2.</w:t>
            </w:r>
            <w:r>
              <w:rPr>
                <w:rFonts w:ascii="Times New Roman" w:hAnsi="Times New Roman"/>
                <w:sz w:val="28"/>
                <w:szCs w:val="28"/>
              </w:rPr>
              <w:t> </w:t>
            </w:r>
            <w:r w:rsidRPr="00D90BE1">
              <w:rPr>
                <w:rFonts w:ascii="Times New Roman" w:hAnsi="Times New Roman"/>
                <w:sz w:val="28"/>
                <w:szCs w:val="28"/>
              </w:rPr>
              <w:t>apakšpunkt</w:t>
            </w:r>
            <w:r>
              <w:rPr>
                <w:rFonts w:ascii="Times New Roman" w:hAnsi="Times New Roman"/>
                <w:sz w:val="28"/>
                <w:szCs w:val="28"/>
              </w:rPr>
              <w:t>s,</w:t>
            </w:r>
            <w:r w:rsidRPr="00D90BE1">
              <w:rPr>
                <w:rFonts w:ascii="Times New Roman" w:hAnsi="Times New Roman"/>
                <w:sz w:val="28"/>
                <w:szCs w:val="28"/>
              </w:rPr>
              <w:t xml:space="preserve"> samazin</w:t>
            </w:r>
            <w:r>
              <w:rPr>
                <w:rFonts w:ascii="Times New Roman" w:hAnsi="Times New Roman"/>
                <w:sz w:val="28"/>
                <w:szCs w:val="28"/>
              </w:rPr>
              <w:t>ot</w:t>
            </w:r>
            <w:r w:rsidRPr="00D90BE1">
              <w:rPr>
                <w:rFonts w:ascii="Times New Roman" w:hAnsi="Times New Roman"/>
                <w:sz w:val="28"/>
                <w:szCs w:val="28"/>
              </w:rPr>
              <w:t xml:space="preserve"> sadales sistēmas operatora pilnvaras</w:t>
            </w:r>
            <w:r>
              <w:rPr>
                <w:rFonts w:ascii="Times New Roman" w:hAnsi="Times New Roman"/>
                <w:sz w:val="28"/>
                <w:szCs w:val="28"/>
              </w:rPr>
              <w:t xml:space="preserve"> ar mērķi </w:t>
            </w:r>
            <w:r w:rsidRPr="00D90BE1">
              <w:rPr>
                <w:rFonts w:ascii="Times New Roman" w:hAnsi="Times New Roman"/>
                <w:sz w:val="28"/>
                <w:szCs w:val="28"/>
              </w:rPr>
              <w:t>novēr</w:t>
            </w:r>
            <w:r>
              <w:rPr>
                <w:rFonts w:ascii="Times New Roman" w:hAnsi="Times New Roman"/>
                <w:sz w:val="28"/>
                <w:szCs w:val="28"/>
              </w:rPr>
              <w:t>st</w:t>
            </w:r>
            <w:r w:rsidRPr="00D90BE1">
              <w:rPr>
                <w:rFonts w:ascii="Times New Roman" w:hAnsi="Times New Roman"/>
                <w:sz w:val="28"/>
                <w:szCs w:val="28"/>
              </w:rPr>
              <w:t xml:space="preserve"> situāciju, kad sadales sistēmas operatora noteiktās kārtības </w:t>
            </w:r>
            <w:r>
              <w:rPr>
                <w:rFonts w:ascii="Times New Roman" w:hAnsi="Times New Roman"/>
                <w:sz w:val="28"/>
                <w:szCs w:val="28"/>
              </w:rPr>
              <w:t xml:space="preserve">varētu būt pretrunā ar </w:t>
            </w:r>
            <w:r w:rsidRPr="00D90BE1">
              <w:rPr>
                <w:rFonts w:ascii="Times New Roman" w:hAnsi="Times New Roman"/>
                <w:sz w:val="28"/>
                <w:szCs w:val="28"/>
              </w:rPr>
              <w:t>Noteikumu</w:t>
            </w:r>
            <w:r>
              <w:rPr>
                <w:rFonts w:ascii="Times New Roman" w:hAnsi="Times New Roman"/>
                <w:sz w:val="28"/>
                <w:szCs w:val="28"/>
              </w:rPr>
              <w:t xml:space="preserve"> vai citu normatīvo aktu</w:t>
            </w:r>
            <w:r w:rsidRPr="00D90BE1">
              <w:rPr>
                <w:rFonts w:ascii="Times New Roman" w:hAnsi="Times New Roman"/>
                <w:sz w:val="28"/>
                <w:szCs w:val="28"/>
              </w:rPr>
              <w:t xml:space="preserve"> regulējum</w:t>
            </w:r>
            <w:r>
              <w:rPr>
                <w:rFonts w:ascii="Times New Roman" w:hAnsi="Times New Roman"/>
                <w:sz w:val="28"/>
                <w:szCs w:val="28"/>
              </w:rPr>
              <w:t>u</w:t>
            </w:r>
            <w:r w:rsidRPr="00D90BE1">
              <w:rPr>
                <w:rFonts w:ascii="Times New Roman" w:hAnsi="Times New Roman"/>
                <w:sz w:val="28"/>
                <w:szCs w:val="28"/>
              </w:rPr>
              <w:t>, kā arī Regulatora lēmumiem ar kuriem noteikti sadales sistēmas pakalpojumu tarifi.</w:t>
            </w:r>
            <w:r w:rsidR="00FA67A5">
              <w:rPr>
                <w:rFonts w:ascii="Times New Roman" w:hAnsi="Times New Roman"/>
                <w:sz w:val="28"/>
                <w:szCs w:val="28"/>
              </w:rPr>
              <w:t xml:space="preserve"> Noteikumu 82.2. apakšpunktā norādītais pienākums sadales sistēmas operatoram publicēt citu lietotājiem paredzēto informāciju sevī ietver lietotājiem paredzētas veidlapas, formas, vadlīnijas un citus materiālus, kas lietotājiem var būt noderīgi sadarbojoties ar dabasgāzes sadales sistēmas operatoru. </w:t>
            </w:r>
          </w:p>
          <w:p w14:paraId="40CAF786" w14:textId="44CB8728" w:rsidR="008F090E" w:rsidRPr="00D90BE1" w:rsidRDefault="008F090E" w:rsidP="006E74B7">
            <w:pPr>
              <w:pStyle w:val="ListParagraph"/>
              <w:numPr>
                <w:ilvl w:val="0"/>
                <w:numId w:val="3"/>
              </w:numPr>
              <w:spacing w:before="60" w:after="60" w:line="240" w:lineRule="auto"/>
              <w:ind w:left="0" w:right="65" w:firstLine="349"/>
              <w:jc w:val="both"/>
              <w:rPr>
                <w:rFonts w:ascii="Times New Roman" w:hAnsi="Times New Roman"/>
                <w:sz w:val="28"/>
                <w:szCs w:val="28"/>
              </w:rPr>
            </w:pPr>
            <w:bookmarkStart w:id="8" w:name="_Hlk6406655"/>
            <w:r w:rsidRPr="00D90BE1">
              <w:rPr>
                <w:rFonts w:ascii="Times New Roman" w:hAnsi="Times New Roman"/>
                <w:sz w:val="28"/>
                <w:szCs w:val="28"/>
              </w:rPr>
              <w:t xml:space="preserve"> </w:t>
            </w:r>
            <w:bookmarkStart w:id="9" w:name="_Hlk7685948"/>
            <w:r w:rsidRPr="00824A4D">
              <w:rPr>
                <w:rFonts w:ascii="Times New Roman" w:hAnsi="Times New Roman"/>
                <w:sz w:val="28"/>
                <w:szCs w:val="28"/>
              </w:rPr>
              <w:t>Projektā plānotā Noteikumu 89.</w:t>
            </w:r>
            <w:r>
              <w:rPr>
                <w:rFonts w:ascii="Times New Roman" w:hAnsi="Times New Roman"/>
                <w:sz w:val="28"/>
                <w:szCs w:val="28"/>
              </w:rPr>
              <w:t> </w:t>
            </w:r>
            <w:r w:rsidRPr="00824A4D">
              <w:rPr>
                <w:rFonts w:ascii="Times New Roman" w:hAnsi="Times New Roman"/>
                <w:sz w:val="28"/>
                <w:szCs w:val="28"/>
              </w:rPr>
              <w:t xml:space="preserve">punkta redakcija noteic, ka sistēmas operators Noteikumu 87.punktā paredzētā pārkāpuma rezultātā veic pārrēķinu par izlietoto dabasgāzi un sadales sistēmas </w:t>
            </w:r>
            <w:r w:rsidRPr="00824A4D">
              <w:rPr>
                <w:rFonts w:ascii="Times New Roman" w:hAnsi="Times New Roman"/>
                <w:sz w:val="28"/>
                <w:szCs w:val="28"/>
              </w:rPr>
              <w:lastRenderedPageBreak/>
              <w:t>pakalpojuma tarifu mainīgo daļu dubultā apmērā atbilstoši Noteikumu 88.</w:t>
            </w:r>
            <w:r>
              <w:rPr>
                <w:rFonts w:ascii="Times New Roman" w:hAnsi="Times New Roman"/>
                <w:sz w:val="28"/>
                <w:szCs w:val="28"/>
              </w:rPr>
              <w:t> </w:t>
            </w:r>
            <w:r w:rsidRPr="00824A4D">
              <w:rPr>
                <w:rFonts w:ascii="Times New Roman" w:hAnsi="Times New Roman"/>
                <w:sz w:val="28"/>
                <w:szCs w:val="28"/>
              </w:rPr>
              <w:t>punktam. Ņemot vērā, ka ar 2019.gadu tiek ieviesta sadales sistēmas pakalpojuma tarifu fiksētā daļa, gadījumos, kad tiek konstatēts Noteikumu 87.</w:t>
            </w:r>
            <w:r>
              <w:rPr>
                <w:rFonts w:ascii="Times New Roman" w:hAnsi="Times New Roman"/>
                <w:sz w:val="28"/>
                <w:szCs w:val="28"/>
              </w:rPr>
              <w:t> </w:t>
            </w:r>
            <w:r w:rsidRPr="00824A4D">
              <w:rPr>
                <w:rFonts w:ascii="Times New Roman" w:hAnsi="Times New Roman"/>
                <w:sz w:val="28"/>
                <w:szCs w:val="28"/>
              </w:rPr>
              <w:t xml:space="preserve">punktā minētais pārkāpums, saskaņā ar Noteikumu esošo redakciju pārrēķinu divkāršā apmērā ir tiesības noteikt arī par sadales sistēmas pakalpojuma tarifu fiksēto daļu. Tomēr pārrēķina būtība ir saistīta ar nepieciešamību kompensēt izmaksas par iespējamo  neuzskaitīto dabasgāzes patēriņu un dabasgāzes transportēšanu (tarifu mainīgā daļa), nevis dubultot sadales sistēmas operatora ieņēmumus par pieslēguma uzturēšanu. </w:t>
            </w:r>
            <w:r w:rsidR="004249E6">
              <w:rPr>
                <w:rFonts w:ascii="Times New Roman" w:hAnsi="Times New Roman"/>
                <w:sz w:val="28"/>
                <w:szCs w:val="28"/>
              </w:rPr>
              <w:t xml:space="preserve">Līdz ar to, saskaņā ar jauno redakciju, ja lietotājs ir veicis maksājumu par tarifa fiksēto daļu, tā aprēķinā netiek iekļauta, savukārt, ja lietotājs nav veicis samaksu, tad to pieskaita aprēķinam atbilstoši 89.punktā noteiktajam. </w:t>
            </w:r>
            <w:r w:rsidRPr="00824A4D">
              <w:rPr>
                <w:rFonts w:ascii="Times New Roman" w:hAnsi="Times New Roman"/>
                <w:sz w:val="28"/>
                <w:szCs w:val="28"/>
              </w:rPr>
              <w:t>Sistēmas operatora fiksētās izmaksas nav atkarīgas no faktiskā vai prezumētā dabasgāzes patēriņa, tāpēc sadales sistēmas operatoram pārrēķinu būtu pamats veikt par izlietoto dabasgāzi un sadales sistēmas pakalpojumu tarifu mainīgo daļu dubultā apmērā</w:t>
            </w:r>
            <w:r w:rsidR="004249E6">
              <w:rPr>
                <w:rFonts w:ascii="Times New Roman" w:hAnsi="Times New Roman"/>
                <w:sz w:val="28"/>
                <w:szCs w:val="28"/>
              </w:rPr>
              <w:t xml:space="preserve"> </w:t>
            </w:r>
            <w:r w:rsidR="004249E6" w:rsidRPr="00824A4D">
              <w:rPr>
                <w:rFonts w:ascii="Times New Roman" w:hAnsi="Times New Roman"/>
                <w:sz w:val="28"/>
                <w:szCs w:val="28"/>
              </w:rPr>
              <w:t xml:space="preserve">(nevis </w:t>
            </w:r>
            <w:r w:rsidR="004249E6">
              <w:rPr>
                <w:rFonts w:ascii="Times New Roman" w:hAnsi="Times New Roman"/>
                <w:sz w:val="28"/>
                <w:szCs w:val="28"/>
              </w:rPr>
              <w:t xml:space="preserve">dubultot gan </w:t>
            </w:r>
            <w:r w:rsidR="004249E6" w:rsidRPr="00824A4D">
              <w:rPr>
                <w:rFonts w:ascii="Times New Roman" w:hAnsi="Times New Roman"/>
                <w:sz w:val="28"/>
                <w:szCs w:val="28"/>
              </w:rPr>
              <w:t>mainīgo</w:t>
            </w:r>
            <w:r w:rsidR="004249E6">
              <w:rPr>
                <w:rFonts w:ascii="Times New Roman" w:hAnsi="Times New Roman"/>
                <w:sz w:val="28"/>
                <w:szCs w:val="28"/>
              </w:rPr>
              <w:t>, gan</w:t>
            </w:r>
            <w:r w:rsidR="004249E6" w:rsidRPr="00824A4D">
              <w:rPr>
                <w:rFonts w:ascii="Times New Roman" w:hAnsi="Times New Roman"/>
                <w:sz w:val="28"/>
                <w:szCs w:val="28"/>
              </w:rPr>
              <w:t xml:space="preserve"> fiksēto)</w:t>
            </w:r>
            <w:r w:rsidRPr="00824A4D">
              <w:rPr>
                <w:rFonts w:ascii="Times New Roman" w:hAnsi="Times New Roman"/>
                <w:sz w:val="28"/>
                <w:szCs w:val="28"/>
              </w:rPr>
              <w:t>. Līdz ar to, ja tiek konstatēts patvaļīgs pieslēgums, aprēķina rezultātam papildus pieskaita samaksu par sadales sistēmas pakalpojuma tarifu fiksēto daļu, kas tiek piemērota atkarībā no atļautās slodzes, lai kompensētu sadales sistēmas operatoram negūtos ieņēmumus par sadales sistēmas izmantošanu. Ar piedāvātajiem grozījumiem plānots padarīt šo normu skaidrāku, jo aprēķins izteikts pārskatāmā formā, tāpat kā līdz šim sadales sistēmas operatora veiktais pārrēķins par sadales sistēmas pakalpojumu ir iekļaujams lietotājam izrakstītajā rēķinā, kā tas tiek darīts praksē un kā to paredz normas mērķis.</w:t>
            </w:r>
          </w:p>
          <w:bookmarkEnd w:id="8"/>
          <w:bookmarkEnd w:id="9"/>
          <w:p w14:paraId="5B5E56C3" w14:textId="01E20B49" w:rsidR="008F090E" w:rsidRPr="00A932D5" w:rsidRDefault="008F090E" w:rsidP="00A932D5">
            <w:pPr>
              <w:pStyle w:val="ListParagraph"/>
              <w:numPr>
                <w:ilvl w:val="0"/>
                <w:numId w:val="3"/>
              </w:numPr>
              <w:spacing w:before="60" w:after="60" w:line="240" w:lineRule="auto"/>
              <w:ind w:left="0" w:right="65" w:firstLine="349"/>
              <w:jc w:val="both"/>
              <w:rPr>
                <w:rFonts w:ascii="Times New Roman" w:hAnsi="Times New Roman"/>
                <w:sz w:val="28"/>
                <w:szCs w:val="28"/>
              </w:rPr>
            </w:pPr>
            <w:r w:rsidRPr="00737F2D">
              <w:rPr>
                <w:rFonts w:ascii="Times New Roman" w:hAnsi="Times New Roman"/>
                <w:sz w:val="28"/>
                <w:szCs w:val="28"/>
              </w:rPr>
              <w:t xml:space="preserve">Ievērojot to, ka </w:t>
            </w:r>
            <w:r>
              <w:rPr>
                <w:rFonts w:ascii="Times New Roman" w:hAnsi="Times New Roman"/>
                <w:sz w:val="28"/>
                <w:szCs w:val="28"/>
              </w:rPr>
              <w:t>P</w:t>
            </w:r>
            <w:r w:rsidRPr="00737F2D">
              <w:rPr>
                <w:rFonts w:ascii="Times New Roman" w:hAnsi="Times New Roman"/>
                <w:sz w:val="28"/>
                <w:szCs w:val="28"/>
              </w:rPr>
              <w:t xml:space="preserve">rojektā ietvertais </w:t>
            </w:r>
            <w:r>
              <w:rPr>
                <w:rFonts w:ascii="Times New Roman" w:hAnsi="Times New Roman"/>
                <w:sz w:val="28"/>
                <w:szCs w:val="28"/>
              </w:rPr>
              <w:t xml:space="preserve">Noteikumu </w:t>
            </w:r>
            <w:r w:rsidRPr="00737F2D">
              <w:rPr>
                <w:rFonts w:ascii="Times New Roman" w:hAnsi="Times New Roman"/>
                <w:sz w:val="28"/>
                <w:szCs w:val="28"/>
              </w:rPr>
              <w:t>4.</w:t>
            </w:r>
            <w:r w:rsidRPr="00737F2D">
              <w:rPr>
                <w:rFonts w:ascii="Times New Roman" w:hAnsi="Times New Roman"/>
                <w:sz w:val="28"/>
                <w:szCs w:val="28"/>
                <w:vertAlign w:val="superscript"/>
              </w:rPr>
              <w:t>1</w:t>
            </w:r>
            <w:r>
              <w:rPr>
                <w:rFonts w:ascii="Times New Roman" w:hAnsi="Times New Roman"/>
                <w:sz w:val="28"/>
                <w:szCs w:val="28"/>
                <w:vertAlign w:val="superscript"/>
              </w:rPr>
              <w:t> </w:t>
            </w:r>
            <w:r w:rsidRPr="00737F2D">
              <w:rPr>
                <w:rFonts w:ascii="Times New Roman" w:hAnsi="Times New Roman"/>
                <w:sz w:val="28"/>
                <w:szCs w:val="28"/>
              </w:rPr>
              <w:t>punkts paredz lietotāju tiesības izmantot pieteikto slodzi</w:t>
            </w:r>
            <w:r w:rsidR="00A932D5">
              <w:rPr>
                <w:rFonts w:ascii="Times New Roman" w:hAnsi="Times New Roman"/>
                <w:sz w:val="28"/>
                <w:szCs w:val="28"/>
              </w:rPr>
              <w:t>.</w:t>
            </w:r>
            <w:r w:rsidRPr="00737F2D">
              <w:rPr>
                <w:rFonts w:ascii="Times New Roman" w:hAnsi="Times New Roman"/>
                <w:sz w:val="28"/>
                <w:szCs w:val="28"/>
              </w:rPr>
              <w:t xml:space="preserve"> </w:t>
            </w:r>
            <w:r w:rsidR="00A932D5">
              <w:rPr>
                <w:rFonts w:ascii="Times New Roman" w:hAnsi="Times New Roman"/>
                <w:sz w:val="28"/>
                <w:szCs w:val="28"/>
              </w:rPr>
              <w:t>L</w:t>
            </w:r>
            <w:r w:rsidRPr="00737F2D">
              <w:rPr>
                <w:rFonts w:ascii="Times New Roman" w:hAnsi="Times New Roman"/>
                <w:sz w:val="28"/>
                <w:szCs w:val="28"/>
              </w:rPr>
              <w:t>ai nodrošinātu, ka norēķini par sadales sistēmas pakalpojumiem notiek atbilstoši pieteiktajai slodzei, grozījumi Noteikumu 91.</w:t>
            </w:r>
            <w:r>
              <w:rPr>
                <w:rFonts w:ascii="Times New Roman" w:hAnsi="Times New Roman"/>
                <w:sz w:val="28"/>
                <w:szCs w:val="28"/>
              </w:rPr>
              <w:t> </w:t>
            </w:r>
            <w:r w:rsidRPr="00737F2D">
              <w:rPr>
                <w:rFonts w:ascii="Times New Roman" w:hAnsi="Times New Roman"/>
                <w:sz w:val="28"/>
                <w:szCs w:val="28"/>
              </w:rPr>
              <w:t>punktā paredz sadales sistēmas operatora pienākumu piemēro</w:t>
            </w:r>
            <w:r>
              <w:rPr>
                <w:rFonts w:ascii="Times New Roman" w:hAnsi="Times New Roman"/>
                <w:sz w:val="28"/>
                <w:szCs w:val="28"/>
              </w:rPr>
              <w:t>t</w:t>
            </w:r>
            <w:r w:rsidRPr="00737F2D">
              <w:rPr>
                <w:rFonts w:ascii="Times New Roman" w:hAnsi="Times New Roman"/>
                <w:sz w:val="28"/>
                <w:szCs w:val="28"/>
              </w:rPr>
              <w:t xml:space="preserve"> tarifu, kas atbilst pieteiktajai slodzei.</w:t>
            </w:r>
            <w:r w:rsidR="00A932D5">
              <w:rPr>
                <w:rFonts w:ascii="Times New Roman" w:hAnsi="Times New Roman"/>
                <w:sz w:val="28"/>
                <w:szCs w:val="28"/>
              </w:rPr>
              <w:t xml:space="preserve"> </w:t>
            </w:r>
            <w:r w:rsidRPr="00A932D5">
              <w:rPr>
                <w:rFonts w:ascii="Times New Roman" w:hAnsi="Times New Roman"/>
                <w:sz w:val="28"/>
                <w:szCs w:val="28"/>
              </w:rPr>
              <w:t xml:space="preserve">Noteikumus plānots papildināt ar </w:t>
            </w:r>
            <w:r w:rsidRPr="00A932D5">
              <w:rPr>
                <w:rFonts w:ascii="Times New Roman" w:hAnsi="Times New Roman"/>
                <w:sz w:val="28"/>
                <w:szCs w:val="28"/>
              </w:rPr>
              <w:lastRenderedPageBreak/>
              <w:t>91. punktu, lai sniegtu iespēju lietotājiem samazināt savus izdevumus, ja tie patērē zemāku slodzi par maksimālo atļauto slodzi.</w:t>
            </w:r>
          </w:p>
          <w:p w14:paraId="4D335746" w14:textId="1EF57A06"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41575B">
              <w:rPr>
                <w:rFonts w:ascii="Times New Roman" w:hAnsi="Times New Roman"/>
                <w:sz w:val="28"/>
                <w:szCs w:val="28"/>
              </w:rPr>
              <w:t xml:space="preserve">Ar Projektu paredzēts novērst neprecizitāti Noteikumu 99.3. apakšpunktā, kas </w:t>
            </w:r>
            <w:r>
              <w:rPr>
                <w:rFonts w:ascii="Times New Roman" w:hAnsi="Times New Roman"/>
                <w:sz w:val="28"/>
                <w:szCs w:val="28"/>
              </w:rPr>
              <w:t>pašreizējā</w:t>
            </w:r>
            <w:r w:rsidRPr="0041575B">
              <w:rPr>
                <w:rFonts w:ascii="Times New Roman" w:hAnsi="Times New Roman"/>
                <w:sz w:val="28"/>
                <w:szCs w:val="28"/>
              </w:rPr>
              <w:t xml:space="preserve"> redakcijā paredz mājsaimniecības lietotāja pienākumu norēķināties par dabasgāzi dabasgāzes tirgotāja, publiskā tirgotāja vai pēdējās garantētās piegādes pakalpojuma sniedzēja norēķinu kārtībā noteiktajos termiņos un veidos vienīgi par dabasgāzi, taču tajā nav atrunāts, ka mājsaimniecības lietotājiem jāveic arī samaksa par </w:t>
            </w:r>
            <w:r w:rsidR="00AC4ACD">
              <w:rPr>
                <w:rFonts w:ascii="Times New Roman" w:hAnsi="Times New Roman"/>
                <w:sz w:val="28"/>
                <w:szCs w:val="28"/>
              </w:rPr>
              <w:t xml:space="preserve">sadales </w:t>
            </w:r>
            <w:r w:rsidRPr="0041575B">
              <w:rPr>
                <w:rFonts w:ascii="Times New Roman" w:hAnsi="Times New Roman"/>
                <w:sz w:val="28"/>
                <w:szCs w:val="28"/>
              </w:rPr>
              <w:t xml:space="preserve">sistēmas pakalpojumiem. Lai novērstu domstarpības par to, ka lietotājam jāmaksā sadales sistēmas tarifa fiksētā daļa, </w:t>
            </w:r>
            <w:bookmarkStart w:id="10" w:name="_Hlk3885313"/>
            <w:r w:rsidRPr="0041575B">
              <w:rPr>
                <w:rFonts w:ascii="Times New Roman" w:hAnsi="Times New Roman"/>
                <w:sz w:val="28"/>
                <w:szCs w:val="28"/>
              </w:rPr>
              <w:t>Noteikumu 99.3.</w:t>
            </w:r>
            <w:r>
              <w:rPr>
                <w:rFonts w:ascii="Times New Roman" w:hAnsi="Times New Roman"/>
                <w:sz w:val="28"/>
                <w:szCs w:val="28"/>
              </w:rPr>
              <w:t> </w:t>
            </w:r>
            <w:r w:rsidRPr="0041575B">
              <w:rPr>
                <w:rFonts w:ascii="Times New Roman" w:hAnsi="Times New Roman"/>
                <w:sz w:val="28"/>
                <w:szCs w:val="28"/>
              </w:rPr>
              <w:t>apakšpunkt</w:t>
            </w:r>
            <w:r>
              <w:rPr>
                <w:rFonts w:ascii="Times New Roman" w:hAnsi="Times New Roman"/>
                <w:sz w:val="28"/>
                <w:szCs w:val="28"/>
              </w:rPr>
              <w:t>s tiek</w:t>
            </w:r>
            <w:r w:rsidRPr="0041575B">
              <w:rPr>
                <w:rFonts w:ascii="Times New Roman" w:hAnsi="Times New Roman"/>
                <w:sz w:val="28"/>
                <w:szCs w:val="28"/>
              </w:rPr>
              <w:t xml:space="preserve"> </w:t>
            </w:r>
            <w:bookmarkEnd w:id="10"/>
            <w:r w:rsidRPr="0041575B">
              <w:rPr>
                <w:rFonts w:ascii="Times New Roman" w:hAnsi="Times New Roman"/>
                <w:sz w:val="28"/>
                <w:szCs w:val="28"/>
              </w:rPr>
              <w:t>precizēt</w:t>
            </w:r>
            <w:r>
              <w:rPr>
                <w:rFonts w:ascii="Times New Roman" w:hAnsi="Times New Roman"/>
                <w:sz w:val="28"/>
                <w:szCs w:val="28"/>
              </w:rPr>
              <w:t>s</w:t>
            </w:r>
            <w:r w:rsidRPr="0041575B">
              <w:rPr>
                <w:rFonts w:ascii="Times New Roman" w:hAnsi="Times New Roman"/>
                <w:sz w:val="28"/>
                <w:szCs w:val="28"/>
              </w:rPr>
              <w:t>, skaidri nosakot, ka lietotājam nepieciešams norēķināties ne tikai par patērēto dabasgāzi, bet arī par sistēmas pakalpojumiem, tostarp – maksāt sadales sistēmas tarifa fiksēto daļu.</w:t>
            </w:r>
          </w:p>
          <w:p w14:paraId="45A7E981"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947770">
              <w:rPr>
                <w:rFonts w:ascii="Times New Roman" w:hAnsi="Times New Roman"/>
                <w:sz w:val="28"/>
                <w:szCs w:val="28"/>
              </w:rPr>
              <w:t>Projektā ietvertais 100.6.</w:t>
            </w:r>
            <w:r>
              <w:rPr>
                <w:rFonts w:ascii="Times New Roman" w:hAnsi="Times New Roman"/>
                <w:sz w:val="28"/>
                <w:szCs w:val="28"/>
              </w:rPr>
              <w:t> </w:t>
            </w:r>
            <w:r w:rsidRPr="00947770">
              <w:rPr>
                <w:rFonts w:ascii="Times New Roman" w:hAnsi="Times New Roman"/>
                <w:sz w:val="28"/>
                <w:szCs w:val="28"/>
              </w:rPr>
              <w:t xml:space="preserve">apakšpunkts paredz, ka gazificētā objekta īpašnieks ir atbildīgs par gazificētajā objektā patērētās dabasgāzes norēķiniem un Noteikumos lietotājam paredzēto pienākumu izpildi, ja gazificētajā objektā nav noslēgts dabasgāzes tirdzniecības līgums vai tas zaudējis spēku. Gazificētā objekta īpašnieka atbildība par norēķiniem par sniegtajiem sistēmas pakalpojumiem izriet no citu lietotājam paredzēto pienākumu izpildes. Tomēr praksē normas piemērošana rada problēmas sakarā ar dažādām tās satura interpretācijām, kas atsevišķos gadījumos nepamatoti izslēdz īpašnieka atbildību par norēķiniem par sistēmas pakalpojumiem. Tādējādi, lai nodrošinātu normas nepārprotamu un viennozīmīgi interpretējamu formulējumu, nepieciešams skaidri noteikt, ka gadījumā, ja līgums gazificētajā objektā ir zaudējis spēku vai nav noslēgts, īpašnieks atbild ne </w:t>
            </w:r>
            <w:r>
              <w:rPr>
                <w:rFonts w:ascii="Times New Roman" w:hAnsi="Times New Roman"/>
                <w:sz w:val="28"/>
                <w:szCs w:val="28"/>
              </w:rPr>
              <w:t>tikai</w:t>
            </w:r>
            <w:r w:rsidRPr="00947770">
              <w:rPr>
                <w:rFonts w:ascii="Times New Roman" w:hAnsi="Times New Roman"/>
                <w:sz w:val="28"/>
                <w:szCs w:val="28"/>
              </w:rPr>
              <w:t xml:space="preserve"> par norēķiniem par dabasgāzi, bet arī par norēķiniem par sadales sistēmas pakalpojumiem, jo bez šo pakalpojumu nodrošināšanas dabasgāzes piegāde objektā nebūtu iespējama. Noteikumu 100.6.</w:t>
            </w:r>
            <w:r>
              <w:rPr>
                <w:rFonts w:ascii="Times New Roman" w:hAnsi="Times New Roman"/>
                <w:sz w:val="28"/>
                <w:szCs w:val="28"/>
              </w:rPr>
              <w:t> </w:t>
            </w:r>
            <w:r w:rsidRPr="00947770">
              <w:rPr>
                <w:rFonts w:ascii="Times New Roman" w:hAnsi="Times New Roman"/>
                <w:sz w:val="28"/>
                <w:szCs w:val="28"/>
              </w:rPr>
              <w:t xml:space="preserve">apakšpunktu nepieciešams precizēt arī tāpēc, ka stājās spēkā </w:t>
            </w:r>
            <w:r w:rsidRPr="00947770">
              <w:rPr>
                <w:rFonts w:ascii="Times New Roman" w:hAnsi="Times New Roman"/>
                <w:sz w:val="28"/>
                <w:szCs w:val="28"/>
              </w:rPr>
              <w:lastRenderedPageBreak/>
              <w:t xml:space="preserve">jaunie sadales sistēmas pakalpojuma diferencētie tarifi un lietotājam (vai attiecīgi </w:t>
            </w:r>
            <w:r>
              <w:rPr>
                <w:rFonts w:ascii="Times New Roman" w:hAnsi="Times New Roman"/>
                <w:sz w:val="28"/>
                <w:szCs w:val="28"/>
              </w:rPr>
              <w:t xml:space="preserve">– </w:t>
            </w:r>
            <w:r w:rsidRPr="00947770">
              <w:rPr>
                <w:rFonts w:ascii="Times New Roman" w:hAnsi="Times New Roman"/>
                <w:sz w:val="28"/>
                <w:szCs w:val="28"/>
              </w:rPr>
              <w:t>gazificētā</w:t>
            </w:r>
            <w:r>
              <w:rPr>
                <w:rFonts w:ascii="Times New Roman" w:hAnsi="Times New Roman"/>
                <w:sz w:val="28"/>
                <w:szCs w:val="28"/>
              </w:rPr>
              <w:t xml:space="preserve"> </w:t>
            </w:r>
            <w:r w:rsidRPr="00947770">
              <w:rPr>
                <w:rFonts w:ascii="Times New Roman" w:hAnsi="Times New Roman"/>
                <w:sz w:val="28"/>
                <w:szCs w:val="28"/>
              </w:rPr>
              <w:t>objekta īpašniekam) ir pienākums veikt samaksu ne tikai par patērēto dabasgāzi, bet arī par sistēmas pakalpojumiem, kas nodrošina dabasgāzes piegādi līdz gazificētajam objektam.</w:t>
            </w:r>
          </w:p>
          <w:p w14:paraId="55B5C1DE" w14:textId="1FEFA0FC"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D54EA1">
              <w:rPr>
                <w:rFonts w:ascii="Times New Roman" w:hAnsi="Times New Roman"/>
                <w:sz w:val="28"/>
                <w:szCs w:val="28"/>
              </w:rPr>
              <w:t>Ar Projektā ie</w:t>
            </w:r>
            <w:r>
              <w:rPr>
                <w:rFonts w:ascii="Times New Roman" w:hAnsi="Times New Roman"/>
                <w:sz w:val="28"/>
                <w:szCs w:val="28"/>
              </w:rPr>
              <w:t xml:space="preserve">tverto Noteikumu </w:t>
            </w:r>
            <w:r w:rsidRPr="00D54EA1">
              <w:rPr>
                <w:rFonts w:ascii="Times New Roman" w:hAnsi="Times New Roman"/>
                <w:sz w:val="28"/>
                <w:szCs w:val="28"/>
              </w:rPr>
              <w:t>101.</w:t>
            </w:r>
            <w:r w:rsidRPr="00D54EA1">
              <w:rPr>
                <w:rFonts w:ascii="Times New Roman" w:hAnsi="Times New Roman"/>
                <w:sz w:val="28"/>
                <w:szCs w:val="28"/>
                <w:vertAlign w:val="superscript"/>
              </w:rPr>
              <w:t>1</w:t>
            </w:r>
            <w:r>
              <w:rPr>
                <w:rFonts w:ascii="Times New Roman" w:hAnsi="Times New Roman"/>
                <w:sz w:val="28"/>
                <w:szCs w:val="28"/>
                <w:vertAlign w:val="superscript"/>
              </w:rPr>
              <w:t xml:space="preserve"> </w:t>
            </w:r>
            <w:r w:rsidRPr="00D54EA1">
              <w:rPr>
                <w:rFonts w:ascii="Times New Roman" w:hAnsi="Times New Roman"/>
                <w:sz w:val="28"/>
                <w:szCs w:val="28"/>
              </w:rPr>
              <w:t>punktu paredzēts izveidot preventīvu mehānismu – papildu samaksu par pieteiktās atļautās slodzes pārsniegšanu, ko nosaka ar matemātiskas formulas palīdzību. Šādu grozījumu ieviešana nepieciešama, lai dabasgāzes lietotāji ļaunprātīgi neizmantotu slodzes pieteikšanas iespēju, kā arī tie būtu ieinteresēti ievērot pieteikto slodzi un atbilstoši tai patērētu sev nepieciešamo dabasgāzi. Trīskāršs reizinājums nepieciešams preventīvi, taču</w:t>
            </w:r>
            <w:r>
              <w:rPr>
                <w:rFonts w:ascii="Times New Roman" w:hAnsi="Times New Roman"/>
                <w:sz w:val="28"/>
                <w:szCs w:val="28"/>
              </w:rPr>
              <w:t>,</w:t>
            </w:r>
            <w:r w:rsidRPr="00D54EA1">
              <w:rPr>
                <w:rFonts w:ascii="Times New Roman" w:hAnsi="Times New Roman"/>
                <w:sz w:val="28"/>
                <w:szCs w:val="28"/>
              </w:rPr>
              <w:t xml:space="preserve"> salīdzinājumā ar divkāršu reizinājumu</w:t>
            </w:r>
            <w:r>
              <w:rPr>
                <w:rFonts w:ascii="Times New Roman" w:hAnsi="Times New Roman"/>
                <w:sz w:val="28"/>
                <w:szCs w:val="28"/>
              </w:rPr>
              <w:t>,</w:t>
            </w:r>
            <w:r w:rsidRPr="00D54EA1">
              <w:rPr>
                <w:rFonts w:ascii="Times New Roman" w:hAnsi="Times New Roman"/>
                <w:sz w:val="28"/>
                <w:szCs w:val="28"/>
              </w:rPr>
              <w:t xml:space="preserve"> ir pietiekošs, lai</w:t>
            </w:r>
            <w:r>
              <w:rPr>
                <w:rFonts w:ascii="Times New Roman" w:hAnsi="Times New Roman"/>
                <w:sz w:val="28"/>
                <w:szCs w:val="28"/>
              </w:rPr>
              <w:t>,</w:t>
            </w:r>
            <w:r w:rsidRPr="00D54EA1">
              <w:rPr>
                <w:rFonts w:ascii="Times New Roman" w:hAnsi="Times New Roman"/>
                <w:sz w:val="28"/>
                <w:szCs w:val="28"/>
              </w:rPr>
              <w:t xml:space="preserve"> neradītu lietotājam situāciju, kur ir finansiāli izdevīgāk pārkāpt pieteiktās slodzes lielumu un maksāt </w:t>
            </w:r>
            <w:r w:rsidR="00AC4ACD">
              <w:rPr>
                <w:rFonts w:ascii="Times New Roman" w:hAnsi="Times New Roman"/>
                <w:sz w:val="28"/>
                <w:szCs w:val="28"/>
              </w:rPr>
              <w:t>par pārkāpumu</w:t>
            </w:r>
            <w:r w:rsidRPr="00D54EA1">
              <w:rPr>
                <w:rFonts w:ascii="Times New Roman" w:hAnsi="Times New Roman"/>
                <w:sz w:val="28"/>
                <w:szCs w:val="28"/>
              </w:rPr>
              <w:t>, nekā pieteikt sev atbilstošu slodzes lielumu.</w:t>
            </w:r>
          </w:p>
          <w:p w14:paraId="38DB50D8" w14:textId="77777777" w:rsidR="008F090E" w:rsidRPr="00D56988" w:rsidRDefault="008F090E" w:rsidP="006E74B7">
            <w:pPr>
              <w:tabs>
                <w:tab w:val="left" w:pos="906"/>
              </w:tabs>
              <w:spacing w:before="60" w:after="60" w:line="240" w:lineRule="auto"/>
              <w:ind w:right="65" w:firstLine="349"/>
              <w:jc w:val="both"/>
              <w:rPr>
                <w:rFonts w:ascii="Times New Roman" w:hAnsi="Times New Roman"/>
                <w:sz w:val="28"/>
                <w:szCs w:val="28"/>
              </w:rPr>
            </w:pPr>
            <w:r w:rsidRPr="00D56988">
              <w:rPr>
                <w:rFonts w:ascii="Times New Roman" w:hAnsi="Times New Roman"/>
                <w:sz w:val="28"/>
                <w:szCs w:val="28"/>
              </w:rPr>
              <w:t>Līdzīga prakse jau tiek veiksmīgi īstenota arī elektroenerģijas nozarē.</w:t>
            </w:r>
          </w:p>
          <w:p w14:paraId="50B93739" w14:textId="77777777" w:rsidR="008F090E"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Pr>
                <w:rFonts w:ascii="Times New Roman" w:hAnsi="Times New Roman"/>
                <w:sz w:val="28"/>
                <w:szCs w:val="28"/>
              </w:rPr>
              <w:t>P</w:t>
            </w:r>
            <w:r w:rsidRPr="00D56988">
              <w:rPr>
                <w:rFonts w:ascii="Times New Roman" w:hAnsi="Times New Roman"/>
                <w:sz w:val="28"/>
                <w:szCs w:val="28"/>
              </w:rPr>
              <w:t>recizēt</w:t>
            </w:r>
            <w:r>
              <w:rPr>
                <w:rFonts w:ascii="Times New Roman" w:hAnsi="Times New Roman"/>
                <w:sz w:val="28"/>
                <w:szCs w:val="28"/>
              </w:rPr>
              <w:t>s</w:t>
            </w:r>
            <w:r w:rsidRPr="00D56988">
              <w:rPr>
                <w:rFonts w:ascii="Times New Roman" w:hAnsi="Times New Roman"/>
                <w:sz w:val="28"/>
                <w:szCs w:val="28"/>
              </w:rPr>
              <w:t xml:space="preserve"> Noteikumu 160.1.</w:t>
            </w:r>
            <w:r>
              <w:rPr>
                <w:rFonts w:ascii="Times New Roman" w:hAnsi="Times New Roman"/>
                <w:sz w:val="28"/>
                <w:szCs w:val="28"/>
              </w:rPr>
              <w:t> </w:t>
            </w:r>
            <w:r w:rsidRPr="00D56988">
              <w:rPr>
                <w:rFonts w:ascii="Times New Roman" w:hAnsi="Times New Roman"/>
                <w:sz w:val="28"/>
                <w:szCs w:val="28"/>
              </w:rPr>
              <w:t>apakšpunkt</w:t>
            </w:r>
            <w:r>
              <w:rPr>
                <w:rFonts w:ascii="Times New Roman" w:hAnsi="Times New Roman"/>
                <w:sz w:val="28"/>
                <w:szCs w:val="28"/>
              </w:rPr>
              <w:t>s</w:t>
            </w:r>
            <w:r w:rsidRPr="00D56988">
              <w:rPr>
                <w:rFonts w:ascii="Times New Roman" w:hAnsi="Times New Roman"/>
                <w:sz w:val="28"/>
                <w:szCs w:val="28"/>
              </w:rPr>
              <w:t>, ietverot atsauci uz pielīgto norēķinu kārtību, jo norēķinu kārtība attiecībās starp tirgotāju un lietotāju parasti tiek pielīgta līgumā, un tirgotājs to vienpusēji nenosaka, kā tas ir, piemēram, attiecībās starp pēdējās garantētās piegādes pakalpojuma sniedzēju un lietotāju, kurš saņem dabasgāzi pēdējās garantētās piegādes pakalpojuma ietvaros. Lietotājam ir pienākums veikt samaksu par izmantotajiem pakalpojumiem atbilstoši sadales sistēmas pakalpojumu tarifam.</w:t>
            </w:r>
          </w:p>
          <w:p w14:paraId="6C886DDB" w14:textId="133E4C88" w:rsidR="008F090E" w:rsidRPr="00CE3F02" w:rsidRDefault="008F090E" w:rsidP="006E74B7">
            <w:pPr>
              <w:pStyle w:val="ListParagraph"/>
              <w:numPr>
                <w:ilvl w:val="0"/>
                <w:numId w:val="3"/>
              </w:numPr>
              <w:tabs>
                <w:tab w:val="left" w:pos="906"/>
              </w:tabs>
              <w:spacing w:before="60" w:after="60" w:line="240" w:lineRule="auto"/>
              <w:ind w:left="0" w:right="65" w:firstLine="349"/>
              <w:jc w:val="both"/>
              <w:rPr>
                <w:rFonts w:ascii="Times New Roman" w:hAnsi="Times New Roman"/>
                <w:sz w:val="28"/>
                <w:szCs w:val="28"/>
              </w:rPr>
            </w:pPr>
            <w:r w:rsidRPr="00D56988">
              <w:rPr>
                <w:rFonts w:ascii="Times New Roman" w:hAnsi="Times New Roman"/>
                <w:sz w:val="28"/>
                <w:szCs w:val="28"/>
              </w:rPr>
              <w:t xml:space="preserve">Enerģētikas likuma 107.panta otrā un trešā daļa cita starpā noteic, ka saistītais lietotājs ir mājsaimniecības lietotājs, kurš nav izmantojis iespēju kļūt par tirgus dalībnieku un šādam lietotājam dabasgāzes piegādi nodrošina publiskais tirgotājs Ministru kabineta noteiktajā kārtībā par Regulatora noteiktu dabasgāzes cenu. Tā kā līdz šim nepastāvēja sadales sistēmas pakalpojuma diferencētais tarifs ar fiksēto daļu un saskaņā ar </w:t>
            </w:r>
            <w:r w:rsidRPr="00D56988">
              <w:rPr>
                <w:rFonts w:ascii="Times New Roman" w:hAnsi="Times New Roman"/>
                <w:sz w:val="28"/>
                <w:szCs w:val="28"/>
              </w:rPr>
              <w:lastRenderedPageBreak/>
              <w:t>Regulatora lēmumu Nr.107 jaunie tarifi stājās spēkā 2019.gada 1.janvār</w:t>
            </w:r>
            <w:r>
              <w:rPr>
                <w:rFonts w:ascii="Times New Roman" w:hAnsi="Times New Roman"/>
                <w:sz w:val="28"/>
                <w:szCs w:val="28"/>
              </w:rPr>
              <w:t>ī</w:t>
            </w:r>
            <w:r w:rsidRPr="00D56988">
              <w:rPr>
                <w:rFonts w:ascii="Times New Roman" w:hAnsi="Times New Roman"/>
                <w:sz w:val="28"/>
                <w:szCs w:val="28"/>
              </w:rPr>
              <w:t xml:space="preserve">, </w:t>
            </w:r>
            <w:r>
              <w:rPr>
                <w:rFonts w:ascii="Times New Roman" w:hAnsi="Times New Roman"/>
                <w:sz w:val="28"/>
                <w:szCs w:val="28"/>
              </w:rPr>
              <w:t xml:space="preserve">tad ir </w:t>
            </w:r>
            <w:r w:rsidRPr="00D56988">
              <w:rPr>
                <w:rFonts w:ascii="Times New Roman" w:hAnsi="Times New Roman"/>
                <w:sz w:val="28"/>
                <w:szCs w:val="28"/>
              </w:rPr>
              <w:t>nepieciešams precizēt Noteikumu 179.punktu, lai būtu iespējams piemērot sadales sistēmas pakalpojumu diferencētā tarifa fiksēto daļu arī saistītajiem lietotājiem atbilstoši jaunajiem tarifiem.</w:t>
            </w:r>
          </w:p>
        </w:tc>
      </w:tr>
      <w:tr w:rsidR="008F090E" w:rsidRPr="00D90BE1" w14:paraId="028774F3" w14:textId="77777777" w:rsidTr="006E74B7">
        <w:tc>
          <w:tcPr>
            <w:tcW w:w="237" w:type="pct"/>
            <w:shd w:val="clear" w:color="auto" w:fill="auto"/>
            <w:hideMark/>
          </w:tcPr>
          <w:p w14:paraId="076EEEFE"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3.</w:t>
            </w:r>
          </w:p>
        </w:tc>
        <w:tc>
          <w:tcPr>
            <w:tcW w:w="1403" w:type="pct"/>
            <w:shd w:val="clear" w:color="auto" w:fill="auto"/>
            <w:hideMark/>
          </w:tcPr>
          <w:p w14:paraId="45D32FE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izstrādē iesaistītās institūcijas un publiskas personas kapitālsabiedrības</w:t>
            </w:r>
          </w:p>
        </w:tc>
        <w:tc>
          <w:tcPr>
            <w:tcW w:w="3360" w:type="pct"/>
            <w:shd w:val="clear" w:color="auto" w:fill="auto"/>
            <w:hideMark/>
          </w:tcPr>
          <w:p w14:paraId="51E2BD5D" w14:textId="77777777" w:rsidR="008F090E" w:rsidRPr="00D90BE1" w:rsidRDefault="008F090E" w:rsidP="006E74B7">
            <w:pPr>
              <w:spacing w:after="0" w:line="240" w:lineRule="auto"/>
              <w:ind w:right="214" w:firstLine="314"/>
              <w:jc w:val="both"/>
              <w:rPr>
                <w:rFonts w:ascii="Times New Roman" w:hAnsi="Times New Roman"/>
                <w:sz w:val="28"/>
                <w:szCs w:val="28"/>
                <w:lang w:eastAsia="lv-LV"/>
              </w:rPr>
            </w:pPr>
            <w:r w:rsidRPr="00D90BE1">
              <w:rPr>
                <w:rFonts w:ascii="Times New Roman" w:hAnsi="Times New Roman"/>
                <w:sz w:val="28"/>
                <w:szCs w:val="28"/>
                <w:lang w:eastAsia="lv-LV"/>
              </w:rPr>
              <w:t>Projekt</w:t>
            </w:r>
            <w:r>
              <w:rPr>
                <w:rFonts w:ascii="Times New Roman" w:hAnsi="Times New Roman"/>
                <w:sz w:val="28"/>
                <w:szCs w:val="28"/>
                <w:lang w:eastAsia="lv-LV"/>
              </w:rPr>
              <w:t>a</w:t>
            </w:r>
            <w:r w:rsidRPr="00D90BE1">
              <w:rPr>
                <w:rFonts w:ascii="Times New Roman" w:hAnsi="Times New Roman"/>
                <w:sz w:val="28"/>
                <w:szCs w:val="28"/>
                <w:lang w:eastAsia="lv-LV"/>
              </w:rPr>
              <w:t xml:space="preserve"> izstrādes gaitā piedalījās </w:t>
            </w:r>
            <w:r w:rsidRPr="00D56988">
              <w:rPr>
                <w:rFonts w:ascii="Times New Roman" w:hAnsi="Times New Roman"/>
                <w:sz w:val="28"/>
                <w:szCs w:val="28"/>
              </w:rPr>
              <w:t>Regulator</w:t>
            </w:r>
            <w:r>
              <w:rPr>
                <w:rFonts w:ascii="Times New Roman" w:hAnsi="Times New Roman"/>
                <w:sz w:val="28"/>
                <w:szCs w:val="28"/>
                <w:lang w:eastAsia="lv-LV"/>
              </w:rPr>
              <w:t xml:space="preserve">s, Tieslietu ministrija, </w:t>
            </w:r>
            <w:r w:rsidRPr="00D90BE1">
              <w:rPr>
                <w:rFonts w:ascii="Times New Roman" w:hAnsi="Times New Roman"/>
                <w:sz w:val="28"/>
                <w:szCs w:val="28"/>
                <w:lang w:eastAsia="lv-LV"/>
              </w:rPr>
              <w:t>dabasgāzes sadales sistēmas operators AS</w:t>
            </w:r>
            <w:r>
              <w:rPr>
                <w:rFonts w:ascii="Times New Roman" w:hAnsi="Times New Roman"/>
                <w:sz w:val="28"/>
                <w:szCs w:val="28"/>
                <w:lang w:eastAsia="lv-LV"/>
              </w:rPr>
              <w:t> </w:t>
            </w:r>
            <w:r w:rsidRPr="00D90BE1">
              <w:rPr>
                <w:rFonts w:ascii="Times New Roman" w:hAnsi="Times New Roman"/>
                <w:sz w:val="28"/>
                <w:szCs w:val="28"/>
                <w:lang w:eastAsia="lv-LV"/>
              </w:rPr>
              <w:t>“Gaso”</w:t>
            </w:r>
            <w:r>
              <w:rPr>
                <w:rFonts w:ascii="Times New Roman" w:hAnsi="Times New Roman"/>
                <w:sz w:val="28"/>
                <w:szCs w:val="28"/>
                <w:lang w:eastAsia="lv-LV"/>
              </w:rPr>
              <w:t>, dabasgāzes tirgotājs AS “Latvijas Gāze” un AS “Latvenergo”.</w:t>
            </w:r>
          </w:p>
        </w:tc>
      </w:tr>
      <w:tr w:rsidR="008F090E" w:rsidRPr="00D90BE1" w14:paraId="24F3D010" w14:textId="77777777" w:rsidTr="006E74B7">
        <w:tc>
          <w:tcPr>
            <w:tcW w:w="237" w:type="pct"/>
            <w:shd w:val="clear" w:color="auto" w:fill="auto"/>
            <w:hideMark/>
          </w:tcPr>
          <w:p w14:paraId="219E51C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4.</w:t>
            </w:r>
          </w:p>
        </w:tc>
        <w:tc>
          <w:tcPr>
            <w:tcW w:w="1403" w:type="pct"/>
            <w:shd w:val="clear" w:color="auto" w:fill="auto"/>
            <w:hideMark/>
          </w:tcPr>
          <w:p w14:paraId="51B47F1C"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147D460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3881A9AA"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D90BE1" w14:paraId="55342B6E" w14:textId="77777777" w:rsidTr="006E74B7">
        <w:trPr>
          <w:trHeight w:val="794"/>
        </w:trPr>
        <w:tc>
          <w:tcPr>
            <w:tcW w:w="0" w:type="auto"/>
            <w:gridSpan w:val="3"/>
            <w:shd w:val="clear" w:color="auto" w:fill="auto"/>
            <w:vAlign w:val="center"/>
            <w:hideMark/>
          </w:tcPr>
          <w:p w14:paraId="6156ACE8"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II. Tiesību akta projekta ietekme uz sabiedrību, tautsaimniecības attīstību un administratīvo slogu</w:t>
            </w:r>
          </w:p>
        </w:tc>
      </w:tr>
      <w:tr w:rsidR="008F090E" w:rsidRPr="00D90BE1" w14:paraId="761F4717" w14:textId="77777777" w:rsidTr="006E74B7">
        <w:tc>
          <w:tcPr>
            <w:tcW w:w="300" w:type="pct"/>
            <w:shd w:val="clear" w:color="auto" w:fill="auto"/>
            <w:hideMark/>
          </w:tcPr>
          <w:p w14:paraId="4D72EB0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40" w:type="pct"/>
            <w:shd w:val="clear" w:color="auto" w:fill="auto"/>
            <w:hideMark/>
          </w:tcPr>
          <w:p w14:paraId="4CB07EF5"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 xml:space="preserve">Sabiedrības </w:t>
            </w:r>
            <w:proofErr w:type="spellStart"/>
            <w:r w:rsidRPr="00D90BE1">
              <w:rPr>
                <w:rFonts w:ascii="Times New Roman" w:eastAsia="Times New Roman" w:hAnsi="Times New Roman"/>
                <w:iCs/>
                <w:sz w:val="28"/>
                <w:szCs w:val="28"/>
                <w:lang w:eastAsia="lv-LV"/>
              </w:rPr>
              <w:t>mērķgrupas</w:t>
            </w:r>
            <w:proofErr w:type="spellEnd"/>
            <w:r w:rsidRPr="00D90BE1">
              <w:rPr>
                <w:rFonts w:ascii="Times New Roman" w:eastAsia="Times New Roman" w:hAnsi="Times New Roman"/>
                <w:iCs/>
                <w:sz w:val="28"/>
                <w:szCs w:val="28"/>
                <w:lang w:eastAsia="lv-LV"/>
              </w:rPr>
              <w:t>, kuras tiesiskais regulējums ietekmē vai varētu ietekmēt</w:t>
            </w:r>
          </w:p>
        </w:tc>
        <w:tc>
          <w:tcPr>
            <w:tcW w:w="3360" w:type="pct"/>
            <w:shd w:val="clear" w:color="auto" w:fill="auto"/>
            <w:hideMark/>
          </w:tcPr>
          <w:p w14:paraId="2A03550C" w14:textId="77777777" w:rsidR="008F090E" w:rsidRDefault="008F090E" w:rsidP="006E74B7">
            <w:pPr>
              <w:spacing w:after="0" w:line="240" w:lineRule="auto"/>
              <w:contextualSpacing/>
              <w:jc w:val="both"/>
              <w:rPr>
                <w:rFonts w:ascii="Times New Roman" w:hAnsi="Times New Roman"/>
                <w:sz w:val="28"/>
                <w:szCs w:val="28"/>
              </w:rPr>
            </w:pPr>
            <w:r w:rsidRPr="00D90BE1">
              <w:rPr>
                <w:rFonts w:ascii="Times New Roman" w:hAnsi="Times New Roman"/>
                <w:sz w:val="28"/>
                <w:szCs w:val="28"/>
              </w:rPr>
              <w:t>Projekts attiecas uz sadales sistēmas operatoru AS “Gaso”, dabasgāzes tirgotājiem un dabasgāzes lietotājiem, tostarp, saistītajiem lietotājiem un lietotājiem, kuri vēlas izbeigt ar tirgotāju slēgto līgumu</w:t>
            </w:r>
            <w:r>
              <w:rPr>
                <w:rFonts w:ascii="Times New Roman" w:hAnsi="Times New Roman"/>
                <w:sz w:val="28"/>
                <w:szCs w:val="28"/>
              </w:rPr>
              <w:t>.</w:t>
            </w:r>
          </w:p>
          <w:p w14:paraId="5CE2713E" w14:textId="77777777" w:rsidR="008F090E" w:rsidRPr="00D90BE1" w:rsidRDefault="008F090E" w:rsidP="006E74B7">
            <w:pPr>
              <w:spacing w:after="0" w:line="240" w:lineRule="auto"/>
              <w:contextualSpacing/>
              <w:jc w:val="both"/>
              <w:rPr>
                <w:rFonts w:ascii="Times New Roman" w:hAnsi="Times New Roman"/>
                <w:sz w:val="28"/>
                <w:szCs w:val="28"/>
              </w:rPr>
            </w:pPr>
            <w:r>
              <w:rPr>
                <w:rFonts w:ascii="Times New Roman" w:hAnsi="Times New Roman"/>
                <w:sz w:val="28"/>
                <w:szCs w:val="28"/>
              </w:rPr>
              <w:t xml:space="preserve">Projekts attiecas arī uz lietotājiem, kas nav mājsaimniecības lietotāji un savā gazificētajā objektā, kas ir rūpnieciska vai publiska būve ir uzstādījuši vienu vai vairākus dabasgāzes aparātus ar kopējo siltuma jaudu virs 130 </w:t>
            </w:r>
            <w:proofErr w:type="spellStart"/>
            <w:r>
              <w:rPr>
                <w:rFonts w:ascii="Times New Roman" w:hAnsi="Times New Roman"/>
                <w:sz w:val="28"/>
                <w:szCs w:val="28"/>
              </w:rPr>
              <w:t>kW</w:t>
            </w:r>
            <w:proofErr w:type="spellEnd"/>
            <w:r>
              <w:rPr>
                <w:rFonts w:ascii="Times New Roman" w:hAnsi="Times New Roman"/>
                <w:sz w:val="28"/>
                <w:szCs w:val="28"/>
              </w:rPr>
              <w:t xml:space="preserve">.  </w:t>
            </w:r>
          </w:p>
        </w:tc>
      </w:tr>
      <w:tr w:rsidR="008F090E" w:rsidRPr="00D90BE1" w14:paraId="45FCD0BC" w14:textId="77777777" w:rsidTr="006E74B7">
        <w:tc>
          <w:tcPr>
            <w:tcW w:w="300" w:type="pct"/>
            <w:shd w:val="clear" w:color="auto" w:fill="auto"/>
            <w:hideMark/>
          </w:tcPr>
          <w:p w14:paraId="28F728F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340" w:type="pct"/>
            <w:shd w:val="clear" w:color="auto" w:fill="auto"/>
            <w:hideMark/>
          </w:tcPr>
          <w:p w14:paraId="2CEAEC30" w14:textId="77777777" w:rsidR="008F090E" w:rsidRPr="004F68DC"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Tiesiskā regulējuma ietekme uz tautsaimniecību un administratīvo slogu</w:t>
            </w:r>
          </w:p>
        </w:tc>
        <w:tc>
          <w:tcPr>
            <w:tcW w:w="3360" w:type="pct"/>
            <w:shd w:val="clear" w:color="auto" w:fill="auto"/>
            <w:hideMark/>
          </w:tcPr>
          <w:p w14:paraId="4B73B538" w14:textId="77777777" w:rsidR="008F090E" w:rsidRDefault="008F090E" w:rsidP="006E74B7">
            <w:pPr>
              <w:spacing w:after="0" w:line="240" w:lineRule="auto"/>
              <w:ind w:firstLine="371"/>
              <w:contextualSpacing/>
              <w:jc w:val="both"/>
              <w:rPr>
                <w:rFonts w:ascii="Times New Roman" w:hAnsi="Times New Roman"/>
                <w:sz w:val="28"/>
                <w:szCs w:val="28"/>
              </w:rPr>
            </w:pPr>
            <w:r w:rsidRPr="00D90BE1">
              <w:rPr>
                <w:rFonts w:ascii="Times New Roman" w:hAnsi="Times New Roman"/>
                <w:sz w:val="28"/>
                <w:szCs w:val="28"/>
              </w:rPr>
              <w:t>Projekts neietekmē tautsaimniecību un nepalielina administratīvo slogu.</w:t>
            </w:r>
          </w:p>
          <w:p w14:paraId="30FBFFA2" w14:textId="77777777" w:rsidR="008F090E" w:rsidRDefault="008F090E" w:rsidP="006E74B7">
            <w:pPr>
              <w:spacing w:after="0" w:line="240" w:lineRule="auto"/>
              <w:ind w:firstLine="371"/>
              <w:contextualSpacing/>
              <w:jc w:val="both"/>
              <w:rPr>
                <w:rFonts w:ascii="Times New Roman" w:hAnsi="Times New Roman"/>
                <w:sz w:val="28"/>
                <w:szCs w:val="28"/>
              </w:rPr>
            </w:pPr>
            <w:r w:rsidRPr="00D90BE1">
              <w:rPr>
                <w:rFonts w:ascii="Times New Roman" w:hAnsi="Times New Roman"/>
                <w:sz w:val="28"/>
                <w:szCs w:val="28"/>
              </w:rPr>
              <w:t xml:space="preserve">Ietvertās normas, piemēram, </w:t>
            </w:r>
            <w:r>
              <w:rPr>
                <w:rFonts w:ascii="Times New Roman" w:hAnsi="Times New Roman"/>
                <w:sz w:val="28"/>
                <w:szCs w:val="28"/>
              </w:rPr>
              <w:t xml:space="preserve">Noteikumu </w:t>
            </w:r>
            <w:r w:rsidRPr="00D90BE1">
              <w:rPr>
                <w:rFonts w:ascii="Times New Roman" w:hAnsi="Times New Roman"/>
                <w:sz w:val="28"/>
                <w:szCs w:val="28"/>
              </w:rPr>
              <w:t>58.</w:t>
            </w:r>
            <w:r>
              <w:rPr>
                <w:rFonts w:ascii="Times New Roman" w:hAnsi="Times New Roman"/>
                <w:sz w:val="28"/>
                <w:szCs w:val="28"/>
              </w:rPr>
              <w:t> </w:t>
            </w:r>
            <w:r w:rsidRPr="00D90BE1">
              <w:rPr>
                <w:rFonts w:ascii="Times New Roman" w:hAnsi="Times New Roman"/>
                <w:sz w:val="28"/>
                <w:szCs w:val="28"/>
              </w:rPr>
              <w:t>punkts</w:t>
            </w:r>
            <w:r>
              <w:rPr>
                <w:rFonts w:ascii="Times New Roman" w:hAnsi="Times New Roman"/>
                <w:sz w:val="28"/>
                <w:szCs w:val="28"/>
              </w:rPr>
              <w:t xml:space="preserve"> (jaunajā redakcijā)</w:t>
            </w:r>
            <w:r w:rsidRPr="00D90BE1">
              <w:rPr>
                <w:rFonts w:ascii="Times New Roman" w:hAnsi="Times New Roman"/>
                <w:sz w:val="28"/>
                <w:szCs w:val="28"/>
              </w:rPr>
              <w:t xml:space="preserve"> samazina administratīvo slogu</w:t>
            </w:r>
            <w:r>
              <w:rPr>
                <w:rFonts w:ascii="Times New Roman" w:hAnsi="Times New Roman"/>
                <w:sz w:val="28"/>
                <w:szCs w:val="28"/>
              </w:rPr>
              <w:t>,</w:t>
            </w:r>
            <w:r w:rsidRPr="00D90BE1">
              <w:rPr>
                <w:rFonts w:ascii="Times New Roman" w:hAnsi="Times New Roman"/>
                <w:sz w:val="28"/>
                <w:szCs w:val="28"/>
              </w:rPr>
              <w:t xml:space="preserve"> īpaši dabasgāzes sadales sistēmas operatoram.</w:t>
            </w:r>
            <w:r>
              <w:rPr>
                <w:rFonts w:ascii="Times New Roman" w:hAnsi="Times New Roman"/>
                <w:sz w:val="28"/>
                <w:szCs w:val="28"/>
              </w:rPr>
              <w:t xml:space="preserve"> Nav negatīvas ietekmes uz Nacionālā attīstības </w:t>
            </w:r>
            <w:r w:rsidRPr="005A444D">
              <w:rPr>
                <w:rFonts w:ascii="Times New Roman" w:hAnsi="Times New Roman"/>
                <w:sz w:val="28"/>
                <w:szCs w:val="28"/>
              </w:rPr>
              <w:t xml:space="preserve">rādītājiem </w:t>
            </w:r>
            <w:proofErr w:type="spellStart"/>
            <w:r w:rsidRPr="005A444D">
              <w:rPr>
                <w:rFonts w:ascii="Times New Roman" w:hAnsi="Times New Roman"/>
                <w:sz w:val="28"/>
                <w:szCs w:val="28"/>
              </w:rPr>
              <w:t>mikrolīmenī</w:t>
            </w:r>
            <w:proofErr w:type="spellEnd"/>
            <w:r w:rsidRPr="005A444D">
              <w:rPr>
                <w:rFonts w:ascii="Times New Roman" w:hAnsi="Times New Roman"/>
                <w:sz w:val="28"/>
                <w:szCs w:val="28"/>
              </w:rPr>
              <w:t xml:space="preserve"> vai </w:t>
            </w:r>
            <w:proofErr w:type="spellStart"/>
            <w:r w:rsidRPr="005A444D">
              <w:rPr>
                <w:rFonts w:ascii="Times New Roman" w:hAnsi="Times New Roman"/>
                <w:sz w:val="28"/>
                <w:szCs w:val="28"/>
              </w:rPr>
              <w:t>makrolīmenī</w:t>
            </w:r>
            <w:proofErr w:type="spellEnd"/>
            <w:r>
              <w:rPr>
                <w:rFonts w:ascii="Times New Roman" w:hAnsi="Times New Roman"/>
                <w:sz w:val="28"/>
                <w:szCs w:val="28"/>
              </w:rPr>
              <w:t xml:space="preserve">, nav negatīvas ietekmes uz konkurenci, vidi, veselību, kā arī nevalstiskajām organizācijām. </w:t>
            </w:r>
          </w:p>
          <w:p w14:paraId="4E8ABEF8" w14:textId="77777777" w:rsidR="008F090E" w:rsidRDefault="008F090E" w:rsidP="006E74B7">
            <w:pPr>
              <w:spacing w:after="0" w:line="240" w:lineRule="auto"/>
              <w:ind w:firstLine="371"/>
              <w:contextualSpacing/>
              <w:jc w:val="both"/>
              <w:rPr>
                <w:rFonts w:ascii="Times New Roman" w:hAnsi="Times New Roman"/>
                <w:sz w:val="28"/>
                <w:szCs w:val="28"/>
              </w:rPr>
            </w:pPr>
            <w:r>
              <w:rPr>
                <w:rFonts w:ascii="Times New Roman" w:hAnsi="Times New Roman"/>
                <w:sz w:val="28"/>
                <w:szCs w:val="28"/>
              </w:rPr>
              <w:t xml:space="preserve">Saskaņā ar Projektā ietverto Noteikumu 58. punktu (jaunajā redakcijā) dabasgāzes sadales sistēmas operatoram administratīvais slogs samazinās, jo tam vairs nav jāuztur procesi, procedūras un cilvēkresursi, kas veic darbības, lai izpildītu līdz šim Noteikumu 58. punktā noteiktās prasības pārliecināties saņemtās informācijas (piekrišanas) patiesumu. Projektā ietvertie grozījumi skaidri noteic, ka par godīgu informācijas ieguvi un </w:t>
            </w:r>
            <w:r>
              <w:rPr>
                <w:rFonts w:ascii="Times New Roman" w:hAnsi="Times New Roman"/>
                <w:sz w:val="28"/>
                <w:szCs w:val="28"/>
              </w:rPr>
              <w:lastRenderedPageBreak/>
              <w:t>drošu datu apstrādi atbildīgs ir dabasgāzes tirgotājs. Tā kā tirgotājam arī līdz šim bija jānodrošina šāda datu drošība un godīga ieguve, tad papildu slogs netiek radīts.</w:t>
            </w:r>
          </w:p>
          <w:p w14:paraId="3BCD171F" w14:textId="77777777" w:rsidR="008F090E" w:rsidRPr="00D90BE1" w:rsidRDefault="008F090E" w:rsidP="006E74B7">
            <w:pPr>
              <w:spacing w:after="0" w:line="240" w:lineRule="auto"/>
              <w:ind w:firstLine="371"/>
              <w:contextualSpacing/>
              <w:jc w:val="both"/>
              <w:rPr>
                <w:rFonts w:ascii="Times New Roman" w:hAnsi="Times New Roman"/>
                <w:sz w:val="28"/>
                <w:szCs w:val="28"/>
              </w:rPr>
            </w:pPr>
            <w:r>
              <w:rPr>
                <w:rFonts w:ascii="Times New Roman" w:hAnsi="Times New Roman"/>
                <w:sz w:val="28"/>
                <w:szCs w:val="28"/>
              </w:rPr>
              <w:t xml:space="preserve">Tā kā </w:t>
            </w:r>
            <w:r w:rsidRPr="00A26394">
              <w:rPr>
                <w:rFonts w:ascii="Times New Roman" w:hAnsi="Times New Roman"/>
                <w:sz w:val="28"/>
                <w:szCs w:val="28"/>
              </w:rPr>
              <w:t>Projekts attiecas arī uz lietotājiem, kas nav mājsaimniecības lietotāji un savā gazificētajā objektā, kas ir rūpnieciska vai publiska būve ir uzstādījuši vienu vai vairākus dabasgāzes aparātus ar kopējo siltuma jaudu virs 130</w:t>
            </w:r>
            <w:r>
              <w:rPr>
                <w:rFonts w:ascii="Times New Roman" w:hAnsi="Times New Roman"/>
                <w:sz w:val="28"/>
                <w:szCs w:val="28"/>
              </w:rPr>
              <w:t> </w:t>
            </w:r>
            <w:proofErr w:type="spellStart"/>
            <w:r w:rsidRPr="00A26394">
              <w:rPr>
                <w:rFonts w:ascii="Times New Roman" w:hAnsi="Times New Roman"/>
                <w:sz w:val="28"/>
                <w:szCs w:val="28"/>
              </w:rPr>
              <w:t>kW</w:t>
            </w:r>
            <w:proofErr w:type="spellEnd"/>
            <w:r>
              <w:rPr>
                <w:rFonts w:ascii="Times New Roman" w:hAnsi="Times New Roman"/>
                <w:sz w:val="28"/>
                <w:szCs w:val="28"/>
              </w:rPr>
              <w:t xml:space="preserve"> (Noteikumu 14. punkts), iespējama ietekme aptuveni četriem uzņēmumiem gadā. Piemēram, objektā, kurā ir divi katli, kas patērē dabasgāzi ar jaudu 100 </w:t>
            </w:r>
            <w:proofErr w:type="spellStart"/>
            <w:r>
              <w:rPr>
                <w:rFonts w:ascii="Times New Roman" w:hAnsi="Times New Roman"/>
                <w:sz w:val="28"/>
                <w:szCs w:val="28"/>
              </w:rPr>
              <w:t>kW</w:t>
            </w:r>
            <w:proofErr w:type="spellEnd"/>
            <w:r>
              <w:rPr>
                <w:rFonts w:ascii="Times New Roman" w:hAnsi="Times New Roman"/>
                <w:sz w:val="28"/>
                <w:szCs w:val="28"/>
              </w:rPr>
              <w:t xml:space="preserve"> katrs (kopā 200 </w:t>
            </w:r>
            <w:proofErr w:type="spellStart"/>
            <w:r>
              <w:rPr>
                <w:rFonts w:ascii="Times New Roman" w:hAnsi="Times New Roman"/>
                <w:sz w:val="28"/>
                <w:szCs w:val="28"/>
              </w:rPr>
              <w:t>kW</w:t>
            </w:r>
            <w:proofErr w:type="spellEnd"/>
            <w:r>
              <w:rPr>
                <w:rFonts w:ascii="Times New Roman" w:hAnsi="Times New Roman"/>
                <w:sz w:val="28"/>
                <w:szCs w:val="28"/>
              </w:rPr>
              <w:t xml:space="preserve">), nepārprotami nepieciešams nodrošināt atbildīgo par gāzes saimniecību. Šāda minimāla ietekme uz sabiedrību radītu drošuma uzlabojumu, kas ir īpaši būtisks apdzīvotās vietās. </w:t>
            </w:r>
          </w:p>
        </w:tc>
      </w:tr>
      <w:tr w:rsidR="008F090E" w:rsidRPr="00D90BE1" w14:paraId="0339AACE" w14:textId="77777777" w:rsidTr="006E74B7">
        <w:tc>
          <w:tcPr>
            <w:tcW w:w="300" w:type="pct"/>
            <w:shd w:val="clear" w:color="auto" w:fill="auto"/>
            <w:hideMark/>
          </w:tcPr>
          <w:p w14:paraId="0EE0994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3.</w:t>
            </w:r>
          </w:p>
        </w:tc>
        <w:tc>
          <w:tcPr>
            <w:tcW w:w="1340" w:type="pct"/>
            <w:shd w:val="clear" w:color="auto" w:fill="auto"/>
            <w:hideMark/>
          </w:tcPr>
          <w:p w14:paraId="596548F4"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Administratīvo izmaksu monetārs novērtējums</w:t>
            </w:r>
          </w:p>
        </w:tc>
        <w:tc>
          <w:tcPr>
            <w:tcW w:w="3360" w:type="pct"/>
            <w:shd w:val="clear" w:color="auto" w:fill="auto"/>
            <w:hideMark/>
          </w:tcPr>
          <w:p w14:paraId="1DACA4C4"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sz w:val="28"/>
                <w:szCs w:val="28"/>
              </w:rPr>
              <w:t>Projekts šo jomu neskar</w:t>
            </w:r>
          </w:p>
        </w:tc>
      </w:tr>
      <w:tr w:rsidR="008F090E" w:rsidRPr="00D90BE1" w14:paraId="61362258" w14:textId="77777777" w:rsidTr="006E74B7">
        <w:tc>
          <w:tcPr>
            <w:tcW w:w="300" w:type="pct"/>
            <w:shd w:val="clear" w:color="auto" w:fill="auto"/>
            <w:hideMark/>
          </w:tcPr>
          <w:p w14:paraId="565A4BC5"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4.</w:t>
            </w:r>
          </w:p>
        </w:tc>
        <w:tc>
          <w:tcPr>
            <w:tcW w:w="1340" w:type="pct"/>
            <w:shd w:val="clear" w:color="auto" w:fill="auto"/>
            <w:hideMark/>
          </w:tcPr>
          <w:p w14:paraId="6119A17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Atbilstības izmaksu monetārs novērtējums</w:t>
            </w:r>
          </w:p>
        </w:tc>
        <w:tc>
          <w:tcPr>
            <w:tcW w:w="3360" w:type="pct"/>
            <w:shd w:val="clear" w:color="auto" w:fill="auto"/>
            <w:hideMark/>
          </w:tcPr>
          <w:p w14:paraId="2F54BF2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hAnsi="Times New Roman"/>
                <w:sz w:val="28"/>
                <w:szCs w:val="28"/>
              </w:rPr>
              <w:t>Projekts šo jomu neskar</w:t>
            </w:r>
          </w:p>
        </w:tc>
      </w:tr>
      <w:tr w:rsidR="008F090E" w:rsidRPr="00D90BE1" w14:paraId="2D07E2F5" w14:textId="77777777" w:rsidTr="006E74B7">
        <w:tc>
          <w:tcPr>
            <w:tcW w:w="300" w:type="pct"/>
            <w:shd w:val="clear" w:color="auto" w:fill="auto"/>
            <w:hideMark/>
          </w:tcPr>
          <w:p w14:paraId="74D06860"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5.</w:t>
            </w:r>
          </w:p>
        </w:tc>
        <w:tc>
          <w:tcPr>
            <w:tcW w:w="1340" w:type="pct"/>
            <w:shd w:val="clear" w:color="auto" w:fill="auto"/>
            <w:hideMark/>
          </w:tcPr>
          <w:p w14:paraId="7A4125F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305AF8CF"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229AAEF7"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11AEE875" w14:textId="77777777" w:rsidTr="006E74B7">
        <w:trPr>
          <w:trHeight w:val="794"/>
        </w:trPr>
        <w:tc>
          <w:tcPr>
            <w:tcW w:w="0" w:type="auto"/>
            <w:shd w:val="clear" w:color="auto" w:fill="auto"/>
            <w:vAlign w:val="center"/>
            <w:hideMark/>
          </w:tcPr>
          <w:p w14:paraId="23370B08" w14:textId="77777777" w:rsidR="008F090E" w:rsidRPr="00D90BE1" w:rsidRDefault="008F090E" w:rsidP="006E74B7">
            <w:pPr>
              <w:spacing w:after="0" w:line="240" w:lineRule="auto"/>
              <w:jc w:val="center"/>
              <w:rPr>
                <w:rFonts w:ascii="Times New Roman" w:eastAsia="Times New Roman" w:hAnsi="Times New Roman"/>
                <w:b/>
                <w:bCs/>
                <w:iCs/>
                <w:color w:val="000000"/>
                <w:sz w:val="28"/>
                <w:szCs w:val="24"/>
                <w:lang w:eastAsia="lv-LV"/>
              </w:rPr>
            </w:pPr>
            <w:r w:rsidRPr="00D90BE1">
              <w:rPr>
                <w:rFonts w:ascii="Times New Roman" w:eastAsia="Times New Roman" w:hAnsi="Times New Roman"/>
                <w:b/>
                <w:bCs/>
                <w:iCs/>
                <w:color w:val="000000"/>
                <w:sz w:val="28"/>
                <w:szCs w:val="24"/>
                <w:lang w:eastAsia="lv-LV"/>
              </w:rPr>
              <w:t>III. Tiesību akta projekta ietekme uz valsts budžetu un pašvaldību budžetiem</w:t>
            </w:r>
          </w:p>
        </w:tc>
      </w:tr>
      <w:tr w:rsidR="008F090E" w:rsidRPr="00D90BE1" w14:paraId="0EE4F657" w14:textId="77777777" w:rsidTr="006E74B7">
        <w:tc>
          <w:tcPr>
            <w:tcW w:w="5000" w:type="pct"/>
            <w:shd w:val="clear" w:color="auto" w:fill="auto"/>
            <w:hideMark/>
          </w:tcPr>
          <w:p w14:paraId="7E188CF8" w14:textId="77777777" w:rsidR="008F090E" w:rsidRPr="00D90BE1" w:rsidRDefault="008F090E" w:rsidP="006E74B7">
            <w:pPr>
              <w:spacing w:after="0" w:line="240" w:lineRule="auto"/>
              <w:jc w:val="center"/>
              <w:rPr>
                <w:rFonts w:ascii="Times New Roman" w:eastAsia="Times New Roman" w:hAnsi="Times New Roman"/>
                <w:iCs/>
                <w:color w:val="000000"/>
                <w:sz w:val="28"/>
                <w:szCs w:val="24"/>
                <w:lang w:eastAsia="lv-LV"/>
              </w:rPr>
            </w:pPr>
            <w:r w:rsidRPr="00D90BE1">
              <w:rPr>
                <w:rFonts w:ascii="Times New Roman" w:eastAsia="Times New Roman" w:hAnsi="Times New Roman"/>
                <w:bCs/>
                <w:iCs/>
                <w:sz w:val="28"/>
                <w:szCs w:val="28"/>
                <w:lang w:eastAsia="lv-LV"/>
              </w:rPr>
              <w:t>Projekts šo jomu neskar</w:t>
            </w:r>
          </w:p>
        </w:tc>
      </w:tr>
    </w:tbl>
    <w:p w14:paraId="00CB1EFB" w14:textId="77777777" w:rsidR="008F090E" w:rsidRDefault="008F090E" w:rsidP="008F090E">
      <w:pPr>
        <w:spacing w:after="0" w:line="240" w:lineRule="auto"/>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6C43D3AD" w14:textId="77777777" w:rsidTr="006E74B7">
        <w:trPr>
          <w:trHeight w:val="454"/>
        </w:trPr>
        <w:tc>
          <w:tcPr>
            <w:tcW w:w="0" w:type="auto"/>
            <w:shd w:val="clear" w:color="auto" w:fill="auto"/>
            <w:vAlign w:val="center"/>
            <w:hideMark/>
          </w:tcPr>
          <w:p w14:paraId="0B703F94" w14:textId="77777777" w:rsidR="008F090E" w:rsidRPr="00D90BE1" w:rsidRDefault="008F090E" w:rsidP="006E74B7">
            <w:pPr>
              <w:spacing w:after="0" w:line="240" w:lineRule="auto"/>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IV. Tiesību akta projekta ietekme uz spēkā esošo tiesību normu sistēmu</w:t>
            </w:r>
          </w:p>
        </w:tc>
      </w:tr>
      <w:tr w:rsidR="008F090E" w:rsidRPr="00D90BE1" w14:paraId="3D8FD937" w14:textId="77777777" w:rsidTr="006E74B7">
        <w:tc>
          <w:tcPr>
            <w:tcW w:w="0" w:type="auto"/>
            <w:shd w:val="clear" w:color="auto" w:fill="auto"/>
            <w:hideMark/>
          </w:tcPr>
          <w:p w14:paraId="011C810F" w14:textId="77777777" w:rsidR="008F090E" w:rsidRPr="00D90BE1" w:rsidRDefault="008F090E" w:rsidP="006E74B7">
            <w:pPr>
              <w:spacing w:after="0" w:line="240" w:lineRule="auto"/>
              <w:jc w:val="center"/>
              <w:rPr>
                <w:rFonts w:ascii="Times New Roman" w:eastAsia="Times New Roman" w:hAnsi="Times New Roman"/>
                <w:bCs/>
                <w:iCs/>
                <w:sz w:val="28"/>
                <w:szCs w:val="28"/>
                <w:lang w:eastAsia="lv-LV"/>
              </w:rPr>
            </w:pPr>
            <w:r w:rsidRPr="00D90BE1">
              <w:rPr>
                <w:rFonts w:ascii="Times New Roman" w:eastAsia="Times New Roman" w:hAnsi="Times New Roman"/>
                <w:bCs/>
                <w:iCs/>
                <w:sz w:val="28"/>
                <w:szCs w:val="28"/>
                <w:lang w:eastAsia="lv-LV"/>
              </w:rPr>
              <w:t>Projekts šo jomu neskar</w:t>
            </w:r>
          </w:p>
        </w:tc>
      </w:tr>
    </w:tbl>
    <w:p w14:paraId="528CF8BC" w14:textId="77777777" w:rsidR="008F090E" w:rsidRPr="00261D45" w:rsidRDefault="008F090E" w:rsidP="008F090E">
      <w:pPr>
        <w:spacing w:after="0" w:line="240" w:lineRule="auto"/>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D90BE1" w14:paraId="7B731895" w14:textId="77777777" w:rsidTr="006E74B7">
        <w:trPr>
          <w:trHeight w:val="737"/>
        </w:trPr>
        <w:tc>
          <w:tcPr>
            <w:tcW w:w="0" w:type="auto"/>
            <w:shd w:val="clear" w:color="auto" w:fill="auto"/>
            <w:vAlign w:val="center"/>
            <w:hideMark/>
          </w:tcPr>
          <w:p w14:paraId="052F1CDE" w14:textId="77777777" w:rsidR="008F090E" w:rsidRPr="00D90BE1" w:rsidRDefault="008F090E" w:rsidP="006E74B7">
            <w:pPr>
              <w:spacing w:after="0" w:line="240" w:lineRule="auto"/>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V. Tiesību akta projekta atbilstība Latvijas Republikas starptautiskajām saistībām</w:t>
            </w:r>
          </w:p>
        </w:tc>
      </w:tr>
      <w:tr w:rsidR="008F090E" w:rsidRPr="00D90BE1" w14:paraId="026BD6D7" w14:textId="77777777" w:rsidTr="006E74B7">
        <w:tc>
          <w:tcPr>
            <w:tcW w:w="0" w:type="auto"/>
            <w:shd w:val="clear" w:color="auto" w:fill="auto"/>
            <w:hideMark/>
          </w:tcPr>
          <w:p w14:paraId="09830537" w14:textId="77777777" w:rsidR="008F090E" w:rsidRPr="00D90BE1" w:rsidRDefault="008F090E" w:rsidP="006E74B7">
            <w:pPr>
              <w:spacing w:after="0" w:line="240" w:lineRule="auto"/>
              <w:jc w:val="center"/>
              <w:rPr>
                <w:rFonts w:ascii="Times New Roman" w:eastAsia="Times New Roman" w:hAnsi="Times New Roman"/>
                <w:bCs/>
                <w:iCs/>
                <w:sz w:val="28"/>
                <w:szCs w:val="28"/>
                <w:lang w:eastAsia="lv-LV"/>
              </w:rPr>
            </w:pPr>
            <w:r w:rsidRPr="00D90BE1">
              <w:rPr>
                <w:rFonts w:ascii="Times New Roman" w:eastAsia="Times New Roman" w:hAnsi="Times New Roman"/>
                <w:bCs/>
                <w:iCs/>
                <w:sz w:val="28"/>
                <w:szCs w:val="28"/>
                <w:lang w:eastAsia="lv-LV"/>
              </w:rPr>
              <w:t>Projekts šo jomu neskar</w:t>
            </w:r>
          </w:p>
        </w:tc>
      </w:tr>
    </w:tbl>
    <w:p w14:paraId="7E1DB0FF"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0"/>
        <w:gridCol w:w="6092"/>
      </w:tblGrid>
      <w:tr w:rsidR="008F090E" w:rsidRPr="00D90BE1" w14:paraId="55B7BE0A" w14:textId="77777777" w:rsidTr="006E74B7">
        <w:trPr>
          <w:trHeight w:val="454"/>
        </w:trPr>
        <w:tc>
          <w:tcPr>
            <w:tcW w:w="5000" w:type="pct"/>
            <w:gridSpan w:val="3"/>
            <w:shd w:val="clear" w:color="auto" w:fill="auto"/>
            <w:vAlign w:val="center"/>
            <w:hideMark/>
          </w:tcPr>
          <w:p w14:paraId="541C1E00"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VI. Sabiedrības līdzdalība un komunikācijas aktivitātes</w:t>
            </w:r>
          </w:p>
        </w:tc>
      </w:tr>
      <w:tr w:rsidR="008F090E" w:rsidRPr="00D90BE1" w14:paraId="44140196" w14:textId="77777777" w:rsidTr="006E74B7">
        <w:tc>
          <w:tcPr>
            <w:tcW w:w="311" w:type="pct"/>
            <w:shd w:val="clear" w:color="auto" w:fill="auto"/>
            <w:hideMark/>
          </w:tcPr>
          <w:p w14:paraId="05026FE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29" w:type="pct"/>
            <w:shd w:val="clear" w:color="auto" w:fill="auto"/>
            <w:hideMark/>
          </w:tcPr>
          <w:p w14:paraId="498AFA4E"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Plānotās sabiedrības līdzdalības un komunikācijas aktivitātes saistībā ar projektu</w:t>
            </w:r>
          </w:p>
        </w:tc>
        <w:tc>
          <w:tcPr>
            <w:tcW w:w="3361" w:type="pct"/>
            <w:shd w:val="clear" w:color="auto" w:fill="auto"/>
            <w:hideMark/>
          </w:tcPr>
          <w:p w14:paraId="73B16DEE" w14:textId="7B992112" w:rsidR="008F090E" w:rsidRPr="00DC4C68" w:rsidRDefault="008F090E" w:rsidP="006E74B7">
            <w:pPr>
              <w:spacing w:after="0" w:line="240" w:lineRule="auto"/>
              <w:contextualSpacing/>
              <w:jc w:val="both"/>
              <w:rPr>
                <w:rFonts w:ascii="Times New Roman" w:hAnsi="Times New Roman"/>
                <w:sz w:val="28"/>
                <w:szCs w:val="28"/>
              </w:rPr>
            </w:pPr>
            <w:r w:rsidRPr="003F0966">
              <w:rPr>
                <w:rFonts w:ascii="Times New Roman" w:hAnsi="Times New Roman"/>
                <w:sz w:val="28"/>
                <w:szCs w:val="28"/>
              </w:rPr>
              <w:t xml:space="preserve">Atbilstoši Ministru kabineta 2009.gada 25.augusta noteikumiem Nr.970 </w:t>
            </w:r>
            <w:r w:rsidR="002D102E">
              <w:rPr>
                <w:rFonts w:ascii="Times New Roman" w:hAnsi="Times New Roman"/>
                <w:sz w:val="28"/>
                <w:szCs w:val="28"/>
              </w:rPr>
              <w:t>“</w:t>
            </w:r>
            <w:r w:rsidRPr="003F0966">
              <w:rPr>
                <w:rFonts w:ascii="Times New Roman" w:hAnsi="Times New Roman"/>
                <w:sz w:val="28"/>
                <w:szCs w:val="28"/>
              </w:rPr>
              <w:t xml:space="preserve">Sabiedrības līdzdalības kārtība attīstības plānošanas procesā”, lai informētu sabiedrību par projektu un dotu iespēju izteikt viedokli, projekts pirms tā iesniegšanas Valsts </w:t>
            </w:r>
            <w:r w:rsidRPr="003F0966">
              <w:rPr>
                <w:rFonts w:ascii="Times New Roman" w:hAnsi="Times New Roman"/>
                <w:sz w:val="28"/>
                <w:szCs w:val="28"/>
              </w:rPr>
              <w:lastRenderedPageBreak/>
              <w:t xml:space="preserve">sekretāru sanāksmē </w:t>
            </w:r>
            <w:r>
              <w:rPr>
                <w:rFonts w:ascii="Times New Roman" w:hAnsi="Times New Roman"/>
                <w:sz w:val="28"/>
                <w:szCs w:val="28"/>
              </w:rPr>
              <w:t xml:space="preserve">viedokļu sniegšanai </w:t>
            </w:r>
            <w:r w:rsidRPr="003F0966">
              <w:rPr>
                <w:rFonts w:ascii="Times New Roman" w:hAnsi="Times New Roman"/>
                <w:sz w:val="28"/>
                <w:szCs w:val="28"/>
              </w:rPr>
              <w:t xml:space="preserve">ievietots </w:t>
            </w:r>
            <w:r>
              <w:rPr>
                <w:rFonts w:ascii="Times New Roman" w:hAnsi="Times New Roman"/>
                <w:sz w:val="28"/>
                <w:szCs w:val="28"/>
              </w:rPr>
              <w:t>Ekonomikas ministrijas</w:t>
            </w:r>
            <w:r w:rsidRPr="003F0966">
              <w:rPr>
                <w:rFonts w:ascii="Times New Roman" w:hAnsi="Times New Roman"/>
                <w:sz w:val="28"/>
                <w:szCs w:val="28"/>
              </w:rPr>
              <w:t xml:space="preserve"> </w:t>
            </w:r>
            <w:r>
              <w:rPr>
                <w:rFonts w:ascii="Times New Roman" w:hAnsi="Times New Roman"/>
                <w:sz w:val="28"/>
                <w:szCs w:val="28"/>
              </w:rPr>
              <w:t>mājaslapā</w:t>
            </w:r>
            <w:r w:rsidRPr="00DC4C68">
              <w:rPr>
                <w:rFonts w:ascii="Times New Roman" w:hAnsi="Times New Roman"/>
                <w:sz w:val="28"/>
                <w:szCs w:val="28"/>
              </w:rPr>
              <w:t>:</w:t>
            </w:r>
          </w:p>
          <w:p w14:paraId="78D33D5E" w14:textId="77777777" w:rsidR="008F090E" w:rsidRDefault="008369D9" w:rsidP="006E74B7">
            <w:pPr>
              <w:spacing w:after="0" w:line="240" w:lineRule="auto"/>
              <w:contextualSpacing/>
              <w:jc w:val="both"/>
              <w:rPr>
                <w:rFonts w:ascii="Times New Roman" w:hAnsi="Times New Roman"/>
                <w:bCs/>
                <w:iCs/>
                <w:sz w:val="28"/>
                <w:szCs w:val="28"/>
              </w:rPr>
            </w:pPr>
            <w:hyperlink r:id="rId8" w:history="1">
              <w:r w:rsidR="008F090E" w:rsidRPr="00AD1A0E">
                <w:rPr>
                  <w:rStyle w:val="Hyperlink"/>
                  <w:rFonts w:ascii="Times New Roman" w:hAnsi="Times New Roman"/>
                  <w:bCs/>
                  <w:iCs/>
                  <w:sz w:val="28"/>
                  <w:szCs w:val="28"/>
                </w:rPr>
                <w:t>https://em.gov.lv/lv/par_ministriju/sabiedribas_lidzdaliba/diskusiju_dokumenti/energijas_tirgus_un_infrastruktura/</w:t>
              </w:r>
            </w:hyperlink>
          </w:p>
          <w:p w14:paraId="5AE62D5E" w14:textId="77777777" w:rsidR="008F090E" w:rsidRPr="00DC4C68" w:rsidRDefault="008F090E" w:rsidP="006E74B7">
            <w:pPr>
              <w:spacing w:after="0" w:line="240" w:lineRule="auto"/>
              <w:contextualSpacing/>
              <w:jc w:val="both"/>
              <w:rPr>
                <w:rFonts w:ascii="Times New Roman" w:hAnsi="Times New Roman"/>
                <w:bCs/>
                <w:iCs/>
                <w:sz w:val="28"/>
                <w:szCs w:val="28"/>
              </w:rPr>
            </w:pPr>
            <w:r w:rsidRPr="00DC4C68">
              <w:rPr>
                <w:rFonts w:ascii="Times New Roman" w:hAnsi="Times New Roman"/>
                <w:bCs/>
                <w:iCs/>
                <w:sz w:val="28"/>
                <w:szCs w:val="28"/>
              </w:rPr>
              <w:t>un</w:t>
            </w:r>
          </w:p>
          <w:p w14:paraId="4B67507B" w14:textId="77777777" w:rsidR="008F090E" w:rsidRPr="00DC4C68" w:rsidRDefault="008F090E" w:rsidP="006E74B7">
            <w:pPr>
              <w:spacing w:after="0" w:line="240" w:lineRule="auto"/>
              <w:contextualSpacing/>
              <w:jc w:val="both"/>
              <w:rPr>
                <w:rFonts w:ascii="Times New Roman" w:hAnsi="Times New Roman"/>
                <w:bCs/>
                <w:iCs/>
                <w:sz w:val="28"/>
                <w:szCs w:val="28"/>
              </w:rPr>
            </w:pPr>
            <w:r w:rsidRPr="00DC4C68">
              <w:rPr>
                <w:rFonts w:ascii="Times New Roman" w:hAnsi="Times New Roman"/>
                <w:bCs/>
                <w:iCs/>
                <w:sz w:val="28"/>
                <w:szCs w:val="28"/>
              </w:rPr>
              <w:t>Ministru kabineta tīmekļa vietnē:</w:t>
            </w:r>
          </w:p>
          <w:p w14:paraId="558756A6" w14:textId="77777777" w:rsidR="008F090E" w:rsidRPr="003F0966" w:rsidRDefault="008369D9" w:rsidP="006E74B7">
            <w:pPr>
              <w:spacing w:after="0" w:line="240" w:lineRule="auto"/>
              <w:contextualSpacing/>
              <w:jc w:val="both"/>
              <w:rPr>
                <w:rFonts w:ascii="Times New Roman" w:hAnsi="Times New Roman"/>
                <w:sz w:val="28"/>
                <w:szCs w:val="28"/>
              </w:rPr>
            </w:pPr>
            <w:hyperlink r:id="rId9" w:history="1">
              <w:r w:rsidR="008F090E" w:rsidRPr="00DC4C68">
                <w:rPr>
                  <w:rStyle w:val="Hyperlink"/>
                  <w:rFonts w:ascii="Times New Roman" w:hAnsi="Times New Roman"/>
                  <w:bCs/>
                  <w:iCs/>
                  <w:sz w:val="28"/>
                  <w:szCs w:val="28"/>
                </w:rPr>
                <w:t>https://www.mk.gov.lv/content/ministru-kabineta-diskusiju-dokumenti</w:t>
              </w:r>
            </w:hyperlink>
          </w:p>
        </w:tc>
      </w:tr>
      <w:tr w:rsidR="008F090E" w:rsidRPr="00D90BE1" w14:paraId="3E8EC978" w14:textId="77777777" w:rsidTr="006E74B7">
        <w:tc>
          <w:tcPr>
            <w:tcW w:w="311" w:type="pct"/>
            <w:shd w:val="clear" w:color="auto" w:fill="auto"/>
            <w:hideMark/>
          </w:tcPr>
          <w:p w14:paraId="4E8DA4D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2.</w:t>
            </w:r>
          </w:p>
        </w:tc>
        <w:tc>
          <w:tcPr>
            <w:tcW w:w="1329" w:type="pct"/>
            <w:shd w:val="clear" w:color="auto" w:fill="auto"/>
            <w:hideMark/>
          </w:tcPr>
          <w:p w14:paraId="2AF8D126"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Sabiedrības līdzdalība projekta izstrādē</w:t>
            </w:r>
          </w:p>
        </w:tc>
        <w:tc>
          <w:tcPr>
            <w:tcW w:w="3361" w:type="pct"/>
            <w:shd w:val="clear" w:color="auto" w:fill="auto"/>
            <w:hideMark/>
          </w:tcPr>
          <w:p w14:paraId="267C75E0" w14:textId="77777777" w:rsidR="008F090E" w:rsidRDefault="008F090E" w:rsidP="006E74B7">
            <w:pPr>
              <w:spacing w:after="0" w:line="240" w:lineRule="auto"/>
              <w:ind w:firstLine="316"/>
              <w:contextualSpacing/>
              <w:jc w:val="both"/>
              <w:rPr>
                <w:rFonts w:ascii="Times New Roman" w:hAnsi="Times New Roman"/>
                <w:sz w:val="28"/>
                <w:szCs w:val="28"/>
              </w:rPr>
            </w:pPr>
            <w:r w:rsidRPr="00D90BE1">
              <w:rPr>
                <w:rFonts w:ascii="Times New Roman" w:hAnsi="Times New Roman"/>
                <w:sz w:val="28"/>
                <w:szCs w:val="28"/>
              </w:rPr>
              <w:t>Informācija par Projektu 2018.gada 21.novembrī ir ievietota Ekonomikas ministrijas mājaslapas sadaļā “Sabiedrības līdzdalība”</w:t>
            </w:r>
            <w:r w:rsidRPr="00D90BE1">
              <w:rPr>
                <w:rStyle w:val="FootnoteReference"/>
                <w:rFonts w:ascii="Times New Roman" w:hAnsi="Times New Roman"/>
                <w:sz w:val="28"/>
                <w:szCs w:val="28"/>
              </w:rPr>
              <w:footnoteReference w:id="1"/>
            </w:r>
            <w:r>
              <w:rPr>
                <w:rFonts w:ascii="Times New Roman" w:hAnsi="Times New Roman"/>
                <w:sz w:val="28"/>
                <w:szCs w:val="28"/>
              </w:rPr>
              <w:t xml:space="preserve"> un Ministru kabineta mājaslapā sadaļā “</w:t>
            </w:r>
            <w:r w:rsidRPr="003507FB">
              <w:rPr>
                <w:rFonts w:ascii="Times New Roman" w:hAnsi="Times New Roman"/>
                <w:sz w:val="28"/>
                <w:szCs w:val="28"/>
              </w:rPr>
              <w:t>Ministru kabineta diskusiju dokumenti</w:t>
            </w:r>
            <w:r>
              <w:rPr>
                <w:rFonts w:ascii="Times New Roman" w:hAnsi="Times New Roman"/>
                <w:sz w:val="28"/>
                <w:szCs w:val="28"/>
              </w:rPr>
              <w:t>”</w:t>
            </w:r>
            <w:r w:rsidRPr="00D90BE1">
              <w:rPr>
                <w:rStyle w:val="FootnoteReference"/>
                <w:rFonts w:ascii="Times New Roman" w:hAnsi="Times New Roman"/>
                <w:sz w:val="28"/>
                <w:szCs w:val="28"/>
              </w:rPr>
              <w:footnoteReference w:id="2"/>
            </w:r>
            <w:r w:rsidRPr="00D90BE1">
              <w:rPr>
                <w:rFonts w:ascii="Times New Roman" w:hAnsi="Times New Roman"/>
                <w:sz w:val="28"/>
                <w:szCs w:val="28"/>
              </w:rPr>
              <w:t>.</w:t>
            </w:r>
          </w:p>
          <w:p w14:paraId="0FC2C867" w14:textId="77777777" w:rsidR="008F090E" w:rsidRPr="00D90BE1" w:rsidRDefault="008F090E" w:rsidP="006E74B7">
            <w:pPr>
              <w:spacing w:after="0" w:line="240" w:lineRule="auto"/>
              <w:ind w:firstLine="316"/>
              <w:contextualSpacing/>
              <w:jc w:val="both"/>
              <w:rPr>
                <w:rFonts w:ascii="Times New Roman" w:eastAsia="Times New Roman" w:hAnsi="Times New Roman"/>
                <w:iCs/>
                <w:sz w:val="28"/>
                <w:szCs w:val="28"/>
                <w:lang w:eastAsia="lv-LV"/>
              </w:rPr>
            </w:pPr>
            <w:r>
              <w:rPr>
                <w:rFonts w:ascii="Times New Roman" w:hAnsi="Times New Roman"/>
                <w:sz w:val="28"/>
                <w:szCs w:val="28"/>
              </w:rPr>
              <w:t xml:space="preserve">Saskaņošanas procesā piedalījās arī </w:t>
            </w:r>
            <w:r w:rsidRPr="00824A4D">
              <w:rPr>
                <w:rFonts w:ascii="Times New Roman" w:hAnsi="Times New Roman"/>
                <w:sz w:val="28"/>
                <w:szCs w:val="28"/>
              </w:rPr>
              <w:t xml:space="preserve">Tieslietu ministrija, Finanšu ministrija, Latvijas Darba devēju konfederācija, </w:t>
            </w:r>
            <w:r>
              <w:rPr>
                <w:rFonts w:ascii="Times New Roman" w:hAnsi="Times New Roman"/>
                <w:sz w:val="28"/>
                <w:szCs w:val="28"/>
              </w:rPr>
              <w:t>Regulators</w:t>
            </w:r>
            <w:r w:rsidRPr="00824A4D">
              <w:rPr>
                <w:rFonts w:ascii="Times New Roman" w:hAnsi="Times New Roman"/>
                <w:sz w:val="28"/>
                <w:szCs w:val="28"/>
              </w:rPr>
              <w:t>, AS “Latvenergo”, AS</w:t>
            </w:r>
            <w:r>
              <w:rPr>
                <w:rFonts w:ascii="Times New Roman" w:hAnsi="Times New Roman"/>
                <w:sz w:val="28"/>
                <w:szCs w:val="28"/>
              </w:rPr>
              <w:t> </w:t>
            </w:r>
            <w:r w:rsidRPr="00824A4D">
              <w:rPr>
                <w:rFonts w:ascii="Times New Roman" w:hAnsi="Times New Roman"/>
                <w:sz w:val="28"/>
                <w:szCs w:val="28"/>
              </w:rPr>
              <w:t>“Gaso”, AS “Latvijas Gāze”, Latvijas Brīvo arodbiedrību savienība.</w:t>
            </w:r>
          </w:p>
        </w:tc>
      </w:tr>
      <w:tr w:rsidR="008F090E" w:rsidRPr="00D90BE1" w14:paraId="2507F22D" w14:textId="77777777" w:rsidTr="006E74B7">
        <w:tc>
          <w:tcPr>
            <w:tcW w:w="311" w:type="pct"/>
            <w:shd w:val="clear" w:color="auto" w:fill="auto"/>
            <w:hideMark/>
          </w:tcPr>
          <w:p w14:paraId="06D3E75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3.</w:t>
            </w:r>
          </w:p>
        </w:tc>
        <w:tc>
          <w:tcPr>
            <w:tcW w:w="1329" w:type="pct"/>
            <w:shd w:val="clear" w:color="auto" w:fill="auto"/>
            <w:hideMark/>
          </w:tcPr>
          <w:p w14:paraId="0A5E0FC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Sabiedrības līdzdalības rezultāti</w:t>
            </w:r>
          </w:p>
        </w:tc>
        <w:tc>
          <w:tcPr>
            <w:tcW w:w="3361" w:type="pct"/>
            <w:shd w:val="clear" w:color="auto" w:fill="auto"/>
            <w:hideMark/>
          </w:tcPr>
          <w:p w14:paraId="558F2638" w14:textId="77777777" w:rsidR="008F090E" w:rsidRDefault="008F090E" w:rsidP="006E74B7">
            <w:pPr>
              <w:spacing w:after="0" w:line="240" w:lineRule="auto"/>
              <w:ind w:right="33" w:firstLine="316"/>
              <w:contextualSpacing/>
              <w:jc w:val="both"/>
              <w:rPr>
                <w:rFonts w:ascii="Times New Roman" w:hAnsi="Times New Roman"/>
                <w:sz w:val="28"/>
                <w:szCs w:val="28"/>
              </w:rPr>
            </w:pPr>
            <w:r w:rsidRPr="00D90BE1">
              <w:rPr>
                <w:rFonts w:ascii="Times New Roman" w:hAnsi="Times New Roman"/>
                <w:sz w:val="28"/>
                <w:szCs w:val="28"/>
              </w:rPr>
              <w:t>Paziņojumā par sabiedrības līdzdalību, k</w:t>
            </w:r>
            <w:r>
              <w:rPr>
                <w:rFonts w:ascii="Times New Roman" w:hAnsi="Times New Roman"/>
                <w:sz w:val="28"/>
                <w:szCs w:val="28"/>
              </w:rPr>
              <w:t xml:space="preserve">as </w:t>
            </w:r>
            <w:r w:rsidRPr="00D90BE1">
              <w:rPr>
                <w:rFonts w:ascii="Times New Roman" w:hAnsi="Times New Roman"/>
                <w:sz w:val="28"/>
                <w:szCs w:val="28"/>
              </w:rPr>
              <w:t xml:space="preserve">tika publicēts Ekonomikas ministrijas mājaslapā, </w:t>
            </w:r>
            <w:r>
              <w:rPr>
                <w:rFonts w:ascii="Times New Roman" w:hAnsi="Times New Roman"/>
                <w:sz w:val="28"/>
                <w:szCs w:val="28"/>
              </w:rPr>
              <w:t>bija</w:t>
            </w:r>
            <w:r w:rsidRPr="00D90BE1">
              <w:rPr>
                <w:rFonts w:ascii="Times New Roman" w:hAnsi="Times New Roman"/>
                <w:sz w:val="28"/>
                <w:szCs w:val="28"/>
              </w:rPr>
              <w:t xml:space="preserve"> ietverts aicinājums sniegt viedokli līdz 2018.gada 4.decembrim</w:t>
            </w:r>
            <w:r>
              <w:rPr>
                <w:rFonts w:ascii="Times New Roman" w:hAnsi="Times New Roman"/>
                <w:sz w:val="28"/>
                <w:szCs w:val="28"/>
              </w:rPr>
              <w:t>, saglabājot sabiedrībai iespējas iepazīties ar Projektu un sniegt viedokli visā tā izstrādes laikā</w:t>
            </w:r>
            <w:r w:rsidRPr="00D90BE1">
              <w:rPr>
                <w:rFonts w:ascii="Times New Roman" w:hAnsi="Times New Roman"/>
                <w:sz w:val="28"/>
                <w:szCs w:val="28"/>
              </w:rPr>
              <w:t>. Komentāri par Projektu</w:t>
            </w:r>
            <w:r>
              <w:rPr>
                <w:rFonts w:ascii="Times New Roman" w:hAnsi="Times New Roman"/>
                <w:sz w:val="28"/>
                <w:szCs w:val="28"/>
              </w:rPr>
              <w:t xml:space="preserve"> (līdz 2019. gada 22. jūlijam)</w:t>
            </w:r>
            <w:r w:rsidRPr="00D90BE1">
              <w:rPr>
                <w:rFonts w:ascii="Times New Roman" w:hAnsi="Times New Roman"/>
                <w:sz w:val="28"/>
                <w:szCs w:val="28"/>
              </w:rPr>
              <w:t xml:space="preserve"> no sabiedrības puses</w:t>
            </w:r>
            <w:r>
              <w:rPr>
                <w:rFonts w:ascii="Times New Roman" w:hAnsi="Times New Roman"/>
                <w:sz w:val="28"/>
                <w:szCs w:val="28"/>
              </w:rPr>
              <w:t xml:space="preserve"> (neieskaitot saskaņošanas procesā iesaistītās puses)</w:t>
            </w:r>
            <w:r w:rsidRPr="00D90BE1">
              <w:rPr>
                <w:rFonts w:ascii="Times New Roman" w:hAnsi="Times New Roman"/>
                <w:sz w:val="28"/>
                <w:szCs w:val="28"/>
              </w:rPr>
              <w:t xml:space="preserve"> netika saņemti.</w:t>
            </w:r>
          </w:p>
          <w:p w14:paraId="6FBA1AA4" w14:textId="77777777" w:rsidR="008F090E" w:rsidRDefault="008F090E" w:rsidP="006E74B7">
            <w:pPr>
              <w:spacing w:after="0" w:line="240" w:lineRule="auto"/>
              <w:ind w:right="33" w:firstLine="316"/>
              <w:contextualSpacing/>
              <w:jc w:val="both"/>
              <w:rPr>
                <w:rFonts w:ascii="Times New Roman" w:eastAsia="Times New Roman" w:hAnsi="Times New Roman"/>
                <w:iCs/>
                <w:sz w:val="28"/>
                <w:szCs w:val="28"/>
              </w:rPr>
            </w:pPr>
            <w:r>
              <w:rPr>
                <w:rFonts w:ascii="Times New Roman" w:eastAsia="Times New Roman" w:hAnsi="Times New Roman"/>
                <w:iCs/>
                <w:sz w:val="28"/>
                <w:szCs w:val="28"/>
              </w:rPr>
              <w:t>Atsaucoties uz Valsts sekretāru sanāksmē izsludināto projektu (</w:t>
            </w:r>
            <w:r w:rsidRPr="003F0966">
              <w:rPr>
                <w:rFonts w:ascii="Times New Roman" w:eastAsia="Times New Roman" w:hAnsi="Times New Roman"/>
                <w:iCs/>
                <w:sz w:val="28"/>
                <w:szCs w:val="28"/>
              </w:rPr>
              <w:t>VSS-1210</w:t>
            </w:r>
            <w:r>
              <w:rPr>
                <w:rFonts w:ascii="Times New Roman" w:eastAsia="Times New Roman" w:hAnsi="Times New Roman"/>
                <w:iCs/>
                <w:sz w:val="28"/>
                <w:szCs w:val="28"/>
              </w:rPr>
              <w:t xml:space="preserve">), papildus savus priekšlikumus Projektam sniedza divi dabasgāzes tirgotāji AS “Latvenergo” un AS “Latvijas Gāze”, kuri aktīvi iesaistītājās arī tālākā starpinstitūciju saskaņošanas procesā. Ar AS “Latvenergo” tika panākta vienošanās par saistošu jautājumu skatīšanu nākotnē, kamēr šo grozījumu ietvaros darbs notiek ar grozījumiem, kas pārsvarā ietver sadales sistēmas pakalpojuma tarifu jautājumu un AS “Latvenergo” konkrēto grozījumu ietvaros vairs neiesaistās. </w:t>
            </w:r>
          </w:p>
          <w:p w14:paraId="519CFFC9" w14:textId="77777777" w:rsidR="008F090E"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t xml:space="preserve">Kopumā projektu atbalsta visas iesaistītās puses, taču tika saņemti arī iebildumi un priekšlikumi. </w:t>
            </w:r>
          </w:p>
          <w:p w14:paraId="0F0DA5C1" w14:textId="02AEEF25" w:rsidR="008F090E"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lastRenderedPageBreak/>
              <w:t>Saskaņošanas procesa rezultātā Projektu bez iebildumiem atbalsta Finanšu ministrija, Regulators, Tieslietu ministrija (ar priekšlikumiem), Latvijas Brīvo arodbiedrību savienība</w:t>
            </w:r>
            <w:r w:rsidR="002D102E">
              <w:rPr>
                <w:rFonts w:ascii="Times New Roman" w:hAnsi="Times New Roman"/>
                <w:sz w:val="28"/>
                <w:szCs w:val="28"/>
              </w:rPr>
              <w:t>, AS “Latvijas Gāze” (ar priekšlikumu), Latvijas Tirdzniecības un rūpniecības kamera (ar priekšlikumu), AS “Gaso”.</w:t>
            </w:r>
          </w:p>
          <w:p w14:paraId="199C8786" w14:textId="0430A397" w:rsidR="008F090E" w:rsidRPr="003273DA" w:rsidRDefault="008F090E" w:rsidP="006E74B7">
            <w:pPr>
              <w:spacing w:after="0" w:line="240" w:lineRule="auto"/>
              <w:ind w:right="33" w:firstLine="316"/>
              <w:contextualSpacing/>
              <w:jc w:val="both"/>
              <w:rPr>
                <w:rFonts w:ascii="Times New Roman" w:hAnsi="Times New Roman"/>
                <w:sz w:val="28"/>
                <w:szCs w:val="28"/>
              </w:rPr>
            </w:pPr>
            <w:r>
              <w:rPr>
                <w:rFonts w:ascii="Times New Roman" w:hAnsi="Times New Roman"/>
                <w:sz w:val="28"/>
                <w:szCs w:val="28"/>
              </w:rPr>
              <w:t xml:space="preserve">AS “Latvijas Gāze” un AS “Gaso” </w:t>
            </w:r>
            <w:r w:rsidR="002D102E">
              <w:rPr>
                <w:rFonts w:ascii="Times New Roman" w:hAnsi="Times New Roman"/>
                <w:sz w:val="28"/>
                <w:szCs w:val="28"/>
              </w:rPr>
              <w:t>saskaņošanas procesā bija</w:t>
            </w:r>
            <w:r>
              <w:rPr>
                <w:rFonts w:ascii="Times New Roman" w:hAnsi="Times New Roman"/>
                <w:sz w:val="28"/>
                <w:szCs w:val="28"/>
              </w:rPr>
              <w:t xml:space="preserve"> iebildumi, savukārt Latvijas Darba devēju konfederācija, pārstāvot AS “Latvijas Gāze” un AS “Gaso” intereses, neatbalsta divu Projektā ietverto punktu redakcijas, kuras galvenokārt skar sadales sistēmas operatoru, atsakoties no sadales sistēmas operatora pienākuma publicēt sadales sistēmas pakalpojumu izmantošanas kārtību. Iebildumi</w:t>
            </w:r>
            <w:r w:rsidR="002D102E">
              <w:rPr>
                <w:rFonts w:ascii="Times New Roman" w:hAnsi="Times New Roman"/>
                <w:sz w:val="28"/>
                <w:szCs w:val="28"/>
              </w:rPr>
              <w:t xml:space="preserve"> bija</w:t>
            </w:r>
            <w:r>
              <w:rPr>
                <w:rFonts w:ascii="Times New Roman" w:hAnsi="Times New Roman"/>
                <w:sz w:val="28"/>
                <w:szCs w:val="28"/>
              </w:rPr>
              <w:t xml:space="preserve"> saistīti arī ar definīciju maiņu, pienākumu veikt izmaiņas dabasgāzes pieslēguma un dabasgāzes tirdzniecības līgumā slodzes palielināšanas vai samazināšanas gadījumā, kā arī pašu slodzes samazināšanas procedūras iekļaušanu Projektā</w:t>
            </w:r>
            <w:r w:rsidR="002D102E">
              <w:rPr>
                <w:rFonts w:ascii="Times New Roman" w:hAnsi="Times New Roman"/>
                <w:sz w:val="28"/>
                <w:szCs w:val="28"/>
              </w:rPr>
              <w:t xml:space="preserve">, taču strīdīgie jautājumi tika skatīti 2019.gada 12.septembra Valsts sekretāru sanāksmē un valsts sekretāri Noteikumu Projektu nedēļu vēlāk saskaņoja 2019.gada 19.septembra Valsts sekretāru sanāksmē, protokols Nr.35 </w:t>
            </w:r>
            <w:r w:rsidR="002D102E" w:rsidRPr="002D102E">
              <w:rPr>
                <w:rFonts w:ascii="Times New Roman" w:hAnsi="Times New Roman"/>
                <w:sz w:val="28"/>
                <w:szCs w:val="28"/>
              </w:rPr>
              <w:t>34.§</w:t>
            </w:r>
            <w:r w:rsidR="002D102E">
              <w:rPr>
                <w:rFonts w:ascii="Times New Roman" w:hAnsi="Times New Roman"/>
                <w:sz w:val="28"/>
                <w:szCs w:val="28"/>
              </w:rPr>
              <w:t>.</w:t>
            </w:r>
          </w:p>
        </w:tc>
      </w:tr>
      <w:tr w:rsidR="008F090E" w:rsidRPr="00D90BE1" w14:paraId="72C9151E" w14:textId="77777777" w:rsidTr="006E74B7">
        <w:tc>
          <w:tcPr>
            <w:tcW w:w="311" w:type="pct"/>
            <w:shd w:val="clear" w:color="auto" w:fill="auto"/>
            <w:hideMark/>
          </w:tcPr>
          <w:p w14:paraId="3CE281AA"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lastRenderedPageBreak/>
              <w:t>4.</w:t>
            </w:r>
          </w:p>
        </w:tc>
        <w:tc>
          <w:tcPr>
            <w:tcW w:w="1329" w:type="pct"/>
            <w:shd w:val="clear" w:color="auto" w:fill="auto"/>
            <w:hideMark/>
          </w:tcPr>
          <w:p w14:paraId="58951E0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1" w:type="pct"/>
            <w:shd w:val="clear" w:color="auto" w:fill="auto"/>
            <w:hideMark/>
          </w:tcPr>
          <w:p w14:paraId="6BAD4F53"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273C0461" w14:textId="77777777" w:rsidR="008F090E" w:rsidRDefault="008F090E" w:rsidP="008F090E">
      <w:pPr>
        <w:spacing w:after="0" w:line="240" w:lineRule="auto"/>
        <w:contextualSpacing/>
        <w:rPr>
          <w:rFonts w:ascii="Times New Roman" w:eastAsia="Times New Roman" w:hAnsi="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D90BE1" w14:paraId="1B60C79E" w14:textId="77777777" w:rsidTr="006E74B7">
        <w:trPr>
          <w:trHeight w:val="737"/>
        </w:trPr>
        <w:tc>
          <w:tcPr>
            <w:tcW w:w="0" w:type="auto"/>
            <w:gridSpan w:val="3"/>
            <w:shd w:val="clear" w:color="auto" w:fill="auto"/>
            <w:vAlign w:val="center"/>
            <w:hideMark/>
          </w:tcPr>
          <w:p w14:paraId="4480C70B" w14:textId="77777777" w:rsidR="008F090E" w:rsidRPr="00D90BE1" w:rsidRDefault="008F090E" w:rsidP="006E74B7">
            <w:pPr>
              <w:spacing w:after="0" w:line="240" w:lineRule="auto"/>
              <w:contextualSpacing/>
              <w:jc w:val="center"/>
              <w:rPr>
                <w:rFonts w:ascii="Times New Roman" w:eastAsia="Times New Roman" w:hAnsi="Times New Roman"/>
                <w:b/>
                <w:bCs/>
                <w:iCs/>
                <w:sz w:val="28"/>
                <w:szCs w:val="28"/>
                <w:lang w:eastAsia="lv-LV"/>
              </w:rPr>
            </w:pPr>
            <w:r w:rsidRPr="00D90BE1">
              <w:rPr>
                <w:rFonts w:ascii="Times New Roman" w:eastAsia="Times New Roman" w:hAnsi="Times New Roman"/>
                <w:b/>
                <w:bCs/>
                <w:iCs/>
                <w:sz w:val="28"/>
                <w:szCs w:val="28"/>
                <w:lang w:eastAsia="lv-LV"/>
              </w:rPr>
              <w:t>VII. Tiesību akta projekta izpildes nodrošināšana un tās ietekme uz institūcijām</w:t>
            </w:r>
          </w:p>
        </w:tc>
      </w:tr>
      <w:tr w:rsidR="008F090E" w:rsidRPr="00D90BE1" w14:paraId="24B79449" w14:textId="77777777" w:rsidTr="006E74B7">
        <w:tc>
          <w:tcPr>
            <w:tcW w:w="300" w:type="pct"/>
            <w:shd w:val="clear" w:color="auto" w:fill="auto"/>
            <w:hideMark/>
          </w:tcPr>
          <w:p w14:paraId="6AD6AAF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1.</w:t>
            </w:r>
          </w:p>
        </w:tc>
        <w:tc>
          <w:tcPr>
            <w:tcW w:w="1340" w:type="pct"/>
            <w:shd w:val="clear" w:color="auto" w:fill="auto"/>
            <w:hideMark/>
          </w:tcPr>
          <w:p w14:paraId="486A0399"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izpildē iesaistītās institūcijas</w:t>
            </w:r>
          </w:p>
        </w:tc>
        <w:tc>
          <w:tcPr>
            <w:tcW w:w="3360" w:type="pct"/>
            <w:shd w:val="clear" w:color="auto" w:fill="auto"/>
            <w:hideMark/>
          </w:tcPr>
          <w:p w14:paraId="2618E936"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sz w:val="28"/>
                <w:szCs w:val="28"/>
              </w:rPr>
              <w:t>Dabasgāzes sadales sistēmas operators AS “Gaso”.</w:t>
            </w:r>
          </w:p>
        </w:tc>
      </w:tr>
      <w:tr w:rsidR="008F090E" w:rsidRPr="00D90BE1" w14:paraId="38A6D184" w14:textId="77777777" w:rsidTr="006E74B7">
        <w:tc>
          <w:tcPr>
            <w:tcW w:w="300" w:type="pct"/>
            <w:shd w:val="clear" w:color="auto" w:fill="auto"/>
            <w:hideMark/>
          </w:tcPr>
          <w:p w14:paraId="31C07BED"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2.</w:t>
            </w:r>
          </w:p>
        </w:tc>
        <w:tc>
          <w:tcPr>
            <w:tcW w:w="1340" w:type="pct"/>
            <w:shd w:val="clear" w:color="auto" w:fill="auto"/>
            <w:hideMark/>
          </w:tcPr>
          <w:p w14:paraId="405F10E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Projekta izpildes ietekme uz pārvaldes funkcijām un institucionālo struktūru.</w:t>
            </w:r>
            <w:r w:rsidRPr="00D90BE1">
              <w:rPr>
                <w:rFonts w:ascii="Times New Roman" w:eastAsia="Times New Roman" w:hAnsi="Times New Roman"/>
                <w:iCs/>
                <w:sz w:val="28"/>
                <w:szCs w:val="28"/>
                <w:lang w:eastAsia="lv-LV"/>
              </w:rPr>
              <w:br/>
              <w:t xml:space="preserve">Jaunu institūciju izveide, esošu institūciju likvidācija vai reorganizācija, to ietekme uz </w:t>
            </w:r>
            <w:r w:rsidRPr="00D90BE1">
              <w:rPr>
                <w:rFonts w:ascii="Times New Roman" w:eastAsia="Times New Roman" w:hAnsi="Times New Roman"/>
                <w:iCs/>
                <w:sz w:val="28"/>
                <w:szCs w:val="28"/>
                <w:lang w:eastAsia="lv-LV"/>
              </w:rPr>
              <w:lastRenderedPageBreak/>
              <w:t>institūcijas cilvēkresursiem</w:t>
            </w:r>
          </w:p>
        </w:tc>
        <w:tc>
          <w:tcPr>
            <w:tcW w:w="3360" w:type="pct"/>
            <w:shd w:val="clear" w:color="auto" w:fill="auto"/>
            <w:hideMark/>
          </w:tcPr>
          <w:p w14:paraId="1A187E02" w14:textId="77777777" w:rsidR="008F090E" w:rsidRPr="00D90BE1" w:rsidRDefault="008F090E" w:rsidP="006E74B7">
            <w:pPr>
              <w:spacing w:after="0" w:line="240" w:lineRule="auto"/>
              <w:contextualSpacing/>
              <w:jc w:val="both"/>
              <w:rPr>
                <w:rFonts w:ascii="Times New Roman" w:eastAsia="Times New Roman" w:hAnsi="Times New Roman"/>
                <w:iCs/>
                <w:sz w:val="28"/>
                <w:szCs w:val="28"/>
                <w:lang w:eastAsia="lv-LV"/>
              </w:rPr>
            </w:pPr>
            <w:r w:rsidRPr="00D90BE1">
              <w:rPr>
                <w:rFonts w:ascii="Times New Roman" w:hAnsi="Times New Roman"/>
                <w:bCs/>
                <w:sz w:val="28"/>
                <w:szCs w:val="28"/>
              </w:rPr>
              <w:lastRenderedPageBreak/>
              <w:t>Projekta izpilde neietekmēs institucionālo struktūru, kā arī iesaistīto institūciju funkcijas, uzdevumus un cilvēkresursus.</w:t>
            </w:r>
          </w:p>
        </w:tc>
      </w:tr>
      <w:tr w:rsidR="008F090E" w:rsidRPr="00D90BE1" w14:paraId="239A13DF" w14:textId="77777777" w:rsidTr="006E74B7">
        <w:tc>
          <w:tcPr>
            <w:tcW w:w="300" w:type="pct"/>
            <w:shd w:val="clear" w:color="auto" w:fill="auto"/>
            <w:hideMark/>
          </w:tcPr>
          <w:p w14:paraId="72C09708"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3.</w:t>
            </w:r>
          </w:p>
        </w:tc>
        <w:tc>
          <w:tcPr>
            <w:tcW w:w="1340" w:type="pct"/>
            <w:shd w:val="clear" w:color="auto" w:fill="auto"/>
            <w:hideMark/>
          </w:tcPr>
          <w:p w14:paraId="616F0531"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Cita informācija</w:t>
            </w:r>
          </w:p>
        </w:tc>
        <w:tc>
          <w:tcPr>
            <w:tcW w:w="3360" w:type="pct"/>
            <w:shd w:val="clear" w:color="auto" w:fill="auto"/>
            <w:hideMark/>
          </w:tcPr>
          <w:p w14:paraId="7B27093B" w14:textId="77777777" w:rsidR="008F090E" w:rsidRPr="00D90BE1" w:rsidRDefault="008F090E" w:rsidP="006E74B7">
            <w:pPr>
              <w:spacing w:after="0" w:line="240" w:lineRule="auto"/>
              <w:contextualSpacing/>
              <w:rPr>
                <w:rFonts w:ascii="Times New Roman" w:eastAsia="Times New Roman" w:hAnsi="Times New Roman"/>
                <w:iCs/>
                <w:sz w:val="28"/>
                <w:szCs w:val="28"/>
                <w:lang w:eastAsia="lv-LV"/>
              </w:rPr>
            </w:pPr>
            <w:r w:rsidRPr="00D90BE1">
              <w:rPr>
                <w:rFonts w:ascii="Times New Roman" w:eastAsia="Times New Roman" w:hAnsi="Times New Roman"/>
                <w:iCs/>
                <w:sz w:val="28"/>
                <w:szCs w:val="28"/>
                <w:lang w:eastAsia="lv-LV"/>
              </w:rPr>
              <w:t>Nav</w:t>
            </w:r>
          </w:p>
        </w:tc>
      </w:tr>
    </w:tbl>
    <w:p w14:paraId="68F91A2A" w14:textId="77777777" w:rsidR="008F090E" w:rsidRDefault="008F090E" w:rsidP="008F090E">
      <w:pPr>
        <w:spacing w:after="0" w:line="240" w:lineRule="auto"/>
        <w:contextualSpacing/>
        <w:rPr>
          <w:rFonts w:ascii="Times New Roman" w:hAnsi="Times New Roman"/>
          <w:sz w:val="28"/>
          <w:szCs w:val="28"/>
        </w:rPr>
      </w:pPr>
    </w:p>
    <w:p w14:paraId="376DBA64" w14:textId="77777777" w:rsidR="008F090E" w:rsidRDefault="008F090E" w:rsidP="008F090E">
      <w:pPr>
        <w:spacing w:after="0" w:line="240" w:lineRule="auto"/>
        <w:contextualSpacing/>
        <w:rPr>
          <w:rFonts w:ascii="Times New Roman" w:hAnsi="Times New Roman"/>
          <w:sz w:val="28"/>
          <w:szCs w:val="28"/>
        </w:rPr>
      </w:pPr>
    </w:p>
    <w:p w14:paraId="27BEAC4A" w14:textId="26C139F9" w:rsidR="00460946" w:rsidRPr="00460946" w:rsidRDefault="00460946" w:rsidP="00CD7052">
      <w:pPr>
        <w:spacing w:after="0" w:line="240" w:lineRule="auto"/>
        <w:rPr>
          <w:rFonts w:ascii="Times New Roman" w:hAnsi="Times New Roman"/>
          <w:sz w:val="28"/>
          <w:szCs w:val="28"/>
        </w:rPr>
      </w:pPr>
      <w:r w:rsidRPr="00460946">
        <w:rPr>
          <w:rFonts w:ascii="Times New Roman" w:hAnsi="Times New Roman"/>
          <w:sz w:val="28"/>
          <w:szCs w:val="28"/>
        </w:rPr>
        <w:t>Ekonomikas ministr</w:t>
      </w:r>
      <w:r w:rsidR="00CD7052">
        <w:rPr>
          <w:rFonts w:ascii="Times New Roman" w:hAnsi="Times New Roman"/>
          <w:sz w:val="28"/>
          <w:szCs w:val="28"/>
        </w:rPr>
        <w:t>s</w:t>
      </w:r>
      <w:r w:rsidRPr="00460946">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r>
      <w:r w:rsidR="00CD7052">
        <w:rPr>
          <w:rFonts w:ascii="Times New Roman" w:hAnsi="Times New Roman"/>
          <w:sz w:val="28"/>
          <w:szCs w:val="28"/>
        </w:rPr>
        <w:tab/>
        <w:t xml:space="preserve">   R.</w:t>
      </w:r>
      <w:r>
        <w:rPr>
          <w:rFonts w:ascii="Times New Roman" w:hAnsi="Times New Roman"/>
          <w:sz w:val="28"/>
          <w:szCs w:val="28"/>
        </w:rPr>
        <w:t xml:space="preserve"> </w:t>
      </w:r>
      <w:r w:rsidR="00CD7052">
        <w:rPr>
          <w:rFonts w:ascii="Times New Roman" w:hAnsi="Times New Roman"/>
          <w:sz w:val="28"/>
          <w:szCs w:val="28"/>
        </w:rPr>
        <w:t>Nemiro</w:t>
      </w:r>
    </w:p>
    <w:p w14:paraId="5FA17701" w14:textId="77777777" w:rsidR="008F090E" w:rsidRDefault="008F090E" w:rsidP="008F090E">
      <w:pPr>
        <w:spacing w:after="0" w:line="240" w:lineRule="auto"/>
        <w:rPr>
          <w:rFonts w:ascii="Times New Roman" w:hAnsi="Times New Roman"/>
          <w:sz w:val="28"/>
          <w:szCs w:val="28"/>
        </w:rPr>
      </w:pPr>
    </w:p>
    <w:p w14:paraId="505F4697" w14:textId="77777777" w:rsidR="008F090E" w:rsidRPr="00261D45" w:rsidRDefault="008F090E" w:rsidP="008F090E">
      <w:pPr>
        <w:spacing w:after="0" w:line="240" w:lineRule="auto"/>
        <w:rPr>
          <w:rFonts w:ascii="Times New Roman" w:hAnsi="Times New Roman"/>
          <w:sz w:val="28"/>
          <w:szCs w:val="28"/>
        </w:rPr>
      </w:pPr>
    </w:p>
    <w:p w14:paraId="7223F7E7" w14:textId="77777777" w:rsidR="008F090E" w:rsidRDefault="008F090E" w:rsidP="008F090E">
      <w:pPr>
        <w:tabs>
          <w:tab w:val="left" w:pos="7371"/>
        </w:tabs>
        <w:spacing w:after="0" w:line="240" w:lineRule="auto"/>
        <w:jc w:val="both"/>
        <w:rPr>
          <w:rFonts w:ascii="Times New Roman" w:hAnsi="Times New Roman"/>
          <w:sz w:val="28"/>
          <w:szCs w:val="28"/>
        </w:rPr>
      </w:pPr>
      <w:r>
        <w:rPr>
          <w:rFonts w:ascii="Times New Roman" w:hAnsi="Times New Roman"/>
          <w:sz w:val="28"/>
          <w:szCs w:val="28"/>
        </w:rPr>
        <w:t>Vīza:</w:t>
      </w:r>
    </w:p>
    <w:p w14:paraId="11470F5E" w14:textId="01F3DC28" w:rsidR="00460946" w:rsidRPr="00460946" w:rsidRDefault="00460946" w:rsidP="00AF3551">
      <w:pPr>
        <w:tabs>
          <w:tab w:val="left" w:pos="6237"/>
        </w:tabs>
        <w:spacing w:after="0" w:line="240" w:lineRule="auto"/>
        <w:contextualSpacing/>
        <w:rPr>
          <w:rFonts w:ascii="Times New Roman" w:hAnsi="Times New Roman"/>
          <w:sz w:val="28"/>
          <w:szCs w:val="28"/>
        </w:rPr>
      </w:pPr>
      <w:r w:rsidRPr="00460946">
        <w:rPr>
          <w:rFonts w:ascii="Times New Roman" w:hAnsi="Times New Roman"/>
          <w:sz w:val="28"/>
          <w:szCs w:val="28"/>
        </w:rPr>
        <w:t>Valsts sekretār</w:t>
      </w:r>
      <w:r w:rsidR="00AF3551">
        <w:rPr>
          <w:rFonts w:ascii="Times New Roman" w:hAnsi="Times New Roman"/>
          <w:sz w:val="28"/>
          <w:szCs w:val="28"/>
        </w:rPr>
        <w:t>s</w:t>
      </w:r>
      <w:r w:rsidR="00AF3551">
        <w:rPr>
          <w:rFonts w:ascii="Times New Roman" w:hAnsi="Times New Roman"/>
          <w:sz w:val="28"/>
          <w:szCs w:val="28"/>
        </w:rPr>
        <w:tab/>
      </w:r>
      <w:r w:rsidR="00AF3551">
        <w:rPr>
          <w:rFonts w:ascii="Times New Roman" w:hAnsi="Times New Roman"/>
          <w:sz w:val="28"/>
          <w:szCs w:val="28"/>
        </w:rPr>
        <w:tab/>
      </w:r>
      <w:r w:rsidRPr="00460946">
        <w:rPr>
          <w:rFonts w:ascii="Times New Roman" w:hAnsi="Times New Roman"/>
          <w:sz w:val="28"/>
          <w:szCs w:val="28"/>
        </w:rPr>
        <w:tab/>
      </w:r>
      <w:r w:rsidR="00AF3551">
        <w:rPr>
          <w:rFonts w:ascii="Times New Roman" w:hAnsi="Times New Roman"/>
          <w:sz w:val="28"/>
          <w:szCs w:val="28"/>
        </w:rPr>
        <w:t>Ē. Eglītis</w:t>
      </w:r>
    </w:p>
    <w:p w14:paraId="7F75A282" w14:textId="77777777" w:rsidR="008F090E" w:rsidRDefault="008F090E" w:rsidP="008F090E">
      <w:pPr>
        <w:tabs>
          <w:tab w:val="left" w:pos="6237"/>
        </w:tabs>
        <w:spacing w:after="0" w:line="240" w:lineRule="auto"/>
        <w:contextualSpacing/>
        <w:rPr>
          <w:rFonts w:ascii="Times New Roman" w:hAnsi="Times New Roman"/>
          <w:sz w:val="20"/>
          <w:szCs w:val="20"/>
        </w:rPr>
      </w:pPr>
    </w:p>
    <w:p w14:paraId="5EE8501B" w14:textId="77777777" w:rsidR="008F090E" w:rsidRPr="00261D45" w:rsidRDefault="008F090E" w:rsidP="008F090E">
      <w:pPr>
        <w:tabs>
          <w:tab w:val="left" w:pos="6237"/>
        </w:tabs>
        <w:spacing w:after="0" w:line="240" w:lineRule="auto"/>
        <w:contextualSpacing/>
        <w:rPr>
          <w:rFonts w:ascii="Times New Roman" w:hAnsi="Times New Roman"/>
          <w:sz w:val="20"/>
          <w:szCs w:val="20"/>
        </w:rPr>
      </w:pPr>
    </w:p>
    <w:p w14:paraId="115617D1" w14:textId="77777777" w:rsidR="008F090E" w:rsidRPr="00261D45" w:rsidRDefault="008F090E" w:rsidP="008F090E">
      <w:pPr>
        <w:tabs>
          <w:tab w:val="left" w:pos="6237"/>
        </w:tabs>
        <w:spacing w:after="0" w:line="240" w:lineRule="auto"/>
        <w:contextualSpacing/>
        <w:rPr>
          <w:rFonts w:ascii="Times New Roman" w:hAnsi="Times New Roman"/>
          <w:sz w:val="20"/>
          <w:szCs w:val="20"/>
        </w:rPr>
      </w:pPr>
    </w:p>
    <w:p w14:paraId="2EDC7801" w14:textId="77777777" w:rsidR="008F090E" w:rsidRPr="005E7D91" w:rsidRDefault="008F090E" w:rsidP="008F090E">
      <w:pPr>
        <w:tabs>
          <w:tab w:val="left" w:pos="6237"/>
        </w:tabs>
        <w:spacing w:after="0" w:line="240" w:lineRule="auto"/>
        <w:contextualSpacing/>
        <w:rPr>
          <w:rFonts w:ascii="Times New Roman" w:hAnsi="Times New Roman"/>
          <w:sz w:val="20"/>
          <w:szCs w:val="20"/>
        </w:rPr>
      </w:pPr>
      <w:r>
        <w:rPr>
          <w:rFonts w:ascii="Times New Roman" w:hAnsi="Times New Roman"/>
          <w:sz w:val="20"/>
          <w:szCs w:val="20"/>
        </w:rPr>
        <w:t xml:space="preserve">Ance </w:t>
      </w:r>
      <w:r w:rsidRPr="005E7D91">
        <w:rPr>
          <w:rFonts w:ascii="Times New Roman" w:hAnsi="Times New Roman"/>
          <w:sz w:val="20"/>
          <w:szCs w:val="20"/>
        </w:rPr>
        <w:t>Ansone 67013001</w:t>
      </w:r>
    </w:p>
    <w:p w14:paraId="34F9D418" w14:textId="57FDFCD9" w:rsidR="00894C55" w:rsidRPr="008F090E" w:rsidRDefault="008F090E" w:rsidP="008F090E">
      <w:pPr>
        <w:tabs>
          <w:tab w:val="left" w:pos="6237"/>
        </w:tabs>
        <w:spacing w:after="0" w:line="240" w:lineRule="auto"/>
        <w:contextualSpacing/>
      </w:pPr>
      <w:r w:rsidRPr="005E7D91">
        <w:rPr>
          <w:rFonts w:ascii="Times New Roman" w:hAnsi="Times New Roman"/>
          <w:sz w:val="20"/>
          <w:szCs w:val="20"/>
        </w:rPr>
        <w:t>Ance.Ansone@e</w:t>
      </w:r>
      <w:bookmarkStart w:id="11" w:name="_GoBack"/>
      <w:bookmarkEnd w:id="11"/>
      <w:r w:rsidRPr="005E7D91">
        <w:rPr>
          <w:rFonts w:ascii="Times New Roman" w:hAnsi="Times New Roman"/>
          <w:sz w:val="20"/>
          <w:szCs w:val="20"/>
        </w:rPr>
        <w:t xml:space="preserve">m.gov.lv </w:t>
      </w:r>
    </w:p>
    <w:sectPr w:rsidR="00894C55" w:rsidRPr="008F090E" w:rsidSect="00261D4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7907" w14:textId="77777777" w:rsidR="008369D9" w:rsidRDefault="008369D9">
      <w:pPr>
        <w:spacing w:after="0" w:line="240" w:lineRule="auto"/>
      </w:pPr>
      <w:r>
        <w:separator/>
      </w:r>
    </w:p>
  </w:endnote>
  <w:endnote w:type="continuationSeparator" w:id="0">
    <w:p w14:paraId="27EF2821" w14:textId="77777777" w:rsidR="008369D9" w:rsidRDefault="0083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D16" w14:textId="5E0E8C6D" w:rsidR="00D379B0" w:rsidRPr="00ED4ACB" w:rsidRDefault="00D379B0" w:rsidP="00ED4ACB">
    <w:pPr>
      <w:pStyle w:val="Footer"/>
      <w:jc w:val="both"/>
      <w:rPr>
        <w:rFonts w:ascii="Times New Roman" w:hAnsi="Times New Roman"/>
        <w:sz w:val="24"/>
        <w:szCs w:val="20"/>
      </w:rPr>
    </w:pPr>
    <w:r w:rsidRPr="000F6948">
      <w:rPr>
        <w:rFonts w:ascii="Times New Roman" w:hAnsi="Times New Roman"/>
        <w:sz w:val="24"/>
        <w:szCs w:val="20"/>
      </w:rPr>
      <w:t>EMAnot_</w:t>
    </w:r>
    <w:r w:rsidR="00F23F35">
      <w:rPr>
        <w:rFonts w:ascii="Times New Roman" w:hAnsi="Times New Roman"/>
        <w:sz w:val="24"/>
        <w:szCs w:val="20"/>
      </w:rPr>
      <w:t>0412</w:t>
    </w:r>
    <w:r w:rsidR="00476642">
      <w:rPr>
        <w:rFonts w:ascii="Times New Roman" w:hAnsi="Times New Roman"/>
        <w:sz w:val="24"/>
        <w:szCs w:val="20"/>
      </w:rPr>
      <w:t>19</w:t>
    </w:r>
    <w:r w:rsidRPr="000F6948">
      <w:rPr>
        <w:rFonts w:ascii="Times New Roman" w:hAnsi="Times New Roman"/>
        <w:sz w:val="24"/>
        <w:szCs w:val="20"/>
      </w:rPr>
      <w:t>_GrozMK78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ECF9" w14:textId="7384F33F" w:rsidR="00D379B0" w:rsidRPr="000F6948" w:rsidRDefault="00D379B0" w:rsidP="00610FCD">
    <w:pPr>
      <w:pStyle w:val="Footer"/>
      <w:jc w:val="both"/>
      <w:rPr>
        <w:rFonts w:ascii="Times New Roman" w:hAnsi="Times New Roman"/>
        <w:sz w:val="24"/>
        <w:szCs w:val="20"/>
      </w:rPr>
    </w:pPr>
    <w:r w:rsidRPr="000F6948">
      <w:rPr>
        <w:rFonts w:ascii="Times New Roman" w:hAnsi="Times New Roman"/>
        <w:sz w:val="24"/>
        <w:szCs w:val="20"/>
      </w:rPr>
      <w:t>EMAnot_</w:t>
    </w:r>
    <w:r w:rsidR="00F23F35">
      <w:rPr>
        <w:rFonts w:ascii="Times New Roman" w:hAnsi="Times New Roman"/>
        <w:sz w:val="24"/>
        <w:szCs w:val="20"/>
      </w:rPr>
      <w:t>0412</w:t>
    </w:r>
    <w:r w:rsidR="00476642">
      <w:rPr>
        <w:rFonts w:ascii="Times New Roman" w:hAnsi="Times New Roman"/>
        <w:sz w:val="24"/>
        <w:szCs w:val="20"/>
      </w:rPr>
      <w:t>19</w:t>
    </w:r>
    <w:r w:rsidRPr="000F6948">
      <w:rPr>
        <w:rFonts w:ascii="Times New Roman" w:hAnsi="Times New Roman"/>
        <w:sz w:val="24"/>
        <w:szCs w:val="20"/>
      </w:rPr>
      <w:t>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16B3" w14:textId="77777777" w:rsidR="008369D9" w:rsidRDefault="008369D9">
      <w:pPr>
        <w:spacing w:after="0" w:line="240" w:lineRule="auto"/>
      </w:pPr>
      <w:r>
        <w:separator/>
      </w:r>
    </w:p>
  </w:footnote>
  <w:footnote w:type="continuationSeparator" w:id="0">
    <w:p w14:paraId="73F92740" w14:textId="77777777" w:rsidR="008369D9" w:rsidRDefault="008369D9">
      <w:pPr>
        <w:spacing w:after="0" w:line="240" w:lineRule="auto"/>
      </w:pPr>
      <w:r>
        <w:continuationSeparator/>
      </w:r>
    </w:p>
  </w:footnote>
  <w:footnote w:id="1">
    <w:p w14:paraId="7485944D"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1" w:history="1">
        <w:r w:rsidRPr="005163CC">
          <w:rPr>
            <w:rStyle w:val="Hyperlink"/>
            <w:rFonts w:ascii="Times New Roman" w:hAnsi="Times New Roman"/>
            <w:sz w:val="19"/>
            <w:szCs w:val="19"/>
          </w:rPr>
          <w:t>https://em.gov.lv/lv/par_ministriju/sabiedribas_lidzdaliba/diskusiju_dokumenti/energijas_tirgus_un_infrastruktura/</w:t>
        </w:r>
      </w:hyperlink>
    </w:p>
  </w:footnote>
  <w:footnote w:id="2">
    <w:p w14:paraId="4397457C"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2" w:history="1">
        <w:r w:rsidRPr="00AD1A0E">
          <w:rPr>
            <w:rStyle w:val="Hyperlink"/>
            <w:rFonts w:ascii="Times New Roman" w:hAnsi="Times New Roman"/>
            <w:sz w:val="19"/>
            <w:szCs w:val="19"/>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7FE2" w14:textId="77777777" w:rsidR="00D379B0" w:rsidRPr="00C25B49" w:rsidRDefault="00D379B0">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8F"/>
    <w:multiLevelType w:val="hybridMultilevel"/>
    <w:tmpl w:val="3AE4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2952FA6"/>
    <w:multiLevelType w:val="hybridMultilevel"/>
    <w:tmpl w:val="684A7FB6"/>
    <w:lvl w:ilvl="0" w:tplc="A2AC1204">
      <w:start w:val="1"/>
      <w:numFmt w:val="decimal"/>
      <w:lvlText w:val="%1."/>
      <w:lvlJc w:val="left"/>
      <w:pPr>
        <w:ind w:left="808" w:hanging="360"/>
      </w:pPr>
    </w:lvl>
    <w:lvl w:ilvl="1" w:tplc="925674FA" w:tentative="1">
      <w:start w:val="1"/>
      <w:numFmt w:val="lowerLetter"/>
      <w:lvlText w:val="%2."/>
      <w:lvlJc w:val="left"/>
      <w:pPr>
        <w:ind w:left="1528" w:hanging="360"/>
      </w:pPr>
    </w:lvl>
    <w:lvl w:ilvl="2" w:tplc="09E281F8" w:tentative="1">
      <w:start w:val="1"/>
      <w:numFmt w:val="lowerRoman"/>
      <w:lvlText w:val="%3."/>
      <w:lvlJc w:val="right"/>
      <w:pPr>
        <w:ind w:left="2248" w:hanging="180"/>
      </w:pPr>
    </w:lvl>
    <w:lvl w:ilvl="3" w:tplc="73F62820" w:tentative="1">
      <w:start w:val="1"/>
      <w:numFmt w:val="decimal"/>
      <w:lvlText w:val="%4."/>
      <w:lvlJc w:val="left"/>
      <w:pPr>
        <w:ind w:left="2968" w:hanging="360"/>
      </w:pPr>
    </w:lvl>
    <w:lvl w:ilvl="4" w:tplc="BABAE098" w:tentative="1">
      <w:start w:val="1"/>
      <w:numFmt w:val="lowerLetter"/>
      <w:lvlText w:val="%5."/>
      <w:lvlJc w:val="left"/>
      <w:pPr>
        <w:ind w:left="3688" w:hanging="360"/>
      </w:pPr>
    </w:lvl>
    <w:lvl w:ilvl="5" w:tplc="DB1A21F2" w:tentative="1">
      <w:start w:val="1"/>
      <w:numFmt w:val="lowerRoman"/>
      <w:lvlText w:val="%6."/>
      <w:lvlJc w:val="right"/>
      <w:pPr>
        <w:ind w:left="4408" w:hanging="180"/>
      </w:pPr>
    </w:lvl>
    <w:lvl w:ilvl="6" w:tplc="BC409966" w:tentative="1">
      <w:start w:val="1"/>
      <w:numFmt w:val="decimal"/>
      <w:lvlText w:val="%7."/>
      <w:lvlJc w:val="left"/>
      <w:pPr>
        <w:ind w:left="5128" w:hanging="360"/>
      </w:pPr>
    </w:lvl>
    <w:lvl w:ilvl="7" w:tplc="844CE614" w:tentative="1">
      <w:start w:val="1"/>
      <w:numFmt w:val="lowerLetter"/>
      <w:lvlText w:val="%8."/>
      <w:lvlJc w:val="left"/>
      <w:pPr>
        <w:ind w:left="5848" w:hanging="360"/>
      </w:pPr>
    </w:lvl>
    <w:lvl w:ilvl="8" w:tplc="0B586F7A" w:tentative="1">
      <w:start w:val="1"/>
      <w:numFmt w:val="lowerRoman"/>
      <w:lvlText w:val="%9."/>
      <w:lvlJc w:val="right"/>
      <w:pPr>
        <w:ind w:left="6568" w:hanging="180"/>
      </w:pPr>
    </w:lvl>
  </w:abstractNum>
  <w:abstractNum w:abstractNumId="2" w15:restartNumberingAfterBreak="1">
    <w:nsid w:val="1EBF2CFA"/>
    <w:multiLevelType w:val="hybridMultilevel"/>
    <w:tmpl w:val="CF101FB8"/>
    <w:lvl w:ilvl="0" w:tplc="F0408F18">
      <w:start w:val="1"/>
      <w:numFmt w:val="decimal"/>
      <w:lvlText w:val="%1."/>
      <w:lvlJc w:val="left"/>
      <w:pPr>
        <w:ind w:left="720" w:hanging="360"/>
      </w:pPr>
      <w:rPr>
        <w:rFonts w:hint="default"/>
      </w:rPr>
    </w:lvl>
    <w:lvl w:ilvl="1" w:tplc="F468F89E" w:tentative="1">
      <w:start w:val="1"/>
      <w:numFmt w:val="lowerLetter"/>
      <w:lvlText w:val="%2."/>
      <w:lvlJc w:val="left"/>
      <w:pPr>
        <w:ind w:left="1440" w:hanging="360"/>
      </w:pPr>
    </w:lvl>
    <w:lvl w:ilvl="2" w:tplc="926A5A10" w:tentative="1">
      <w:start w:val="1"/>
      <w:numFmt w:val="lowerRoman"/>
      <w:lvlText w:val="%3."/>
      <w:lvlJc w:val="right"/>
      <w:pPr>
        <w:ind w:left="2160" w:hanging="180"/>
      </w:pPr>
    </w:lvl>
    <w:lvl w:ilvl="3" w:tplc="B2BAF7B0" w:tentative="1">
      <w:start w:val="1"/>
      <w:numFmt w:val="decimal"/>
      <w:lvlText w:val="%4."/>
      <w:lvlJc w:val="left"/>
      <w:pPr>
        <w:ind w:left="2880" w:hanging="360"/>
      </w:pPr>
    </w:lvl>
    <w:lvl w:ilvl="4" w:tplc="AFB67688" w:tentative="1">
      <w:start w:val="1"/>
      <w:numFmt w:val="lowerLetter"/>
      <w:lvlText w:val="%5."/>
      <w:lvlJc w:val="left"/>
      <w:pPr>
        <w:ind w:left="3600" w:hanging="360"/>
      </w:pPr>
    </w:lvl>
    <w:lvl w:ilvl="5" w:tplc="9FE4781C" w:tentative="1">
      <w:start w:val="1"/>
      <w:numFmt w:val="lowerRoman"/>
      <w:lvlText w:val="%6."/>
      <w:lvlJc w:val="right"/>
      <w:pPr>
        <w:ind w:left="4320" w:hanging="180"/>
      </w:pPr>
    </w:lvl>
    <w:lvl w:ilvl="6" w:tplc="3F26E5AA" w:tentative="1">
      <w:start w:val="1"/>
      <w:numFmt w:val="decimal"/>
      <w:lvlText w:val="%7."/>
      <w:lvlJc w:val="left"/>
      <w:pPr>
        <w:ind w:left="5040" w:hanging="360"/>
      </w:pPr>
    </w:lvl>
    <w:lvl w:ilvl="7" w:tplc="59BAACA2" w:tentative="1">
      <w:start w:val="1"/>
      <w:numFmt w:val="lowerLetter"/>
      <w:lvlText w:val="%8."/>
      <w:lvlJc w:val="left"/>
      <w:pPr>
        <w:ind w:left="5760" w:hanging="360"/>
      </w:pPr>
    </w:lvl>
    <w:lvl w:ilvl="8" w:tplc="62E6799A" w:tentative="1">
      <w:start w:val="1"/>
      <w:numFmt w:val="lowerRoman"/>
      <w:lvlText w:val="%9."/>
      <w:lvlJc w:val="right"/>
      <w:pPr>
        <w:ind w:left="6480" w:hanging="180"/>
      </w:pPr>
    </w:lvl>
  </w:abstractNum>
  <w:abstractNum w:abstractNumId="3" w15:restartNumberingAfterBreak="0">
    <w:nsid w:val="3871768E"/>
    <w:multiLevelType w:val="hybridMultilevel"/>
    <w:tmpl w:val="14A41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5A3F7A07"/>
    <w:multiLevelType w:val="hybridMultilevel"/>
    <w:tmpl w:val="A552BFFA"/>
    <w:lvl w:ilvl="0" w:tplc="01B4C60A">
      <w:start w:val="1"/>
      <w:numFmt w:val="decimal"/>
      <w:lvlText w:val="%1."/>
      <w:lvlJc w:val="left"/>
      <w:pPr>
        <w:ind w:left="720" w:hanging="360"/>
      </w:pPr>
      <w:rPr>
        <w:rFonts w:hint="default"/>
      </w:rPr>
    </w:lvl>
    <w:lvl w:ilvl="1" w:tplc="19D2EBA8" w:tentative="1">
      <w:start w:val="1"/>
      <w:numFmt w:val="lowerLetter"/>
      <w:lvlText w:val="%2."/>
      <w:lvlJc w:val="left"/>
      <w:pPr>
        <w:ind w:left="1440" w:hanging="360"/>
      </w:pPr>
    </w:lvl>
    <w:lvl w:ilvl="2" w:tplc="1EC6F7E4" w:tentative="1">
      <w:start w:val="1"/>
      <w:numFmt w:val="lowerRoman"/>
      <w:lvlText w:val="%3."/>
      <w:lvlJc w:val="right"/>
      <w:pPr>
        <w:ind w:left="2160" w:hanging="180"/>
      </w:pPr>
    </w:lvl>
    <w:lvl w:ilvl="3" w:tplc="9D1EF840" w:tentative="1">
      <w:start w:val="1"/>
      <w:numFmt w:val="decimal"/>
      <w:lvlText w:val="%4."/>
      <w:lvlJc w:val="left"/>
      <w:pPr>
        <w:ind w:left="2880" w:hanging="360"/>
      </w:pPr>
    </w:lvl>
    <w:lvl w:ilvl="4" w:tplc="4E688020" w:tentative="1">
      <w:start w:val="1"/>
      <w:numFmt w:val="lowerLetter"/>
      <w:lvlText w:val="%5."/>
      <w:lvlJc w:val="left"/>
      <w:pPr>
        <w:ind w:left="3600" w:hanging="360"/>
      </w:pPr>
    </w:lvl>
    <w:lvl w:ilvl="5" w:tplc="B44EADAA" w:tentative="1">
      <w:start w:val="1"/>
      <w:numFmt w:val="lowerRoman"/>
      <w:lvlText w:val="%6."/>
      <w:lvlJc w:val="right"/>
      <w:pPr>
        <w:ind w:left="4320" w:hanging="180"/>
      </w:pPr>
    </w:lvl>
    <w:lvl w:ilvl="6" w:tplc="F52C46BE" w:tentative="1">
      <w:start w:val="1"/>
      <w:numFmt w:val="decimal"/>
      <w:lvlText w:val="%7."/>
      <w:lvlJc w:val="left"/>
      <w:pPr>
        <w:ind w:left="5040" w:hanging="360"/>
      </w:pPr>
    </w:lvl>
    <w:lvl w:ilvl="7" w:tplc="4AECD4DA" w:tentative="1">
      <w:start w:val="1"/>
      <w:numFmt w:val="lowerLetter"/>
      <w:lvlText w:val="%8."/>
      <w:lvlJc w:val="left"/>
      <w:pPr>
        <w:ind w:left="5760" w:hanging="360"/>
      </w:pPr>
    </w:lvl>
    <w:lvl w:ilvl="8" w:tplc="40A6ACEC" w:tentative="1">
      <w:start w:val="1"/>
      <w:numFmt w:val="lowerRoman"/>
      <w:lvlText w:val="%9."/>
      <w:lvlJc w:val="right"/>
      <w:pPr>
        <w:ind w:left="6480" w:hanging="180"/>
      </w:pPr>
    </w:lvl>
  </w:abstractNum>
  <w:abstractNum w:abstractNumId="5" w15:restartNumberingAfterBreak="1">
    <w:nsid w:val="78E004AC"/>
    <w:multiLevelType w:val="hybridMultilevel"/>
    <w:tmpl w:val="860270DE"/>
    <w:lvl w:ilvl="0" w:tplc="0409000F">
      <w:start w:val="1"/>
      <w:numFmt w:val="decimal"/>
      <w:lvlText w:val="%1."/>
      <w:lvlJc w:val="left"/>
      <w:pPr>
        <w:ind w:left="1069" w:hanging="360"/>
      </w:pPr>
    </w:lvl>
    <w:lvl w:ilvl="1" w:tplc="925674FA" w:tentative="1">
      <w:start w:val="1"/>
      <w:numFmt w:val="lowerLetter"/>
      <w:lvlText w:val="%2."/>
      <w:lvlJc w:val="left"/>
      <w:pPr>
        <w:ind w:left="1789" w:hanging="360"/>
      </w:pPr>
    </w:lvl>
    <w:lvl w:ilvl="2" w:tplc="09E281F8" w:tentative="1">
      <w:start w:val="1"/>
      <w:numFmt w:val="lowerRoman"/>
      <w:lvlText w:val="%3."/>
      <w:lvlJc w:val="right"/>
      <w:pPr>
        <w:ind w:left="2509" w:hanging="180"/>
      </w:pPr>
    </w:lvl>
    <w:lvl w:ilvl="3" w:tplc="73F62820" w:tentative="1">
      <w:start w:val="1"/>
      <w:numFmt w:val="decimal"/>
      <w:lvlText w:val="%4."/>
      <w:lvlJc w:val="left"/>
      <w:pPr>
        <w:ind w:left="3229" w:hanging="360"/>
      </w:pPr>
    </w:lvl>
    <w:lvl w:ilvl="4" w:tplc="BABAE098" w:tentative="1">
      <w:start w:val="1"/>
      <w:numFmt w:val="lowerLetter"/>
      <w:lvlText w:val="%5."/>
      <w:lvlJc w:val="left"/>
      <w:pPr>
        <w:ind w:left="3949" w:hanging="360"/>
      </w:pPr>
    </w:lvl>
    <w:lvl w:ilvl="5" w:tplc="DB1A21F2" w:tentative="1">
      <w:start w:val="1"/>
      <w:numFmt w:val="lowerRoman"/>
      <w:lvlText w:val="%6."/>
      <w:lvlJc w:val="right"/>
      <w:pPr>
        <w:ind w:left="4669" w:hanging="180"/>
      </w:pPr>
    </w:lvl>
    <w:lvl w:ilvl="6" w:tplc="BC409966" w:tentative="1">
      <w:start w:val="1"/>
      <w:numFmt w:val="decimal"/>
      <w:lvlText w:val="%7."/>
      <w:lvlJc w:val="left"/>
      <w:pPr>
        <w:ind w:left="5389" w:hanging="360"/>
      </w:pPr>
    </w:lvl>
    <w:lvl w:ilvl="7" w:tplc="844CE614" w:tentative="1">
      <w:start w:val="1"/>
      <w:numFmt w:val="lowerLetter"/>
      <w:lvlText w:val="%8."/>
      <w:lvlJc w:val="left"/>
      <w:pPr>
        <w:ind w:left="6109" w:hanging="360"/>
      </w:pPr>
    </w:lvl>
    <w:lvl w:ilvl="8" w:tplc="0B586F7A"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F45"/>
    <w:rsid w:val="000057AD"/>
    <w:rsid w:val="0000640C"/>
    <w:rsid w:val="0001035D"/>
    <w:rsid w:val="000113C9"/>
    <w:rsid w:val="00017BFC"/>
    <w:rsid w:val="00022DF5"/>
    <w:rsid w:val="0002673E"/>
    <w:rsid w:val="00026A21"/>
    <w:rsid w:val="00027C1B"/>
    <w:rsid w:val="00027DC9"/>
    <w:rsid w:val="000302DF"/>
    <w:rsid w:val="00030EB4"/>
    <w:rsid w:val="000315E2"/>
    <w:rsid w:val="000331F4"/>
    <w:rsid w:val="00034A70"/>
    <w:rsid w:val="00034D17"/>
    <w:rsid w:val="00035EC9"/>
    <w:rsid w:val="000360DA"/>
    <w:rsid w:val="000408B3"/>
    <w:rsid w:val="00040C19"/>
    <w:rsid w:val="00043D10"/>
    <w:rsid w:val="0004767B"/>
    <w:rsid w:val="00052621"/>
    <w:rsid w:val="00053661"/>
    <w:rsid w:val="00061C9A"/>
    <w:rsid w:val="000621E9"/>
    <w:rsid w:val="000621EB"/>
    <w:rsid w:val="00070473"/>
    <w:rsid w:val="00070D7D"/>
    <w:rsid w:val="00071DFF"/>
    <w:rsid w:val="0007201E"/>
    <w:rsid w:val="00073CB9"/>
    <w:rsid w:val="0009157A"/>
    <w:rsid w:val="00093CE6"/>
    <w:rsid w:val="000A1D9F"/>
    <w:rsid w:val="000A4DA8"/>
    <w:rsid w:val="000B1EDC"/>
    <w:rsid w:val="000B54DC"/>
    <w:rsid w:val="000B5B53"/>
    <w:rsid w:val="000B673B"/>
    <w:rsid w:val="000C149D"/>
    <w:rsid w:val="000C2C06"/>
    <w:rsid w:val="000C3AD7"/>
    <w:rsid w:val="000C45C0"/>
    <w:rsid w:val="000D51EF"/>
    <w:rsid w:val="000D719F"/>
    <w:rsid w:val="000E1A11"/>
    <w:rsid w:val="000E478D"/>
    <w:rsid w:val="000E4C8A"/>
    <w:rsid w:val="000E4F88"/>
    <w:rsid w:val="000E553A"/>
    <w:rsid w:val="000E5913"/>
    <w:rsid w:val="000E7409"/>
    <w:rsid w:val="000E7534"/>
    <w:rsid w:val="000F0485"/>
    <w:rsid w:val="000F0E6F"/>
    <w:rsid w:val="000F356E"/>
    <w:rsid w:val="000F4D31"/>
    <w:rsid w:val="000F51EE"/>
    <w:rsid w:val="000F54F7"/>
    <w:rsid w:val="000F662D"/>
    <w:rsid w:val="000F6948"/>
    <w:rsid w:val="000F7778"/>
    <w:rsid w:val="001000D3"/>
    <w:rsid w:val="0010042C"/>
    <w:rsid w:val="00102D49"/>
    <w:rsid w:val="00103DE5"/>
    <w:rsid w:val="00106C09"/>
    <w:rsid w:val="00110711"/>
    <w:rsid w:val="001155EC"/>
    <w:rsid w:val="001257DD"/>
    <w:rsid w:val="0013136E"/>
    <w:rsid w:val="00131B42"/>
    <w:rsid w:val="001341E7"/>
    <w:rsid w:val="00135351"/>
    <w:rsid w:val="0013736E"/>
    <w:rsid w:val="00142735"/>
    <w:rsid w:val="001465C5"/>
    <w:rsid w:val="00147B2D"/>
    <w:rsid w:val="00151A04"/>
    <w:rsid w:val="00151D86"/>
    <w:rsid w:val="00153975"/>
    <w:rsid w:val="0015408A"/>
    <w:rsid w:val="00154106"/>
    <w:rsid w:val="00154BE9"/>
    <w:rsid w:val="0015685F"/>
    <w:rsid w:val="001615DB"/>
    <w:rsid w:val="00161711"/>
    <w:rsid w:val="00164182"/>
    <w:rsid w:val="0016579C"/>
    <w:rsid w:val="00166314"/>
    <w:rsid w:val="0016709D"/>
    <w:rsid w:val="00171803"/>
    <w:rsid w:val="001738B2"/>
    <w:rsid w:val="00173A2B"/>
    <w:rsid w:val="00174B9B"/>
    <w:rsid w:val="001769B5"/>
    <w:rsid w:val="0018028E"/>
    <w:rsid w:val="0018181C"/>
    <w:rsid w:val="00184EF4"/>
    <w:rsid w:val="001A004D"/>
    <w:rsid w:val="001A2C0A"/>
    <w:rsid w:val="001A3647"/>
    <w:rsid w:val="001A5958"/>
    <w:rsid w:val="001B3EEA"/>
    <w:rsid w:val="001B4EDE"/>
    <w:rsid w:val="001B5B41"/>
    <w:rsid w:val="001B5CA7"/>
    <w:rsid w:val="001C1384"/>
    <w:rsid w:val="001C22D8"/>
    <w:rsid w:val="001D05CE"/>
    <w:rsid w:val="001D3A95"/>
    <w:rsid w:val="001D6DDF"/>
    <w:rsid w:val="001D7766"/>
    <w:rsid w:val="001D779B"/>
    <w:rsid w:val="001E1286"/>
    <w:rsid w:val="001E1CE4"/>
    <w:rsid w:val="001E1E63"/>
    <w:rsid w:val="001E1EBD"/>
    <w:rsid w:val="001E4619"/>
    <w:rsid w:val="001E5C5F"/>
    <w:rsid w:val="001F14D5"/>
    <w:rsid w:val="001F4889"/>
    <w:rsid w:val="00203BE3"/>
    <w:rsid w:val="00204177"/>
    <w:rsid w:val="00204E7C"/>
    <w:rsid w:val="00205B4A"/>
    <w:rsid w:val="00215896"/>
    <w:rsid w:val="00216BF0"/>
    <w:rsid w:val="00220C35"/>
    <w:rsid w:val="00221A23"/>
    <w:rsid w:val="00222033"/>
    <w:rsid w:val="00232B77"/>
    <w:rsid w:val="00234474"/>
    <w:rsid w:val="00234D9E"/>
    <w:rsid w:val="002408A6"/>
    <w:rsid w:val="00242680"/>
    <w:rsid w:val="002429F1"/>
    <w:rsid w:val="00243426"/>
    <w:rsid w:val="002438DB"/>
    <w:rsid w:val="00251945"/>
    <w:rsid w:val="00251C5B"/>
    <w:rsid w:val="002554E0"/>
    <w:rsid w:val="0025603D"/>
    <w:rsid w:val="00256555"/>
    <w:rsid w:val="00256F9D"/>
    <w:rsid w:val="00261D45"/>
    <w:rsid w:val="0026472F"/>
    <w:rsid w:val="00265BB6"/>
    <w:rsid w:val="0026657E"/>
    <w:rsid w:val="002666AF"/>
    <w:rsid w:val="00267881"/>
    <w:rsid w:val="00271886"/>
    <w:rsid w:val="00280EEE"/>
    <w:rsid w:val="00281AC1"/>
    <w:rsid w:val="0028275A"/>
    <w:rsid w:val="00283431"/>
    <w:rsid w:val="00294A2F"/>
    <w:rsid w:val="00295C2F"/>
    <w:rsid w:val="002A21EC"/>
    <w:rsid w:val="002A52D1"/>
    <w:rsid w:val="002B13B4"/>
    <w:rsid w:val="002B3199"/>
    <w:rsid w:val="002B643D"/>
    <w:rsid w:val="002C1556"/>
    <w:rsid w:val="002C2AF4"/>
    <w:rsid w:val="002C2F6B"/>
    <w:rsid w:val="002C45DE"/>
    <w:rsid w:val="002D102E"/>
    <w:rsid w:val="002D2B97"/>
    <w:rsid w:val="002D3908"/>
    <w:rsid w:val="002D3DE4"/>
    <w:rsid w:val="002E0D27"/>
    <w:rsid w:val="002E0E4E"/>
    <w:rsid w:val="002E1C05"/>
    <w:rsid w:val="002E2F83"/>
    <w:rsid w:val="002E3C9F"/>
    <w:rsid w:val="002E43CA"/>
    <w:rsid w:val="002E4ADD"/>
    <w:rsid w:val="002E4C03"/>
    <w:rsid w:val="002E72F4"/>
    <w:rsid w:val="00300AF0"/>
    <w:rsid w:val="00300F9B"/>
    <w:rsid w:val="00304B0F"/>
    <w:rsid w:val="003050E4"/>
    <w:rsid w:val="003105AB"/>
    <w:rsid w:val="00311078"/>
    <w:rsid w:val="0031285A"/>
    <w:rsid w:val="003136F7"/>
    <w:rsid w:val="0031538C"/>
    <w:rsid w:val="00317F33"/>
    <w:rsid w:val="00321E93"/>
    <w:rsid w:val="003248E4"/>
    <w:rsid w:val="00325E62"/>
    <w:rsid w:val="003273DA"/>
    <w:rsid w:val="003340B3"/>
    <w:rsid w:val="00334D70"/>
    <w:rsid w:val="00342D63"/>
    <w:rsid w:val="003448B8"/>
    <w:rsid w:val="00347FEE"/>
    <w:rsid w:val="00350CF9"/>
    <w:rsid w:val="003530B2"/>
    <w:rsid w:val="00354044"/>
    <w:rsid w:val="00356A34"/>
    <w:rsid w:val="003672EF"/>
    <w:rsid w:val="00371239"/>
    <w:rsid w:val="003770C2"/>
    <w:rsid w:val="003811FC"/>
    <w:rsid w:val="00381E04"/>
    <w:rsid w:val="00391DBA"/>
    <w:rsid w:val="003931E9"/>
    <w:rsid w:val="00394559"/>
    <w:rsid w:val="00394F70"/>
    <w:rsid w:val="003966A7"/>
    <w:rsid w:val="003A12C6"/>
    <w:rsid w:val="003A1315"/>
    <w:rsid w:val="003A1648"/>
    <w:rsid w:val="003A2945"/>
    <w:rsid w:val="003A469F"/>
    <w:rsid w:val="003A5222"/>
    <w:rsid w:val="003B0BF9"/>
    <w:rsid w:val="003B23A5"/>
    <w:rsid w:val="003B34DA"/>
    <w:rsid w:val="003B45A5"/>
    <w:rsid w:val="003C0FE9"/>
    <w:rsid w:val="003C5D78"/>
    <w:rsid w:val="003C6CC8"/>
    <w:rsid w:val="003D137D"/>
    <w:rsid w:val="003D1D42"/>
    <w:rsid w:val="003D2307"/>
    <w:rsid w:val="003E04E1"/>
    <w:rsid w:val="003E0791"/>
    <w:rsid w:val="003E2E5A"/>
    <w:rsid w:val="003E5364"/>
    <w:rsid w:val="003E5BB5"/>
    <w:rsid w:val="003F005A"/>
    <w:rsid w:val="003F0966"/>
    <w:rsid w:val="003F28AC"/>
    <w:rsid w:val="00407604"/>
    <w:rsid w:val="0041610A"/>
    <w:rsid w:val="00417E92"/>
    <w:rsid w:val="0042051F"/>
    <w:rsid w:val="00420EA5"/>
    <w:rsid w:val="0042176D"/>
    <w:rsid w:val="00421DF1"/>
    <w:rsid w:val="00422079"/>
    <w:rsid w:val="0042322A"/>
    <w:rsid w:val="004249E6"/>
    <w:rsid w:val="004274B8"/>
    <w:rsid w:val="004303FD"/>
    <w:rsid w:val="004307AF"/>
    <w:rsid w:val="0043556B"/>
    <w:rsid w:val="004362CA"/>
    <w:rsid w:val="00442EAA"/>
    <w:rsid w:val="00442FEA"/>
    <w:rsid w:val="004454FE"/>
    <w:rsid w:val="00446A43"/>
    <w:rsid w:val="0045034F"/>
    <w:rsid w:val="00450C52"/>
    <w:rsid w:val="004521CA"/>
    <w:rsid w:val="0045220A"/>
    <w:rsid w:val="00456E40"/>
    <w:rsid w:val="00460946"/>
    <w:rsid w:val="004617A7"/>
    <w:rsid w:val="00463734"/>
    <w:rsid w:val="004644EC"/>
    <w:rsid w:val="004678E9"/>
    <w:rsid w:val="00471F27"/>
    <w:rsid w:val="0047261F"/>
    <w:rsid w:val="00476642"/>
    <w:rsid w:val="0048192A"/>
    <w:rsid w:val="00481BB3"/>
    <w:rsid w:val="00484117"/>
    <w:rsid w:val="00485BE2"/>
    <w:rsid w:val="004877D2"/>
    <w:rsid w:val="00490BC4"/>
    <w:rsid w:val="004911BC"/>
    <w:rsid w:val="00492359"/>
    <w:rsid w:val="004934DE"/>
    <w:rsid w:val="004957D9"/>
    <w:rsid w:val="004A15E8"/>
    <w:rsid w:val="004A3B03"/>
    <w:rsid w:val="004A71BC"/>
    <w:rsid w:val="004B3887"/>
    <w:rsid w:val="004B5E52"/>
    <w:rsid w:val="004B6594"/>
    <w:rsid w:val="004C0F86"/>
    <w:rsid w:val="004C1FE1"/>
    <w:rsid w:val="004C3CB3"/>
    <w:rsid w:val="004D4835"/>
    <w:rsid w:val="004D50BC"/>
    <w:rsid w:val="004D6A8E"/>
    <w:rsid w:val="004D76B8"/>
    <w:rsid w:val="004E242E"/>
    <w:rsid w:val="004E24D9"/>
    <w:rsid w:val="004E2BB1"/>
    <w:rsid w:val="004E63AA"/>
    <w:rsid w:val="004E7B00"/>
    <w:rsid w:val="004F1290"/>
    <w:rsid w:val="004F19B6"/>
    <w:rsid w:val="004F3CF4"/>
    <w:rsid w:val="004F416A"/>
    <w:rsid w:val="004F72CE"/>
    <w:rsid w:val="005000AA"/>
    <w:rsid w:val="0050178F"/>
    <w:rsid w:val="00501BD0"/>
    <w:rsid w:val="005058B6"/>
    <w:rsid w:val="00506F78"/>
    <w:rsid w:val="00514460"/>
    <w:rsid w:val="00515458"/>
    <w:rsid w:val="005163CC"/>
    <w:rsid w:val="00517162"/>
    <w:rsid w:val="005202D9"/>
    <w:rsid w:val="00522CEB"/>
    <w:rsid w:val="0052384E"/>
    <w:rsid w:val="00526465"/>
    <w:rsid w:val="00527518"/>
    <w:rsid w:val="0053210D"/>
    <w:rsid w:val="00532359"/>
    <w:rsid w:val="005401D2"/>
    <w:rsid w:val="005429EE"/>
    <w:rsid w:val="00545873"/>
    <w:rsid w:val="00547683"/>
    <w:rsid w:val="00551FF8"/>
    <w:rsid w:val="00552599"/>
    <w:rsid w:val="00556ED2"/>
    <w:rsid w:val="0055733B"/>
    <w:rsid w:val="005578C4"/>
    <w:rsid w:val="0056527E"/>
    <w:rsid w:val="005709F0"/>
    <w:rsid w:val="00572136"/>
    <w:rsid w:val="005862D0"/>
    <w:rsid w:val="00594E86"/>
    <w:rsid w:val="005955FE"/>
    <w:rsid w:val="005A3ACA"/>
    <w:rsid w:val="005A444D"/>
    <w:rsid w:val="005B080B"/>
    <w:rsid w:val="005C22B4"/>
    <w:rsid w:val="005C3809"/>
    <w:rsid w:val="005C38E9"/>
    <w:rsid w:val="005D02A9"/>
    <w:rsid w:val="005D1A4D"/>
    <w:rsid w:val="005D39F9"/>
    <w:rsid w:val="005D444B"/>
    <w:rsid w:val="005D5293"/>
    <w:rsid w:val="005D6B9A"/>
    <w:rsid w:val="005E0F39"/>
    <w:rsid w:val="005E3418"/>
    <w:rsid w:val="005E3D97"/>
    <w:rsid w:val="005E454E"/>
    <w:rsid w:val="005E7495"/>
    <w:rsid w:val="005E7D91"/>
    <w:rsid w:val="005F1ADD"/>
    <w:rsid w:val="00602077"/>
    <w:rsid w:val="00602F08"/>
    <w:rsid w:val="00610FCD"/>
    <w:rsid w:val="0061140A"/>
    <w:rsid w:val="006127ED"/>
    <w:rsid w:val="00617379"/>
    <w:rsid w:val="00617B58"/>
    <w:rsid w:val="00620CF7"/>
    <w:rsid w:val="00620EDB"/>
    <w:rsid w:val="00622270"/>
    <w:rsid w:val="00623637"/>
    <w:rsid w:val="00625B2C"/>
    <w:rsid w:val="00626A7D"/>
    <w:rsid w:val="00627BFA"/>
    <w:rsid w:val="00630AAD"/>
    <w:rsid w:val="00636AEA"/>
    <w:rsid w:val="00641983"/>
    <w:rsid w:val="0064436C"/>
    <w:rsid w:val="006529BA"/>
    <w:rsid w:val="0065322E"/>
    <w:rsid w:val="0065332D"/>
    <w:rsid w:val="00655AF3"/>
    <w:rsid w:val="00655F2C"/>
    <w:rsid w:val="006564F2"/>
    <w:rsid w:val="00656918"/>
    <w:rsid w:val="006578F8"/>
    <w:rsid w:val="00657D1C"/>
    <w:rsid w:val="00660AFA"/>
    <w:rsid w:val="006704B2"/>
    <w:rsid w:val="006755B7"/>
    <w:rsid w:val="00675DF3"/>
    <w:rsid w:val="00680099"/>
    <w:rsid w:val="00680510"/>
    <w:rsid w:val="00683932"/>
    <w:rsid w:val="00684BC7"/>
    <w:rsid w:val="00691ACA"/>
    <w:rsid w:val="00692948"/>
    <w:rsid w:val="0069767B"/>
    <w:rsid w:val="006A2D81"/>
    <w:rsid w:val="006A7856"/>
    <w:rsid w:val="006A7A41"/>
    <w:rsid w:val="006B07D2"/>
    <w:rsid w:val="006B2AEF"/>
    <w:rsid w:val="006B38E2"/>
    <w:rsid w:val="006B431A"/>
    <w:rsid w:val="006B53FF"/>
    <w:rsid w:val="006B624A"/>
    <w:rsid w:val="006B74A0"/>
    <w:rsid w:val="006C2DDA"/>
    <w:rsid w:val="006C4AAB"/>
    <w:rsid w:val="006C519E"/>
    <w:rsid w:val="006D465C"/>
    <w:rsid w:val="006D5042"/>
    <w:rsid w:val="006D6082"/>
    <w:rsid w:val="006E1081"/>
    <w:rsid w:val="006E1B61"/>
    <w:rsid w:val="006E6D71"/>
    <w:rsid w:val="006F2AB5"/>
    <w:rsid w:val="006F2FE4"/>
    <w:rsid w:val="006F49D0"/>
    <w:rsid w:val="007007FB"/>
    <w:rsid w:val="00701F59"/>
    <w:rsid w:val="00706080"/>
    <w:rsid w:val="007071CC"/>
    <w:rsid w:val="00707B92"/>
    <w:rsid w:val="0071050D"/>
    <w:rsid w:val="00711376"/>
    <w:rsid w:val="007119EB"/>
    <w:rsid w:val="00715CA9"/>
    <w:rsid w:val="007177DD"/>
    <w:rsid w:val="00717DEB"/>
    <w:rsid w:val="00720585"/>
    <w:rsid w:val="00727CDC"/>
    <w:rsid w:val="00731AB3"/>
    <w:rsid w:val="0073304C"/>
    <w:rsid w:val="00733379"/>
    <w:rsid w:val="007357B7"/>
    <w:rsid w:val="00736561"/>
    <w:rsid w:val="00737F2D"/>
    <w:rsid w:val="00740963"/>
    <w:rsid w:val="00742001"/>
    <w:rsid w:val="00743A5B"/>
    <w:rsid w:val="007506C6"/>
    <w:rsid w:val="007528E6"/>
    <w:rsid w:val="007560E5"/>
    <w:rsid w:val="00756D6F"/>
    <w:rsid w:val="00757E51"/>
    <w:rsid w:val="0076758B"/>
    <w:rsid w:val="00767972"/>
    <w:rsid w:val="007724BE"/>
    <w:rsid w:val="00773AF6"/>
    <w:rsid w:val="00773CA6"/>
    <w:rsid w:val="00774C79"/>
    <w:rsid w:val="00775866"/>
    <w:rsid w:val="007759B4"/>
    <w:rsid w:val="00775B68"/>
    <w:rsid w:val="0078191C"/>
    <w:rsid w:val="007828E7"/>
    <w:rsid w:val="00787E18"/>
    <w:rsid w:val="00790453"/>
    <w:rsid w:val="00795782"/>
    <w:rsid w:val="00795F71"/>
    <w:rsid w:val="00796B16"/>
    <w:rsid w:val="00797BB8"/>
    <w:rsid w:val="00797DDF"/>
    <w:rsid w:val="007A1C65"/>
    <w:rsid w:val="007A5140"/>
    <w:rsid w:val="007B24FD"/>
    <w:rsid w:val="007B4454"/>
    <w:rsid w:val="007B594D"/>
    <w:rsid w:val="007B6269"/>
    <w:rsid w:val="007C2F65"/>
    <w:rsid w:val="007C4232"/>
    <w:rsid w:val="007C7217"/>
    <w:rsid w:val="007D1A6E"/>
    <w:rsid w:val="007D3A63"/>
    <w:rsid w:val="007D3FE3"/>
    <w:rsid w:val="007D4532"/>
    <w:rsid w:val="007D793F"/>
    <w:rsid w:val="007E2F32"/>
    <w:rsid w:val="007E57A0"/>
    <w:rsid w:val="007E5F7A"/>
    <w:rsid w:val="007E73AB"/>
    <w:rsid w:val="007E7AB9"/>
    <w:rsid w:val="007F24D1"/>
    <w:rsid w:val="007F261D"/>
    <w:rsid w:val="007F4E01"/>
    <w:rsid w:val="007F5C8C"/>
    <w:rsid w:val="007F751E"/>
    <w:rsid w:val="00801736"/>
    <w:rsid w:val="00801D85"/>
    <w:rsid w:val="00805788"/>
    <w:rsid w:val="008105E5"/>
    <w:rsid w:val="00811C0C"/>
    <w:rsid w:val="00816C11"/>
    <w:rsid w:val="00824A4D"/>
    <w:rsid w:val="00832616"/>
    <w:rsid w:val="00835518"/>
    <w:rsid w:val="008369D9"/>
    <w:rsid w:val="00845967"/>
    <w:rsid w:val="00852CA5"/>
    <w:rsid w:val="00853EAC"/>
    <w:rsid w:val="0086452E"/>
    <w:rsid w:val="008646F8"/>
    <w:rsid w:val="00866633"/>
    <w:rsid w:val="0087374E"/>
    <w:rsid w:val="00881085"/>
    <w:rsid w:val="00882A00"/>
    <w:rsid w:val="00882A33"/>
    <w:rsid w:val="00883E54"/>
    <w:rsid w:val="008908DA"/>
    <w:rsid w:val="00894C55"/>
    <w:rsid w:val="008964A7"/>
    <w:rsid w:val="00897193"/>
    <w:rsid w:val="008A1BF8"/>
    <w:rsid w:val="008A2CCC"/>
    <w:rsid w:val="008A7808"/>
    <w:rsid w:val="008B009B"/>
    <w:rsid w:val="008B26A2"/>
    <w:rsid w:val="008B2E2F"/>
    <w:rsid w:val="008B4BD3"/>
    <w:rsid w:val="008B7C2E"/>
    <w:rsid w:val="008C2E92"/>
    <w:rsid w:val="008C49F8"/>
    <w:rsid w:val="008D094A"/>
    <w:rsid w:val="008D7B3A"/>
    <w:rsid w:val="008D7E6A"/>
    <w:rsid w:val="008E1A65"/>
    <w:rsid w:val="008E206A"/>
    <w:rsid w:val="008E29FC"/>
    <w:rsid w:val="008E4EE9"/>
    <w:rsid w:val="008E5DD1"/>
    <w:rsid w:val="008E79B5"/>
    <w:rsid w:val="008F090E"/>
    <w:rsid w:val="008F2146"/>
    <w:rsid w:val="008F4B1C"/>
    <w:rsid w:val="008F74E0"/>
    <w:rsid w:val="00900022"/>
    <w:rsid w:val="009004B0"/>
    <w:rsid w:val="00903117"/>
    <w:rsid w:val="00905793"/>
    <w:rsid w:val="00912F53"/>
    <w:rsid w:val="00914CC7"/>
    <w:rsid w:val="009167D1"/>
    <w:rsid w:val="00917C3E"/>
    <w:rsid w:val="00917DC6"/>
    <w:rsid w:val="00922207"/>
    <w:rsid w:val="00923556"/>
    <w:rsid w:val="00926899"/>
    <w:rsid w:val="00926B3F"/>
    <w:rsid w:val="00932841"/>
    <w:rsid w:val="00932F1B"/>
    <w:rsid w:val="00933DA3"/>
    <w:rsid w:val="0093499F"/>
    <w:rsid w:val="00940ACA"/>
    <w:rsid w:val="009415F7"/>
    <w:rsid w:val="009417DF"/>
    <w:rsid w:val="009455AA"/>
    <w:rsid w:val="009518A8"/>
    <w:rsid w:val="0095190A"/>
    <w:rsid w:val="009527B7"/>
    <w:rsid w:val="009529E5"/>
    <w:rsid w:val="00954B1B"/>
    <w:rsid w:val="00955B49"/>
    <w:rsid w:val="0095750A"/>
    <w:rsid w:val="0096118B"/>
    <w:rsid w:val="009659A6"/>
    <w:rsid w:val="009668CF"/>
    <w:rsid w:val="00972E39"/>
    <w:rsid w:val="00976B51"/>
    <w:rsid w:val="00976C36"/>
    <w:rsid w:val="0098205C"/>
    <w:rsid w:val="0098299F"/>
    <w:rsid w:val="00992D74"/>
    <w:rsid w:val="00996B6F"/>
    <w:rsid w:val="009A2654"/>
    <w:rsid w:val="009A308F"/>
    <w:rsid w:val="009A40F2"/>
    <w:rsid w:val="009A75EB"/>
    <w:rsid w:val="009B0B9D"/>
    <w:rsid w:val="009B1025"/>
    <w:rsid w:val="009B1C94"/>
    <w:rsid w:val="009B5913"/>
    <w:rsid w:val="009B7B20"/>
    <w:rsid w:val="009C35AB"/>
    <w:rsid w:val="009C35FA"/>
    <w:rsid w:val="009D111F"/>
    <w:rsid w:val="009D1A16"/>
    <w:rsid w:val="009D2A80"/>
    <w:rsid w:val="009D4A3E"/>
    <w:rsid w:val="009D5F8E"/>
    <w:rsid w:val="009E0D11"/>
    <w:rsid w:val="009E25A3"/>
    <w:rsid w:val="009E38FA"/>
    <w:rsid w:val="009E4308"/>
    <w:rsid w:val="009E7AA1"/>
    <w:rsid w:val="009F377C"/>
    <w:rsid w:val="009F3AFA"/>
    <w:rsid w:val="009F77EF"/>
    <w:rsid w:val="00A01107"/>
    <w:rsid w:val="00A01AB3"/>
    <w:rsid w:val="00A01E09"/>
    <w:rsid w:val="00A052E3"/>
    <w:rsid w:val="00A05BF9"/>
    <w:rsid w:val="00A05EDD"/>
    <w:rsid w:val="00A06F4B"/>
    <w:rsid w:val="00A10FC3"/>
    <w:rsid w:val="00A15C8D"/>
    <w:rsid w:val="00A20050"/>
    <w:rsid w:val="00A20BBA"/>
    <w:rsid w:val="00A21265"/>
    <w:rsid w:val="00A221D9"/>
    <w:rsid w:val="00A22799"/>
    <w:rsid w:val="00A2332A"/>
    <w:rsid w:val="00A26394"/>
    <w:rsid w:val="00A3429A"/>
    <w:rsid w:val="00A429BA"/>
    <w:rsid w:val="00A44E9C"/>
    <w:rsid w:val="00A467CF"/>
    <w:rsid w:val="00A479BB"/>
    <w:rsid w:val="00A501BC"/>
    <w:rsid w:val="00A527E1"/>
    <w:rsid w:val="00A54215"/>
    <w:rsid w:val="00A551F7"/>
    <w:rsid w:val="00A554E4"/>
    <w:rsid w:val="00A6073E"/>
    <w:rsid w:val="00A622C9"/>
    <w:rsid w:val="00A6472F"/>
    <w:rsid w:val="00A650A1"/>
    <w:rsid w:val="00A721D2"/>
    <w:rsid w:val="00A75189"/>
    <w:rsid w:val="00A752CF"/>
    <w:rsid w:val="00A76C37"/>
    <w:rsid w:val="00A76EE2"/>
    <w:rsid w:val="00A81AD6"/>
    <w:rsid w:val="00A82720"/>
    <w:rsid w:val="00A82886"/>
    <w:rsid w:val="00A83146"/>
    <w:rsid w:val="00A87EC5"/>
    <w:rsid w:val="00A932D5"/>
    <w:rsid w:val="00AA015D"/>
    <w:rsid w:val="00AA4E66"/>
    <w:rsid w:val="00AA574A"/>
    <w:rsid w:val="00AB0595"/>
    <w:rsid w:val="00AB5D3A"/>
    <w:rsid w:val="00AB7C78"/>
    <w:rsid w:val="00AC3996"/>
    <w:rsid w:val="00AC4ACD"/>
    <w:rsid w:val="00AC5448"/>
    <w:rsid w:val="00AC57EC"/>
    <w:rsid w:val="00AD2F16"/>
    <w:rsid w:val="00AD2FB9"/>
    <w:rsid w:val="00AD3FD2"/>
    <w:rsid w:val="00AD76D4"/>
    <w:rsid w:val="00AE0B22"/>
    <w:rsid w:val="00AE1A12"/>
    <w:rsid w:val="00AE1E20"/>
    <w:rsid w:val="00AE208F"/>
    <w:rsid w:val="00AE5567"/>
    <w:rsid w:val="00AF1239"/>
    <w:rsid w:val="00AF24D0"/>
    <w:rsid w:val="00AF27B5"/>
    <w:rsid w:val="00AF3551"/>
    <w:rsid w:val="00AF3BF7"/>
    <w:rsid w:val="00AF3E71"/>
    <w:rsid w:val="00AF4AF6"/>
    <w:rsid w:val="00AF5018"/>
    <w:rsid w:val="00B002A8"/>
    <w:rsid w:val="00B01025"/>
    <w:rsid w:val="00B06B17"/>
    <w:rsid w:val="00B105E2"/>
    <w:rsid w:val="00B117B5"/>
    <w:rsid w:val="00B11BB2"/>
    <w:rsid w:val="00B13168"/>
    <w:rsid w:val="00B14A9F"/>
    <w:rsid w:val="00B16441"/>
    <w:rsid w:val="00B16480"/>
    <w:rsid w:val="00B21196"/>
    <w:rsid w:val="00B2165C"/>
    <w:rsid w:val="00B2492F"/>
    <w:rsid w:val="00B257B2"/>
    <w:rsid w:val="00B32220"/>
    <w:rsid w:val="00B41AF3"/>
    <w:rsid w:val="00B469E9"/>
    <w:rsid w:val="00B54D43"/>
    <w:rsid w:val="00B562CF"/>
    <w:rsid w:val="00B576A4"/>
    <w:rsid w:val="00B64254"/>
    <w:rsid w:val="00B65016"/>
    <w:rsid w:val="00B65EDA"/>
    <w:rsid w:val="00B7245E"/>
    <w:rsid w:val="00B730B6"/>
    <w:rsid w:val="00B740C5"/>
    <w:rsid w:val="00B80228"/>
    <w:rsid w:val="00B811BC"/>
    <w:rsid w:val="00B8130A"/>
    <w:rsid w:val="00B86B0C"/>
    <w:rsid w:val="00B91165"/>
    <w:rsid w:val="00B920A6"/>
    <w:rsid w:val="00B93DE8"/>
    <w:rsid w:val="00B949DB"/>
    <w:rsid w:val="00B9558E"/>
    <w:rsid w:val="00BA20AA"/>
    <w:rsid w:val="00BA4D48"/>
    <w:rsid w:val="00BA5C66"/>
    <w:rsid w:val="00BA787B"/>
    <w:rsid w:val="00BB03E4"/>
    <w:rsid w:val="00BB0C67"/>
    <w:rsid w:val="00BB425A"/>
    <w:rsid w:val="00BB50C7"/>
    <w:rsid w:val="00BC0727"/>
    <w:rsid w:val="00BC1C3B"/>
    <w:rsid w:val="00BC49DC"/>
    <w:rsid w:val="00BD09E9"/>
    <w:rsid w:val="00BD1DA5"/>
    <w:rsid w:val="00BD40C3"/>
    <w:rsid w:val="00BD4425"/>
    <w:rsid w:val="00BD5498"/>
    <w:rsid w:val="00BD6D5A"/>
    <w:rsid w:val="00BE0231"/>
    <w:rsid w:val="00BE0E13"/>
    <w:rsid w:val="00BE1090"/>
    <w:rsid w:val="00BE29A0"/>
    <w:rsid w:val="00BE4AA3"/>
    <w:rsid w:val="00BE76FC"/>
    <w:rsid w:val="00BF031C"/>
    <w:rsid w:val="00BF59E8"/>
    <w:rsid w:val="00BF5CED"/>
    <w:rsid w:val="00BF6AE6"/>
    <w:rsid w:val="00C0107E"/>
    <w:rsid w:val="00C023A5"/>
    <w:rsid w:val="00C13844"/>
    <w:rsid w:val="00C14357"/>
    <w:rsid w:val="00C14E02"/>
    <w:rsid w:val="00C15E26"/>
    <w:rsid w:val="00C21F98"/>
    <w:rsid w:val="00C247E5"/>
    <w:rsid w:val="00C25B49"/>
    <w:rsid w:val="00C322ED"/>
    <w:rsid w:val="00C342AB"/>
    <w:rsid w:val="00C35FD3"/>
    <w:rsid w:val="00C42060"/>
    <w:rsid w:val="00C56935"/>
    <w:rsid w:val="00C64D53"/>
    <w:rsid w:val="00C6663D"/>
    <w:rsid w:val="00C6739C"/>
    <w:rsid w:val="00C702A8"/>
    <w:rsid w:val="00C741D7"/>
    <w:rsid w:val="00C74808"/>
    <w:rsid w:val="00C748EE"/>
    <w:rsid w:val="00C76266"/>
    <w:rsid w:val="00C7739B"/>
    <w:rsid w:val="00C77F90"/>
    <w:rsid w:val="00C83DED"/>
    <w:rsid w:val="00C84617"/>
    <w:rsid w:val="00C85518"/>
    <w:rsid w:val="00C86200"/>
    <w:rsid w:val="00C8653D"/>
    <w:rsid w:val="00C86DDB"/>
    <w:rsid w:val="00C90A86"/>
    <w:rsid w:val="00C91820"/>
    <w:rsid w:val="00C936E7"/>
    <w:rsid w:val="00C97E0B"/>
    <w:rsid w:val="00C97F36"/>
    <w:rsid w:val="00CA1AD9"/>
    <w:rsid w:val="00CA2A94"/>
    <w:rsid w:val="00CA5231"/>
    <w:rsid w:val="00CB1E7A"/>
    <w:rsid w:val="00CB2F5D"/>
    <w:rsid w:val="00CB4285"/>
    <w:rsid w:val="00CB5166"/>
    <w:rsid w:val="00CB7B1F"/>
    <w:rsid w:val="00CC0D2D"/>
    <w:rsid w:val="00CC350F"/>
    <w:rsid w:val="00CC385A"/>
    <w:rsid w:val="00CC7780"/>
    <w:rsid w:val="00CD0DAE"/>
    <w:rsid w:val="00CD0FC1"/>
    <w:rsid w:val="00CD278E"/>
    <w:rsid w:val="00CD29A2"/>
    <w:rsid w:val="00CD2FF6"/>
    <w:rsid w:val="00CD4990"/>
    <w:rsid w:val="00CD7052"/>
    <w:rsid w:val="00CD7BEE"/>
    <w:rsid w:val="00CE4F5C"/>
    <w:rsid w:val="00CE5657"/>
    <w:rsid w:val="00CE7187"/>
    <w:rsid w:val="00CF2004"/>
    <w:rsid w:val="00CF390F"/>
    <w:rsid w:val="00D00D43"/>
    <w:rsid w:val="00D03066"/>
    <w:rsid w:val="00D038EA"/>
    <w:rsid w:val="00D04990"/>
    <w:rsid w:val="00D05E91"/>
    <w:rsid w:val="00D06255"/>
    <w:rsid w:val="00D12642"/>
    <w:rsid w:val="00D133F8"/>
    <w:rsid w:val="00D14A3E"/>
    <w:rsid w:val="00D231E6"/>
    <w:rsid w:val="00D23399"/>
    <w:rsid w:val="00D23DC8"/>
    <w:rsid w:val="00D26187"/>
    <w:rsid w:val="00D2655D"/>
    <w:rsid w:val="00D26BEE"/>
    <w:rsid w:val="00D27B27"/>
    <w:rsid w:val="00D354BF"/>
    <w:rsid w:val="00D37846"/>
    <w:rsid w:val="00D379B0"/>
    <w:rsid w:val="00D37EE8"/>
    <w:rsid w:val="00D4235B"/>
    <w:rsid w:val="00D47B6C"/>
    <w:rsid w:val="00D57203"/>
    <w:rsid w:val="00D61868"/>
    <w:rsid w:val="00D619DE"/>
    <w:rsid w:val="00D64464"/>
    <w:rsid w:val="00D65332"/>
    <w:rsid w:val="00D71D88"/>
    <w:rsid w:val="00D75F15"/>
    <w:rsid w:val="00D813E4"/>
    <w:rsid w:val="00D81D18"/>
    <w:rsid w:val="00D81DF2"/>
    <w:rsid w:val="00D843EF"/>
    <w:rsid w:val="00D867D0"/>
    <w:rsid w:val="00D90BE1"/>
    <w:rsid w:val="00D91D02"/>
    <w:rsid w:val="00D923CA"/>
    <w:rsid w:val="00D92DEB"/>
    <w:rsid w:val="00DA1152"/>
    <w:rsid w:val="00DA2C1E"/>
    <w:rsid w:val="00DA4CEE"/>
    <w:rsid w:val="00DA58BA"/>
    <w:rsid w:val="00DA670A"/>
    <w:rsid w:val="00DB31F9"/>
    <w:rsid w:val="00DB41EF"/>
    <w:rsid w:val="00DB65B5"/>
    <w:rsid w:val="00DC1675"/>
    <w:rsid w:val="00DC4EB2"/>
    <w:rsid w:val="00DD774B"/>
    <w:rsid w:val="00DE2DA6"/>
    <w:rsid w:val="00DE5297"/>
    <w:rsid w:val="00DF2AF6"/>
    <w:rsid w:val="00DF3CE5"/>
    <w:rsid w:val="00E00254"/>
    <w:rsid w:val="00E00D4B"/>
    <w:rsid w:val="00E0210E"/>
    <w:rsid w:val="00E07682"/>
    <w:rsid w:val="00E07839"/>
    <w:rsid w:val="00E11590"/>
    <w:rsid w:val="00E147F1"/>
    <w:rsid w:val="00E16830"/>
    <w:rsid w:val="00E16913"/>
    <w:rsid w:val="00E169E9"/>
    <w:rsid w:val="00E27A5F"/>
    <w:rsid w:val="00E32791"/>
    <w:rsid w:val="00E34241"/>
    <w:rsid w:val="00E3623B"/>
    <w:rsid w:val="00E3716B"/>
    <w:rsid w:val="00E405EB"/>
    <w:rsid w:val="00E44ADF"/>
    <w:rsid w:val="00E45719"/>
    <w:rsid w:val="00E52E63"/>
    <w:rsid w:val="00E5323B"/>
    <w:rsid w:val="00E5383B"/>
    <w:rsid w:val="00E54837"/>
    <w:rsid w:val="00E603A5"/>
    <w:rsid w:val="00E61A95"/>
    <w:rsid w:val="00E61CE6"/>
    <w:rsid w:val="00E62E60"/>
    <w:rsid w:val="00E66DA1"/>
    <w:rsid w:val="00E70DB5"/>
    <w:rsid w:val="00E74F4E"/>
    <w:rsid w:val="00E75F4A"/>
    <w:rsid w:val="00E76145"/>
    <w:rsid w:val="00E769C5"/>
    <w:rsid w:val="00E8039F"/>
    <w:rsid w:val="00E81563"/>
    <w:rsid w:val="00E8168E"/>
    <w:rsid w:val="00E81E04"/>
    <w:rsid w:val="00E82114"/>
    <w:rsid w:val="00E826D1"/>
    <w:rsid w:val="00E85CC5"/>
    <w:rsid w:val="00E87034"/>
    <w:rsid w:val="00E8749E"/>
    <w:rsid w:val="00E9074F"/>
    <w:rsid w:val="00E9075B"/>
    <w:rsid w:val="00E90C01"/>
    <w:rsid w:val="00E90DA2"/>
    <w:rsid w:val="00E91184"/>
    <w:rsid w:val="00E9567A"/>
    <w:rsid w:val="00E95DDF"/>
    <w:rsid w:val="00EA1689"/>
    <w:rsid w:val="00EA2A68"/>
    <w:rsid w:val="00EA486E"/>
    <w:rsid w:val="00EA4985"/>
    <w:rsid w:val="00EA73D6"/>
    <w:rsid w:val="00EA7A43"/>
    <w:rsid w:val="00EA7B7B"/>
    <w:rsid w:val="00EB098F"/>
    <w:rsid w:val="00EB6B9B"/>
    <w:rsid w:val="00EC32CC"/>
    <w:rsid w:val="00EC35B9"/>
    <w:rsid w:val="00ED450E"/>
    <w:rsid w:val="00ED4ACB"/>
    <w:rsid w:val="00ED6785"/>
    <w:rsid w:val="00ED743E"/>
    <w:rsid w:val="00EE3800"/>
    <w:rsid w:val="00EF329D"/>
    <w:rsid w:val="00EF77D2"/>
    <w:rsid w:val="00F02B4D"/>
    <w:rsid w:val="00F163CD"/>
    <w:rsid w:val="00F21680"/>
    <w:rsid w:val="00F21C55"/>
    <w:rsid w:val="00F222A2"/>
    <w:rsid w:val="00F23F35"/>
    <w:rsid w:val="00F25C52"/>
    <w:rsid w:val="00F26353"/>
    <w:rsid w:val="00F271B0"/>
    <w:rsid w:val="00F33558"/>
    <w:rsid w:val="00F3365E"/>
    <w:rsid w:val="00F400EC"/>
    <w:rsid w:val="00F40991"/>
    <w:rsid w:val="00F42A11"/>
    <w:rsid w:val="00F43320"/>
    <w:rsid w:val="00F5035F"/>
    <w:rsid w:val="00F5331E"/>
    <w:rsid w:val="00F57B0C"/>
    <w:rsid w:val="00F633FF"/>
    <w:rsid w:val="00F7230D"/>
    <w:rsid w:val="00F73CCF"/>
    <w:rsid w:val="00F75D20"/>
    <w:rsid w:val="00F85A10"/>
    <w:rsid w:val="00F865CA"/>
    <w:rsid w:val="00F920CF"/>
    <w:rsid w:val="00F9259C"/>
    <w:rsid w:val="00F95734"/>
    <w:rsid w:val="00F96D5D"/>
    <w:rsid w:val="00FA0764"/>
    <w:rsid w:val="00FA3E7F"/>
    <w:rsid w:val="00FA4BB7"/>
    <w:rsid w:val="00FA4F7B"/>
    <w:rsid w:val="00FA67A5"/>
    <w:rsid w:val="00FA7F0E"/>
    <w:rsid w:val="00FB2385"/>
    <w:rsid w:val="00FB30C4"/>
    <w:rsid w:val="00FB55FE"/>
    <w:rsid w:val="00FB6623"/>
    <w:rsid w:val="00FB6646"/>
    <w:rsid w:val="00FB7439"/>
    <w:rsid w:val="00FC09A7"/>
    <w:rsid w:val="00FC1542"/>
    <w:rsid w:val="00FC49B4"/>
    <w:rsid w:val="00FD1F08"/>
    <w:rsid w:val="00FD2404"/>
    <w:rsid w:val="00FD26C4"/>
    <w:rsid w:val="00FD4D0C"/>
    <w:rsid w:val="00FD5A1A"/>
    <w:rsid w:val="00FD6371"/>
    <w:rsid w:val="00FD6926"/>
    <w:rsid w:val="00FF10C0"/>
    <w:rsid w:val="00FF2446"/>
    <w:rsid w:val="00FF5D4F"/>
    <w:rsid w:val="00FF6174"/>
    <w:rsid w:val="00FF6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CBF23"/>
  <w15:docId w15:val="{2E1FE1C3-5CE9-4347-A3C4-9378372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link w:val="CommentSubject"/>
    <w:uiPriority w:val="99"/>
    <w:semiHidden/>
    <w:rsid w:val="009B5913"/>
    <w:rPr>
      <w:b/>
      <w:bCs/>
      <w:sz w:val="20"/>
      <w:szCs w:val="20"/>
    </w:rPr>
  </w:style>
  <w:style w:type="table" w:styleId="TableGrid">
    <w:name w:val="Table Grid"/>
    <w:basedOn w:val="TableNormal"/>
    <w:uiPriority w:val="39"/>
    <w:rsid w:val="0063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39C"/>
    <w:pPr>
      <w:spacing w:after="0" w:line="240" w:lineRule="auto"/>
    </w:pPr>
    <w:rPr>
      <w:sz w:val="20"/>
      <w:szCs w:val="20"/>
    </w:rPr>
  </w:style>
  <w:style w:type="character" w:customStyle="1" w:styleId="FootnoteTextChar">
    <w:name w:val="Footnote Text Char"/>
    <w:link w:val="FootnoteText"/>
    <w:uiPriority w:val="99"/>
    <w:semiHidden/>
    <w:rsid w:val="00C6739C"/>
    <w:rPr>
      <w:sz w:val="20"/>
      <w:szCs w:val="20"/>
    </w:rPr>
  </w:style>
  <w:style w:type="character" w:styleId="FootnoteReference">
    <w:name w:val="footnote reference"/>
    <w:uiPriority w:val="99"/>
    <w:semiHidden/>
    <w:unhideWhenUsed/>
    <w:rsid w:val="00C6739C"/>
    <w:rPr>
      <w:vertAlign w:val="superscript"/>
    </w:rPr>
  </w:style>
  <w:style w:type="character" w:customStyle="1" w:styleId="UnresolvedMention1">
    <w:name w:val="Unresolved Mention1"/>
    <w:uiPriority w:val="99"/>
    <w:semiHidden/>
    <w:unhideWhenUsed/>
    <w:rsid w:val="001E4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energijas_tirgus_un_infrastruk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s://em.gov.lv/lv/par_ministriju/sabiedribas_lidzdaliba/diskusiju_dokumenti/energijas_tirgus_un_infrastru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A61A-C97C-49C5-86A2-795F5F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15267</Words>
  <Characters>8703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7. februāra noteikumos Nr. 78 “Dabasgāzes tirdzniecības un lietošanas noteikumi”” sākotnējās ietekmes novērtējuma ziņojums (anotācija)</vt:lpstr>
      <vt:lpstr>Ministru kabineta noteikumu projekta “Grozījumi Ministru kabineta 2017. gada 7. februāra noteikumos Nr. 78 “Dabasgāzes tirdzniecības un lietošanas noteikumi”” sākotnējās ietekmes novērtējuma ziņojums (anotācija)</vt:lpstr>
    </vt:vector>
  </TitlesOfParts>
  <Company>Ekonomikas Ministrija</Company>
  <LinksUpToDate>false</LinksUpToDate>
  <CharactersWithSpaces>23923</CharactersWithSpaces>
  <SharedDoc>false</SharedDoc>
  <HLinks>
    <vt:vector size="6" baseType="variant">
      <vt:variant>
        <vt:i4>3997805</vt:i4>
      </vt:variant>
      <vt:variant>
        <vt:i4>0</vt:i4>
      </vt:variant>
      <vt:variant>
        <vt:i4>0</vt:i4>
      </vt:variant>
      <vt:variant>
        <vt:i4>5</vt:i4>
      </vt:variant>
      <vt:variant>
        <vt:lpwstr>https://em.gov.lv/lv/par_ministriju/sabiedribas_lidzdaliba/diskusiju_dokumenti/energijas_tirgus_un_infrastruktura/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7. februāra noteikumos Nr. 78 “Dabasgāzes tirdzniecības un lietošanas noteikumi”” sākotnējās ietekmes novērtējuma ziņojums (anotācija)</dc:title>
  <dc:subject>Anotācija</dc:subject>
  <dc:creator>Ance.Ansone@em.gov.lv</dc:creator>
  <cp:keywords/>
  <dc:description>67013001, Ance.Ansone@em.gov.lv</dc:description>
  <cp:lastModifiedBy>Ance Ansone</cp:lastModifiedBy>
  <cp:revision>23</cp:revision>
  <cp:lastPrinted>2019-09-16T05:19:00Z</cp:lastPrinted>
  <dcterms:created xsi:type="dcterms:W3CDTF">2019-09-17T07:51:00Z</dcterms:created>
  <dcterms:modified xsi:type="dcterms:W3CDTF">2019-12-06T09:11:00Z</dcterms:modified>
</cp:coreProperties>
</file>