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C31E" w14:textId="3231BB98" w:rsidR="00A322A9" w:rsidRPr="00736C80" w:rsidRDefault="00A322A9" w:rsidP="00D52579">
      <w:pPr>
        <w:pStyle w:val="Heading3"/>
        <w:jc w:val="center"/>
        <w:rPr>
          <w:rFonts w:ascii="Times New Roman" w:hAnsi="Times New Roman"/>
          <w:sz w:val="28"/>
          <w:szCs w:val="28"/>
        </w:rPr>
      </w:pPr>
      <w:r w:rsidRPr="00736C80">
        <w:rPr>
          <w:rFonts w:ascii="Times New Roman" w:hAnsi="Times New Roman"/>
          <w:sz w:val="28"/>
          <w:szCs w:val="28"/>
        </w:rPr>
        <w:t>Ministru kabineta noteikumu projekta “</w:t>
      </w:r>
      <w:r w:rsidR="00873630">
        <w:rPr>
          <w:rFonts w:ascii="Times New Roman" w:hAnsi="Times New Roman"/>
          <w:sz w:val="28"/>
          <w:szCs w:val="28"/>
        </w:rPr>
        <w:t>S</w:t>
      </w:r>
      <w:r w:rsidR="002C15E1">
        <w:rPr>
          <w:rFonts w:ascii="Times New Roman" w:hAnsi="Times New Roman"/>
          <w:bCs w:val="0"/>
          <w:sz w:val="28"/>
          <w:szCs w:val="28"/>
        </w:rPr>
        <w:t>pēļu</w:t>
      </w:r>
      <w:r w:rsidR="005077CA">
        <w:rPr>
          <w:rFonts w:ascii="Times New Roman" w:hAnsi="Times New Roman"/>
          <w:bCs w:val="0"/>
          <w:sz w:val="28"/>
          <w:szCs w:val="28"/>
        </w:rPr>
        <w:t xml:space="preserve"> un rekreācijas</w:t>
      </w:r>
      <w:r w:rsidR="002C15E1">
        <w:rPr>
          <w:rFonts w:ascii="Times New Roman" w:hAnsi="Times New Roman"/>
          <w:bCs w:val="0"/>
          <w:sz w:val="28"/>
          <w:szCs w:val="28"/>
        </w:rPr>
        <w:t xml:space="preserve"> laukum</w:t>
      </w:r>
      <w:r w:rsidR="00873630">
        <w:rPr>
          <w:rFonts w:ascii="Times New Roman" w:hAnsi="Times New Roman"/>
          <w:bCs w:val="0"/>
          <w:sz w:val="28"/>
          <w:szCs w:val="28"/>
        </w:rPr>
        <w:t>u drošuma noteikumi</w:t>
      </w:r>
      <w:bookmarkStart w:id="0" w:name="_GoBack"/>
      <w:bookmarkEnd w:id="0"/>
      <w:r w:rsidRPr="00736C80">
        <w:rPr>
          <w:rFonts w:ascii="Times New Roman" w:hAnsi="Times New Roman"/>
          <w:sz w:val="28"/>
          <w:szCs w:val="28"/>
        </w:rPr>
        <w:t>”</w:t>
      </w:r>
    </w:p>
    <w:p w14:paraId="481A18A9" w14:textId="77777777" w:rsidR="00A322A9" w:rsidRPr="00736C80" w:rsidRDefault="00A322A9" w:rsidP="00A322A9">
      <w:pPr>
        <w:jc w:val="center"/>
        <w:rPr>
          <w:b/>
          <w:sz w:val="28"/>
          <w:szCs w:val="28"/>
        </w:rPr>
      </w:pPr>
      <w:r w:rsidRPr="00736C80">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36C80">
          <w:rPr>
            <w:b/>
            <w:sz w:val="28"/>
            <w:szCs w:val="28"/>
          </w:rPr>
          <w:t>ziņojums</w:t>
        </w:r>
      </w:smartTag>
      <w:r w:rsidRPr="00736C80">
        <w:rPr>
          <w:b/>
          <w:sz w:val="28"/>
          <w:szCs w:val="28"/>
        </w:rPr>
        <w:t xml:space="preserve"> (anotācija)</w:t>
      </w:r>
    </w:p>
    <w:p w14:paraId="0DCF51A9" w14:textId="77777777" w:rsidR="00B70BD4" w:rsidRPr="00ED7893" w:rsidRDefault="00B70BD4" w:rsidP="00B70BD4">
      <w:pPr>
        <w:pStyle w:val="naislab"/>
        <w:spacing w:before="0" w:after="0"/>
        <w:ind w:right="-99"/>
        <w:jc w:val="center"/>
        <w:outlineLvl w:val="0"/>
        <w:rPr>
          <w: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89"/>
        <w:gridCol w:w="4928"/>
      </w:tblGrid>
      <w:tr w:rsidR="00B70BD4" w:rsidRPr="00ED7893" w14:paraId="7108F41B" w14:textId="77777777" w:rsidTr="009335A0">
        <w:tc>
          <w:tcPr>
            <w:tcW w:w="8217" w:type="dxa"/>
            <w:gridSpan w:val="2"/>
            <w:tcBorders>
              <w:top w:val="single" w:sz="4" w:space="0" w:color="auto"/>
              <w:left w:val="single" w:sz="4" w:space="0" w:color="auto"/>
              <w:bottom w:val="single" w:sz="4" w:space="0" w:color="auto"/>
              <w:right w:val="single" w:sz="4" w:space="0" w:color="auto"/>
            </w:tcBorders>
          </w:tcPr>
          <w:p w14:paraId="657C6A5A" w14:textId="77777777" w:rsidR="00B70BD4" w:rsidRPr="00ED7893" w:rsidRDefault="00B70BD4" w:rsidP="00F3767B">
            <w:pPr>
              <w:pStyle w:val="naisnod"/>
              <w:spacing w:before="0" w:after="0"/>
              <w:ind w:left="57" w:right="-99"/>
            </w:pPr>
            <w:r w:rsidRPr="00ED7893">
              <w:t>Tiesību akta projekta anotācijas kopsavilkums</w:t>
            </w:r>
          </w:p>
        </w:tc>
      </w:tr>
      <w:tr w:rsidR="00B70BD4" w:rsidRPr="00ED7893" w14:paraId="172888B7" w14:textId="77777777" w:rsidTr="009335A0">
        <w:trPr>
          <w:trHeight w:val="427"/>
        </w:trPr>
        <w:tc>
          <w:tcPr>
            <w:tcW w:w="3289" w:type="dxa"/>
            <w:tcBorders>
              <w:top w:val="single" w:sz="4" w:space="0" w:color="auto"/>
              <w:left w:val="single" w:sz="4" w:space="0" w:color="auto"/>
              <w:bottom w:val="single" w:sz="4" w:space="0" w:color="auto"/>
              <w:right w:val="single" w:sz="4" w:space="0" w:color="auto"/>
            </w:tcBorders>
          </w:tcPr>
          <w:p w14:paraId="7F89A1D9" w14:textId="483A8C34" w:rsidR="00B70BD4" w:rsidRPr="00ED7893" w:rsidRDefault="00B70BD4" w:rsidP="00F3767B">
            <w:pPr>
              <w:pStyle w:val="naisf"/>
              <w:spacing w:before="0" w:after="0"/>
              <w:ind w:left="57" w:right="-99" w:firstLine="0"/>
              <w:jc w:val="left"/>
            </w:pPr>
            <w:r w:rsidRPr="00ED7893">
              <w:t>Mērķis, risinājums un projekta spēkā stāšanās laiks</w:t>
            </w:r>
          </w:p>
        </w:tc>
        <w:tc>
          <w:tcPr>
            <w:tcW w:w="4928" w:type="dxa"/>
            <w:tcBorders>
              <w:top w:val="single" w:sz="4" w:space="0" w:color="auto"/>
              <w:left w:val="single" w:sz="4" w:space="0" w:color="auto"/>
              <w:bottom w:val="single" w:sz="4" w:space="0" w:color="auto"/>
              <w:right w:val="single" w:sz="4" w:space="0" w:color="auto"/>
            </w:tcBorders>
          </w:tcPr>
          <w:p w14:paraId="378391C4" w14:textId="77777777" w:rsidR="005077CA" w:rsidRDefault="005077CA" w:rsidP="005077CA">
            <w:pPr>
              <w:spacing w:before="20" w:after="20"/>
              <w:jc w:val="both"/>
            </w:pPr>
            <w:r w:rsidRPr="00947959">
              <w:t>Noteikumu projekt</w:t>
            </w:r>
            <w:r>
              <w:t>a</w:t>
            </w:r>
            <w:r w:rsidRPr="00994DF3">
              <w:t xml:space="preserve"> mērķis ir </w:t>
            </w:r>
            <w:r>
              <w:t xml:space="preserve">noteikt speciālās drošuma prasības spēļu vai citu aktivitāšu iekārtām, laukumiem un to novērtēšanas kārtību. </w:t>
            </w:r>
          </w:p>
          <w:p w14:paraId="4D7BE9CA" w14:textId="77777777" w:rsidR="005077CA" w:rsidRDefault="005077CA" w:rsidP="005077CA">
            <w:pPr>
              <w:spacing w:before="20" w:after="20"/>
              <w:jc w:val="both"/>
            </w:pPr>
            <w:r>
              <w:t>Noteikumu projektā ietvertas prasības iekārtas vai laukuma ražotājam, importētājam vai izplatītājam, obligāti veicamajām pēcuzstādīšanas pārbaudēm, laukumu reģistrācijai, uzturēšanai un uzraudzības pasākumiem, konkrēti pienākumi un atbildība laukumu īpašniekiem, tiesiskajiem valdītājiem, kas veicinās jau lietošanā esošo, kā arī jaunu laukumu drošumu un uzturēšanu.</w:t>
            </w:r>
          </w:p>
          <w:p w14:paraId="5E12ED5A" w14:textId="56539B21" w:rsidR="00B70BD4" w:rsidRPr="005077CA" w:rsidRDefault="005077CA" w:rsidP="00C64774">
            <w:r>
              <w:t>Spēkā stāšanās laiks – nākamajā dienā pēc izsludināšanas.</w:t>
            </w:r>
          </w:p>
        </w:tc>
      </w:tr>
    </w:tbl>
    <w:p w14:paraId="091180FE" w14:textId="77777777" w:rsidR="00B70BD4" w:rsidRPr="00ED7893" w:rsidRDefault="00B70BD4" w:rsidP="00B70BD4">
      <w:pPr>
        <w:pStyle w:val="naislab"/>
        <w:spacing w:before="0" w:after="0"/>
        <w:ind w:right="-99"/>
        <w:jc w:val="center"/>
        <w:outlineLvl w:val="0"/>
        <w:rPr>
          <w:b/>
        </w:rPr>
      </w:pPr>
    </w:p>
    <w:p w14:paraId="2C30DF2A" w14:textId="77777777" w:rsidR="00A322A9" w:rsidRPr="00736C80" w:rsidRDefault="00A322A9" w:rsidP="00A322A9">
      <w:pP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949"/>
        <w:gridCol w:w="5782"/>
      </w:tblGrid>
      <w:tr w:rsidR="00A322A9" w:rsidRPr="00FB41DC" w14:paraId="70F253D6" w14:textId="77777777" w:rsidTr="008F23E6">
        <w:tc>
          <w:tcPr>
            <w:tcW w:w="9252" w:type="dxa"/>
            <w:gridSpan w:val="3"/>
          </w:tcPr>
          <w:p w14:paraId="69EE2AF1" w14:textId="77777777" w:rsidR="00A322A9" w:rsidRPr="00FB41DC" w:rsidRDefault="00A322A9" w:rsidP="008F23E6">
            <w:pPr>
              <w:jc w:val="center"/>
              <w:rPr>
                <w:b/>
              </w:rPr>
            </w:pPr>
            <w:r w:rsidRPr="00FB41DC">
              <w:rPr>
                <w:b/>
              </w:rPr>
              <w:t>I. Tiesību akta projekta izstrādes nepieciešamība</w:t>
            </w:r>
          </w:p>
        </w:tc>
      </w:tr>
      <w:tr w:rsidR="00A322A9" w:rsidRPr="0062273E" w14:paraId="5C88735F" w14:textId="77777777" w:rsidTr="008F23E6">
        <w:tc>
          <w:tcPr>
            <w:tcW w:w="720" w:type="dxa"/>
          </w:tcPr>
          <w:p w14:paraId="1B87355A" w14:textId="77777777" w:rsidR="00A322A9" w:rsidRPr="0062273E" w:rsidRDefault="00A322A9" w:rsidP="008F23E6">
            <w:pPr>
              <w:jc w:val="center"/>
            </w:pPr>
            <w:r w:rsidRPr="0062273E">
              <w:t>1.</w:t>
            </w:r>
          </w:p>
        </w:tc>
        <w:tc>
          <w:tcPr>
            <w:tcW w:w="1574" w:type="dxa"/>
          </w:tcPr>
          <w:p w14:paraId="2D1673DF" w14:textId="77777777" w:rsidR="00A322A9" w:rsidRPr="0062273E" w:rsidRDefault="00A322A9" w:rsidP="008F23E6">
            <w:r w:rsidRPr="0062273E">
              <w:t>Pamatojums</w:t>
            </w:r>
          </w:p>
        </w:tc>
        <w:tc>
          <w:tcPr>
            <w:tcW w:w="6958" w:type="dxa"/>
          </w:tcPr>
          <w:p w14:paraId="5C288579" w14:textId="4DEC5592" w:rsidR="00647AC8" w:rsidRDefault="00647AC8" w:rsidP="00647AC8">
            <w:pPr>
              <w:pStyle w:val="naisf"/>
              <w:spacing w:before="0" w:after="0"/>
              <w:ind w:left="70" w:firstLine="0"/>
            </w:pPr>
            <w:r>
              <w:t>N</w:t>
            </w:r>
            <w:r w:rsidR="00C64774">
              <w:t>oteikumu projekts</w:t>
            </w:r>
            <w:r>
              <w:t xml:space="preserve"> ir </w:t>
            </w:r>
            <w:r w:rsidR="00F329C4" w:rsidRPr="00C80099">
              <w:t xml:space="preserve">izstrādāts pēc Ekonomikas ministrijas un Patērētāju tiesību aizsardzības centra </w:t>
            </w:r>
            <w:r w:rsidR="00B0355A">
              <w:t xml:space="preserve">(turpmāk – PTAC) </w:t>
            </w:r>
            <w:r w:rsidR="00F329C4" w:rsidRPr="00C80099">
              <w:t xml:space="preserve">iniciatīvas, lai novērstu </w:t>
            </w:r>
            <w:r w:rsidR="00F329C4">
              <w:t xml:space="preserve">bērnu spēļu iekārtu un spēļu laukumu </w:t>
            </w:r>
            <w:r w:rsidR="00F329C4" w:rsidRPr="00C80099">
              <w:t xml:space="preserve">radīto </w:t>
            </w:r>
            <w:r w:rsidR="00EE2B8C">
              <w:t xml:space="preserve">cilvēka </w:t>
            </w:r>
            <w:r w:rsidR="00F329C4">
              <w:t>ievainojumu un traumu risku</w:t>
            </w:r>
            <w:r w:rsidR="00F329C4" w:rsidRPr="00C80099">
              <w:t>.</w:t>
            </w:r>
          </w:p>
          <w:p w14:paraId="0E0718C3" w14:textId="3B63E9B5" w:rsidR="00A322A9" w:rsidRPr="005077CA" w:rsidRDefault="002D4002" w:rsidP="00647AC8">
            <w:pPr>
              <w:pStyle w:val="naisf"/>
              <w:spacing w:before="0" w:after="0"/>
              <w:ind w:left="70" w:firstLine="0"/>
            </w:pPr>
            <w:r>
              <w:t>N</w:t>
            </w:r>
            <w:r w:rsidR="00A322A9">
              <w:t>oteikumu projekts ir iz</w:t>
            </w:r>
            <w:r w:rsidR="00647AC8">
              <w:t>strādā</w:t>
            </w:r>
            <w:r w:rsidR="00A322A9">
              <w:t xml:space="preserve">ts saskaņā ar </w:t>
            </w:r>
            <w:r w:rsidR="00736C80">
              <w:t>Preču un pakalpojumu drošuma likuma 8.</w:t>
            </w:r>
            <w:r w:rsidR="00736C80" w:rsidRPr="00736C80">
              <w:rPr>
                <w:vertAlign w:val="superscript"/>
              </w:rPr>
              <w:t>1</w:t>
            </w:r>
            <w:r w:rsidR="00736C80">
              <w:t xml:space="preserve"> pant</w:t>
            </w:r>
            <w:r w:rsidR="001A6AA0">
              <w:t>u</w:t>
            </w:r>
            <w:r w:rsidR="005077CA">
              <w:t xml:space="preserve">, kā </w:t>
            </w:r>
            <w:r w:rsidR="005077CA" w:rsidRPr="005077CA">
              <w:t xml:space="preserve">arī </w:t>
            </w:r>
            <w:r w:rsidR="005077CA" w:rsidRPr="005077CA">
              <w:rPr>
                <w:iCs/>
              </w:rPr>
              <w:t>likuma "</w:t>
            </w:r>
            <w:hyperlink r:id="rId8" w:tgtFrame="_blank" w:history="1">
              <w:r w:rsidR="005077CA" w:rsidRPr="005077CA">
                <w:rPr>
                  <w:rStyle w:val="Hyperlink"/>
                  <w:iCs/>
                  <w:color w:val="auto"/>
                  <w:u w:val="none"/>
                </w:rPr>
                <w:t>Par atbilstības novērtēšanu</w:t>
              </w:r>
            </w:hyperlink>
            <w:r w:rsidR="005077CA" w:rsidRPr="005077CA">
              <w:rPr>
                <w:iCs/>
              </w:rPr>
              <w:t>"</w:t>
            </w:r>
            <w:r w:rsidR="00F12B1D">
              <w:rPr>
                <w:iCs/>
              </w:rPr>
              <w:t xml:space="preserve"> 7. panta otro daļu.</w:t>
            </w:r>
            <w:r w:rsidR="00F12B1D" w:rsidRPr="005077CA">
              <w:t xml:space="preserve"> </w:t>
            </w:r>
          </w:p>
          <w:p w14:paraId="414DB0E7" w14:textId="240633E1" w:rsidR="00F329C4" w:rsidRPr="00F12B1D" w:rsidRDefault="00F12B1D" w:rsidP="00736C80">
            <w:pPr>
              <w:jc w:val="both"/>
              <w:rPr>
                <w:sz w:val="22"/>
              </w:rPr>
            </w:pPr>
            <w:r w:rsidRPr="00F12B1D">
              <w:t>Preču un pakalpojumu drošuma likuma 8.</w:t>
            </w:r>
            <w:r w:rsidRPr="00F12B1D">
              <w:rPr>
                <w:vertAlign w:val="superscript"/>
              </w:rPr>
              <w:t>1</w:t>
            </w:r>
            <w:r w:rsidRPr="00F12B1D">
              <w:t xml:space="preserve"> pantā paredzētais pilnvarojums Ministru kabinetam pilnībā ir izpildīts ar Ministru kabineta 2014. gada 9. decembra noteikumiem Nr. 755 “Gāzes balonu aprites, uzraudzības un kontroles kārtība”</w:t>
            </w:r>
            <w:r>
              <w:t>.</w:t>
            </w:r>
          </w:p>
        </w:tc>
      </w:tr>
      <w:tr w:rsidR="00A322A9" w:rsidRPr="00FB41DC" w14:paraId="48DF34DF" w14:textId="77777777" w:rsidTr="008F23E6">
        <w:tc>
          <w:tcPr>
            <w:tcW w:w="720" w:type="dxa"/>
          </w:tcPr>
          <w:p w14:paraId="79BEDB1A" w14:textId="77777777" w:rsidR="00A322A9" w:rsidRPr="00FB41DC" w:rsidRDefault="00A322A9" w:rsidP="008F23E6">
            <w:pPr>
              <w:jc w:val="center"/>
            </w:pPr>
            <w:r w:rsidRPr="00FB41DC">
              <w:t>2.</w:t>
            </w:r>
          </w:p>
        </w:tc>
        <w:tc>
          <w:tcPr>
            <w:tcW w:w="1574" w:type="dxa"/>
          </w:tcPr>
          <w:p w14:paraId="7A559ABA" w14:textId="77777777" w:rsidR="00A322A9" w:rsidRDefault="00A322A9" w:rsidP="008F23E6">
            <w:r w:rsidRPr="00FB41DC">
              <w:t>Pašreizējā situācija un problēmas</w:t>
            </w:r>
            <w:r w:rsidR="00423603">
              <w:t>, kuru risināšanai tiesību akta</w:t>
            </w:r>
            <w:r>
              <w:t xml:space="preserve"> projekts izstrādāts, tiesiskā regulējuma mērķis un būtība</w:t>
            </w:r>
          </w:p>
          <w:p w14:paraId="6A7B8D06" w14:textId="77777777" w:rsidR="004721A1" w:rsidRDefault="004721A1" w:rsidP="008F23E6"/>
          <w:p w14:paraId="048942BA" w14:textId="77777777" w:rsidR="00E84432" w:rsidRPr="00E84432" w:rsidRDefault="00E84432" w:rsidP="00E84432"/>
          <w:p w14:paraId="20622AF3" w14:textId="77777777" w:rsidR="00E84432" w:rsidRPr="00E84432" w:rsidRDefault="00E84432" w:rsidP="00E84432"/>
          <w:p w14:paraId="05721D9D" w14:textId="7F820398" w:rsidR="00E84432" w:rsidRDefault="00E84432" w:rsidP="00E84432"/>
          <w:p w14:paraId="39D0CA7E" w14:textId="77777777" w:rsidR="004C1E93" w:rsidRPr="004C1E93" w:rsidRDefault="004C1E93" w:rsidP="004C1E93"/>
          <w:p w14:paraId="51F6AE1A" w14:textId="77777777" w:rsidR="004C1E93" w:rsidRPr="004C1E93" w:rsidRDefault="004C1E93" w:rsidP="004C1E93"/>
          <w:p w14:paraId="6C0A6D48" w14:textId="77777777" w:rsidR="004C1E93" w:rsidRPr="004C1E93" w:rsidRDefault="004C1E93" w:rsidP="004C1E93"/>
          <w:p w14:paraId="13820D89" w14:textId="77777777" w:rsidR="004C1E93" w:rsidRPr="004C1E93" w:rsidRDefault="004C1E93" w:rsidP="004C1E93"/>
          <w:p w14:paraId="7A570C83" w14:textId="77777777" w:rsidR="004C1E93" w:rsidRPr="004C1E93" w:rsidRDefault="004C1E93" w:rsidP="004C1E93"/>
          <w:p w14:paraId="08E4C6B4" w14:textId="77777777" w:rsidR="004C1E93" w:rsidRPr="004C1E93" w:rsidRDefault="004C1E93" w:rsidP="004C1E93"/>
          <w:p w14:paraId="12CBAAF1" w14:textId="77777777" w:rsidR="004C1E93" w:rsidRPr="004C1E93" w:rsidRDefault="004C1E93" w:rsidP="004C1E93"/>
          <w:p w14:paraId="375C8885" w14:textId="77777777" w:rsidR="004C1E93" w:rsidRPr="004C1E93" w:rsidRDefault="004C1E93" w:rsidP="004C1E93"/>
          <w:p w14:paraId="2303D63E" w14:textId="77777777" w:rsidR="004C1E93" w:rsidRPr="004C1E93" w:rsidRDefault="004C1E93" w:rsidP="004C1E93"/>
          <w:p w14:paraId="77344A80" w14:textId="77777777" w:rsidR="004C1E93" w:rsidRPr="004C1E93" w:rsidRDefault="004C1E93" w:rsidP="004C1E93"/>
          <w:p w14:paraId="4D6B3628" w14:textId="77777777" w:rsidR="004C1E93" w:rsidRPr="004C1E93" w:rsidRDefault="004C1E93" w:rsidP="004C1E93"/>
          <w:p w14:paraId="0169ACF6" w14:textId="77777777" w:rsidR="004C1E93" w:rsidRPr="004C1E93" w:rsidRDefault="004C1E93" w:rsidP="004C1E93"/>
          <w:p w14:paraId="7F99D943" w14:textId="77777777" w:rsidR="00E84432" w:rsidRPr="00E84432" w:rsidRDefault="00E84432" w:rsidP="00E84432"/>
          <w:p w14:paraId="06D20DB7" w14:textId="77777777" w:rsidR="00E84432" w:rsidRPr="00E84432" w:rsidRDefault="00E84432" w:rsidP="00E84432"/>
          <w:p w14:paraId="118D4207" w14:textId="77777777" w:rsidR="00E84432" w:rsidRPr="00E84432" w:rsidRDefault="00E84432" w:rsidP="00E84432"/>
          <w:p w14:paraId="4C3A2071" w14:textId="663E01A2" w:rsidR="00E84432" w:rsidRDefault="00E84432" w:rsidP="00E84432"/>
          <w:p w14:paraId="73D189AD" w14:textId="77777777" w:rsidR="00E84432" w:rsidRPr="00E84432" w:rsidRDefault="00E84432" w:rsidP="00E84432"/>
          <w:p w14:paraId="22E27F65" w14:textId="77777777" w:rsidR="00E84432" w:rsidRPr="00E84432" w:rsidRDefault="00E84432" w:rsidP="00E84432"/>
          <w:p w14:paraId="0CC9682C" w14:textId="77777777" w:rsidR="00E84432" w:rsidRPr="00E84432" w:rsidRDefault="00E84432" w:rsidP="00E84432"/>
          <w:p w14:paraId="3878FB7C" w14:textId="77777777" w:rsidR="00E84432" w:rsidRPr="00E84432" w:rsidRDefault="00E84432" w:rsidP="00E84432"/>
          <w:p w14:paraId="03418C86" w14:textId="77777777" w:rsidR="00E84432" w:rsidRPr="00E84432" w:rsidRDefault="00E84432" w:rsidP="00E84432"/>
          <w:p w14:paraId="29E85B40" w14:textId="732ACE52" w:rsidR="00E84432" w:rsidRPr="00E84432" w:rsidRDefault="00E84432" w:rsidP="00E84432"/>
        </w:tc>
        <w:tc>
          <w:tcPr>
            <w:tcW w:w="6958" w:type="dxa"/>
          </w:tcPr>
          <w:p w14:paraId="520161D1" w14:textId="77777777" w:rsidR="0068388C" w:rsidRDefault="0068388C" w:rsidP="00312757">
            <w:pPr>
              <w:spacing w:before="20" w:after="20"/>
              <w:jc w:val="both"/>
              <w:rPr>
                <w:u w:val="single"/>
              </w:rPr>
            </w:pPr>
            <w:r w:rsidRPr="0068388C">
              <w:rPr>
                <w:u w:val="single"/>
              </w:rPr>
              <w:lastRenderedPageBreak/>
              <w:t>Tiesiskā regulējuma mērķis un būtība</w:t>
            </w:r>
          </w:p>
          <w:p w14:paraId="6FC1A6C4" w14:textId="77777777" w:rsidR="008277DF" w:rsidRDefault="00312757" w:rsidP="00312757">
            <w:pPr>
              <w:spacing w:before="20" w:after="20"/>
              <w:jc w:val="both"/>
            </w:pPr>
            <w:r>
              <w:t>Ekonomikas ministrija ir izstrādājusi Noteikumu projektu, jo p</w:t>
            </w:r>
            <w:r w:rsidR="001A6AA0">
              <w:t>ašreiz</w:t>
            </w:r>
            <w:r w:rsidR="00F178D9">
              <w:t xml:space="preserve"> normatīvie </w:t>
            </w:r>
            <w:r w:rsidR="00F178D9" w:rsidRPr="00544AC6">
              <w:t>akti ne</w:t>
            </w:r>
            <w:r w:rsidR="001A6AA0" w:rsidRPr="00544AC6">
              <w:t xml:space="preserve">paredz konkrētas drošuma prasības </w:t>
            </w:r>
            <w:r w:rsidR="00EC61E0" w:rsidRPr="00544AC6">
              <w:t xml:space="preserve">publiskai lietošanai </w:t>
            </w:r>
            <w:r w:rsidR="005077CA">
              <w:t>paredzētu</w:t>
            </w:r>
            <w:r w:rsidR="00F178D9" w:rsidRPr="00544AC6">
              <w:t xml:space="preserve"> spēļu</w:t>
            </w:r>
            <w:r w:rsidR="00985C3F" w:rsidRPr="00544AC6">
              <w:t xml:space="preserve"> vai citu aktivitāšu</w:t>
            </w:r>
            <w:r w:rsidR="00F178D9" w:rsidRPr="00544AC6">
              <w:t xml:space="preserve"> iekārtām</w:t>
            </w:r>
            <w:r w:rsidR="00544AC6" w:rsidRPr="00544AC6">
              <w:t>, aprīkojumam</w:t>
            </w:r>
            <w:r w:rsidR="00F178D9" w:rsidRPr="00544AC6">
              <w:t xml:space="preserve"> </w:t>
            </w:r>
            <w:r w:rsidR="00544AC6" w:rsidRPr="00544AC6">
              <w:t>(turpmāk –  spēļu vai citu aktivitāšu iekārtas)</w:t>
            </w:r>
            <w:r w:rsidR="00544AC6">
              <w:t xml:space="preserve"> </w:t>
            </w:r>
            <w:r w:rsidR="00F178D9" w:rsidRPr="00544AC6">
              <w:t>un spēļu</w:t>
            </w:r>
            <w:r w:rsidR="00F178D9">
              <w:t xml:space="preserve"> laukumiem.</w:t>
            </w:r>
          </w:p>
          <w:p w14:paraId="1A127847" w14:textId="51EEA77E" w:rsidR="00312757" w:rsidRDefault="007B538F" w:rsidP="00312757">
            <w:pPr>
              <w:spacing w:before="20" w:after="20"/>
              <w:jc w:val="both"/>
            </w:pPr>
            <w:r>
              <w:t>Saskaņā ar Preču un pakalpojumu drošuma likuma 5. un 6. pantu prece (</w:t>
            </w:r>
            <w:r w:rsidRPr="00544AC6">
              <w:t>spēļu vai citu aktivitāšu iekārta</w:t>
            </w:r>
            <w:r>
              <w:t>) un pakalpojums (</w:t>
            </w:r>
            <w:r w:rsidRPr="00544AC6">
              <w:t>spēļu vai citu aktivitāšu iekārta</w:t>
            </w:r>
            <w:r>
              <w:t>s piedāvāšana lietošanai pēc tās uzstādīšanas laukumā)</w:t>
            </w:r>
            <w:r w:rsidR="00493227">
              <w:t xml:space="preserve"> </w:t>
            </w:r>
            <w:r>
              <w:t xml:space="preserve">ir uzskatāms par drošu, ja tas nerada risku vai rada tādu minimālu risku, kurš uzskatāms par pieļaujamu un atbilst augstam drošuma, cilvēka dzīvības, veselības un personas </w:t>
            </w:r>
            <w:r>
              <w:lastRenderedPageBreak/>
              <w:t>mantas, kā arī vides aizsardzības līmenim.</w:t>
            </w:r>
            <w:r w:rsidR="002023BF">
              <w:t xml:space="preserve"> </w:t>
            </w:r>
            <w:r w:rsidR="00977062">
              <w:t>No minētā izriet, ka šādu preču vai pakalpojumu drošumu var nodrošināt</w:t>
            </w:r>
            <w:r w:rsidR="00FB3928">
              <w:t>,</w:t>
            </w:r>
            <w:r w:rsidR="00977062">
              <w:t xml:space="preserve"> gan novēršot to radīto risku, gan arī mazinot šādu risku, ja riska pilnīga novēršana nav iespējama. Tāpat riska novēršana vai attiecīgi tā mazināšana var izpausties gan konkrētu prasību ievērošanā pirms prece tiek saražota vai laista tirgū vai attiecīgi </w:t>
            </w:r>
            <w:r w:rsidR="00653669">
              <w:t xml:space="preserve">pirms pakalpojuma piedāvāšanas uzsākšanas, gan arī tas var izpausties konkrētu pasākumu veikšanā, lai novērstu vai arī mazinātu risku, kas ir pieļauts preci ražojot vai laižot tirgū vai attiecīgi sagatavojot pakalpojumu vai jau piedāvājot to. Tā kā preces vai pakalpojuma drošuma nodrošināšanā nav viennozīmīgi nodalāma </w:t>
            </w:r>
            <w:r w:rsidR="007D2885">
              <w:t xml:space="preserve">prasību ievērošana no veicamiem pasākumiem riska novēŗšanai vai mazināšanai, kā arī nav nodalāma riska novēršana no riska mazināšanas, jo, piemēram, veicot identiskus pasākumus, vienā gadījumā risku var novērst pilnībā, bet citā – vienīgi mazināt risku, tad Noteikumu projekts aptver vienkopus gan speciālās prasības, gan veicamos pasākumus riska novēršanai, gan arī riska mazināšanai. </w:t>
            </w:r>
            <w:r w:rsidR="00305185">
              <w:t xml:space="preserve">Noteikumu projekts tā II nodaļā aptver </w:t>
            </w:r>
            <w:r w:rsidR="003540A1">
              <w:t xml:space="preserve">speciālās </w:t>
            </w:r>
            <w:r w:rsidR="00305185">
              <w:t xml:space="preserve">drošuma prasības un veicamos pasākumus riska novēršanai un mazināšanai, kas attiecināmas gan uz </w:t>
            </w:r>
            <w:r w:rsidR="00305185" w:rsidRPr="00544AC6">
              <w:t>spēļu vai citu aktivitāšu iekārt</w:t>
            </w:r>
            <w:r w:rsidR="00305185">
              <w:t xml:space="preserve">u ražotājiem, importētājiem un izplatītājiem, gan uz spēļu un rekreācijas laukumu īpašniekiem un tiesiskajiem valdītājiem, kuri šādas iekārtas uzstāda laukumos un piedāvā publiskai lietošanai. Savukārt III nodaļā ir </w:t>
            </w:r>
            <w:r w:rsidR="00564E94">
              <w:t>noteikti katram no minētajiem tirgus dalībniekiem konkrēti pienākumi attiecībā uz ievērojamām prasībām un veicamajiem pasākumiem. Noteikumu IV un V nodaļa ir attiecināma uz spēļu un rekreācijas laukumu īpašniekiem un tiesiskajiem valdītājiem un skar šādu laukumu piedāvāšanas kārtību un ar to saistītos veicamos pasākumus.</w:t>
            </w:r>
          </w:p>
          <w:p w14:paraId="519CFE1B" w14:textId="3DC903B0" w:rsidR="00BF2AD3" w:rsidRDefault="00312757" w:rsidP="00EC65E8">
            <w:pPr>
              <w:spacing w:before="20" w:after="20"/>
              <w:jc w:val="both"/>
            </w:pPr>
            <w:r w:rsidRPr="00DB34CD">
              <w:t>Noteikumu projektā ietvertas obligātās drošuma prasības</w:t>
            </w:r>
            <w:r w:rsidR="00BF2AD3" w:rsidRPr="00DB34CD">
              <w:t xml:space="preserve"> attiecībā uz spēļu </w:t>
            </w:r>
            <w:r w:rsidR="00985C3F" w:rsidRPr="00DB34CD">
              <w:t xml:space="preserve">vai citu aktivitāšu </w:t>
            </w:r>
            <w:r w:rsidR="00BF2AD3" w:rsidRPr="00DB34CD">
              <w:t>iekārtas vai spēļu laukuma ražotāja</w:t>
            </w:r>
            <w:r w:rsidR="009C35A2" w:rsidRPr="00DB34CD">
              <w:t>, importētāja</w:t>
            </w:r>
            <w:r w:rsidR="002D4002" w:rsidRPr="00DB34CD">
              <w:t xml:space="preserve"> vai </w:t>
            </w:r>
            <w:r w:rsidR="009C35A2" w:rsidRPr="00DB34CD">
              <w:t>izplatītāja</w:t>
            </w:r>
            <w:r w:rsidR="00BF2AD3" w:rsidRPr="00DB34CD">
              <w:t xml:space="preserve"> pienākumiem, </w:t>
            </w:r>
            <w:r w:rsidR="00985C3F" w:rsidRPr="00DB34CD">
              <w:t xml:space="preserve">spēļu vai citu aktivitāšu iekārtas vai spēļu laukuma īpašnieka vai tiesiskā valdītāja (turpmāk – valdītājs) </w:t>
            </w:r>
            <w:r w:rsidR="00BF2AD3" w:rsidRPr="00DB34CD">
              <w:t xml:space="preserve">obligāti veicamajām pēcuzstādīšanas pārbaudēm, </w:t>
            </w:r>
            <w:r w:rsidR="00085BC2" w:rsidRPr="00DB34CD">
              <w:t xml:space="preserve">spēļu laukumu reģistrāciju, </w:t>
            </w:r>
            <w:r w:rsidR="00985C3F" w:rsidRPr="00DB34CD">
              <w:t>to</w:t>
            </w:r>
            <w:r w:rsidR="00BF2AD3" w:rsidRPr="00DB34CD">
              <w:t xml:space="preserve"> apkopi (</w:t>
            </w:r>
            <w:r w:rsidR="009C35A2" w:rsidRPr="00DB34CD">
              <w:t>uzturē</w:t>
            </w:r>
            <w:r w:rsidR="00BF2AD3" w:rsidRPr="00DB34CD">
              <w:t>šanu)</w:t>
            </w:r>
            <w:r w:rsidR="00374AD8" w:rsidRPr="00DB34CD">
              <w:t xml:space="preserve"> </w:t>
            </w:r>
            <w:r w:rsidR="00BF2AD3" w:rsidRPr="00DB34CD">
              <w:t xml:space="preserve">un uzraudzības pasākumiem. </w:t>
            </w:r>
            <w:r w:rsidR="009041A6" w:rsidRPr="00DB34CD">
              <w:t xml:space="preserve">Spēļu laukumu uzturēšana pamatā ietver to uzturēšanu drošas lietošanas kārtībā, bet zināmā mērā skar arī sanitāro un higiēnas </w:t>
            </w:r>
            <w:r w:rsidR="00E84432" w:rsidRPr="00DB34CD">
              <w:t>apstākļu</w:t>
            </w:r>
            <w:r w:rsidR="009041A6" w:rsidRPr="00DB34CD">
              <w:t xml:space="preserve"> jeb tīrības uzturēšanu spēļu laukumos, kas var ietekmēt arī to drošumu</w:t>
            </w:r>
            <w:r w:rsidR="00240B57" w:rsidRPr="00DB34CD">
              <w:t>, un tas nozīmē, ka</w:t>
            </w:r>
            <w:r w:rsidR="00222E2D" w:rsidRPr="00DB34CD">
              <w:t xml:space="preserve"> valdītājam ir regulāri  jānodrošina tīrība laukuma teritorijā, lai panāktu atbilstošus higiēnas un sanitāros apstākļus (piemēram, ierīkojot atkritumu urnas, nodrošinot to izvešanu; mainot smiltis smilšukastē u.c.).</w:t>
            </w:r>
            <w:r w:rsidR="00DB34CD" w:rsidRPr="00DB34CD">
              <w:t xml:space="preserve"> Kaut arī Noteikumu projektā nav noteiktas obligātās prasības izveidot laukuma lietošanas </w:t>
            </w:r>
            <w:r w:rsidR="00DB34CD" w:rsidRPr="00DB34CD">
              <w:lastRenderedPageBreak/>
              <w:t xml:space="preserve">noteikumus, noteikumu projekts neaizliedz </w:t>
            </w:r>
            <w:r w:rsidR="00DB34CD">
              <w:t xml:space="preserve">spēļu laukuma valdītājam </w:t>
            </w:r>
            <w:r w:rsidR="00DB34CD" w:rsidRPr="00DB34CD">
              <w:t xml:space="preserve">tādus izveidot un darīt zināmus sabiedrībai, nosakot laukumu lietotāju pienākumus un aizliegumus, </w:t>
            </w:r>
            <w:r w:rsidR="00DB34CD">
              <w:t>veicinot</w:t>
            </w:r>
            <w:r w:rsidR="00DB34CD" w:rsidRPr="00DB34CD">
              <w:t xml:space="preserve"> veselības un drošības apdraudējumu</w:t>
            </w:r>
            <w:r w:rsidR="00DB34CD">
              <w:t xml:space="preserve"> novēršanu,</w:t>
            </w:r>
            <w:r w:rsidR="00DB34CD" w:rsidRPr="00DB34CD">
              <w:t> </w:t>
            </w:r>
            <w:r w:rsidR="00DB34CD">
              <w:t>p</w:t>
            </w:r>
            <w:r w:rsidR="00DB34CD" w:rsidRPr="00DB34CD">
              <w:t>iemēram, nosakot, ka laukums un iekārtas jālieto atbilstoši to mērķim, tīši nebojājot iekārtas, ka alkohola lietošana un atrašanās spēļu un rekreācijas laukumā alkohola, narkotisko vai psihotropo vielu ietekmē ir aizliegta u.c</w:t>
            </w:r>
            <w:r w:rsidR="00DB34CD">
              <w:t xml:space="preserve"> Noteikumu projekts šādu noteikumu izvietošanu neizvirza kā obligātu prasību, jo šādi laukumu lietotāju pienākumi izriet no citiem normatīvajiem aktiem, turklāt šādu noteikumu izvietošana var vērst uzmanību uz spēļu laukumā iespējams pastāvošajiem riskiem, bet nav uzskatāma par spēļu laukumā iespējams esošu risku novēršanu.</w:t>
            </w:r>
          </w:p>
          <w:p w14:paraId="639F59FE" w14:textId="223FD2B2" w:rsidR="00FA2EEF" w:rsidRPr="00FA2EEF" w:rsidRDefault="00FA2EEF" w:rsidP="00EC65E8">
            <w:pPr>
              <w:spacing w:before="20" w:after="20"/>
              <w:jc w:val="both"/>
            </w:pPr>
            <w:r>
              <w:t>Noteikumu projekts citastarp paredz, ka, i</w:t>
            </w:r>
            <w:r w:rsidRPr="00FA2EEF">
              <w:t xml:space="preserve">zvēloties </w:t>
            </w:r>
            <w:r>
              <w:t xml:space="preserve">spēļu vai citu aktivitāšu </w:t>
            </w:r>
            <w:r w:rsidRPr="00FA2EEF">
              <w:t>iekārtu vai laukuma izvietojuma vietu</w:t>
            </w:r>
            <w:r>
              <w:t>,</w:t>
            </w:r>
            <w:r w:rsidRPr="00FA2EEF">
              <w:t xml:space="preserve"> ir jāņem vērā gan drošības zonas, gan jānovērš </w:t>
            </w:r>
            <w:r>
              <w:t xml:space="preserve">vai jāmazina </w:t>
            </w:r>
            <w:r w:rsidRPr="00FA2EEF">
              <w:t>vides riski (tas ietver arī tuvumā esošas ūdenstilpnes, nogāzes, ielas utt.) un jāizvēlas veicamie pasākumi, lai nodrošinātu drošu laukuma lietošanu, piemēram, neradīt</w:t>
            </w:r>
            <w:r>
              <w:t>u</w:t>
            </w:r>
            <w:r w:rsidRPr="00FA2EEF">
              <w:t xml:space="preserve"> cilvēku ūdenī iekrišanas riskus</w:t>
            </w:r>
          </w:p>
          <w:p w14:paraId="32E73FF5" w14:textId="28F51D1D" w:rsidR="00121808" w:rsidRDefault="00121808" w:rsidP="00EC65E8">
            <w:pPr>
              <w:spacing w:before="20" w:after="20"/>
              <w:jc w:val="both"/>
            </w:pPr>
            <w:r>
              <w:t xml:space="preserve">Noteikumu projekts paredz, ka pirms spēļu </w:t>
            </w:r>
            <w:r w:rsidR="00985C3F">
              <w:t xml:space="preserve">vai citu aktivitāšu iekārtas </w:t>
            </w:r>
            <w:r>
              <w:t>laišanas tirgū ražotājs veic iekārtas atbilstības novērtēšanu (iekšējā ražošanas kontrole), kas ietver konkrētas prasības attiecībā uz iekārtas</w:t>
            </w:r>
            <w:r w:rsidR="009F1964">
              <w:t xml:space="preserve"> marķēšanu un </w:t>
            </w:r>
            <w:r>
              <w:t>tehnisko dokumentāciju</w:t>
            </w:r>
            <w:r w:rsidR="009F1964">
              <w:t>, kurā</w:t>
            </w:r>
            <w:r w:rsidR="009F1964" w:rsidRPr="009F1964">
              <w:t xml:space="preserve"> ietver</w:t>
            </w:r>
            <w:r w:rsidR="009F1964">
              <w:t>ami</w:t>
            </w:r>
            <w:r w:rsidR="009F1964" w:rsidRPr="009F1964">
              <w:t xml:space="preserve"> visi dati vai norādes par līdzekļiem, kurus ražotājs izmantojis, lai nodrošinātu </w:t>
            </w:r>
            <w:r w:rsidR="009F1964">
              <w:t>iekārtas</w:t>
            </w:r>
            <w:r w:rsidR="009F1964" w:rsidRPr="009F1964">
              <w:t xml:space="preserve"> atbilstību būtiskajām drošuma prasībām</w:t>
            </w:r>
            <w:r>
              <w:t>.</w:t>
            </w:r>
            <w:r w:rsidR="00F12CA9">
              <w:t xml:space="preserve"> Noteikumu projekts paredz, ka šādu prasību izpildi nodrošina arī importētājs, savukārt izplatītājs pārliecinās, ka tās ir izpildītas.</w:t>
            </w:r>
            <w:r w:rsidR="009041A6">
              <w:t xml:space="preserve"> Lai PTAC būtu iespēja pilnvērtīgi veikt uzraudzību un pārliecināties par </w:t>
            </w:r>
            <w:r w:rsidR="004B24F6">
              <w:t>prasību izpildi, Noteikumu projekts paredz pienākumu saglabāt tehnisko dokumentāciju 10 gadus pēc spēļu vai citu aktivitāšu iekārtas laišanas tirgū, kas ir vidējais šādu iekārtu kalpošanas laiks un ir termiņš, kas izriet arī no citiem nacionālajiem un Eiropas Savienības tiesību aktiem preču drošuma un atbilstības jomā.</w:t>
            </w:r>
          </w:p>
          <w:p w14:paraId="77DF8F49" w14:textId="4195C622" w:rsidR="007A293A" w:rsidRDefault="00121808" w:rsidP="00EC65E8">
            <w:pPr>
              <w:spacing w:before="20" w:after="20"/>
              <w:jc w:val="both"/>
            </w:pPr>
            <w:r>
              <w:t>Tāpat Noteikumu projektā ietv</w:t>
            </w:r>
            <w:r w:rsidR="000D04C4">
              <w:t>e</w:t>
            </w:r>
            <w:r>
              <w:t>rtas</w:t>
            </w:r>
            <w:r w:rsidR="000D04C4">
              <w:t xml:space="preserve"> </w:t>
            </w:r>
            <w:r w:rsidR="00F12CA9">
              <w:t xml:space="preserve">prasības publisko spēļu laukumu valdītājiem </w:t>
            </w:r>
            <w:r w:rsidR="000D04C4">
              <w:t xml:space="preserve">attiecībā uz </w:t>
            </w:r>
            <w:r>
              <w:t xml:space="preserve"> obligāt</w:t>
            </w:r>
            <w:r w:rsidR="000D04C4">
              <w:t>i veicamajām</w:t>
            </w:r>
            <w:r>
              <w:t xml:space="preserve">  </w:t>
            </w:r>
            <w:r w:rsidR="000D04C4">
              <w:t xml:space="preserve">pēcuzstādīšanas pārbaudēm un apkopes </w:t>
            </w:r>
            <w:r w:rsidR="00085BC2">
              <w:t xml:space="preserve">jeb uzturēšanas </w:t>
            </w:r>
            <w:r w:rsidR="000D04C4">
              <w:t xml:space="preserve">programmām. </w:t>
            </w:r>
            <w:r w:rsidR="00F12CA9">
              <w:t>Noteikumu projekts paredz, ka p</w:t>
            </w:r>
            <w:r w:rsidR="00F12CA9" w:rsidRPr="00F12CA9">
              <w:t>ublisko spēļu laukumu un tajos uzstādīto spēļu vai citu aktivitāšu iekārtu pēcuzstādīšanas pārbaudi veic Nacionālajā akreditācijas institūcijā akreditēt</w:t>
            </w:r>
            <w:r w:rsidR="00985C3F">
              <w:t>s pārbaudes veicējs</w:t>
            </w:r>
            <w:r w:rsidR="007A293A">
              <w:t xml:space="preserve"> – juridiska persona vai šādas akreditētas institūcijas sertificēts inspektors</w:t>
            </w:r>
            <w:r w:rsidR="00E84432">
              <w:t xml:space="preserve">, savukārt pārējās Noteikumu projektā paredzētās pārbaudes </w:t>
            </w:r>
            <w:r w:rsidR="00E84432" w:rsidRPr="00DC34FD">
              <w:rPr>
                <w:sz w:val="22"/>
                <w:szCs w:val="22"/>
              </w:rPr>
              <w:t xml:space="preserve">var veikt jebkura </w:t>
            </w:r>
            <w:r w:rsidR="00E84432" w:rsidRPr="00DC34FD">
              <w:rPr>
                <w:sz w:val="22"/>
                <w:szCs w:val="22"/>
              </w:rPr>
              <w:lastRenderedPageBreak/>
              <w:t>persona pēc valdītāja ieskatiem</w:t>
            </w:r>
            <w:r w:rsidR="00C669EF">
              <w:t xml:space="preserve">. Noteikumu projektā minēto uzraudzību </w:t>
            </w:r>
            <w:r w:rsidR="00C669EF" w:rsidRPr="00C669EF">
              <w:t xml:space="preserve">veic </w:t>
            </w:r>
            <w:r w:rsidR="00985C3F">
              <w:t>PTAC</w:t>
            </w:r>
            <w:r w:rsidR="00C669EF" w:rsidRPr="00C669EF">
              <w:t xml:space="preserve">. </w:t>
            </w:r>
          </w:p>
          <w:p w14:paraId="119B3994" w14:textId="0BEB3D66" w:rsidR="00943603" w:rsidRPr="00C669EF" w:rsidRDefault="007A293A" w:rsidP="00EC65E8">
            <w:pPr>
              <w:spacing w:before="20" w:after="20"/>
              <w:jc w:val="both"/>
            </w:pPr>
            <w:r>
              <w:t>Spēļu laukumu reģistrāciju paredzēts ieviest, lai padarītu efektīvāku PTAC veikto uzraudzību</w:t>
            </w:r>
            <w:r w:rsidR="00E84432">
              <w:t xml:space="preserve">, lai, pašiem valdītājiem iesniedzot datus par spēļu laukumiem, PTAC rīcībā nonāktu precīza informācija </w:t>
            </w:r>
            <w:r w:rsidR="00615089">
              <w:t>gan par pašu spēļu laukumu, gan par personu, kas uzņēmusies atbildību par šādu laukumu</w:t>
            </w:r>
            <w:r>
              <w:t xml:space="preserve">. </w:t>
            </w:r>
            <w:r w:rsidR="003D201B">
              <w:t xml:space="preserve">Reģistrs būs publiski pieejams un zināmā mērā varēs kalpot arī spēļu laukumu lietotājiem, lai uzzinātu, kādi laukumi ir pieejami un </w:t>
            </w:r>
            <w:r w:rsidR="005E2A37">
              <w:t>vai viņu lietotais konkrētais laukums arī ir reģistrēts un tādējādi no PTAC puses kontrolēts</w:t>
            </w:r>
            <w:r w:rsidR="003D201B">
              <w:t xml:space="preserve">. </w:t>
            </w:r>
            <w:r>
              <w:t xml:space="preserve">Konstatējot nereģistrētu spēļu laukumu, PTAC </w:t>
            </w:r>
            <w:r w:rsidR="00CB210B">
              <w:t>vei</w:t>
            </w:r>
            <w:r w:rsidR="002D4433">
              <w:t>ks</w:t>
            </w:r>
            <w:r w:rsidR="00CB210B">
              <w:t xml:space="preserve"> atzīmi reģistrā par šādu laukumu PTAC konstatētajā datu apjomā, lai PTAC rīcībā būtu pilnīgāka </w:t>
            </w:r>
            <w:r w:rsidR="000B5E58">
              <w:t>datubāze</w:t>
            </w:r>
            <w:r w:rsidR="00CB210B">
              <w:t xml:space="preserve"> par uzraugāmajiem laukumiem – pat ja tie n</w:t>
            </w:r>
            <w:r w:rsidR="002D4433">
              <w:t>ebūs</w:t>
            </w:r>
            <w:r w:rsidR="00CB210B">
              <w:t xml:space="preserve"> vēl reģistrēti. Šādus laukumus PTAC </w:t>
            </w:r>
            <w:r>
              <w:t>attiecīgajam valdītājam uzdo</w:t>
            </w:r>
            <w:r w:rsidR="000B5E58">
              <w:t>s</w:t>
            </w:r>
            <w:r>
              <w:t xml:space="preserve"> reģistrēt,</w:t>
            </w:r>
            <w:r w:rsidR="000B5E58">
              <w:t xml:space="preserve"> norādot pieteikumā pilnīgu informāciju par to,</w:t>
            </w:r>
            <w:r>
              <w:t xml:space="preserve"> bet, ja valdītājs tomēr to nevei</w:t>
            </w:r>
            <w:r w:rsidR="002D4433">
              <w:t>ks</w:t>
            </w:r>
            <w:r>
              <w:t xml:space="preserve">, tad </w:t>
            </w:r>
            <w:r w:rsidR="00615089">
              <w:t xml:space="preserve">attiecīgos apstākļos </w:t>
            </w:r>
            <w:r w:rsidR="003D201B">
              <w:t>tas var liecināt par atbildības neuzņemšanos par spēļu laukuma uzturēšanu un</w:t>
            </w:r>
            <w:r w:rsidR="000B5E58">
              <w:t xml:space="preserve">, ja, piemēram, </w:t>
            </w:r>
            <w:r w:rsidR="002D4433">
              <w:t>vienlaikus šādā laukumā tiek konstatēta nepieciešamība</w:t>
            </w:r>
            <w:r w:rsidR="003D201B">
              <w:t xml:space="preserve"> vei</w:t>
            </w:r>
            <w:r w:rsidR="002D4433">
              <w:t>kt</w:t>
            </w:r>
            <w:r w:rsidR="003D201B">
              <w:t xml:space="preserve"> korektīvā</w:t>
            </w:r>
            <w:r w:rsidR="002D4433">
              <w:t>s</w:t>
            </w:r>
            <w:r w:rsidR="003D201B">
              <w:t xml:space="preserve"> darbīb</w:t>
            </w:r>
            <w:r w:rsidR="002D4433">
              <w:t>as</w:t>
            </w:r>
            <w:r w:rsidR="003D201B">
              <w:t xml:space="preserve"> riska novēršanai,</w:t>
            </w:r>
            <w:r w:rsidR="002D4433">
              <w:t xml:space="preserve"> bet PTAC trūkst informācijas par laukumu un tajā esošajām iekārtām, lai pilnvērtīgi organizētu trūkumu novēršanu,</w:t>
            </w:r>
            <w:r w:rsidR="003D201B">
              <w:t xml:space="preserve"> </w:t>
            </w:r>
            <w:r w:rsidR="002D4433">
              <w:t>tad</w:t>
            </w:r>
            <w:r w:rsidR="003D201B">
              <w:t xml:space="preserve"> PTAC var attiecīgi </w:t>
            </w:r>
            <w:r w:rsidR="003D201B" w:rsidRPr="003D201B">
              <w:t>pieņemt lēmumu atbilstoši normatīvajiem aktiem par preču un pakalpojumu drošumu, aizliedzot spēļu vai citu aktivitāšu iekārtas lietošanu un publiskā spēļu un rekreācijas laukuma piedāvāšanu lietošanai</w:t>
            </w:r>
            <w:r w:rsidR="002D4433">
              <w:t>, kamēr netiek izpildītas visas prasības</w:t>
            </w:r>
            <w:r w:rsidR="003D201B">
              <w:t xml:space="preserve">. </w:t>
            </w:r>
          </w:p>
          <w:p w14:paraId="6C893C9E" w14:textId="4382B047" w:rsidR="00C669EF" w:rsidRPr="00C669EF" w:rsidRDefault="004417A2" w:rsidP="00EC65E8">
            <w:pPr>
              <w:spacing w:before="20" w:after="20"/>
              <w:jc w:val="both"/>
            </w:pPr>
            <w:r w:rsidRPr="00C669EF">
              <w:t xml:space="preserve">Noteikumu projektā ir ietverti </w:t>
            </w:r>
            <w:r w:rsidR="00FE46D8">
              <w:t>noslēguma</w:t>
            </w:r>
            <w:r w:rsidR="00FE46D8" w:rsidRPr="00122A8E">
              <w:t xml:space="preserve"> </w:t>
            </w:r>
            <w:r w:rsidR="00FE46D8">
              <w:t>jautāj</w:t>
            </w:r>
            <w:r w:rsidR="00FE46D8" w:rsidRPr="00122A8E">
              <w:t>umi</w:t>
            </w:r>
            <w:r w:rsidRPr="00C669EF">
              <w:t>, kuros noteikts</w:t>
            </w:r>
            <w:r w:rsidR="00C669EF" w:rsidRPr="00C669EF">
              <w:t xml:space="preserve"> </w:t>
            </w:r>
            <w:r w:rsidR="007A293A">
              <w:t>astoņpadsmit</w:t>
            </w:r>
            <w:r w:rsidR="00090BEB">
              <w:t xml:space="preserve"> </w:t>
            </w:r>
            <w:r w:rsidR="00960B42">
              <w:t>mēnešu periods</w:t>
            </w:r>
            <w:r w:rsidR="00C669EF" w:rsidRPr="00C669EF">
              <w:t xml:space="preserve">, </w:t>
            </w:r>
            <w:r w:rsidR="00960B42">
              <w:t xml:space="preserve">kura laikā </w:t>
            </w:r>
            <w:r w:rsidR="00C669EF" w:rsidRPr="00C669EF">
              <w:t xml:space="preserve">visiem </w:t>
            </w:r>
            <w:r w:rsidR="007C7F61">
              <w:t>jau pirms t</w:t>
            </w:r>
            <w:r w:rsidR="007F60F1">
              <w:t>o</w:t>
            </w:r>
            <w:r w:rsidR="007C7F61">
              <w:t xml:space="preserve"> stāšanās spēkā uzstādīto </w:t>
            </w:r>
            <w:r w:rsidR="00C669EF" w:rsidRPr="00C669EF">
              <w:t xml:space="preserve">spēļu laukumu valdītājiem jānodrošina </w:t>
            </w:r>
            <w:r w:rsidR="00FE46D8">
              <w:t>spēļu laukuma</w:t>
            </w:r>
            <w:r w:rsidR="00947CDA">
              <w:t xml:space="preserve"> </w:t>
            </w:r>
            <w:r w:rsidR="007C7F61">
              <w:t>riska novērtējums, kā arī jāveic spēļu laukum</w:t>
            </w:r>
            <w:r w:rsidR="00FE46D8">
              <w:t>a</w:t>
            </w:r>
            <w:r w:rsidR="007C7F61">
              <w:t xml:space="preserve"> reģistrācija</w:t>
            </w:r>
            <w:r w:rsidR="00947CDA">
              <w:t>.</w:t>
            </w:r>
            <w:r w:rsidR="00C669EF" w:rsidRPr="00C669EF">
              <w:t xml:space="preserve"> </w:t>
            </w:r>
          </w:p>
          <w:p w14:paraId="71DFBFC4" w14:textId="77777777" w:rsidR="00C669EF" w:rsidRDefault="00C669EF" w:rsidP="00EC65E8">
            <w:pPr>
              <w:spacing w:before="20" w:after="20"/>
              <w:jc w:val="both"/>
              <w:rPr>
                <w:u w:val="single"/>
              </w:rPr>
            </w:pPr>
          </w:p>
          <w:p w14:paraId="6EA34166" w14:textId="77777777" w:rsidR="006252C0" w:rsidRDefault="006252C0" w:rsidP="00EC65E8">
            <w:pPr>
              <w:spacing w:before="20" w:after="20"/>
              <w:jc w:val="both"/>
              <w:rPr>
                <w:u w:val="single"/>
              </w:rPr>
            </w:pPr>
            <w:r w:rsidRPr="006252C0">
              <w:rPr>
                <w:u w:val="single"/>
              </w:rPr>
              <w:t>Problēmas raksturojums</w:t>
            </w:r>
          </w:p>
          <w:p w14:paraId="0810D819" w14:textId="743AAA37" w:rsidR="009D612B" w:rsidRDefault="00546575" w:rsidP="00C90E64">
            <w:pPr>
              <w:spacing w:before="20" w:after="20"/>
              <w:jc w:val="both"/>
            </w:pPr>
            <w:r>
              <w:t>Uz bērnu spēļu laukum</w:t>
            </w:r>
            <w:r w:rsidR="00FE46D8">
              <w:t>iem</w:t>
            </w:r>
            <w:r>
              <w:t xml:space="preserve"> </w:t>
            </w:r>
            <w:r w:rsidR="00FE46D8">
              <w:t xml:space="preserve">un spēļu vai citu aktivitāšu iekārtām </w:t>
            </w:r>
            <w:r>
              <w:t xml:space="preserve">attiecas Preču un pakalpojumu drošuma likums, kurā iekļautas tiesību normas, kas izriet no </w:t>
            </w:r>
            <w:r w:rsidRPr="001C7E5D">
              <w:t>Eiropas Parlamenta un Padomes Direktīvas 2001/95/EK (2001.gada 3.decembris)</w:t>
            </w:r>
            <w:r>
              <w:t xml:space="preserve"> par produktu vispārēju drošību.</w:t>
            </w:r>
            <w:r w:rsidR="00911191">
              <w:t xml:space="preserve"> Tiesību normas ir vispārīgas un neparedz konkrētas prasības attiecībā uz preces ražošanu, uzstādīšanu un </w:t>
            </w:r>
            <w:r w:rsidR="009B67BC">
              <w:t>apkopi jeb uzturēšanu</w:t>
            </w:r>
            <w:r w:rsidR="00911191">
              <w:t xml:space="preserve">. </w:t>
            </w:r>
          </w:p>
          <w:p w14:paraId="4A5C801E" w14:textId="09A0FC71" w:rsidR="00CC5DB8" w:rsidRPr="00D00F73" w:rsidRDefault="002D4002" w:rsidP="009D612B">
            <w:pPr>
              <w:spacing w:before="20" w:after="20"/>
              <w:jc w:val="both"/>
            </w:pPr>
            <w:r>
              <w:t>Šobrīd, l</w:t>
            </w:r>
            <w:r w:rsidR="00304C08">
              <w:t>ai nodrošinātu drošu vidi spēļu</w:t>
            </w:r>
            <w:r w:rsidR="002B5574">
              <w:t xml:space="preserve"> laukumos, samazinātu risku, aizsargājot bērnus no </w:t>
            </w:r>
            <w:r>
              <w:t>iespējamām traumām</w:t>
            </w:r>
            <w:r w:rsidR="002B5574">
              <w:t>,</w:t>
            </w:r>
            <w:r w:rsidR="00304C08">
              <w:t xml:space="preserve">  </w:t>
            </w:r>
            <w:r w:rsidR="00CC5DB8">
              <w:t xml:space="preserve">PTAC </w:t>
            </w:r>
            <w:r w:rsidR="000E5233">
              <w:t>spē</w:t>
            </w:r>
            <w:r w:rsidR="00CC5DB8">
              <w:t xml:space="preserve">ļu </w:t>
            </w:r>
            <w:r w:rsidR="00FE46D8">
              <w:t xml:space="preserve">vai citu aktivitāšu </w:t>
            </w:r>
            <w:r w:rsidR="00CC5DB8">
              <w:t xml:space="preserve">iekārtu </w:t>
            </w:r>
            <w:r w:rsidR="00FE46D8">
              <w:t>un</w:t>
            </w:r>
            <w:r w:rsidR="00CC5DB8">
              <w:t xml:space="preserve"> </w:t>
            </w:r>
            <w:r w:rsidR="000E5233">
              <w:t>spē</w:t>
            </w:r>
            <w:r w:rsidR="00CC5DB8">
              <w:t>ļu laukumu ražotājiem</w:t>
            </w:r>
            <w:r w:rsidR="000E5233">
              <w:t>,</w:t>
            </w:r>
            <w:r w:rsidR="00CC5DB8">
              <w:t xml:space="preserve"> </w:t>
            </w:r>
            <w:r w:rsidR="000E5233">
              <w:t xml:space="preserve">importētājiem </w:t>
            </w:r>
            <w:r w:rsidR="00CC5DB8">
              <w:t xml:space="preserve">vai to </w:t>
            </w:r>
            <w:r w:rsidR="000E5233">
              <w:t>izplatītājiem</w:t>
            </w:r>
            <w:r w:rsidR="00CC5DB8">
              <w:t xml:space="preserve">, kā </w:t>
            </w:r>
            <w:r w:rsidR="00CC5DB8">
              <w:lastRenderedPageBreak/>
              <w:t xml:space="preserve">arī pašvaldībām </w:t>
            </w:r>
            <w:r w:rsidR="00B0355A">
              <w:t>organizē tikšanās</w:t>
            </w:r>
            <w:r w:rsidR="00CC5DB8">
              <w:t xml:space="preserve"> un konsultē par </w:t>
            </w:r>
            <w:r w:rsidR="00304C08">
              <w:t>vispārīgām drošuma prasībām bērnu spēļu laukumos</w:t>
            </w:r>
            <w:r w:rsidR="00B0355A" w:rsidRPr="00D00F73">
              <w:t xml:space="preserve">. </w:t>
            </w:r>
            <w:r w:rsidR="00CC5DB8" w:rsidRPr="00D00F73">
              <w:t xml:space="preserve">Tāpat </w:t>
            </w:r>
            <w:r>
              <w:t xml:space="preserve">ražotājiem un </w:t>
            </w:r>
            <w:r w:rsidR="000E5233">
              <w:t xml:space="preserve">spēļu </w:t>
            </w:r>
            <w:r>
              <w:t xml:space="preserve">laukumu apsaimniekotājiem </w:t>
            </w:r>
            <w:r w:rsidR="00CC5DB8" w:rsidRPr="00D00F73">
              <w:t xml:space="preserve">kopš </w:t>
            </w:r>
            <w:r w:rsidR="00B0355A" w:rsidRPr="00D00F73">
              <w:t>2013.</w:t>
            </w:r>
            <w:r w:rsidR="000E5233">
              <w:t> </w:t>
            </w:r>
            <w:r w:rsidR="00B0355A" w:rsidRPr="00D00F73">
              <w:t xml:space="preserve">gada </w:t>
            </w:r>
            <w:r w:rsidR="00CC5DB8" w:rsidRPr="00D00F73">
              <w:t xml:space="preserve">ir pieejamas PTAC </w:t>
            </w:r>
            <w:r w:rsidR="00B0355A" w:rsidRPr="00D00F73">
              <w:t>izstrādātās Vadlīnijas bērnu spēļu laukumu valdītājiem/ apsaimniekotājiem par drošuma prasībām bērnu spēļu laukumiem publiskai lietošanai</w:t>
            </w:r>
            <w:r w:rsidR="00CC5DB8" w:rsidRPr="00D00F73">
              <w:t>, kurās ietvertas:</w:t>
            </w:r>
          </w:p>
          <w:p w14:paraId="7217F9A2" w14:textId="18844027" w:rsidR="00CC5DB8" w:rsidRPr="00951FB3" w:rsidRDefault="003D188F" w:rsidP="00CC5DB8">
            <w:pPr>
              <w:pStyle w:val="ListParagraph"/>
              <w:numPr>
                <w:ilvl w:val="0"/>
                <w:numId w:val="3"/>
              </w:numPr>
              <w:spacing w:before="20" w:after="20"/>
              <w:jc w:val="both"/>
              <w:rPr>
                <w:rFonts w:ascii="Times New Roman" w:hAnsi="Times New Roman"/>
                <w:sz w:val="24"/>
                <w:szCs w:val="24"/>
                <w:lang w:val="lv-LV"/>
              </w:rPr>
            </w:pPr>
            <w:r>
              <w:rPr>
                <w:rFonts w:ascii="Times New Roman" w:hAnsi="Times New Roman"/>
                <w:sz w:val="24"/>
                <w:szCs w:val="24"/>
                <w:lang w:val="lv-LV"/>
              </w:rPr>
              <w:t>p</w:t>
            </w:r>
            <w:r w:rsidR="00CC5DB8" w:rsidRPr="00951FB3">
              <w:rPr>
                <w:rFonts w:ascii="Times New Roman" w:hAnsi="Times New Roman"/>
                <w:sz w:val="24"/>
                <w:szCs w:val="24"/>
                <w:lang w:val="lv-LV"/>
              </w:rPr>
              <w:t xml:space="preserve">rasības spēļu </w:t>
            </w:r>
            <w:r w:rsidR="00FE46D8">
              <w:rPr>
                <w:rFonts w:ascii="Times New Roman" w:hAnsi="Times New Roman"/>
                <w:sz w:val="24"/>
                <w:szCs w:val="24"/>
                <w:lang w:val="lv-LV"/>
              </w:rPr>
              <w:t xml:space="preserve">vai citu aktivitāšu </w:t>
            </w:r>
            <w:r w:rsidR="00CC5DB8" w:rsidRPr="00951FB3">
              <w:rPr>
                <w:rFonts w:ascii="Times New Roman" w:hAnsi="Times New Roman"/>
                <w:sz w:val="24"/>
                <w:szCs w:val="24"/>
                <w:lang w:val="lv-LV"/>
              </w:rPr>
              <w:t>iekārtām (vispārīgās un speciālās),</w:t>
            </w:r>
          </w:p>
          <w:p w14:paraId="352558F5" w14:textId="19A1891C" w:rsidR="00CC5DB8" w:rsidRPr="00D00F73" w:rsidRDefault="003D188F" w:rsidP="00CC5DB8">
            <w:pPr>
              <w:pStyle w:val="ListParagraph"/>
              <w:numPr>
                <w:ilvl w:val="0"/>
                <w:numId w:val="3"/>
              </w:numPr>
              <w:spacing w:before="20" w:after="20"/>
              <w:jc w:val="both"/>
              <w:rPr>
                <w:rFonts w:ascii="Times New Roman" w:hAnsi="Times New Roman"/>
                <w:sz w:val="24"/>
                <w:szCs w:val="24"/>
              </w:rPr>
            </w:pPr>
            <w:r>
              <w:rPr>
                <w:rFonts w:ascii="Times New Roman" w:hAnsi="Times New Roman"/>
                <w:sz w:val="24"/>
                <w:szCs w:val="24"/>
              </w:rPr>
              <w:t>projektēšan</w:t>
            </w:r>
            <w:r w:rsidR="00CC5DB8" w:rsidRPr="00D00F73">
              <w:rPr>
                <w:rFonts w:ascii="Times New Roman" w:hAnsi="Times New Roman"/>
                <w:sz w:val="24"/>
                <w:szCs w:val="24"/>
              </w:rPr>
              <w:t>as nosacījumi (iekārtu izvietojums, pārklājums, papildu elementi),</w:t>
            </w:r>
          </w:p>
          <w:p w14:paraId="08432402" w14:textId="054A3318" w:rsidR="00CC5DB8" w:rsidRPr="00D00F73" w:rsidRDefault="003D188F" w:rsidP="00CC5DB8">
            <w:pPr>
              <w:pStyle w:val="ListParagraph"/>
              <w:numPr>
                <w:ilvl w:val="0"/>
                <w:numId w:val="3"/>
              </w:numPr>
              <w:spacing w:before="20" w:after="20"/>
              <w:jc w:val="both"/>
              <w:rPr>
                <w:rFonts w:ascii="Times New Roman" w:hAnsi="Times New Roman"/>
                <w:sz w:val="24"/>
                <w:szCs w:val="24"/>
              </w:rPr>
            </w:pPr>
            <w:r>
              <w:rPr>
                <w:rFonts w:ascii="Times New Roman" w:hAnsi="Times New Roman"/>
                <w:sz w:val="24"/>
                <w:szCs w:val="24"/>
              </w:rPr>
              <w:t>u</w:t>
            </w:r>
            <w:r w:rsidR="00CC5DB8" w:rsidRPr="00D00F73">
              <w:rPr>
                <w:rFonts w:ascii="Times New Roman" w:hAnsi="Times New Roman"/>
                <w:sz w:val="24"/>
                <w:szCs w:val="24"/>
              </w:rPr>
              <w:t>zstādīšanas prasības.</w:t>
            </w:r>
          </w:p>
          <w:p w14:paraId="7AB06712" w14:textId="5B728CB7" w:rsidR="00981E86" w:rsidRDefault="00CC5DB8" w:rsidP="00CC5DB8">
            <w:pPr>
              <w:spacing w:before="20" w:after="20"/>
              <w:jc w:val="both"/>
            </w:pPr>
            <w:r w:rsidRPr="00D00F73">
              <w:t>T</w:t>
            </w:r>
            <w:r w:rsidR="007751F3">
              <w:t>urklāt</w:t>
            </w:r>
            <w:r w:rsidR="001D1569">
              <w:t xml:space="preserve"> </w:t>
            </w:r>
            <w:r w:rsidR="00885050">
              <w:t xml:space="preserve">spēļu </w:t>
            </w:r>
            <w:r w:rsidR="001D1569">
              <w:t xml:space="preserve">vai citu aktivitāšu </w:t>
            </w:r>
            <w:r w:rsidR="005A7D56">
              <w:t>iekārta</w:t>
            </w:r>
            <w:r w:rsidR="00885050">
              <w:t xml:space="preserve"> </w:t>
            </w:r>
            <w:r w:rsidR="001D1569">
              <w:t xml:space="preserve">vai spēļu laukums </w:t>
            </w:r>
            <w:r w:rsidR="00885050">
              <w:t xml:space="preserve">ir </w:t>
            </w:r>
            <w:r w:rsidR="005A7D56">
              <w:t>uzskatāms pa drošu</w:t>
            </w:r>
            <w:r w:rsidR="00885050">
              <w:t xml:space="preserve">, </w:t>
            </w:r>
            <w:r w:rsidR="005A7D56">
              <w:t>ja tas</w:t>
            </w:r>
            <w:r w:rsidR="00885050">
              <w:t xml:space="preserve"> atbilst</w:t>
            </w:r>
            <w:r w:rsidR="00841B92">
              <w:t xml:space="preserve"> drošuma prasībām, ko paredz</w:t>
            </w:r>
            <w:r w:rsidR="00981E86" w:rsidRPr="00D00F73">
              <w:t xml:space="preserve"> </w:t>
            </w:r>
            <w:r w:rsidR="00981E86" w:rsidRPr="005270F7">
              <w:t xml:space="preserve">Latvijas </w:t>
            </w:r>
            <w:r w:rsidR="00217553" w:rsidRPr="00217553">
              <w:t>Standarts LVS EN 1176-1:20</w:t>
            </w:r>
            <w:r w:rsidR="00217553">
              <w:t>1</w:t>
            </w:r>
            <w:r w:rsidR="00217553" w:rsidRPr="00217553">
              <w:t xml:space="preserve">8 „Spēļu laukumu aprīkojums un </w:t>
            </w:r>
            <w:r w:rsidR="00217553">
              <w:t>seg</w:t>
            </w:r>
            <w:r w:rsidR="00217553" w:rsidRPr="00217553">
              <w:t>ums. 1. daļa: Vispārīgās drošības prasības un testēšana”; Standarts LVS EN 1176-2:20</w:t>
            </w:r>
            <w:r w:rsidR="00217553">
              <w:t>1</w:t>
            </w:r>
            <w:r w:rsidR="00217553" w:rsidRPr="00217553">
              <w:t xml:space="preserve">8 „Spēļu laukumu aprīkojums un </w:t>
            </w:r>
            <w:r w:rsidR="00217553">
              <w:t>seg</w:t>
            </w:r>
            <w:r w:rsidR="00217553" w:rsidRPr="00217553">
              <w:t>ums. 2. daļa: Speciālās papildu drošības prasības šūpolēm un to testēšana”; Standarts LVS EN 1176-3:20</w:t>
            </w:r>
            <w:r w:rsidR="00217553">
              <w:t>1</w:t>
            </w:r>
            <w:r w:rsidR="00217553" w:rsidRPr="00217553">
              <w:t xml:space="preserve">8 „Spēļu laukumu aprīkojums un </w:t>
            </w:r>
            <w:r w:rsidR="00217553">
              <w:t>seg</w:t>
            </w:r>
            <w:r w:rsidR="00217553" w:rsidRPr="00217553">
              <w:t>ums. 3. daļa: Speciālās papildu drošības prasības slīdkalniņiem un to testēšana”; Standarts LVS EN 1176-4:20</w:t>
            </w:r>
            <w:r w:rsidR="00217553">
              <w:t>1</w:t>
            </w:r>
            <w:r w:rsidR="00217553" w:rsidRPr="00217553">
              <w:t>8 „Spēļu laukumu aprīkojums un pārklājums. 4. daļa: Speciālās papildu drošības prasības trošu ceļiem un to testēšana”; Standarts LVS EN 1176-5:2008 „Spēļu laukumu aprīkojums un pārklājums. 5. daļa: Speciālās papildu drošības prasības karuseļiem un to testēšana”; Standarts LVS EN 1176-6:20</w:t>
            </w:r>
            <w:r w:rsidR="00217553">
              <w:t>1</w:t>
            </w:r>
            <w:r w:rsidR="00217553" w:rsidRPr="00217553">
              <w:t xml:space="preserve">8 „Spēļu laukumu aprīkojums un </w:t>
            </w:r>
            <w:r w:rsidR="00217553">
              <w:t>seg</w:t>
            </w:r>
            <w:r w:rsidR="00217553" w:rsidRPr="00217553">
              <w:t>ums. 6. daļa: Speciālās papildu drošības prasības šūpošanās iekārtām un to testēšana”; Standarts LVS EN 1176-7:2008 „Spēļu laukumu aprīkojums un pārklājums. 7. daļa: Uzstādīšanas, pārbaudes, apkopes un ekspluatācijas norādījumi”; Standarts LVS EN 1176-10:2008 „Spēļu laukumu aprīkojums un pārklājums. 10. daļa: Speciālās papildu drošības prasības pilnīgi nožogotām rotaļu iekārtām un to testēšana”; Standarts LVS EN 1176-11:20</w:t>
            </w:r>
            <w:r w:rsidR="000768F5">
              <w:t>14</w:t>
            </w:r>
            <w:r w:rsidR="00217553" w:rsidRPr="00217553">
              <w:t xml:space="preserve"> „Spēļu laukumu aprīkojums un pārklājums. 11. daļa: Speciālās papildu drošības prasības telpiskiem tīklojumiem un to testēšana”</w:t>
            </w:r>
            <w:r w:rsidR="000768F5">
              <w:t>, kā arī</w:t>
            </w:r>
            <w:r w:rsidR="00981E86" w:rsidRPr="005270F7">
              <w:t xml:space="preserve"> </w:t>
            </w:r>
            <w:bookmarkStart w:id="1" w:name="_Hlk536792710"/>
            <w:r w:rsidR="00885050" w:rsidRPr="005270F7">
              <w:t>Standart</w:t>
            </w:r>
            <w:r w:rsidR="00217553">
              <w:t>s</w:t>
            </w:r>
            <w:r w:rsidR="00885050" w:rsidRPr="005270F7">
              <w:t xml:space="preserve"> </w:t>
            </w:r>
            <w:r w:rsidR="00981E86" w:rsidRPr="005270F7">
              <w:t xml:space="preserve">LVS </w:t>
            </w:r>
            <w:r w:rsidR="00F0442B" w:rsidRPr="005270F7">
              <w:t>E</w:t>
            </w:r>
            <w:r w:rsidR="00981E86" w:rsidRPr="005270F7">
              <w:t>N 1177</w:t>
            </w:r>
            <w:r w:rsidR="00C62B4F">
              <w:t>:20</w:t>
            </w:r>
            <w:r w:rsidR="00931E6F">
              <w:t>1</w:t>
            </w:r>
            <w:r w:rsidR="00C62B4F">
              <w:t>8</w:t>
            </w:r>
            <w:r w:rsidR="00981E86" w:rsidRPr="005270F7">
              <w:t xml:space="preserve"> “Triecienus slāpējošā spēļu laukumu virsmas. Kritiskā krišanas augstuma </w:t>
            </w:r>
            <w:r w:rsidR="00981E86" w:rsidRPr="00FE3EF3">
              <w:t>noteikšana</w:t>
            </w:r>
            <w:bookmarkEnd w:id="1"/>
            <w:r w:rsidR="00981E86" w:rsidRPr="00FE3EF3">
              <w:t>”</w:t>
            </w:r>
            <w:r w:rsidR="0021306B">
              <w:t xml:space="preserve"> (turpmāk – Standarti)</w:t>
            </w:r>
            <w:r w:rsidR="00304C08">
              <w:t>.</w:t>
            </w:r>
            <w:r w:rsidR="002A77B4">
              <w:t xml:space="preserve"> Jā</w:t>
            </w:r>
            <w:r w:rsidR="000E5233">
              <w:t>pie</w:t>
            </w:r>
            <w:r w:rsidR="002A77B4">
              <w:t>min, ka Standartu piemērošana ir brīvprātīga</w:t>
            </w:r>
            <w:r w:rsidR="00EE2B8C">
              <w:t xml:space="preserve"> un </w:t>
            </w:r>
            <w:r w:rsidR="007751F3">
              <w:t>k</w:t>
            </w:r>
            <w:r w:rsidR="002A77B4">
              <w:t xml:space="preserve">omersantam nav pienākums izmantot </w:t>
            </w:r>
            <w:r w:rsidR="00B63785">
              <w:t>S</w:t>
            </w:r>
            <w:r w:rsidR="002A77B4">
              <w:t>tandartu</w:t>
            </w:r>
            <w:r w:rsidR="00B63785">
              <w:t>s</w:t>
            </w:r>
            <w:r w:rsidR="002A77B4">
              <w:t>,</w:t>
            </w:r>
            <w:r w:rsidR="003D188F">
              <w:t xml:space="preserve"> tomēr</w:t>
            </w:r>
            <w:r w:rsidR="002A77B4">
              <w:t xml:space="preserve"> ir pienākums garantēt drošumu, </w:t>
            </w:r>
            <w:r w:rsidR="000E5233">
              <w:t>kura pakāpe nav zemāka par to, kāda</w:t>
            </w:r>
            <w:r w:rsidR="002A77B4">
              <w:t xml:space="preserve"> būtu sasniegt</w:t>
            </w:r>
            <w:r w:rsidR="000E5233">
              <w:t>a,</w:t>
            </w:r>
            <w:r w:rsidR="002A77B4">
              <w:t xml:space="preserve"> piemērojot </w:t>
            </w:r>
            <w:r w:rsidR="00B63785">
              <w:t>S</w:t>
            </w:r>
            <w:r w:rsidR="002A77B4">
              <w:t>tandartu</w:t>
            </w:r>
            <w:r w:rsidR="00B63785">
              <w:t>s</w:t>
            </w:r>
            <w:r w:rsidR="002A77B4">
              <w:t>.</w:t>
            </w:r>
          </w:p>
          <w:p w14:paraId="126AE9A8" w14:textId="77777777" w:rsidR="007751F3" w:rsidRDefault="007751F3" w:rsidP="00CC5DB8">
            <w:pPr>
              <w:spacing w:before="20" w:after="20"/>
              <w:jc w:val="both"/>
            </w:pPr>
          </w:p>
          <w:p w14:paraId="1172F8D9" w14:textId="4B51B53B" w:rsidR="00981E86" w:rsidRPr="008A3121" w:rsidRDefault="007751F3" w:rsidP="009D612B">
            <w:pPr>
              <w:spacing w:before="20" w:after="20"/>
              <w:jc w:val="both"/>
            </w:pPr>
            <w:r>
              <w:t>N</w:t>
            </w:r>
            <w:r w:rsidR="00981E86">
              <w:t xml:space="preserve">eskatoties uz </w:t>
            </w:r>
            <w:r w:rsidR="00981E86" w:rsidRPr="000768F5">
              <w:t xml:space="preserve">ražotājiem un laukumu uzturētājiem pieejamo informāciju, ik gadu PTAC konstatē </w:t>
            </w:r>
            <w:r w:rsidR="00981E86" w:rsidRPr="000768F5">
              <w:lastRenderedPageBreak/>
              <w:t xml:space="preserve">neatbilstošas spēļu iekārtas un ik gadu spēļu laukumos notiek nelaimes gadījumi saistībā ar drošuma prasībām neatbilstošām spēļu </w:t>
            </w:r>
            <w:r w:rsidR="000768F5">
              <w:t xml:space="preserve">vai citu aktivitāšu </w:t>
            </w:r>
            <w:r w:rsidR="00981E86" w:rsidRPr="000768F5">
              <w:t>iekārtām.</w:t>
            </w:r>
            <w:r w:rsidR="00FB3B73" w:rsidRPr="000768F5">
              <w:t xml:space="preserve"> Neatb</w:t>
            </w:r>
            <w:r w:rsidR="009B67BC" w:rsidRPr="000768F5">
              <w:t>ilstības un trūkumi galvenokārt</w:t>
            </w:r>
            <w:r w:rsidR="00FB3B73" w:rsidRPr="000768F5">
              <w:t xml:space="preserve"> ir saistīti ar  spēļu</w:t>
            </w:r>
            <w:r w:rsidR="00FB3B73">
              <w:t xml:space="preserve"> laukumu projektēšanu, virsmu pārklājumu nodrošināšanu, nepietiekamu spēļu laukumu uzturēšanas kārtību, nedrošu iekārtu uzstādīšanu, kā arī </w:t>
            </w:r>
            <w:r w:rsidR="00CC32EB" w:rsidRPr="008A3121">
              <w:t xml:space="preserve">ar to, ka </w:t>
            </w:r>
            <w:r w:rsidR="00FB3B73" w:rsidRPr="008A3121">
              <w:t xml:space="preserve">netiek veiktas pēcuzstādīšanas vai regulārās pārbaudes, spēļu </w:t>
            </w:r>
            <w:r w:rsidR="000768F5">
              <w:t xml:space="preserve">vai citu aktivitāšu </w:t>
            </w:r>
            <w:r w:rsidR="00FB3B73" w:rsidRPr="008A3121">
              <w:t>iekārtu apkopes, kā arī nevar konstatēt atbildīgo personu par spēļu laukumu uzturēšanu.</w:t>
            </w:r>
          </w:p>
          <w:p w14:paraId="505FA319" w14:textId="6EFAEA75" w:rsidR="009D612B" w:rsidRPr="008A3121" w:rsidRDefault="0010191F" w:rsidP="009D612B">
            <w:pPr>
              <w:spacing w:before="20" w:after="20"/>
              <w:jc w:val="both"/>
            </w:pPr>
            <w:r w:rsidRPr="008A3121">
              <w:t xml:space="preserve">PTAC </w:t>
            </w:r>
            <w:r w:rsidR="008507E8" w:rsidRPr="008A3121">
              <w:t>jau vairākus gadus veic pārbaudes spēļu laukumos.</w:t>
            </w:r>
          </w:p>
          <w:p w14:paraId="4950526F" w14:textId="617A2D93" w:rsidR="000F7C45" w:rsidRPr="00841B92" w:rsidRDefault="00841B92" w:rsidP="00841B92">
            <w:pPr>
              <w:spacing w:before="20" w:after="20"/>
              <w:jc w:val="both"/>
            </w:pPr>
            <w:r>
              <w:t xml:space="preserve">Diemžēl katru gadu pārbaužu rezultātos tiek konstatēts nesamērīgi augsts neatbilstību līmenis, kas potenciāli rada augstu traumatismu bērniem, par ko </w:t>
            </w:r>
            <w:r w:rsidRPr="00841B92">
              <w:t xml:space="preserve">atkārtoti brīdina bērnu ķirurgi. 2008. un 2010. gadā PTAC veica apsekojumus Rīgas un Jūrmalas spēļu laukumos. Attiecīgi 2010. gadā 80% gadījumu spēļu </w:t>
            </w:r>
            <w:r w:rsidR="000768F5">
              <w:t xml:space="preserve">vai citu aktivitāšu </w:t>
            </w:r>
            <w:r w:rsidRPr="00841B92">
              <w:t xml:space="preserve">iekārtas neatbilda drošuma prasībām un 45% gadījumos nav novērsti 2008. gadā konstatētie defekti. 2011. gadā tika veikti 118 apsekojumi, tika veiktas spēļu </w:t>
            </w:r>
            <w:r w:rsidR="000768F5">
              <w:t xml:space="preserve">vai citu aktivitāšu </w:t>
            </w:r>
            <w:r w:rsidRPr="00841B92">
              <w:t xml:space="preserve">iekārtu un spēļu laukumu dokumentācijas pārbaudes, kā arī pārbaudīta pamatinformācija par prasībām. 2014. un 2015. gadā kopā tika veiktas 186 pārbaudes (tai skaitā arī pirmsskolas izglītības iestādēs) un tika veikti 28 apsekojumi spēļu laukumos. Rezultātā pilnīgi visos gadījumos tika konstatētas drošuma prasībām neatbilstošas spēļu </w:t>
            </w:r>
            <w:r w:rsidR="000768F5">
              <w:t xml:space="preserve">vai citu aktivitāšu </w:t>
            </w:r>
            <w:r w:rsidRPr="00841B92">
              <w:t>iekārtas. Būtiskākās neatbilstības bija: neatbilstošs pārklājums 77% gadījumu, salauzti un bojāti elementi 61% gadījumu. 2017.gadā PTAC veica spē</w:t>
            </w:r>
            <w:r w:rsidR="000768F5">
              <w:t>ļ</w:t>
            </w:r>
            <w:r w:rsidRPr="00841B92">
              <w:t>u laukumu uzraudzību Eiropas Savienības kopprojekta ietvaros. Tika pārbaudīti 43 spēļu laukumi un visos tika konstatētas neatbilstības. Atkāroti būtiskākās no tām ir saistītas ar neatbilstošu pārklājumu 83% un bojātiem</w:t>
            </w:r>
            <w:r w:rsidR="000768F5">
              <w:t>,</w:t>
            </w:r>
            <w:r w:rsidRPr="00841B92">
              <w:t xml:space="preserve"> salauztiem elementiem 63% gadījumu</w:t>
            </w:r>
            <w:r w:rsidR="00BC63EC" w:rsidRPr="00841B92">
              <w:t>.</w:t>
            </w:r>
          </w:p>
          <w:p w14:paraId="457B3E81" w14:textId="04C84DC8" w:rsidR="001A6AA0" w:rsidRDefault="00792CFA" w:rsidP="00EC65E8">
            <w:pPr>
              <w:spacing w:before="20" w:after="20"/>
              <w:jc w:val="both"/>
            </w:pPr>
            <w:r w:rsidRPr="008A3121">
              <w:t xml:space="preserve">Jāatzīmē, ka </w:t>
            </w:r>
            <w:r w:rsidR="00885050" w:rsidRPr="008A3121">
              <w:t>Noteikum</w:t>
            </w:r>
            <w:r w:rsidR="00841B92">
              <w:t>u</w:t>
            </w:r>
            <w:r w:rsidR="00885050" w:rsidRPr="008A3121">
              <w:t xml:space="preserve"> </w:t>
            </w:r>
            <w:r w:rsidR="00885050" w:rsidRPr="00841B92">
              <w:t xml:space="preserve">projekta ietvaros </w:t>
            </w:r>
            <w:r w:rsidR="00AC4B0A" w:rsidRPr="00841B92">
              <w:t>spēļu</w:t>
            </w:r>
            <w:r w:rsidR="00841B92">
              <w:t xml:space="preserve"> vai citu aktivitāšu</w:t>
            </w:r>
            <w:r w:rsidR="00AC4B0A" w:rsidRPr="00841B92">
              <w:t xml:space="preserve"> </w:t>
            </w:r>
            <w:r w:rsidR="00A25DD6" w:rsidRPr="00841B92">
              <w:t xml:space="preserve">iekārtas un </w:t>
            </w:r>
            <w:r w:rsidR="00AC4B0A" w:rsidRPr="00841B92">
              <w:t>laukumi ir uzskatāmi par preču un pakalpojumu apvienojumu, jo to aprīkojums</w:t>
            </w:r>
            <w:r w:rsidR="00AC4B0A" w:rsidRPr="008A3121">
              <w:t xml:space="preserve"> un pārklājums pirms to uzstādīšanas</w:t>
            </w:r>
            <w:r w:rsidR="00AC4B0A">
              <w:t xml:space="preserve"> ir prece, savukārt pēc bērnu spēļu laukuma izvietošanas, spēļu iekārtu uzstādīšanas un pārklājuma nodrošināšanas bērnu spēļu laukums kļūst par pakalpojumu. Tātad,</w:t>
            </w:r>
            <w:r w:rsidR="00A25DD6">
              <w:t xml:space="preserve"> piemēram, tirdzniecības vietās nopērkamā</w:t>
            </w:r>
            <w:r w:rsidR="00EE2B8C">
              <w:t>s</w:t>
            </w:r>
            <w:r w:rsidR="00A25DD6">
              <w:t xml:space="preserve"> prece</w:t>
            </w:r>
            <w:r w:rsidR="00EE2B8C">
              <w:t>s</w:t>
            </w:r>
            <w:r w:rsidR="002B5574">
              <w:t xml:space="preserve"> (šūpoles, smilšu kaste</w:t>
            </w:r>
            <w:r w:rsidR="007D0EC9">
              <w:t>s, slīdkalniņi u</w:t>
            </w:r>
            <w:r w:rsidR="002B5574">
              <w:t>tml.)</w:t>
            </w:r>
            <w:r w:rsidR="00A25DD6">
              <w:t xml:space="preserve"> </w:t>
            </w:r>
            <w:r w:rsidR="002B5574">
              <w:t>ir uzskatām</w:t>
            </w:r>
            <w:r w:rsidR="00EE2B8C">
              <w:t>as</w:t>
            </w:r>
            <w:r w:rsidR="002B5574">
              <w:t xml:space="preserve"> par rotaļliet</w:t>
            </w:r>
            <w:r w:rsidR="00EE2B8C">
              <w:t>ām</w:t>
            </w:r>
            <w:r w:rsidR="002B5574">
              <w:t>, savukārt pēc t</w:t>
            </w:r>
            <w:r w:rsidR="00EE2B8C">
              <w:t>o</w:t>
            </w:r>
            <w:r w:rsidR="002B5574">
              <w:t xml:space="preserve"> uz</w:t>
            </w:r>
            <w:r w:rsidR="007D0EC9">
              <w:t>stādīšanas publiskai lietošanai</w:t>
            </w:r>
            <w:r w:rsidR="002B5574">
              <w:t xml:space="preserve"> tā</w:t>
            </w:r>
            <w:r w:rsidR="00EE2B8C">
              <w:t>s</w:t>
            </w:r>
            <w:r w:rsidR="002B5574">
              <w:t xml:space="preserve"> ir uzskatāma</w:t>
            </w:r>
            <w:r w:rsidR="00EE2B8C">
              <w:t>s</w:t>
            </w:r>
            <w:r w:rsidR="002B5574">
              <w:t xml:space="preserve"> par spēļu laukumu</w:t>
            </w:r>
            <w:r w:rsidR="00EE2B8C">
              <w:t xml:space="preserve"> vai, gadījumā, ja ir tikai viena vienība</w:t>
            </w:r>
            <w:r w:rsidR="00900811">
              <w:t xml:space="preserve"> – </w:t>
            </w:r>
            <w:r w:rsidR="00EE2B8C">
              <w:t>par</w:t>
            </w:r>
            <w:r w:rsidR="00AC4B0A">
              <w:t xml:space="preserve"> </w:t>
            </w:r>
            <w:r w:rsidR="00EE2B8C">
              <w:t>spēļu iekārtu.</w:t>
            </w:r>
          </w:p>
          <w:p w14:paraId="3458AC85" w14:textId="582A7C85" w:rsidR="00A322A9" w:rsidRPr="0048728D" w:rsidRDefault="00A322A9" w:rsidP="008F23E6">
            <w:pPr>
              <w:pStyle w:val="ListParagraph"/>
              <w:spacing w:after="0" w:line="240" w:lineRule="auto"/>
              <w:ind w:left="0"/>
              <w:jc w:val="both"/>
              <w:rPr>
                <w:rFonts w:ascii="Times New Roman" w:hAnsi="Times New Roman"/>
                <w:sz w:val="24"/>
                <w:szCs w:val="24"/>
                <w:lang w:val="lv-LV"/>
              </w:rPr>
            </w:pPr>
          </w:p>
        </w:tc>
      </w:tr>
      <w:tr w:rsidR="00A322A9" w:rsidRPr="00FB41DC" w14:paraId="03DB6C15" w14:textId="77777777" w:rsidTr="008F23E6">
        <w:tc>
          <w:tcPr>
            <w:tcW w:w="720" w:type="dxa"/>
          </w:tcPr>
          <w:p w14:paraId="35FC1E96" w14:textId="67E76345" w:rsidR="00A322A9" w:rsidRPr="00FB41DC" w:rsidRDefault="00A322A9" w:rsidP="00EB459D">
            <w:pPr>
              <w:jc w:val="center"/>
            </w:pPr>
            <w:r>
              <w:lastRenderedPageBreak/>
              <w:t>3</w:t>
            </w:r>
            <w:r w:rsidRPr="00FB41DC">
              <w:t>.</w:t>
            </w:r>
          </w:p>
        </w:tc>
        <w:tc>
          <w:tcPr>
            <w:tcW w:w="1574" w:type="dxa"/>
          </w:tcPr>
          <w:p w14:paraId="242E3696" w14:textId="2697EF40" w:rsidR="00A322A9" w:rsidRPr="00FB41DC" w:rsidRDefault="00A322A9" w:rsidP="00EB459D">
            <w:r w:rsidRPr="00FB41DC">
              <w:t xml:space="preserve">Projekta izstrādē iesaistītās </w:t>
            </w:r>
            <w:r w:rsidRPr="00FB41DC">
              <w:lastRenderedPageBreak/>
              <w:t>institūcijas</w:t>
            </w:r>
            <w:r w:rsidR="00083601" w:rsidRPr="005F2EEB">
              <w:t xml:space="preserve"> un publiskas personas kapitālsabiedrības</w:t>
            </w:r>
          </w:p>
        </w:tc>
        <w:tc>
          <w:tcPr>
            <w:tcW w:w="6958" w:type="dxa"/>
          </w:tcPr>
          <w:p w14:paraId="1BF0E705" w14:textId="5AC18789" w:rsidR="00A322A9" w:rsidRPr="00FB41DC" w:rsidRDefault="00EB459D" w:rsidP="00EB459D">
            <w:pPr>
              <w:pStyle w:val="naiskr"/>
              <w:jc w:val="both"/>
            </w:pPr>
            <w:r>
              <w:lastRenderedPageBreak/>
              <w:t>Ekonomikas</w:t>
            </w:r>
            <w:r w:rsidR="00A322A9">
              <w:t xml:space="preserve"> ministrija</w:t>
            </w:r>
            <w:r>
              <w:t>, Patērētāju tiesību aizsardzības centrs</w:t>
            </w:r>
          </w:p>
        </w:tc>
      </w:tr>
      <w:tr w:rsidR="00A322A9" w:rsidRPr="00FB41DC" w14:paraId="43D742D3" w14:textId="77777777" w:rsidTr="008F23E6">
        <w:trPr>
          <w:trHeight w:val="571"/>
        </w:trPr>
        <w:tc>
          <w:tcPr>
            <w:tcW w:w="720" w:type="dxa"/>
          </w:tcPr>
          <w:p w14:paraId="13CE1D20" w14:textId="77777777" w:rsidR="00A322A9" w:rsidRPr="00FB41DC" w:rsidRDefault="00A322A9" w:rsidP="008F23E6">
            <w:pPr>
              <w:jc w:val="center"/>
            </w:pPr>
            <w:r>
              <w:t>4</w:t>
            </w:r>
            <w:r w:rsidRPr="00FB41DC">
              <w:t>.</w:t>
            </w:r>
          </w:p>
        </w:tc>
        <w:tc>
          <w:tcPr>
            <w:tcW w:w="1574" w:type="dxa"/>
          </w:tcPr>
          <w:p w14:paraId="654010A4" w14:textId="77777777" w:rsidR="00A322A9" w:rsidRPr="00FB41DC" w:rsidRDefault="00A322A9" w:rsidP="008F23E6">
            <w:r w:rsidRPr="00FB41DC">
              <w:t>Cita informācija</w:t>
            </w:r>
          </w:p>
        </w:tc>
        <w:tc>
          <w:tcPr>
            <w:tcW w:w="6958" w:type="dxa"/>
          </w:tcPr>
          <w:p w14:paraId="65CB505F" w14:textId="77777777" w:rsidR="00A322A9" w:rsidRPr="00B21CC1" w:rsidRDefault="00A322A9" w:rsidP="008F23E6">
            <w:pPr>
              <w:jc w:val="both"/>
              <w:rPr>
                <w:b/>
              </w:rPr>
            </w:pPr>
            <w:r w:rsidRPr="009C018D">
              <w:rPr>
                <w:rStyle w:val="Strong"/>
                <w:b w:val="0"/>
              </w:rPr>
              <w:t>Nav</w:t>
            </w:r>
          </w:p>
        </w:tc>
      </w:tr>
    </w:tbl>
    <w:p w14:paraId="342B6B39" w14:textId="77777777" w:rsidR="00A322A9" w:rsidRPr="00FB41DC" w:rsidRDefault="00A322A9" w:rsidP="00A322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736"/>
        <w:gridCol w:w="5968"/>
      </w:tblGrid>
      <w:tr w:rsidR="00A322A9" w:rsidRPr="006C4798" w14:paraId="78CC5868" w14:textId="77777777" w:rsidTr="00537E7C">
        <w:tc>
          <w:tcPr>
            <w:tcW w:w="8296" w:type="dxa"/>
            <w:gridSpan w:val="3"/>
          </w:tcPr>
          <w:p w14:paraId="00BD49FE" w14:textId="77777777" w:rsidR="00A322A9" w:rsidRPr="002C08C1" w:rsidRDefault="00A322A9" w:rsidP="008F23E6">
            <w:pPr>
              <w:jc w:val="center"/>
              <w:rPr>
                <w:b/>
              </w:rPr>
            </w:pPr>
            <w:r w:rsidRPr="002C08C1">
              <w:rPr>
                <w:b/>
                <w:bCs/>
                <w:shd w:val="clear" w:color="auto" w:fill="FFFFFF"/>
              </w:rPr>
              <w:t>II. Tiesību akta projekta ietekme uz sabiedrību, tautsaimniecības attīstību un administratīvo slogu</w:t>
            </w:r>
          </w:p>
        </w:tc>
      </w:tr>
      <w:tr w:rsidR="00A322A9" w:rsidRPr="00FB41DC" w14:paraId="3DF84958" w14:textId="77777777" w:rsidTr="00537E7C">
        <w:tc>
          <w:tcPr>
            <w:tcW w:w="592" w:type="dxa"/>
          </w:tcPr>
          <w:p w14:paraId="52688465" w14:textId="77777777" w:rsidR="00A322A9" w:rsidRPr="00FB41DC" w:rsidRDefault="00A322A9" w:rsidP="008F23E6">
            <w:pPr>
              <w:jc w:val="center"/>
            </w:pPr>
            <w:r w:rsidRPr="00FB41DC">
              <w:t>1.</w:t>
            </w:r>
          </w:p>
        </w:tc>
        <w:tc>
          <w:tcPr>
            <w:tcW w:w="1736" w:type="dxa"/>
          </w:tcPr>
          <w:p w14:paraId="0EABEA64" w14:textId="77777777" w:rsidR="00A322A9" w:rsidRPr="00FB41DC" w:rsidRDefault="00A322A9" w:rsidP="008F23E6">
            <w:r w:rsidRPr="00FB41DC">
              <w:t>Sabiedrības mērķgrupa</w:t>
            </w:r>
            <w:r>
              <w:t>s, kuras tiesiskais regulējums ietekmē vai varētu ietekmēt</w:t>
            </w:r>
          </w:p>
        </w:tc>
        <w:tc>
          <w:tcPr>
            <w:tcW w:w="5968" w:type="dxa"/>
          </w:tcPr>
          <w:p w14:paraId="744BADAE" w14:textId="6DF7F490" w:rsidR="00A322A9" w:rsidRPr="00EE2B8C" w:rsidRDefault="007D0EC9" w:rsidP="00453636">
            <w:pPr>
              <w:jc w:val="both"/>
            </w:pPr>
            <w:r>
              <w:t>Spēļu vai citu aktivitāšu</w:t>
            </w:r>
            <w:r w:rsidR="00EB459D" w:rsidRPr="00EE2B8C">
              <w:t xml:space="preserve"> iekārtu un spēļu laukumu ražotāji</w:t>
            </w:r>
            <w:r w:rsidR="00C62B4F">
              <w:t>, importētāji, izplatītāji,</w:t>
            </w:r>
            <w:r>
              <w:t xml:space="preserve"> uzstādītāji</w:t>
            </w:r>
            <w:r w:rsidR="00C62B4F">
              <w:t>,</w:t>
            </w:r>
            <w:r w:rsidR="00453636">
              <w:t xml:space="preserve"> to </w:t>
            </w:r>
            <w:r w:rsidR="00EB459D" w:rsidRPr="00EE2B8C">
              <w:t>apsaimniekotāji</w:t>
            </w:r>
            <w:r>
              <w:t>, uzturētāji</w:t>
            </w:r>
            <w:r w:rsidR="00A322A9" w:rsidRPr="00EE2B8C">
              <w:t xml:space="preserve"> –</w:t>
            </w:r>
            <w:r w:rsidR="00EE2B8C" w:rsidRPr="00EE2B8C">
              <w:t xml:space="preserve"> 119</w:t>
            </w:r>
            <w:r w:rsidR="008F488F">
              <w:t> </w:t>
            </w:r>
            <w:r w:rsidR="00EE2B8C" w:rsidRPr="00EE2B8C">
              <w:t>pašvaldības</w:t>
            </w:r>
            <w:r w:rsidR="00453636">
              <w:t xml:space="preserve"> un</w:t>
            </w:r>
            <w:r>
              <w:t xml:space="preserve"> </w:t>
            </w:r>
            <w:r w:rsidR="00EE2B8C" w:rsidRPr="00EE2B8C">
              <w:t>komersanti</w:t>
            </w:r>
            <w:r w:rsidR="008F488F">
              <w:t>, kas nodrošina spēļu laukumu apsaimniekošanu, uzturēšanu, piedāvāšanu publiskai lietošanai, fiziskas vai juridiskas personas, kuru valdījumā ir publiski pieejami spēļu laukumi</w:t>
            </w:r>
            <w:r w:rsidR="00A322A9" w:rsidRPr="00EE2B8C">
              <w:t>.</w:t>
            </w:r>
          </w:p>
          <w:p w14:paraId="425FB86F" w14:textId="637D036E" w:rsidR="00A322A9" w:rsidRDefault="00DB64D8" w:rsidP="00DB64D8">
            <w:pPr>
              <w:jc w:val="both"/>
            </w:pPr>
            <w:r>
              <w:t>Visi Latvijas iedzīvotāji, jo īpaši bērni vecumā līdz 17</w:t>
            </w:r>
            <w:r w:rsidR="00841B92">
              <w:t> </w:t>
            </w:r>
            <w:r>
              <w:t>gadiem (201</w:t>
            </w:r>
            <w:r w:rsidR="00453636">
              <w:t>9</w:t>
            </w:r>
            <w:r>
              <w:t>.</w:t>
            </w:r>
            <w:r w:rsidR="00304B52">
              <w:t xml:space="preserve"> </w:t>
            </w:r>
            <w:r>
              <w:t xml:space="preserve">gadā </w:t>
            </w:r>
            <w:r w:rsidR="008F488F">
              <w:t xml:space="preserve">~ </w:t>
            </w:r>
            <w:r>
              <w:t>3</w:t>
            </w:r>
            <w:r w:rsidR="008F488F">
              <w:t>50 t</w:t>
            </w:r>
            <w:r w:rsidR="00453636">
              <w:t>ūkstoši</w:t>
            </w:r>
            <w:r w:rsidR="008F488F">
              <w:t xml:space="preserve"> </w:t>
            </w:r>
            <w:r>
              <w:t>bērn</w:t>
            </w:r>
            <w:r w:rsidR="00453636">
              <w:t>u</w:t>
            </w:r>
            <w:r>
              <w:t>).</w:t>
            </w:r>
          </w:p>
          <w:p w14:paraId="05197DB5" w14:textId="72CCEDC7" w:rsidR="00DB64D8" w:rsidRPr="00FB41DC" w:rsidRDefault="00DB64D8" w:rsidP="00DB64D8">
            <w:pPr>
              <w:jc w:val="both"/>
            </w:pPr>
          </w:p>
        </w:tc>
      </w:tr>
      <w:tr w:rsidR="00A322A9" w:rsidRPr="00CC4F9A" w14:paraId="2702A678" w14:textId="77777777" w:rsidTr="00537E7C">
        <w:tc>
          <w:tcPr>
            <w:tcW w:w="592" w:type="dxa"/>
            <w:shd w:val="clear" w:color="auto" w:fill="auto"/>
          </w:tcPr>
          <w:p w14:paraId="79227E78" w14:textId="3CF4FD74" w:rsidR="00A322A9" w:rsidRPr="00CC4F9A" w:rsidRDefault="00A322A9" w:rsidP="008F23E6">
            <w:pPr>
              <w:jc w:val="center"/>
              <w:rPr>
                <w:highlight w:val="yellow"/>
              </w:rPr>
            </w:pPr>
            <w:r>
              <w:t>2</w:t>
            </w:r>
            <w:r w:rsidRPr="00331BA5">
              <w:t>.</w:t>
            </w:r>
          </w:p>
        </w:tc>
        <w:tc>
          <w:tcPr>
            <w:tcW w:w="1736" w:type="dxa"/>
            <w:shd w:val="clear" w:color="auto" w:fill="FFFFFF"/>
          </w:tcPr>
          <w:p w14:paraId="3B5AC911" w14:textId="77777777" w:rsidR="00A322A9" w:rsidRPr="00CC4F9A" w:rsidRDefault="00A322A9" w:rsidP="008F23E6">
            <w:pPr>
              <w:rPr>
                <w:highlight w:val="yellow"/>
              </w:rPr>
            </w:pPr>
            <w:r w:rsidRPr="00331BA5">
              <w:t xml:space="preserve">Tiesiskā regulējuma </w:t>
            </w:r>
            <w:r>
              <w:t>ietekme uz tautsaimniecību un administratīvo slogu</w:t>
            </w:r>
          </w:p>
        </w:tc>
        <w:tc>
          <w:tcPr>
            <w:tcW w:w="5968" w:type="dxa"/>
            <w:shd w:val="clear" w:color="auto" w:fill="auto"/>
          </w:tcPr>
          <w:p w14:paraId="530BC99D" w14:textId="1A130781" w:rsidR="007C4A00" w:rsidRDefault="00A322A9" w:rsidP="007C4A00">
            <w:pPr>
              <w:autoSpaceDE w:val="0"/>
              <w:autoSpaceDN w:val="0"/>
              <w:adjustRightInd w:val="0"/>
              <w:jc w:val="both"/>
            </w:pPr>
            <w:r>
              <w:t>Noteikumu projekts paredz</w:t>
            </w:r>
            <w:r w:rsidR="004417A2">
              <w:t xml:space="preserve"> spēļu </w:t>
            </w:r>
            <w:r w:rsidR="00D74802">
              <w:t xml:space="preserve">vai citu aktivitāšu </w:t>
            </w:r>
            <w:r w:rsidR="004417A2">
              <w:t xml:space="preserve">iekārtu ražotājiem, </w:t>
            </w:r>
            <w:r w:rsidR="0090125B">
              <w:t>importētājiem, izplatītājiem</w:t>
            </w:r>
            <w:r w:rsidR="004417A2">
              <w:t xml:space="preserve"> </w:t>
            </w:r>
            <w:r w:rsidR="00EE2B8C">
              <w:t xml:space="preserve">ievērot </w:t>
            </w:r>
            <w:r w:rsidR="004417A2">
              <w:t xml:space="preserve">drošuma prasības attiecībā uz </w:t>
            </w:r>
            <w:r w:rsidR="007C4A00">
              <w:t>spēļu iekārtu ražošanu. Šobrīd, lai nodrošinātu, ka spēļu iekārtas ir drošas, tām jāatbilst</w:t>
            </w:r>
            <w:r w:rsidR="007C4A00" w:rsidRPr="00D00F73">
              <w:t xml:space="preserve"> </w:t>
            </w:r>
            <w:r w:rsidR="00D74802">
              <w:t>Standartu</w:t>
            </w:r>
            <w:r w:rsidR="007C4A00">
              <w:t xml:space="preserve"> drošuma prasībām. Tomēr Standartu piemērošana ir brīvprātīga, tāpēc komersantam nav pienākums izmantot standartu. Ar šo Noteikumu projektu tiks noteiktas </w:t>
            </w:r>
            <w:r w:rsidR="008F705C">
              <w:t>konkrētas un tieši spēļu vai citu aktivitāšu iekārtām un laukumiem</w:t>
            </w:r>
            <w:r w:rsidR="007C4A00">
              <w:t xml:space="preserve"> </w:t>
            </w:r>
            <w:r w:rsidR="008F705C">
              <w:t xml:space="preserve">specifiskas </w:t>
            </w:r>
            <w:r w:rsidR="007C4A00">
              <w:t xml:space="preserve">prasības gan </w:t>
            </w:r>
            <w:r w:rsidR="003251B6">
              <w:t xml:space="preserve">spēļu </w:t>
            </w:r>
            <w:r w:rsidR="00D74802">
              <w:t xml:space="preserve">vai citu aktivitāšu </w:t>
            </w:r>
            <w:r w:rsidR="007C4A00">
              <w:t>iekārtu un laukumu ražotājiem attiecībā uz tehniskajā dokumentācijā sniegto info</w:t>
            </w:r>
            <w:r w:rsidR="003251B6">
              <w:t>rmāciju</w:t>
            </w:r>
            <w:r w:rsidR="007C4A00">
              <w:t xml:space="preserve"> un marķējumu, gan </w:t>
            </w:r>
            <w:r w:rsidR="00D74802">
              <w:t>to</w:t>
            </w:r>
            <w:r w:rsidR="007C4A00">
              <w:t xml:space="preserve"> apsaimniekotājiem</w:t>
            </w:r>
            <w:r w:rsidR="0090125B">
              <w:t>, uzturētājiem,</w:t>
            </w:r>
            <w:r w:rsidR="00EE2B8C">
              <w:t xml:space="preserve"> uzturot spēļu laukumus atbilstošus drošuma prasībām</w:t>
            </w:r>
            <w:r w:rsidR="00D74802">
              <w:t>, tādējādi nodrošinot vides un veselības aizsardzību</w:t>
            </w:r>
            <w:r w:rsidR="007C4A00">
              <w:t>.</w:t>
            </w:r>
          </w:p>
          <w:p w14:paraId="253B45A3" w14:textId="404C3EAB" w:rsidR="00D74802" w:rsidRDefault="00D74802" w:rsidP="007C4A00">
            <w:pPr>
              <w:autoSpaceDE w:val="0"/>
              <w:autoSpaceDN w:val="0"/>
              <w:adjustRightInd w:val="0"/>
              <w:jc w:val="both"/>
            </w:pPr>
            <w:r>
              <w:t xml:space="preserve">Noteikumu projektā paredzētais pienākums reģistrēt spēļu vai citu aktivitāšu iekārtas un laukumus, kā arī veikt to pēcuzstādīšanas pārbaudes vai riska novērtējumu </w:t>
            </w:r>
            <w:r w:rsidR="00DE55C0">
              <w:t>rada papildu administratīvo slogu publiski pieejamu spēļu vai citu aktivitāšu iekārtu un laukumu valdītājiem.</w:t>
            </w:r>
          </w:p>
          <w:p w14:paraId="480D01E8" w14:textId="6BBC22E8" w:rsidR="00DE55C0" w:rsidRDefault="00DE55C0" w:rsidP="007C4A00">
            <w:pPr>
              <w:autoSpaceDE w:val="0"/>
              <w:autoSpaceDN w:val="0"/>
              <w:adjustRightInd w:val="0"/>
              <w:jc w:val="both"/>
            </w:pPr>
            <w:r>
              <w:t xml:space="preserve">Papildu administratīvs slogs rodas pašvaldībām, no kurām PTAC </w:t>
            </w:r>
            <w:r w:rsidR="00106DF8">
              <w:t>nepieciešamības gadījumā var</w:t>
            </w:r>
            <w:r>
              <w:t xml:space="preserve"> pieprasīt un saņemt datus par to teritorijā esošo publisko spēļu laukumu valdītājiem.</w:t>
            </w:r>
          </w:p>
          <w:p w14:paraId="2035714A" w14:textId="7BB22FCD" w:rsidR="00DE55C0" w:rsidRDefault="00DE55C0" w:rsidP="007C4A00">
            <w:pPr>
              <w:autoSpaceDE w:val="0"/>
              <w:autoSpaceDN w:val="0"/>
              <w:adjustRightInd w:val="0"/>
              <w:jc w:val="both"/>
            </w:pPr>
            <w:r>
              <w:t>Administratīvais slogs tiek palielināts arī PTAC, kurš izveidos un uzturēs publisko spēļu laukumu un spēļu vai citu aktivitāšu iekārtu reģistru, tomēr šāda reģistra ieviešana veicinās PTAC veiktās uzraudzības efektivitāti.</w:t>
            </w:r>
          </w:p>
          <w:p w14:paraId="35AF7405" w14:textId="0E8BCF71" w:rsidR="00A322A9" w:rsidRPr="00FC5424" w:rsidRDefault="00A322A9" w:rsidP="008F23E6">
            <w:pPr>
              <w:jc w:val="both"/>
              <w:rPr>
                <w:szCs w:val="28"/>
              </w:rPr>
            </w:pPr>
            <w:r w:rsidRPr="00FC5424">
              <w:rPr>
                <w:szCs w:val="28"/>
              </w:rPr>
              <w:t xml:space="preserve"> </w:t>
            </w:r>
          </w:p>
        </w:tc>
      </w:tr>
      <w:tr w:rsidR="00A322A9" w:rsidRPr="00FB41DC" w14:paraId="4BB18237" w14:textId="77777777" w:rsidTr="00537E7C">
        <w:tc>
          <w:tcPr>
            <w:tcW w:w="592" w:type="dxa"/>
          </w:tcPr>
          <w:p w14:paraId="2BB8FFB2" w14:textId="77777777" w:rsidR="00A322A9" w:rsidRPr="00FB41DC" w:rsidRDefault="00A322A9" w:rsidP="008F23E6">
            <w:pPr>
              <w:jc w:val="center"/>
            </w:pPr>
            <w:r>
              <w:t>3</w:t>
            </w:r>
            <w:r w:rsidRPr="00FB41DC">
              <w:t>.</w:t>
            </w:r>
          </w:p>
        </w:tc>
        <w:tc>
          <w:tcPr>
            <w:tcW w:w="1736" w:type="dxa"/>
          </w:tcPr>
          <w:p w14:paraId="733608AF" w14:textId="77777777" w:rsidR="00A322A9" w:rsidRPr="00FB41DC" w:rsidRDefault="00A322A9" w:rsidP="008F23E6">
            <w:r w:rsidRPr="00FB41DC">
              <w:t xml:space="preserve">Administratīvo izmaksu </w:t>
            </w:r>
            <w:r w:rsidRPr="00FB41DC">
              <w:lastRenderedPageBreak/>
              <w:t>monetārs novērtējums</w:t>
            </w:r>
          </w:p>
        </w:tc>
        <w:tc>
          <w:tcPr>
            <w:tcW w:w="5968" w:type="dxa"/>
          </w:tcPr>
          <w:p w14:paraId="1DCE3BC5" w14:textId="14FE8946" w:rsidR="00940A00" w:rsidRDefault="00940A00" w:rsidP="00CA538B">
            <w:pPr>
              <w:pStyle w:val="naiskr"/>
              <w:spacing w:before="0" w:after="0"/>
              <w:ind w:left="142" w:right="114" w:firstLine="283"/>
              <w:jc w:val="both"/>
              <w:rPr>
                <w:iCs/>
              </w:rPr>
            </w:pPr>
            <w:r>
              <w:rPr>
                <w:iCs/>
              </w:rPr>
              <w:lastRenderedPageBreak/>
              <w:t xml:space="preserve">Salīdzinot ar līdzšinējiem pienākumiem saistībā ar publisku spēļu laukumu drošumu ar Noteikumu projektu </w:t>
            </w:r>
            <w:r>
              <w:rPr>
                <w:iCs/>
              </w:rPr>
              <w:lastRenderedPageBreak/>
              <w:t>tiek ieviesta šādu laukumu reģistrācija, kas izraisa papildu administratīvās izmaksas.</w:t>
            </w:r>
          </w:p>
          <w:p w14:paraId="79122833" w14:textId="6609B76A" w:rsidR="00CA538B" w:rsidRDefault="00CA538B" w:rsidP="00CA538B">
            <w:pPr>
              <w:pStyle w:val="naiskr"/>
              <w:spacing w:before="0" w:after="0"/>
              <w:ind w:left="142" w:right="114" w:firstLine="283"/>
              <w:jc w:val="both"/>
              <w:rPr>
                <w:iCs/>
              </w:rPr>
            </w:pPr>
            <w:r>
              <w:rPr>
                <w:iCs/>
              </w:rPr>
              <w:t xml:space="preserve">Administratīvās izmaksas </w:t>
            </w:r>
            <w:r w:rsidR="00864F3E">
              <w:rPr>
                <w:iCs/>
              </w:rPr>
              <w:t>publisko spēļu laukumu īpašniekiem un tiesiskajiem valdītājiem</w:t>
            </w:r>
            <w:r>
              <w:rPr>
                <w:iCs/>
              </w:rPr>
              <w:t xml:space="preserve"> nepārsniegs noteikto līmeni, pie kura jāveic novērtējums.</w:t>
            </w:r>
          </w:p>
          <w:p w14:paraId="46D06907" w14:textId="664B57A3" w:rsidR="00CA538B" w:rsidRDefault="00CA538B" w:rsidP="00CA538B">
            <w:pPr>
              <w:pStyle w:val="naiskr"/>
              <w:spacing w:before="0" w:after="0"/>
              <w:ind w:left="142" w:right="114" w:firstLine="283"/>
              <w:jc w:val="both"/>
              <w:rPr>
                <w:iCs/>
              </w:rPr>
            </w:pPr>
            <w:r>
              <w:rPr>
                <w:iCs/>
              </w:rPr>
              <w:t>Aprēķinot PTAC</w:t>
            </w:r>
            <w:r w:rsidR="00212870">
              <w:rPr>
                <w:iCs/>
              </w:rPr>
              <w:t xml:space="preserve"> administratīvās izmaksas</w:t>
            </w:r>
            <w:r>
              <w:rPr>
                <w:iCs/>
              </w:rPr>
              <w:t xml:space="preserve">, tiek pieņemts, ka Latvijā būs </w:t>
            </w:r>
            <w:r w:rsidR="001B7250">
              <w:rPr>
                <w:iCs/>
              </w:rPr>
              <w:t>14</w:t>
            </w:r>
            <w:r>
              <w:rPr>
                <w:iCs/>
              </w:rPr>
              <w:t xml:space="preserve">00 publiskie spēļu laukumi, kuriem būs jāreģistrējas PTAC uzturētajā reģistrā un aptuveni </w:t>
            </w:r>
            <w:r w:rsidR="00642F2B">
              <w:rPr>
                <w:iCs/>
              </w:rPr>
              <w:t>14</w:t>
            </w:r>
            <w:r>
              <w:rPr>
                <w:iCs/>
              </w:rPr>
              <w:t xml:space="preserve">0 no tiem gada laikā veiks izmaiņas reģistrācijas datos. </w:t>
            </w:r>
          </w:p>
          <w:p w14:paraId="7EC30B58" w14:textId="77777777" w:rsidR="00CA538B" w:rsidRDefault="00CA538B" w:rsidP="00CA538B">
            <w:pPr>
              <w:pStyle w:val="naiskr"/>
              <w:spacing w:before="0" w:after="0"/>
              <w:ind w:left="142" w:right="114" w:firstLine="283"/>
              <w:jc w:val="both"/>
              <w:rPr>
                <w:iCs/>
              </w:rPr>
            </w:pPr>
            <w:r>
              <w:rPr>
                <w:iCs/>
              </w:rPr>
              <w:t>Saistībā ar gadījumiem, kad tiks konstatēti publiskie spēļu laukumi, kas nav reģistrēti, PTAC var būt nepieciešamība pieprasīt pašvaldībām informāciju par to īpašniekiem vai tiesiskajiem valdītājiem. Tiek pieņemts, ka šādas informācijas sagatavošana pašvaldībām varētu aizņemt 10 stundas gadā.</w:t>
            </w:r>
          </w:p>
          <w:p w14:paraId="489D1CD8" w14:textId="6B3B3803" w:rsidR="00CA538B" w:rsidRDefault="008A3121" w:rsidP="00CA538B">
            <w:pPr>
              <w:pStyle w:val="naiskr"/>
              <w:spacing w:before="0" w:after="0"/>
              <w:ind w:left="142" w:right="114" w:firstLine="283"/>
              <w:jc w:val="both"/>
              <w:rPr>
                <w:iCs/>
              </w:rPr>
            </w:pPr>
            <w:r>
              <w:rPr>
                <w:iCs/>
              </w:rPr>
              <w:t>Aprēķinos izmantotā</w:t>
            </w:r>
            <w:r w:rsidR="00CA538B">
              <w:rPr>
                <w:iCs/>
              </w:rPr>
              <w:t xml:space="preserve"> darba stundas likme ir 8,62 </w:t>
            </w:r>
            <w:r w:rsidR="00CA538B">
              <w:rPr>
                <w:i/>
                <w:iCs/>
              </w:rPr>
              <w:t>euro</w:t>
            </w:r>
            <w:r w:rsidR="00CA538B">
              <w:rPr>
                <w:iCs/>
              </w:rPr>
              <w:t xml:space="preserve">. </w:t>
            </w:r>
          </w:p>
          <w:p w14:paraId="4E686F19" w14:textId="0D4B21C9" w:rsidR="00CA538B" w:rsidRDefault="00980269" w:rsidP="00CA538B">
            <w:pPr>
              <w:pStyle w:val="naiskr"/>
              <w:numPr>
                <w:ilvl w:val="0"/>
                <w:numId w:val="4"/>
              </w:numPr>
              <w:spacing w:before="0" w:after="0"/>
              <w:ind w:left="142" w:right="114" w:firstLine="283"/>
              <w:jc w:val="both"/>
              <w:rPr>
                <w:iCs/>
              </w:rPr>
            </w:pPr>
            <w:r>
              <w:rPr>
                <w:iCs/>
              </w:rPr>
              <w:t>Publiska spēļu laukuma</w:t>
            </w:r>
            <w:r w:rsidR="00CA538B">
              <w:rPr>
                <w:iCs/>
              </w:rPr>
              <w:t xml:space="preserve"> reģistrācijas dokumentu saņemšana, izvērtēšana un ievadīšana publiskajā reģistrā. Tiek pieņemts, ka šo darbību veic </w:t>
            </w:r>
            <w:r w:rsidR="00D93C6C">
              <w:rPr>
                <w:iCs/>
              </w:rPr>
              <w:t xml:space="preserve">viens </w:t>
            </w:r>
            <w:r w:rsidR="00CA538B">
              <w:rPr>
                <w:iCs/>
              </w:rPr>
              <w:t xml:space="preserve">darbinieks, kurš viena </w:t>
            </w:r>
            <w:r>
              <w:rPr>
                <w:iCs/>
              </w:rPr>
              <w:t>publiska spēļu laukuma</w:t>
            </w:r>
            <w:r w:rsidR="00CA538B">
              <w:rPr>
                <w:iCs/>
              </w:rPr>
              <w:t xml:space="preserve"> reģistrēšanai patērē aptuveni 30 minūtes (0,5 stundas).</w:t>
            </w:r>
          </w:p>
          <w:p w14:paraId="177AE9C0" w14:textId="5472A79B" w:rsidR="00CA538B" w:rsidRDefault="00CA538B" w:rsidP="00CA538B">
            <w:pPr>
              <w:pStyle w:val="naiskr"/>
              <w:spacing w:before="0" w:after="0"/>
              <w:ind w:right="114"/>
              <w:jc w:val="center"/>
              <w:rPr>
                <w:b/>
                <w:iCs/>
              </w:rPr>
            </w:pPr>
            <w:r>
              <w:rPr>
                <w:b/>
                <w:iCs/>
              </w:rPr>
              <w:t>C</w:t>
            </w:r>
            <w:r>
              <w:rPr>
                <w:b/>
                <w:iCs/>
                <w:vertAlign w:val="subscript"/>
              </w:rPr>
              <w:t>1</w:t>
            </w:r>
            <w:r>
              <w:rPr>
                <w:b/>
                <w:iCs/>
              </w:rPr>
              <w:t>=(8,6</w:t>
            </w:r>
            <w:r w:rsidR="00980269">
              <w:rPr>
                <w:b/>
                <w:iCs/>
              </w:rPr>
              <w:t>2</w:t>
            </w:r>
            <w:r>
              <w:rPr>
                <w:b/>
                <w:iCs/>
              </w:rPr>
              <w:t>x0,5)x(</w:t>
            </w:r>
            <w:r w:rsidR="00642F2B">
              <w:rPr>
                <w:b/>
                <w:iCs/>
              </w:rPr>
              <w:t>14</w:t>
            </w:r>
            <w:r>
              <w:rPr>
                <w:b/>
                <w:iCs/>
              </w:rPr>
              <w:t>00x1)=4,3</w:t>
            </w:r>
            <w:r w:rsidR="00980269">
              <w:rPr>
                <w:b/>
                <w:iCs/>
              </w:rPr>
              <w:t>1x</w:t>
            </w:r>
            <w:r w:rsidR="00642F2B">
              <w:rPr>
                <w:b/>
                <w:iCs/>
              </w:rPr>
              <w:t>14</w:t>
            </w:r>
            <w:r w:rsidR="00980269">
              <w:rPr>
                <w:b/>
                <w:iCs/>
              </w:rPr>
              <w:t>00=</w:t>
            </w:r>
            <w:r w:rsidR="00642F2B">
              <w:rPr>
                <w:b/>
                <w:iCs/>
              </w:rPr>
              <w:t>6034</w:t>
            </w:r>
            <w:r>
              <w:rPr>
                <w:b/>
                <w:iCs/>
              </w:rPr>
              <w:t xml:space="preserve">,00 </w:t>
            </w:r>
            <w:r>
              <w:rPr>
                <w:b/>
                <w:i/>
                <w:iCs/>
              </w:rPr>
              <w:t>euro</w:t>
            </w:r>
          </w:p>
          <w:p w14:paraId="61663228" w14:textId="165BD245" w:rsidR="00CA538B" w:rsidRDefault="00CA538B" w:rsidP="00CA538B">
            <w:pPr>
              <w:pStyle w:val="naiskr"/>
              <w:numPr>
                <w:ilvl w:val="0"/>
                <w:numId w:val="4"/>
              </w:numPr>
              <w:spacing w:before="0" w:after="0"/>
              <w:ind w:left="142" w:right="114" w:firstLine="283"/>
              <w:jc w:val="both"/>
              <w:rPr>
                <w:iCs/>
              </w:rPr>
            </w:pPr>
            <w:r>
              <w:rPr>
                <w:iCs/>
              </w:rPr>
              <w:t xml:space="preserve">Izmaiņu veikšana </w:t>
            </w:r>
            <w:r w:rsidR="00980269">
              <w:rPr>
                <w:iCs/>
              </w:rPr>
              <w:t>publisko spēļu laukumu</w:t>
            </w:r>
            <w:r>
              <w:rPr>
                <w:iCs/>
              </w:rPr>
              <w:t xml:space="preserve"> datos. Tiek pieņemts, ka šo darbību veic </w:t>
            </w:r>
            <w:r w:rsidR="00D93C6C">
              <w:rPr>
                <w:iCs/>
              </w:rPr>
              <w:t xml:space="preserve">viens </w:t>
            </w:r>
            <w:r>
              <w:rPr>
                <w:iCs/>
              </w:rPr>
              <w:t>darbinieks, kurš šīs darbības veikšanai patērē aptuveni 15 minūtes (0,25 stundas).</w:t>
            </w:r>
          </w:p>
          <w:p w14:paraId="289F0658" w14:textId="28500B98" w:rsidR="00CA538B" w:rsidRDefault="00CA538B" w:rsidP="00CA538B">
            <w:pPr>
              <w:pStyle w:val="naiskr"/>
              <w:spacing w:before="0" w:after="0"/>
              <w:ind w:right="114"/>
              <w:jc w:val="center"/>
              <w:rPr>
                <w:b/>
                <w:i/>
                <w:iCs/>
              </w:rPr>
            </w:pPr>
            <w:r>
              <w:rPr>
                <w:b/>
                <w:iCs/>
              </w:rPr>
              <w:t>C</w:t>
            </w:r>
            <w:r>
              <w:rPr>
                <w:b/>
                <w:iCs/>
                <w:vertAlign w:val="subscript"/>
              </w:rPr>
              <w:t>2</w:t>
            </w:r>
            <w:r>
              <w:rPr>
                <w:b/>
                <w:iCs/>
              </w:rPr>
              <w:t>=(8,6</w:t>
            </w:r>
            <w:r w:rsidR="00980269">
              <w:rPr>
                <w:b/>
                <w:iCs/>
              </w:rPr>
              <w:t>2x0,25)x(</w:t>
            </w:r>
            <w:r w:rsidR="00642F2B">
              <w:rPr>
                <w:b/>
                <w:iCs/>
              </w:rPr>
              <w:t>14</w:t>
            </w:r>
            <w:r w:rsidR="00980269">
              <w:rPr>
                <w:b/>
                <w:iCs/>
              </w:rPr>
              <w:t>0x1)=2,155x</w:t>
            </w:r>
            <w:r w:rsidR="00642F2B">
              <w:rPr>
                <w:b/>
                <w:iCs/>
              </w:rPr>
              <w:t>14</w:t>
            </w:r>
            <w:r w:rsidR="00980269">
              <w:rPr>
                <w:b/>
                <w:iCs/>
              </w:rPr>
              <w:t>0=</w:t>
            </w:r>
            <w:r w:rsidR="00642F2B">
              <w:rPr>
                <w:b/>
                <w:iCs/>
              </w:rPr>
              <w:t>30</w:t>
            </w:r>
            <w:r w:rsidR="00980269">
              <w:rPr>
                <w:b/>
                <w:iCs/>
              </w:rPr>
              <w:t>1</w:t>
            </w:r>
            <w:r>
              <w:rPr>
                <w:b/>
                <w:iCs/>
              </w:rPr>
              <w:t>,</w:t>
            </w:r>
            <w:r w:rsidR="00980269">
              <w:rPr>
                <w:b/>
                <w:iCs/>
              </w:rPr>
              <w:t>7</w:t>
            </w:r>
            <w:r w:rsidR="00642F2B">
              <w:rPr>
                <w:b/>
                <w:iCs/>
              </w:rPr>
              <w:t>0</w:t>
            </w:r>
            <w:r>
              <w:rPr>
                <w:b/>
                <w:iCs/>
              </w:rPr>
              <w:t xml:space="preserve"> </w:t>
            </w:r>
            <w:r>
              <w:rPr>
                <w:b/>
                <w:i/>
                <w:iCs/>
              </w:rPr>
              <w:t>euro</w:t>
            </w:r>
          </w:p>
          <w:p w14:paraId="13E278AC" w14:textId="1F88B71E" w:rsidR="00CA538B" w:rsidRDefault="00CA538B" w:rsidP="00CA538B">
            <w:pPr>
              <w:pStyle w:val="naiskr"/>
              <w:spacing w:before="0" w:after="0"/>
              <w:ind w:left="142" w:right="114"/>
              <w:jc w:val="both"/>
              <w:rPr>
                <w:iCs/>
              </w:rPr>
            </w:pPr>
            <w:r>
              <w:rPr>
                <w:iCs/>
              </w:rPr>
              <w:t>Tādējādi kopējās administratīvās izmaksas Patērētāju tiesību aizsardzības centram veidotu:</w:t>
            </w:r>
          </w:p>
          <w:p w14:paraId="45483ECA" w14:textId="5F995F62" w:rsidR="00F5612C" w:rsidRPr="00771A91" w:rsidRDefault="00CA538B" w:rsidP="00771A91">
            <w:pPr>
              <w:ind w:left="108" w:firstLine="612"/>
              <w:rPr>
                <w:b/>
                <w:i/>
                <w:iCs/>
              </w:rPr>
            </w:pPr>
            <w:r>
              <w:rPr>
                <w:b/>
                <w:iCs/>
              </w:rPr>
              <w:t>C</w:t>
            </w:r>
            <w:r>
              <w:rPr>
                <w:b/>
                <w:iCs/>
                <w:vertAlign w:val="subscript"/>
              </w:rPr>
              <w:t>PTAC</w:t>
            </w:r>
            <w:r w:rsidR="00980269">
              <w:rPr>
                <w:b/>
                <w:iCs/>
              </w:rPr>
              <w:t>=</w:t>
            </w:r>
            <w:r w:rsidR="00642F2B">
              <w:rPr>
                <w:b/>
                <w:iCs/>
              </w:rPr>
              <w:t>6034</w:t>
            </w:r>
            <w:r w:rsidR="00980269">
              <w:rPr>
                <w:b/>
                <w:iCs/>
              </w:rPr>
              <w:t>,00</w:t>
            </w:r>
            <w:r w:rsidR="00980269" w:rsidRPr="00771A91">
              <w:rPr>
                <w:b/>
                <w:iCs/>
              </w:rPr>
              <w:t>+</w:t>
            </w:r>
            <w:r w:rsidR="00642F2B">
              <w:rPr>
                <w:b/>
                <w:iCs/>
              </w:rPr>
              <w:t>30</w:t>
            </w:r>
            <w:r w:rsidR="00980269" w:rsidRPr="00771A91">
              <w:rPr>
                <w:b/>
                <w:iCs/>
              </w:rPr>
              <w:t>1,7</w:t>
            </w:r>
            <w:r w:rsidR="00642F2B">
              <w:rPr>
                <w:b/>
                <w:iCs/>
              </w:rPr>
              <w:t>0</w:t>
            </w:r>
            <w:r w:rsidR="00980269" w:rsidRPr="00771A91">
              <w:rPr>
                <w:b/>
                <w:iCs/>
              </w:rPr>
              <w:t>=</w:t>
            </w:r>
            <w:r w:rsidR="00642F2B">
              <w:rPr>
                <w:b/>
                <w:iCs/>
              </w:rPr>
              <w:t>6335</w:t>
            </w:r>
            <w:r w:rsidRPr="00771A91">
              <w:rPr>
                <w:b/>
                <w:iCs/>
              </w:rPr>
              <w:t>,</w:t>
            </w:r>
            <w:r w:rsidR="00980269" w:rsidRPr="00771A91">
              <w:rPr>
                <w:b/>
                <w:iCs/>
              </w:rPr>
              <w:t>7</w:t>
            </w:r>
            <w:r w:rsidR="00642F2B">
              <w:rPr>
                <w:b/>
                <w:iCs/>
              </w:rPr>
              <w:t>0</w:t>
            </w:r>
            <w:r w:rsidRPr="00771A91">
              <w:rPr>
                <w:b/>
                <w:iCs/>
              </w:rPr>
              <w:t xml:space="preserve"> </w:t>
            </w:r>
            <w:r w:rsidRPr="00771A91">
              <w:rPr>
                <w:b/>
                <w:i/>
                <w:iCs/>
              </w:rPr>
              <w:t>euro</w:t>
            </w:r>
          </w:p>
          <w:p w14:paraId="539998ED" w14:textId="77777777" w:rsidR="00CA538B" w:rsidRPr="00771A91" w:rsidRDefault="00CA538B" w:rsidP="00771A91">
            <w:pPr>
              <w:ind w:left="108" w:firstLine="612"/>
              <w:rPr>
                <w:lang w:val="en-US"/>
              </w:rPr>
            </w:pPr>
          </w:p>
          <w:p w14:paraId="7AF8042D" w14:textId="0CBB75A8" w:rsidR="00A322A9" w:rsidRPr="00771A91" w:rsidRDefault="00A322A9" w:rsidP="00771A91">
            <w:pPr>
              <w:pStyle w:val="ListParagraph"/>
              <w:numPr>
                <w:ilvl w:val="0"/>
                <w:numId w:val="4"/>
              </w:numPr>
              <w:ind w:left="108" w:firstLine="612"/>
              <w:rPr>
                <w:rFonts w:ascii="Times New Roman" w:hAnsi="Times New Roman"/>
                <w:sz w:val="24"/>
                <w:szCs w:val="24"/>
              </w:rPr>
            </w:pPr>
            <w:r w:rsidRPr="00771A91">
              <w:rPr>
                <w:rFonts w:ascii="Times New Roman" w:hAnsi="Times New Roman"/>
                <w:sz w:val="24"/>
                <w:szCs w:val="24"/>
              </w:rPr>
              <w:t>Administratīvās izmaksas pašvaldībām</w:t>
            </w:r>
            <w:r w:rsidR="00980269" w:rsidRPr="00771A91">
              <w:rPr>
                <w:rFonts w:ascii="Times New Roman" w:hAnsi="Times New Roman"/>
                <w:sz w:val="24"/>
                <w:szCs w:val="24"/>
              </w:rPr>
              <w:t xml:space="preserve"> saistībā ar PTAC pieprasījumiem par nereģistrētiem publiskiem spēļu laukumiem</w:t>
            </w:r>
            <w:r w:rsidRPr="00771A91">
              <w:rPr>
                <w:rFonts w:ascii="Times New Roman" w:hAnsi="Times New Roman"/>
                <w:sz w:val="24"/>
                <w:szCs w:val="24"/>
              </w:rPr>
              <w:t>:</w:t>
            </w:r>
          </w:p>
          <w:p w14:paraId="17C5340D" w14:textId="04CD073A" w:rsidR="00A322A9" w:rsidRDefault="00980269" w:rsidP="00771A91">
            <w:pPr>
              <w:ind w:left="108" w:firstLine="612"/>
              <w:rPr>
                <w:iCs/>
              </w:rPr>
            </w:pPr>
            <w:r w:rsidRPr="00771A91">
              <w:rPr>
                <w:iCs/>
              </w:rPr>
              <w:t>Tiek pieņemts, ka šādas informācijas sagatavošana pašvaldībām varētu aizņemt</w:t>
            </w:r>
            <w:r>
              <w:rPr>
                <w:iCs/>
              </w:rPr>
              <w:t xml:space="preserve"> 10 stundas gadā.</w:t>
            </w:r>
          </w:p>
          <w:p w14:paraId="489AE3B5" w14:textId="77777777" w:rsidR="00980269" w:rsidRDefault="00980269" w:rsidP="008F23E6"/>
          <w:p w14:paraId="036A9A63" w14:textId="3A9F4415" w:rsidR="00A322A9" w:rsidRDefault="00A322A9" w:rsidP="008F23E6">
            <w:r>
              <w:t>F - Vidējā alga vispārējā va</w:t>
            </w:r>
            <w:r w:rsidR="00980269">
              <w:t>ldības sektorā, stundas likme 8</w:t>
            </w:r>
            <w:r>
              <w:t>,</w:t>
            </w:r>
            <w:r w:rsidR="00980269">
              <w:t>62</w:t>
            </w:r>
            <w:r w:rsidRPr="00C71C2B">
              <w:rPr>
                <w:i/>
              </w:rPr>
              <w:t xml:space="preserve"> euro</w:t>
            </w:r>
          </w:p>
          <w:p w14:paraId="2BB17C44" w14:textId="22373316" w:rsidR="00A322A9" w:rsidRDefault="00A322A9" w:rsidP="008F23E6">
            <w:r>
              <w:t xml:space="preserve">L – nepieciešamais laiks informācijas sagatavošanai –  </w:t>
            </w:r>
            <w:r w:rsidR="005F348F">
              <w:t>1</w:t>
            </w:r>
            <w:r>
              <w:t>0 stundas gadā</w:t>
            </w:r>
          </w:p>
          <w:p w14:paraId="52F90E4D" w14:textId="77777777" w:rsidR="00A322A9" w:rsidRDefault="00A322A9" w:rsidP="008F23E6">
            <w:r>
              <w:t>N – subjektu skaits – 119 pašvaldības</w:t>
            </w:r>
          </w:p>
          <w:p w14:paraId="37A67265" w14:textId="6C0BBE30" w:rsidR="00A322A9" w:rsidRDefault="00A322A9" w:rsidP="008F23E6">
            <w:r>
              <w:t>b- informācijas sniegšanas biežums – 1 reizi</w:t>
            </w:r>
            <w:r w:rsidR="00980269">
              <w:t xml:space="preserve"> gadā</w:t>
            </w:r>
          </w:p>
          <w:p w14:paraId="077F5F0B" w14:textId="6DDA99F7" w:rsidR="00A322A9" w:rsidRPr="00E5390E" w:rsidRDefault="00E5390E" w:rsidP="008F23E6">
            <w:pPr>
              <w:rPr>
                <w:b/>
              </w:rPr>
            </w:pPr>
            <w:r>
              <w:rPr>
                <w:b/>
                <w:iCs/>
              </w:rPr>
              <w:t>C</w:t>
            </w:r>
            <w:r>
              <w:rPr>
                <w:b/>
                <w:iCs/>
                <w:vertAlign w:val="subscript"/>
              </w:rPr>
              <w:t>Pašv.</w:t>
            </w:r>
            <w:r w:rsidR="00A322A9" w:rsidRPr="00E5390E">
              <w:rPr>
                <w:b/>
              </w:rPr>
              <w:t xml:space="preserve"> = (f x l) x (n x b)</w:t>
            </w:r>
          </w:p>
          <w:p w14:paraId="3C6DCE03" w14:textId="77777777" w:rsidR="00A322A9" w:rsidRDefault="00A322A9" w:rsidP="008F23E6"/>
          <w:p w14:paraId="5B851896" w14:textId="19ED0EC4" w:rsidR="00A322A9" w:rsidRPr="00980269" w:rsidRDefault="00E5390E" w:rsidP="008F23E6">
            <w:pPr>
              <w:rPr>
                <w:b/>
              </w:rPr>
            </w:pPr>
            <w:r>
              <w:rPr>
                <w:b/>
                <w:iCs/>
              </w:rPr>
              <w:t>C</w:t>
            </w:r>
            <w:r>
              <w:rPr>
                <w:b/>
                <w:iCs/>
                <w:vertAlign w:val="subscript"/>
              </w:rPr>
              <w:t>Pašv.</w:t>
            </w:r>
            <w:r w:rsidRPr="00980269">
              <w:rPr>
                <w:b/>
              </w:rPr>
              <w:t xml:space="preserve"> </w:t>
            </w:r>
            <w:r w:rsidR="00980269" w:rsidRPr="00980269">
              <w:rPr>
                <w:b/>
              </w:rPr>
              <w:t>= (8</w:t>
            </w:r>
            <w:r w:rsidR="00A322A9" w:rsidRPr="00980269">
              <w:rPr>
                <w:b/>
              </w:rPr>
              <w:t>,</w:t>
            </w:r>
            <w:r w:rsidR="00980269" w:rsidRPr="00980269">
              <w:rPr>
                <w:b/>
              </w:rPr>
              <w:t>62</w:t>
            </w:r>
            <w:r w:rsidR="00A322A9" w:rsidRPr="00980269">
              <w:rPr>
                <w:b/>
              </w:rPr>
              <w:t xml:space="preserve"> x </w:t>
            </w:r>
            <w:r w:rsidR="00980269" w:rsidRPr="00980269">
              <w:rPr>
                <w:b/>
              </w:rPr>
              <w:t>10) x (119x1) = 10</w:t>
            </w:r>
            <w:r w:rsidR="005F348F" w:rsidRPr="00980269">
              <w:rPr>
                <w:b/>
              </w:rPr>
              <w:t> </w:t>
            </w:r>
            <w:r w:rsidR="00980269" w:rsidRPr="00980269">
              <w:rPr>
                <w:b/>
              </w:rPr>
              <w:t>257</w:t>
            </w:r>
            <w:r w:rsidR="005F348F" w:rsidRPr="00980269">
              <w:rPr>
                <w:b/>
              </w:rPr>
              <w:t>,</w:t>
            </w:r>
            <w:r w:rsidR="00980269" w:rsidRPr="00980269">
              <w:rPr>
                <w:b/>
              </w:rPr>
              <w:t>8</w:t>
            </w:r>
            <w:r w:rsidR="00642F2B">
              <w:rPr>
                <w:b/>
              </w:rPr>
              <w:t>0</w:t>
            </w:r>
            <w:r w:rsidR="00A322A9" w:rsidRPr="00980269">
              <w:rPr>
                <w:b/>
              </w:rPr>
              <w:t xml:space="preserve"> </w:t>
            </w:r>
            <w:r w:rsidR="00A322A9" w:rsidRPr="00980269">
              <w:rPr>
                <w:b/>
                <w:i/>
              </w:rPr>
              <w:t>euro</w:t>
            </w:r>
          </w:p>
          <w:p w14:paraId="42798A0A" w14:textId="3A6CDC0C" w:rsidR="00A322A9" w:rsidRPr="00FB41DC" w:rsidRDefault="00A322A9" w:rsidP="008F23E6"/>
        </w:tc>
      </w:tr>
      <w:tr w:rsidR="00537E7C" w:rsidRPr="00FB41DC" w14:paraId="74188118" w14:textId="77777777" w:rsidTr="00537E7C">
        <w:tc>
          <w:tcPr>
            <w:tcW w:w="592" w:type="dxa"/>
          </w:tcPr>
          <w:p w14:paraId="284C63BF" w14:textId="4F7CF7F7" w:rsidR="00537E7C" w:rsidRDefault="005520F7" w:rsidP="00537E7C">
            <w:pPr>
              <w:jc w:val="center"/>
            </w:pPr>
            <w:r>
              <w:lastRenderedPageBreak/>
              <w:t>4.</w:t>
            </w:r>
          </w:p>
        </w:tc>
        <w:tc>
          <w:tcPr>
            <w:tcW w:w="1736" w:type="dxa"/>
          </w:tcPr>
          <w:p w14:paraId="159B6789" w14:textId="697E56F9" w:rsidR="00537E7C" w:rsidRPr="00FB41DC" w:rsidRDefault="00537E7C" w:rsidP="00537E7C">
            <w:r w:rsidRPr="00E5390E">
              <w:rPr>
                <w:iCs/>
              </w:rPr>
              <w:t>Atbilstības izmaksu monetārs novērtējums</w:t>
            </w:r>
          </w:p>
        </w:tc>
        <w:tc>
          <w:tcPr>
            <w:tcW w:w="5968" w:type="dxa"/>
          </w:tcPr>
          <w:p w14:paraId="287712EF" w14:textId="77777777" w:rsidR="00537E7C" w:rsidRDefault="00537E7C" w:rsidP="00864178">
            <w:pPr>
              <w:pStyle w:val="NormalWeb"/>
              <w:ind w:right="57" w:firstLine="375"/>
            </w:pPr>
            <w:r w:rsidRPr="00ED7893">
              <w:t xml:space="preserve">Noteikumu projektam nav tiešas finansiālas ietekmes uz patērētājiem, jo </w:t>
            </w:r>
            <w:r>
              <w:t xml:space="preserve">ar Noteikumu projektu netiek ieviestas jaunas </w:t>
            </w:r>
            <w:r w:rsidRPr="00ED7893">
              <w:t xml:space="preserve">drošuma </w:t>
            </w:r>
            <w:r>
              <w:t>prasības</w:t>
            </w:r>
            <w:r w:rsidR="005520F7">
              <w:t xml:space="preserve"> ražotājiem, importētājiem vai izplatītājiem</w:t>
            </w:r>
            <w:r>
              <w:t xml:space="preserve">, kas neizriet no </w:t>
            </w:r>
            <w:r w:rsidRPr="00537E7C">
              <w:t>Pre</w:t>
            </w:r>
            <w:r>
              <w:t>ču un pakalpojumu drošuma likuma</w:t>
            </w:r>
            <w:r w:rsidRPr="00537E7C">
              <w:t>, Eiropas Parlamenta un Padomes Direktīvas 2001/95/EK (2001.</w:t>
            </w:r>
            <w:r w:rsidR="00864178">
              <w:t> </w:t>
            </w:r>
            <w:r w:rsidRPr="00537E7C">
              <w:t>gada 3.</w:t>
            </w:r>
            <w:r w:rsidR="00864178">
              <w:t> </w:t>
            </w:r>
            <w:r w:rsidRPr="00537E7C">
              <w:t>decembris) par produktu vispārēju drošību</w:t>
            </w:r>
            <w:r w:rsidR="005520F7">
              <w:t xml:space="preserve">, kā arī </w:t>
            </w:r>
            <w:r w:rsidR="005520F7" w:rsidRPr="005520F7">
              <w:t>nacionālā standarta statusā adaptētiem Eiropas standartiem</w:t>
            </w:r>
            <w:r w:rsidR="005520F7">
              <w:t xml:space="preserve"> un kas varētu ietekmēt spēļu vai citu aktivitāšu iekārtu</w:t>
            </w:r>
            <w:r w:rsidRPr="00ED7893">
              <w:t xml:space="preserve"> </w:t>
            </w:r>
            <w:r w:rsidR="005520F7">
              <w:t>un spēļu laukumu cenu.</w:t>
            </w:r>
            <w:r w:rsidR="00864178">
              <w:t xml:space="preserve"> Turklāt Noteikumu projekts ir attiecināms uz tādām spēļu vai citu aktivitāšu iekārtām vai laukumiem, kas tiek uzstādītas un piedāvātas publiskai lietošanai.</w:t>
            </w:r>
          </w:p>
          <w:p w14:paraId="05DFC1BF" w14:textId="6709888B" w:rsidR="00864178" w:rsidRDefault="00864178" w:rsidP="00864178">
            <w:pPr>
              <w:pStyle w:val="NormalWeb"/>
              <w:ind w:right="57" w:firstLine="375"/>
            </w:pPr>
            <w:r>
              <w:t xml:space="preserve">Noteikumu projekta prasības par pēcuzstādīšanas pārbaudi, kuru veic </w:t>
            </w:r>
            <w:r w:rsidRPr="00864178">
              <w:t>Nacionālajā akreditācijas institūcijā akreditēt</w:t>
            </w:r>
            <w:r w:rsidR="004C3EFF">
              <w:t>s</w:t>
            </w:r>
            <w:r w:rsidRPr="00864178">
              <w:t xml:space="preserve"> </w:t>
            </w:r>
            <w:r w:rsidR="004C3EFF">
              <w:t>pārbaudes veicējs</w:t>
            </w:r>
            <w:r>
              <w:t xml:space="preserve">, radīs izmaksas pašvaldībām vai citām juridiskām vai fiziskām personām, kuras uzstādīs un atvērs publiskai lietošanai jaunus spēļu laukumus vai spēļu un citu aktivitāšu iekārtas, taču konkrētus aprēķinus par monetāro novērtējumu nav iespējams veikt, jo nav zināms un prognozējams </w:t>
            </w:r>
            <w:r w:rsidR="009F3BDB" w:rsidRPr="009F3BDB">
              <w:t>jaunu</w:t>
            </w:r>
            <w:r w:rsidR="009F3BDB">
              <w:t xml:space="preserve"> spēļu laukumu</w:t>
            </w:r>
            <w:r w:rsidR="009F3BDB" w:rsidRPr="009F3BDB">
              <w:t xml:space="preserve"> vai sp</w:t>
            </w:r>
            <w:r w:rsidR="009F3BDB">
              <w:t>ēļu un citu aktivitāšu iekārtu uzstādīšanas gadījumu skaits, kuros šādas prasības būs piemērojamas. Savukārt attiecībā uz jau esošajiem spēļu laukumiem šādas prasības nav attiecināmas.</w:t>
            </w:r>
          </w:p>
        </w:tc>
      </w:tr>
      <w:tr w:rsidR="00A322A9" w:rsidRPr="00FB41DC" w14:paraId="2D166291" w14:textId="77777777" w:rsidTr="00537E7C">
        <w:tc>
          <w:tcPr>
            <w:tcW w:w="592" w:type="dxa"/>
          </w:tcPr>
          <w:p w14:paraId="73DD56FD" w14:textId="6BC2033A" w:rsidR="00A322A9" w:rsidRPr="00FB41DC" w:rsidRDefault="005520F7" w:rsidP="008F23E6">
            <w:pPr>
              <w:jc w:val="center"/>
            </w:pPr>
            <w:r>
              <w:t>5</w:t>
            </w:r>
            <w:r w:rsidR="00A322A9" w:rsidRPr="00FB41DC">
              <w:t>.</w:t>
            </w:r>
          </w:p>
        </w:tc>
        <w:tc>
          <w:tcPr>
            <w:tcW w:w="1736" w:type="dxa"/>
          </w:tcPr>
          <w:p w14:paraId="0D5F0E0A" w14:textId="77777777" w:rsidR="00A322A9" w:rsidRPr="00FB41DC" w:rsidRDefault="00A322A9" w:rsidP="008F23E6">
            <w:r w:rsidRPr="00FB41DC">
              <w:t>Cita informācija</w:t>
            </w:r>
          </w:p>
        </w:tc>
        <w:tc>
          <w:tcPr>
            <w:tcW w:w="5968" w:type="dxa"/>
          </w:tcPr>
          <w:p w14:paraId="12AA5F4A" w14:textId="77777777" w:rsidR="00A322A9" w:rsidRPr="00FB41DC" w:rsidRDefault="00A322A9" w:rsidP="008F23E6">
            <w:pPr>
              <w:jc w:val="both"/>
            </w:pPr>
            <w:r>
              <w:t>Nav</w:t>
            </w:r>
          </w:p>
        </w:tc>
      </w:tr>
    </w:tbl>
    <w:p w14:paraId="4ED00F7E" w14:textId="77777777" w:rsidR="00A322A9" w:rsidRDefault="00A322A9" w:rsidP="00A322A9"/>
    <w:p w14:paraId="1EEF452B" w14:textId="77777777" w:rsidR="00A322A9" w:rsidRDefault="00A322A9" w:rsidP="00A322A9"/>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2"/>
      </w:tblGrid>
      <w:tr w:rsidR="006B0B4A" w14:paraId="6D07EE5E" w14:textId="77777777" w:rsidTr="00F47204">
        <w:trPr>
          <w:jc w:val="center"/>
        </w:trPr>
        <w:tc>
          <w:tcPr>
            <w:tcW w:w="8642" w:type="dxa"/>
            <w:vAlign w:val="center"/>
          </w:tcPr>
          <w:p w14:paraId="3A8A771A" w14:textId="40808E4F" w:rsidR="006B0B4A" w:rsidRPr="00ED0DDD" w:rsidRDefault="006B0B4A" w:rsidP="006B0B4A">
            <w:pPr>
              <w:pStyle w:val="naisnod"/>
              <w:spacing w:before="0" w:after="0"/>
            </w:pPr>
            <w:r w:rsidRPr="00ED7893">
              <w:rPr>
                <w:iCs/>
              </w:rPr>
              <w:t>III. Tiesību akta projekta ietekme uz valsts budžetu un pašvaldību budžetiem</w:t>
            </w:r>
          </w:p>
        </w:tc>
      </w:tr>
      <w:tr w:rsidR="006B0B4A" w14:paraId="4C3EF791" w14:textId="77777777" w:rsidTr="00F47204">
        <w:trPr>
          <w:jc w:val="center"/>
        </w:trPr>
        <w:tc>
          <w:tcPr>
            <w:tcW w:w="8642" w:type="dxa"/>
            <w:tcBorders>
              <w:bottom w:val="single" w:sz="4" w:space="0" w:color="auto"/>
            </w:tcBorders>
          </w:tcPr>
          <w:p w14:paraId="1FB05F26" w14:textId="1DFBE26D" w:rsidR="006B0B4A" w:rsidRPr="001C41C6" w:rsidRDefault="006B0B4A" w:rsidP="006B0B4A">
            <w:pPr>
              <w:pStyle w:val="naisnod"/>
              <w:spacing w:before="0" w:after="0"/>
              <w:rPr>
                <w:b w:val="0"/>
              </w:rPr>
            </w:pPr>
            <w:r w:rsidRPr="001C41C6">
              <w:rPr>
                <w:b w:val="0"/>
              </w:rPr>
              <w:t>Noteikumu projekts šo jomu neskar</w:t>
            </w:r>
          </w:p>
        </w:tc>
      </w:tr>
      <w:tr w:rsidR="00C82DF5" w14:paraId="5BECBFAE" w14:textId="77777777" w:rsidTr="00F47204">
        <w:trPr>
          <w:jc w:val="center"/>
        </w:trPr>
        <w:tc>
          <w:tcPr>
            <w:tcW w:w="8642" w:type="dxa"/>
            <w:tcBorders>
              <w:left w:val="nil"/>
              <w:right w:val="nil"/>
            </w:tcBorders>
          </w:tcPr>
          <w:p w14:paraId="6239BBF6" w14:textId="77777777" w:rsidR="00C82DF5" w:rsidRPr="00ED0DDD" w:rsidRDefault="00C82DF5" w:rsidP="006B0B4A">
            <w:pPr>
              <w:pStyle w:val="naisnod"/>
              <w:spacing w:before="0" w:after="0"/>
            </w:pPr>
          </w:p>
        </w:tc>
      </w:tr>
      <w:tr w:rsidR="006B0B4A" w14:paraId="35F7903C" w14:textId="77777777" w:rsidTr="00F47204">
        <w:trPr>
          <w:jc w:val="center"/>
        </w:trPr>
        <w:tc>
          <w:tcPr>
            <w:tcW w:w="8642" w:type="dxa"/>
          </w:tcPr>
          <w:p w14:paraId="5C3D47C7" w14:textId="77777777" w:rsidR="006B0B4A" w:rsidRDefault="006B0B4A" w:rsidP="006B0B4A">
            <w:pPr>
              <w:pStyle w:val="naisnod"/>
              <w:spacing w:before="0" w:after="0"/>
              <w:rPr>
                <w:sz w:val="22"/>
              </w:rPr>
            </w:pPr>
            <w:r w:rsidRPr="00ED0DDD">
              <w:t>IV. Tiesību akta projekta ietekme uz spēkā esošo tiesību normu sistēmu</w:t>
            </w:r>
          </w:p>
        </w:tc>
      </w:tr>
      <w:tr w:rsidR="006B0B4A" w:rsidRPr="002F1307" w14:paraId="12051413" w14:textId="77777777" w:rsidTr="00F47204">
        <w:trPr>
          <w:jc w:val="center"/>
        </w:trPr>
        <w:tc>
          <w:tcPr>
            <w:tcW w:w="8642" w:type="dxa"/>
            <w:tcBorders>
              <w:bottom w:val="single" w:sz="4" w:space="0" w:color="auto"/>
            </w:tcBorders>
          </w:tcPr>
          <w:p w14:paraId="52F81331" w14:textId="3E5C415D" w:rsidR="006B0B4A" w:rsidRPr="002F1307" w:rsidRDefault="006B0B4A" w:rsidP="00642F2B">
            <w:pPr>
              <w:pStyle w:val="naisf"/>
              <w:spacing w:before="0" w:after="0"/>
              <w:ind w:firstLine="0"/>
              <w:jc w:val="center"/>
            </w:pPr>
            <w:r>
              <w:t>Noteikumu projekts šo jomu neskar</w:t>
            </w:r>
          </w:p>
        </w:tc>
      </w:tr>
    </w:tbl>
    <w:p w14:paraId="207AC19B" w14:textId="77777777" w:rsidR="00F47204" w:rsidRDefault="00F47204" w:rsidP="00F47204"/>
    <w:tbl>
      <w:tblPr>
        <w:tblStyle w:val="TableGrid"/>
        <w:tblW w:w="9498" w:type="dxa"/>
        <w:tblInd w:w="-572" w:type="dxa"/>
        <w:tblLook w:val="04A0" w:firstRow="1" w:lastRow="0" w:firstColumn="1" w:lastColumn="0" w:noHBand="0" w:noVBand="1"/>
      </w:tblPr>
      <w:tblGrid>
        <w:gridCol w:w="983"/>
        <w:gridCol w:w="2703"/>
        <w:gridCol w:w="5812"/>
      </w:tblGrid>
      <w:tr w:rsidR="00F47204" w14:paraId="6CB78D84" w14:textId="77777777" w:rsidTr="00F47204">
        <w:trPr>
          <w:trHeight w:val="273"/>
        </w:trPr>
        <w:tc>
          <w:tcPr>
            <w:tcW w:w="9498" w:type="dxa"/>
            <w:gridSpan w:val="3"/>
            <w:tcBorders>
              <w:top w:val="single" w:sz="4" w:space="0" w:color="auto"/>
              <w:left w:val="single" w:sz="4" w:space="0" w:color="auto"/>
              <w:bottom w:val="single" w:sz="4" w:space="0" w:color="auto"/>
              <w:right w:val="single" w:sz="4" w:space="0" w:color="auto"/>
            </w:tcBorders>
            <w:hideMark/>
          </w:tcPr>
          <w:p w14:paraId="20620DC9" w14:textId="77777777" w:rsidR="00F47204" w:rsidRDefault="00F47204" w:rsidP="00F47204">
            <w:pPr>
              <w:ind w:left="-546"/>
              <w:jc w:val="center"/>
              <w:rPr>
                <w:b/>
              </w:rPr>
            </w:pPr>
            <w:r>
              <w:rPr>
                <w:b/>
              </w:rPr>
              <w:t>V. Tiesību akta atbilstība Latvijas Republikas starptautiskajām saistībām</w:t>
            </w:r>
          </w:p>
        </w:tc>
      </w:tr>
      <w:tr w:rsidR="00F47204" w14:paraId="73EA6B3B" w14:textId="77777777" w:rsidTr="00F47204">
        <w:trPr>
          <w:cantSplit/>
          <w:trHeight w:val="599"/>
        </w:trPr>
        <w:tc>
          <w:tcPr>
            <w:tcW w:w="983" w:type="dxa"/>
            <w:tcBorders>
              <w:top w:val="single" w:sz="4" w:space="0" w:color="auto"/>
              <w:left w:val="single" w:sz="4" w:space="0" w:color="auto"/>
              <w:bottom w:val="single" w:sz="4" w:space="0" w:color="auto"/>
              <w:right w:val="single" w:sz="4" w:space="0" w:color="auto"/>
            </w:tcBorders>
            <w:hideMark/>
          </w:tcPr>
          <w:p w14:paraId="58BCF551" w14:textId="77777777" w:rsidR="00F47204" w:rsidRDefault="00F47204">
            <w:pPr>
              <w:pStyle w:val="NoSpacing"/>
              <w:jc w:val="both"/>
            </w:pPr>
            <w:r>
              <w:t>1.</w:t>
            </w:r>
          </w:p>
        </w:tc>
        <w:tc>
          <w:tcPr>
            <w:tcW w:w="2703" w:type="dxa"/>
            <w:tcBorders>
              <w:top w:val="single" w:sz="4" w:space="0" w:color="auto"/>
              <w:left w:val="single" w:sz="4" w:space="0" w:color="auto"/>
              <w:bottom w:val="single" w:sz="4" w:space="0" w:color="auto"/>
              <w:right w:val="single" w:sz="4" w:space="0" w:color="auto"/>
            </w:tcBorders>
            <w:hideMark/>
          </w:tcPr>
          <w:p w14:paraId="641C01B6" w14:textId="77777777" w:rsidR="00F47204" w:rsidRDefault="00F47204">
            <w:pPr>
              <w:pStyle w:val="NoSpacing"/>
              <w:jc w:val="both"/>
            </w:pPr>
            <w:r>
              <w:t>Saistības pret Eiropas Savienību</w:t>
            </w:r>
          </w:p>
        </w:tc>
        <w:tc>
          <w:tcPr>
            <w:tcW w:w="5812" w:type="dxa"/>
            <w:tcBorders>
              <w:top w:val="single" w:sz="4" w:space="0" w:color="auto"/>
              <w:left w:val="single" w:sz="4" w:space="0" w:color="auto"/>
              <w:bottom w:val="single" w:sz="4" w:space="0" w:color="auto"/>
              <w:right w:val="single" w:sz="4" w:space="0" w:color="auto"/>
            </w:tcBorders>
            <w:hideMark/>
          </w:tcPr>
          <w:p w14:paraId="217A826E" w14:textId="573CBFD0" w:rsidR="00F47204" w:rsidRDefault="00F47204">
            <w:pPr>
              <w:pStyle w:val="NoSpacing"/>
              <w:jc w:val="both"/>
            </w:pPr>
            <w:r>
              <w:t>Noteikumu projekts šo jomu neskar</w:t>
            </w:r>
          </w:p>
        </w:tc>
      </w:tr>
      <w:tr w:rsidR="00F47204" w14:paraId="408F3026" w14:textId="77777777" w:rsidTr="00F47204">
        <w:trPr>
          <w:cantSplit/>
          <w:trHeight w:val="608"/>
        </w:trPr>
        <w:tc>
          <w:tcPr>
            <w:tcW w:w="983" w:type="dxa"/>
            <w:tcBorders>
              <w:top w:val="single" w:sz="4" w:space="0" w:color="auto"/>
              <w:left w:val="single" w:sz="4" w:space="0" w:color="auto"/>
              <w:bottom w:val="single" w:sz="4" w:space="0" w:color="auto"/>
              <w:right w:val="single" w:sz="4" w:space="0" w:color="auto"/>
            </w:tcBorders>
            <w:hideMark/>
          </w:tcPr>
          <w:p w14:paraId="0320BC42" w14:textId="77777777" w:rsidR="00F47204" w:rsidRDefault="00F47204">
            <w:pPr>
              <w:pStyle w:val="NoSpacing"/>
              <w:jc w:val="both"/>
            </w:pPr>
            <w:r>
              <w:t>2.</w:t>
            </w:r>
          </w:p>
        </w:tc>
        <w:tc>
          <w:tcPr>
            <w:tcW w:w="2703" w:type="dxa"/>
            <w:tcBorders>
              <w:top w:val="single" w:sz="4" w:space="0" w:color="auto"/>
              <w:left w:val="single" w:sz="4" w:space="0" w:color="auto"/>
              <w:bottom w:val="single" w:sz="4" w:space="0" w:color="auto"/>
              <w:right w:val="single" w:sz="4" w:space="0" w:color="auto"/>
            </w:tcBorders>
            <w:hideMark/>
          </w:tcPr>
          <w:p w14:paraId="19E2F357" w14:textId="77777777" w:rsidR="00F47204" w:rsidRDefault="00F47204">
            <w:pPr>
              <w:pStyle w:val="NoSpacing"/>
              <w:jc w:val="both"/>
            </w:pPr>
            <w:r>
              <w:t xml:space="preserve">Citas starptautiskās saistības </w:t>
            </w:r>
          </w:p>
        </w:tc>
        <w:tc>
          <w:tcPr>
            <w:tcW w:w="5812" w:type="dxa"/>
            <w:tcBorders>
              <w:top w:val="single" w:sz="4" w:space="0" w:color="auto"/>
              <w:left w:val="single" w:sz="4" w:space="0" w:color="auto"/>
              <w:bottom w:val="single" w:sz="4" w:space="0" w:color="auto"/>
              <w:right w:val="single" w:sz="4" w:space="0" w:color="auto"/>
            </w:tcBorders>
          </w:tcPr>
          <w:p w14:paraId="329E0F66" w14:textId="5DCBEF39" w:rsidR="00F47204" w:rsidRDefault="00F47204">
            <w:pPr>
              <w:pStyle w:val="naiskr"/>
              <w:spacing w:before="0" w:after="0"/>
              <w:ind w:right="57"/>
              <w:jc w:val="both"/>
            </w:pPr>
            <w:r>
              <w:t>Noteikumu projekts šo jomu neskar</w:t>
            </w:r>
          </w:p>
          <w:p w14:paraId="74C18EC6" w14:textId="77777777" w:rsidR="00F47204" w:rsidRDefault="00F47204">
            <w:pPr>
              <w:pStyle w:val="NoSpacing"/>
              <w:jc w:val="both"/>
            </w:pPr>
          </w:p>
        </w:tc>
      </w:tr>
      <w:tr w:rsidR="00F47204" w14:paraId="4AA76219" w14:textId="77777777" w:rsidTr="00F47204">
        <w:trPr>
          <w:cantSplit/>
          <w:trHeight w:val="453"/>
        </w:trPr>
        <w:tc>
          <w:tcPr>
            <w:tcW w:w="983" w:type="dxa"/>
            <w:tcBorders>
              <w:top w:val="single" w:sz="4" w:space="0" w:color="auto"/>
              <w:left w:val="single" w:sz="4" w:space="0" w:color="auto"/>
              <w:bottom w:val="single" w:sz="4" w:space="0" w:color="auto"/>
              <w:right w:val="single" w:sz="4" w:space="0" w:color="auto"/>
            </w:tcBorders>
            <w:hideMark/>
          </w:tcPr>
          <w:p w14:paraId="50370323" w14:textId="77777777" w:rsidR="00F47204" w:rsidRDefault="00F47204">
            <w:pPr>
              <w:pStyle w:val="NoSpacing"/>
              <w:jc w:val="both"/>
            </w:pPr>
            <w:r>
              <w:t>3.</w:t>
            </w:r>
          </w:p>
        </w:tc>
        <w:tc>
          <w:tcPr>
            <w:tcW w:w="2703" w:type="dxa"/>
            <w:tcBorders>
              <w:top w:val="single" w:sz="4" w:space="0" w:color="auto"/>
              <w:left w:val="single" w:sz="4" w:space="0" w:color="auto"/>
              <w:bottom w:val="single" w:sz="4" w:space="0" w:color="auto"/>
              <w:right w:val="single" w:sz="4" w:space="0" w:color="auto"/>
            </w:tcBorders>
            <w:hideMark/>
          </w:tcPr>
          <w:p w14:paraId="69802DAE" w14:textId="77777777" w:rsidR="00F47204" w:rsidRDefault="00F47204">
            <w:pPr>
              <w:pStyle w:val="NoSpacing"/>
              <w:jc w:val="both"/>
            </w:pPr>
            <w:r>
              <w:t xml:space="preserve">Cita informācija </w:t>
            </w:r>
          </w:p>
        </w:tc>
        <w:tc>
          <w:tcPr>
            <w:tcW w:w="5812" w:type="dxa"/>
            <w:tcBorders>
              <w:top w:val="single" w:sz="4" w:space="0" w:color="auto"/>
              <w:left w:val="single" w:sz="4" w:space="0" w:color="auto"/>
              <w:bottom w:val="single" w:sz="4" w:space="0" w:color="auto"/>
              <w:right w:val="single" w:sz="4" w:space="0" w:color="auto"/>
            </w:tcBorders>
            <w:hideMark/>
          </w:tcPr>
          <w:p w14:paraId="75654F7D" w14:textId="77777777" w:rsidR="00F47204" w:rsidRDefault="00F47204">
            <w:pPr>
              <w:pStyle w:val="NoSpacing"/>
              <w:jc w:val="both"/>
            </w:pPr>
            <w:r>
              <w:t>Nav</w:t>
            </w:r>
          </w:p>
        </w:tc>
      </w:tr>
    </w:tbl>
    <w:p w14:paraId="126B444F" w14:textId="77777777" w:rsidR="00F47204" w:rsidRDefault="00F47204" w:rsidP="00F47204"/>
    <w:tbl>
      <w:tblPr>
        <w:tblW w:w="5729"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25"/>
        <w:gridCol w:w="1798"/>
        <w:gridCol w:w="2111"/>
        <w:gridCol w:w="2365"/>
      </w:tblGrid>
      <w:tr w:rsidR="00F47204" w14:paraId="7A7BBACD" w14:textId="77777777" w:rsidTr="00F47204">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38283B67" w14:textId="77777777" w:rsidR="00F47204" w:rsidRDefault="00F47204">
            <w:pPr>
              <w:jc w:val="center"/>
              <w:rPr>
                <w:b/>
                <w:bCs/>
              </w:rPr>
            </w:pPr>
            <w:r>
              <w:rPr>
                <w:b/>
                <w:bCs/>
              </w:rPr>
              <w:t>1.tabula</w:t>
            </w:r>
            <w:r>
              <w:rPr>
                <w:b/>
                <w:bCs/>
              </w:rPr>
              <w:br/>
              <w:t>Tiesību akta projekta atbilstība ES tiesību aktiem</w:t>
            </w:r>
          </w:p>
        </w:tc>
      </w:tr>
      <w:tr w:rsidR="00F47204" w14:paraId="49140BDC"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77BA4940" w14:textId="77777777" w:rsidR="00F47204" w:rsidRDefault="00F47204">
            <w:pPr>
              <w:jc w:val="center"/>
            </w:pPr>
            <w:r>
              <w:t xml:space="preserve"> Attiecīgā ES tiesību akta datums, numurs un nosaukums</w:t>
            </w:r>
          </w:p>
        </w:tc>
        <w:tc>
          <w:tcPr>
            <w:tcW w:w="3303" w:type="pct"/>
            <w:gridSpan w:val="3"/>
            <w:tcBorders>
              <w:top w:val="outset" w:sz="6" w:space="0" w:color="000000"/>
              <w:left w:val="outset" w:sz="6" w:space="0" w:color="000000"/>
              <w:bottom w:val="outset" w:sz="6" w:space="0" w:color="000000"/>
              <w:right w:val="outset" w:sz="6" w:space="0" w:color="000000"/>
            </w:tcBorders>
            <w:vAlign w:val="center"/>
            <w:hideMark/>
          </w:tcPr>
          <w:p w14:paraId="409902FA" w14:textId="0CA7C7F8" w:rsidR="00F47204" w:rsidRDefault="00F47204">
            <w:pPr>
              <w:jc w:val="both"/>
            </w:pPr>
            <w:r>
              <w:t>Noteikumu projekts šo jomu neskar</w:t>
            </w:r>
          </w:p>
        </w:tc>
      </w:tr>
      <w:tr w:rsidR="00F47204" w14:paraId="27ED4ED1" w14:textId="77777777" w:rsidTr="00F47204">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14:paraId="2117C500" w14:textId="77777777" w:rsidR="00F47204" w:rsidRDefault="00F47204">
            <w:r>
              <w:t> </w:t>
            </w:r>
          </w:p>
        </w:tc>
      </w:tr>
      <w:tr w:rsidR="00F47204" w14:paraId="1E5A031E"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55F57C25" w14:textId="77777777" w:rsidR="00F47204" w:rsidRDefault="00F47204">
            <w:pPr>
              <w:jc w:val="center"/>
            </w:pPr>
            <w:r>
              <w:lastRenderedPageBreak/>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A87793" w14:textId="77777777" w:rsidR="00F47204" w:rsidRDefault="00F47204">
            <w:pPr>
              <w:jc w:val="center"/>
            </w:pPr>
            <w:r>
              <w:t>B</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001DF6" w14:textId="77777777" w:rsidR="00F47204" w:rsidRDefault="00F47204">
            <w:pPr>
              <w:jc w:val="center"/>
            </w:pPr>
            <w:r>
              <w:t>C</w:t>
            </w:r>
          </w:p>
        </w:tc>
        <w:tc>
          <w:tcPr>
            <w:tcW w:w="1245" w:type="pct"/>
            <w:tcBorders>
              <w:top w:val="outset" w:sz="6" w:space="0" w:color="000000"/>
              <w:left w:val="outset" w:sz="6" w:space="0" w:color="000000"/>
              <w:bottom w:val="outset" w:sz="6" w:space="0" w:color="000000"/>
              <w:right w:val="outset" w:sz="6" w:space="0" w:color="000000"/>
            </w:tcBorders>
            <w:vAlign w:val="center"/>
            <w:hideMark/>
          </w:tcPr>
          <w:p w14:paraId="7E8A6538" w14:textId="77777777" w:rsidR="00F47204" w:rsidRDefault="00F47204">
            <w:pPr>
              <w:jc w:val="center"/>
            </w:pPr>
            <w:r>
              <w:t>D</w:t>
            </w:r>
          </w:p>
        </w:tc>
      </w:tr>
      <w:tr w:rsidR="00F47204" w14:paraId="29AE4A3A" w14:textId="77777777" w:rsidTr="00F47204">
        <w:tc>
          <w:tcPr>
            <w:tcW w:w="1697" w:type="pct"/>
            <w:tcBorders>
              <w:top w:val="outset" w:sz="6" w:space="0" w:color="000000"/>
              <w:left w:val="outset" w:sz="6" w:space="0" w:color="000000"/>
              <w:bottom w:val="outset" w:sz="6" w:space="0" w:color="000000"/>
              <w:right w:val="outset" w:sz="6" w:space="0" w:color="000000"/>
            </w:tcBorders>
            <w:hideMark/>
          </w:tcPr>
          <w:p w14:paraId="7E364D6B" w14:textId="77777777" w:rsidR="00F47204" w:rsidRDefault="00F47204">
            <w:r>
              <w:t>Attiecīgā ES tiesību akta panta numurs (uzskaitot katru tiesību akta</w:t>
            </w:r>
            <w: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hideMark/>
          </w:tcPr>
          <w:p w14:paraId="0444F291" w14:textId="77777777" w:rsidR="00F47204" w:rsidRDefault="00F47204">
            <w: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641A5F58" w14:textId="77777777" w:rsidR="00F47204" w:rsidRDefault="00F47204">
            <w:pPr>
              <w:pStyle w:val="naiskr"/>
              <w:spacing w:before="0" w:after="0"/>
            </w:pPr>
            <w:r>
              <w:t>Informācija par to, vai šīs tabulas A ailē minētās ES tiesību akta vienības tiek pārņemtas vai ieviestas pilnībā vai daļēji.</w:t>
            </w:r>
          </w:p>
          <w:p w14:paraId="62C8956C" w14:textId="77777777" w:rsidR="00F47204" w:rsidRDefault="00F47204">
            <w:pPr>
              <w:pStyle w:val="naiskr"/>
              <w:spacing w:before="0" w:after="0"/>
            </w:pPr>
            <w:r>
              <w:t>Ja attiecīgā ES tiesību akta vienība tiek pārņemta, vai ieviesta daļēji, – sniedz attiecīgu skaidrojumu, kā arī precīzi norāda, kad un kādā veidā ES tiesību akta vienība tiks pārņemta vai ieviesta pilnībā.</w:t>
            </w:r>
          </w:p>
          <w:p w14:paraId="44194400" w14:textId="77777777" w:rsidR="00F47204" w:rsidRDefault="00F47204">
            <w:pPr>
              <w:pStyle w:val="naiskr"/>
              <w:spacing w:before="0" w:after="0"/>
            </w:pPr>
            <w:r>
              <w:t>Norāda institūciju, kas ir atbildīga par šo saistību izpildi pilnībā</w:t>
            </w:r>
          </w:p>
          <w:p w14:paraId="18527FD5" w14:textId="77777777" w:rsidR="00F47204" w:rsidRDefault="00F47204"/>
        </w:tc>
        <w:tc>
          <w:tcPr>
            <w:tcW w:w="1245" w:type="pct"/>
            <w:tcBorders>
              <w:top w:val="outset" w:sz="6" w:space="0" w:color="000000"/>
              <w:left w:val="outset" w:sz="6" w:space="0" w:color="000000"/>
              <w:bottom w:val="outset" w:sz="6" w:space="0" w:color="000000"/>
              <w:right w:val="outset" w:sz="6" w:space="0" w:color="000000"/>
            </w:tcBorders>
            <w:hideMark/>
          </w:tcPr>
          <w:p w14:paraId="2FFEBAF6" w14:textId="77777777" w:rsidR="00F47204" w:rsidRDefault="00F47204">
            <w:pPr>
              <w:pStyle w:val="naiskr"/>
              <w:spacing w:before="0" w:after="0"/>
            </w:pPr>
            <w:r>
              <w:t>Informācija par to, vai šīs tabulas B ailē minētās projekta vienības paredz stingrākas prasības nekā šīs tabulas A ailē minētās ES tiesību akta vienības.</w:t>
            </w:r>
          </w:p>
          <w:p w14:paraId="5A574C21" w14:textId="77777777" w:rsidR="00F47204" w:rsidRDefault="00F47204">
            <w:pPr>
              <w:pStyle w:val="naiskr"/>
              <w:spacing w:before="0" w:after="0"/>
            </w:pPr>
            <w:r>
              <w:t>Ja projekts satur stingrākas prasības nekā attiecīgais ES tiesību akts, – norāda pamatojumu un samērīgumu.</w:t>
            </w:r>
          </w:p>
          <w:p w14:paraId="621062E1" w14:textId="77777777" w:rsidR="00F47204" w:rsidRDefault="00F47204">
            <w:pPr>
              <w:pStyle w:val="naiskr"/>
              <w:spacing w:before="0" w:after="0"/>
            </w:pPr>
            <w:r>
              <w:t>Norāda iespējamās alternatīvas (t.sk. alternatīvas, kas neparedz tiesiskā regulējuma izstrādi) – kādos gadījumos būtu iespējams izvairīties no stingrāku prasību noteikšanas, nekā paredzēts attiecīgajos ES tiesību aktos</w:t>
            </w:r>
          </w:p>
        </w:tc>
      </w:tr>
      <w:tr w:rsidR="00F47204" w14:paraId="6E868471"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1E62498C" w14:textId="77777777" w:rsidR="00F47204" w:rsidRDefault="00F47204">
            <w:r>
              <w:t>Kā ir izmantota ES tiesību aktā paredzētā rīcības brīvība dalībvalstij pārņemt vai ieviest noteiktas ES tiesību akta normas.</w:t>
            </w:r>
          </w:p>
          <w:p w14:paraId="3BAC355C" w14:textId="77777777" w:rsidR="00F47204" w:rsidRDefault="00F47204">
            <w:r>
              <w:t>Kādēļ?</w:t>
            </w:r>
          </w:p>
        </w:tc>
        <w:tc>
          <w:tcPr>
            <w:tcW w:w="3303" w:type="pct"/>
            <w:gridSpan w:val="3"/>
            <w:tcBorders>
              <w:top w:val="outset" w:sz="6" w:space="0" w:color="000000"/>
              <w:left w:val="outset" w:sz="6" w:space="0" w:color="000000"/>
              <w:bottom w:val="outset" w:sz="6" w:space="0" w:color="000000"/>
              <w:right w:val="outset" w:sz="6" w:space="0" w:color="000000"/>
            </w:tcBorders>
            <w:hideMark/>
          </w:tcPr>
          <w:p w14:paraId="5887D86C" w14:textId="75FA0A8B" w:rsidR="00F47204" w:rsidRDefault="00F47204">
            <w:r>
              <w:t>Noteikumu projekts šo jomu neskar.</w:t>
            </w:r>
          </w:p>
        </w:tc>
      </w:tr>
      <w:tr w:rsidR="00F47204" w14:paraId="6EBA91F7" w14:textId="77777777" w:rsidTr="00F47204">
        <w:tc>
          <w:tcPr>
            <w:tcW w:w="1697" w:type="pct"/>
            <w:tcBorders>
              <w:top w:val="outset" w:sz="6" w:space="0" w:color="000000"/>
              <w:left w:val="outset" w:sz="6" w:space="0" w:color="000000"/>
              <w:bottom w:val="outset" w:sz="6" w:space="0" w:color="000000"/>
              <w:right w:val="outset" w:sz="6" w:space="0" w:color="000000"/>
            </w:tcBorders>
            <w:vAlign w:val="center"/>
            <w:hideMark/>
          </w:tcPr>
          <w:p w14:paraId="3993E1C1" w14:textId="77777777" w:rsidR="00F47204" w:rsidRDefault="00F47204">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3" w:type="pct"/>
            <w:gridSpan w:val="3"/>
            <w:tcBorders>
              <w:top w:val="outset" w:sz="6" w:space="0" w:color="000000"/>
              <w:left w:val="outset" w:sz="6" w:space="0" w:color="000000"/>
              <w:bottom w:val="outset" w:sz="6" w:space="0" w:color="000000"/>
              <w:right w:val="outset" w:sz="6" w:space="0" w:color="000000"/>
            </w:tcBorders>
            <w:hideMark/>
          </w:tcPr>
          <w:p w14:paraId="302C40C5" w14:textId="1C0EB7FF" w:rsidR="00F47204" w:rsidRDefault="00F47204">
            <w:pPr>
              <w:jc w:val="both"/>
            </w:pPr>
            <w:r>
              <w:t xml:space="preserve">Noteikumu projekts ir tehniskie noteikumi, tāpēc tas </w:t>
            </w:r>
            <w:r w:rsidR="00F020E5">
              <w:t>tika</w:t>
            </w:r>
            <w:r>
              <w:t xml:space="preserve"> nosūt</w:t>
            </w:r>
            <w:r w:rsidR="00F020E5">
              <w:t>īts</w:t>
            </w:r>
            <w:r>
              <w:t xml:space="preserve"> saskaņošanai Eiropas Komisijai atbilstoši Eiropas Parlamenta un Padomes 2015. gada 9. septembra Direktīvai (ES) 2015/1535, ar ko nosaka informācijas sniegšanas kārtību tehnisko noteikumu un Informācijas sabiedrības pakalpojumu noteikumu jomā.</w:t>
            </w:r>
          </w:p>
          <w:p w14:paraId="7BB56AF4" w14:textId="3D187DBE" w:rsidR="0039070C" w:rsidRDefault="0039070C">
            <w:pPr>
              <w:jc w:val="both"/>
            </w:pPr>
            <w:r>
              <w:t xml:space="preserve">Saskaņojot Noteikumu projektu, Eiropas Komisija lūdza precizēt tā 11.punktu, aizstājot to ar standarta “vienotā tirgus klauzulu” par preču savstarpēju atzīšanu un papildus nosakot, ka uz Noteikumu projektu </w:t>
            </w:r>
            <w:r w:rsidRPr="0039070C">
              <w:t>līdz 2020. gada 18. aprīlim attiecas Eiropas Parlamenta un Padomes 2008. gada 9. jūlija Regula (EK) Nr. 764/2008, ar kuru nosaka procedūras, lai dažus valstu tehniskos noteikumus piemērotu citā dalībvalstī likumīgi tirgotiem produktiem, un ar kuru atceļ Lēmumu Nr. 3052/95/EK (OV L 218, 13.8.2008., 21. lpp.), un no 2020. gada 19. aprīļa uz to attiecas 2019. gada 19.</w:t>
            </w:r>
            <w:r>
              <w:t> </w:t>
            </w:r>
            <w:r w:rsidRPr="0039070C">
              <w:t>marta Regula (ES) Nr. 2019/515 par citā dalībvalstī likumīgi tirgotu preču savstarpēju atzīšanu</w:t>
            </w:r>
            <w:r>
              <w:t xml:space="preserve">. Rezultātā Noteikumu projekta 11. punktā ir ietverta standarta “vienotā </w:t>
            </w:r>
            <w:r>
              <w:lastRenderedPageBreak/>
              <w:t xml:space="preserve">tirgus klauzula” par preču savstarpēju atzīšanu, savukārt </w:t>
            </w:r>
            <w:r w:rsidR="00DD59CB">
              <w:t>atsauces uz minētajām regulām Noteikumu projekta 11. punktā ir vispārinātas kā tieši piemērojamie Eiropas Savienības tiesību akti par preču savstarpēju atzīšanu, ņemot vērā to, ka Noteikumu projekta paredzamajā darbības laikā viena no regulām aizstās otru un  turklāt regulu piemērojamības pārejas noteikumi ir atrunāti pašā regulā.</w:t>
            </w:r>
          </w:p>
          <w:p w14:paraId="794888F2" w14:textId="42EA437F" w:rsidR="00F020E5" w:rsidRDefault="00F020E5">
            <w:pPr>
              <w:jc w:val="both"/>
            </w:pPr>
          </w:p>
        </w:tc>
      </w:tr>
      <w:tr w:rsidR="00F47204" w14:paraId="788A6512" w14:textId="77777777" w:rsidTr="00F47204">
        <w:tc>
          <w:tcPr>
            <w:tcW w:w="1697" w:type="pct"/>
            <w:tcBorders>
              <w:top w:val="outset" w:sz="6" w:space="0" w:color="000000"/>
              <w:left w:val="outset" w:sz="6" w:space="0" w:color="000000"/>
              <w:bottom w:val="outset" w:sz="6" w:space="0" w:color="000000"/>
              <w:right w:val="outset" w:sz="6" w:space="0" w:color="000000"/>
            </w:tcBorders>
            <w:hideMark/>
          </w:tcPr>
          <w:p w14:paraId="067E99DC" w14:textId="77777777" w:rsidR="00F47204" w:rsidRDefault="00F47204">
            <w:r>
              <w:lastRenderedPageBreak/>
              <w:t>Cita informācija</w:t>
            </w:r>
          </w:p>
        </w:tc>
        <w:tc>
          <w:tcPr>
            <w:tcW w:w="3303" w:type="pct"/>
            <w:gridSpan w:val="3"/>
            <w:tcBorders>
              <w:top w:val="outset" w:sz="6" w:space="0" w:color="000000"/>
              <w:left w:val="outset" w:sz="6" w:space="0" w:color="000000"/>
              <w:bottom w:val="outset" w:sz="6" w:space="0" w:color="000000"/>
              <w:right w:val="outset" w:sz="6" w:space="0" w:color="000000"/>
            </w:tcBorders>
            <w:hideMark/>
          </w:tcPr>
          <w:p w14:paraId="41E13A67" w14:textId="77777777" w:rsidR="00F47204" w:rsidRDefault="00F47204">
            <w:r>
              <w:t>Nav.</w:t>
            </w:r>
          </w:p>
        </w:tc>
      </w:tr>
    </w:tbl>
    <w:p w14:paraId="3B99E6D7" w14:textId="77777777" w:rsidR="00A322A9" w:rsidRPr="00FB41DC" w:rsidRDefault="00A322A9" w:rsidP="00A322A9"/>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848"/>
        <w:gridCol w:w="7365"/>
      </w:tblGrid>
      <w:tr w:rsidR="00A322A9" w:rsidRPr="00FB41DC" w14:paraId="2EEAE1E6" w14:textId="77777777" w:rsidTr="008A3121">
        <w:trPr>
          <w:jc w:val="center"/>
        </w:trPr>
        <w:tc>
          <w:tcPr>
            <w:tcW w:w="9634" w:type="dxa"/>
            <w:gridSpan w:val="3"/>
            <w:tcMar>
              <w:top w:w="57" w:type="dxa"/>
              <w:left w:w="57" w:type="dxa"/>
              <w:bottom w:w="57" w:type="dxa"/>
              <w:right w:w="57" w:type="dxa"/>
            </w:tcMar>
          </w:tcPr>
          <w:p w14:paraId="1A399A8D" w14:textId="77777777" w:rsidR="00A322A9" w:rsidRPr="00FB41DC" w:rsidRDefault="00A322A9" w:rsidP="008F23E6">
            <w:pPr>
              <w:pStyle w:val="naisnod"/>
              <w:spacing w:before="0" w:after="0"/>
              <w:ind w:left="57" w:right="57"/>
            </w:pPr>
            <w:r w:rsidRPr="00FB41DC">
              <w:t xml:space="preserve">VI. Sabiedrības līdzdalība un </w:t>
            </w:r>
            <w:r>
              <w:t>komunikācijas aktivitātes</w:t>
            </w:r>
          </w:p>
        </w:tc>
      </w:tr>
      <w:tr w:rsidR="00A322A9" w:rsidRPr="00FB41DC" w14:paraId="41E3EEC8" w14:textId="77777777" w:rsidTr="008A3121">
        <w:trPr>
          <w:trHeight w:val="553"/>
          <w:jc w:val="center"/>
        </w:trPr>
        <w:tc>
          <w:tcPr>
            <w:tcW w:w="421" w:type="dxa"/>
            <w:tcMar>
              <w:top w:w="57" w:type="dxa"/>
              <w:left w:w="57" w:type="dxa"/>
              <w:bottom w:w="57" w:type="dxa"/>
              <w:right w:w="57" w:type="dxa"/>
            </w:tcMar>
          </w:tcPr>
          <w:p w14:paraId="03E903C2" w14:textId="77777777" w:rsidR="00A322A9" w:rsidRPr="00FB41DC" w:rsidRDefault="00A322A9" w:rsidP="008F23E6">
            <w:pPr>
              <w:pStyle w:val="naiskr"/>
              <w:spacing w:before="0" w:after="0"/>
              <w:ind w:left="57" w:right="57"/>
              <w:rPr>
                <w:bCs/>
              </w:rPr>
            </w:pPr>
            <w:r w:rsidRPr="00FB41DC">
              <w:rPr>
                <w:bCs/>
              </w:rPr>
              <w:t>1.</w:t>
            </w:r>
          </w:p>
        </w:tc>
        <w:tc>
          <w:tcPr>
            <w:tcW w:w="1848" w:type="dxa"/>
            <w:tcMar>
              <w:top w:w="57" w:type="dxa"/>
              <w:left w:w="57" w:type="dxa"/>
              <w:bottom w:w="57" w:type="dxa"/>
              <w:right w:w="57" w:type="dxa"/>
            </w:tcMar>
          </w:tcPr>
          <w:p w14:paraId="1D41DCBB" w14:textId="77777777" w:rsidR="00A322A9" w:rsidRPr="00FB41DC" w:rsidRDefault="00A322A9" w:rsidP="008F23E6">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7365" w:type="dxa"/>
            <w:tcMar>
              <w:top w:w="57" w:type="dxa"/>
              <w:left w:w="57" w:type="dxa"/>
              <w:bottom w:w="57" w:type="dxa"/>
              <w:right w:w="57" w:type="dxa"/>
            </w:tcMar>
          </w:tcPr>
          <w:p w14:paraId="0E40399B" w14:textId="77777777" w:rsidR="00883926" w:rsidRPr="00883926" w:rsidRDefault="00883926" w:rsidP="00883926">
            <w:pPr>
              <w:pStyle w:val="naiskr"/>
              <w:ind w:left="57"/>
              <w:rPr>
                <w:bCs/>
                <w:iCs/>
              </w:rPr>
            </w:pPr>
            <w:r w:rsidRPr="00883926">
              <w:rPr>
                <w:bCs/>
              </w:rPr>
              <w:t>S</w:t>
            </w:r>
            <w:r w:rsidRPr="00883926">
              <w:rPr>
                <w:bCs/>
                <w:iCs/>
              </w:rPr>
              <w:t>abiedrības informēšana un līdzdalība noteikumu projekta izstrādē tiks nodrošināta:</w:t>
            </w:r>
          </w:p>
          <w:p w14:paraId="493F1EA8" w14:textId="77777777" w:rsidR="00883926" w:rsidRDefault="00883926" w:rsidP="00883926">
            <w:pPr>
              <w:pStyle w:val="naiskr"/>
              <w:numPr>
                <w:ilvl w:val="0"/>
                <w:numId w:val="6"/>
              </w:numPr>
              <w:rPr>
                <w:bCs/>
              </w:rPr>
            </w:pPr>
            <w:r w:rsidRPr="00883926">
              <w:rPr>
                <w:bCs/>
              </w:rPr>
              <w:t>publicējot to Ekonomikas ministrijas mājaslapā;</w:t>
            </w:r>
          </w:p>
          <w:p w14:paraId="02BDAEB4" w14:textId="04FF44D4" w:rsidR="00A322A9" w:rsidRPr="00883926" w:rsidRDefault="00883926" w:rsidP="00883926">
            <w:pPr>
              <w:pStyle w:val="naiskr"/>
              <w:numPr>
                <w:ilvl w:val="0"/>
                <w:numId w:val="6"/>
              </w:numPr>
              <w:rPr>
                <w:bCs/>
              </w:rPr>
            </w:pPr>
            <w:r w:rsidRPr="00883926">
              <w:rPr>
                <w:bCs/>
              </w:rPr>
              <w:t xml:space="preserve">nosūtot to Latvijas Tirdzniecības un rūpniecības kamerai, Latvijas Darba Devēju Konfederācijai, Latvijas </w:t>
            </w:r>
            <w:r w:rsidR="00B30391">
              <w:rPr>
                <w:bCs/>
              </w:rPr>
              <w:t>P</w:t>
            </w:r>
            <w:r w:rsidRPr="00883926">
              <w:rPr>
                <w:bCs/>
              </w:rPr>
              <w:t xml:space="preserve">ašvaldību savienībai, Latvijas Lielo pilsētu asociācijai, </w:t>
            </w:r>
            <w:r>
              <w:rPr>
                <w:bCs/>
              </w:rPr>
              <w:t>T</w:t>
            </w:r>
            <w:r w:rsidRPr="00883926">
              <w:rPr>
                <w:bCs/>
              </w:rPr>
              <w:t>ehnisko Ekspertu asociācija</w:t>
            </w:r>
            <w:r>
              <w:rPr>
                <w:bCs/>
              </w:rPr>
              <w:t>i</w:t>
            </w:r>
            <w:r w:rsidRPr="00883926">
              <w:rPr>
                <w:bCs/>
              </w:rPr>
              <w:t>.</w:t>
            </w:r>
          </w:p>
        </w:tc>
      </w:tr>
      <w:tr w:rsidR="00A322A9" w:rsidRPr="00FB41DC" w14:paraId="12BE980C" w14:textId="77777777" w:rsidTr="008A3121">
        <w:trPr>
          <w:trHeight w:val="339"/>
          <w:jc w:val="center"/>
        </w:trPr>
        <w:tc>
          <w:tcPr>
            <w:tcW w:w="421" w:type="dxa"/>
            <w:tcMar>
              <w:top w:w="57" w:type="dxa"/>
              <w:left w:w="57" w:type="dxa"/>
              <w:bottom w:w="57" w:type="dxa"/>
              <w:right w:w="57" w:type="dxa"/>
            </w:tcMar>
          </w:tcPr>
          <w:p w14:paraId="604C3BC2" w14:textId="77777777" w:rsidR="00A322A9" w:rsidRPr="00FB41DC" w:rsidRDefault="00A322A9" w:rsidP="008F23E6">
            <w:pPr>
              <w:pStyle w:val="naiskr"/>
              <w:spacing w:before="0" w:after="0"/>
              <w:ind w:left="57" w:right="57"/>
              <w:rPr>
                <w:bCs/>
              </w:rPr>
            </w:pPr>
            <w:r w:rsidRPr="00FB41DC">
              <w:rPr>
                <w:bCs/>
              </w:rPr>
              <w:t>2.</w:t>
            </w:r>
          </w:p>
        </w:tc>
        <w:tc>
          <w:tcPr>
            <w:tcW w:w="1848" w:type="dxa"/>
            <w:tcMar>
              <w:top w:w="57" w:type="dxa"/>
              <w:left w:w="57" w:type="dxa"/>
              <w:bottom w:w="57" w:type="dxa"/>
              <w:right w:w="57" w:type="dxa"/>
            </w:tcMar>
          </w:tcPr>
          <w:p w14:paraId="679D6ECB" w14:textId="77777777" w:rsidR="00A322A9" w:rsidRPr="00FB41DC" w:rsidRDefault="00A322A9" w:rsidP="008F23E6">
            <w:pPr>
              <w:pStyle w:val="naiskr"/>
              <w:spacing w:before="0" w:after="0"/>
              <w:ind w:left="57" w:right="57"/>
            </w:pPr>
            <w:r w:rsidRPr="00FB41DC">
              <w:t xml:space="preserve">Sabiedrības līdzdalība projekta izstrādē </w:t>
            </w:r>
          </w:p>
        </w:tc>
        <w:tc>
          <w:tcPr>
            <w:tcW w:w="7365" w:type="dxa"/>
            <w:tcMar>
              <w:top w:w="57" w:type="dxa"/>
              <w:left w:w="57" w:type="dxa"/>
              <w:bottom w:w="57" w:type="dxa"/>
              <w:right w:w="57" w:type="dxa"/>
            </w:tcMar>
          </w:tcPr>
          <w:p w14:paraId="2050339B" w14:textId="3C9E8474" w:rsidR="002978CF" w:rsidRDefault="00A322A9" w:rsidP="00C56413">
            <w:pPr>
              <w:pStyle w:val="naiskr"/>
              <w:spacing w:before="0" w:after="0"/>
              <w:ind w:right="57"/>
              <w:jc w:val="both"/>
            </w:pPr>
            <w:r>
              <w:t xml:space="preserve"> </w:t>
            </w:r>
            <w:r w:rsidR="002978CF">
              <w:t xml:space="preserve">Noteikumu projekts no 2019. gada </w:t>
            </w:r>
            <w:r w:rsidR="00443E90">
              <w:t>7</w:t>
            </w:r>
            <w:r w:rsidR="002978CF" w:rsidRPr="008A3121">
              <w:t>.</w:t>
            </w:r>
            <w:r w:rsidR="00AB618D">
              <w:t> </w:t>
            </w:r>
            <w:r w:rsidR="002978CF">
              <w:t>februāra</w:t>
            </w:r>
            <w:r w:rsidR="002978CF" w:rsidRPr="009B45E5">
              <w:t xml:space="preserve"> </w:t>
            </w:r>
            <w:r w:rsidR="002978CF">
              <w:t xml:space="preserve">ir pieejams </w:t>
            </w:r>
            <w:r w:rsidR="002978CF" w:rsidRPr="002978CF">
              <w:t>Ekonomikas ministrijas mājaslap</w:t>
            </w:r>
            <w:r w:rsidR="002978CF">
              <w:t>as sadaļā “Sabiedrības līdzdalība</w:t>
            </w:r>
          </w:p>
          <w:p w14:paraId="1DB0627A" w14:textId="6D582FCF" w:rsidR="00A322A9" w:rsidRPr="00FB41DC" w:rsidRDefault="00873630" w:rsidP="00C56413">
            <w:pPr>
              <w:pStyle w:val="naiskr"/>
              <w:spacing w:before="0" w:after="0"/>
              <w:ind w:right="57"/>
              <w:jc w:val="both"/>
            </w:pPr>
            <w:hyperlink r:id="rId9" w:history="1">
              <w:r w:rsidR="002978CF" w:rsidRPr="009072FD">
                <w:rPr>
                  <w:rStyle w:val="Hyperlink"/>
                </w:rPr>
                <w:t>https://www.em.gov.lv/lv/par_ministriju/sabiedribas_lidzdaliba/diskusiju/dokumenti</w:t>
              </w:r>
            </w:hyperlink>
            <w:r w:rsidR="002978CF">
              <w:t>”,</w:t>
            </w:r>
            <w:r w:rsidR="00883926">
              <w:t xml:space="preserve"> kā arī nosūtīts </w:t>
            </w:r>
            <w:r w:rsidR="00883926" w:rsidRPr="00883926">
              <w:rPr>
                <w:bCs/>
              </w:rPr>
              <w:t xml:space="preserve">Latvijas Tirdzniecības un rūpniecības kamerai, Latvijas Darba Devēju Konfederācijai, Latvijas </w:t>
            </w:r>
            <w:r w:rsidR="00B30391">
              <w:rPr>
                <w:bCs/>
              </w:rPr>
              <w:t>P</w:t>
            </w:r>
            <w:r w:rsidR="00883926" w:rsidRPr="00883926">
              <w:rPr>
                <w:bCs/>
              </w:rPr>
              <w:t xml:space="preserve">ašvaldību savienībai, Latvijas Lielo pilsētu asociācijai, </w:t>
            </w:r>
            <w:r w:rsidR="00883926">
              <w:rPr>
                <w:bCs/>
              </w:rPr>
              <w:t>T</w:t>
            </w:r>
            <w:r w:rsidR="00883926" w:rsidRPr="00883926">
              <w:rPr>
                <w:bCs/>
              </w:rPr>
              <w:t>ehnisko Ekspertu asociācija</w:t>
            </w:r>
            <w:r w:rsidR="00883926">
              <w:rPr>
                <w:bCs/>
              </w:rPr>
              <w:t>i.</w:t>
            </w:r>
            <w:r w:rsidR="002978CF">
              <w:t xml:space="preserve"> </w:t>
            </w:r>
            <w:r w:rsidR="00883926">
              <w:t>Ekonomikas ministrija</w:t>
            </w:r>
            <w:r w:rsidR="002978CF">
              <w:t xml:space="preserve"> ieinteresētajām personām </w:t>
            </w:r>
            <w:r w:rsidR="00883926">
              <w:t xml:space="preserve">deva </w:t>
            </w:r>
            <w:r w:rsidR="002978CF">
              <w:t>iespēj</w:t>
            </w:r>
            <w:r w:rsidR="00883926">
              <w:t>u</w:t>
            </w:r>
            <w:r w:rsidR="002978CF">
              <w:t xml:space="preserve"> izteikt viedokli un sniegt priekšlikumus</w:t>
            </w:r>
            <w:r w:rsidR="00AB618D">
              <w:t>, iesniedzot tos rakstveidā Ekonomikas ministrijai</w:t>
            </w:r>
            <w:r w:rsidR="002978CF">
              <w:t xml:space="preserve"> līdz </w:t>
            </w:r>
            <w:r w:rsidR="00AB618D">
              <w:t>2019. gada 24. februārim.</w:t>
            </w:r>
          </w:p>
        </w:tc>
      </w:tr>
      <w:tr w:rsidR="00A322A9" w:rsidRPr="00FB41DC" w14:paraId="228AEB77" w14:textId="77777777" w:rsidTr="008A3121">
        <w:trPr>
          <w:trHeight w:val="375"/>
          <w:jc w:val="center"/>
        </w:trPr>
        <w:tc>
          <w:tcPr>
            <w:tcW w:w="421" w:type="dxa"/>
            <w:tcMar>
              <w:top w:w="57" w:type="dxa"/>
              <w:left w:w="57" w:type="dxa"/>
              <w:bottom w:w="57" w:type="dxa"/>
              <w:right w:w="57" w:type="dxa"/>
            </w:tcMar>
          </w:tcPr>
          <w:p w14:paraId="34DBC0E7" w14:textId="77777777" w:rsidR="00A322A9" w:rsidRPr="00FB41DC" w:rsidRDefault="00A322A9" w:rsidP="008F23E6">
            <w:pPr>
              <w:pStyle w:val="naiskr"/>
              <w:spacing w:before="0" w:after="0"/>
              <w:ind w:left="57" w:right="57"/>
              <w:rPr>
                <w:bCs/>
              </w:rPr>
            </w:pPr>
            <w:r w:rsidRPr="00FB41DC">
              <w:rPr>
                <w:bCs/>
              </w:rPr>
              <w:t>3.</w:t>
            </w:r>
          </w:p>
        </w:tc>
        <w:tc>
          <w:tcPr>
            <w:tcW w:w="1848" w:type="dxa"/>
            <w:tcMar>
              <w:top w:w="57" w:type="dxa"/>
              <w:left w:w="57" w:type="dxa"/>
              <w:bottom w:w="57" w:type="dxa"/>
              <w:right w:w="57" w:type="dxa"/>
            </w:tcMar>
          </w:tcPr>
          <w:p w14:paraId="08B31390" w14:textId="77777777" w:rsidR="00A322A9" w:rsidRDefault="00A322A9" w:rsidP="008F23E6">
            <w:pPr>
              <w:pStyle w:val="naiskr"/>
              <w:spacing w:before="0" w:after="0"/>
              <w:ind w:left="57" w:right="57"/>
            </w:pPr>
            <w:r w:rsidRPr="00FB41DC">
              <w:t xml:space="preserve">Sabiedrības līdzdalības rezultāti </w:t>
            </w:r>
          </w:p>
          <w:p w14:paraId="41938688" w14:textId="77777777" w:rsidR="00A11C53" w:rsidRPr="00A11C53" w:rsidRDefault="00A11C53" w:rsidP="00A11C53"/>
          <w:p w14:paraId="468A3D9A" w14:textId="77777777" w:rsidR="00A11C53" w:rsidRPr="00A11C53" w:rsidRDefault="00A11C53" w:rsidP="00A11C53"/>
          <w:p w14:paraId="3F582172" w14:textId="77777777" w:rsidR="00A11C53" w:rsidRPr="00A11C53" w:rsidRDefault="00A11C53" w:rsidP="00A11C53"/>
          <w:p w14:paraId="4F7E4820" w14:textId="77777777" w:rsidR="00A11C53" w:rsidRPr="00A11C53" w:rsidRDefault="00A11C53" w:rsidP="00A11C53"/>
          <w:p w14:paraId="6C00C3A7" w14:textId="77777777" w:rsidR="00A11C53" w:rsidRPr="00A11C53" w:rsidRDefault="00A11C53" w:rsidP="00A11C53"/>
          <w:p w14:paraId="714B210B" w14:textId="77777777" w:rsidR="00A11C53" w:rsidRPr="00A11C53" w:rsidRDefault="00A11C53" w:rsidP="00A11C53"/>
          <w:p w14:paraId="2259DBD5" w14:textId="77777777" w:rsidR="00A11C53" w:rsidRPr="00A11C53" w:rsidRDefault="00A11C53" w:rsidP="00A11C53"/>
          <w:p w14:paraId="52E9E47D" w14:textId="77777777" w:rsidR="00A11C53" w:rsidRPr="00A11C53" w:rsidRDefault="00A11C53" w:rsidP="00A11C53"/>
          <w:p w14:paraId="0C9F2025" w14:textId="77777777" w:rsidR="00A11C53" w:rsidRPr="00A11C53" w:rsidRDefault="00A11C53" w:rsidP="00A11C53"/>
          <w:p w14:paraId="695B31A1" w14:textId="77777777" w:rsidR="00A11C53" w:rsidRPr="00A11C53" w:rsidRDefault="00A11C53" w:rsidP="00A11C53"/>
          <w:p w14:paraId="1033EA23" w14:textId="77777777" w:rsidR="00A11C53" w:rsidRPr="00A11C53" w:rsidRDefault="00A11C53" w:rsidP="00A11C53"/>
          <w:p w14:paraId="3FBBAE6F" w14:textId="77777777" w:rsidR="00A11C53" w:rsidRPr="00A11C53" w:rsidRDefault="00A11C53" w:rsidP="00A11C53"/>
          <w:p w14:paraId="42337939" w14:textId="77777777" w:rsidR="00A11C53" w:rsidRPr="00A11C53" w:rsidRDefault="00A11C53" w:rsidP="00A11C53"/>
          <w:p w14:paraId="5E33BBEA" w14:textId="77777777" w:rsidR="00A11C53" w:rsidRPr="00A11C53" w:rsidRDefault="00A11C53" w:rsidP="00A11C53"/>
          <w:p w14:paraId="446E71F8" w14:textId="77777777" w:rsidR="00A11C53" w:rsidRPr="00A11C53" w:rsidRDefault="00A11C53" w:rsidP="00A11C53"/>
          <w:p w14:paraId="7E0271B3" w14:textId="77777777" w:rsidR="00A11C53" w:rsidRPr="00A11C53" w:rsidRDefault="00A11C53" w:rsidP="00A11C53"/>
          <w:p w14:paraId="6E22EA02" w14:textId="77777777" w:rsidR="00A11C53" w:rsidRPr="00A11C53" w:rsidRDefault="00A11C53" w:rsidP="00A11C53"/>
          <w:p w14:paraId="3CFA837C" w14:textId="77777777" w:rsidR="00A11C53" w:rsidRPr="00A11C53" w:rsidRDefault="00A11C53" w:rsidP="00A11C53"/>
          <w:p w14:paraId="2E41DF10" w14:textId="77777777" w:rsidR="00A11C53" w:rsidRPr="00A11C53" w:rsidRDefault="00A11C53" w:rsidP="00A11C53"/>
          <w:p w14:paraId="069B9B65" w14:textId="77777777" w:rsidR="00A11C53" w:rsidRPr="00A11C53" w:rsidRDefault="00A11C53" w:rsidP="00A11C53"/>
          <w:p w14:paraId="4F7B12AB" w14:textId="77777777" w:rsidR="00A11C53" w:rsidRPr="00A11C53" w:rsidRDefault="00A11C53" w:rsidP="00A11C53"/>
          <w:p w14:paraId="60630228" w14:textId="77777777" w:rsidR="00A11C53" w:rsidRPr="00A11C53" w:rsidRDefault="00A11C53" w:rsidP="00A11C53"/>
          <w:p w14:paraId="05A0E57E" w14:textId="77777777" w:rsidR="00A11C53" w:rsidRPr="00A11C53" w:rsidRDefault="00A11C53" w:rsidP="00A11C53"/>
          <w:p w14:paraId="34601EF1" w14:textId="77777777" w:rsidR="00A11C53" w:rsidRPr="00A11C53" w:rsidRDefault="00A11C53" w:rsidP="00A11C53"/>
          <w:p w14:paraId="3627AE48" w14:textId="77777777" w:rsidR="00A11C53" w:rsidRPr="00A11C53" w:rsidRDefault="00A11C53" w:rsidP="00A11C53"/>
          <w:p w14:paraId="13B64A0F" w14:textId="77777777" w:rsidR="00A11C53" w:rsidRPr="00A11C53" w:rsidRDefault="00A11C53" w:rsidP="00A11C53"/>
          <w:p w14:paraId="6D324F6C" w14:textId="77777777" w:rsidR="00A11C53" w:rsidRPr="00A11C53" w:rsidRDefault="00A11C53" w:rsidP="00A11C53"/>
          <w:p w14:paraId="18099C87" w14:textId="77777777" w:rsidR="00A11C53" w:rsidRPr="00A11C53" w:rsidRDefault="00A11C53" w:rsidP="00A11C53"/>
          <w:p w14:paraId="37D772D2" w14:textId="12FA6C0C" w:rsidR="00A11C53" w:rsidRDefault="00A11C53" w:rsidP="00A11C53"/>
          <w:p w14:paraId="2C0FD22A" w14:textId="75FE6BDF" w:rsidR="00A11C53" w:rsidRPr="00A11C53" w:rsidRDefault="00A11C53" w:rsidP="00A11C53"/>
          <w:p w14:paraId="3C7D4951" w14:textId="77777777" w:rsidR="00A11C53" w:rsidRPr="00A11C53" w:rsidRDefault="00A11C53" w:rsidP="00A11C53"/>
          <w:p w14:paraId="4429BC4B" w14:textId="1029718D" w:rsidR="00A11C53" w:rsidRPr="00A11C53" w:rsidRDefault="00A11C53" w:rsidP="00A11C53"/>
          <w:p w14:paraId="20F5DBB5" w14:textId="77777777" w:rsidR="00A11C53" w:rsidRPr="00A11C53" w:rsidRDefault="00A11C53" w:rsidP="00A11C53"/>
          <w:p w14:paraId="7A0E8508" w14:textId="1A1282B0" w:rsidR="00A11C53" w:rsidRPr="00A11C53" w:rsidRDefault="00A11C53" w:rsidP="00A11C53"/>
          <w:p w14:paraId="532C5A4D" w14:textId="77777777" w:rsidR="00A11C53" w:rsidRPr="00A11C53" w:rsidRDefault="00A11C53" w:rsidP="00A11C53"/>
          <w:p w14:paraId="6C2BAFC8" w14:textId="63037F58" w:rsidR="00A11C53" w:rsidRPr="00A11C53" w:rsidRDefault="00A11C53" w:rsidP="00A11C53"/>
          <w:p w14:paraId="18393E32" w14:textId="77777777" w:rsidR="00A11C53" w:rsidRPr="00A11C53" w:rsidRDefault="00A11C53" w:rsidP="00A11C53"/>
          <w:p w14:paraId="043CA912" w14:textId="262EB836" w:rsidR="00A11C53" w:rsidRPr="00A11C53" w:rsidRDefault="00A11C53" w:rsidP="00A11C53"/>
          <w:p w14:paraId="695DAA95" w14:textId="77777777" w:rsidR="00A11C53" w:rsidRPr="00A11C53" w:rsidRDefault="00A11C53" w:rsidP="00A11C53"/>
          <w:p w14:paraId="6D842EC3" w14:textId="43C6AC94" w:rsidR="00A11C53" w:rsidRPr="00A11C53" w:rsidRDefault="00A11C53" w:rsidP="00A11C53"/>
        </w:tc>
        <w:tc>
          <w:tcPr>
            <w:tcW w:w="7365" w:type="dxa"/>
            <w:tcMar>
              <w:top w:w="57" w:type="dxa"/>
              <w:left w:w="57" w:type="dxa"/>
              <w:bottom w:w="57" w:type="dxa"/>
              <w:right w:w="57" w:type="dxa"/>
            </w:tcMar>
          </w:tcPr>
          <w:p w14:paraId="7100B037" w14:textId="67C20213" w:rsidR="00FE6A21" w:rsidRDefault="00883926" w:rsidP="008F23E6">
            <w:pPr>
              <w:pStyle w:val="naiskr"/>
              <w:spacing w:before="0" w:after="0"/>
              <w:ind w:right="57"/>
              <w:jc w:val="both"/>
            </w:pPr>
            <w:r>
              <w:lastRenderedPageBreak/>
              <w:t xml:space="preserve">Sabiedrības līdzdalības ietvaros viedokli par Noteikumu projektu sniedza Latvijas Lielo pilsētu asociācija, </w:t>
            </w:r>
            <w:r w:rsidR="00035DF9">
              <w:t xml:space="preserve">SIA “Bureau Veritas Latvia”, SIA “Fixman”, SIA “Play Inspect”, SIA “JŪRMALAS MEŽAPARKI”, SIA “GoPlay”. </w:t>
            </w:r>
            <w:r w:rsidR="00525F3C">
              <w:t>Sabiedriskās apspriešanas dalībnieki atbalsta Noteikumu projekta nepieciešamību un turpmāko virzību un vienlaikus sniedza priekšlikumus</w:t>
            </w:r>
            <w:r w:rsidR="00B418CC">
              <w:t>, kā arī lūdza atsevišķus skaidrojumus. Spēļu vai citu aktivitāšu</w:t>
            </w:r>
            <w:r w:rsidR="00B418CC" w:rsidRPr="00EE2B8C">
              <w:t xml:space="preserve"> iekārtu un spēļu laukumu </w:t>
            </w:r>
            <w:r w:rsidR="00B418CC">
              <w:t xml:space="preserve">piedāvātāju, kā arī to </w:t>
            </w:r>
            <w:r w:rsidR="00B418CC" w:rsidRPr="00EE2B8C">
              <w:t>apsaimniekotāj</w:t>
            </w:r>
            <w:r w:rsidR="00B418CC">
              <w:t xml:space="preserve">u pārstāvji pauda vispārēju viedokli, ka spēļu laukumu un iekārtu pārbaudes pēc iespējas ir jāvienkāršo un mazāk jāizvirza īpašas prasības pārbaužu veicēju akreditācijas utml. </w:t>
            </w:r>
            <w:r w:rsidR="007F6E42">
              <w:t>p</w:t>
            </w:r>
            <w:r w:rsidR="00B418CC">
              <w:t>rasības, savukārt spēļu laukumu pārbaužu veikšanas interesenti</w:t>
            </w:r>
            <w:r w:rsidR="007F6E42">
              <w:t xml:space="preserve"> pauda viedokli, ka ir jāveic stingras pārbaudes un pēc iespējas tas jāuztic akreditētiem savas jomas speciālistiem. Atsevišķi spēļu vai citu aktivitāšu</w:t>
            </w:r>
            <w:r w:rsidR="007F6E42" w:rsidRPr="00EE2B8C">
              <w:t xml:space="preserve"> iekārtu un spēļu laukumu </w:t>
            </w:r>
            <w:r w:rsidR="007F6E42">
              <w:t>piedāvātāju pārstāvji ierosināja Noteikumu projektā ieviest atbilstības apliecināšanu ar sertifikātu, pamatojoties uz pieeju, kādu tie ieviesuši savā uzņēmējdarbībā.</w:t>
            </w:r>
            <w:r w:rsidR="00061BC7">
              <w:t xml:space="preserve"> Noteikumu projektā rastais risinājums ir kompromiss gan visu iesaistīto pušu interesēm, gan arī tas nodrošina spēļu laukumu drošumu pamatotā veidā un nerada nesamērīgu slogu ar prasībām par akreditēta pārbaudes veicēja pārbaudēm. Ņemot vērā </w:t>
            </w:r>
            <w:r w:rsidR="00FE6A21">
              <w:t>paustos viedokļus par akreditētu pārbaudes veicēju nepieejamību un pārejas periodu prasību ieviešanai par pēcuzstādīšanas pārbaudes veikšan</w:t>
            </w:r>
            <w:r w:rsidR="00BC3358">
              <w:t xml:space="preserve">u, Noteikumu projektam ir precizēti noslēguma </w:t>
            </w:r>
            <w:r w:rsidR="00BC3358">
              <w:lastRenderedPageBreak/>
              <w:t>jautājumi, kuros paredzēts 1</w:t>
            </w:r>
            <w:r w:rsidR="00106DF8">
              <w:t>8</w:t>
            </w:r>
            <w:r w:rsidR="00BC3358">
              <w:t> mēnešu ilgs periods, kurā pakāpeniski nodrošināt pilnīgu Noteikumu projekta prasību izpildi, tai pašā laikā tiek veicināta pilnīga prasību izpilde arī pirms pārejas perioda beigām, tādējādi veicinot arī potenciālos pēcuzstādīšanas pārbaudes veicējus pēc iespējas ātrāk veikt akreditācijas procesu un būt gataviem sniegt šādu pakalpojumu.</w:t>
            </w:r>
          </w:p>
          <w:p w14:paraId="0302EEAC" w14:textId="29993DC6" w:rsidR="00762119" w:rsidRPr="00FB41DC" w:rsidRDefault="00762119" w:rsidP="008F23E6">
            <w:pPr>
              <w:pStyle w:val="naiskr"/>
              <w:spacing w:before="0" w:after="0"/>
              <w:ind w:right="57"/>
              <w:jc w:val="both"/>
            </w:pPr>
            <w:r>
              <w:t xml:space="preserve">Lai rastu vienotu izpratni par Noteikumu projektā iestrādātajām prasībām, kā arī ņemot vērā sabiedriskās </w:t>
            </w:r>
            <w:r w:rsidR="00CE168D">
              <w:t>apspriešana</w:t>
            </w:r>
            <w:r>
              <w:t xml:space="preserve">s </w:t>
            </w:r>
            <w:r w:rsidR="00CE168D">
              <w:t xml:space="preserve">dalībnieku </w:t>
            </w:r>
            <w:r>
              <w:t xml:space="preserve">komentāros paustās neskaidrības, Ekonomikas ministrija sadarbībā ar Patērētāju tiesību aizsardzības centru sarīkoja sanāksmi, uzaicinot </w:t>
            </w:r>
            <w:r w:rsidR="00CE168D">
              <w:t>visus sabiedriskās apspriešanas dalībniekus</w:t>
            </w:r>
            <w:r w:rsidR="00610C51">
              <w:t xml:space="preserve">, kā arī nosūtīja uzaicinājumu </w:t>
            </w:r>
            <w:r w:rsidR="00610C51" w:rsidRPr="00883926">
              <w:rPr>
                <w:bCs/>
              </w:rPr>
              <w:t xml:space="preserve">Latvijas Tirdzniecības un rūpniecības kamerai, Latvijas Darba Devēju Konfederācijai, Latvijas </w:t>
            </w:r>
            <w:r w:rsidR="00B30391">
              <w:rPr>
                <w:bCs/>
              </w:rPr>
              <w:t>P</w:t>
            </w:r>
            <w:r w:rsidR="00610C51" w:rsidRPr="00883926">
              <w:rPr>
                <w:bCs/>
              </w:rPr>
              <w:t xml:space="preserve">ašvaldību savienībai, Latvijas Lielo pilsētu asociācijai, </w:t>
            </w:r>
            <w:r w:rsidR="00610C51">
              <w:rPr>
                <w:bCs/>
              </w:rPr>
              <w:t>T</w:t>
            </w:r>
            <w:r w:rsidR="00610C51" w:rsidRPr="00883926">
              <w:rPr>
                <w:bCs/>
              </w:rPr>
              <w:t>ehnisko Ekspertu asociācija</w:t>
            </w:r>
            <w:r w:rsidR="00610C51">
              <w:rPr>
                <w:bCs/>
              </w:rPr>
              <w:t>i.</w:t>
            </w:r>
            <w:r w:rsidR="008F705C">
              <w:rPr>
                <w:bCs/>
              </w:rPr>
              <w:t xml:space="preserve"> </w:t>
            </w:r>
            <w:r w:rsidR="00A53E56">
              <w:rPr>
                <w:bCs/>
              </w:rPr>
              <w:t xml:space="preserve">Papildus Ekonomikas ministrija ir rīkojusi tikšanās arī ar Reģionālo attīstības centru asociācijas, Latvijas Ainavu arhitektu asociācijas, kā arī </w:t>
            </w:r>
            <w:r w:rsidR="00A53E56" w:rsidRPr="00A53E56">
              <w:rPr>
                <w:bCs/>
              </w:rPr>
              <w:t>Latvijas Lauku tūrisma asociācija</w:t>
            </w:r>
            <w:r w:rsidR="00A53E56">
              <w:rPr>
                <w:bCs/>
              </w:rPr>
              <w:t>s</w:t>
            </w:r>
            <w:r w:rsidR="00A53E56" w:rsidRPr="00A53E56">
              <w:rPr>
                <w:bCs/>
              </w:rPr>
              <w:t xml:space="preserve"> "Lauku ceļotājs"</w:t>
            </w:r>
            <w:r w:rsidR="00A53E56">
              <w:rPr>
                <w:bCs/>
              </w:rPr>
              <w:t xml:space="preserve"> pārstāvjiem, lai apspriestu identificētos problēmjautājumus, skaidrotu Noteikumu projektā jau rastos risinājumus un apsvērtu iespējas un nepieciešamību meklēt papildu risinājumus.</w:t>
            </w:r>
          </w:p>
        </w:tc>
      </w:tr>
      <w:tr w:rsidR="00A322A9" w:rsidRPr="00FB41DC" w14:paraId="74CCB2D3" w14:textId="77777777" w:rsidTr="008A3121">
        <w:trPr>
          <w:trHeight w:val="476"/>
          <w:jc w:val="center"/>
        </w:trPr>
        <w:tc>
          <w:tcPr>
            <w:tcW w:w="421" w:type="dxa"/>
            <w:tcMar>
              <w:top w:w="57" w:type="dxa"/>
              <w:left w:w="57" w:type="dxa"/>
              <w:bottom w:w="57" w:type="dxa"/>
              <w:right w:w="57" w:type="dxa"/>
            </w:tcMar>
          </w:tcPr>
          <w:p w14:paraId="467809CD" w14:textId="77777777" w:rsidR="00A322A9" w:rsidRPr="00FB41DC" w:rsidRDefault="00A322A9" w:rsidP="008F23E6">
            <w:pPr>
              <w:pStyle w:val="naiskr"/>
              <w:spacing w:before="0" w:after="0"/>
              <w:ind w:left="57" w:right="57"/>
              <w:rPr>
                <w:bCs/>
              </w:rPr>
            </w:pPr>
            <w:r>
              <w:rPr>
                <w:bCs/>
              </w:rPr>
              <w:lastRenderedPageBreak/>
              <w:t>4</w:t>
            </w:r>
            <w:r w:rsidRPr="00FB41DC">
              <w:rPr>
                <w:bCs/>
              </w:rPr>
              <w:t>.</w:t>
            </w:r>
          </w:p>
        </w:tc>
        <w:tc>
          <w:tcPr>
            <w:tcW w:w="1848" w:type="dxa"/>
            <w:tcMar>
              <w:top w:w="57" w:type="dxa"/>
              <w:left w:w="57" w:type="dxa"/>
              <w:bottom w:w="57" w:type="dxa"/>
              <w:right w:w="57" w:type="dxa"/>
            </w:tcMar>
          </w:tcPr>
          <w:p w14:paraId="061CD897" w14:textId="77777777" w:rsidR="00A322A9" w:rsidRPr="00FB41DC" w:rsidRDefault="00A322A9" w:rsidP="008F23E6">
            <w:pPr>
              <w:pStyle w:val="naiskr"/>
              <w:spacing w:before="0" w:after="0"/>
              <w:ind w:left="57" w:right="57"/>
            </w:pPr>
            <w:r w:rsidRPr="00FB41DC">
              <w:t>Cita informācija</w:t>
            </w:r>
          </w:p>
        </w:tc>
        <w:tc>
          <w:tcPr>
            <w:tcW w:w="7365" w:type="dxa"/>
            <w:tcMar>
              <w:top w:w="57" w:type="dxa"/>
              <w:left w:w="57" w:type="dxa"/>
              <w:bottom w:w="57" w:type="dxa"/>
              <w:right w:w="57" w:type="dxa"/>
            </w:tcMar>
          </w:tcPr>
          <w:p w14:paraId="1BADC78A" w14:textId="77777777" w:rsidR="00A322A9" w:rsidRPr="00FB41DC" w:rsidRDefault="00A322A9" w:rsidP="008F23E6">
            <w:pPr>
              <w:pStyle w:val="naiskr"/>
              <w:spacing w:before="0" w:after="0"/>
              <w:ind w:right="57"/>
              <w:jc w:val="both"/>
            </w:pPr>
            <w:r>
              <w:t>Nav</w:t>
            </w:r>
          </w:p>
        </w:tc>
      </w:tr>
    </w:tbl>
    <w:p w14:paraId="6BF5439B" w14:textId="77777777" w:rsidR="00A322A9" w:rsidRPr="00FB41DC" w:rsidRDefault="00A322A9" w:rsidP="00A322A9"/>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A322A9" w:rsidRPr="00FB41DC" w14:paraId="2B5B5B6C" w14:textId="77777777" w:rsidTr="008F23E6">
        <w:trPr>
          <w:jc w:val="center"/>
        </w:trPr>
        <w:tc>
          <w:tcPr>
            <w:tcW w:w="9474" w:type="dxa"/>
            <w:gridSpan w:val="3"/>
            <w:tcBorders>
              <w:top w:val="single" w:sz="4" w:space="0" w:color="auto"/>
            </w:tcBorders>
            <w:tcMar>
              <w:top w:w="57" w:type="dxa"/>
              <w:left w:w="57" w:type="dxa"/>
              <w:bottom w:w="57" w:type="dxa"/>
              <w:right w:w="57" w:type="dxa"/>
            </w:tcMar>
          </w:tcPr>
          <w:p w14:paraId="3B2F945C" w14:textId="77777777" w:rsidR="00A322A9" w:rsidRPr="00FB41DC" w:rsidRDefault="00A322A9" w:rsidP="008F23E6">
            <w:pPr>
              <w:pStyle w:val="naisnod"/>
              <w:spacing w:before="0" w:after="0"/>
              <w:ind w:left="57" w:right="57"/>
            </w:pPr>
            <w:r w:rsidRPr="00FB41DC">
              <w:t>VII. Tiesību akta projekta izpildes nodrošināšana un tās ietekme uz institūcijām</w:t>
            </w:r>
          </w:p>
        </w:tc>
      </w:tr>
      <w:tr w:rsidR="00A322A9" w:rsidRPr="00FB41DC" w14:paraId="071D84F8" w14:textId="77777777" w:rsidTr="008F23E6">
        <w:trPr>
          <w:trHeight w:val="427"/>
          <w:jc w:val="center"/>
        </w:trPr>
        <w:tc>
          <w:tcPr>
            <w:tcW w:w="486" w:type="dxa"/>
            <w:tcMar>
              <w:top w:w="57" w:type="dxa"/>
              <w:left w:w="57" w:type="dxa"/>
              <w:bottom w:w="57" w:type="dxa"/>
              <w:right w:w="57" w:type="dxa"/>
            </w:tcMar>
          </w:tcPr>
          <w:p w14:paraId="6ACF1B71" w14:textId="77777777" w:rsidR="00A322A9" w:rsidRPr="00FB41DC" w:rsidRDefault="00A322A9" w:rsidP="008F23E6">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265CBCC2" w14:textId="77777777" w:rsidR="00A322A9" w:rsidRPr="00FB41DC" w:rsidRDefault="00A322A9" w:rsidP="008F23E6">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4EC217F2" w14:textId="3274A5EB" w:rsidR="00A322A9" w:rsidRPr="00563D3C" w:rsidRDefault="00C56413" w:rsidP="00352046">
            <w:pPr>
              <w:pStyle w:val="naisc"/>
              <w:spacing w:before="0" w:after="0"/>
              <w:jc w:val="both"/>
            </w:pPr>
            <w:r>
              <w:t>E</w:t>
            </w:r>
            <w:r w:rsidR="00352046">
              <w:t>konomikas ministrija, Patērētāju tiesību aizsardzības centrs</w:t>
            </w:r>
          </w:p>
        </w:tc>
      </w:tr>
      <w:tr w:rsidR="00A322A9" w:rsidRPr="00FB41DC" w14:paraId="459D156E" w14:textId="77777777" w:rsidTr="008F23E6">
        <w:trPr>
          <w:trHeight w:val="463"/>
          <w:jc w:val="center"/>
        </w:trPr>
        <w:tc>
          <w:tcPr>
            <w:tcW w:w="486" w:type="dxa"/>
            <w:tcMar>
              <w:top w:w="57" w:type="dxa"/>
              <w:left w:w="57" w:type="dxa"/>
              <w:bottom w:w="57" w:type="dxa"/>
              <w:right w:w="57" w:type="dxa"/>
            </w:tcMar>
          </w:tcPr>
          <w:p w14:paraId="1282E0B5" w14:textId="77777777" w:rsidR="00A322A9" w:rsidRPr="00FB41DC" w:rsidRDefault="00A322A9" w:rsidP="008F23E6">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41F34596" w14:textId="32332249" w:rsidR="00A322A9" w:rsidRPr="00FB41DC" w:rsidRDefault="00A322A9" w:rsidP="008F23E6">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r w:rsidR="00DD7C94">
              <w:t>.</w:t>
            </w:r>
            <w:r w:rsidR="00DD7C94" w:rsidRPr="005F2EEB">
              <w:t xml:space="preserve"> Jaunu institūciju izveide, esošu institūciju likvidācija vai reorganizācija, to ietekme uz institūcijas cilvēkresursiem</w:t>
            </w:r>
          </w:p>
        </w:tc>
        <w:tc>
          <w:tcPr>
            <w:tcW w:w="5870" w:type="dxa"/>
            <w:tcMar>
              <w:top w:w="57" w:type="dxa"/>
              <w:left w:w="57" w:type="dxa"/>
              <w:bottom w:w="57" w:type="dxa"/>
              <w:right w:w="57" w:type="dxa"/>
            </w:tcMar>
          </w:tcPr>
          <w:p w14:paraId="2CC1706C" w14:textId="77777777" w:rsidR="00A322A9" w:rsidRDefault="00A322A9" w:rsidP="008F23E6">
            <w:pPr>
              <w:pStyle w:val="naisnod"/>
              <w:spacing w:before="0" w:after="0"/>
              <w:ind w:right="57"/>
              <w:jc w:val="both"/>
              <w:rPr>
                <w:b w:val="0"/>
              </w:rPr>
            </w:pPr>
            <w:r w:rsidRPr="00352046">
              <w:rPr>
                <w:b w:val="0"/>
              </w:rPr>
              <w:t>Noteikumu projekts neietekmē iesaistīto institūciju funkcijas un uzdevumus.</w:t>
            </w:r>
          </w:p>
          <w:p w14:paraId="04C86980" w14:textId="024EACD3" w:rsidR="00A322A9" w:rsidRDefault="0090125B" w:rsidP="008F23E6">
            <w:pPr>
              <w:pStyle w:val="naisnod"/>
              <w:spacing w:before="0" w:after="0"/>
              <w:ind w:right="57"/>
              <w:jc w:val="both"/>
              <w:rPr>
                <w:b w:val="0"/>
              </w:rPr>
            </w:pPr>
            <w:r>
              <w:rPr>
                <w:b w:val="0"/>
              </w:rPr>
              <w:t>Nav paredzēta jaunu</w:t>
            </w:r>
            <w:r w:rsidR="00A322A9">
              <w:rPr>
                <w:b w:val="0"/>
              </w:rPr>
              <w:t xml:space="preserve"> institūciju izveide</w:t>
            </w:r>
            <w:r w:rsidR="008F1ED1">
              <w:rPr>
                <w:b w:val="0"/>
              </w:rPr>
              <w:t xml:space="preserve">, </w:t>
            </w:r>
            <w:r w:rsidR="00A322A9">
              <w:rPr>
                <w:b w:val="0"/>
              </w:rPr>
              <w:t>likvidēšana</w:t>
            </w:r>
            <w:r w:rsidR="008F1ED1">
              <w:rPr>
                <w:b w:val="0"/>
              </w:rPr>
              <w:t xml:space="preserve"> vai </w:t>
            </w:r>
            <w:r w:rsidR="00A322A9">
              <w:rPr>
                <w:b w:val="0"/>
              </w:rPr>
              <w:t>reorganizēšana.</w:t>
            </w:r>
          </w:p>
          <w:p w14:paraId="098C4CCB" w14:textId="77777777" w:rsidR="006B0B4A" w:rsidRDefault="006B0B4A" w:rsidP="008F23E6">
            <w:pPr>
              <w:pStyle w:val="naisnod"/>
              <w:spacing w:before="0" w:after="0"/>
              <w:ind w:right="57"/>
              <w:jc w:val="both"/>
              <w:rPr>
                <w:b w:val="0"/>
                <w:iCs/>
              </w:rPr>
            </w:pPr>
            <w:r>
              <w:rPr>
                <w:b w:val="0"/>
              </w:rPr>
              <w:t>Noteikumu projektā paredzēt</w:t>
            </w:r>
            <w:r w:rsidR="00391F70">
              <w:rPr>
                <w:b w:val="0"/>
              </w:rPr>
              <w:t>o</w:t>
            </w:r>
            <w:r>
              <w:rPr>
                <w:b w:val="0"/>
              </w:rPr>
              <w:t xml:space="preserve"> p</w:t>
            </w:r>
            <w:r w:rsidRPr="006B0B4A">
              <w:rPr>
                <w:b w:val="0"/>
                <w:iCs/>
              </w:rPr>
              <w:t>ublisk</w:t>
            </w:r>
            <w:r>
              <w:rPr>
                <w:b w:val="0"/>
                <w:iCs/>
              </w:rPr>
              <w:t>o</w:t>
            </w:r>
            <w:r w:rsidRPr="006B0B4A">
              <w:rPr>
                <w:b w:val="0"/>
                <w:iCs/>
              </w:rPr>
              <w:t xml:space="preserve"> spēļu laukum</w:t>
            </w:r>
            <w:r>
              <w:rPr>
                <w:b w:val="0"/>
                <w:iCs/>
              </w:rPr>
              <w:t>u</w:t>
            </w:r>
            <w:r w:rsidRPr="006B0B4A">
              <w:rPr>
                <w:b w:val="0"/>
                <w:iCs/>
              </w:rPr>
              <w:t xml:space="preserve"> reģistrācijas dokumentu saņemšan</w:t>
            </w:r>
            <w:r w:rsidR="00391F70">
              <w:rPr>
                <w:b w:val="0"/>
                <w:iCs/>
              </w:rPr>
              <w:t>u</w:t>
            </w:r>
            <w:r w:rsidRPr="006B0B4A">
              <w:rPr>
                <w:b w:val="0"/>
                <w:iCs/>
              </w:rPr>
              <w:t>, izvērtēšan</w:t>
            </w:r>
            <w:r w:rsidR="00391F70">
              <w:rPr>
                <w:b w:val="0"/>
                <w:iCs/>
              </w:rPr>
              <w:t>u</w:t>
            </w:r>
            <w:r w:rsidRPr="006B0B4A">
              <w:rPr>
                <w:b w:val="0"/>
                <w:iCs/>
              </w:rPr>
              <w:t xml:space="preserve"> un ievadīšan</w:t>
            </w:r>
            <w:r w:rsidR="00391F70">
              <w:rPr>
                <w:b w:val="0"/>
                <w:iCs/>
              </w:rPr>
              <w:t>u</w:t>
            </w:r>
            <w:r w:rsidRPr="006B0B4A">
              <w:rPr>
                <w:b w:val="0"/>
                <w:iCs/>
              </w:rPr>
              <w:t xml:space="preserve"> publiskajā reģistrā</w:t>
            </w:r>
            <w:r w:rsidR="00391F70">
              <w:rPr>
                <w:b w:val="0"/>
                <w:iCs/>
              </w:rPr>
              <w:t xml:space="preserve"> paredzēts veikt </w:t>
            </w:r>
            <w:r w:rsidRPr="006B0B4A">
              <w:rPr>
                <w:b w:val="0"/>
                <w:iCs/>
              </w:rPr>
              <w:t>vien</w:t>
            </w:r>
            <w:r w:rsidR="00391F70">
              <w:rPr>
                <w:b w:val="0"/>
                <w:iCs/>
              </w:rPr>
              <w:t>am PTAC</w:t>
            </w:r>
            <w:r w:rsidRPr="006B0B4A">
              <w:rPr>
                <w:b w:val="0"/>
                <w:iCs/>
              </w:rPr>
              <w:t xml:space="preserve"> darbiniek</w:t>
            </w:r>
            <w:r w:rsidR="00391F70">
              <w:rPr>
                <w:b w:val="0"/>
                <w:iCs/>
              </w:rPr>
              <w:t xml:space="preserve">am. </w:t>
            </w:r>
          </w:p>
          <w:p w14:paraId="1402AC6A" w14:textId="5F732BC9" w:rsidR="00391F70" w:rsidRPr="00F862E3" w:rsidRDefault="00391F70" w:rsidP="008F23E6">
            <w:pPr>
              <w:pStyle w:val="naisnod"/>
              <w:spacing w:before="0" w:after="0"/>
              <w:ind w:right="57"/>
              <w:jc w:val="both"/>
              <w:rPr>
                <w:b w:val="0"/>
              </w:rPr>
            </w:pPr>
            <w:r>
              <w:rPr>
                <w:b w:val="0"/>
              </w:rPr>
              <w:t>PTAC veikto informācijas pieprasījumu apstrāde un izpilde par publisko spēļu laukumu valdītājiem radīs papildu darba apjomu pašvaldību darbiniekiem. Tomēr, ņemot vērā to, ka ir paredzams, ka šādu pieprasījumu apstrādei un izpildei vienā pašvaldībā orientējoši varētu būt nepieciešams patērēt 10 stundas</w:t>
            </w:r>
            <w:r w:rsidR="00851A86">
              <w:rPr>
                <w:b w:val="0"/>
              </w:rPr>
              <w:t xml:space="preserve"> gadā</w:t>
            </w:r>
            <w:r>
              <w:rPr>
                <w:b w:val="0"/>
              </w:rPr>
              <w:t>, tad Noteikumu projekts nerada būtisku ietekmi uz pašvaldību cilvēkresursiem.</w:t>
            </w:r>
          </w:p>
        </w:tc>
      </w:tr>
      <w:tr w:rsidR="00A322A9" w:rsidRPr="00FB41DC" w14:paraId="36331468" w14:textId="77777777" w:rsidTr="008F23E6">
        <w:trPr>
          <w:trHeight w:val="476"/>
          <w:jc w:val="center"/>
        </w:trPr>
        <w:tc>
          <w:tcPr>
            <w:tcW w:w="486" w:type="dxa"/>
            <w:tcMar>
              <w:top w:w="57" w:type="dxa"/>
              <w:left w:w="57" w:type="dxa"/>
              <w:bottom w:w="57" w:type="dxa"/>
              <w:right w:w="57" w:type="dxa"/>
            </w:tcMar>
          </w:tcPr>
          <w:p w14:paraId="364BFC45" w14:textId="77777777" w:rsidR="00A322A9" w:rsidRPr="00FB41DC" w:rsidRDefault="00A322A9" w:rsidP="008F23E6">
            <w:pPr>
              <w:pStyle w:val="naiskr"/>
              <w:spacing w:before="0" w:after="0"/>
              <w:ind w:left="57" w:right="57"/>
            </w:pPr>
            <w:r>
              <w:t>3</w:t>
            </w:r>
            <w:r w:rsidRPr="00FB41DC">
              <w:t>.</w:t>
            </w:r>
          </w:p>
        </w:tc>
        <w:tc>
          <w:tcPr>
            <w:tcW w:w="3118" w:type="dxa"/>
            <w:tcMar>
              <w:top w:w="57" w:type="dxa"/>
              <w:left w:w="57" w:type="dxa"/>
              <w:bottom w:w="57" w:type="dxa"/>
              <w:right w:w="57" w:type="dxa"/>
            </w:tcMar>
          </w:tcPr>
          <w:p w14:paraId="1C19BEB5" w14:textId="77777777" w:rsidR="00A322A9" w:rsidRPr="00FB41DC" w:rsidRDefault="00A322A9" w:rsidP="008F23E6">
            <w:pPr>
              <w:pStyle w:val="naiskr"/>
              <w:spacing w:before="0" w:after="0"/>
              <w:ind w:left="57" w:right="57"/>
            </w:pPr>
            <w:r w:rsidRPr="00FB41DC">
              <w:t>Cita informācija</w:t>
            </w:r>
          </w:p>
        </w:tc>
        <w:tc>
          <w:tcPr>
            <w:tcW w:w="5870" w:type="dxa"/>
            <w:tcMar>
              <w:top w:w="57" w:type="dxa"/>
              <w:left w:w="57" w:type="dxa"/>
              <w:bottom w:w="57" w:type="dxa"/>
              <w:right w:w="57" w:type="dxa"/>
            </w:tcMar>
          </w:tcPr>
          <w:p w14:paraId="22B5DEDA" w14:textId="1B32995E" w:rsidR="00A322A9" w:rsidRPr="00FB41DC" w:rsidRDefault="00A322A9" w:rsidP="008F23E6">
            <w:pPr>
              <w:pStyle w:val="naiskr"/>
              <w:spacing w:before="0" w:after="0"/>
              <w:ind w:left="57" w:right="57"/>
            </w:pPr>
            <w:r>
              <w:t>N</w:t>
            </w:r>
            <w:r w:rsidR="0009311C">
              <w:t>oteikumu projektā paredzētos pasākumus PTAC īstenos tam piešķirtā budžeta ietvaros.</w:t>
            </w:r>
          </w:p>
        </w:tc>
      </w:tr>
    </w:tbl>
    <w:p w14:paraId="60A2B0FF" w14:textId="77777777" w:rsidR="00A322A9" w:rsidRDefault="00A322A9" w:rsidP="00A322A9">
      <w:pPr>
        <w:pStyle w:val="naisf"/>
        <w:spacing w:before="0" w:after="0"/>
        <w:ind w:firstLine="374"/>
        <w:rPr>
          <w:b/>
        </w:rPr>
      </w:pPr>
    </w:p>
    <w:p w14:paraId="5C6D10F5" w14:textId="1F48D480" w:rsidR="00A322A9" w:rsidRPr="00EE5F73" w:rsidRDefault="00A322A9" w:rsidP="00A322A9">
      <w:pPr>
        <w:pStyle w:val="naisf"/>
        <w:spacing w:before="0" w:after="0"/>
        <w:ind w:firstLine="374"/>
        <w:rPr>
          <w:i/>
        </w:rPr>
      </w:pPr>
      <w:r w:rsidRPr="00EE5F73">
        <w:rPr>
          <w:i/>
        </w:rPr>
        <w:t>.</w:t>
      </w:r>
    </w:p>
    <w:p w14:paraId="624CFE9B" w14:textId="77777777" w:rsidR="00A322A9" w:rsidRPr="00ED433D" w:rsidRDefault="00A322A9" w:rsidP="00A322A9">
      <w:r w:rsidRPr="00ED433D">
        <w:lastRenderedPageBreak/>
        <w:t>Iesniedzējs:</w:t>
      </w:r>
    </w:p>
    <w:p w14:paraId="3ED07A98" w14:textId="15550CE2" w:rsidR="00A322A9" w:rsidRDefault="00ED2594" w:rsidP="00540AED">
      <w:pPr>
        <w:tabs>
          <w:tab w:val="left" w:pos="1260"/>
        </w:tabs>
        <w:ind w:right="-425"/>
      </w:pPr>
      <w:r>
        <w:rPr>
          <w:rFonts w:eastAsiaTheme="minorHAnsi"/>
          <w:lang w:eastAsia="en-US"/>
        </w:rPr>
        <w:t>E</w:t>
      </w:r>
      <w:r w:rsidR="00C054BA" w:rsidRPr="00540AED">
        <w:rPr>
          <w:rFonts w:eastAsiaTheme="minorHAnsi"/>
          <w:lang w:eastAsia="en-US"/>
        </w:rPr>
        <w:t>konomikas ministrs</w:t>
      </w:r>
      <w:r w:rsidR="00C054BA" w:rsidRPr="00C054BA">
        <w:rPr>
          <w:rFonts w:asciiTheme="minorHAnsi" w:eastAsiaTheme="minorHAnsi" w:hAnsiTheme="minorHAnsi" w:cstheme="minorBidi"/>
          <w:b/>
          <w:sz w:val="22"/>
          <w:lang w:eastAsia="en-US"/>
        </w:rPr>
        <w:tab/>
      </w:r>
      <w:r w:rsidR="00A322A9">
        <w:tab/>
      </w:r>
      <w:r w:rsidR="00A322A9">
        <w:tab/>
      </w:r>
      <w:r w:rsidR="00A322A9">
        <w:tab/>
      </w:r>
      <w:r w:rsidR="00A322A9">
        <w:tab/>
      </w:r>
      <w:r w:rsidR="00A322A9">
        <w:tab/>
      </w:r>
      <w:r w:rsidR="00A322A9">
        <w:tab/>
      </w:r>
      <w:r>
        <w:t>R.Nemiro</w:t>
      </w:r>
    </w:p>
    <w:p w14:paraId="5EFBDD7A" w14:textId="77777777" w:rsidR="00A322A9" w:rsidRDefault="00A322A9" w:rsidP="00A322A9"/>
    <w:p w14:paraId="7F6C7D5D" w14:textId="77777777" w:rsidR="00A322A9" w:rsidRDefault="00A322A9" w:rsidP="00A322A9"/>
    <w:p w14:paraId="00125625" w14:textId="77777777" w:rsidR="00A322A9" w:rsidRPr="00ED433D" w:rsidRDefault="00A322A9" w:rsidP="00A322A9">
      <w:r w:rsidRPr="00ED433D">
        <w:t>Vīza:</w:t>
      </w:r>
    </w:p>
    <w:p w14:paraId="5A7F7892" w14:textId="312C0326" w:rsidR="00A322A9" w:rsidRPr="00DF5FC1" w:rsidRDefault="00A322A9" w:rsidP="00A322A9">
      <w:bookmarkStart w:id="2" w:name="p2008"/>
      <w:bookmarkEnd w:id="2"/>
      <w:r>
        <w:t>Valsts sekretārs</w:t>
      </w:r>
      <w:r>
        <w:tab/>
      </w:r>
      <w:r>
        <w:tab/>
      </w:r>
      <w:r>
        <w:tab/>
      </w:r>
      <w:r>
        <w:tab/>
      </w:r>
      <w:r>
        <w:tab/>
      </w:r>
      <w:r>
        <w:tab/>
      </w:r>
      <w:r>
        <w:tab/>
      </w:r>
      <w:r w:rsidR="00771A91">
        <w:t>Ē. Eglītis</w:t>
      </w:r>
      <w:r>
        <w:tab/>
      </w:r>
      <w:r>
        <w:tab/>
      </w:r>
      <w:r>
        <w:tab/>
      </w:r>
      <w:r>
        <w:tab/>
      </w:r>
      <w:r>
        <w:tab/>
      </w:r>
      <w:r>
        <w:tab/>
      </w:r>
      <w:r>
        <w:tab/>
      </w:r>
    </w:p>
    <w:p w14:paraId="15849F44" w14:textId="29176C01" w:rsidR="003F6EDF" w:rsidRPr="00771A91" w:rsidRDefault="00A322A9" w:rsidP="00771A91">
      <w:pPr>
        <w:pStyle w:val="tv2161"/>
        <w:spacing w:before="0" w:line="240" w:lineRule="auto"/>
        <w:ind w:firstLine="0"/>
        <w:jc w:val="both"/>
        <w:rPr>
          <w:rFonts w:ascii="Times New Roman" w:hAnsi="Times New Roman"/>
          <w:sz w:val="28"/>
          <w:szCs w:val="28"/>
        </w:rPr>
      </w:pPr>
      <w:r w:rsidRPr="00F01AAE">
        <w:rPr>
          <w:rFonts w:ascii="Times New Roman" w:hAnsi="Times New Roman"/>
          <w:sz w:val="28"/>
          <w:szCs w:val="28"/>
        </w:rPr>
        <w:t xml:space="preserve">                                                   </w:t>
      </w:r>
      <w:r w:rsidRPr="00F01AAE">
        <w:rPr>
          <w:rFonts w:ascii="Times New Roman" w:hAnsi="Times New Roman"/>
          <w:sz w:val="28"/>
          <w:szCs w:val="28"/>
        </w:rPr>
        <w:tab/>
        <w:t xml:space="preserve"> </w:t>
      </w:r>
    </w:p>
    <w:sectPr w:rsidR="003F6EDF" w:rsidRPr="00771A9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910D" w14:textId="77777777" w:rsidR="00824E21" w:rsidRDefault="00824E21" w:rsidP="00D52579">
      <w:r>
        <w:separator/>
      </w:r>
    </w:p>
  </w:endnote>
  <w:endnote w:type="continuationSeparator" w:id="0">
    <w:p w14:paraId="5E9FA69F" w14:textId="77777777" w:rsidR="00824E21" w:rsidRDefault="00824E21" w:rsidP="00D5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CA9C" w14:textId="5AD90055" w:rsidR="00D52579" w:rsidRPr="00D52579" w:rsidRDefault="008A3121" w:rsidP="00D52579">
    <w:pPr>
      <w:pStyle w:val="Heading3"/>
      <w:jc w:val="both"/>
      <w:rPr>
        <w:b w:val="0"/>
        <w:sz w:val="20"/>
        <w:szCs w:val="20"/>
      </w:rPr>
    </w:pPr>
    <w:r>
      <w:rPr>
        <w:b w:val="0"/>
        <w:sz w:val="20"/>
        <w:szCs w:val="20"/>
      </w:rPr>
      <w:t>EMAnot_</w:t>
    </w:r>
    <w:r w:rsidR="00C7394D">
      <w:rPr>
        <w:b w:val="0"/>
        <w:sz w:val="20"/>
        <w:szCs w:val="20"/>
      </w:rPr>
      <w:t>1311</w:t>
    </w:r>
    <w:r w:rsidR="00E656F6">
      <w:rPr>
        <w:b w:val="0"/>
        <w:sz w:val="20"/>
        <w:szCs w:val="20"/>
      </w:rPr>
      <w:t>19</w:t>
    </w:r>
    <w:r w:rsidR="00951FB3">
      <w:rPr>
        <w:b w:val="0"/>
        <w:sz w:val="20"/>
        <w:szCs w:val="20"/>
      </w:rPr>
      <w:t>_</w:t>
    </w:r>
    <w:r w:rsidR="00E656F6">
      <w:rPr>
        <w:b w:val="0"/>
        <w:sz w:val="20"/>
        <w:szCs w:val="20"/>
      </w:rPr>
      <w:t>spe</w:t>
    </w:r>
    <w:r w:rsidR="00951FB3">
      <w:rPr>
        <w:b w:val="0"/>
        <w:sz w:val="20"/>
        <w:szCs w:val="20"/>
      </w:rPr>
      <w:t>lu-lauk</w:t>
    </w:r>
  </w:p>
  <w:p w14:paraId="5616AECB" w14:textId="77777777" w:rsidR="00D52579" w:rsidRPr="00D52579" w:rsidRDefault="00D52579" w:rsidP="00D5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4ACB" w14:textId="77777777" w:rsidR="00824E21" w:rsidRDefault="00824E21" w:rsidP="00D52579">
      <w:r>
        <w:separator/>
      </w:r>
    </w:p>
  </w:footnote>
  <w:footnote w:type="continuationSeparator" w:id="0">
    <w:p w14:paraId="0889604B" w14:textId="77777777" w:rsidR="00824E21" w:rsidRDefault="00824E21" w:rsidP="00D5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1F4B"/>
    <w:multiLevelType w:val="hybridMultilevel"/>
    <w:tmpl w:val="3B0E0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093803"/>
    <w:multiLevelType w:val="hybridMultilevel"/>
    <w:tmpl w:val="ED1CD27E"/>
    <w:lvl w:ilvl="0" w:tplc="9B1C2500">
      <w:start w:val="20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021950"/>
    <w:multiLevelType w:val="hybridMultilevel"/>
    <w:tmpl w:val="A9CA29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F16615"/>
    <w:multiLevelType w:val="hybridMultilevel"/>
    <w:tmpl w:val="84D8C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13438A"/>
    <w:multiLevelType w:val="hybridMultilevel"/>
    <w:tmpl w:val="E6608114"/>
    <w:lvl w:ilvl="0" w:tplc="0426000F">
      <w:start w:val="1"/>
      <w:numFmt w:val="decimal"/>
      <w:lvlText w:val="%1."/>
      <w:lvlJc w:val="left"/>
      <w:pPr>
        <w:ind w:left="1145" w:hanging="360"/>
      </w:pPr>
    </w:lvl>
    <w:lvl w:ilvl="1" w:tplc="04260019">
      <w:start w:val="1"/>
      <w:numFmt w:val="lowerLetter"/>
      <w:lvlText w:val="%2."/>
      <w:lvlJc w:val="left"/>
      <w:pPr>
        <w:ind w:left="1865" w:hanging="360"/>
      </w:pPr>
    </w:lvl>
    <w:lvl w:ilvl="2" w:tplc="0426001B">
      <w:start w:val="1"/>
      <w:numFmt w:val="lowerRoman"/>
      <w:lvlText w:val="%3."/>
      <w:lvlJc w:val="right"/>
      <w:pPr>
        <w:ind w:left="2585" w:hanging="180"/>
      </w:pPr>
    </w:lvl>
    <w:lvl w:ilvl="3" w:tplc="0426000F">
      <w:start w:val="1"/>
      <w:numFmt w:val="decimal"/>
      <w:lvlText w:val="%4."/>
      <w:lvlJc w:val="left"/>
      <w:pPr>
        <w:ind w:left="3305" w:hanging="360"/>
      </w:pPr>
    </w:lvl>
    <w:lvl w:ilvl="4" w:tplc="04260019">
      <w:start w:val="1"/>
      <w:numFmt w:val="lowerLetter"/>
      <w:lvlText w:val="%5."/>
      <w:lvlJc w:val="left"/>
      <w:pPr>
        <w:ind w:left="4025" w:hanging="360"/>
      </w:pPr>
    </w:lvl>
    <w:lvl w:ilvl="5" w:tplc="0426001B">
      <w:start w:val="1"/>
      <w:numFmt w:val="lowerRoman"/>
      <w:lvlText w:val="%6."/>
      <w:lvlJc w:val="right"/>
      <w:pPr>
        <w:ind w:left="4745" w:hanging="180"/>
      </w:pPr>
    </w:lvl>
    <w:lvl w:ilvl="6" w:tplc="0426000F">
      <w:start w:val="1"/>
      <w:numFmt w:val="decimal"/>
      <w:lvlText w:val="%7."/>
      <w:lvlJc w:val="left"/>
      <w:pPr>
        <w:ind w:left="5465" w:hanging="360"/>
      </w:pPr>
    </w:lvl>
    <w:lvl w:ilvl="7" w:tplc="04260019">
      <w:start w:val="1"/>
      <w:numFmt w:val="lowerLetter"/>
      <w:lvlText w:val="%8."/>
      <w:lvlJc w:val="left"/>
      <w:pPr>
        <w:ind w:left="6185" w:hanging="360"/>
      </w:pPr>
    </w:lvl>
    <w:lvl w:ilvl="8" w:tplc="0426001B">
      <w:start w:val="1"/>
      <w:numFmt w:val="lowerRoman"/>
      <w:lvlText w:val="%9."/>
      <w:lvlJc w:val="right"/>
      <w:pPr>
        <w:ind w:left="6905" w:hanging="180"/>
      </w:pPr>
    </w:lvl>
  </w:abstractNum>
  <w:num w:numId="1">
    <w:abstractNumId w:val="2"/>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A9"/>
    <w:rsid w:val="000154E9"/>
    <w:rsid w:val="00035DF9"/>
    <w:rsid w:val="00061BC7"/>
    <w:rsid w:val="00072E64"/>
    <w:rsid w:val="000768F5"/>
    <w:rsid w:val="00083601"/>
    <w:rsid w:val="00085BC2"/>
    <w:rsid w:val="00086C30"/>
    <w:rsid w:val="00090BEB"/>
    <w:rsid w:val="0009311C"/>
    <w:rsid w:val="000A4367"/>
    <w:rsid w:val="000B5E58"/>
    <w:rsid w:val="000B7C54"/>
    <w:rsid w:val="000D04C4"/>
    <w:rsid w:val="000E5233"/>
    <w:rsid w:val="000F7C45"/>
    <w:rsid w:val="0010191F"/>
    <w:rsid w:val="00106DF8"/>
    <w:rsid w:val="00121808"/>
    <w:rsid w:val="00122A8E"/>
    <w:rsid w:val="00164E3E"/>
    <w:rsid w:val="001964F4"/>
    <w:rsid w:val="001A6AA0"/>
    <w:rsid w:val="001B7250"/>
    <w:rsid w:val="001C41C6"/>
    <w:rsid w:val="001C589C"/>
    <w:rsid w:val="001C7E5D"/>
    <w:rsid w:val="001D0C9D"/>
    <w:rsid w:val="001D1569"/>
    <w:rsid w:val="001F3DF1"/>
    <w:rsid w:val="002023BF"/>
    <w:rsid w:val="002071ED"/>
    <w:rsid w:val="00212870"/>
    <w:rsid w:val="0021306B"/>
    <w:rsid w:val="00217553"/>
    <w:rsid w:val="00222E2D"/>
    <w:rsid w:val="00231DB7"/>
    <w:rsid w:val="00240B57"/>
    <w:rsid w:val="00243949"/>
    <w:rsid w:val="002978CF"/>
    <w:rsid w:val="002A24C7"/>
    <w:rsid w:val="002A4F98"/>
    <w:rsid w:val="002A77B4"/>
    <w:rsid w:val="002B5574"/>
    <w:rsid w:val="002C15E1"/>
    <w:rsid w:val="002D4002"/>
    <w:rsid w:val="002D4433"/>
    <w:rsid w:val="00304B52"/>
    <w:rsid w:val="00304C08"/>
    <w:rsid w:val="00305185"/>
    <w:rsid w:val="00312757"/>
    <w:rsid w:val="00317BA2"/>
    <w:rsid w:val="0032174A"/>
    <w:rsid w:val="003251B6"/>
    <w:rsid w:val="00330FE7"/>
    <w:rsid w:val="00352046"/>
    <w:rsid w:val="003540A1"/>
    <w:rsid w:val="00367582"/>
    <w:rsid w:val="00374AD8"/>
    <w:rsid w:val="00381262"/>
    <w:rsid w:val="0039070C"/>
    <w:rsid w:val="00391F70"/>
    <w:rsid w:val="003B70C1"/>
    <w:rsid w:val="003C0073"/>
    <w:rsid w:val="003D188F"/>
    <w:rsid w:val="003D201B"/>
    <w:rsid w:val="003D209A"/>
    <w:rsid w:val="003D3D99"/>
    <w:rsid w:val="003F6EDF"/>
    <w:rsid w:val="004019E6"/>
    <w:rsid w:val="004115EF"/>
    <w:rsid w:val="00423603"/>
    <w:rsid w:val="00435518"/>
    <w:rsid w:val="004417A2"/>
    <w:rsid w:val="00443E90"/>
    <w:rsid w:val="00453636"/>
    <w:rsid w:val="004721A1"/>
    <w:rsid w:val="004840F2"/>
    <w:rsid w:val="004911CA"/>
    <w:rsid w:val="00493227"/>
    <w:rsid w:val="004A3C80"/>
    <w:rsid w:val="004B24F6"/>
    <w:rsid w:val="004B2CD0"/>
    <w:rsid w:val="004B6BF2"/>
    <w:rsid w:val="004C1E93"/>
    <w:rsid w:val="004C3EFF"/>
    <w:rsid w:val="004C739C"/>
    <w:rsid w:val="005077CA"/>
    <w:rsid w:val="00525F3C"/>
    <w:rsid w:val="00526955"/>
    <w:rsid w:val="005270F7"/>
    <w:rsid w:val="00532D5C"/>
    <w:rsid w:val="0053321F"/>
    <w:rsid w:val="00533F62"/>
    <w:rsid w:val="00535801"/>
    <w:rsid w:val="00537E7C"/>
    <w:rsid w:val="00540AED"/>
    <w:rsid w:val="00544AC6"/>
    <w:rsid w:val="00546575"/>
    <w:rsid w:val="00551149"/>
    <w:rsid w:val="005520F7"/>
    <w:rsid w:val="00564E94"/>
    <w:rsid w:val="00572134"/>
    <w:rsid w:val="00574D47"/>
    <w:rsid w:val="005A7D56"/>
    <w:rsid w:val="005B21C2"/>
    <w:rsid w:val="005E2A37"/>
    <w:rsid w:val="005F0143"/>
    <w:rsid w:val="005F348F"/>
    <w:rsid w:val="00610C51"/>
    <w:rsid w:val="00615089"/>
    <w:rsid w:val="006252C0"/>
    <w:rsid w:val="006267EF"/>
    <w:rsid w:val="00642F2B"/>
    <w:rsid w:val="00647AC8"/>
    <w:rsid w:val="00650789"/>
    <w:rsid w:val="00653669"/>
    <w:rsid w:val="00665458"/>
    <w:rsid w:val="00666B5D"/>
    <w:rsid w:val="0068388C"/>
    <w:rsid w:val="0068611C"/>
    <w:rsid w:val="006B0B4A"/>
    <w:rsid w:val="006D5FF3"/>
    <w:rsid w:val="006D68DA"/>
    <w:rsid w:val="006D7D45"/>
    <w:rsid w:val="006E3D18"/>
    <w:rsid w:val="006E6F58"/>
    <w:rsid w:val="00703BAA"/>
    <w:rsid w:val="00736C80"/>
    <w:rsid w:val="00762119"/>
    <w:rsid w:val="00763234"/>
    <w:rsid w:val="00771A91"/>
    <w:rsid w:val="007751F3"/>
    <w:rsid w:val="00792CFA"/>
    <w:rsid w:val="007A293A"/>
    <w:rsid w:val="007A5F5D"/>
    <w:rsid w:val="007B538F"/>
    <w:rsid w:val="007C4A00"/>
    <w:rsid w:val="007C7F61"/>
    <w:rsid w:val="007D0BF9"/>
    <w:rsid w:val="007D0EC9"/>
    <w:rsid w:val="007D2885"/>
    <w:rsid w:val="007F60F1"/>
    <w:rsid w:val="007F6E42"/>
    <w:rsid w:val="00812E41"/>
    <w:rsid w:val="00824E21"/>
    <w:rsid w:val="008277DF"/>
    <w:rsid w:val="00841B92"/>
    <w:rsid w:val="008507E8"/>
    <w:rsid w:val="00851A86"/>
    <w:rsid w:val="00864178"/>
    <w:rsid w:val="00864F3E"/>
    <w:rsid w:val="0086799B"/>
    <w:rsid w:val="00873630"/>
    <w:rsid w:val="00883926"/>
    <w:rsid w:val="00885050"/>
    <w:rsid w:val="008A3121"/>
    <w:rsid w:val="008B0620"/>
    <w:rsid w:val="008C14A3"/>
    <w:rsid w:val="008F1ED1"/>
    <w:rsid w:val="008F488F"/>
    <w:rsid w:val="008F705C"/>
    <w:rsid w:val="00900811"/>
    <w:rsid w:val="0090125B"/>
    <w:rsid w:val="009041A6"/>
    <w:rsid w:val="00906E50"/>
    <w:rsid w:val="00911191"/>
    <w:rsid w:val="009319FE"/>
    <w:rsid w:val="00931E6F"/>
    <w:rsid w:val="009335A0"/>
    <w:rsid w:val="00934799"/>
    <w:rsid w:val="00940A00"/>
    <w:rsid w:val="00941B18"/>
    <w:rsid w:val="00943603"/>
    <w:rsid w:val="00947959"/>
    <w:rsid w:val="00947CDA"/>
    <w:rsid w:val="00951FB3"/>
    <w:rsid w:val="00960B42"/>
    <w:rsid w:val="00974AD1"/>
    <w:rsid w:val="00977062"/>
    <w:rsid w:val="00980269"/>
    <w:rsid w:val="00981E86"/>
    <w:rsid w:val="00985C3F"/>
    <w:rsid w:val="00994DF3"/>
    <w:rsid w:val="00996BDC"/>
    <w:rsid w:val="009B37CA"/>
    <w:rsid w:val="009B52CA"/>
    <w:rsid w:val="009B67BC"/>
    <w:rsid w:val="009B7B04"/>
    <w:rsid w:val="009C018D"/>
    <w:rsid w:val="009C35A2"/>
    <w:rsid w:val="009D4668"/>
    <w:rsid w:val="009D612B"/>
    <w:rsid w:val="009D67A3"/>
    <w:rsid w:val="009D686D"/>
    <w:rsid w:val="009D7AEF"/>
    <w:rsid w:val="009E6A19"/>
    <w:rsid w:val="009F1964"/>
    <w:rsid w:val="009F3BDB"/>
    <w:rsid w:val="00A11C53"/>
    <w:rsid w:val="00A25DD6"/>
    <w:rsid w:val="00A322A9"/>
    <w:rsid w:val="00A471CF"/>
    <w:rsid w:val="00A53E56"/>
    <w:rsid w:val="00A56E55"/>
    <w:rsid w:val="00A60195"/>
    <w:rsid w:val="00A758EA"/>
    <w:rsid w:val="00A809C0"/>
    <w:rsid w:val="00A96FBC"/>
    <w:rsid w:val="00AA25FB"/>
    <w:rsid w:val="00AA2D1B"/>
    <w:rsid w:val="00AB618D"/>
    <w:rsid w:val="00AC4B0A"/>
    <w:rsid w:val="00B0355A"/>
    <w:rsid w:val="00B13127"/>
    <w:rsid w:val="00B30391"/>
    <w:rsid w:val="00B3463E"/>
    <w:rsid w:val="00B418CC"/>
    <w:rsid w:val="00B60A9D"/>
    <w:rsid w:val="00B63785"/>
    <w:rsid w:val="00B67E87"/>
    <w:rsid w:val="00B70BD4"/>
    <w:rsid w:val="00B95B0C"/>
    <w:rsid w:val="00BC158A"/>
    <w:rsid w:val="00BC3358"/>
    <w:rsid w:val="00BC63EC"/>
    <w:rsid w:val="00BF2AD3"/>
    <w:rsid w:val="00C054BA"/>
    <w:rsid w:val="00C305F9"/>
    <w:rsid w:val="00C448EA"/>
    <w:rsid w:val="00C56413"/>
    <w:rsid w:val="00C62B4F"/>
    <w:rsid w:val="00C64774"/>
    <w:rsid w:val="00C669EF"/>
    <w:rsid w:val="00C712E6"/>
    <w:rsid w:val="00C7394D"/>
    <w:rsid w:val="00C81D79"/>
    <w:rsid w:val="00C82DF5"/>
    <w:rsid w:val="00C90E64"/>
    <w:rsid w:val="00CA17A6"/>
    <w:rsid w:val="00CA538B"/>
    <w:rsid w:val="00CB210B"/>
    <w:rsid w:val="00CB36C9"/>
    <w:rsid w:val="00CC32EB"/>
    <w:rsid w:val="00CC5DB8"/>
    <w:rsid w:val="00CD34C5"/>
    <w:rsid w:val="00CE168D"/>
    <w:rsid w:val="00CE1E70"/>
    <w:rsid w:val="00D00F73"/>
    <w:rsid w:val="00D116FA"/>
    <w:rsid w:val="00D33F83"/>
    <w:rsid w:val="00D52579"/>
    <w:rsid w:val="00D62C4B"/>
    <w:rsid w:val="00D74802"/>
    <w:rsid w:val="00D77B3D"/>
    <w:rsid w:val="00D87C55"/>
    <w:rsid w:val="00D9054F"/>
    <w:rsid w:val="00D93C6C"/>
    <w:rsid w:val="00DB34CD"/>
    <w:rsid w:val="00DB64D8"/>
    <w:rsid w:val="00DD59CB"/>
    <w:rsid w:val="00DD7C94"/>
    <w:rsid w:val="00DE037B"/>
    <w:rsid w:val="00DE55C0"/>
    <w:rsid w:val="00DF328A"/>
    <w:rsid w:val="00E43395"/>
    <w:rsid w:val="00E45777"/>
    <w:rsid w:val="00E5390E"/>
    <w:rsid w:val="00E638A1"/>
    <w:rsid w:val="00E656F6"/>
    <w:rsid w:val="00E70E08"/>
    <w:rsid w:val="00E84432"/>
    <w:rsid w:val="00E90735"/>
    <w:rsid w:val="00EA326A"/>
    <w:rsid w:val="00EB0182"/>
    <w:rsid w:val="00EB459D"/>
    <w:rsid w:val="00EB6CFD"/>
    <w:rsid w:val="00EC61E0"/>
    <w:rsid w:val="00EC658B"/>
    <w:rsid w:val="00EC65E8"/>
    <w:rsid w:val="00ED2594"/>
    <w:rsid w:val="00EE2B8C"/>
    <w:rsid w:val="00F020E5"/>
    <w:rsid w:val="00F02F1E"/>
    <w:rsid w:val="00F0442B"/>
    <w:rsid w:val="00F12B1D"/>
    <w:rsid w:val="00F12CA9"/>
    <w:rsid w:val="00F178D9"/>
    <w:rsid w:val="00F24B3A"/>
    <w:rsid w:val="00F2670E"/>
    <w:rsid w:val="00F31C09"/>
    <w:rsid w:val="00F329C4"/>
    <w:rsid w:val="00F46356"/>
    <w:rsid w:val="00F47204"/>
    <w:rsid w:val="00F5612C"/>
    <w:rsid w:val="00F71E11"/>
    <w:rsid w:val="00F81FE8"/>
    <w:rsid w:val="00F94E8D"/>
    <w:rsid w:val="00FA2EEF"/>
    <w:rsid w:val="00FB3928"/>
    <w:rsid w:val="00FB3B73"/>
    <w:rsid w:val="00FB5259"/>
    <w:rsid w:val="00FB656B"/>
    <w:rsid w:val="00FC4352"/>
    <w:rsid w:val="00FD7325"/>
    <w:rsid w:val="00FD753B"/>
    <w:rsid w:val="00FD7923"/>
    <w:rsid w:val="00FE3EF3"/>
    <w:rsid w:val="00FE46D8"/>
    <w:rsid w:val="00FE6A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F010AE"/>
  <w15:chartTrackingRefBased/>
  <w15:docId w15:val="{53D66625-1B8A-4714-A85A-11C9C8C8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2A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qFormat/>
    <w:rsid w:val="00D525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322A9"/>
    <w:pPr>
      <w:spacing w:before="75" w:after="75"/>
      <w:ind w:firstLine="375"/>
      <w:jc w:val="both"/>
    </w:pPr>
  </w:style>
  <w:style w:type="character" w:styleId="Hyperlink">
    <w:name w:val="Hyperlink"/>
    <w:rsid w:val="00A322A9"/>
    <w:rPr>
      <w:rFonts w:cs="Times New Roman"/>
      <w:color w:val="0000FF"/>
      <w:u w:val="single"/>
    </w:rPr>
  </w:style>
  <w:style w:type="paragraph" w:customStyle="1" w:styleId="naisnod">
    <w:name w:val="naisnod"/>
    <w:basedOn w:val="Normal"/>
    <w:rsid w:val="00A322A9"/>
    <w:pPr>
      <w:spacing w:before="150" w:after="150"/>
      <w:jc w:val="center"/>
    </w:pPr>
    <w:rPr>
      <w:b/>
      <w:bCs/>
    </w:rPr>
  </w:style>
  <w:style w:type="paragraph" w:customStyle="1" w:styleId="naiskr">
    <w:name w:val="naiskr"/>
    <w:basedOn w:val="Normal"/>
    <w:rsid w:val="00A322A9"/>
    <w:pPr>
      <w:spacing w:before="75" w:after="75"/>
    </w:pPr>
  </w:style>
  <w:style w:type="paragraph" w:customStyle="1" w:styleId="naisc">
    <w:name w:val="naisc"/>
    <w:basedOn w:val="Normal"/>
    <w:rsid w:val="00A322A9"/>
    <w:pPr>
      <w:spacing w:before="75" w:after="75"/>
      <w:jc w:val="center"/>
    </w:pPr>
  </w:style>
  <w:style w:type="character" w:styleId="Strong">
    <w:name w:val="Strong"/>
    <w:uiPriority w:val="22"/>
    <w:qFormat/>
    <w:rsid w:val="00A322A9"/>
    <w:rPr>
      <w:b/>
      <w:bCs/>
    </w:rPr>
  </w:style>
  <w:style w:type="paragraph" w:customStyle="1" w:styleId="tv2161">
    <w:name w:val="tv2161"/>
    <w:basedOn w:val="Normal"/>
    <w:rsid w:val="00A322A9"/>
    <w:pPr>
      <w:spacing w:before="240" w:line="360" w:lineRule="auto"/>
      <w:ind w:firstLine="259"/>
      <w:jc w:val="right"/>
    </w:pPr>
    <w:rPr>
      <w:rFonts w:ascii="Verdana" w:hAnsi="Verdana"/>
      <w:sz w:val="16"/>
      <w:szCs w:val="16"/>
      <w:lang w:eastAsia="en-US"/>
    </w:rPr>
  </w:style>
  <w:style w:type="paragraph" w:styleId="ListParagraph">
    <w:name w:val="List Paragraph"/>
    <w:basedOn w:val="Normal"/>
    <w:uiPriority w:val="34"/>
    <w:qFormat/>
    <w:rsid w:val="00A322A9"/>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A322A9"/>
    <w:pPr>
      <w:spacing w:before="100" w:beforeAutospacing="1" w:after="100" w:afterAutospacing="1"/>
    </w:pPr>
  </w:style>
  <w:style w:type="paragraph" w:styleId="BodyText2">
    <w:name w:val="Body Text 2"/>
    <w:basedOn w:val="Normal"/>
    <w:link w:val="BodyText2Char"/>
    <w:uiPriority w:val="99"/>
    <w:rsid w:val="00A322A9"/>
    <w:pPr>
      <w:spacing w:after="120" w:line="480" w:lineRule="auto"/>
    </w:pPr>
    <w:rPr>
      <w:lang w:val="en-GB" w:eastAsia="en-US"/>
    </w:rPr>
  </w:style>
  <w:style w:type="character" w:customStyle="1" w:styleId="BodyText2Char">
    <w:name w:val="Body Text 2 Char"/>
    <w:basedOn w:val="DefaultParagraphFont"/>
    <w:link w:val="BodyText2"/>
    <w:uiPriority w:val="99"/>
    <w:rsid w:val="00A322A9"/>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uiPriority w:val="9"/>
    <w:rsid w:val="00D52579"/>
    <w:rPr>
      <w:rFonts w:ascii="Cambria" w:eastAsia="Times New Roman" w:hAnsi="Cambria" w:cs="Times New Roman"/>
      <w:b/>
      <w:bCs/>
      <w:sz w:val="26"/>
      <w:szCs w:val="26"/>
      <w:lang w:eastAsia="lv-LV"/>
    </w:rPr>
  </w:style>
  <w:style w:type="paragraph" w:styleId="Header">
    <w:name w:val="header"/>
    <w:basedOn w:val="Normal"/>
    <w:link w:val="HeaderChar"/>
    <w:uiPriority w:val="99"/>
    <w:unhideWhenUsed/>
    <w:rsid w:val="00D52579"/>
    <w:pPr>
      <w:tabs>
        <w:tab w:val="center" w:pos="4153"/>
        <w:tab w:val="right" w:pos="8306"/>
      </w:tabs>
    </w:pPr>
  </w:style>
  <w:style w:type="character" w:customStyle="1" w:styleId="HeaderChar">
    <w:name w:val="Header Char"/>
    <w:basedOn w:val="DefaultParagraphFont"/>
    <w:link w:val="Header"/>
    <w:uiPriority w:val="99"/>
    <w:rsid w:val="00D5257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52579"/>
    <w:pPr>
      <w:tabs>
        <w:tab w:val="center" w:pos="4153"/>
        <w:tab w:val="right" w:pos="8306"/>
      </w:tabs>
    </w:pPr>
  </w:style>
  <w:style w:type="character" w:customStyle="1" w:styleId="FooterChar">
    <w:name w:val="Footer Char"/>
    <w:basedOn w:val="DefaultParagraphFont"/>
    <w:link w:val="Footer"/>
    <w:uiPriority w:val="99"/>
    <w:rsid w:val="00D5257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178D9"/>
  </w:style>
  <w:style w:type="character" w:styleId="CommentReference">
    <w:name w:val="annotation reference"/>
    <w:basedOn w:val="DefaultParagraphFont"/>
    <w:uiPriority w:val="99"/>
    <w:semiHidden/>
    <w:unhideWhenUsed/>
    <w:rsid w:val="009D612B"/>
    <w:rPr>
      <w:sz w:val="16"/>
      <w:szCs w:val="16"/>
    </w:rPr>
  </w:style>
  <w:style w:type="paragraph" w:styleId="CommentText">
    <w:name w:val="annotation text"/>
    <w:basedOn w:val="Normal"/>
    <w:link w:val="CommentTextChar"/>
    <w:uiPriority w:val="99"/>
    <w:semiHidden/>
    <w:unhideWhenUsed/>
    <w:rsid w:val="009D612B"/>
    <w:rPr>
      <w:sz w:val="20"/>
      <w:szCs w:val="20"/>
    </w:rPr>
  </w:style>
  <w:style w:type="character" w:customStyle="1" w:styleId="CommentTextChar">
    <w:name w:val="Comment Text Char"/>
    <w:basedOn w:val="DefaultParagraphFont"/>
    <w:link w:val="CommentText"/>
    <w:uiPriority w:val="99"/>
    <w:semiHidden/>
    <w:rsid w:val="009D612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D612B"/>
    <w:rPr>
      <w:b/>
      <w:bCs/>
    </w:rPr>
  </w:style>
  <w:style w:type="character" w:customStyle="1" w:styleId="CommentSubjectChar">
    <w:name w:val="Comment Subject Char"/>
    <w:basedOn w:val="CommentTextChar"/>
    <w:link w:val="CommentSubject"/>
    <w:uiPriority w:val="99"/>
    <w:semiHidden/>
    <w:rsid w:val="009D612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D6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2B"/>
    <w:rPr>
      <w:rFonts w:ascii="Segoe UI" w:eastAsia="Times New Roman" w:hAnsi="Segoe UI" w:cs="Segoe UI"/>
      <w:sz w:val="18"/>
      <w:szCs w:val="18"/>
      <w:lang w:eastAsia="lv-LV"/>
    </w:rPr>
  </w:style>
  <w:style w:type="paragraph" w:styleId="NormalWeb">
    <w:name w:val="Normal (Web)"/>
    <w:basedOn w:val="Normal"/>
    <w:uiPriority w:val="99"/>
    <w:unhideWhenUsed/>
    <w:rsid w:val="00537E7C"/>
    <w:pPr>
      <w:spacing w:before="69" w:after="69"/>
      <w:ind w:firstLine="346"/>
      <w:jc w:val="both"/>
    </w:pPr>
    <w:rPr>
      <w:color w:val="000000"/>
    </w:rPr>
  </w:style>
  <w:style w:type="paragraph" w:customStyle="1" w:styleId="naislab">
    <w:name w:val="naislab"/>
    <w:basedOn w:val="Normal"/>
    <w:rsid w:val="00B70BD4"/>
    <w:pPr>
      <w:spacing w:before="75" w:after="75"/>
      <w:jc w:val="right"/>
    </w:pPr>
    <w:rPr>
      <w:color w:val="000000"/>
    </w:rPr>
  </w:style>
  <w:style w:type="character" w:styleId="UnresolvedMention">
    <w:name w:val="Unresolved Mention"/>
    <w:basedOn w:val="DefaultParagraphFont"/>
    <w:uiPriority w:val="99"/>
    <w:semiHidden/>
    <w:unhideWhenUsed/>
    <w:rsid w:val="005270F7"/>
    <w:rPr>
      <w:color w:val="808080"/>
      <w:shd w:val="clear" w:color="auto" w:fill="E6E6E6"/>
    </w:rPr>
  </w:style>
  <w:style w:type="character" w:styleId="FollowedHyperlink">
    <w:name w:val="FollowedHyperlink"/>
    <w:basedOn w:val="DefaultParagraphFont"/>
    <w:uiPriority w:val="99"/>
    <w:semiHidden/>
    <w:unhideWhenUsed/>
    <w:rsid w:val="00EC658B"/>
    <w:rPr>
      <w:color w:val="954F72" w:themeColor="followedHyperlink"/>
      <w:u w:val="single"/>
    </w:rPr>
  </w:style>
  <w:style w:type="paragraph" w:styleId="NoSpacing">
    <w:name w:val="No Spacing"/>
    <w:uiPriority w:val="1"/>
    <w:qFormat/>
    <w:rsid w:val="00F47204"/>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F47204"/>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085">
      <w:bodyDiv w:val="1"/>
      <w:marLeft w:val="0"/>
      <w:marRight w:val="0"/>
      <w:marTop w:val="0"/>
      <w:marBottom w:val="0"/>
      <w:divBdr>
        <w:top w:val="none" w:sz="0" w:space="0" w:color="auto"/>
        <w:left w:val="none" w:sz="0" w:space="0" w:color="auto"/>
        <w:bottom w:val="none" w:sz="0" w:space="0" w:color="auto"/>
        <w:right w:val="none" w:sz="0" w:space="0" w:color="auto"/>
      </w:divBdr>
    </w:div>
    <w:div w:id="326785616">
      <w:bodyDiv w:val="1"/>
      <w:marLeft w:val="0"/>
      <w:marRight w:val="0"/>
      <w:marTop w:val="0"/>
      <w:marBottom w:val="0"/>
      <w:divBdr>
        <w:top w:val="none" w:sz="0" w:space="0" w:color="auto"/>
        <w:left w:val="none" w:sz="0" w:space="0" w:color="auto"/>
        <w:bottom w:val="none" w:sz="0" w:space="0" w:color="auto"/>
        <w:right w:val="none" w:sz="0" w:space="0" w:color="auto"/>
      </w:divBdr>
    </w:div>
    <w:div w:id="469522006">
      <w:bodyDiv w:val="1"/>
      <w:marLeft w:val="0"/>
      <w:marRight w:val="0"/>
      <w:marTop w:val="0"/>
      <w:marBottom w:val="0"/>
      <w:divBdr>
        <w:top w:val="none" w:sz="0" w:space="0" w:color="auto"/>
        <w:left w:val="none" w:sz="0" w:space="0" w:color="auto"/>
        <w:bottom w:val="none" w:sz="0" w:space="0" w:color="auto"/>
        <w:right w:val="none" w:sz="0" w:space="0" w:color="auto"/>
      </w:divBdr>
    </w:div>
    <w:div w:id="799301695">
      <w:bodyDiv w:val="1"/>
      <w:marLeft w:val="0"/>
      <w:marRight w:val="0"/>
      <w:marTop w:val="0"/>
      <w:marBottom w:val="0"/>
      <w:divBdr>
        <w:top w:val="none" w:sz="0" w:space="0" w:color="auto"/>
        <w:left w:val="none" w:sz="0" w:space="0" w:color="auto"/>
        <w:bottom w:val="none" w:sz="0" w:space="0" w:color="auto"/>
        <w:right w:val="none" w:sz="0" w:space="0" w:color="auto"/>
      </w:divBdr>
    </w:div>
    <w:div w:id="1075936963">
      <w:bodyDiv w:val="1"/>
      <w:marLeft w:val="0"/>
      <w:marRight w:val="0"/>
      <w:marTop w:val="0"/>
      <w:marBottom w:val="0"/>
      <w:divBdr>
        <w:top w:val="none" w:sz="0" w:space="0" w:color="auto"/>
        <w:left w:val="none" w:sz="0" w:space="0" w:color="auto"/>
        <w:bottom w:val="none" w:sz="0" w:space="0" w:color="auto"/>
        <w:right w:val="none" w:sz="0" w:space="0" w:color="auto"/>
      </w:divBdr>
    </w:div>
    <w:div w:id="1274554140">
      <w:bodyDiv w:val="1"/>
      <w:marLeft w:val="0"/>
      <w:marRight w:val="0"/>
      <w:marTop w:val="0"/>
      <w:marBottom w:val="0"/>
      <w:divBdr>
        <w:top w:val="none" w:sz="0" w:space="0" w:color="auto"/>
        <w:left w:val="none" w:sz="0" w:space="0" w:color="auto"/>
        <w:bottom w:val="none" w:sz="0" w:space="0" w:color="auto"/>
        <w:right w:val="none" w:sz="0" w:space="0" w:color="auto"/>
      </w:divBdr>
    </w:div>
    <w:div w:id="13027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836-par-atbilstibas-novertesa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gov.lv/lv/par_ministriju/sabiedribas_lidzdalib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F16A-C271-4590-80E9-8CE7AC1D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19074</Words>
  <Characters>10873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Ziediņa-Brigmane</dc:creator>
  <cp:keywords/>
  <dc:description/>
  <cp:lastModifiedBy>Juris Bulāns</cp:lastModifiedBy>
  <cp:revision>3</cp:revision>
  <cp:lastPrinted>2019-11-15T12:28:00Z</cp:lastPrinted>
  <dcterms:created xsi:type="dcterms:W3CDTF">2019-11-19T09:15:00Z</dcterms:created>
  <dcterms:modified xsi:type="dcterms:W3CDTF">2019-11-19T09:16:00Z</dcterms:modified>
</cp:coreProperties>
</file>